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155DB" w14:textId="77777777" w:rsidR="009101D8" w:rsidRPr="004D3316" w:rsidRDefault="00A66C97" w:rsidP="00CB6633">
      <w:pPr>
        <w:pStyle w:val="01PaperTitle"/>
        <w:spacing w:line="240" w:lineRule="auto"/>
      </w:pPr>
      <w:r w:rsidRPr="004D3316">
        <w:t>Unintentional rewilding: lessons for trophic rewilding from other forms of species introductions</w:t>
      </w:r>
    </w:p>
    <w:p w14:paraId="56B78FB2" w14:textId="77777777" w:rsidR="009101D8" w:rsidRPr="004D3316" w:rsidRDefault="00A66C97" w:rsidP="00445BEE">
      <w:pPr>
        <w:pStyle w:val="02Authornames"/>
        <w:spacing w:line="240" w:lineRule="auto"/>
      </w:pPr>
      <w:r w:rsidRPr="004D3316">
        <w:t>Andrew J Tanentzap</w:t>
      </w:r>
      <w:r w:rsidRPr="004D3316">
        <w:rPr>
          <w:vertAlign w:val="superscript"/>
        </w:rPr>
        <w:t>1,*</w:t>
      </w:r>
      <w:r w:rsidRPr="004D3316">
        <w:t>, Bethany R Smith</w:t>
      </w:r>
      <w:r w:rsidRPr="004D3316">
        <w:rPr>
          <w:vertAlign w:val="superscript"/>
        </w:rPr>
        <w:t>2</w:t>
      </w:r>
    </w:p>
    <w:p w14:paraId="5B107109" w14:textId="77777777" w:rsidR="00A66C97" w:rsidRPr="004D3316" w:rsidRDefault="00A66C97" w:rsidP="00A66C97">
      <w:pPr>
        <w:pStyle w:val="03Authoraffiliation"/>
        <w:ind w:left="600" w:right="568"/>
      </w:pPr>
      <w:r w:rsidRPr="004D3316">
        <w:t>1Ecosystems and Global Change Group, Department of Plant Sciences, University of Cambridge, Downing Street, Cambridge, CB2 3EA, United Kingdom OCRID 0000-0002-2883-1901</w:t>
      </w:r>
    </w:p>
    <w:p w14:paraId="20CD4A27" w14:textId="77777777" w:rsidR="009101D8" w:rsidRPr="004D3316" w:rsidRDefault="00A66C97" w:rsidP="00A66C97">
      <w:pPr>
        <w:pStyle w:val="03Authoraffiliation"/>
        <w:ind w:left="600" w:right="568"/>
      </w:pPr>
      <w:r w:rsidRPr="004D3316">
        <w:t>2Department of Life Sciences, Imperial College London, Silwood Park Campus, Buckhurst Road, Ascot, Berkshire, SL5 7PY</w:t>
      </w:r>
    </w:p>
    <w:p w14:paraId="7EA27283" w14:textId="77777777" w:rsidR="00D67C77" w:rsidRPr="004D3316" w:rsidRDefault="00896470" w:rsidP="00445BEE">
      <w:pPr>
        <w:pStyle w:val="05Keywords"/>
      </w:pPr>
      <w:r w:rsidRPr="004D3316">
        <w:rPr>
          <w:b/>
        </w:rPr>
        <w:t>Keywords:</w:t>
      </w:r>
      <w:r w:rsidRPr="004D3316">
        <w:t xml:space="preserve"> </w:t>
      </w:r>
      <w:r w:rsidR="007720F9" w:rsidRPr="004D3316">
        <w:t xml:space="preserve">conservation, extinction, </w:t>
      </w:r>
      <w:r w:rsidR="00A66C97" w:rsidRPr="004D3316">
        <w:t xml:space="preserve">invasive species, </w:t>
      </w:r>
      <w:r w:rsidR="007720F9" w:rsidRPr="004D3316">
        <w:t xml:space="preserve">reintroduction, </w:t>
      </w:r>
      <w:r w:rsidR="00A66C97" w:rsidRPr="004D3316">
        <w:t xml:space="preserve">restoration, </w:t>
      </w:r>
      <w:r w:rsidR="007720F9" w:rsidRPr="004D3316">
        <w:t>trophic cascades</w:t>
      </w:r>
    </w:p>
    <w:p w14:paraId="390FFC35" w14:textId="77777777" w:rsidR="004E5DED" w:rsidRPr="004D3316" w:rsidRDefault="004E5DED" w:rsidP="00445BEE">
      <w:pPr>
        <w:pStyle w:val="X1Textlinedonotuse"/>
      </w:pPr>
    </w:p>
    <w:p w14:paraId="354B5765" w14:textId="77777777" w:rsidR="000F359A" w:rsidRPr="004D3316" w:rsidRDefault="000F359A" w:rsidP="00445BEE">
      <w:pPr>
        <w:pStyle w:val="X1Textlinedonotuse"/>
        <w:sectPr w:rsidR="000F359A" w:rsidRPr="004D3316" w:rsidSect="00BB4449">
          <w:headerReference w:type="even" r:id="rId8"/>
          <w:footerReference w:type="even" r:id="rId9"/>
          <w:footerReference w:type="default" r:id="rId10"/>
          <w:headerReference w:type="first" r:id="rId11"/>
          <w:footerReference w:type="first" r:id="rId12"/>
          <w:type w:val="continuous"/>
          <w:pgSz w:w="11907" w:h="16840" w:code="9"/>
          <w:pgMar w:top="1601" w:right="1134" w:bottom="851" w:left="1304" w:header="720" w:footer="851" w:gutter="0"/>
          <w:cols w:space="708"/>
          <w:titlePg/>
          <w:docGrid w:linePitch="360"/>
        </w:sectPr>
      </w:pPr>
    </w:p>
    <w:p w14:paraId="266484E0" w14:textId="77777777" w:rsidR="00CD760A" w:rsidRPr="004D3316" w:rsidRDefault="00CD760A" w:rsidP="00445BEE">
      <w:pPr>
        <w:pStyle w:val="07HEADINGA"/>
        <w:widowControl w:val="0"/>
        <w:spacing w:line="240" w:lineRule="auto"/>
        <w:sectPr w:rsidR="00CD760A" w:rsidRPr="004D3316" w:rsidSect="00BB4449">
          <w:type w:val="continuous"/>
          <w:pgSz w:w="11907" w:h="16840" w:code="9"/>
          <w:pgMar w:top="1601" w:right="1134" w:bottom="851" w:left="1304" w:header="720" w:footer="680" w:gutter="0"/>
          <w:cols w:space="397"/>
          <w:titlePg/>
          <w:docGrid w:linePitch="360"/>
        </w:sectPr>
      </w:pPr>
    </w:p>
    <w:p w14:paraId="794A4E47" w14:textId="77777777" w:rsidR="00394285" w:rsidRPr="004D3316" w:rsidRDefault="00747A45" w:rsidP="00BB4449">
      <w:pPr>
        <w:pStyle w:val="A1Footnote"/>
        <w:framePr w:w="9556" w:wrap="notBeside"/>
        <w:widowControl w:val="0"/>
        <w:pBdr>
          <w:top w:val="single" w:sz="4" w:space="1" w:color="auto"/>
        </w:pBdr>
      </w:pPr>
      <w:r w:rsidRPr="004D3316">
        <w:t>*Author for correspondence (</w:t>
      </w:r>
      <w:r w:rsidR="00A66C97" w:rsidRPr="004D3316">
        <w:t>ajt65@cam.ac.uk</w:t>
      </w:r>
      <w:r w:rsidRPr="004D3316">
        <w:t>).</w:t>
      </w:r>
    </w:p>
    <w:p w14:paraId="32A9EFE2" w14:textId="77777777" w:rsidR="00BB4449" w:rsidRPr="004D3316" w:rsidRDefault="00BB4449" w:rsidP="00BB4449">
      <w:pPr>
        <w:shd w:val="clear" w:color="auto" w:fill="FFFFFF"/>
        <w:spacing w:after="240"/>
        <w:textAlignment w:val="baseline"/>
        <w:rPr>
          <w:rFonts w:ascii="MyriadPro-Cond" w:hAnsi="MyriadPro-Cond" w:cs="MyriadPro-Cond"/>
          <w:sz w:val="34"/>
          <w:szCs w:val="36"/>
        </w:rPr>
      </w:pPr>
      <w:r w:rsidRPr="004D3316">
        <w:rPr>
          <w:rFonts w:ascii="MyriadPro-Cond" w:hAnsi="MyriadPro-Cond" w:cs="MyriadPro-Cond"/>
          <w:sz w:val="34"/>
          <w:szCs w:val="36"/>
        </w:rPr>
        <w:t>Main Text</w:t>
      </w:r>
    </w:p>
    <w:p w14:paraId="3C646EC5" w14:textId="77777777" w:rsidR="00AD71BE" w:rsidRPr="004D3316" w:rsidRDefault="00813DAE" w:rsidP="00BB4449">
      <w:pPr>
        <w:pStyle w:val="titlersos"/>
        <w:numPr>
          <w:ilvl w:val="0"/>
          <w:numId w:val="0"/>
        </w:numPr>
        <w:rPr>
          <w:b w:val="0"/>
          <w:sz w:val="28"/>
        </w:rPr>
      </w:pPr>
      <w:r w:rsidRPr="004D3316">
        <w:rPr>
          <w:b w:val="0"/>
          <w:sz w:val="28"/>
        </w:rPr>
        <w:t>Summary</w:t>
      </w:r>
    </w:p>
    <w:p w14:paraId="73FA41D9" w14:textId="77777777" w:rsidR="005B579C" w:rsidRPr="004D3316" w:rsidRDefault="005B579C" w:rsidP="00EF6A3D">
      <w:pPr>
        <w:rPr>
          <w:rFonts w:ascii="Palatino-Roman" w:hAnsi="Palatino-Roman"/>
          <w:sz w:val="20"/>
        </w:rPr>
      </w:pPr>
    </w:p>
    <w:p w14:paraId="62BD0A35" w14:textId="73EAB719" w:rsidR="00EF6A3D" w:rsidRPr="004D3316" w:rsidRDefault="00EF6A3D" w:rsidP="00EF6A3D">
      <w:pPr>
        <w:spacing w:line="480" w:lineRule="auto"/>
        <w:rPr>
          <w:szCs w:val="24"/>
          <w:shd w:val="clear" w:color="auto" w:fill="FFFFFF"/>
        </w:rPr>
      </w:pPr>
      <w:r w:rsidRPr="004D3316">
        <w:rPr>
          <w:szCs w:val="24"/>
          <w:shd w:val="clear" w:color="auto" w:fill="FFFFFF"/>
        </w:rPr>
        <w:t xml:space="preserve">Trophic rewilding involves adding species into ecosystems to restore extinct, top-down interactions, but limited quantitative data have prevented a systematic attempt to quantify its outcomes.  Here we exploit species introductions that have occurred for purposes other than restoration to inform trophic rewilding. </w:t>
      </w:r>
      <w:r w:rsidR="004004DE">
        <w:rPr>
          <w:szCs w:val="24"/>
          <w:shd w:val="clear" w:color="auto" w:fill="FFFFFF"/>
        </w:rPr>
        <w:t xml:space="preserve"> We compiled 51 studies with 158</w:t>
      </w:r>
      <w:r w:rsidRPr="004D3316">
        <w:rPr>
          <w:szCs w:val="24"/>
          <w:shd w:val="clear" w:color="auto" w:fill="FFFFFF"/>
        </w:rPr>
        <w:t xml:space="preserve"> different responses of lower trophic levels to a species introduction that restored an extinct interaction, whether it intended to do so or not.  Unintentional introductions were compared with checklists of extinct animals to identify potential analogues.  Using the latest meta-analysis techniques, we found that the few cases of intentional rewilding had similar effects to unintentional rewilding, though there were large taxonomic and geographic biases.  We also tested predictions from studies on trophic cascades about the factors that should influence rewilding.  Unintentional rewilding was stronger where introduced consumers were non-invasive, but there was no effect of </w:t>
      </w:r>
      <w:r w:rsidR="000A0156">
        <w:rPr>
          <w:szCs w:val="24"/>
          <w:shd w:val="clear" w:color="auto" w:fill="FFFFFF"/>
        </w:rPr>
        <w:t xml:space="preserve">time </w:t>
      </w:r>
      <w:r w:rsidR="00D94933">
        <w:rPr>
          <w:szCs w:val="24"/>
          <w:shd w:val="clear" w:color="auto" w:fill="FFFFFF"/>
        </w:rPr>
        <w:t>that compared sites differed in introduction status</w:t>
      </w:r>
      <w:r w:rsidRPr="004D3316">
        <w:rPr>
          <w:szCs w:val="24"/>
          <w:shd w:val="clear" w:color="auto" w:fill="FFFFFF"/>
        </w:rPr>
        <w:t>, latitude, or co-evolution of responses with a taxonomically-related analogue.  Our study now shows that rewilding can reinstate extinct trophic interactions and highlights remaining data gaps that need closure to restore ecosystems across larger scales than has been previously possible.</w:t>
      </w:r>
    </w:p>
    <w:p w14:paraId="093D6E25" w14:textId="77777777" w:rsidR="00EF6A3D" w:rsidRPr="004D3316" w:rsidRDefault="00EF6A3D" w:rsidP="00EF6A3D">
      <w:pPr>
        <w:spacing w:line="480" w:lineRule="auto"/>
        <w:rPr>
          <w:rFonts w:ascii="Palatino-Roman" w:hAnsi="Palatino-Roman"/>
          <w:sz w:val="20"/>
          <w:shd w:val="clear" w:color="auto" w:fill="FFFFFF"/>
        </w:rPr>
      </w:pPr>
    </w:p>
    <w:p w14:paraId="14B74195" w14:textId="77777777" w:rsidR="00EF6A3D" w:rsidRPr="004D3316" w:rsidRDefault="00EF6A3D" w:rsidP="00EF6A3D">
      <w:pPr>
        <w:spacing w:line="360" w:lineRule="auto"/>
        <w:rPr>
          <w:sz w:val="28"/>
          <w:szCs w:val="28"/>
          <w:shd w:val="clear" w:color="auto" w:fill="FFFFFF"/>
        </w:rPr>
      </w:pPr>
      <w:r w:rsidRPr="004D3316">
        <w:rPr>
          <w:rFonts w:ascii="MyriadPro-Cond" w:hAnsi="MyriadPro-Cond"/>
          <w:sz w:val="28"/>
          <w:szCs w:val="28"/>
        </w:rPr>
        <w:t>1. Introduction</w:t>
      </w:r>
    </w:p>
    <w:p w14:paraId="555BB730" w14:textId="41798662" w:rsidR="00EF6A3D" w:rsidRPr="004D3316" w:rsidRDefault="00EF6A3D" w:rsidP="00EF6A3D">
      <w:pPr>
        <w:spacing w:line="480" w:lineRule="auto"/>
        <w:rPr>
          <w:szCs w:val="24"/>
        </w:rPr>
      </w:pPr>
      <w:r w:rsidRPr="004D3316">
        <w:rPr>
          <w:szCs w:val="24"/>
        </w:rPr>
        <w:lastRenderedPageBreak/>
        <w:t xml:space="preserve">Few ideas in biology have stirred as much recent controversy with as little data as rewilding (1-3).  Although many definitions of rewilding exist (4-5), perhaps the readiest for research and practice is that of trophic rewilding (6).  Trophic rewilding </w:t>
      </w:r>
      <w:r w:rsidR="00CB6633" w:rsidRPr="004D3316">
        <w:rPr>
          <w:szCs w:val="24"/>
        </w:rPr>
        <w:t xml:space="preserve">theoretically </w:t>
      </w:r>
      <w:r w:rsidRPr="004D3316">
        <w:rPr>
          <w:szCs w:val="24"/>
        </w:rPr>
        <w:t>involves adding species into ecosystems to restore top-down trophic interactions that can be sustained without continuous human intervention (6).  The keystone impacts of many carnivores and herbivores downwards through food webs have been lost due to human actions, with far-reaching consequences for biodiversity and ecosystem processes (7-10).  Reversing these impacts through trophic rewilding involves reintroducing species that have recently been locally extirpated</w:t>
      </w:r>
      <w:r w:rsidR="00AA4E71" w:rsidRPr="004D3316">
        <w:rPr>
          <w:szCs w:val="24"/>
        </w:rPr>
        <w:t>, although active management is often required because of space limitations and a lack of native predators</w:t>
      </w:r>
      <w:r w:rsidRPr="004D3316">
        <w:rPr>
          <w:szCs w:val="24"/>
        </w:rPr>
        <w:t>.  Controversially, trophic rewilding can also involve reintroducing species that disappeared as far back as the Pleistocene and even introducing functional substitutes where the original lineages have gone globally extinct (11), e.g. ref. 12.  Despite the proliferation of essays and opinion pieces, few studies have measured the feasibility and success of trophic rewilding using empirical data (6, 13-14).</w:t>
      </w:r>
    </w:p>
    <w:p w14:paraId="3A8F7FE9" w14:textId="653E8C4D" w:rsidR="00EF6A3D" w:rsidRPr="004D3316" w:rsidRDefault="00EF6A3D" w:rsidP="003B32D4">
      <w:pPr>
        <w:spacing w:line="480" w:lineRule="auto"/>
        <w:ind w:firstLine="720"/>
        <w:rPr>
          <w:szCs w:val="24"/>
        </w:rPr>
      </w:pPr>
      <w:r w:rsidRPr="004D3316">
        <w:rPr>
          <w:szCs w:val="24"/>
        </w:rPr>
        <w:t xml:space="preserve">Defining an appropriate management goal is a major challenge in quantifying the feasibility and success of trophic rewilding (5).  Historic baselines are one approach for goal setting (15), but as reference ecosystems can shift over time, a better approach may be to compare interventions against the outcomes that would arise without rewilding (16).  By definition, successful trophic rewilding should involve reducing the </w:t>
      </w:r>
      <w:r w:rsidR="003B32D4" w:rsidRPr="004D3316">
        <w:rPr>
          <w:szCs w:val="24"/>
        </w:rPr>
        <w:t xml:space="preserve">total biomass and/or </w:t>
      </w:r>
      <w:r w:rsidRPr="004D3316">
        <w:rPr>
          <w:szCs w:val="24"/>
        </w:rPr>
        <w:t xml:space="preserve">abundance of </w:t>
      </w:r>
      <w:r w:rsidR="003E3A9A" w:rsidRPr="004D3316">
        <w:rPr>
          <w:szCs w:val="24"/>
        </w:rPr>
        <w:t xml:space="preserve">prey species in </w:t>
      </w:r>
      <w:r w:rsidRPr="004D3316">
        <w:rPr>
          <w:szCs w:val="24"/>
        </w:rPr>
        <w:t xml:space="preserve">the next lower trophic level in the food web as compared with the absence of a species (re)introduction (17).  This change in </w:t>
      </w:r>
      <w:r w:rsidR="003B32D4" w:rsidRPr="004D3316">
        <w:rPr>
          <w:szCs w:val="24"/>
        </w:rPr>
        <w:t>biomass and</w:t>
      </w:r>
      <w:r w:rsidR="00B0285A" w:rsidRPr="004D3316">
        <w:rPr>
          <w:szCs w:val="24"/>
        </w:rPr>
        <w:t>/or</w:t>
      </w:r>
      <w:r w:rsidR="003B32D4" w:rsidRPr="004D3316">
        <w:rPr>
          <w:szCs w:val="24"/>
        </w:rPr>
        <w:t xml:space="preserve"> </w:t>
      </w:r>
      <w:r w:rsidRPr="004D3316">
        <w:rPr>
          <w:szCs w:val="24"/>
        </w:rPr>
        <w:t>abundance should release two trophic levels beneath the (re)introduced consumer from top-down control, consistent with a trophic cascade (17</w:t>
      </w:r>
      <w:r w:rsidR="003E3A9A" w:rsidRPr="004D3316">
        <w:rPr>
          <w:szCs w:val="24"/>
        </w:rPr>
        <w:t>, 18</w:t>
      </w:r>
      <w:r w:rsidRPr="004D3316">
        <w:rPr>
          <w:szCs w:val="24"/>
        </w:rPr>
        <w:t xml:space="preserve">).  </w:t>
      </w:r>
      <w:r w:rsidR="0002719C" w:rsidRPr="004D3316">
        <w:rPr>
          <w:szCs w:val="24"/>
        </w:rPr>
        <w:t xml:space="preserve">Some species in the trophic level immediately beneath the (re)introduction may also respond positively because of indirect outcomes of rewilding, such as reduced intraguild competition (10).  </w:t>
      </w:r>
      <w:r w:rsidRPr="004D3316">
        <w:rPr>
          <w:szCs w:val="24"/>
        </w:rPr>
        <w:t xml:space="preserve">Thus, depending on the trophic level that is monitored, success may appear to have a negative or positive effect on population and community dynamics, further complicating the evaluation of management goals.  Finally, perhaps the greatest obstacle in assessing the potential of trophic rewilding is that most (re)introduction experiments have </w:t>
      </w:r>
      <w:r w:rsidRPr="004D3316">
        <w:rPr>
          <w:szCs w:val="24"/>
        </w:rPr>
        <w:lastRenderedPageBreak/>
        <w:t xml:space="preserve">been conducted in the last decade (5-6).  </w:t>
      </w:r>
      <w:r w:rsidR="00837F33" w:rsidRPr="004D3316">
        <w:rPr>
          <w:szCs w:val="24"/>
        </w:rPr>
        <w:t xml:space="preserve">Most learning has instead come from palaeoreconstructions and experiments excluding extant animals (10).  </w:t>
      </w:r>
      <w:r w:rsidRPr="004D3316">
        <w:rPr>
          <w:szCs w:val="24"/>
        </w:rPr>
        <w:t xml:space="preserve">Given these challenges, there is consequently no </w:t>
      </w:r>
      <w:r w:rsidR="00837F33" w:rsidRPr="004D3316">
        <w:rPr>
          <w:szCs w:val="24"/>
        </w:rPr>
        <w:t xml:space="preserve">data-driven </w:t>
      </w:r>
      <w:r w:rsidRPr="004D3316">
        <w:rPr>
          <w:szCs w:val="24"/>
        </w:rPr>
        <w:t>synthesis, to our knowledge, of trophic rewilding efforts.</w:t>
      </w:r>
    </w:p>
    <w:p w14:paraId="422166BD" w14:textId="3D3A0D7C" w:rsidR="000A0156" w:rsidRPr="004D3316" w:rsidRDefault="00EF6A3D" w:rsidP="00EF6A3D">
      <w:pPr>
        <w:spacing w:line="480" w:lineRule="auto"/>
        <w:rPr>
          <w:szCs w:val="24"/>
        </w:rPr>
      </w:pPr>
      <w:r w:rsidRPr="004D3316">
        <w:rPr>
          <w:szCs w:val="24"/>
        </w:rPr>
        <w:tab/>
        <w:t>Trophic rewilding experiments have, however, been run unintentionally many times under the guise of species introductions.  These introductions have been both deliberate to benefit human interests, such as from biocontrol or increasing food, trade, and hunting opportunities, and accidental, including from escaping captivity and hitchhiking with vectors such as people, soils, and vehicles (1</w:t>
      </w:r>
      <w:r w:rsidR="003E3A9A" w:rsidRPr="004D3316">
        <w:rPr>
          <w:szCs w:val="24"/>
        </w:rPr>
        <w:t>9</w:t>
      </w:r>
      <w:r w:rsidRPr="004D3316">
        <w:rPr>
          <w:szCs w:val="24"/>
        </w:rPr>
        <w:t xml:space="preserve">, </w:t>
      </w:r>
      <w:r w:rsidR="003E3A9A" w:rsidRPr="004D3316">
        <w:rPr>
          <w:szCs w:val="24"/>
        </w:rPr>
        <w:t>20</w:t>
      </w:r>
      <w:r w:rsidRPr="004D3316">
        <w:rPr>
          <w:szCs w:val="24"/>
        </w:rPr>
        <w:t>).  Irrespective of the route, the defining feature of unintentional rewilding is that it restores an extinct top-down trophic interaction without having intended to do so (6, 2</w:t>
      </w:r>
      <w:r w:rsidR="003E3A9A" w:rsidRPr="004D3316">
        <w:rPr>
          <w:szCs w:val="24"/>
        </w:rPr>
        <w:t>1</w:t>
      </w:r>
      <w:r w:rsidRPr="004D3316">
        <w:rPr>
          <w:szCs w:val="24"/>
        </w:rPr>
        <w:t>).  Unintentional rewilding therefore involves introducing a species that either went locally extinct or acts as an analogue for an extinct functional type.  The frequency with which such species introductions have occurred worldwide offers an opportunity to synthesise additional evidence about the factors that influence the success of trophic rewilding (2</w:t>
      </w:r>
      <w:r w:rsidR="003E3A9A" w:rsidRPr="004D3316">
        <w:rPr>
          <w:szCs w:val="24"/>
        </w:rPr>
        <w:t>2</w:t>
      </w:r>
      <w:r w:rsidRPr="004D3316">
        <w:rPr>
          <w:szCs w:val="24"/>
        </w:rPr>
        <w:t>).</w:t>
      </w:r>
    </w:p>
    <w:p w14:paraId="3B3F3CEA" w14:textId="657AF13E" w:rsidR="00EF6A3D" w:rsidRPr="004D3316" w:rsidRDefault="00EF6A3D" w:rsidP="000A0156">
      <w:pPr>
        <w:spacing w:line="480" w:lineRule="auto"/>
        <w:ind w:firstLine="720"/>
        <w:rPr>
          <w:szCs w:val="24"/>
        </w:rPr>
      </w:pPr>
      <w:r w:rsidRPr="004D3316">
        <w:rPr>
          <w:szCs w:val="24"/>
        </w:rPr>
        <w:t xml:space="preserve">Invasiveness will be a key </w:t>
      </w:r>
      <w:r w:rsidR="00D06B4B" w:rsidRPr="004D3316">
        <w:rPr>
          <w:szCs w:val="24"/>
        </w:rPr>
        <w:t xml:space="preserve">determinant </w:t>
      </w:r>
      <w:r w:rsidRPr="004D3316">
        <w:rPr>
          <w:szCs w:val="24"/>
        </w:rPr>
        <w:t xml:space="preserve">of whether species introductions offer an analogy to </w:t>
      </w:r>
      <w:r w:rsidR="000A0156">
        <w:rPr>
          <w:szCs w:val="24"/>
        </w:rPr>
        <w:t xml:space="preserve">intentional </w:t>
      </w:r>
      <w:r w:rsidRPr="004D3316">
        <w:rPr>
          <w:szCs w:val="24"/>
        </w:rPr>
        <w:t>trophic rewilding.  Although many introductions have detrimentally impacted other species (2</w:t>
      </w:r>
      <w:r w:rsidR="003E3A9A" w:rsidRPr="004D3316">
        <w:rPr>
          <w:szCs w:val="24"/>
        </w:rPr>
        <w:t>3</w:t>
      </w:r>
      <w:r w:rsidRPr="004D3316">
        <w:rPr>
          <w:szCs w:val="24"/>
        </w:rPr>
        <w:t>, 2</w:t>
      </w:r>
      <w:r w:rsidR="003E3A9A" w:rsidRPr="004D3316">
        <w:rPr>
          <w:szCs w:val="24"/>
        </w:rPr>
        <w:t>4</w:t>
      </w:r>
      <w:r w:rsidRPr="004D3316">
        <w:rPr>
          <w:szCs w:val="24"/>
        </w:rPr>
        <w:t>), negative impacts on prey and plants at lower trophic levels are entirely predicted by trophic rewilding.  Of more importance will be whether species introductions become widespread and/or numerically dominant, defined as invasive irrespective of whether they are native or not (2</w:t>
      </w:r>
      <w:r w:rsidR="003E3A9A" w:rsidRPr="004D3316">
        <w:rPr>
          <w:szCs w:val="24"/>
        </w:rPr>
        <w:t>5</w:t>
      </w:r>
      <w:r w:rsidRPr="004D3316">
        <w:rPr>
          <w:szCs w:val="24"/>
        </w:rPr>
        <w:t>).  Invasive species have impacts beyond suppressing the abundance or altering the behaviour of the organisms they consume.  For example, in New Zealand, the seven species of deer (Cervidae) introduced during the 20</w:t>
      </w:r>
      <w:r w:rsidRPr="004D3316">
        <w:rPr>
          <w:szCs w:val="24"/>
          <w:vertAlign w:val="superscript"/>
        </w:rPr>
        <w:t>th</w:t>
      </w:r>
      <w:r w:rsidRPr="004D3316">
        <w:rPr>
          <w:szCs w:val="24"/>
        </w:rPr>
        <w:t xml:space="preserve"> Century share similar diet and habitat use as the extinct avian megafauna (2</w:t>
      </w:r>
      <w:r w:rsidR="003E3A9A" w:rsidRPr="004D3316">
        <w:rPr>
          <w:szCs w:val="24"/>
        </w:rPr>
        <w:t>6</w:t>
      </w:r>
      <w:r w:rsidRPr="004D3316">
        <w:rPr>
          <w:szCs w:val="24"/>
        </w:rPr>
        <w:t>).  However, deer attain much higher densities and biomass over larger areas than the avian herbivores they replaced, arresting forest and grassland development prematurely compared to the climax communities that historically developed in their absence prior to megafaunal extinctions (2</w:t>
      </w:r>
      <w:r w:rsidR="003E3A9A" w:rsidRPr="004D3316">
        <w:rPr>
          <w:szCs w:val="24"/>
        </w:rPr>
        <w:t>6</w:t>
      </w:r>
      <w:r w:rsidRPr="004D3316">
        <w:rPr>
          <w:szCs w:val="24"/>
        </w:rPr>
        <w:t xml:space="preserve">).  By contrast, large and giant tortoises from the Testudinidae family have been introduced worldwide to restore lost grazing and seed dispersal interactions without necessarily becoming numerically </w:t>
      </w:r>
      <w:r w:rsidRPr="004D3316">
        <w:rPr>
          <w:szCs w:val="24"/>
        </w:rPr>
        <w:lastRenderedPageBreak/>
        <w:t>dominant or geographically widespread (2</w:t>
      </w:r>
      <w:r w:rsidR="003E3A9A" w:rsidRPr="004D3316">
        <w:rPr>
          <w:szCs w:val="24"/>
        </w:rPr>
        <w:t>7</w:t>
      </w:r>
      <w:r w:rsidRPr="004D3316">
        <w:rPr>
          <w:szCs w:val="24"/>
        </w:rPr>
        <w:t xml:space="preserve">).  Thus, introductions may </w:t>
      </w:r>
      <w:r w:rsidR="000A0156">
        <w:rPr>
          <w:szCs w:val="24"/>
        </w:rPr>
        <w:t xml:space="preserve">only be analogous to </w:t>
      </w:r>
      <w:r w:rsidRPr="004D3316">
        <w:rPr>
          <w:szCs w:val="24"/>
        </w:rPr>
        <w:t xml:space="preserve">intentional rewilding </w:t>
      </w:r>
      <w:r w:rsidR="000A0156">
        <w:rPr>
          <w:szCs w:val="24"/>
        </w:rPr>
        <w:t>where species do not become invasive</w:t>
      </w:r>
      <w:r w:rsidRPr="004D3316">
        <w:rPr>
          <w:szCs w:val="24"/>
        </w:rPr>
        <w:t>.</w:t>
      </w:r>
      <w:r w:rsidR="000B22A4" w:rsidRPr="004D3316">
        <w:rPr>
          <w:szCs w:val="24"/>
        </w:rPr>
        <w:t xml:space="preserve">  Invasive species should generally have stronger effects on lower trophic levels.</w:t>
      </w:r>
    </w:p>
    <w:p w14:paraId="0410B1C1" w14:textId="253C9537" w:rsidR="00EF6A3D" w:rsidRPr="004D3316" w:rsidRDefault="00EF6A3D" w:rsidP="00EF6A3D">
      <w:pPr>
        <w:spacing w:line="480" w:lineRule="auto"/>
        <w:ind w:firstLine="720"/>
        <w:rPr>
          <w:szCs w:val="24"/>
        </w:rPr>
      </w:pPr>
      <w:r w:rsidRPr="004D3316">
        <w:rPr>
          <w:szCs w:val="24"/>
        </w:rPr>
        <w:t>Considerable theory predicts that other factors in addition to invasiveness also influence the effects of higher trophic levels downwards through food webs (2</w:t>
      </w:r>
      <w:r w:rsidR="003E3A9A" w:rsidRPr="004D3316">
        <w:rPr>
          <w:szCs w:val="24"/>
        </w:rPr>
        <w:t>8</w:t>
      </w:r>
      <w:r w:rsidRPr="004D3316">
        <w:rPr>
          <w:szCs w:val="24"/>
        </w:rPr>
        <w:t>).  These factors include many organismal traits and environmental conditions (Table 1).  For example, in a meta-analysis of 114 studies, Borer et al. (2</w:t>
      </w:r>
      <w:r w:rsidR="003E3A9A" w:rsidRPr="004D3316">
        <w:rPr>
          <w:szCs w:val="24"/>
        </w:rPr>
        <w:t>8</w:t>
      </w:r>
      <w:r w:rsidRPr="004D3316">
        <w:rPr>
          <w:szCs w:val="24"/>
        </w:rPr>
        <w:t>) found that trophic cascades onto plant community biomass strengthened as metabolic efficiency increased in herbivores and was generally greater with endotherm predators that have larger metabolic demands.  Mathematical modelling of feeding interactions based on physiological demands of differentially sized organisms also predicts that high metabolic efficiency should strengthen trophic cascades from predators to herbivores to plants (2</w:t>
      </w:r>
      <w:r w:rsidR="003E3A9A" w:rsidRPr="004D3316">
        <w:rPr>
          <w:szCs w:val="24"/>
        </w:rPr>
        <w:t>9</w:t>
      </w:r>
      <w:r w:rsidRPr="004D3316">
        <w:rPr>
          <w:szCs w:val="24"/>
        </w:rPr>
        <w:t>).  Evolutionary history is another important consideration.  For example, prey that are co-adapted with the introduced mode of predation may suffer fewer losses than where populations were exposed to very different predators and selection pressures (</w:t>
      </w:r>
      <w:r w:rsidR="003E3A9A" w:rsidRPr="004D3316">
        <w:rPr>
          <w:szCs w:val="24"/>
        </w:rPr>
        <w:t>30</w:t>
      </w:r>
      <w:r w:rsidRPr="004D3316">
        <w:rPr>
          <w:szCs w:val="24"/>
        </w:rPr>
        <w:t>).  This naiveté may partly explain why more evolutionarily distinct species are more negatively affected by introduced predators (3</w:t>
      </w:r>
      <w:r w:rsidR="003E3A9A" w:rsidRPr="004D3316">
        <w:rPr>
          <w:szCs w:val="24"/>
        </w:rPr>
        <w:t>1</w:t>
      </w:r>
      <w:r w:rsidRPr="004D3316">
        <w:rPr>
          <w:szCs w:val="24"/>
        </w:rPr>
        <w:t>).</w:t>
      </w:r>
    </w:p>
    <w:p w14:paraId="0F7FFD4D" w14:textId="4058C1FE" w:rsidR="00EF6A3D" w:rsidRPr="004D3316" w:rsidRDefault="00EF6A3D" w:rsidP="000A0156">
      <w:pPr>
        <w:spacing w:line="480" w:lineRule="auto"/>
        <w:ind w:firstLine="720"/>
        <w:rPr>
          <w:szCs w:val="24"/>
        </w:rPr>
      </w:pPr>
      <w:r w:rsidRPr="004D3316">
        <w:rPr>
          <w:szCs w:val="24"/>
        </w:rPr>
        <w:t xml:space="preserve">Here we aimed to inform future trophic rewilding projects by identifying general explanations for why some introductions have stronger effects than others on lower trophic levels.  Our approach involved delivering the first meta-analysis of trophic rewilding and identifying the biases in empirical knowledge.  We then compared intentional rewilding studies with those where extinct top-down interactions were restored without having intended to do so.  Finally, we tested how the effects of unintentional rewilding on lower trophic levels varied with factors such as the focal biome, </w:t>
      </w:r>
      <w:r w:rsidR="000A0156">
        <w:rPr>
          <w:szCs w:val="24"/>
        </w:rPr>
        <w:t>time</w:t>
      </w:r>
      <w:r w:rsidRPr="004D3316">
        <w:rPr>
          <w:szCs w:val="24"/>
        </w:rPr>
        <w:t>, and evolutionary history.  Using studies that have synthesised evidence around the factors that determine the strength of trophic cascades (2</w:t>
      </w:r>
      <w:r w:rsidR="003E3A9A" w:rsidRPr="004D3316">
        <w:rPr>
          <w:szCs w:val="24"/>
        </w:rPr>
        <w:t>8</w:t>
      </w:r>
      <w:r w:rsidRPr="004D3316">
        <w:rPr>
          <w:szCs w:val="24"/>
        </w:rPr>
        <w:t>, 3</w:t>
      </w:r>
      <w:r w:rsidR="003E3A9A" w:rsidRPr="004D3316">
        <w:rPr>
          <w:szCs w:val="24"/>
        </w:rPr>
        <w:t>2</w:t>
      </w:r>
      <w:r w:rsidRPr="004D3316">
        <w:rPr>
          <w:szCs w:val="24"/>
        </w:rPr>
        <w:t>), we formulated and tested four hypotheses that predicted unintentional rewilding would have stronger effects when:</w:t>
      </w:r>
    </w:p>
    <w:p w14:paraId="3C2531B0" w14:textId="77777777" w:rsidR="00EF6A3D" w:rsidRPr="004D3316" w:rsidRDefault="00EF6A3D" w:rsidP="00EF6A3D">
      <w:pPr>
        <w:pStyle w:val="ListParagraph"/>
        <w:numPr>
          <w:ilvl w:val="0"/>
          <w:numId w:val="21"/>
        </w:numPr>
        <w:spacing w:line="480" w:lineRule="auto"/>
        <w:contextualSpacing/>
        <w:rPr>
          <w:szCs w:val="24"/>
        </w:rPr>
      </w:pPr>
      <w:r w:rsidRPr="004D3316">
        <w:rPr>
          <w:szCs w:val="24"/>
        </w:rPr>
        <w:t>lower trophic levels had not coevolved with introduced consumers</w:t>
      </w:r>
      <w:r w:rsidR="000B22A4" w:rsidRPr="004D3316">
        <w:rPr>
          <w:szCs w:val="24"/>
        </w:rPr>
        <w:t xml:space="preserve"> or their close relatives</w:t>
      </w:r>
      <w:r w:rsidRPr="004D3316">
        <w:rPr>
          <w:szCs w:val="24"/>
        </w:rPr>
        <w:t>;</w:t>
      </w:r>
    </w:p>
    <w:p w14:paraId="79F0080C" w14:textId="77777777" w:rsidR="00EF6A3D" w:rsidRPr="004D3316" w:rsidRDefault="00EF6A3D" w:rsidP="00EF6A3D">
      <w:pPr>
        <w:pStyle w:val="ListParagraph"/>
        <w:numPr>
          <w:ilvl w:val="0"/>
          <w:numId w:val="21"/>
        </w:numPr>
        <w:spacing w:line="480" w:lineRule="auto"/>
        <w:contextualSpacing/>
        <w:rPr>
          <w:szCs w:val="24"/>
        </w:rPr>
      </w:pPr>
      <w:r w:rsidRPr="004D3316">
        <w:rPr>
          <w:szCs w:val="24"/>
        </w:rPr>
        <w:t xml:space="preserve">introduced consumers were invasive; </w:t>
      </w:r>
    </w:p>
    <w:p w14:paraId="0871AFC5" w14:textId="77777777" w:rsidR="00EF6A3D" w:rsidRPr="004D3316" w:rsidRDefault="00EF6A3D" w:rsidP="00EF6A3D">
      <w:pPr>
        <w:pStyle w:val="ListParagraph"/>
        <w:numPr>
          <w:ilvl w:val="0"/>
          <w:numId w:val="21"/>
        </w:numPr>
        <w:spacing w:line="480" w:lineRule="auto"/>
        <w:contextualSpacing/>
        <w:rPr>
          <w:szCs w:val="24"/>
        </w:rPr>
      </w:pPr>
      <w:r w:rsidRPr="004D3316">
        <w:rPr>
          <w:szCs w:val="24"/>
        </w:rPr>
        <w:lastRenderedPageBreak/>
        <w:t xml:space="preserve">sites had greater productivity and/or energy availability; and </w:t>
      </w:r>
    </w:p>
    <w:p w14:paraId="0C70D257" w14:textId="38038E72" w:rsidR="00EF6A3D" w:rsidRPr="004D3316" w:rsidRDefault="000A0156" w:rsidP="00EF6A3D">
      <w:pPr>
        <w:pStyle w:val="ListParagraph"/>
        <w:numPr>
          <w:ilvl w:val="0"/>
          <w:numId w:val="21"/>
        </w:numPr>
        <w:spacing w:line="480" w:lineRule="auto"/>
        <w:contextualSpacing/>
        <w:rPr>
          <w:szCs w:val="24"/>
        </w:rPr>
      </w:pPr>
      <w:r>
        <w:rPr>
          <w:szCs w:val="24"/>
        </w:rPr>
        <w:t>there was less time for</w:t>
      </w:r>
      <w:r w:rsidR="00EF6A3D" w:rsidRPr="004D3316">
        <w:rPr>
          <w:szCs w:val="24"/>
        </w:rPr>
        <w:t xml:space="preserve"> lower trophic levels </w:t>
      </w:r>
      <w:r>
        <w:rPr>
          <w:szCs w:val="24"/>
        </w:rPr>
        <w:t>to compensate</w:t>
      </w:r>
      <w:r w:rsidR="00EF6A3D" w:rsidRPr="004D3316">
        <w:rPr>
          <w:szCs w:val="24"/>
        </w:rPr>
        <w:t xml:space="preserve"> for introduced consumers.</w:t>
      </w:r>
    </w:p>
    <w:p w14:paraId="5F4208CE" w14:textId="736ED371" w:rsidR="00EF6A3D" w:rsidRPr="004D3316" w:rsidRDefault="00EF6A3D" w:rsidP="00EF6A3D">
      <w:pPr>
        <w:spacing w:line="480" w:lineRule="auto"/>
        <w:ind w:firstLine="720"/>
        <w:rPr>
          <w:szCs w:val="24"/>
          <w:shd w:val="clear" w:color="auto" w:fill="FFFFFF"/>
        </w:rPr>
      </w:pPr>
      <w:r w:rsidRPr="004D3316">
        <w:rPr>
          <w:szCs w:val="24"/>
        </w:rPr>
        <w:t xml:space="preserve">Critically, there is no effect size that </w:t>
      </w:r>
      <w:r w:rsidR="0066590B" w:rsidRPr="004D3316">
        <w:rPr>
          <w:szCs w:val="24"/>
        </w:rPr>
        <w:t xml:space="preserve">defines when trophic rewilding has occurred.  </w:t>
      </w:r>
      <w:r w:rsidRPr="004D3316">
        <w:rPr>
          <w:szCs w:val="24"/>
        </w:rPr>
        <w:t>The effect of trophic rewilding – either unintentional or intentional – should simply be discernible relative to the absence of trophic interactions, allowing us to quantify the associated impacts by drawing on the rich literature comparing areas with and without species introductions.  Moreover, our approach foregoes the difficulties in defining absolute restoration success by comparing unintentional and intentional rewilding studies and then separately trying to understand variation within each of these groups.</w:t>
      </w:r>
    </w:p>
    <w:p w14:paraId="03589F55" w14:textId="77777777" w:rsidR="00EF6A3D" w:rsidRPr="004D3316" w:rsidRDefault="00EF6A3D" w:rsidP="00EF6A3D">
      <w:pPr>
        <w:spacing w:line="480" w:lineRule="auto"/>
        <w:ind w:firstLine="720"/>
        <w:rPr>
          <w:rFonts w:ascii="MyriadPro-Cond" w:hAnsi="MyriadPro-Cond"/>
          <w:szCs w:val="24"/>
        </w:rPr>
      </w:pPr>
    </w:p>
    <w:p w14:paraId="79E520D8" w14:textId="77777777" w:rsidR="00EF6A3D" w:rsidRPr="004D3316" w:rsidRDefault="00EF6A3D" w:rsidP="00EF6A3D">
      <w:pPr>
        <w:spacing w:line="480" w:lineRule="auto"/>
        <w:rPr>
          <w:rFonts w:ascii="MyriadPro-Cond" w:hAnsi="MyriadPro-Cond"/>
          <w:sz w:val="28"/>
          <w:szCs w:val="28"/>
        </w:rPr>
      </w:pPr>
      <w:r w:rsidRPr="004D3316">
        <w:rPr>
          <w:rFonts w:ascii="MyriadPro-Cond" w:hAnsi="MyriadPro-Cond"/>
          <w:sz w:val="28"/>
          <w:szCs w:val="28"/>
          <w:shd w:val="clear" w:color="auto" w:fill="FFFFFF"/>
        </w:rPr>
        <w:t>2. Methods</w:t>
      </w:r>
    </w:p>
    <w:p w14:paraId="6629FBAC" w14:textId="77777777" w:rsidR="00EF6A3D" w:rsidRPr="004D3316" w:rsidRDefault="00EF6A3D" w:rsidP="00EF6A3D">
      <w:pPr>
        <w:spacing w:line="480" w:lineRule="auto"/>
        <w:rPr>
          <w:i/>
          <w:szCs w:val="24"/>
          <w:shd w:val="clear" w:color="auto" w:fill="FFFFFF"/>
        </w:rPr>
      </w:pPr>
      <w:r w:rsidRPr="004D3316">
        <w:rPr>
          <w:i/>
          <w:szCs w:val="24"/>
          <w:shd w:val="clear" w:color="auto" w:fill="FFFFFF"/>
        </w:rPr>
        <w:t>(a) Data assembly</w:t>
      </w:r>
    </w:p>
    <w:p w14:paraId="73A8E367" w14:textId="7DB28564" w:rsidR="00EF6A3D" w:rsidRPr="004D3316" w:rsidRDefault="00EF6A3D" w:rsidP="00EF6A3D">
      <w:pPr>
        <w:spacing w:line="480" w:lineRule="auto"/>
        <w:rPr>
          <w:szCs w:val="24"/>
          <w:shd w:val="clear" w:color="auto" w:fill="FFFFFF"/>
        </w:rPr>
      </w:pPr>
      <w:r w:rsidRPr="004D3316">
        <w:rPr>
          <w:szCs w:val="24"/>
          <w:shd w:val="clear" w:color="auto" w:fill="FFFFFF"/>
        </w:rPr>
        <w:t xml:space="preserve">We used keyword </w:t>
      </w:r>
      <w:r w:rsidRPr="004D3316">
        <w:rPr>
          <w:szCs w:val="24"/>
        </w:rPr>
        <w:t>searches from 18 January to 21 February 2018</w:t>
      </w:r>
      <w:r w:rsidRPr="004D3316">
        <w:rPr>
          <w:szCs w:val="24"/>
          <w:shd w:val="clear" w:color="auto" w:fill="FFFFFF"/>
        </w:rPr>
        <w:t xml:space="preserve"> to identify articles that contained quantitative data on the impacts of (re)introduced primary to tertiary consumers on lower trophic levels.  Search terms focused either on identifying intentional rewilding for restoring trophic interactions or introductions of consumers.  The exact search terms and databases </w:t>
      </w:r>
      <w:r w:rsidRPr="004D3316">
        <w:rPr>
          <w:szCs w:val="24"/>
        </w:rPr>
        <w:t>are given in Text S1.  In total</w:t>
      </w:r>
      <w:r w:rsidRPr="004D3316">
        <w:rPr>
          <w:szCs w:val="24"/>
          <w:shd w:val="clear" w:color="auto" w:fill="FFFFFF"/>
        </w:rPr>
        <w:t xml:space="preserve">, we identified 1,169 relevant papers after duplicates were removed.  </w:t>
      </w:r>
    </w:p>
    <w:p w14:paraId="3128D22B" w14:textId="44B44A89" w:rsidR="00EF6A3D" w:rsidRPr="004D3316" w:rsidRDefault="00393898" w:rsidP="00EF6A3D">
      <w:pPr>
        <w:spacing w:line="480" w:lineRule="auto"/>
        <w:ind w:firstLine="720"/>
        <w:rPr>
          <w:szCs w:val="24"/>
          <w:shd w:val="clear" w:color="auto" w:fill="FFFFFF"/>
        </w:rPr>
      </w:pPr>
      <w:r w:rsidRPr="004D3316">
        <w:rPr>
          <w:szCs w:val="24"/>
          <w:shd w:val="clear" w:color="auto" w:fill="FFFFFF"/>
        </w:rPr>
        <w:t>One of the authors</w:t>
      </w:r>
      <w:r w:rsidR="00EF6A3D" w:rsidRPr="004D3316">
        <w:rPr>
          <w:szCs w:val="24"/>
          <w:shd w:val="clear" w:color="auto" w:fill="FFFFFF"/>
        </w:rPr>
        <w:t xml:space="preserve"> then read the abstract of each paper to identify whether it involved the introduction or reintroduction (hereafter simply ‘introduction’) of a consumer and contained quantitative data on the responses of lower trophic levels to the species introduction.  Typically, this meant that we retained studies that employed animal exclosures or comparisons of invaded vs uninvaded areas/islands and measured the responses of lower trophic levels and soil properties.  </w:t>
      </w:r>
    </w:p>
    <w:p w14:paraId="061376E5" w14:textId="3BB6E109" w:rsidR="00EF6A3D" w:rsidRPr="004D3316" w:rsidRDefault="00EF6A3D" w:rsidP="00EF6A3D">
      <w:pPr>
        <w:spacing w:line="480" w:lineRule="auto"/>
        <w:ind w:firstLine="720"/>
        <w:rPr>
          <w:szCs w:val="24"/>
          <w:shd w:val="clear" w:color="auto" w:fill="FFFFFF"/>
        </w:rPr>
      </w:pPr>
      <w:r w:rsidRPr="004D3316">
        <w:rPr>
          <w:szCs w:val="24"/>
          <w:shd w:val="clear" w:color="auto" w:fill="FFFFFF"/>
        </w:rPr>
        <w:t xml:space="preserve">There were 191 papers remaining after the initial filtering step that we screened to </w:t>
      </w:r>
      <w:r w:rsidRPr="004D3316">
        <w:rPr>
          <w:szCs w:val="24"/>
        </w:rPr>
        <w:t>extract the: (</w:t>
      </w:r>
      <w:r w:rsidRPr="004D3316">
        <w:rPr>
          <w:i/>
          <w:szCs w:val="24"/>
        </w:rPr>
        <w:t>i</w:t>
      </w:r>
      <w:r w:rsidRPr="004D3316">
        <w:rPr>
          <w:szCs w:val="24"/>
        </w:rPr>
        <w:t>) identity and trophic level of the introduced species; (</w:t>
      </w:r>
      <w:r w:rsidRPr="004D3316">
        <w:rPr>
          <w:i/>
          <w:szCs w:val="24"/>
        </w:rPr>
        <w:t>ii</w:t>
      </w:r>
      <w:r w:rsidRPr="004D3316">
        <w:rPr>
          <w:szCs w:val="24"/>
        </w:rPr>
        <w:t>) date of introduction; (</w:t>
      </w:r>
      <w:r w:rsidRPr="004D3316">
        <w:rPr>
          <w:i/>
          <w:szCs w:val="24"/>
        </w:rPr>
        <w:t>iii</w:t>
      </w:r>
      <w:r w:rsidRPr="004D3316">
        <w:rPr>
          <w:szCs w:val="24"/>
        </w:rPr>
        <w:t>) geographic coordinates; (</w:t>
      </w:r>
      <w:r w:rsidRPr="004D3316">
        <w:rPr>
          <w:i/>
          <w:szCs w:val="24"/>
        </w:rPr>
        <w:t>iv</w:t>
      </w:r>
      <w:r w:rsidRPr="004D3316">
        <w:rPr>
          <w:szCs w:val="24"/>
        </w:rPr>
        <w:t>) study biome; (</w:t>
      </w:r>
      <w:r w:rsidRPr="004D3316">
        <w:rPr>
          <w:i/>
          <w:szCs w:val="24"/>
        </w:rPr>
        <w:t>v</w:t>
      </w:r>
      <w:r w:rsidRPr="004D3316">
        <w:rPr>
          <w:szCs w:val="24"/>
        </w:rPr>
        <w:t>) mean, error and sample size associated with responses of lower trophic levels with and without the introduced species; and (</w:t>
      </w:r>
      <w:r w:rsidRPr="004D3316">
        <w:rPr>
          <w:i/>
          <w:szCs w:val="24"/>
        </w:rPr>
        <w:t>vi</w:t>
      </w:r>
      <w:r w:rsidRPr="004D3316">
        <w:rPr>
          <w:szCs w:val="24"/>
        </w:rPr>
        <w:t xml:space="preserve">) time the two treatments have differed in introduction status.  Studies could have measured different responses at the same trophic level, and </w:t>
      </w:r>
      <w:r w:rsidRPr="004D3316">
        <w:rPr>
          <w:szCs w:val="24"/>
        </w:rPr>
        <w:lastRenderedPageBreak/>
        <w:t xml:space="preserve">we collated all responses that were accessible from raw statistics and display items.  Where the same response was measured on different organisms in the same trophic level (e.g. across different plant species), we summed responses and propagated the associated uncertainty into error estimates.  We also differentiated between non-native and native responses, and discarded measurements that reported combining the two groups but did not provide separate values.  For studies measuring responses across different years, we generally took the last time point, whereas we averaged responses across different seasons, always propagating errors.  </w:t>
      </w:r>
      <w:r w:rsidRPr="004D3316">
        <w:rPr>
          <w:szCs w:val="24"/>
          <w:shd w:val="clear" w:color="auto" w:fill="FFFFFF"/>
        </w:rPr>
        <w:t>We excluded temporal comparisons of before and after species introductions</w:t>
      </w:r>
      <w:r w:rsidR="000B22A4" w:rsidRPr="004D3316">
        <w:rPr>
          <w:szCs w:val="24"/>
          <w:shd w:val="clear" w:color="auto" w:fill="FFFFFF"/>
        </w:rPr>
        <w:t>, even when studies employed a BACI design,</w:t>
      </w:r>
      <w:r w:rsidRPr="004D3316">
        <w:rPr>
          <w:szCs w:val="24"/>
          <w:shd w:val="clear" w:color="auto" w:fill="FFFFFF"/>
        </w:rPr>
        <w:t xml:space="preserve"> because differences could be confounded by background successional changes (16).  </w:t>
      </w:r>
    </w:p>
    <w:p w14:paraId="33C4D64E" w14:textId="0C5A3325" w:rsidR="00EF6A3D" w:rsidRPr="004D3316" w:rsidRDefault="00EF6A3D" w:rsidP="00247116">
      <w:pPr>
        <w:spacing w:line="480" w:lineRule="auto"/>
        <w:ind w:firstLine="720"/>
        <w:rPr>
          <w:szCs w:val="24"/>
        </w:rPr>
      </w:pPr>
      <w:r w:rsidRPr="004D3316">
        <w:rPr>
          <w:szCs w:val="24"/>
        </w:rPr>
        <w:t>We then collated lists of Quaternary animal extinctions from published sources (3</w:t>
      </w:r>
      <w:r w:rsidR="003E3A9A" w:rsidRPr="004D3316">
        <w:rPr>
          <w:szCs w:val="24"/>
        </w:rPr>
        <w:t>3</w:t>
      </w:r>
      <w:r w:rsidRPr="004D3316">
        <w:rPr>
          <w:szCs w:val="24"/>
        </w:rPr>
        <w:t>-3</w:t>
      </w:r>
      <w:r w:rsidR="003E3A9A" w:rsidRPr="004D3316">
        <w:rPr>
          <w:szCs w:val="24"/>
        </w:rPr>
        <w:t>6</w:t>
      </w:r>
      <w:r w:rsidRPr="004D3316">
        <w:rPr>
          <w:szCs w:val="24"/>
        </w:rPr>
        <w:t xml:space="preserve">) to identify whether studies could be classed as unintentional rewilding, i.e. introducing a species that acts as an analogue for an extinct functional type without having intended to do so (6).  We classed introduced species as potential analogues for an extinct consumer if they occupied a similar ecological role.  </w:t>
      </w:r>
      <w:r w:rsidR="003B7896" w:rsidRPr="004D3316">
        <w:rPr>
          <w:szCs w:val="24"/>
        </w:rPr>
        <w:t xml:space="preserve">Evidence for similar roles </w:t>
      </w:r>
      <w:r w:rsidR="00323F72" w:rsidRPr="004D3316">
        <w:rPr>
          <w:szCs w:val="24"/>
        </w:rPr>
        <w:t>came from literature searches in Google Scholar for studies on the diet and habitat use of extinct animals, which have been summarised in Table S1.  In practice</w:t>
      </w:r>
      <w:r w:rsidRPr="004D3316">
        <w:rPr>
          <w:szCs w:val="24"/>
        </w:rPr>
        <w:t xml:space="preserve">, this </w:t>
      </w:r>
      <w:r w:rsidR="00323F72" w:rsidRPr="004D3316">
        <w:rPr>
          <w:szCs w:val="24"/>
        </w:rPr>
        <w:t xml:space="preserve">exercise </w:t>
      </w:r>
      <w:r w:rsidRPr="004D3316">
        <w:rPr>
          <w:szCs w:val="24"/>
        </w:rPr>
        <w:t xml:space="preserve">required asking questions such as “do deer fill the role of moa in New Zealand” or “are dingoes like thylacines in Australia”?  We accept that these comparisons are controversial, but we aimed to minimise this by focusing on the trophic interactions that the species introductions provided and their evolutionary history.  </w:t>
      </w:r>
      <w:r w:rsidR="00247116" w:rsidRPr="004D3316">
        <w:rPr>
          <w:szCs w:val="24"/>
        </w:rPr>
        <w:t>Although evolutionary isolation may preclude likening introduced species with extinct animals in some parts of the world, even biotas traditionally considered relicts (e.g. New Zealand) have been recently shown to experience ongoing colonisation (</w:t>
      </w:r>
      <w:r w:rsidR="003E3A9A" w:rsidRPr="004D3316">
        <w:rPr>
          <w:szCs w:val="24"/>
        </w:rPr>
        <w:t>37</w:t>
      </w:r>
      <w:r w:rsidR="00247116" w:rsidRPr="004D3316">
        <w:rPr>
          <w:szCs w:val="24"/>
        </w:rPr>
        <w:t xml:space="preserve">).  </w:t>
      </w:r>
      <w:r w:rsidRPr="004D3316">
        <w:rPr>
          <w:szCs w:val="24"/>
        </w:rPr>
        <w:t>We also used the extinction information to determine whether lower trophic levels might have co-evolved with taxonomically-related species</w:t>
      </w:r>
      <w:r w:rsidR="00BF5580" w:rsidRPr="004D3316">
        <w:rPr>
          <w:szCs w:val="24"/>
        </w:rPr>
        <w:t xml:space="preserve"> to those that were introduced, </w:t>
      </w:r>
      <w:r w:rsidR="004678CB" w:rsidRPr="004D3316">
        <w:rPr>
          <w:szCs w:val="24"/>
        </w:rPr>
        <w:t>e</w:t>
      </w:r>
      <w:r w:rsidR="00BF5580" w:rsidRPr="004D3316">
        <w:rPr>
          <w:szCs w:val="24"/>
        </w:rPr>
        <w:t>.</w:t>
      </w:r>
      <w:r w:rsidR="004678CB" w:rsidRPr="004D3316">
        <w:rPr>
          <w:szCs w:val="24"/>
        </w:rPr>
        <w:t>g</w:t>
      </w:r>
      <w:r w:rsidR="00BF5580" w:rsidRPr="004D3316">
        <w:rPr>
          <w:szCs w:val="24"/>
        </w:rPr>
        <w:t>. same Order</w:t>
      </w:r>
      <w:r w:rsidRPr="004D3316">
        <w:rPr>
          <w:szCs w:val="24"/>
        </w:rPr>
        <w:t>.  In total, 51 papers were included in our final dataset with both quantitative data associated with a species introduction and potential analogues identified (Table S</w:t>
      </w:r>
      <w:r w:rsidR="00323F72" w:rsidRPr="004D3316">
        <w:rPr>
          <w:szCs w:val="24"/>
        </w:rPr>
        <w:t>2</w:t>
      </w:r>
      <w:r w:rsidRPr="004D3316">
        <w:rPr>
          <w:szCs w:val="24"/>
        </w:rPr>
        <w:t>; Data S1).</w:t>
      </w:r>
    </w:p>
    <w:p w14:paraId="215E4122" w14:textId="77777777" w:rsidR="00EF6A3D" w:rsidRPr="004D3316" w:rsidRDefault="00EF6A3D" w:rsidP="00EF6A3D">
      <w:pPr>
        <w:spacing w:line="480" w:lineRule="auto"/>
        <w:rPr>
          <w:i/>
          <w:szCs w:val="24"/>
          <w:shd w:val="clear" w:color="auto" w:fill="FFFFFF"/>
        </w:rPr>
      </w:pPr>
    </w:p>
    <w:p w14:paraId="37F5842D" w14:textId="77777777" w:rsidR="00EF6A3D" w:rsidRPr="004D3316" w:rsidRDefault="00EF6A3D" w:rsidP="00EF6A3D">
      <w:pPr>
        <w:spacing w:line="480" w:lineRule="auto"/>
        <w:rPr>
          <w:i/>
          <w:szCs w:val="24"/>
          <w:shd w:val="clear" w:color="auto" w:fill="FFFFFF"/>
        </w:rPr>
      </w:pPr>
      <w:r w:rsidRPr="004D3316">
        <w:rPr>
          <w:i/>
          <w:szCs w:val="24"/>
          <w:shd w:val="clear" w:color="auto" w:fill="FFFFFF"/>
        </w:rPr>
        <w:lastRenderedPageBreak/>
        <w:t>(b) Effect size calculations</w:t>
      </w:r>
    </w:p>
    <w:p w14:paraId="60DC8F7B" w14:textId="2FAE4BC9" w:rsidR="00EF6A3D" w:rsidRPr="004D3316" w:rsidRDefault="00EF6A3D" w:rsidP="00EF6A3D">
      <w:pPr>
        <w:spacing w:line="480" w:lineRule="auto"/>
        <w:rPr>
          <w:szCs w:val="24"/>
          <w:shd w:val="clear" w:color="auto" w:fill="FFFFFF"/>
        </w:rPr>
      </w:pPr>
      <w:r w:rsidRPr="004D3316">
        <w:rPr>
          <w:szCs w:val="24"/>
          <w:shd w:val="clear" w:color="auto" w:fill="FFFFFF"/>
        </w:rPr>
        <w:t xml:space="preserve">We calculated the effect size associated with each observation </w:t>
      </w:r>
      <w:r w:rsidRPr="004D3316">
        <w:rPr>
          <w:i/>
          <w:szCs w:val="24"/>
          <w:shd w:val="clear" w:color="auto" w:fill="FFFFFF"/>
        </w:rPr>
        <w:t>i</w:t>
      </w:r>
      <w:r w:rsidRPr="004D3316">
        <w:rPr>
          <w:szCs w:val="24"/>
          <w:shd w:val="clear" w:color="auto" w:fill="FFFFFF"/>
        </w:rPr>
        <w:t xml:space="preserve"> </w:t>
      </w:r>
      <w:r w:rsidR="0056303B" w:rsidRPr="004D3316">
        <w:rPr>
          <w:szCs w:val="24"/>
          <w:shd w:val="clear" w:color="auto" w:fill="FFFFFF"/>
        </w:rPr>
        <w:t xml:space="preserve">of each response variable within each study </w:t>
      </w:r>
      <w:r w:rsidRPr="004D3316">
        <w:rPr>
          <w:szCs w:val="24"/>
          <w:shd w:val="clear" w:color="auto" w:fill="FFFFFF"/>
        </w:rPr>
        <w:t xml:space="preserve">using the log response ratio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(3</w:t>
      </w:r>
      <w:r w:rsidR="003E3A9A" w:rsidRPr="004D3316">
        <w:rPr>
          <w:szCs w:val="24"/>
          <w:shd w:val="clear" w:color="auto" w:fill="FFFFFF"/>
        </w:rPr>
        <w:t>8</w:t>
      </w:r>
      <w:r w:rsidRPr="004D3316">
        <w:rPr>
          <w:szCs w:val="24"/>
          <w:shd w:val="clear" w:color="auto" w:fill="FFFFFF"/>
        </w:rPr>
        <w:t xml:space="preserve">).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was equal to the log of the ratio between the mean response with the species introduction and the mean response without the introduction.  Thus, negative </w:t>
      </w:r>
      <w:r w:rsidRPr="004D3316">
        <w:rPr>
          <w:i/>
          <w:szCs w:val="24"/>
          <w:shd w:val="clear" w:color="auto" w:fill="FFFFFF"/>
        </w:rPr>
        <w:t>R</w:t>
      </w:r>
      <w:r w:rsidRPr="004D3316">
        <w:rPr>
          <w:i/>
          <w:szCs w:val="24"/>
          <w:shd w:val="clear" w:color="auto" w:fill="FFFFFF"/>
          <w:vertAlign w:val="subscript"/>
        </w:rPr>
        <w:t>i</w:t>
      </w:r>
      <w:r w:rsidRPr="004D3316">
        <w:rPr>
          <w:i/>
          <w:szCs w:val="24"/>
          <w:shd w:val="clear" w:color="auto" w:fill="FFFFFF"/>
        </w:rPr>
        <w:t xml:space="preserve"> </w:t>
      </w:r>
      <w:r w:rsidRPr="004D3316">
        <w:rPr>
          <w:szCs w:val="24"/>
          <w:shd w:val="clear" w:color="auto" w:fill="FFFFFF"/>
        </w:rPr>
        <w:t>values indicated a reduction in the response due to the species introduction, such as might be expected for the abundance of the next lowest trophic level, whereas positive values indicated an increased response with a species introduction, such as might be expected for the abundance of two trophic levels beneath the introduction due to a trophic cascade.  This interpretation of effects was inappropriate for a handful of responses associated with vigilance time</w:t>
      </w:r>
      <w:r w:rsidR="00BB3A31">
        <w:rPr>
          <w:szCs w:val="24"/>
          <w:shd w:val="clear" w:color="auto" w:fill="FFFFFF"/>
        </w:rPr>
        <w:t>, stress hormones,</w:t>
      </w:r>
      <w:r w:rsidRPr="004D3316">
        <w:rPr>
          <w:szCs w:val="24"/>
          <w:shd w:val="clear" w:color="auto" w:fill="FFFFFF"/>
        </w:rPr>
        <w:t xml:space="preserve"> and </w:t>
      </w:r>
      <w:r w:rsidR="00BB3A31">
        <w:rPr>
          <w:szCs w:val="24"/>
          <w:shd w:val="clear" w:color="auto" w:fill="FFFFFF"/>
        </w:rPr>
        <w:t xml:space="preserve">zoochory </w:t>
      </w:r>
      <w:r w:rsidRPr="004D3316">
        <w:rPr>
          <w:szCs w:val="24"/>
          <w:shd w:val="clear" w:color="auto" w:fill="FFFFFF"/>
        </w:rPr>
        <w:t xml:space="preserve">dispersal </w:t>
      </w:r>
      <w:r w:rsidRPr="004004DE">
        <w:rPr>
          <w:szCs w:val="24"/>
        </w:rPr>
        <w:t>distance (</w:t>
      </w:r>
      <w:r w:rsidRPr="004004DE">
        <w:rPr>
          <w:i/>
          <w:szCs w:val="24"/>
        </w:rPr>
        <w:t>n</w:t>
      </w:r>
      <w:r w:rsidRPr="004004DE">
        <w:rPr>
          <w:szCs w:val="24"/>
        </w:rPr>
        <w:t xml:space="preserve"> = </w:t>
      </w:r>
      <w:r w:rsidR="004004DE" w:rsidRPr="004004DE">
        <w:rPr>
          <w:szCs w:val="24"/>
        </w:rPr>
        <w:t>11 of 158</w:t>
      </w:r>
      <w:r w:rsidRPr="004004DE">
        <w:rPr>
          <w:szCs w:val="24"/>
        </w:rPr>
        <w:t xml:space="preserve"> in our dataset</w:t>
      </w:r>
      <w:r w:rsidRPr="004D3316">
        <w:rPr>
          <w:szCs w:val="24"/>
          <w:shd w:val="clear" w:color="auto" w:fill="FFFFFF"/>
        </w:rPr>
        <w:t xml:space="preserve">).  We took the inverse of the response ratios in these cases to ensure consistency in the direction of effects, i.e. increased response due to species introduction.  Variances </w:t>
      </w:r>
      <w:r w:rsidRPr="004D3316">
        <w:rPr>
          <w:i/>
          <w:szCs w:val="24"/>
          <w:shd w:val="clear" w:color="auto" w:fill="FFFFFF"/>
        </w:rPr>
        <w:t>V</w:t>
      </w:r>
      <w:r w:rsidRPr="004D3316">
        <w:rPr>
          <w:i/>
          <w:szCs w:val="24"/>
          <w:shd w:val="clear" w:color="auto" w:fill="FFFFFF"/>
          <w:vertAlign w:val="subscript"/>
        </w:rPr>
        <w:t>i</w:t>
      </w:r>
      <w:r w:rsidRPr="004D3316">
        <w:rPr>
          <w:szCs w:val="24"/>
          <w:shd w:val="clear" w:color="auto" w:fill="FFFFFF"/>
        </w:rPr>
        <w:t xml:space="preserve"> for each </w:t>
      </w:r>
      <w:r w:rsidRPr="004D3316">
        <w:rPr>
          <w:i/>
          <w:szCs w:val="24"/>
          <w:shd w:val="clear" w:color="auto" w:fill="FFFFFF"/>
        </w:rPr>
        <w:t>R</w:t>
      </w:r>
      <w:r w:rsidRPr="004D3316">
        <w:rPr>
          <w:i/>
          <w:szCs w:val="24"/>
          <w:shd w:val="clear" w:color="auto" w:fill="FFFFFF"/>
          <w:vertAlign w:val="subscript"/>
        </w:rPr>
        <w:t>i</w:t>
      </w:r>
      <w:r w:rsidRPr="004D3316">
        <w:rPr>
          <w:i/>
          <w:szCs w:val="24"/>
          <w:shd w:val="clear" w:color="auto" w:fill="FFFFFF"/>
        </w:rPr>
        <w:t xml:space="preserve"> </w:t>
      </w:r>
      <w:r w:rsidRPr="004D3316">
        <w:rPr>
          <w:szCs w:val="24"/>
          <w:shd w:val="clear" w:color="auto" w:fill="FFFFFF"/>
        </w:rPr>
        <w:t>were calculated by summing the squared standard deviation (SD) divided by product between the sample size and mean response for each treatment after Gurevitch et al. (3</w:t>
      </w:r>
      <w:r w:rsidR="004D3316" w:rsidRPr="004D3316">
        <w:rPr>
          <w:szCs w:val="24"/>
          <w:shd w:val="clear" w:color="auto" w:fill="FFFFFF"/>
        </w:rPr>
        <w:t>8</w:t>
      </w:r>
      <w:r w:rsidRPr="004D3316">
        <w:rPr>
          <w:szCs w:val="24"/>
          <w:shd w:val="clear" w:color="auto" w:fill="FFFFFF"/>
        </w:rPr>
        <w:t>).  For the 3 studies without corresponding error estimates (</w:t>
      </w:r>
      <w:r w:rsidRPr="004D3316">
        <w:rPr>
          <w:i/>
          <w:szCs w:val="24"/>
          <w:shd w:val="clear" w:color="auto" w:fill="FFFFFF"/>
        </w:rPr>
        <w:t>n</w:t>
      </w:r>
      <w:r w:rsidRPr="004D3316">
        <w:rPr>
          <w:szCs w:val="24"/>
          <w:shd w:val="clear" w:color="auto" w:fill="FFFFFF"/>
        </w:rPr>
        <w:t xml:space="preserve"> = 4 response observations), we imputed variances after Hedges and Olkin (3</w:t>
      </w:r>
      <w:r w:rsidR="004D3316" w:rsidRPr="004D3316">
        <w:rPr>
          <w:szCs w:val="24"/>
          <w:shd w:val="clear" w:color="auto" w:fill="FFFFFF"/>
        </w:rPr>
        <w:t>9</w:t>
      </w:r>
      <w:r w:rsidRPr="004D3316">
        <w:rPr>
          <w:szCs w:val="24"/>
          <w:shd w:val="clear" w:color="auto" w:fill="FFFFFF"/>
        </w:rPr>
        <w:t xml:space="preserve">) from </w:t>
      </w:r>
      <w:r w:rsidRPr="004D3316">
        <w:rPr>
          <w:i/>
          <w:szCs w:val="24"/>
          <w:shd w:val="clear" w:color="auto" w:fill="FFFFFF"/>
        </w:rPr>
        <w:t>R</w:t>
      </w:r>
      <w:r w:rsidRPr="004D3316">
        <w:rPr>
          <w:i/>
          <w:szCs w:val="24"/>
          <w:shd w:val="clear" w:color="auto" w:fill="FFFFFF"/>
          <w:vertAlign w:val="subscript"/>
        </w:rPr>
        <w:t>i</w:t>
      </w:r>
      <w:r w:rsidRPr="004D3316">
        <w:rPr>
          <w:i/>
          <w:szCs w:val="24"/>
          <w:shd w:val="clear" w:color="auto" w:fill="FFFFFF"/>
        </w:rPr>
        <w:t xml:space="preserve"> </w:t>
      </w:r>
      <w:r w:rsidRPr="004D3316">
        <w:rPr>
          <w:szCs w:val="24"/>
          <w:shd w:val="clear" w:color="auto" w:fill="FFFFFF"/>
        </w:rPr>
        <w:t>and sample sizes.</w:t>
      </w:r>
    </w:p>
    <w:p w14:paraId="0879596C" w14:textId="77777777" w:rsidR="00EF6A3D" w:rsidRPr="004D3316" w:rsidRDefault="00EF6A3D" w:rsidP="00EF6A3D">
      <w:pPr>
        <w:spacing w:line="480" w:lineRule="auto"/>
        <w:rPr>
          <w:szCs w:val="24"/>
          <w:shd w:val="clear" w:color="auto" w:fill="FFFFFF"/>
        </w:rPr>
      </w:pPr>
    </w:p>
    <w:p w14:paraId="326841C0" w14:textId="77777777" w:rsidR="00EF6A3D" w:rsidRPr="004D3316" w:rsidRDefault="00EF6A3D" w:rsidP="00EF6A3D">
      <w:pPr>
        <w:spacing w:line="480" w:lineRule="auto"/>
        <w:rPr>
          <w:i/>
          <w:szCs w:val="24"/>
          <w:shd w:val="clear" w:color="auto" w:fill="FFFFFF"/>
        </w:rPr>
      </w:pPr>
      <w:r w:rsidRPr="004D3316">
        <w:rPr>
          <w:i/>
          <w:szCs w:val="24"/>
          <w:shd w:val="clear" w:color="auto" w:fill="FFFFFF"/>
        </w:rPr>
        <w:t>(c) Statistical modelling</w:t>
      </w:r>
    </w:p>
    <w:p w14:paraId="53D41512" w14:textId="221E2F21" w:rsidR="004678CB" w:rsidRPr="004D3316" w:rsidRDefault="00EF6A3D" w:rsidP="00C269A6">
      <w:pPr>
        <w:spacing w:line="480" w:lineRule="auto"/>
        <w:rPr>
          <w:szCs w:val="24"/>
          <w:shd w:val="clear" w:color="auto" w:fill="FFFFFF"/>
        </w:rPr>
      </w:pPr>
      <w:r w:rsidRPr="004D3316">
        <w:rPr>
          <w:szCs w:val="24"/>
          <w:shd w:val="clear" w:color="auto" w:fill="FFFFFF"/>
        </w:rPr>
        <w:t xml:space="preserve">We used meta-regression to compare the effects of intentional and unintentional trophic rewilding and test our study hypotheses.  This approach involved assuming that </w:t>
      </w:r>
      <w:r w:rsidRPr="004D3316">
        <w:rPr>
          <w:i/>
          <w:szCs w:val="24"/>
          <w:shd w:val="clear" w:color="auto" w:fill="FFFFFF"/>
        </w:rPr>
        <w:t>R</w:t>
      </w:r>
      <w:r w:rsidRPr="004D3316">
        <w:rPr>
          <w:i/>
          <w:szCs w:val="24"/>
          <w:shd w:val="clear" w:color="auto" w:fill="FFFFFF"/>
          <w:vertAlign w:val="subscript"/>
        </w:rPr>
        <w:t>i</w:t>
      </w:r>
      <w:r w:rsidRPr="004D3316">
        <w:rPr>
          <w:i/>
          <w:szCs w:val="24"/>
          <w:shd w:val="clear" w:color="auto" w:fill="FFFFFF"/>
        </w:rPr>
        <w:t xml:space="preserve"> </w:t>
      </w:r>
      <w:r w:rsidRPr="004D3316">
        <w:rPr>
          <w:szCs w:val="24"/>
          <w:shd w:val="clear" w:color="auto" w:fill="FFFFFF"/>
        </w:rPr>
        <w:t xml:space="preserve">was sampled with error from a normal distribution centred on a “true” but unobserved effect size </w:t>
      </w:r>
      <w:r w:rsidRPr="004D3316">
        <w:rPr>
          <w:i/>
          <w:szCs w:val="24"/>
          <w:shd w:val="clear" w:color="auto" w:fill="FFFFFF"/>
        </w:rPr>
        <w:t>θ</w:t>
      </w:r>
      <w:r w:rsidRPr="004D3316">
        <w:rPr>
          <w:i/>
          <w:szCs w:val="24"/>
          <w:shd w:val="clear" w:color="auto" w:fill="FFFFFF"/>
          <w:vertAlign w:val="subscript"/>
        </w:rPr>
        <w:t>i</w:t>
      </w:r>
      <w:r w:rsidRPr="004D3316">
        <w:rPr>
          <w:szCs w:val="24"/>
          <w:shd w:val="clear" w:color="auto" w:fill="FFFFFF"/>
        </w:rPr>
        <w:t xml:space="preserve"> and SD equal to the square-root of the pooled variances (</w:t>
      </w:r>
      <w:r w:rsidR="004D3316" w:rsidRPr="004D3316">
        <w:rPr>
          <w:szCs w:val="24"/>
          <w:shd w:val="clear" w:color="auto" w:fill="FFFFFF"/>
        </w:rPr>
        <w:t>40</w:t>
      </w:r>
      <w:r w:rsidRPr="004D3316">
        <w:rPr>
          <w:szCs w:val="24"/>
          <w:shd w:val="clear" w:color="auto" w:fill="FFFFFF"/>
        </w:rPr>
        <w:t xml:space="preserve">).  We could then sample </w:t>
      </w:r>
      <w:r w:rsidRPr="004D3316">
        <w:rPr>
          <w:i/>
          <w:szCs w:val="24"/>
          <w:shd w:val="clear" w:color="auto" w:fill="FFFFFF"/>
        </w:rPr>
        <w:t>θ</w:t>
      </w:r>
      <w:r w:rsidRPr="004D3316">
        <w:rPr>
          <w:i/>
          <w:szCs w:val="24"/>
          <w:shd w:val="clear" w:color="auto" w:fill="FFFFFF"/>
          <w:vertAlign w:val="subscript"/>
        </w:rPr>
        <w:t>i</w:t>
      </w:r>
      <w:r w:rsidRPr="004D3316">
        <w:rPr>
          <w:i/>
          <w:szCs w:val="24"/>
          <w:shd w:val="clear" w:color="auto" w:fill="FFFFFF"/>
        </w:rPr>
        <w:t xml:space="preserve"> </w:t>
      </w:r>
      <w:r w:rsidRPr="004D3316">
        <w:rPr>
          <w:szCs w:val="24"/>
          <w:shd w:val="clear" w:color="auto" w:fill="FFFFFF"/>
        </w:rPr>
        <w:t xml:space="preserve">from a normal distribution described by an estimated SD </w:t>
      </w:r>
      <w:r w:rsidRPr="004D3316">
        <w:rPr>
          <w:i/>
          <w:szCs w:val="24"/>
          <w:shd w:val="clear" w:color="auto" w:fill="FFFFFF"/>
        </w:rPr>
        <w:t>σ</w:t>
      </w:r>
      <w:r w:rsidRPr="004D3316">
        <w:rPr>
          <w:szCs w:val="24"/>
          <w:shd w:val="clear" w:color="auto" w:fill="FFFFFF"/>
        </w:rPr>
        <w:t xml:space="preserve"> and estimated mean that we related to our variables of interest.  These variables included</w:t>
      </w:r>
      <w:r w:rsidR="004678CB" w:rsidRPr="004D3316">
        <w:rPr>
          <w:szCs w:val="24"/>
          <w:shd w:val="clear" w:color="auto" w:fill="FFFFFF"/>
        </w:rPr>
        <w:t>:</w:t>
      </w:r>
      <w:r w:rsidRPr="004D3316">
        <w:rPr>
          <w:szCs w:val="24"/>
          <w:shd w:val="clear" w:color="auto" w:fill="FFFFFF"/>
        </w:rPr>
        <w:t xml:space="preserve"> </w:t>
      </w:r>
    </w:p>
    <w:p w14:paraId="27DD4369" w14:textId="34908634" w:rsidR="004678CB" w:rsidRPr="004D3316" w:rsidRDefault="004678CB" w:rsidP="00D46BAE">
      <w:pPr>
        <w:pStyle w:val="ListParagraph"/>
        <w:numPr>
          <w:ilvl w:val="0"/>
          <w:numId w:val="22"/>
        </w:numPr>
        <w:spacing w:line="480" w:lineRule="auto"/>
        <w:rPr>
          <w:szCs w:val="24"/>
          <w:shd w:val="clear" w:color="auto" w:fill="FFFFFF"/>
        </w:rPr>
      </w:pPr>
      <w:r w:rsidRPr="004D3316">
        <w:rPr>
          <w:szCs w:val="24"/>
          <w:shd w:val="clear" w:color="auto" w:fill="FFFFFF"/>
        </w:rPr>
        <w:t>T</w:t>
      </w:r>
      <w:r w:rsidR="00EF6A3D" w:rsidRPr="004D3316">
        <w:rPr>
          <w:szCs w:val="24"/>
          <w:shd w:val="clear" w:color="auto" w:fill="FFFFFF"/>
        </w:rPr>
        <w:t xml:space="preserve">he </w:t>
      </w:r>
      <w:r w:rsidR="00EF6A3D" w:rsidRPr="004D3316">
        <w:rPr>
          <w:i/>
          <w:szCs w:val="24"/>
          <w:shd w:val="clear" w:color="auto" w:fill="FFFFFF"/>
        </w:rPr>
        <w:t>j</w:t>
      </w:r>
      <w:r w:rsidR="00EF6A3D" w:rsidRPr="004D3316">
        <w:rPr>
          <w:szCs w:val="24"/>
          <w:shd w:val="clear" w:color="auto" w:fill="FFFFFF"/>
        </w:rPr>
        <w:t xml:space="preserve"> number of trophic levels between the introduced species and the response </w:t>
      </w:r>
      <w:r w:rsidR="00EF6A3D" w:rsidRPr="004D3316">
        <w:rPr>
          <w:i/>
          <w:szCs w:val="24"/>
          <w:shd w:val="clear" w:color="auto" w:fill="FFFFFF"/>
        </w:rPr>
        <w:t>t</w:t>
      </w:r>
      <w:r w:rsidR="00EF6A3D" w:rsidRPr="004D3316">
        <w:rPr>
          <w:i/>
          <w:szCs w:val="24"/>
          <w:shd w:val="clear" w:color="auto" w:fill="FFFFFF"/>
          <w:vertAlign w:val="subscript"/>
        </w:rPr>
        <w:t>j</w:t>
      </w:r>
      <w:r w:rsidR="00EF6A3D" w:rsidRPr="004D3316">
        <w:rPr>
          <w:szCs w:val="24"/>
          <w:shd w:val="clear" w:color="auto" w:fill="FFFFFF"/>
          <w:vertAlign w:val="subscript"/>
        </w:rPr>
        <w:t>[</w:t>
      </w:r>
      <w:r w:rsidR="00EF6A3D" w:rsidRPr="004D3316">
        <w:rPr>
          <w:i/>
          <w:szCs w:val="24"/>
          <w:shd w:val="clear" w:color="auto" w:fill="FFFFFF"/>
          <w:vertAlign w:val="subscript"/>
        </w:rPr>
        <w:t>i</w:t>
      </w:r>
      <w:r w:rsidR="00EF6A3D" w:rsidRPr="004D3316">
        <w:rPr>
          <w:szCs w:val="24"/>
          <w:shd w:val="clear" w:color="auto" w:fill="FFFFFF"/>
          <w:vertAlign w:val="subscript"/>
        </w:rPr>
        <w:t>]</w:t>
      </w:r>
      <w:r w:rsidR="00EF6A3D" w:rsidRPr="004D3316">
        <w:rPr>
          <w:szCs w:val="24"/>
          <w:shd w:val="clear" w:color="auto" w:fill="FFFFFF"/>
        </w:rPr>
        <w:t xml:space="preserve"> </w:t>
      </w:r>
      <w:r w:rsidR="00EF6A3D" w:rsidRPr="004D3316">
        <w:rPr>
          <w:szCs w:val="24"/>
        </w:rPr>
        <w:t>(either 0, 1, 2 or 3)</w:t>
      </w:r>
      <w:r w:rsidRPr="004D3316">
        <w:rPr>
          <w:szCs w:val="24"/>
          <w:shd w:val="clear" w:color="auto" w:fill="FFFFFF"/>
        </w:rPr>
        <w:t xml:space="preserve">.  For responses that were 0 or 1 trophic level beneath the introduced species, we also considered whether these were indirect interactions rather than direct consumption, such </w:t>
      </w:r>
      <w:r w:rsidRPr="004D3316">
        <w:rPr>
          <w:szCs w:val="24"/>
          <w:shd w:val="clear" w:color="auto" w:fill="FFFFFF"/>
        </w:rPr>
        <w:lastRenderedPageBreak/>
        <w:t xml:space="preserve">as arising from reduced intra-guild competition or changes in bottom-up processes associated with the main cascade (i.e. “knock-on” effects, ref. </w:t>
      </w:r>
      <w:r w:rsidR="004D3316" w:rsidRPr="004D3316">
        <w:rPr>
          <w:szCs w:val="24"/>
          <w:shd w:val="clear" w:color="auto" w:fill="FFFFFF"/>
        </w:rPr>
        <w:t>18</w:t>
      </w:r>
      <w:r w:rsidR="00855646" w:rsidRPr="004D3316">
        <w:rPr>
          <w:szCs w:val="24"/>
          <w:shd w:val="clear" w:color="auto" w:fill="FFFFFF"/>
        </w:rPr>
        <w:t>)</w:t>
      </w:r>
      <w:r w:rsidRPr="004D3316">
        <w:rPr>
          <w:szCs w:val="24"/>
          <w:shd w:val="clear" w:color="auto" w:fill="FFFFFF"/>
        </w:rPr>
        <w:t xml:space="preserve">.  The presence of indirect interactions was denoted by a binary variable </w:t>
      </w:r>
      <w:r w:rsidRPr="004D3316">
        <w:rPr>
          <w:i/>
          <w:szCs w:val="24"/>
        </w:rPr>
        <w:t>n</w:t>
      </w:r>
      <w:r w:rsidRPr="004D3316">
        <w:rPr>
          <w:i/>
          <w:szCs w:val="24"/>
          <w:vertAlign w:val="subscript"/>
        </w:rPr>
        <w:t>i</w:t>
      </w:r>
      <w:r w:rsidRPr="004D3316">
        <w:rPr>
          <w:szCs w:val="24"/>
          <w:shd w:val="clear" w:color="auto" w:fill="FFFFFF"/>
        </w:rPr>
        <w:t xml:space="preserve">.  </w:t>
      </w:r>
    </w:p>
    <w:p w14:paraId="67F7C10D" w14:textId="00CCFFCA" w:rsidR="004678CB" w:rsidRPr="004D3316" w:rsidRDefault="004678CB" w:rsidP="00D46BAE">
      <w:pPr>
        <w:pStyle w:val="ListParagraph"/>
        <w:numPr>
          <w:ilvl w:val="0"/>
          <w:numId w:val="22"/>
        </w:numPr>
        <w:spacing w:line="480" w:lineRule="auto"/>
        <w:rPr>
          <w:szCs w:val="24"/>
          <w:shd w:val="clear" w:color="auto" w:fill="FFFFFF"/>
        </w:rPr>
      </w:pPr>
      <w:r w:rsidRPr="004D3316">
        <w:rPr>
          <w:szCs w:val="24"/>
        </w:rPr>
        <w:t>W</w:t>
      </w:r>
      <w:r w:rsidR="00E70161" w:rsidRPr="004D3316">
        <w:rPr>
          <w:szCs w:val="24"/>
        </w:rPr>
        <w:t>hether the introduced species were exclusively herbivores, carnivores, or omnivores (including if a guild of introduced species spanned herbivores and carnivores)</w:t>
      </w:r>
      <w:r w:rsidR="001C6657" w:rsidRPr="004D3316">
        <w:rPr>
          <w:szCs w:val="24"/>
        </w:rPr>
        <w:t xml:space="preserve"> </w:t>
      </w:r>
      <w:r w:rsidR="001C6657" w:rsidRPr="004D3316">
        <w:rPr>
          <w:i/>
          <w:szCs w:val="24"/>
          <w:shd w:val="clear" w:color="auto" w:fill="FFFFFF"/>
        </w:rPr>
        <w:t>o</w:t>
      </w:r>
      <w:r w:rsidR="001C6657" w:rsidRPr="004D3316">
        <w:rPr>
          <w:i/>
          <w:szCs w:val="24"/>
          <w:shd w:val="clear" w:color="auto" w:fill="FFFFFF"/>
          <w:vertAlign w:val="subscript"/>
        </w:rPr>
        <w:t>j</w:t>
      </w:r>
      <w:r w:rsidR="001C6657" w:rsidRPr="004D3316">
        <w:rPr>
          <w:szCs w:val="24"/>
          <w:shd w:val="clear" w:color="auto" w:fill="FFFFFF"/>
          <w:vertAlign w:val="subscript"/>
        </w:rPr>
        <w:t>[</w:t>
      </w:r>
      <w:r w:rsidR="001C6657" w:rsidRPr="004D3316">
        <w:rPr>
          <w:i/>
          <w:szCs w:val="24"/>
          <w:shd w:val="clear" w:color="auto" w:fill="FFFFFF"/>
          <w:vertAlign w:val="subscript"/>
        </w:rPr>
        <w:t>i</w:t>
      </w:r>
      <w:r w:rsidR="001C6657" w:rsidRPr="004D3316">
        <w:rPr>
          <w:szCs w:val="24"/>
          <w:shd w:val="clear" w:color="auto" w:fill="FFFFFF"/>
          <w:vertAlign w:val="subscript"/>
        </w:rPr>
        <w:t>]</w:t>
      </w:r>
      <w:r w:rsidRPr="004D3316">
        <w:rPr>
          <w:szCs w:val="24"/>
        </w:rPr>
        <w:t>.</w:t>
      </w:r>
      <w:r w:rsidR="00EF6A3D" w:rsidRPr="004D3316">
        <w:rPr>
          <w:szCs w:val="24"/>
          <w:shd w:val="clear" w:color="auto" w:fill="FFFFFF"/>
        </w:rPr>
        <w:t xml:space="preserve"> </w:t>
      </w:r>
    </w:p>
    <w:p w14:paraId="0BC342B1" w14:textId="537DA24D" w:rsidR="004678CB" w:rsidRPr="004D3316" w:rsidRDefault="004678CB" w:rsidP="00D46BAE">
      <w:pPr>
        <w:pStyle w:val="ListParagraph"/>
        <w:numPr>
          <w:ilvl w:val="0"/>
          <w:numId w:val="22"/>
        </w:numPr>
        <w:spacing w:line="480" w:lineRule="auto"/>
        <w:rPr>
          <w:szCs w:val="24"/>
          <w:shd w:val="clear" w:color="auto" w:fill="FFFFFF"/>
        </w:rPr>
      </w:pPr>
      <w:r w:rsidRPr="004D3316">
        <w:rPr>
          <w:szCs w:val="24"/>
          <w:shd w:val="clear" w:color="auto" w:fill="FFFFFF"/>
        </w:rPr>
        <w:t>W</w:t>
      </w:r>
      <w:r w:rsidR="00EF6A3D" w:rsidRPr="004D3316">
        <w:rPr>
          <w:szCs w:val="24"/>
          <w:shd w:val="clear" w:color="auto" w:fill="FFFFFF"/>
        </w:rPr>
        <w:t xml:space="preserve">hether the responses had co-evolved with species from the same Order as those that were introduced </w:t>
      </w:r>
      <w:r w:rsidR="00EF6A3D" w:rsidRPr="004D3316">
        <w:rPr>
          <w:i/>
          <w:szCs w:val="24"/>
          <w:shd w:val="clear" w:color="auto" w:fill="FFFFFF"/>
        </w:rPr>
        <w:t>c</w:t>
      </w:r>
      <w:r w:rsidR="00EF6A3D" w:rsidRPr="004D3316">
        <w:rPr>
          <w:i/>
          <w:szCs w:val="24"/>
          <w:shd w:val="clear" w:color="auto" w:fill="FFFFFF"/>
          <w:vertAlign w:val="subscript"/>
        </w:rPr>
        <w:t>i</w:t>
      </w:r>
      <w:r w:rsidR="00EF6A3D" w:rsidRPr="004D3316">
        <w:rPr>
          <w:szCs w:val="24"/>
          <w:shd w:val="clear" w:color="auto" w:fill="FFFFFF"/>
        </w:rPr>
        <w:t xml:space="preserve"> (binary value) based on our assignment of extinct analogues</w:t>
      </w:r>
      <w:r w:rsidRPr="004D3316">
        <w:rPr>
          <w:szCs w:val="24"/>
          <w:shd w:val="clear" w:color="auto" w:fill="FFFFFF"/>
        </w:rPr>
        <w:t xml:space="preserve">.  We also considered whether responses co-evolved with species from the same Family, even though an analysis at this level risked overlooking suitable comparisons, such as between </w:t>
      </w:r>
      <w:r w:rsidR="006A21D3" w:rsidRPr="004D3316">
        <w:rPr>
          <w:szCs w:val="24"/>
          <w:shd w:val="clear" w:color="auto" w:fill="FFFFFF"/>
        </w:rPr>
        <w:t>N</w:t>
      </w:r>
      <w:r w:rsidRPr="004D3316">
        <w:rPr>
          <w:szCs w:val="24"/>
          <w:shd w:val="clear" w:color="auto" w:fill="FFFFFF"/>
        </w:rPr>
        <w:t xml:space="preserve">ew and </w:t>
      </w:r>
      <w:r w:rsidR="006A21D3" w:rsidRPr="004D3316">
        <w:rPr>
          <w:szCs w:val="24"/>
          <w:shd w:val="clear" w:color="auto" w:fill="FFFFFF"/>
        </w:rPr>
        <w:t>O</w:t>
      </w:r>
      <w:r w:rsidRPr="004D3316">
        <w:rPr>
          <w:szCs w:val="24"/>
          <w:shd w:val="clear" w:color="auto" w:fill="FFFFFF"/>
        </w:rPr>
        <w:t xml:space="preserve">ld </w:t>
      </w:r>
      <w:r w:rsidR="006A21D3" w:rsidRPr="004D3316">
        <w:rPr>
          <w:szCs w:val="24"/>
          <w:shd w:val="clear" w:color="auto" w:fill="FFFFFF"/>
        </w:rPr>
        <w:t>W</w:t>
      </w:r>
      <w:r w:rsidRPr="004D3316">
        <w:rPr>
          <w:szCs w:val="24"/>
          <w:shd w:val="clear" w:color="auto" w:fill="FFFFFF"/>
        </w:rPr>
        <w:t>orld pigs (Tayassuidae vs Suidae, respectively)</w:t>
      </w:r>
    </w:p>
    <w:p w14:paraId="53EFDDBA" w14:textId="72855E45" w:rsidR="004678CB" w:rsidRPr="004D3316" w:rsidRDefault="004678CB" w:rsidP="004D3316">
      <w:pPr>
        <w:pStyle w:val="ListParagraph"/>
        <w:numPr>
          <w:ilvl w:val="0"/>
          <w:numId w:val="22"/>
        </w:numPr>
        <w:spacing w:line="480" w:lineRule="auto"/>
        <w:rPr>
          <w:szCs w:val="24"/>
          <w:shd w:val="clear" w:color="auto" w:fill="FFFFFF"/>
        </w:rPr>
      </w:pPr>
      <w:r w:rsidRPr="004D3316">
        <w:rPr>
          <w:szCs w:val="24"/>
          <w:shd w:val="clear" w:color="auto" w:fill="FFFFFF"/>
        </w:rPr>
        <w:t>W</w:t>
      </w:r>
      <w:r w:rsidR="00EF6A3D" w:rsidRPr="004D3316">
        <w:rPr>
          <w:szCs w:val="24"/>
          <w:shd w:val="clear" w:color="auto" w:fill="FFFFFF"/>
        </w:rPr>
        <w:t xml:space="preserve">hether the introduced species were on the IUCN list of the world’s worst invaders </w:t>
      </w:r>
      <w:r w:rsidR="00EF6A3D" w:rsidRPr="00D46BAE">
        <w:rPr>
          <w:szCs w:val="24"/>
          <w:shd w:val="clear" w:color="auto" w:fill="FFFFFF"/>
        </w:rPr>
        <w:t>(</w:t>
      </w:r>
      <w:hyperlink r:id="rId13" w:history="1">
        <w:r w:rsidR="00B71714" w:rsidRPr="00D46BAE">
          <w:rPr>
            <w:rStyle w:val="Hyperlink"/>
            <w:color w:val="auto"/>
            <w:szCs w:val="24"/>
            <w:u w:val="none"/>
            <w:shd w:val="clear" w:color="auto" w:fill="FFFFFF"/>
          </w:rPr>
          <w:t>http://www.iucngisd.org/gisd/</w:t>
        </w:r>
      </w:hyperlink>
      <w:r w:rsidR="00EF6A3D" w:rsidRPr="00D46BAE">
        <w:rPr>
          <w:shd w:val="clear" w:color="auto" w:fill="FFFFFF"/>
        </w:rPr>
        <w:t>)</w:t>
      </w:r>
      <w:r w:rsidR="00B71714" w:rsidRPr="00D46BAE">
        <w:rPr>
          <w:shd w:val="clear" w:color="auto" w:fill="FFFFFF"/>
        </w:rPr>
        <w:t xml:space="preserve"> or</w:t>
      </w:r>
      <w:r w:rsidR="00EF6A3D" w:rsidRPr="004D3316">
        <w:rPr>
          <w:shd w:val="clear" w:color="auto" w:fill="FFFFFF"/>
        </w:rPr>
        <w:t xml:space="preserve"> </w:t>
      </w:r>
      <w:r w:rsidR="00B71714" w:rsidRPr="004D3316">
        <w:rPr>
          <w:shd w:val="clear" w:color="auto" w:fill="FFFFFF"/>
        </w:rPr>
        <w:t xml:space="preserve">classed as locally invasive </w:t>
      </w:r>
      <w:r w:rsidR="00B71714" w:rsidRPr="004D3316">
        <w:rPr>
          <w:i/>
          <w:shd w:val="clear" w:color="auto" w:fill="FFFFFF"/>
        </w:rPr>
        <w:t>v</w:t>
      </w:r>
      <w:r w:rsidR="00B71714" w:rsidRPr="004D3316">
        <w:rPr>
          <w:i/>
          <w:shd w:val="clear" w:color="auto" w:fill="FFFFFF"/>
          <w:vertAlign w:val="subscript"/>
        </w:rPr>
        <w:t>i</w:t>
      </w:r>
      <w:r w:rsidR="00B71714" w:rsidRPr="004D3316">
        <w:rPr>
          <w:shd w:val="clear" w:color="auto" w:fill="FFFFFF"/>
        </w:rPr>
        <w:t xml:space="preserve"> (binary value) in the associated study.  </w:t>
      </w:r>
      <w:r w:rsidR="009C2398" w:rsidRPr="004D3316">
        <w:rPr>
          <w:shd w:val="clear" w:color="auto" w:fill="FFFFFF"/>
        </w:rPr>
        <w:t>Sometimes the same species could be invasive in one s</w:t>
      </w:r>
      <w:r w:rsidR="00B71714" w:rsidRPr="004D3316">
        <w:rPr>
          <w:shd w:val="clear" w:color="auto" w:fill="FFFFFF"/>
        </w:rPr>
        <w:t>tudy site but not another</w:t>
      </w:r>
      <w:r w:rsidR="009C2398" w:rsidRPr="004D3316">
        <w:rPr>
          <w:shd w:val="clear" w:color="auto" w:fill="FFFFFF"/>
        </w:rPr>
        <w:t xml:space="preserve">.  </w:t>
      </w:r>
    </w:p>
    <w:p w14:paraId="5FC445A8" w14:textId="240EFEFE" w:rsidR="004678CB" w:rsidRPr="004D3316" w:rsidRDefault="004678CB" w:rsidP="004D3316">
      <w:pPr>
        <w:pStyle w:val="ListParagraph"/>
        <w:numPr>
          <w:ilvl w:val="0"/>
          <w:numId w:val="22"/>
        </w:numPr>
        <w:spacing w:line="480" w:lineRule="auto"/>
        <w:rPr>
          <w:szCs w:val="24"/>
          <w:shd w:val="clear" w:color="auto" w:fill="FFFFFF"/>
        </w:rPr>
      </w:pPr>
      <w:r w:rsidRPr="004D3316">
        <w:rPr>
          <w:szCs w:val="24"/>
          <w:shd w:val="clear" w:color="auto" w:fill="FFFFFF"/>
        </w:rPr>
        <w:t>A</w:t>
      </w:r>
      <w:r w:rsidR="00E70161" w:rsidRPr="004D3316">
        <w:rPr>
          <w:szCs w:val="24"/>
        </w:rPr>
        <w:t xml:space="preserve">bsolute latitude </w:t>
      </w:r>
      <w:r w:rsidR="00E70161" w:rsidRPr="004D3316">
        <w:rPr>
          <w:i/>
          <w:szCs w:val="24"/>
        </w:rPr>
        <w:t>u</w:t>
      </w:r>
      <w:r w:rsidR="00E70161" w:rsidRPr="004D3316">
        <w:rPr>
          <w:i/>
          <w:szCs w:val="24"/>
          <w:vertAlign w:val="subscript"/>
        </w:rPr>
        <w:t>i</w:t>
      </w:r>
      <w:r w:rsidR="00E70161" w:rsidRPr="004D3316">
        <w:rPr>
          <w:szCs w:val="24"/>
        </w:rPr>
        <w:t xml:space="preserve"> of the study site</w:t>
      </w:r>
      <w:r w:rsidR="00E24D83" w:rsidRPr="004D3316">
        <w:rPr>
          <w:szCs w:val="24"/>
        </w:rPr>
        <w:t>.</w:t>
      </w:r>
      <w:r w:rsidR="00E70161" w:rsidRPr="004D3316">
        <w:rPr>
          <w:szCs w:val="24"/>
        </w:rPr>
        <w:t xml:space="preserve"> </w:t>
      </w:r>
      <w:r w:rsidR="00E24D83" w:rsidRPr="004D3316">
        <w:rPr>
          <w:szCs w:val="24"/>
        </w:rPr>
        <w:t xml:space="preserve"> W</w:t>
      </w:r>
      <w:r w:rsidR="00E70161" w:rsidRPr="004D3316">
        <w:rPr>
          <w:szCs w:val="24"/>
        </w:rPr>
        <w:t xml:space="preserve">e interpreted sites closer to the poles </w:t>
      </w:r>
      <w:r w:rsidR="00BB3EF5" w:rsidRPr="004D3316">
        <w:rPr>
          <w:szCs w:val="24"/>
        </w:rPr>
        <w:t>as having lower energy</w:t>
      </w:r>
      <w:r w:rsidR="00E70161" w:rsidRPr="004D3316">
        <w:rPr>
          <w:szCs w:val="24"/>
        </w:rPr>
        <w:t xml:space="preserve"> (</w:t>
      </w:r>
      <w:r w:rsidR="004D3316">
        <w:rPr>
          <w:szCs w:val="24"/>
        </w:rPr>
        <w:t>41</w:t>
      </w:r>
      <w:r w:rsidRPr="004D3316">
        <w:rPr>
          <w:szCs w:val="24"/>
        </w:rPr>
        <w:t>).</w:t>
      </w:r>
    </w:p>
    <w:p w14:paraId="38D001B5" w14:textId="33DB5BA6" w:rsidR="004678CB" w:rsidRPr="004D3316" w:rsidRDefault="00E24D83" w:rsidP="004D3316">
      <w:pPr>
        <w:pStyle w:val="ListParagraph"/>
        <w:numPr>
          <w:ilvl w:val="0"/>
          <w:numId w:val="22"/>
        </w:numPr>
        <w:spacing w:line="480" w:lineRule="auto"/>
        <w:rPr>
          <w:szCs w:val="24"/>
          <w:shd w:val="clear" w:color="auto" w:fill="FFFFFF"/>
        </w:rPr>
      </w:pPr>
      <w:r w:rsidRPr="004D3316">
        <w:rPr>
          <w:szCs w:val="24"/>
        </w:rPr>
        <w:t>N</w:t>
      </w:r>
      <w:r w:rsidR="00E70161" w:rsidRPr="004D3316">
        <w:rPr>
          <w:szCs w:val="24"/>
        </w:rPr>
        <w:t>et primary productivity</w:t>
      </w:r>
      <w:r w:rsidR="001900BF" w:rsidRPr="004D3316">
        <w:rPr>
          <w:szCs w:val="24"/>
        </w:rPr>
        <w:t xml:space="preserve"> (NPP)</w:t>
      </w:r>
      <w:r w:rsidR="00E70161" w:rsidRPr="004D3316">
        <w:rPr>
          <w:szCs w:val="24"/>
        </w:rPr>
        <w:t xml:space="preserve"> </w:t>
      </w:r>
      <w:r w:rsidR="001C6657" w:rsidRPr="004D3316">
        <w:rPr>
          <w:i/>
          <w:szCs w:val="24"/>
        </w:rPr>
        <w:t>p</w:t>
      </w:r>
      <w:r w:rsidR="001C6657" w:rsidRPr="004D3316">
        <w:rPr>
          <w:i/>
          <w:szCs w:val="24"/>
          <w:vertAlign w:val="subscript"/>
        </w:rPr>
        <w:t>i</w:t>
      </w:r>
      <w:r w:rsidR="001C6657" w:rsidRPr="004D3316">
        <w:rPr>
          <w:szCs w:val="24"/>
        </w:rPr>
        <w:t xml:space="preserve"> </w:t>
      </w:r>
      <w:r w:rsidR="00E70161" w:rsidRPr="004D3316">
        <w:rPr>
          <w:szCs w:val="24"/>
        </w:rPr>
        <w:t>extracted from the corresponding 0.25’ × 0.25’ grid cell wherein each site was located (</w:t>
      </w:r>
      <w:r w:rsidR="004D3316">
        <w:rPr>
          <w:szCs w:val="24"/>
        </w:rPr>
        <w:t>42</w:t>
      </w:r>
      <w:r w:rsidR="001900BF" w:rsidRPr="004D3316">
        <w:rPr>
          <w:szCs w:val="24"/>
        </w:rPr>
        <w:t>).</w:t>
      </w:r>
      <w:r w:rsidR="00E70161" w:rsidRPr="004D3316">
        <w:rPr>
          <w:szCs w:val="24"/>
        </w:rPr>
        <w:t xml:space="preserve"> </w:t>
      </w:r>
    </w:p>
    <w:p w14:paraId="4ED00361" w14:textId="3E9A10FB" w:rsidR="004678CB" w:rsidRPr="004D3316" w:rsidRDefault="00E24D83" w:rsidP="004D3316">
      <w:pPr>
        <w:pStyle w:val="ListParagraph"/>
        <w:numPr>
          <w:ilvl w:val="0"/>
          <w:numId w:val="22"/>
        </w:numPr>
        <w:spacing w:line="480" w:lineRule="auto"/>
        <w:rPr>
          <w:szCs w:val="24"/>
          <w:shd w:val="clear" w:color="auto" w:fill="FFFFFF"/>
        </w:rPr>
      </w:pPr>
      <w:r w:rsidRPr="004D3316">
        <w:rPr>
          <w:szCs w:val="24"/>
        </w:rPr>
        <w:t>L</w:t>
      </w:r>
      <w:r w:rsidR="00E70161" w:rsidRPr="004D3316">
        <w:rPr>
          <w:szCs w:val="24"/>
        </w:rPr>
        <w:t>og study</w:t>
      </w:r>
      <w:r w:rsidR="00E70161" w:rsidRPr="004D3316">
        <w:rPr>
          <w:szCs w:val="24"/>
          <w:shd w:val="clear" w:color="auto" w:fill="FFFFFF"/>
        </w:rPr>
        <w:t xml:space="preserve"> duration </w:t>
      </w:r>
      <w:r w:rsidR="00E70161" w:rsidRPr="004D3316">
        <w:rPr>
          <w:i/>
          <w:szCs w:val="24"/>
          <w:shd w:val="clear" w:color="auto" w:fill="FFFFFF"/>
        </w:rPr>
        <w:t>d</w:t>
      </w:r>
      <w:r w:rsidR="00E70161" w:rsidRPr="004D3316">
        <w:rPr>
          <w:i/>
          <w:szCs w:val="24"/>
          <w:shd w:val="clear" w:color="auto" w:fill="FFFFFF"/>
          <w:vertAlign w:val="subscript"/>
        </w:rPr>
        <w:t>i</w:t>
      </w:r>
      <w:r w:rsidR="000A0156">
        <w:rPr>
          <w:szCs w:val="24"/>
          <w:shd w:val="clear" w:color="auto" w:fill="FFFFFF"/>
        </w:rPr>
        <w:t>, which assessed the time that the two treatments have differed in introduction status.</w:t>
      </w:r>
      <w:r w:rsidR="00E70161" w:rsidRPr="004D3316">
        <w:rPr>
          <w:szCs w:val="24"/>
          <w:shd w:val="clear" w:color="auto" w:fill="FFFFFF"/>
        </w:rPr>
        <w:t xml:space="preserve">  </w:t>
      </w:r>
    </w:p>
    <w:p w14:paraId="64AF4175" w14:textId="57F686BE" w:rsidR="00EF6A3D" w:rsidRPr="004D3316" w:rsidRDefault="00EF6A3D" w:rsidP="004678CB">
      <w:pPr>
        <w:spacing w:line="480" w:lineRule="auto"/>
        <w:rPr>
          <w:szCs w:val="24"/>
          <w:shd w:val="clear" w:color="auto" w:fill="FFFFFF"/>
        </w:rPr>
      </w:pPr>
      <w:r w:rsidRPr="004D3316">
        <w:rPr>
          <w:shd w:val="clear" w:color="auto" w:fill="FFFFFF"/>
        </w:rPr>
        <w:t xml:space="preserve">We </w:t>
      </w:r>
      <w:r w:rsidRPr="004D3316">
        <w:rPr>
          <w:szCs w:val="24"/>
          <w:shd w:val="clear" w:color="auto" w:fill="FFFFFF"/>
        </w:rPr>
        <w:t xml:space="preserve">also accounted for variation </w:t>
      </w:r>
      <w:r w:rsidR="00C269A6" w:rsidRPr="004D3316">
        <w:rPr>
          <w:szCs w:val="24"/>
          <w:shd w:val="clear" w:color="auto" w:fill="FFFFFF"/>
        </w:rPr>
        <w:t xml:space="preserve">in effect sizes from repeatedly observing </w:t>
      </w:r>
      <w:r w:rsidRPr="004D3316">
        <w:rPr>
          <w:szCs w:val="24"/>
          <w:shd w:val="clear" w:color="auto" w:fill="FFFFFF"/>
        </w:rPr>
        <w:t>the</w:t>
      </w:r>
      <w:r w:rsidR="00C269A6" w:rsidRPr="004D3316">
        <w:rPr>
          <w:szCs w:val="24"/>
          <w:shd w:val="clear" w:color="auto" w:fill="FFFFFF"/>
        </w:rPr>
        <w:t xml:space="preserve"> same</w:t>
      </w:r>
      <w:r w:rsidRPr="004D3316">
        <w:rPr>
          <w:szCs w:val="24"/>
          <w:shd w:val="clear" w:color="auto" w:fill="FFFFFF"/>
        </w:rPr>
        <w:t xml:space="preserve"> </w:t>
      </w:r>
      <w:r w:rsidRPr="004D3316">
        <w:rPr>
          <w:i/>
          <w:szCs w:val="24"/>
          <w:shd w:val="clear" w:color="auto" w:fill="FFFFFF"/>
        </w:rPr>
        <w:t>k</w:t>
      </w:r>
      <w:r w:rsidRPr="004D3316">
        <w:rPr>
          <w:szCs w:val="24"/>
          <w:shd w:val="clear" w:color="auto" w:fill="FFFFFF"/>
        </w:rPr>
        <w:t xml:space="preserve"> studies </w:t>
      </w:r>
      <w:r w:rsidRPr="004D3316">
        <w:rPr>
          <w:i/>
          <w:szCs w:val="24"/>
          <w:shd w:val="clear" w:color="auto" w:fill="FFFFFF"/>
        </w:rPr>
        <w:t>s</w:t>
      </w:r>
      <w:r w:rsidRPr="004D3316">
        <w:rPr>
          <w:i/>
          <w:szCs w:val="24"/>
          <w:shd w:val="clear" w:color="auto" w:fill="FFFFFF"/>
          <w:vertAlign w:val="subscript"/>
        </w:rPr>
        <w:t>k</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00C269A6" w:rsidRPr="004D3316">
        <w:rPr>
          <w:szCs w:val="24"/>
          <w:shd w:val="clear" w:color="auto" w:fill="FFFFFF"/>
        </w:rPr>
        <w:t xml:space="preserve"> and</w:t>
      </w:r>
      <w:r w:rsidRPr="004D3316">
        <w:rPr>
          <w:szCs w:val="24"/>
          <w:shd w:val="clear" w:color="auto" w:fill="FFFFFF"/>
        </w:rPr>
        <w:t xml:space="preserve"> </w:t>
      </w:r>
      <w:r w:rsidRPr="004D3316">
        <w:rPr>
          <w:i/>
          <w:szCs w:val="24"/>
          <w:shd w:val="clear" w:color="auto" w:fill="FFFFFF"/>
        </w:rPr>
        <w:t>l</w:t>
      </w:r>
      <w:r w:rsidRPr="004D3316">
        <w:rPr>
          <w:szCs w:val="24"/>
          <w:shd w:val="clear" w:color="auto" w:fill="FFFFFF"/>
        </w:rPr>
        <w:t xml:space="preserve"> study biomes </w:t>
      </w:r>
      <w:r w:rsidRPr="004D3316">
        <w:rPr>
          <w:i/>
          <w:szCs w:val="24"/>
          <w:shd w:val="clear" w:color="auto" w:fill="FFFFFF"/>
        </w:rPr>
        <w:t>b</w:t>
      </w:r>
      <w:r w:rsidRPr="004D3316">
        <w:rPr>
          <w:i/>
          <w:szCs w:val="24"/>
          <w:shd w:val="clear" w:color="auto" w:fill="FFFFFF"/>
          <w:vertAlign w:val="subscript"/>
        </w:rPr>
        <w:t>l</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00C269A6" w:rsidRPr="004D3316">
        <w:rPr>
          <w:szCs w:val="24"/>
          <w:shd w:val="clear" w:color="auto" w:fill="FFFFFF"/>
        </w:rPr>
        <w:t xml:space="preserve">, some of which were overly represented in the dataset.  </w:t>
      </w:r>
      <w:r w:rsidR="004678CB" w:rsidRPr="004D3316">
        <w:rPr>
          <w:szCs w:val="24"/>
          <w:shd w:val="clear" w:color="auto" w:fill="FFFFFF"/>
        </w:rPr>
        <w:t>Finally, w</w:t>
      </w:r>
      <w:r w:rsidR="00C269A6" w:rsidRPr="004D3316">
        <w:rPr>
          <w:szCs w:val="24"/>
          <w:shd w:val="clear" w:color="auto" w:fill="FFFFFF"/>
        </w:rPr>
        <w:t>e accounted for random variation among the</w:t>
      </w:r>
      <w:r w:rsidRPr="004D3316">
        <w:rPr>
          <w:szCs w:val="24"/>
          <w:shd w:val="clear" w:color="auto" w:fill="FFFFFF"/>
        </w:rPr>
        <w:t xml:space="preserve"> </w:t>
      </w:r>
      <w:r w:rsidRPr="004D3316">
        <w:rPr>
          <w:i/>
          <w:szCs w:val="24"/>
          <w:shd w:val="clear" w:color="auto" w:fill="FFFFFF"/>
        </w:rPr>
        <w:t xml:space="preserve">m </w:t>
      </w:r>
      <w:r w:rsidRPr="004D3316">
        <w:rPr>
          <w:szCs w:val="24"/>
          <w:shd w:val="clear" w:color="auto" w:fill="FFFFFF"/>
        </w:rPr>
        <w:t xml:space="preserve">types of response measurements </w:t>
      </w:r>
      <w:r w:rsidRPr="004D3316">
        <w:rPr>
          <w:i/>
          <w:szCs w:val="24"/>
          <w:shd w:val="clear" w:color="auto" w:fill="FFFFFF"/>
        </w:rPr>
        <w:t>r</w:t>
      </w:r>
      <w:r w:rsidRPr="004D3316">
        <w:rPr>
          <w:i/>
          <w:szCs w:val="24"/>
          <w:shd w:val="clear" w:color="auto" w:fill="FFFFFF"/>
          <w:vertAlign w:val="subscript"/>
        </w:rPr>
        <w:t>m</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Pr="004D3316">
        <w:rPr>
          <w:szCs w:val="24"/>
          <w:shd w:val="clear" w:color="auto" w:fill="FFFFFF"/>
        </w:rPr>
        <w:t xml:space="preserve"> that were categorised as related to either biomass, life history (e.g. reproduction, dispersal, survival), behaviour (e.g. feeding and escape rates), </w:t>
      </w:r>
      <w:r w:rsidR="00E357A9" w:rsidRPr="004D3316">
        <w:rPr>
          <w:szCs w:val="24"/>
          <w:shd w:val="clear" w:color="auto" w:fill="FFFFFF"/>
        </w:rPr>
        <w:t xml:space="preserve">species richness, </w:t>
      </w:r>
      <w:r w:rsidRPr="004D3316">
        <w:rPr>
          <w:szCs w:val="24"/>
          <w:shd w:val="clear" w:color="auto" w:fill="FFFFFF"/>
        </w:rPr>
        <w:t>or ecosystem processes and services.</w:t>
      </w:r>
      <w:r w:rsidR="00E357A9" w:rsidRPr="004D3316">
        <w:rPr>
          <w:szCs w:val="24"/>
          <w:shd w:val="clear" w:color="auto" w:fill="FFFFFF"/>
        </w:rPr>
        <w:t xml:space="preserve">  The importance of top-down trophic interactions f</w:t>
      </w:r>
      <w:r w:rsidR="00C269A6" w:rsidRPr="004D3316">
        <w:rPr>
          <w:szCs w:val="24"/>
          <w:shd w:val="clear" w:color="auto" w:fill="FFFFFF"/>
        </w:rPr>
        <w:t>or the latter two responses has</w:t>
      </w:r>
      <w:r w:rsidR="00E357A9" w:rsidRPr="004D3316">
        <w:rPr>
          <w:szCs w:val="24"/>
          <w:shd w:val="clear" w:color="auto" w:fill="FFFFFF"/>
        </w:rPr>
        <w:t xml:space="preserve"> only recently been appreciated (7, 4</w:t>
      </w:r>
      <w:r w:rsidR="004D3316">
        <w:rPr>
          <w:szCs w:val="24"/>
          <w:shd w:val="clear" w:color="auto" w:fill="FFFFFF"/>
        </w:rPr>
        <w:t>3</w:t>
      </w:r>
      <w:r w:rsidR="00E357A9" w:rsidRPr="004D3316">
        <w:rPr>
          <w:szCs w:val="24"/>
          <w:shd w:val="clear" w:color="auto" w:fill="FFFFFF"/>
        </w:rPr>
        <w:t>).</w:t>
      </w:r>
      <w:r w:rsidR="00BB3A31">
        <w:rPr>
          <w:szCs w:val="24"/>
          <w:shd w:val="clear" w:color="auto" w:fill="FFFFFF"/>
        </w:rPr>
        <w:t xml:space="preserve">  </w:t>
      </w:r>
      <w:r w:rsidR="00BB3A31">
        <w:rPr>
          <w:szCs w:val="24"/>
          <w:shd w:val="clear" w:color="auto" w:fill="FFFFFF"/>
        </w:rPr>
        <w:lastRenderedPageBreak/>
        <w:t xml:space="preserve">Moreover, </w:t>
      </w:r>
      <w:r w:rsidR="00BB3A31" w:rsidRPr="004D3316">
        <w:rPr>
          <w:i/>
          <w:szCs w:val="24"/>
          <w:shd w:val="clear" w:color="auto" w:fill="FFFFFF"/>
        </w:rPr>
        <w:t>r</w:t>
      </w:r>
      <w:r w:rsidR="00BB3A31" w:rsidRPr="004D3316">
        <w:rPr>
          <w:i/>
          <w:szCs w:val="24"/>
          <w:shd w:val="clear" w:color="auto" w:fill="FFFFFF"/>
          <w:vertAlign w:val="subscript"/>
        </w:rPr>
        <w:t>m</w:t>
      </w:r>
      <w:r w:rsidR="00BB3A31" w:rsidRPr="004D3316">
        <w:rPr>
          <w:szCs w:val="24"/>
          <w:shd w:val="clear" w:color="auto" w:fill="FFFFFF"/>
          <w:vertAlign w:val="subscript"/>
        </w:rPr>
        <w:t>[</w:t>
      </w:r>
      <w:r w:rsidR="00BB3A31" w:rsidRPr="004D3316">
        <w:rPr>
          <w:i/>
          <w:szCs w:val="24"/>
          <w:shd w:val="clear" w:color="auto" w:fill="FFFFFF"/>
          <w:vertAlign w:val="subscript"/>
        </w:rPr>
        <w:t>i</w:t>
      </w:r>
      <w:r w:rsidR="00BB3A31" w:rsidRPr="004D3316">
        <w:rPr>
          <w:szCs w:val="24"/>
          <w:shd w:val="clear" w:color="auto" w:fill="FFFFFF"/>
          <w:vertAlign w:val="subscript"/>
        </w:rPr>
        <w:t>]</w:t>
      </w:r>
      <w:r w:rsidR="00BB3A31" w:rsidRPr="004D3316">
        <w:rPr>
          <w:szCs w:val="24"/>
          <w:shd w:val="clear" w:color="auto" w:fill="FFFFFF"/>
        </w:rPr>
        <w:t xml:space="preserve"> </w:t>
      </w:r>
      <w:r w:rsidR="00BB3A31">
        <w:rPr>
          <w:szCs w:val="24"/>
          <w:shd w:val="clear" w:color="auto" w:fill="FFFFFF"/>
        </w:rPr>
        <w:t>allowed some response types to show opposite effects from those of biomass, such as if herbivory and predation increased richness of lower trophic levels.</w:t>
      </w:r>
    </w:p>
    <w:p w14:paraId="326F161F" w14:textId="77777777" w:rsidR="00EF6A3D" w:rsidRPr="004D3316" w:rsidRDefault="00EF6A3D" w:rsidP="00EF6A3D">
      <w:pPr>
        <w:spacing w:line="480" w:lineRule="auto"/>
        <w:rPr>
          <w:szCs w:val="24"/>
          <w:shd w:val="clear" w:color="auto" w:fill="FFFFFF"/>
        </w:rPr>
      </w:pPr>
      <w:r w:rsidRPr="004D3316">
        <w:rPr>
          <w:szCs w:val="24"/>
          <w:shd w:val="clear" w:color="auto" w:fill="FFFFFF"/>
        </w:rPr>
        <w:tab/>
        <w:t xml:space="preserve">We expected different signs for the effects associated with the number of trophic levels between the introduced species and the response </w:t>
      </w:r>
      <w:r w:rsidRPr="004D3316">
        <w:rPr>
          <w:i/>
          <w:szCs w:val="24"/>
          <w:shd w:val="clear" w:color="auto" w:fill="FFFFFF"/>
        </w:rPr>
        <w:t>t</w:t>
      </w:r>
      <w:r w:rsidRPr="004D3316">
        <w:rPr>
          <w:i/>
          <w:szCs w:val="24"/>
          <w:shd w:val="clear" w:color="auto" w:fill="FFFFFF"/>
          <w:vertAlign w:val="subscript"/>
        </w:rPr>
        <w:t>j</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Pr="004D3316">
        <w:rPr>
          <w:szCs w:val="24"/>
          <w:shd w:val="clear" w:color="auto" w:fill="FFFFFF"/>
        </w:rPr>
        <w:t xml:space="preserve">.  This expectation comes from trophic cascade theory because consumers should reduce the next lowest trophic level in the food web (i.e. negative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with </w:t>
      </w:r>
      <w:r w:rsidRPr="004D3316">
        <w:rPr>
          <w:i/>
          <w:szCs w:val="24"/>
          <w:shd w:val="clear" w:color="auto" w:fill="FFFFFF"/>
        </w:rPr>
        <w:t>t</w:t>
      </w:r>
      <w:r w:rsidRPr="004D3316">
        <w:rPr>
          <w:szCs w:val="24"/>
          <w:shd w:val="clear" w:color="auto" w:fill="FFFFFF"/>
          <w:vertAlign w:val="subscript"/>
        </w:rPr>
        <w:t>1</w:t>
      </w:r>
      <w:r w:rsidRPr="004D3316">
        <w:rPr>
          <w:szCs w:val="24"/>
          <w:shd w:val="clear" w:color="auto" w:fill="FFFFFF"/>
        </w:rPr>
        <w:t xml:space="preserve">) and release two trophic levels down from predation (i.e. positive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with </w:t>
      </w:r>
      <w:r w:rsidRPr="004D3316">
        <w:rPr>
          <w:i/>
          <w:szCs w:val="24"/>
          <w:shd w:val="clear" w:color="auto" w:fill="FFFFFF"/>
        </w:rPr>
        <w:t>t</w:t>
      </w:r>
      <w:r w:rsidRPr="004D3316">
        <w:rPr>
          <w:szCs w:val="24"/>
          <w:shd w:val="clear" w:color="auto" w:fill="FFFFFF"/>
          <w:vertAlign w:val="subscript"/>
        </w:rPr>
        <w:t>2</w:t>
      </w:r>
      <w:r w:rsidRPr="004D3316">
        <w:rPr>
          <w:szCs w:val="24"/>
          <w:shd w:val="clear" w:color="auto" w:fill="FFFFFF"/>
        </w:rPr>
        <w:t xml:space="preserve">).  Any predictor of trophic interactions should subsequently maintain the different signs of the </w:t>
      </w:r>
      <w:r w:rsidRPr="004D3316">
        <w:rPr>
          <w:i/>
          <w:szCs w:val="24"/>
          <w:shd w:val="clear" w:color="auto" w:fill="FFFFFF"/>
        </w:rPr>
        <w:t>t</w:t>
      </w:r>
      <w:r w:rsidRPr="004D3316">
        <w:rPr>
          <w:i/>
          <w:szCs w:val="24"/>
          <w:shd w:val="clear" w:color="auto" w:fill="FFFFFF"/>
          <w:vertAlign w:val="subscript"/>
        </w:rPr>
        <w:t>j</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Pr="004D3316">
        <w:rPr>
          <w:szCs w:val="24"/>
          <w:shd w:val="clear" w:color="auto" w:fill="FFFFFF"/>
        </w:rPr>
        <w:t xml:space="preserve"> categories either by dampening or heightening their effects on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For example, shorter studies might increase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when the introduced consumer is one trophic level above the response and decrease</w:t>
      </w:r>
      <w:r w:rsidRPr="004D3316">
        <w:rPr>
          <w:i/>
          <w:szCs w:val="24"/>
          <w:shd w:val="clear" w:color="auto" w:fill="FFFFFF"/>
        </w:rPr>
        <w:t xml:space="preserve"> R</w:t>
      </w:r>
      <w:r w:rsidRPr="004D3316">
        <w:rPr>
          <w:i/>
          <w:szCs w:val="24"/>
          <w:shd w:val="clear" w:color="auto" w:fill="FFFFFF"/>
          <w:vertAlign w:val="subscript"/>
        </w:rPr>
        <w:t>i</w:t>
      </w:r>
      <w:r w:rsidRPr="004D3316">
        <w:rPr>
          <w:szCs w:val="24"/>
          <w:shd w:val="clear" w:color="auto" w:fill="FFFFFF"/>
        </w:rPr>
        <w:t xml:space="preserve"> when it is two trophic levels higher, rather than always changing the effect of </w:t>
      </w:r>
      <w:r w:rsidRPr="004D3316">
        <w:rPr>
          <w:i/>
          <w:szCs w:val="24"/>
          <w:shd w:val="clear" w:color="auto" w:fill="FFFFFF"/>
        </w:rPr>
        <w:t>t</w:t>
      </w:r>
      <w:r w:rsidRPr="004D3316">
        <w:rPr>
          <w:i/>
          <w:szCs w:val="24"/>
          <w:shd w:val="clear" w:color="auto" w:fill="FFFFFF"/>
          <w:vertAlign w:val="subscript"/>
        </w:rPr>
        <w:t>j</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Pr="004D3316">
        <w:rPr>
          <w:szCs w:val="24"/>
          <w:shd w:val="clear" w:color="auto" w:fill="FFFFFF"/>
        </w:rPr>
        <w:t xml:space="preserve"> on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by the same amount, i.e. additively.  To estimate a single effect for each level of </w:t>
      </w:r>
      <w:r w:rsidRPr="004D3316">
        <w:rPr>
          <w:i/>
          <w:szCs w:val="24"/>
          <w:shd w:val="clear" w:color="auto" w:fill="FFFFFF"/>
        </w:rPr>
        <w:t>t</w:t>
      </w:r>
      <w:r w:rsidRPr="004D3316">
        <w:rPr>
          <w:i/>
          <w:szCs w:val="24"/>
          <w:shd w:val="clear" w:color="auto" w:fill="FFFFFF"/>
          <w:vertAlign w:val="subscript"/>
        </w:rPr>
        <w:t>j</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Pr="004D3316">
        <w:rPr>
          <w:szCs w:val="24"/>
          <w:shd w:val="clear" w:color="auto" w:fill="FFFFFF"/>
        </w:rPr>
        <w:t xml:space="preserve"> on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that could vary with different predictors while keeping the same sign, we scaled interactions proportionally on an exponential scale.  We also varied </w:t>
      </w:r>
      <w:r w:rsidRPr="004D3316">
        <w:rPr>
          <w:i/>
          <w:szCs w:val="24"/>
          <w:shd w:val="clear" w:color="auto" w:fill="FFFFFF"/>
        </w:rPr>
        <w:t>R</w:t>
      </w:r>
      <w:r w:rsidRPr="004D3316">
        <w:rPr>
          <w:i/>
          <w:szCs w:val="24"/>
          <w:shd w:val="clear" w:color="auto" w:fill="FFFFFF"/>
          <w:vertAlign w:val="subscript"/>
        </w:rPr>
        <w:t>i</w:t>
      </w:r>
      <w:r w:rsidRPr="004D3316">
        <w:rPr>
          <w:i/>
          <w:szCs w:val="24"/>
          <w:shd w:val="clear" w:color="auto" w:fill="FFFFFF"/>
        </w:rPr>
        <w:t xml:space="preserve"> </w:t>
      </w:r>
      <w:r w:rsidRPr="004D3316">
        <w:rPr>
          <w:szCs w:val="24"/>
          <w:shd w:val="clear" w:color="auto" w:fill="FFFFFF"/>
        </w:rPr>
        <w:t xml:space="preserve">with the other predictors independently of </w:t>
      </w:r>
      <w:r w:rsidRPr="004D3316">
        <w:rPr>
          <w:i/>
          <w:szCs w:val="24"/>
          <w:shd w:val="clear" w:color="auto" w:fill="FFFFFF"/>
        </w:rPr>
        <w:t>t</w:t>
      </w:r>
      <w:r w:rsidRPr="004D3316">
        <w:rPr>
          <w:i/>
          <w:szCs w:val="24"/>
          <w:shd w:val="clear" w:color="auto" w:fill="FFFFFF"/>
          <w:vertAlign w:val="subscript"/>
        </w:rPr>
        <w:t>j</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Pr="004D3316">
        <w:rPr>
          <w:szCs w:val="24"/>
          <w:shd w:val="clear" w:color="auto" w:fill="FFFFFF"/>
        </w:rPr>
        <w:t>.  Our final model took the form of:</w:t>
      </w:r>
    </w:p>
    <w:p w14:paraId="6AB07D53" w14:textId="77777777" w:rsidR="00EF6A3D" w:rsidRPr="004D3316" w:rsidRDefault="009D0791" w:rsidP="00EF6A3D">
      <w:pPr>
        <w:spacing w:line="480" w:lineRule="auto"/>
        <w:jc w:val="center"/>
        <w:rPr>
          <w:rFonts w:ascii="Cambria Math" w:hAnsi="Cambria Math"/>
          <w:szCs w:val="24"/>
          <w:shd w:val="clear" w:color="auto" w:fill="FFFFFF"/>
        </w:rPr>
      </w:pPr>
      <m:oMath>
        <m:sSub>
          <m:sSubPr>
            <m:ctrlPr>
              <w:rPr>
                <w:rFonts w:ascii="Cambria Math" w:hAnsi="Cambria Math"/>
                <w:i/>
                <w:szCs w:val="24"/>
                <w:shd w:val="clear" w:color="auto" w:fill="FFFFFF"/>
              </w:rPr>
            </m:ctrlPr>
          </m:sSubPr>
          <m:e>
            <m:r>
              <w:rPr>
                <w:rFonts w:ascii="Cambria Math" w:hAnsi="Cambria Math"/>
                <w:szCs w:val="24"/>
                <w:shd w:val="clear" w:color="auto" w:fill="FFFFFF"/>
              </w:rPr>
              <m:t>R</m:t>
            </m:r>
          </m:e>
          <m:sub>
            <m:r>
              <w:rPr>
                <w:rFonts w:ascii="Cambria Math" w:hAnsi="Cambria Math"/>
                <w:szCs w:val="24"/>
                <w:shd w:val="clear" w:color="auto" w:fill="FFFFFF"/>
              </w:rPr>
              <m:t>i</m:t>
            </m:r>
          </m:sub>
        </m:sSub>
        <m:r>
          <w:rPr>
            <w:rFonts w:ascii="Cambria Math" w:hAnsi="Cambria Math"/>
            <w:szCs w:val="24"/>
            <w:shd w:val="clear" w:color="auto" w:fill="FFFFFF"/>
          </w:rPr>
          <m:t xml:space="preserve"> ~ N(</m:t>
        </m:r>
        <m:sSub>
          <m:sSubPr>
            <m:ctrlPr>
              <w:rPr>
                <w:rFonts w:ascii="Cambria Math" w:hAnsi="Cambria Math"/>
                <w:i/>
                <w:szCs w:val="24"/>
                <w:shd w:val="clear" w:color="auto" w:fill="FFFFFF"/>
              </w:rPr>
            </m:ctrlPr>
          </m:sSubPr>
          <m:e>
            <m:r>
              <w:rPr>
                <w:rFonts w:ascii="Cambria Math" w:hAnsi="Cambria Math"/>
                <w:szCs w:val="24"/>
                <w:shd w:val="clear" w:color="auto" w:fill="FFFFFF"/>
              </w:rPr>
              <m:t>θ</m:t>
            </m:r>
          </m:e>
          <m:sub>
            <m:r>
              <w:rPr>
                <w:rFonts w:ascii="Cambria Math" w:hAnsi="Cambria Math"/>
                <w:szCs w:val="24"/>
                <w:shd w:val="clear" w:color="auto" w:fill="FFFFFF"/>
              </w:rPr>
              <m:t>i</m:t>
            </m:r>
          </m:sub>
        </m:sSub>
        <m:r>
          <w:rPr>
            <w:rFonts w:ascii="Cambria Math" w:hAnsi="Cambria Math"/>
            <w:szCs w:val="24"/>
            <w:shd w:val="clear" w:color="auto" w:fill="FFFFFF"/>
          </w:rPr>
          <m:t>,</m:t>
        </m:r>
        <m:sSubSup>
          <m:sSubSupPr>
            <m:ctrlPr>
              <w:rPr>
                <w:rFonts w:ascii="Cambria Math" w:hAnsi="Cambria Math"/>
                <w:i/>
                <w:szCs w:val="24"/>
                <w:shd w:val="clear" w:color="auto" w:fill="FFFFFF"/>
              </w:rPr>
            </m:ctrlPr>
          </m:sSubSupPr>
          <m:e>
            <m:r>
              <w:rPr>
                <w:rFonts w:ascii="Cambria Math" w:hAnsi="Cambria Math"/>
                <w:szCs w:val="24"/>
                <w:shd w:val="clear" w:color="auto" w:fill="FFFFFF"/>
              </w:rPr>
              <m:t>V</m:t>
            </m:r>
          </m:e>
          <m:sub>
            <m:r>
              <w:rPr>
                <w:rFonts w:ascii="Cambria Math" w:hAnsi="Cambria Math"/>
                <w:szCs w:val="24"/>
                <w:shd w:val="clear" w:color="auto" w:fill="FFFFFF"/>
              </w:rPr>
              <m:t>i</m:t>
            </m:r>
          </m:sub>
          <m:sup>
            <m:r>
              <w:rPr>
                <w:rFonts w:ascii="Cambria Math" w:hAnsi="Cambria Math"/>
                <w:szCs w:val="24"/>
                <w:shd w:val="clear" w:color="auto" w:fill="FFFFFF"/>
              </w:rPr>
              <m:t>0.5</m:t>
            </m:r>
          </m:sup>
        </m:sSubSup>
        <m:r>
          <w:rPr>
            <w:rFonts w:ascii="Cambria Math" w:hAnsi="Cambria Math"/>
            <w:szCs w:val="24"/>
            <w:shd w:val="clear" w:color="auto" w:fill="FFFFFF"/>
          </w:rPr>
          <m:t>)</m:t>
        </m:r>
      </m:oMath>
      <w:r w:rsidR="00EF6A3D" w:rsidRPr="004D3316">
        <w:rPr>
          <w:rFonts w:eastAsiaTheme="minorEastAsia"/>
          <w:szCs w:val="24"/>
          <w:shd w:val="clear" w:color="auto" w:fill="FFFFFF"/>
        </w:rPr>
        <w:t>,</w:t>
      </w:r>
    </w:p>
    <w:p w14:paraId="0FC4BFBC" w14:textId="75E2CDE9" w:rsidR="00EF6A3D" w:rsidRPr="004D3316" w:rsidRDefault="009D0791" w:rsidP="00EF6A3D">
      <w:pPr>
        <w:spacing w:line="480" w:lineRule="auto"/>
        <w:jc w:val="right"/>
        <w:rPr>
          <w:szCs w:val="24"/>
          <w:shd w:val="clear" w:color="auto" w:fill="FFFFFF"/>
        </w:rPr>
      </w:pPr>
      <m:oMath>
        <m:sSub>
          <m:sSubPr>
            <m:ctrlPr>
              <w:rPr>
                <w:rFonts w:ascii="Cambria Math" w:hAnsi="Cambria Math"/>
                <w:i/>
                <w:szCs w:val="24"/>
                <w:shd w:val="clear" w:color="auto" w:fill="FFFFFF"/>
              </w:rPr>
            </m:ctrlPr>
          </m:sSubPr>
          <m:e>
            <m:r>
              <w:rPr>
                <w:rFonts w:ascii="Cambria Math" w:hAnsi="Cambria Math"/>
                <w:szCs w:val="24"/>
                <w:shd w:val="clear" w:color="auto" w:fill="FFFFFF"/>
              </w:rPr>
              <m:t>θ</m:t>
            </m:r>
          </m:e>
          <m:sub>
            <m:r>
              <w:rPr>
                <w:rFonts w:ascii="Cambria Math" w:hAnsi="Cambria Math"/>
                <w:szCs w:val="24"/>
                <w:shd w:val="clear" w:color="auto" w:fill="FFFFFF"/>
              </w:rPr>
              <m:t>i</m:t>
            </m:r>
          </m:sub>
        </m:sSub>
        <m:r>
          <w:rPr>
            <w:rFonts w:ascii="Cambria Math" w:hAnsi="Cambria Math"/>
            <w:szCs w:val="24"/>
            <w:shd w:val="clear" w:color="auto" w:fill="FFFFFF"/>
          </w:rPr>
          <m:t>=</m:t>
        </m:r>
        <m:sSup>
          <m:sSupPr>
            <m:ctrlPr>
              <w:rPr>
                <w:rFonts w:ascii="Cambria Math" w:hAnsi="Cambria Math"/>
                <w:i/>
                <w:szCs w:val="24"/>
                <w:shd w:val="clear" w:color="auto" w:fill="FFFFFF"/>
              </w:rPr>
            </m:ctrlPr>
          </m:sSupPr>
          <m:e>
            <m:r>
              <w:rPr>
                <w:rFonts w:ascii="Cambria Math" w:hAnsi="Cambria Math"/>
                <w:szCs w:val="24"/>
                <w:shd w:val="clear" w:color="auto" w:fill="FFFFFF"/>
              </w:rPr>
              <m:t>e</m:t>
            </m:r>
          </m:e>
          <m:sup>
            <m:d>
              <m:dPr>
                <m:ctrlPr>
                  <w:rPr>
                    <w:rFonts w:ascii="Cambria Math" w:hAnsi="Cambria Math"/>
                    <w:i/>
                    <w:szCs w:val="24"/>
                    <w:shd w:val="clear" w:color="auto" w:fill="FFFFFF"/>
                  </w:rPr>
                </m:ctrlPr>
              </m:dPr>
              <m:e>
                <m:sSub>
                  <m:sSubPr>
                    <m:ctrlPr>
                      <w:rPr>
                        <w:rFonts w:ascii="Cambria Math" w:hAnsi="Cambria Math"/>
                        <w:i/>
                        <w:szCs w:val="24"/>
                        <w:shd w:val="clear" w:color="auto" w:fill="FFFFFF"/>
                      </w:rPr>
                    </m:ctrlPr>
                  </m:sSubPr>
                  <m:e>
                    <m:r>
                      <w:rPr>
                        <w:rFonts w:ascii="Cambria Math" w:hAnsi="Cambria Math"/>
                        <w:szCs w:val="24"/>
                        <w:shd w:val="clear" w:color="auto" w:fill="FFFFFF"/>
                      </w:rPr>
                      <m:t>β</m:t>
                    </m:r>
                  </m:e>
                  <m:sub>
                    <m:r>
                      <w:rPr>
                        <w:rFonts w:ascii="Cambria Math" w:hAnsi="Cambria Math"/>
                        <w:szCs w:val="24"/>
                        <w:shd w:val="clear" w:color="auto" w:fill="FFFFFF"/>
                      </w:rPr>
                      <m:t>1</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c</m:t>
                    </m:r>
                  </m:e>
                  <m:sub>
                    <m:r>
                      <w:rPr>
                        <w:rFonts w:ascii="Cambria Math" w:hAnsi="Cambria Math"/>
                        <w:szCs w:val="24"/>
                        <w:shd w:val="clear" w:color="auto" w:fill="FFFFFF"/>
                      </w:rPr>
                      <m:t>i</m:t>
                    </m:r>
                  </m:sub>
                </m:sSub>
                <m:r>
                  <w:rPr>
                    <w:rFonts w:ascii="Cambria Math" w:hAnsi="Cambria Math"/>
                    <w:szCs w:val="24"/>
                    <w:shd w:val="clear" w:color="auto" w:fill="FFFFFF"/>
                  </w:rPr>
                  <m:t xml:space="preserve"> + </m:t>
                </m:r>
                <m:sSub>
                  <m:sSubPr>
                    <m:ctrlPr>
                      <w:rPr>
                        <w:rFonts w:ascii="Cambria Math" w:hAnsi="Cambria Math"/>
                        <w:i/>
                        <w:szCs w:val="24"/>
                        <w:shd w:val="clear" w:color="auto" w:fill="FFFFFF"/>
                      </w:rPr>
                    </m:ctrlPr>
                  </m:sSubPr>
                  <m:e>
                    <m:r>
                      <w:rPr>
                        <w:rFonts w:ascii="Cambria Math" w:hAnsi="Cambria Math"/>
                        <w:szCs w:val="24"/>
                        <w:shd w:val="clear" w:color="auto" w:fill="FFFFFF"/>
                      </w:rPr>
                      <m:t>β</m:t>
                    </m:r>
                  </m:e>
                  <m:sub>
                    <m:r>
                      <w:rPr>
                        <w:rFonts w:ascii="Cambria Math" w:hAnsi="Cambria Math"/>
                        <w:szCs w:val="24"/>
                        <w:shd w:val="clear" w:color="auto" w:fill="FFFFFF"/>
                      </w:rPr>
                      <m:t>2</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v</m:t>
                    </m:r>
                  </m:e>
                  <m:sub>
                    <m:r>
                      <w:rPr>
                        <w:rFonts w:ascii="Cambria Math" w:hAnsi="Cambria Math"/>
                        <w:szCs w:val="24"/>
                        <w:shd w:val="clear" w:color="auto" w:fill="FFFFFF"/>
                      </w:rPr>
                      <m:t>i</m:t>
                    </m:r>
                  </m:sub>
                </m:sSub>
                <m:r>
                  <w:rPr>
                    <w:rFonts w:ascii="Cambria Math" w:hAnsi="Cambria Math"/>
                    <w:szCs w:val="24"/>
                    <w:shd w:val="clear" w:color="auto" w:fill="FFFFFF"/>
                  </w:rPr>
                  <m:t xml:space="preserve"> + </m:t>
                </m:r>
                <m:sSub>
                  <m:sSubPr>
                    <m:ctrlPr>
                      <w:rPr>
                        <w:rFonts w:ascii="Cambria Math" w:hAnsi="Cambria Math"/>
                        <w:i/>
                        <w:szCs w:val="24"/>
                        <w:shd w:val="clear" w:color="auto" w:fill="FFFFFF"/>
                      </w:rPr>
                    </m:ctrlPr>
                  </m:sSubPr>
                  <m:e>
                    <m:r>
                      <w:rPr>
                        <w:rFonts w:ascii="Cambria Math" w:hAnsi="Cambria Math"/>
                        <w:szCs w:val="24"/>
                        <w:shd w:val="clear" w:color="auto" w:fill="FFFFFF"/>
                      </w:rPr>
                      <m:t>β</m:t>
                    </m:r>
                  </m:e>
                  <m:sub>
                    <m:r>
                      <w:rPr>
                        <w:rFonts w:ascii="Cambria Math" w:hAnsi="Cambria Math"/>
                        <w:szCs w:val="24"/>
                        <w:shd w:val="clear" w:color="auto" w:fill="FFFFFF"/>
                      </w:rPr>
                      <m:t>3</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u</m:t>
                    </m:r>
                  </m:e>
                  <m:sub>
                    <m:r>
                      <w:rPr>
                        <w:rFonts w:ascii="Cambria Math" w:hAnsi="Cambria Math"/>
                        <w:szCs w:val="24"/>
                        <w:shd w:val="clear" w:color="auto" w:fill="FFFFFF"/>
                      </w:rPr>
                      <m:t xml:space="preserve">i </m:t>
                    </m:r>
                  </m:sub>
                </m:sSub>
                <m:r>
                  <w:rPr>
                    <w:rFonts w:ascii="Cambria Math" w:hAnsi="Cambria Math"/>
                    <w:szCs w:val="24"/>
                    <w:shd w:val="clear" w:color="auto" w:fill="FFFFFF"/>
                  </w:rPr>
                  <m:t>+</m:t>
                </m:r>
                <m:sSub>
                  <m:sSubPr>
                    <m:ctrlPr>
                      <w:rPr>
                        <w:rFonts w:ascii="Cambria Math" w:hAnsi="Cambria Math"/>
                        <w:i/>
                        <w:szCs w:val="24"/>
                        <w:shd w:val="clear" w:color="auto" w:fill="FFFFFF"/>
                      </w:rPr>
                    </m:ctrlPr>
                  </m:sSubPr>
                  <m:e>
                    <m:r>
                      <w:rPr>
                        <w:rFonts w:ascii="Cambria Math" w:hAnsi="Cambria Math"/>
                        <w:szCs w:val="24"/>
                        <w:shd w:val="clear" w:color="auto" w:fill="FFFFFF"/>
                      </w:rPr>
                      <m:t xml:space="preserve"> </m:t>
                    </m:r>
                    <m:sSub>
                      <m:sSubPr>
                        <m:ctrlPr>
                          <w:rPr>
                            <w:rFonts w:ascii="Cambria Math" w:hAnsi="Cambria Math"/>
                            <w:i/>
                            <w:szCs w:val="24"/>
                            <w:shd w:val="clear" w:color="auto" w:fill="FFFFFF"/>
                          </w:rPr>
                        </m:ctrlPr>
                      </m:sSubPr>
                      <m:e>
                        <m:r>
                          <w:rPr>
                            <w:rFonts w:ascii="Cambria Math" w:hAnsi="Cambria Math"/>
                            <w:szCs w:val="24"/>
                            <w:shd w:val="clear" w:color="auto" w:fill="FFFFFF"/>
                          </w:rPr>
                          <m:t>β</m:t>
                        </m:r>
                      </m:e>
                      <m:sub>
                        <m:r>
                          <w:rPr>
                            <w:rFonts w:ascii="Cambria Math" w:hAnsi="Cambria Math"/>
                            <w:szCs w:val="24"/>
                            <w:shd w:val="clear" w:color="auto" w:fill="FFFFFF"/>
                          </w:rPr>
                          <m:t>4</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n</m:t>
                        </m:r>
                      </m:e>
                      <m:sub>
                        <m:r>
                          <w:rPr>
                            <w:rFonts w:ascii="Cambria Math" w:hAnsi="Cambria Math"/>
                            <w:szCs w:val="24"/>
                            <w:shd w:val="clear" w:color="auto" w:fill="FFFFFF"/>
                          </w:rPr>
                          <m:t xml:space="preserve">i </m:t>
                        </m:r>
                      </m:sub>
                    </m:sSub>
                    <m:r>
                      <w:rPr>
                        <w:rFonts w:ascii="Cambria Math" w:hAnsi="Cambria Math"/>
                        <w:szCs w:val="24"/>
                        <w:shd w:val="clear" w:color="auto" w:fill="FFFFFF"/>
                      </w:rPr>
                      <m:t xml:space="preserve">+ </m:t>
                    </m:r>
                    <m:sSub>
                      <m:sSubPr>
                        <m:ctrlPr>
                          <w:rPr>
                            <w:rFonts w:ascii="Cambria Math" w:hAnsi="Cambria Math"/>
                            <w:i/>
                            <w:szCs w:val="24"/>
                            <w:shd w:val="clear" w:color="auto" w:fill="FFFFFF"/>
                          </w:rPr>
                        </m:ctrlPr>
                      </m:sSubPr>
                      <m:e>
                        <m:r>
                          <w:rPr>
                            <w:rFonts w:ascii="Cambria Math" w:hAnsi="Cambria Math"/>
                            <w:szCs w:val="24"/>
                            <w:shd w:val="clear" w:color="auto" w:fill="FFFFFF"/>
                          </w:rPr>
                          <m:t>β</m:t>
                        </m:r>
                      </m:e>
                      <m:sub>
                        <m:r>
                          <w:rPr>
                            <w:rFonts w:ascii="Cambria Math" w:hAnsi="Cambria Math"/>
                            <w:szCs w:val="24"/>
                            <w:shd w:val="clear" w:color="auto" w:fill="FFFFFF"/>
                          </w:rPr>
                          <m:t>5</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p</m:t>
                        </m:r>
                      </m:e>
                      <m:sub>
                        <m:r>
                          <w:rPr>
                            <w:rFonts w:ascii="Cambria Math" w:hAnsi="Cambria Math"/>
                            <w:szCs w:val="24"/>
                            <w:shd w:val="clear" w:color="auto" w:fill="FFFFFF"/>
                          </w:rPr>
                          <m:t xml:space="preserve">i </m:t>
                        </m:r>
                      </m:sub>
                    </m:sSub>
                    <m:r>
                      <w:rPr>
                        <w:rFonts w:ascii="Cambria Math" w:hAnsi="Cambria Math"/>
                        <w:szCs w:val="24"/>
                        <w:shd w:val="clear" w:color="auto" w:fill="FFFFFF"/>
                      </w:rPr>
                      <m:t>+ β</m:t>
                    </m:r>
                  </m:e>
                  <m:sub>
                    <m:r>
                      <w:rPr>
                        <w:rFonts w:ascii="Cambria Math" w:hAnsi="Cambria Math"/>
                        <w:szCs w:val="24"/>
                        <w:shd w:val="clear" w:color="auto" w:fill="FFFFFF"/>
                      </w:rPr>
                      <m:t>6</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d</m:t>
                    </m:r>
                  </m:e>
                  <m:sub>
                    <m:r>
                      <w:rPr>
                        <w:rFonts w:ascii="Cambria Math" w:hAnsi="Cambria Math"/>
                        <w:szCs w:val="24"/>
                        <w:shd w:val="clear" w:color="auto" w:fill="FFFFFF"/>
                      </w:rPr>
                      <m:t>i</m:t>
                    </m:r>
                  </m:sub>
                </m:sSub>
                <m:r>
                  <w:rPr>
                    <w:rFonts w:ascii="Cambria Math" w:eastAsiaTheme="minorEastAsia" w:hAnsi="Cambria Math"/>
                    <w:szCs w:val="24"/>
                    <w:shd w:val="clear" w:color="auto" w:fill="FFFFFF"/>
                  </w:rPr>
                  <m:t xml:space="preserve"> + </m:t>
                </m:r>
                <m:sSub>
                  <m:sSubPr>
                    <m:ctrlPr>
                      <w:rPr>
                        <w:rFonts w:ascii="Cambria Math" w:hAnsi="Cambria Math"/>
                        <w:i/>
                        <w:szCs w:val="24"/>
                        <w:shd w:val="clear" w:color="auto" w:fill="FFFFFF"/>
                      </w:rPr>
                    </m:ctrlPr>
                  </m:sSubPr>
                  <m:e>
                    <m:r>
                      <w:rPr>
                        <w:rFonts w:ascii="Cambria Math" w:hAnsi="Cambria Math"/>
                        <w:szCs w:val="24"/>
                        <w:shd w:val="clear" w:color="auto" w:fill="FFFFFF"/>
                      </w:rPr>
                      <m:t>o</m:t>
                    </m:r>
                  </m:e>
                  <m:sub>
                    <m:r>
                      <w:rPr>
                        <w:rFonts w:ascii="Cambria Math" w:hAnsi="Cambria Math"/>
                        <w:szCs w:val="24"/>
                        <w:shd w:val="clear" w:color="auto" w:fill="FFFFFF"/>
                      </w:rPr>
                      <m:t>1j[i]</m:t>
                    </m:r>
                  </m:sub>
                </m:sSub>
                <m:r>
                  <w:rPr>
                    <w:rFonts w:ascii="Cambria Math" w:hAnsi="Cambria Math"/>
                    <w:szCs w:val="24"/>
                    <w:shd w:val="clear" w:color="auto" w:fill="FFFFFF"/>
                  </w:rPr>
                  <m:t xml:space="preserve"> + </m:t>
                </m:r>
                <m:sSub>
                  <m:sSubPr>
                    <m:ctrlPr>
                      <w:rPr>
                        <w:rFonts w:ascii="Cambria Math" w:hAnsi="Cambria Math"/>
                        <w:i/>
                        <w:szCs w:val="24"/>
                        <w:shd w:val="clear" w:color="auto" w:fill="FFFFFF"/>
                      </w:rPr>
                    </m:ctrlPr>
                  </m:sSubPr>
                  <m:e>
                    <m:r>
                      <w:rPr>
                        <w:rFonts w:ascii="Cambria Math" w:hAnsi="Cambria Math"/>
                        <w:szCs w:val="24"/>
                        <w:shd w:val="clear" w:color="auto" w:fill="FFFFFF"/>
                      </w:rPr>
                      <m:t>s</m:t>
                    </m:r>
                  </m:e>
                  <m:sub>
                    <m:r>
                      <w:rPr>
                        <w:rFonts w:ascii="Cambria Math" w:hAnsi="Cambria Math"/>
                        <w:szCs w:val="24"/>
                        <w:shd w:val="clear" w:color="auto" w:fill="FFFFFF"/>
                      </w:rPr>
                      <m:t>1k[i]</m:t>
                    </m:r>
                  </m:sub>
                </m:sSub>
                <m:r>
                  <w:rPr>
                    <w:rFonts w:ascii="Cambria Math" w:hAnsi="Cambria Math"/>
                    <w:szCs w:val="24"/>
                    <w:shd w:val="clear" w:color="auto" w:fill="FFFFFF"/>
                  </w:rPr>
                  <m:t xml:space="preserve"> +</m:t>
                </m:r>
                <m:sSub>
                  <m:sSubPr>
                    <m:ctrlPr>
                      <w:rPr>
                        <w:rFonts w:ascii="Cambria Math" w:hAnsi="Cambria Math"/>
                        <w:i/>
                        <w:szCs w:val="24"/>
                        <w:shd w:val="clear" w:color="auto" w:fill="FFFFFF"/>
                      </w:rPr>
                    </m:ctrlPr>
                  </m:sSubPr>
                  <m:e>
                    <m:r>
                      <w:rPr>
                        <w:rFonts w:ascii="Cambria Math" w:hAnsi="Cambria Math"/>
                        <w:szCs w:val="24"/>
                        <w:shd w:val="clear" w:color="auto" w:fill="FFFFFF"/>
                      </w:rPr>
                      <m:t xml:space="preserve"> b</m:t>
                    </m:r>
                  </m:e>
                  <m:sub>
                    <m:r>
                      <w:rPr>
                        <w:rFonts w:ascii="Cambria Math" w:hAnsi="Cambria Math"/>
                        <w:szCs w:val="24"/>
                        <w:shd w:val="clear" w:color="auto" w:fill="FFFFFF"/>
                      </w:rPr>
                      <m:t>1l[i]</m:t>
                    </m:r>
                  </m:sub>
                </m:sSub>
                <m:r>
                  <w:rPr>
                    <w:rFonts w:ascii="Cambria Math" w:hAnsi="Cambria Math"/>
                    <w:szCs w:val="24"/>
                    <w:shd w:val="clear" w:color="auto" w:fill="FFFFFF"/>
                  </w:rPr>
                  <m:t xml:space="preserve"> + </m:t>
                </m:r>
                <m:sSub>
                  <m:sSubPr>
                    <m:ctrlPr>
                      <w:rPr>
                        <w:rFonts w:ascii="Cambria Math" w:hAnsi="Cambria Math"/>
                        <w:i/>
                        <w:szCs w:val="24"/>
                        <w:shd w:val="clear" w:color="auto" w:fill="FFFFFF"/>
                      </w:rPr>
                    </m:ctrlPr>
                  </m:sSubPr>
                  <m:e>
                    <m:r>
                      <w:rPr>
                        <w:rFonts w:ascii="Cambria Math" w:hAnsi="Cambria Math"/>
                        <w:szCs w:val="24"/>
                        <w:shd w:val="clear" w:color="auto" w:fill="FFFFFF"/>
                      </w:rPr>
                      <m:t>r</m:t>
                    </m:r>
                  </m:e>
                  <m:sub>
                    <m:r>
                      <w:rPr>
                        <w:rFonts w:ascii="Cambria Math" w:hAnsi="Cambria Math"/>
                        <w:szCs w:val="24"/>
                        <w:shd w:val="clear" w:color="auto" w:fill="FFFFFF"/>
                      </w:rPr>
                      <m:t>1m[i]</m:t>
                    </m:r>
                  </m:sub>
                </m:sSub>
              </m:e>
            </m:d>
          </m:sup>
        </m:sSup>
        <m:sSub>
          <m:sSubPr>
            <m:ctrlPr>
              <w:rPr>
                <w:rFonts w:ascii="Cambria Math" w:hAnsi="Cambria Math"/>
                <w:i/>
                <w:szCs w:val="24"/>
                <w:shd w:val="clear" w:color="auto" w:fill="FFFFFF"/>
              </w:rPr>
            </m:ctrlPr>
          </m:sSubPr>
          <m:e>
            <m:r>
              <w:rPr>
                <w:rFonts w:ascii="Cambria Math" w:hAnsi="Cambria Math"/>
                <w:szCs w:val="24"/>
                <w:shd w:val="clear" w:color="auto" w:fill="FFFFFF"/>
              </w:rPr>
              <m:t>t</m:t>
            </m:r>
          </m:e>
          <m:sub>
            <m:r>
              <w:rPr>
                <w:rFonts w:ascii="Cambria Math" w:hAnsi="Cambria Math"/>
                <w:szCs w:val="24"/>
                <w:shd w:val="clear" w:color="auto" w:fill="FFFFFF"/>
              </w:rPr>
              <m:t>j[i]</m:t>
            </m:r>
          </m:sub>
        </m:sSub>
        <m:r>
          <w:rPr>
            <w:rFonts w:ascii="Cambria Math" w:hAnsi="Cambria Math"/>
            <w:szCs w:val="24"/>
            <w:shd w:val="clear" w:color="auto" w:fill="FFFFFF"/>
          </w:rPr>
          <m:t>+</m:t>
        </m:r>
        <m:sSub>
          <m:sSubPr>
            <m:ctrlPr>
              <w:rPr>
                <w:rFonts w:ascii="Cambria Math" w:hAnsi="Cambria Math"/>
                <w:i/>
                <w:szCs w:val="24"/>
                <w:shd w:val="clear" w:color="auto" w:fill="FFFFFF"/>
              </w:rPr>
            </m:ctrlPr>
          </m:sSubPr>
          <m:e>
            <m:r>
              <w:rPr>
                <w:rFonts w:ascii="Cambria Math" w:hAnsi="Cambria Math"/>
                <w:szCs w:val="24"/>
                <w:shd w:val="clear" w:color="auto" w:fill="FFFFFF"/>
              </w:rPr>
              <m:t>β</m:t>
            </m:r>
          </m:e>
          <m:sub>
            <m:r>
              <w:rPr>
                <w:rFonts w:ascii="Cambria Math" w:hAnsi="Cambria Math"/>
                <w:szCs w:val="24"/>
                <w:shd w:val="clear" w:color="auto" w:fill="FFFFFF"/>
              </w:rPr>
              <m:t>7</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c</m:t>
            </m:r>
          </m:e>
          <m:sub>
            <m:r>
              <w:rPr>
                <w:rFonts w:ascii="Cambria Math" w:hAnsi="Cambria Math"/>
                <w:szCs w:val="24"/>
                <w:shd w:val="clear" w:color="auto" w:fill="FFFFFF"/>
              </w:rPr>
              <m:t>i</m:t>
            </m:r>
          </m:sub>
        </m:sSub>
        <m:r>
          <w:rPr>
            <w:rFonts w:ascii="Cambria Math" w:hAnsi="Cambria Math"/>
            <w:szCs w:val="24"/>
            <w:shd w:val="clear" w:color="auto" w:fill="FFFFFF"/>
          </w:rPr>
          <m:t xml:space="preserve"> + </m:t>
        </m:r>
        <m:sSub>
          <m:sSubPr>
            <m:ctrlPr>
              <w:rPr>
                <w:rFonts w:ascii="Cambria Math" w:hAnsi="Cambria Math"/>
                <w:i/>
                <w:szCs w:val="24"/>
                <w:shd w:val="clear" w:color="auto" w:fill="FFFFFF"/>
              </w:rPr>
            </m:ctrlPr>
          </m:sSubPr>
          <m:e>
            <m:r>
              <w:rPr>
                <w:rFonts w:ascii="Cambria Math" w:hAnsi="Cambria Math"/>
                <w:szCs w:val="24"/>
                <w:shd w:val="clear" w:color="auto" w:fill="FFFFFF"/>
              </w:rPr>
              <m:t>β</m:t>
            </m:r>
          </m:e>
          <m:sub>
            <m:r>
              <w:rPr>
                <w:rFonts w:ascii="Cambria Math" w:hAnsi="Cambria Math"/>
                <w:szCs w:val="24"/>
                <w:shd w:val="clear" w:color="auto" w:fill="FFFFFF"/>
              </w:rPr>
              <m:t>8</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v</m:t>
            </m:r>
          </m:e>
          <m:sub>
            <m:r>
              <w:rPr>
                <w:rFonts w:ascii="Cambria Math" w:hAnsi="Cambria Math"/>
                <w:szCs w:val="24"/>
                <w:shd w:val="clear" w:color="auto" w:fill="FFFFFF"/>
              </w:rPr>
              <m:t>i</m:t>
            </m:r>
          </m:sub>
        </m:sSub>
        <m:r>
          <w:rPr>
            <w:rFonts w:ascii="Cambria Math" w:hAnsi="Cambria Math"/>
            <w:szCs w:val="24"/>
            <w:shd w:val="clear" w:color="auto" w:fill="FFFFFF"/>
          </w:rPr>
          <m:t xml:space="preserve"> + </m:t>
        </m:r>
        <m:sSub>
          <m:sSubPr>
            <m:ctrlPr>
              <w:rPr>
                <w:rFonts w:ascii="Cambria Math" w:hAnsi="Cambria Math"/>
                <w:i/>
                <w:szCs w:val="24"/>
                <w:shd w:val="clear" w:color="auto" w:fill="FFFFFF"/>
              </w:rPr>
            </m:ctrlPr>
          </m:sSubPr>
          <m:e>
            <m:r>
              <w:rPr>
                <w:rFonts w:ascii="Cambria Math" w:hAnsi="Cambria Math"/>
                <w:szCs w:val="24"/>
                <w:shd w:val="clear" w:color="auto" w:fill="FFFFFF"/>
              </w:rPr>
              <m:t>β</m:t>
            </m:r>
          </m:e>
          <m:sub>
            <m:r>
              <w:rPr>
                <w:rFonts w:ascii="Cambria Math" w:hAnsi="Cambria Math"/>
                <w:szCs w:val="24"/>
                <w:shd w:val="clear" w:color="auto" w:fill="FFFFFF"/>
              </w:rPr>
              <m:t>9</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u</m:t>
            </m:r>
          </m:e>
          <m:sub>
            <m:r>
              <w:rPr>
                <w:rFonts w:ascii="Cambria Math" w:hAnsi="Cambria Math"/>
                <w:szCs w:val="24"/>
                <w:shd w:val="clear" w:color="auto" w:fill="FFFFFF"/>
              </w:rPr>
              <m:t xml:space="preserve">i </m:t>
            </m:r>
          </m:sub>
        </m:sSub>
        <m:r>
          <w:rPr>
            <w:rFonts w:ascii="Cambria Math" w:hAnsi="Cambria Math"/>
            <w:szCs w:val="24"/>
            <w:shd w:val="clear" w:color="auto" w:fill="FFFFFF"/>
          </w:rPr>
          <m:t>+</m:t>
        </m:r>
        <m:sSub>
          <m:sSubPr>
            <m:ctrlPr>
              <w:rPr>
                <w:rFonts w:ascii="Cambria Math" w:hAnsi="Cambria Math"/>
                <w:i/>
                <w:szCs w:val="24"/>
                <w:shd w:val="clear" w:color="auto" w:fill="FFFFFF"/>
              </w:rPr>
            </m:ctrlPr>
          </m:sSubPr>
          <m:e>
            <m:r>
              <w:rPr>
                <w:rFonts w:ascii="Cambria Math" w:hAnsi="Cambria Math"/>
                <w:szCs w:val="24"/>
                <w:shd w:val="clear" w:color="auto" w:fill="FFFFFF"/>
              </w:rPr>
              <m:t xml:space="preserve"> </m:t>
            </m:r>
            <m:sSub>
              <m:sSubPr>
                <m:ctrlPr>
                  <w:rPr>
                    <w:rFonts w:ascii="Cambria Math" w:hAnsi="Cambria Math"/>
                    <w:i/>
                    <w:szCs w:val="24"/>
                    <w:shd w:val="clear" w:color="auto" w:fill="FFFFFF"/>
                  </w:rPr>
                </m:ctrlPr>
              </m:sSubPr>
              <m:e>
                <m:r>
                  <w:rPr>
                    <w:rFonts w:ascii="Cambria Math" w:hAnsi="Cambria Math"/>
                    <w:szCs w:val="24"/>
                    <w:shd w:val="clear" w:color="auto" w:fill="FFFFFF"/>
                  </w:rPr>
                  <m:t xml:space="preserve"> β</m:t>
                </m:r>
              </m:e>
              <m:sub>
                <m:r>
                  <w:rPr>
                    <w:rFonts w:ascii="Cambria Math" w:hAnsi="Cambria Math"/>
                    <w:szCs w:val="24"/>
                    <w:shd w:val="clear" w:color="auto" w:fill="FFFFFF"/>
                  </w:rPr>
                  <m:t>10</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n</m:t>
                </m:r>
              </m:e>
              <m:sub>
                <m:r>
                  <w:rPr>
                    <w:rFonts w:ascii="Cambria Math" w:hAnsi="Cambria Math"/>
                    <w:szCs w:val="24"/>
                    <w:shd w:val="clear" w:color="auto" w:fill="FFFFFF"/>
                  </w:rPr>
                  <m:t>i</m:t>
                </m:r>
              </m:sub>
            </m:sSub>
            <m:r>
              <w:rPr>
                <w:rFonts w:ascii="Cambria Math" w:eastAsiaTheme="minorEastAsia" w:hAnsi="Cambria Math"/>
                <w:szCs w:val="24"/>
                <w:shd w:val="clear" w:color="auto" w:fill="FFFFFF"/>
              </w:rPr>
              <m:t>+</m:t>
            </m:r>
            <m:sSub>
              <m:sSubPr>
                <m:ctrlPr>
                  <w:rPr>
                    <w:rFonts w:ascii="Cambria Math" w:hAnsi="Cambria Math"/>
                    <w:i/>
                    <w:szCs w:val="24"/>
                    <w:shd w:val="clear" w:color="auto" w:fill="FFFFFF"/>
                  </w:rPr>
                </m:ctrlPr>
              </m:sSubPr>
              <m:e>
                <m:r>
                  <w:rPr>
                    <w:rFonts w:ascii="Cambria Math" w:hAnsi="Cambria Math"/>
                    <w:szCs w:val="24"/>
                    <w:shd w:val="clear" w:color="auto" w:fill="FFFFFF"/>
                  </w:rPr>
                  <m:t xml:space="preserve"> β</m:t>
                </m:r>
              </m:e>
              <m:sub>
                <m:r>
                  <w:rPr>
                    <w:rFonts w:ascii="Cambria Math" w:hAnsi="Cambria Math"/>
                    <w:szCs w:val="24"/>
                    <w:shd w:val="clear" w:color="auto" w:fill="FFFFFF"/>
                  </w:rPr>
                  <m:t>11</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p</m:t>
                </m:r>
              </m:e>
              <m:sub>
                <m:r>
                  <w:rPr>
                    <w:rFonts w:ascii="Cambria Math" w:hAnsi="Cambria Math"/>
                    <w:szCs w:val="24"/>
                    <w:shd w:val="clear" w:color="auto" w:fill="FFFFFF"/>
                  </w:rPr>
                  <m:t>i</m:t>
                </m:r>
              </m:sub>
            </m:sSub>
            <m:r>
              <w:rPr>
                <w:rFonts w:ascii="Cambria Math" w:eastAsiaTheme="minorEastAsia" w:hAnsi="Cambria Math"/>
                <w:szCs w:val="24"/>
                <w:shd w:val="clear" w:color="auto" w:fill="FFFFFF"/>
              </w:rPr>
              <m:t>+</m:t>
            </m:r>
            <m:r>
              <w:rPr>
                <w:rFonts w:ascii="Cambria Math" w:hAnsi="Cambria Math"/>
                <w:szCs w:val="24"/>
                <w:shd w:val="clear" w:color="auto" w:fill="FFFFFF"/>
              </w:rPr>
              <m:t>β</m:t>
            </m:r>
          </m:e>
          <m:sub>
            <m:r>
              <w:rPr>
                <w:rFonts w:ascii="Cambria Math" w:hAnsi="Cambria Math"/>
                <w:szCs w:val="24"/>
                <w:shd w:val="clear" w:color="auto" w:fill="FFFFFF"/>
              </w:rPr>
              <m:t>12</m:t>
            </m:r>
          </m:sub>
        </m:sSub>
        <m:sSub>
          <m:sSubPr>
            <m:ctrlPr>
              <w:rPr>
                <w:rFonts w:ascii="Cambria Math" w:hAnsi="Cambria Math"/>
                <w:i/>
                <w:szCs w:val="24"/>
                <w:shd w:val="clear" w:color="auto" w:fill="FFFFFF"/>
              </w:rPr>
            </m:ctrlPr>
          </m:sSubPr>
          <m:e>
            <m:r>
              <w:rPr>
                <w:rFonts w:ascii="Cambria Math" w:hAnsi="Cambria Math"/>
                <w:szCs w:val="24"/>
                <w:shd w:val="clear" w:color="auto" w:fill="FFFFFF"/>
              </w:rPr>
              <m:t>d</m:t>
            </m:r>
          </m:e>
          <m:sub>
            <m:r>
              <w:rPr>
                <w:rFonts w:ascii="Cambria Math" w:hAnsi="Cambria Math"/>
                <w:szCs w:val="24"/>
                <w:shd w:val="clear" w:color="auto" w:fill="FFFFFF"/>
              </w:rPr>
              <m:t>i</m:t>
            </m:r>
          </m:sub>
        </m:sSub>
        <m:r>
          <w:rPr>
            <w:rFonts w:ascii="Cambria Math" w:eastAsiaTheme="minorEastAsia" w:hAnsi="Cambria Math"/>
            <w:szCs w:val="24"/>
            <w:shd w:val="clear" w:color="auto" w:fill="FFFFFF"/>
          </w:rPr>
          <m:t xml:space="preserve">+ </m:t>
        </m:r>
        <m:sSub>
          <m:sSubPr>
            <m:ctrlPr>
              <w:rPr>
                <w:rFonts w:ascii="Cambria Math" w:hAnsi="Cambria Math"/>
                <w:i/>
                <w:szCs w:val="24"/>
                <w:shd w:val="clear" w:color="auto" w:fill="FFFFFF"/>
              </w:rPr>
            </m:ctrlPr>
          </m:sSubPr>
          <m:e>
            <m:sSub>
              <m:sSubPr>
                <m:ctrlPr>
                  <w:rPr>
                    <w:rFonts w:ascii="Cambria Math" w:hAnsi="Cambria Math"/>
                    <w:i/>
                    <w:szCs w:val="24"/>
                    <w:shd w:val="clear" w:color="auto" w:fill="FFFFFF"/>
                  </w:rPr>
                </m:ctrlPr>
              </m:sSubPr>
              <m:e>
                <m:r>
                  <w:rPr>
                    <w:rFonts w:ascii="Cambria Math" w:hAnsi="Cambria Math"/>
                    <w:szCs w:val="24"/>
                    <w:shd w:val="clear" w:color="auto" w:fill="FFFFFF"/>
                  </w:rPr>
                  <m:t>o</m:t>
                </m:r>
              </m:e>
              <m:sub>
                <m:r>
                  <w:rPr>
                    <w:rFonts w:ascii="Cambria Math" w:hAnsi="Cambria Math"/>
                    <w:szCs w:val="24"/>
                    <w:shd w:val="clear" w:color="auto" w:fill="FFFFFF"/>
                  </w:rPr>
                  <m:t>2j[i]</m:t>
                </m:r>
              </m:sub>
            </m:sSub>
            <m:r>
              <w:rPr>
                <w:rFonts w:ascii="Cambria Math" w:hAnsi="Cambria Math"/>
                <w:szCs w:val="24"/>
                <w:shd w:val="clear" w:color="auto" w:fill="FFFFFF"/>
              </w:rPr>
              <m:t xml:space="preserve"> +s</m:t>
            </m:r>
          </m:e>
          <m:sub>
            <m:r>
              <w:rPr>
                <w:rFonts w:ascii="Cambria Math" w:hAnsi="Cambria Math"/>
                <w:szCs w:val="24"/>
                <w:shd w:val="clear" w:color="auto" w:fill="FFFFFF"/>
              </w:rPr>
              <m:t>2k[i]</m:t>
            </m:r>
          </m:sub>
        </m:sSub>
        <m:r>
          <w:rPr>
            <w:rFonts w:ascii="Cambria Math" w:hAnsi="Cambria Math"/>
            <w:szCs w:val="24"/>
            <w:shd w:val="clear" w:color="auto" w:fill="FFFFFF"/>
          </w:rPr>
          <m:t xml:space="preserve"> +</m:t>
        </m:r>
        <m:sSub>
          <m:sSubPr>
            <m:ctrlPr>
              <w:rPr>
                <w:rFonts w:ascii="Cambria Math" w:hAnsi="Cambria Math"/>
                <w:i/>
                <w:szCs w:val="24"/>
                <w:shd w:val="clear" w:color="auto" w:fill="FFFFFF"/>
              </w:rPr>
            </m:ctrlPr>
          </m:sSubPr>
          <m:e>
            <m:r>
              <w:rPr>
                <w:rFonts w:ascii="Cambria Math" w:hAnsi="Cambria Math"/>
                <w:szCs w:val="24"/>
                <w:shd w:val="clear" w:color="auto" w:fill="FFFFFF"/>
              </w:rPr>
              <m:t xml:space="preserve"> b</m:t>
            </m:r>
          </m:e>
          <m:sub>
            <m:r>
              <w:rPr>
                <w:rFonts w:ascii="Cambria Math" w:hAnsi="Cambria Math"/>
                <w:szCs w:val="24"/>
                <w:shd w:val="clear" w:color="auto" w:fill="FFFFFF"/>
              </w:rPr>
              <m:t>2l[i]</m:t>
            </m:r>
          </m:sub>
        </m:sSub>
        <m:r>
          <w:rPr>
            <w:rFonts w:ascii="Cambria Math" w:hAnsi="Cambria Math"/>
            <w:szCs w:val="24"/>
            <w:shd w:val="clear" w:color="auto" w:fill="FFFFFF"/>
          </w:rPr>
          <m:t xml:space="preserve"> + </m:t>
        </m:r>
        <m:sSub>
          <m:sSubPr>
            <m:ctrlPr>
              <w:rPr>
                <w:rFonts w:ascii="Cambria Math" w:hAnsi="Cambria Math"/>
                <w:i/>
                <w:szCs w:val="24"/>
                <w:shd w:val="clear" w:color="auto" w:fill="FFFFFF"/>
              </w:rPr>
            </m:ctrlPr>
          </m:sSubPr>
          <m:e>
            <m:r>
              <w:rPr>
                <w:rFonts w:ascii="Cambria Math" w:hAnsi="Cambria Math"/>
                <w:szCs w:val="24"/>
                <w:shd w:val="clear" w:color="auto" w:fill="FFFFFF"/>
              </w:rPr>
              <m:t>r</m:t>
            </m:r>
          </m:e>
          <m:sub>
            <m:r>
              <w:rPr>
                <w:rFonts w:ascii="Cambria Math" w:hAnsi="Cambria Math"/>
                <w:szCs w:val="24"/>
                <w:shd w:val="clear" w:color="auto" w:fill="FFFFFF"/>
              </w:rPr>
              <m:t>2m[i]</m:t>
            </m:r>
          </m:sub>
        </m:sSub>
        <m:r>
          <w:rPr>
            <w:rFonts w:ascii="Cambria Math" w:hAnsi="Cambria Math"/>
            <w:szCs w:val="24"/>
            <w:shd w:val="clear" w:color="auto" w:fill="FFFFFF"/>
          </w:rPr>
          <m:t xml:space="preserve">+ </m:t>
        </m:r>
        <m:sSub>
          <m:sSubPr>
            <m:ctrlPr>
              <w:rPr>
                <w:rFonts w:ascii="Cambria Math" w:eastAsiaTheme="minorEastAsia" w:hAnsi="Cambria Math"/>
                <w:i/>
                <w:szCs w:val="24"/>
                <w:shd w:val="clear" w:color="auto" w:fill="FFFFFF"/>
              </w:rPr>
            </m:ctrlPr>
          </m:sSubPr>
          <m:e>
            <m:r>
              <w:rPr>
                <w:rFonts w:ascii="Cambria Math" w:eastAsiaTheme="minorEastAsia" w:hAnsi="Cambria Math"/>
                <w:szCs w:val="24"/>
                <w:shd w:val="clear" w:color="auto" w:fill="FFFFFF"/>
              </w:rPr>
              <m:t>ε</m:t>
            </m:r>
          </m:e>
          <m:sub>
            <m:r>
              <w:rPr>
                <w:rFonts w:ascii="Cambria Math" w:eastAsiaTheme="minorEastAsia" w:hAnsi="Cambria Math"/>
                <w:szCs w:val="24"/>
                <w:shd w:val="clear" w:color="auto" w:fill="FFFFFF"/>
              </w:rPr>
              <m:t>i</m:t>
            </m:r>
          </m:sub>
        </m:sSub>
      </m:oMath>
      <w:r w:rsidR="00EF6A3D" w:rsidRPr="004D3316">
        <w:rPr>
          <w:szCs w:val="24"/>
          <w:shd w:val="clear" w:color="auto" w:fill="FFFFFF"/>
        </w:rPr>
        <w:t xml:space="preserve"> </w:t>
      </w:r>
      <w:r w:rsidR="00EF6A3D" w:rsidRPr="004D3316">
        <w:rPr>
          <w:szCs w:val="24"/>
          <w:shd w:val="clear" w:color="auto" w:fill="FFFFFF"/>
        </w:rPr>
        <w:tab/>
      </w:r>
      <w:r w:rsidR="00EF6A3D" w:rsidRPr="004D3316">
        <w:rPr>
          <w:szCs w:val="24"/>
          <w:shd w:val="clear" w:color="auto" w:fill="FFFFFF"/>
        </w:rPr>
        <w:tab/>
      </w:r>
      <w:r w:rsidR="00EF6A3D" w:rsidRPr="004D3316">
        <w:rPr>
          <w:szCs w:val="24"/>
          <w:shd w:val="clear" w:color="auto" w:fill="FFFFFF"/>
        </w:rPr>
        <w:tab/>
        <w:t>(2.1),</w:t>
      </w:r>
    </w:p>
    <w:p w14:paraId="09FC35F7" w14:textId="0C65DADB" w:rsidR="00EF6A3D" w:rsidRPr="004D3316" w:rsidRDefault="00EF6A3D" w:rsidP="00EF6A3D">
      <w:pPr>
        <w:spacing w:line="480" w:lineRule="auto"/>
        <w:rPr>
          <w:szCs w:val="24"/>
          <w:shd w:val="clear" w:color="auto" w:fill="FFFFFF"/>
        </w:rPr>
      </w:pPr>
      <w:r w:rsidRPr="004D3316">
        <w:rPr>
          <w:szCs w:val="24"/>
          <w:shd w:val="clear" w:color="auto" w:fill="FFFFFF"/>
        </w:rPr>
        <w:t xml:space="preserve">where </w:t>
      </w:r>
      <w:r w:rsidRPr="004D3316">
        <w:rPr>
          <w:i/>
          <w:szCs w:val="24"/>
          <w:shd w:val="clear" w:color="auto" w:fill="FFFFFF"/>
        </w:rPr>
        <w:t>β</w:t>
      </w:r>
      <w:r w:rsidRPr="004D3316">
        <w:rPr>
          <w:szCs w:val="24"/>
          <w:shd w:val="clear" w:color="auto" w:fill="FFFFFF"/>
          <w:vertAlign w:val="subscript"/>
        </w:rPr>
        <w:t>1</w:t>
      </w:r>
      <w:r w:rsidRPr="004D3316">
        <w:rPr>
          <w:szCs w:val="24"/>
          <w:shd w:val="clear" w:color="auto" w:fill="FFFFFF"/>
        </w:rPr>
        <w:t>-</w:t>
      </w:r>
      <w:r w:rsidRPr="004D3316">
        <w:rPr>
          <w:i/>
          <w:szCs w:val="24"/>
          <w:shd w:val="clear" w:color="auto" w:fill="FFFFFF"/>
        </w:rPr>
        <w:t>β</w:t>
      </w:r>
      <w:r w:rsidR="00FA70FB" w:rsidRPr="004D3316">
        <w:rPr>
          <w:szCs w:val="24"/>
          <w:shd w:val="clear" w:color="auto" w:fill="FFFFFF"/>
          <w:vertAlign w:val="subscript"/>
        </w:rPr>
        <w:t>6</w:t>
      </w:r>
      <w:r w:rsidRPr="004D3316">
        <w:rPr>
          <w:szCs w:val="24"/>
          <w:shd w:val="clear" w:color="auto" w:fill="FFFFFF"/>
        </w:rPr>
        <w:t xml:space="preserve"> were separately estimated effects that heightened or dampened the effects of trophic level differences on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the </w:t>
      </w:r>
      <w:r w:rsidRPr="004D3316">
        <w:rPr>
          <w:i/>
          <w:szCs w:val="24"/>
          <w:shd w:val="clear" w:color="auto" w:fill="FFFFFF"/>
        </w:rPr>
        <w:t>j</w:t>
      </w:r>
      <w:r w:rsidRPr="004D3316">
        <w:rPr>
          <w:szCs w:val="24"/>
          <w:shd w:val="clear" w:color="auto" w:fill="FFFFFF"/>
        </w:rPr>
        <w:t xml:space="preserve"> values of </w:t>
      </w:r>
      <w:r w:rsidRPr="004D3316">
        <w:rPr>
          <w:i/>
          <w:szCs w:val="24"/>
          <w:shd w:val="clear" w:color="auto" w:fill="FFFFFF"/>
        </w:rPr>
        <w:t>t</w:t>
      </w:r>
      <w:r w:rsidRPr="004D3316">
        <w:rPr>
          <w:i/>
          <w:szCs w:val="24"/>
          <w:shd w:val="clear" w:color="auto" w:fill="FFFFFF"/>
          <w:vertAlign w:val="subscript"/>
        </w:rPr>
        <w:t>j</w:t>
      </w:r>
      <w:r w:rsidRPr="004D3316">
        <w:rPr>
          <w:i/>
          <w:szCs w:val="24"/>
          <w:shd w:val="clear" w:color="auto" w:fill="FFFFFF"/>
        </w:rPr>
        <w:t xml:space="preserve"> </w:t>
      </w:r>
      <w:r w:rsidRPr="004D3316">
        <w:rPr>
          <w:szCs w:val="24"/>
          <w:shd w:val="clear" w:color="auto" w:fill="FFFFFF"/>
        </w:rPr>
        <w:t xml:space="preserve">were each separately estimated effects that described average effects of trophic level differences on </w:t>
      </w:r>
      <w:r w:rsidRPr="004D3316">
        <w:rPr>
          <w:i/>
          <w:szCs w:val="24"/>
          <w:shd w:val="clear" w:color="auto" w:fill="FFFFFF"/>
        </w:rPr>
        <w:t>R</w:t>
      </w:r>
      <w:r w:rsidRPr="004D3316">
        <w:rPr>
          <w:i/>
          <w:szCs w:val="24"/>
          <w:shd w:val="clear" w:color="auto" w:fill="FFFFFF"/>
          <w:vertAlign w:val="subscript"/>
        </w:rPr>
        <w:t>i</w:t>
      </w:r>
      <w:r w:rsidRPr="004D3316">
        <w:rPr>
          <w:szCs w:val="24"/>
          <w:shd w:val="clear" w:color="auto" w:fill="FFFFFF"/>
        </w:rPr>
        <w:t xml:space="preserve">, </w:t>
      </w:r>
      <w:r w:rsidRPr="004D3316">
        <w:rPr>
          <w:i/>
          <w:szCs w:val="24"/>
          <w:shd w:val="clear" w:color="auto" w:fill="FFFFFF"/>
        </w:rPr>
        <w:t>β</w:t>
      </w:r>
      <w:r w:rsidR="00FA70FB" w:rsidRPr="004D3316">
        <w:rPr>
          <w:szCs w:val="24"/>
          <w:shd w:val="clear" w:color="auto" w:fill="FFFFFF"/>
          <w:vertAlign w:val="subscript"/>
        </w:rPr>
        <w:t>7</w:t>
      </w:r>
      <w:r w:rsidRPr="004D3316">
        <w:rPr>
          <w:szCs w:val="24"/>
          <w:shd w:val="clear" w:color="auto" w:fill="FFFFFF"/>
        </w:rPr>
        <w:t>-</w:t>
      </w:r>
      <w:r w:rsidRPr="004D3316">
        <w:rPr>
          <w:i/>
          <w:szCs w:val="24"/>
          <w:shd w:val="clear" w:color="auto" w:fill="FFFFFF"/>
        </w:rPr>
        <w:t>β</w:t>
      </w:r>
      <w:r w:rsidR="00FA70FB" w:rsidRPr="004D3316">
        <w:rPr>
          <w:szCs w:val="24"/>
          <w:shd w:val="clear" w:color="auto" w:fill="FFFFFF"/>
          <w:vertAlign w:val="subscript"/>
        </w:rPr>
        <w:t>12</w:t>
      </w:r>
      <w:r w:rsidRPr="004D3316">
        <w:rPr>
          <w:szCs w:val="24"/>
          <w:shd w:val="clear" w:color="auto" w:fill="FFFFFF"/>
        </w:rPr>
        <w:t xml:space="preserve"> accounted for variation in </w:t>
      </w:r>
      <w:r w:rsidRPr="004D3316">
        <w:rPr>
          <w:i/>
          <w:szCs w:val="24"/>
          <w:shd w:val="clear" w:color="auto" w:fill="FFFFFF"/>
        </w:rPr>
        <w:t>R</w:t>
      </w:r>
      <w:r w:rsidRPr="004D3316">
        <w:rPr>
          <w:i/>
          <w:szCs w:val="24"/>
          <w:shd w:val="clear" w:color="auto" w:fill="FFFFFF"/>
          <w:vertAlign w:val="subscript"/>
        </w:rPr>
        <w:t>i</w:t>
      </w:r>
      <w:r w:rsidRPr="004D3316">
        <w:rPr>
          <w:i/>
          <w:szCs w:val="24"/>
          <w:shd w:val="clear" w:color="auto" w:fill="FFFFFF"/>
        </w:rPr>
        <w:t xml:space="preserve"> </w:t>
      </w:r>
      <w:r w:rsidRPr="004D3316">
        <w:rPr>
          <w:szCs w:val="24"/>
          <w:shd w:val="clear" w:color="auto" w:fill="FFFFFF"/>
        </w:rPr>
        <w:t xml:space="preserve">due to study characteristics, </w:t>
      </w:r>
      <w:r w:rsidR="00FA70FB" w:rsidRPr="00D46BAE">
        <w:rPr>
          <w:i/>
          <w:szCs w:val="24"/>
          <w:shd w:val="clear" w:color="auto" w:fill="FFFFFF"/>
        </w:rPr>
        <w:t>o</w:t>
      </w:r>
      <w:r w:rsidR="00FA70FB" w:rsidRPr="004D3316">
        <w:rPr>
          <w:szCs w:val="24"/>
          <w:shd w:val="clear" w:color="auto" w:fill="FFFFFF"/>
        </w:rPr>
        <w:t xml:space="preserve">, </w:t>
      </w:r>
      <w:r w:rsidRPr="004D3316">
        <w:rPr>
          <w:i/>
          <w:szCs w:val="24"/>
          <w:shd w:val="clear" w:color="auto" w:fill="FFFFFF"/>
        </w:rPr>
        <w:t>s</w:t>
      </w:r>
      <w:r w:rsidRPr="004D3316">
        <w:rPr>
          <w:szCs w:val="24"/>
          <w:shd w:val="clear" w:color="auto" w:fill="FFFFFF"/>
        </w:rPr>
        <w:t xml:space="preserve">, </w:t>
      </w:r>
      <w:r w:rsidRPr="004D3316">
        <w:rPr>
          <w:i/>
          <w:szCs w:val="24"/>
          <w:shd w:val="clear" w:color="auto" w:fill="FFFFFF"/>
        </w:rPr>
        <w:t>b</w:t>
      </w:r>
      <w:r w:rsidRPr="004D3316">
        <w:rPr>
          <w:szCs w:val="24"/>
          <w:shd w:val="clear" w:color="auto" w:fill="FFFFFF"/>
        </w:rPr>
        <w:t xml:space="preserve">, and </w:t>
      </w:r>
      <w:r w:rsidRPr="004D3316">
        <w:rPr>
          <w:i/>
          <w:szCs w:val="24"/>
          <w:shd w:val="clear" w:color="auto" w:fill="FFFFFF"/>
        </w:rPr>
        <w:t>r</w:t>
      </w:r>
      <w:r w:rsidRPr="004D3316">
        <w:rPr>
          <w:szCs w:val="24"/>
          <w:shd w:val="clear" w:color="auto" w:fill="FFFFFF"/>
        </w:rPr>
        <w:t xml:space="preserve"> parameters were each sampled from zero-mean normal distributions with separately estimated SDs, and </w:t>
      </w:r>
      <w:r w:rsidRPr="004D3316">
        <w:rPr>
          <w:i/>
          <w:szCs w:val="24"/>
          <w:shd w:val="clear" w:color="auto" w:fill="FFFFFF"/>
        </w:rPr>
        <w:t>ε</w:t>
      </w:r>
      <w:r w:rsidRPr="004D3316">
        <w:rPr>
          <w:i/>
          <w:szCs w:val="24"/>
          <w:shd w:val="clear" w:color="auto" w:fill="FFFFFF"/>
          <w:vertAlign w:val="subscript"/>
        </w:rPr>
        <w:t>i</w:t>
      </w:r>
      <w:r w:rsidRPr="004D3316">
        <w:rPr>
          <w:szCs w:val="24"/>
          <w:shd w:val="clear" w:color="auto" w:fill="FFFFFF"/>
        </w:rPr>
        <w:t xml:space="preserve"> was estimated n</w:t>
      </w:r>
      <w:r w:rsidR="00BF5580" w:rsidRPr="004D3316">
        <w:rPr>
          <w:szCs w:val="24"/>
          <w:shd w:val="clear" w:color="auto" w:fill="FFFFFF"/>
        </w:rPr>
        <w:t>ormally-distributed error.  The</w:t>
      </w:r>
      <w:r w:rsidRPr="004D3316">
        <w:rPr>
          <w:szCs w:val="24"/>
          <w:shd w:val="clear" w:color="auto" w:fill="FFFFFF"/>
        </w:rPr>
        <w:t xml:space="preserve"> formulation meant that it was straightforward to determine when </w:t>
      </w:r>
      <w:r w:rsidRPr="004D3316">
        <w:rPr>
          <w:i/>
          <w:szCs w:val="24"/>
          <w:shd w:val="clear" w:color="auto" w:fill="FFFFFF"/>
        </w:rPr>
        <w:t>t</w:t>
      </w:r>
      <w:r w:rsidRPr="004D3316">
        <w:rPr>
          <w:i/>
          <w:szCs w:val="24"/>
          <w:shd w:val="clear" w:color="auto" w:fill="FFFFFF"/>
          <w:vertAlign w:val="subscript"/>
        </w:rPr>
        <w:t>j</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Pr="004D3316">
        <w:rPr>
          <w:i/>
          <w:szCs w:val="24"/>
          <w:shd w:val="clear" w:color="auto" w:fill="FFFFFF"/>
        </w:rPr>
        <w:t xml:space="preserve"> </w:t>
      </w:r>
      <w:r w:rsidRPr="004D3316">
        <w:rPr>
          <w:szCs w:val="24"/>
          <w:shd w:val="clear" w:color="auto" w:fill="FFFFFF"/>
        </w:rPr>
        <w:t xml:space="preserve">was unmodified, as the predictors would be 0 and the exponent would simplify to 1.  </w:t>
      </w:r>
    </w:p>
    <w:p w14:paraId="2BAEEDB8" w14:textId="77777777" w:rsidR="00EF6A3D" w:rsidRPr="004D3316" w:rsidRDefault="00EF6A3D" w:rsidP="00EF6A3D">
      <w:pPr>
        <w:spacing w:line="480" w:lineRule="auto"/>
        <w:ind w:firstLine="720"/>
        <w:rPr>
          <w:szCs w:val="24"/>
          <w:shd w:val="clear" w:color="auto" w:fill="FFFFFF"/>
        </w:rPr>
      </w:pPr>
      <w:r w:rsidRPr="004D3316">
        <w:rPr>
          <w:szCs w:val="24"/>
          <w:shd w:val="clear" w:color="auto" w:fill="FFFFFF"/>
        </w:rPr>
        <w:t xml:space="preserve">We simultaneously fitted our model to all observations of unintentional and intentional rewilding.  For the latter, 18 of the 19 observations involved a one-trophic-level difference between </w:t>
      </w:r>
      <w:r w:rsidRPr="004D3316">
        <w:rPr>
          <w:szCs w:val="24"/>
          <w:shd w:val="clear" w:color="auto" w:fill="FFFFFF"/>
        </w:rPr>
        <w:lastRenderedPageBreak/>
        <w:t xml:space="preserve">the introduced species and the response, so we dropped the one extraneous measurement from the analysis.  We did so because we wanted to estimate separate effects for </w:t>
      </w:r>
      <w:r w:rsidRPr="004D3316">
        <w:rPr>
          <w:i/>
          <w:szCs w:val="24"/>
          <w:shd w:val="clear" w:color="auto" w:fill="FFFFFF"/>
        </w:rPr>
        <w:t>t</w:t>
      </w:r>
      <w:r w:rsidRPr="004D3316">
        <w:rPr>
          <w:i/>
          <w:szCs w:val="24"/>
          <w:shd w:val="clear" w:color="auto" w:fill="FFFFFF"/>
          <w:vertAlign w:val="subscript"/>
        </w:rPr>
        <w:t>j</w:t>
      </w:r>
      <w:r w:rsidRPr="004D3316">
        <w:rPr>
          <w:szCs w:val="24"/>
          <w:shd w:val="clear" w:color="auto" w:fill="FFFFFF"/>
          <w:vertAlign w:val="subscript"/>
        </w:rPr>
        <w:t>[</w:t>
      </w:r>
      <w:r w:rsidRPr="004D3316">
        <w:rPr>
          <w:i/>
          <w:szCs w:val="24"/>
          <w:shd w:val="clear" w:color="auto" w:fill="FFFFFF"/>
          <w:vertAlign w:val="subscript"/>
        </w:rPr>
        <w:t>i</w:t>
      </w:r>
      <w:r w:rsidRPr="004D3316">
        <w:rPr>
          <w:szCs w:val="24"/>
          <w:shd w:val="clear" w:color="auto" w:fill="FFFFFF"/>
          <w:vertAlign w:val="subscript"/>
        </w:rPr>
        <w:t>]</w:t>
      </w:r>
      <w:r w:rsidRPr="004D3316">
        <w:rPr>
          <w:i/>
          <w:szCs w:val="24"/>
          <w:shd w:val="clear" w:color="auto" w:fill="FFFFFF"/>
        </w:rPr>
        <w:t xml:space="preserve"> </w:t>
      </w:r>
      <w:r w:rsidRPr="004D3316">
        <w:rPr>
          <w:szCs w:val="24"/>
          <w:shd w:val="clear" w:color="auto" w:fill="FFFFFF"/>
        </w:rPr>
        <w:t>with intentional rewilding as compared with unintentional rewilding and could not do so with a single observation.</w:t>
      </w:r>
    </w:p>
    <w:p w14:paraId="70E26D07" w14:textId="77777777" w:rsidR="00EF6A3D" w:rsidRPr="004D3316" w:rsidRDefault="00EF6A3D" w:rsidP="00EF6A3D">
      <w:pPr>
        <w:spacing w:line="480" w:lineRule="auto"/>
        <w:rPr>
          <w:szCs w:val="24"/>
          <w:shd w:val="clear" w:color="auto" w:fill="FFFFFF"/>
        </w:rPr>
      </w:pPr>
    </w:p>
    <w:p w14:paraId="397DA6CC" w14:textId="77777777" w:rsidR="00EF6A3D" w:rsidRPr="004D3316" w:rsidRDefault="00EF6A3D" w:rsidP="00EF6A3D">
      <w:pPr>
        <w:spacing w:line="480" w:lineRule="auto"/>
        <w:rPr>
          <w:i/>
          <w:szCs w:val="24"/>
          <w:shd w:val="clear" w:color="auto" w:fill="FFFFFF"/>
        </w:rPr>
      </w:pPr>
      <w:r w:rsidRPr="004D3316">
        <w:rPr>
          <w:i/>
          <w:szCs w:val="24"/>
          <w:shd w:val="clear" w:color="auto" w:fill="FFFFFF"/>
        </w:rPr>
        <w:t>(d) Model estimation</w:t>
      </w:r>
    </w:p>
    <w:p w14:paraId="2474A053" w14:textId="3A89B1CA" w:rsidR="00EF6A3D" w:rsidRPr="004D3316" w:rsidRDefault="00EF6A3D" w:rsidP="00EF6A3D">
      <w:pPr>
        <w:spacing w:line="480" w:lineRule="auto"/>
        <w:rPr>
          <w:szCs w:val="24"/>
        </w:rPr>
      </w:pPr>
      <w:r w:rsidRPr="004D3316">
        <w:rPr>
          <w:szCs w:val="24"/>
          <w:shd w:val="clear" w:color="auto" w:fill="FFFFFF"/>
        </w:rPr>
        <w:t>We fitted equation 2.1 to our data using Hamiltonian M</w:t>
      </w:r>
      <w:r w:rsidR="00BF5580" w:rsidRPr="004D3316">
        <w:rPr>
          <w:szCs w:val="24"/>
          <w:shd w:val="clear" w:color="auto" w:fill="FFFFFF"/>
        </w:rPr>
        <w:t xml:space="preserve">onte Carlo sampling by calling </w:t>
      </w:r>
      <w:r w:rsidRPr="004D3316">
        <w:rPr>
          <w:szCs w:val="24"/>
          <w:shd w:val="clear" w:color="auto" w:fill="FFFFFF"/>
        </w:rPr>
        <w:t>Stan v2.16 from R v3.4 (4</w:t>
      </w:r>
      <w:r w:rsidR="004D3316">
        <w:rPr>
          <w:szCs w:val="24"/>
          <w:shd w:val="clear" w:color="auto" w:fill="FFFFFF"/>
        </w:rPr>
        <w:t>4</w:t>
      </w:r>
      <w:r w:rsidRPr="004D3316">
        <w:rPr>
          <w:szCs w:val="24"/>
          <w:shd w:val="clear" w:color="auto" w:fill="FFFFFF"/>
        </w:rPr>
        <w:t xml:space="preserve">).  Full details are given in Text S2 and </w:t>
      </w:r>
      <w:r w:rsidRPr="004D3316">
        <w:rPr>
          <w:szCs w:val="24"/>
        </w:rPr>
        <w:t>model code is given in Data S2.  To infer effects, we calculated posterior means and 95% credible intervals (CIs) for</w:t>
      </w:r>
      <w:r w:rsidRPr="004D3316">
        <w:rPr>
          <w:szCs w:val="24"/>
          <w:shd w:val="clear" w:color="auto" w:fill="FFFFFF"/>
        </w:rPr>
        <w:t xml:space="preserve"> each parameter by drawing a subset of 800 simulations.  We did not reject hypotheses if 95% CIs for associated effects excluded 0.  All covariates were standardized to a common scale with a mean of 0 and SD of 1 to compare the relative importance of different effects.  </w:t>
      </w:r>
    </w:p>
    <w:p w14:paraId="29375D2E" w14:textId="041CF371" w:rsidR="00EF6A3D" w:rsidRPr="004D3316" w:rsidRDefault="00EF6A3D" w:rsidP="007D65FE">
      <w:pPr>
        <w:spacing w:line="480" w:lineRule="auto"/>
        <w:ind w:firstLine="720"/>
        <w:rPr>
          <w:szCs w:val="24"/>
          <w:shd w:val="clear" w:color="auto" w:fill="FFFFFF"/>
        </w:rPr>
      </w:pPr>
      <w:r w:rsidRPr="004D3316">
        <w:rPr>
          <w:szCs w:val="24"/>
          <w:shd w:val="clear" w:color="auto" w:fill="FFFFFF"/>
        </w:rPr>
        <w:t xml:space="preserve">Finally, we tested for bias in the estimated effect sizes using residuals from our meta-regression model.  </w:t>
      </w:r>
      <w:r w:rsidR="00BD739E" w:rsidRPr="004D3316">
        <w:rPr>
          <w:szCs w:val="24"/>
          <w:shd w:val="clear" w:color="auto" w:fill="FFFFFF"/>
        </w:rPr>
        <w:t>Results from studies with a small sample size will have lower precision</w:t>
      </w:r>
      <w:r w:rsidR="007D65FE" w:rsidRPr="004D3316">
        <w:rPr>
          <w:szCs w:val="24"/>
          <w:shd w:val="clear" w:color="auto" w:fill="FFFFFF"/>
        </w:rPr>
        <w:t xml:space="preserve"> (i.e. reciprocal of the SD)</w:t>
      </w:r>
      <w:r w:rsidR="00BD739E" w:rsidRPr="004D3316">
        <w:rPr>
          <w:szCs w:val="24"/>
          <w:shd w:val="clear" w:color="auto" w:fill="FFFFFF"/>
        </w:rPr>
        <w:t xml:space="preserve"> and thus relatively more variation in their effects</w:t>
      </w:r>
      <w:r w:rsidR="007D65FE" w:rsidRPr="004D3316">
        <w:rPr>
          <w:szCs w:val="24"/>
          <w:shd w:val="clear" w:color="auto" w:fill="FFFFFF"/>
        </w:rPr>
        <w:t>.  Consequently, in the absence of bias,</w:t>
      </w:r>
      <w:r w:rsidR="00BD739E" w:rsidRPr="004D3316">
        <w:rPr>
          <w:szCs w:val="24"/>
          <w:shd w:val="clear" w:color="auto" w:fill="FFFFFF"/>
        </w:rPr>
        <w:t xml:space="preserve"> </w:t>
      </w:r>
      <w:r w:rsidR="007D65FE" w:rsidRPr="004D3316">
        <w:rPr>
          <w:szCs w:val="24"/>
          <w:shd w:val="clear" w:color="auto" w:fill="FFFFFF"/>
        </w:rPr>
        <w:t>t</w:t>
      </w:r>
      <w:r w:rsidR="00BD739E" w:rsidRPr="004D3316">
        <w:rPr>
          <w:szCs w:val="24"/>
          <w:shd w:val="clear" w:color="auto" w:fill="FFFFFF"/>
        </w:rPr>
        <w:t xml:space="preserve">he spread in effect sizes </w:t>
      </w:r>
      <w:r w:rsidR="007D65FE" w:rsidRPr="004D3316">
        <w:rPr>
          <w:szCs w:val="24"/>
          <w:shd w:val="clear" w:color="auto" w:fill="FFFFFF"/>
        </w:rPr>
        <w:t>should</w:t>
      </w:r>
      <w:r w:rsidR="00BD739E" w:rsidRPr="004D3316">
        <w:rPr>
          <w:szCs w:val="24"/>
          <w:shd w:val="clear" w:color="auto" w:fill="FFFFFF"/>
        </w:rPr>
        <w:t xml:space="preserve"> decrease with increasing precision</w:t>
      </w:r>
      <w:r w:rsidR="007D65FE" w:rsidRPr="004D3316">
        <w:rPr>
          <w:szCs w:val="24"/>
          <w:shd w:val="clear" w:color="auto" w:fill="FFFFFF"/>
        </w:rPr>
        <w:t>.  Selection biases (e.g. smaller studies with no statistically significant effect remaining unpublished), “true” heterogeneity between studies (e.g. if studies estimate different underlying effects), and other irregularities can result in deviations from this pattern</w:t>
      </w:r>
      <w:r w:rsidR="00501E80">
        <w:rPr>
          <w:szCs w:val="24"/>
          <w:shd w:val="clear" w:color="auto" w:fill="FFFFFF"/>
        </w:rPr>
        <w:t xml:space="preserve"> (45</w:t>
      </w:r>
      <w:r w:rsidR="00C977B7" w:rsidRPr="004D3316">
        <w:rPr>
          <w:szCs w:val="24"/>
          <w:shd w:val="clear" w:color="auto" w:fill="FFFFFF"/>
        </w:rPr>
        <w:t>)</w:t>
      </w:r>
      <w:r w:rsidR="007D65FE" w:rsidRPr="004D3316">
        <w:rPr>
          <w:szCs w:val="24"/>
          <w:shd w:val="clear" w:color="auto" w:fill="FFFFFF"/>
        </w:rPr>
        <w:t>, and we tested for such biases by modelling</w:t>
      </w:r>
      <w:r w:rsidR="00BD739E" w:rsidRPr="004D3316">
        <w:rPr>
          <w:szCs w:val="24"/>
          <w:shd w:val="clear" w:color="auto" w:fill="FFFFFF"/>
        </w:rPr>
        <w:t xml:space="preserve"> </w:t>
      </w:r>
      <w:r w:rsidR="007D65FE" w:rsidRPr="004D3316">
        <w:rPr>
          <w:szCs w:val="24"/>
          <w:shd w:val="clear" w:color="auto" w:fill="FFFFFF"/>
        </w:rPr>
        <w:t>w</w:t>
      </w:r>
      <w:r w:rsidRPr="004D3316">
        <w:rPr>
          <w:szCs w:val="24"/>
          <w:shd w:val="clear" w:color="auto" w:fill="FFFFFF"/>
        </w:rPr>
        <w:t>eighted residuals as a linear function of the associated precision</w:t>
      </w:r>
      <w:r w:rsidR="007D65FE" w:rsidRPr="004D3316">
        <w:rPr>
          <w:szCs w:val="24"/>
          <w:shd w:val="clear" w:color="auto" w:fill="FFFFFF"/>
        </w:rPr>
        <w:t xml:space="preserve"> (</w:t>
      </w:r>
      <w:r w:rsidR="00501E80">
        <w:rPr>
          <w:szCs w:val="24"/>
          <w:shd w:val="clear" w:color="auto" w:fill="FFFFFF"/>
        </w:rPr>
        <w:t>46</w:t>
      </w:r>
      <w:r w:rsidR="007D65FE" w:rsidRPr="004D3316">
        <w:rPr>
          <w:szCs w:val="24"/>
          <w:shd w:val="clear" w:color="auto" w:fill="FFFFFF"/>
        </w:rPr>
        <w:t>)</w:t>
      </w:r>
      <w:r w:rsidR="00B0285A" w:rsidRPr="004D3316">
        <w:rPr>
          <w:szCs w:val="24"/>
          <w:shd w:val="clear" w:color="auto" w:fill="FFFFFF"/>
        </w:rPr>
        <w:t>.</w:t>
      </w:r>
      <w:r w:rsidRPr="004D3316">
        <w:rPr>
          <w:szCs w:val="24"/>
          <w:shd w:val="clear" w:color="auto" w:fill="FFFFFF"/>
        </w:rPr>
        <w:t xml:space="preserve"> </w:t>
      </w:r>
      <w:r w:rsidR="00B0285A" w:rsidRPr="004D3316">
        <w:rPr>
          <w:szCs w:val="24"/>
          <w:shd w:val="clear" w:color="auto" w:fill="FFFFFF"/>
        </w:rPr>
        <w:t xml:space="preserve"> </w:t>
      </w:r>
      <w:r w:rsidR="00C977B7" w:rsidRPr="004D3316">
        <w:rPr>
          <w:szCs w:val="24"/>
          <w:shd w:val="clear" w:color="auto" w:fill="FFFFFF"/>
        </w:rPr>
        <w:t>B</w:t>
      </w:r>
      <w:r w:rsidRPr="004D3316">
        <w:rPr>
          <w:szCs w:val="24"/>
          <w:shd w:val="clear" w:color="auto" w:fill="FFFFFF"/>
        </w:rPr>
        <w:t>ias was inferred if the resulting intercept excluded zero (4</w:t>
      </w:r>
      <w:r w:rsidR="00501E80">
        <w:rPr>
          <w:szCs w:val="24"/>
          <w:shd w:val="clear" w:color="auto" w:fill="FFFFFF"/>
        </w:rPr>
        <w:t>7</w:t>
      </w:r>
      <w:r w:rsidRPr="004D3316">
        <w:rPr>
          <w:szCs w:val="24"/>
          <w:shd w:val="clear" w:color="auto" w:fill="FFFFFF"/>
        </w:rPr>
        <w:t>).</w:t>
      </w:r>
    </w:p>
    <w:p w14:paraId="4BFE7D0F" w14:textId="77777777" w:rsidR="00EF6A3D" w:rsidRPr="004D3316" w:rsidRDefault="00EF6A3D" w:rsidP="00EF6A3D">
      <w:pPr>
        <w:spacing w:line="480" w:lineRule="auto"/>
        <w:rPr>
          <w:b/>
          <w:szCs w:val="24"/>
          <w:shd w:val="clear" w:color="auto" w:fill="FFFFFF"/>
        </w:rPr>
      </w:pPr>
    </w:p>
    <w:p w14:paraId="7D108FFF" w14:textId="77777777" w:rsidR="00EF6A3D" w:rsidRPr="004D3316" w:rsidRDefault="00EF6A3D" w:rsidP="00EF6A3D">
      <w:pPr>
        <w:spacing w:line="480" w:lineRule="auto"/>
        <w:rPr>
          <w:rFonts w:ascii="MyriadPro-Cond" w:hAnsi="MyriadPro-Cond"/>
          <w:sz w:val="28"/>
          <w:szCs w:val="28"/>
          <w:shd w:val="clear" w:color="auto" w:fill="FFFFFF"/>
        </w:rPr>
      </w:pPr>
      <w:r w:rsidRPr="004D3316">
        <w:rPr>
          <w:rFonts w:ascii="MyriadPro-Cond" w:hAnsi="MyriadPro-Cond"/>
          <w:sz w:val="28"/>
          <w:szCs w:val="28"/>
          <w:shd w:val="clear" w:color="auto" w:fill="FFFFFF"/>
        </w:rPr>
        <w:t>3. Results</w:t>
      </w:r>
    </w:p>
    <w:p w14:paraId="7F712AE2" w14:textId="77777777" w:rsidR="00EF6A3D" w:rsidRPr="004D3316" w:rsidRDefault="00EF6A3D" w:rsidP="00EF6A3D">
      <w:pPr>
        <w:spacing w:line="480" w:lineRule="auto"/>
        <w:rPr>
          <w:i/>
          <w:szCs w:val="24"/>
        </w:rPr>
      </w:pPr>
      <w:r w:rsidRPr="004D3316">
        <w:rPr>
          <w:i/>
          <w:szCs w:val="24"/>
        </w:rPr>
        <w:t>(a) Geographic, taxonomic, and publication biases</w:t>
      </w:r>
    </w:p>
    <w:p w14:paraId="33872D0B" w14:textId="2BD3028D" w:rsidR="00EF6A3D" w:rsidRPr="004D3316" w:rsidRDefault="00EF6A3D" w:rsidP="00EF6A3D">
      <w:pPr>
        <w:spacing w:line="480" w:lineRule="auto"/>
        <w:rPr>
          <w:szCs w:val="24"/>
        </w:rPr>
      </w:pPr>
      <w:r w:rsidRPr="004D3316">
        <w:rPr>
          <w:szCs w:val="24"/>
        </w:rPr>
        <w:t xml:space="preserve">Our final database showed strong geographic and taxonomic </w:t>
      </w:r>
      <w:r w:rsidR="004004DE">
        <w:rPr>
          <w:szCs w:val="24"/>
        </w:rPr>
        <w:t>biases (Fig. 1).  We amassed 158</w:t>
      </w:r>
      <w:r w:rsidRPr="004D3316">
        <w:rPr>
          <w:szCs w:val="24"/>
        </w:rPr>
        <w:t xml:space="preserve"> observations from 6 studies of intentional trophic rewilding and 45 studies of unintentional rewilding.  Most (78%) of these observations came from the Southern Hemisphere (Fig. 1a), corresponding to </w:t>
      </w:r>
      <w:r w:rsidRPr="004D3316">
        <w:rPr>
          <w:szCs w:val="24"/>
        </w:rPr>
        <w:lastRenderedPageBreak/>
        <w:t>the biomass (i.e. height, abundance, cover, density) and life history (e.g. reproduction, dispersal, survival) of lower trophic levels (42% and 25% of all observations, respectively), with relatively fewer observations (≤10%) monitoring species richness and behavioural responses (Fig. 1b).  Data mostly (6</w:t>
      </w:r>
      <w:r w:rsidR="0002547E">
        <w:rPr>
          <w:szCs w:val="24"/>
        </w:rPr>
        <w:t>1</w:t>
      </w:r>
      <w:r w:rsidRPr="004D3316">
        <w:rPr>
          <w:szCs w:val="24"/>
        </w:rPr>
        <w:t xml:space="preserve">%) were recorded in temperate forests and woodlands, with no other biome represented by more than 11% of the observations (Fig 1c).  </w:t>
      </w:r>
      <w:bookmarkStart w:id="0" w:name="_Hlk524329235"/>
      <w:r w:rsidRPr="004D3316">
        <w:rPr>
          <w:szCs w:val="24"/>
        </w:rPr>
        <w:t xml:space="preserve">Responses </w:t>
      </w:r>
      <w:r w:rsidR="002A589E">
        <w:rPr>
          <w:szCs w:val="24"/>
        </w:rPr>
        <w:t xml:space="preserve">were </w:t>
      </w:r>
      <w:r w:rsidRPr="004D3316">
        <w:rPr>
          <w:szCs w:val="24"/>
        </w:rPr>
        <w:t xml:space="preserve">mostly </w:t>
      </w:r>
      <w:r w:rsidR="002A589E">
        <w:rPr>
          <w:szCs w:val="24"/>
        </w:rPr>
        <w:t>measured</w:t>
      </w:r>
      <w:r w:rsidRPr="004D3316">
        <w:rPr>
          <w:szCs w:val="24"/>
        </w:rPr>
        <w:t xml:space="preserve"> one trophic level </w:t>
      </w:r>
      <w:r w:rsidR="002A589E">
        <w:rPr>
          <w:szCs w:val="24"/>
        </w:rPr>
        <w:t xml:space="preserve">beneath the (re)introduced species </w:t>
      </w:r>
      <w:r w:rsidRPr="004D3316">
        <w:rPr>
          <w:szCs w:val="24"/>
        </w:rPr>
        <w:t>(6</w:t>
      </w:r>
      <w:r w:rsidR="00361722" w:rsidRPr="004D3316">
        <w:rPr>
          <w:szCs w:val="24"/>
        </w:rPr>
        <w:t>5</w:t>
      </w:r>
      <w:r w:rsidRPr="004D3316">
        <w:rPr>
          <w:szCs w:val="24"/>
        </w:rPr>
        <w:t>%)</w:t>
      </w:r>
      <w:bookmarkEnd w:id="0"/>
      <w:r w:rsidRPr="004D3316">
        <w:rPr>
          <w:szCs w:val="24"/>
        </w:rPr>
        <w:t xml:space="preserve">, with fewer observations between two- and three-trophic levels (18% and </w:t>
      </w:r>
      <w:r w:rsidR="0002547E">
        <w:rPr>
          <w:szCs w:val="24"/>
        </w:rPr>
        <w:t>10</w:t>
      </w:r>
      <w:r w:rsidRPr="004D3316">
        <w:rPr>
          <w:szCs w:val="24"/>
        </w:rPr>
        <w:t>%, respectively)</w:t>
      </w:r>
      <w:r w:rsidR="0002719C" w:rsidRPr="004D3316">
        <w:rPr>
          <w:szCs w:val="24"/>
        </w:rPr>
        <w:t xml:space="preserve">, and </w:t>
      </w:r>
      <w:r w:rsidR="000C2FB6" w:rsidRPr="004D3316">
        <w:rPr>
          <w:szCs w:val="24"/>
        </w:rPr>
        <w:t xml:space="preserve">were evenly </w:t>
      </w:r>
      <w:r w:rsidR="000C2FB6" w:rsidRPr="0002547E">
        <w:rPr>
          <w:szCs w:val="24"/>
        </w:rPr>
        <w:t>split among introductions of carnivores (32%), herbivores (35%), and omnivores (33%)</w:t>
      </w:r>
      <w:r w:rsidRPr="0002547E">
        <w:rPr>
          <w:szCs w:val="24"/>
        </w:rPr>
        <w:t>.  The introduced species were overwhelmingly mammals (88%), with the remaining observations involving reptiles (Fig. 1a).  Modelled effect sizes showed no evidence of bias (95% CI for intercept: -0.18 to 0.1</w:t>
      </w:r>
      <w:r w:rsidR="008A4CBD">
        <w:rPr>
          <w:szCs w:val="24"/>
        </w:rPr>
        <w:t>3</w:t>
      </w:r>
      <w:r w:rsidRPr="0002547E">
        <w:rPr>
          <w:szCs w:val="24"/>
        </w:rPr>
        <w:t xml:space="preserve">; Fig. S1).  Overall, our meta-regression model fitted the data reasonably well (95% CI for Bayesian </w:t>
      </w:r>
      <w:r w:rsidRPr="0002547E">
        <w:rPr>
          <w:i/>
          <w:szCs w:val="24"/>
        </w:rPr>
        <w:t>R</w:t>
      </w:r>
      <w:r w:rsidRPr="0002547E">
        <w:rPr>
          <w:szCs w:val="24"/>
          <w:vertAlign w:val="superscript"/>
        </w:rPr>
        <w:t>2</w:t>
      </w:r>
      <w:r w:rsidRPr="0002547E">
        <w:rPr>
          <w:szCs w:val="24"/>
        </w:rPr>
        <w:t>: 0.6</w:t>
      </w:r>
      <w:r w:rsidR="008A4CBD">
        <w:rPr>
          <w:szCs w:val="24"/>
        </w:rPr>
        <w:t>5</w:t>
      </w:r>
      <w:r w:rsidRPr="0002547E">
        <w:rPr>
          <w:szCs w:val="24"/>
        </w:rPr>
        <w:t xml:space="preserve"> to 0.8</w:t>
      </w:r>
      <w:r w:rsidR="0002547E" w:rsidRPr="0002547E">
        <w:rPr>
          <w:szCs w:val="24"/>
        </w:rPr>
        <w:t>1</w:t>
      </w:r>
      <w:r w:rsidRPr="0002547E">
        <w:rPr>
          <w:szCs w:val="24"/>
        </w:rPr>
        <w:t>; Fig. S2).</w:t>
      </w:r>
    </w:p>
    <w:p w14:paraId="63D7CC18" w14:textId="77777777" w:rsidR="00EF6A3D" w:rsidRPr="004D3316" w:rsidRDefault="00EF6A3D" w:rsidP="00EF6A3D">
      <w:pPr>
        <w:spacing w:line="480" w:lineRule="auto"/>
        <w:rPr>
          <w:szCs w:val="24"/>
        </w:rPr>
      </w:pPr>
    </w:p>
    <w:p w14:paraId="68BDB166" w14:textId="77777777" w:rsidR="00EF6A3D" w:rsidRPr="004D3316" w:rsidRDefault="00EF6A3D" w:rsidP="00EF6A3D">
      <w:pPr>
        <w:spacing w:line="480" w:lineRule="auto"/>
        <w:rPr>
          <w:i/>
          <w:szCs w:val="24"/>
        </w:rPr>
      </w:pPr>
      <w:r w:rsidRPr="004D3316">
        <w:rPr>
          <w:i/>
          <w:szCs w:val="24"/>
        </w:rPr>
        <w:t>(b) Are species introductions a form of unintentional rewilding?</w:t>
      </w:r>
    </w:p>
    <w:p w14:paraId="504B797C" w14:textId="1BA52FC7" w:rsidR="00EF6A3D" w:rsidRPr="004D3316" w:rsidRDefault="00EF6A3D" w:rsidP="00EF6A3D">
      <w:pPr>
        <w:spacing w:line="480" w:lineRule="auto"/>
        <w:rPr>
          <w:szCs w:val="24"/>
        </w:rPr>
      </w:pPr>
      <w:r w:rsidRPr="004D3316">
        <w:rPr>
          <w:szCs w:val="24"/>
        </w:rPr>
        <w:t xml:space="preserve">Unintentional rewilding had similar effects on lower trophic levels as the few cases where introductions </w:t>
      </w:r>
      <w:r w:rsidR="002E309D" w:rsidRPr="004D3316">
        <w:rPr>
          <w:szCs w:val="24"/>
        </w:rPr>
        <w:t xml:space="preserve">were </w:t>
      </w:r>
      <w:r w:rsidRPr="004D3316">
        <w:rPr>
          <w:szCs w:val="24"/>
        </w:rPr>
        <w:t xml:space="preserve">intended to restore top-down interactions (Fig. 2), suggesting that it could be used to understand the factors that generally influence trophic rewilding.  Responses that were one trophic level beneath introduced species – all cases of intentional rewilding in our dataset – were reduced, on average, by </w:t>
      </w:r>
      <w:r w:rsidR="0002547E">
        <w:rPr>
          <w:szCs w:val="24"/>
        </w:rPr>
        <w:t>79</w:t>
      </w:r>
      <w:r w:rsidRPr="004D3316">
        <w:rPr>
          <w:szCs w:val="24"/>
        </w:rPr>
        <w:t>% (95% CI: 2</w:t>
      </w:r>
      <w:r w:rsidR="0002547E">
        <w:rPr>
          <w:szCs w:val="24"/>
        </w:rPr>
        <w:t>4</w:t>
      </w:r>
      <w:r w:rsidRPr="004D3316">
        <w:rPr>
          <w:szCs w:val="24"/>
        </w:rPr>
        <w:t xml:space="preserve"> to 9</w:t>
      </w:r>
      <w:r w:rsidR="008D0A15">
        <w:rPr>
          <w:szCs w:val="24"/>
        </w:rPr>
        <w:t>9</w:t>
      </w:r>
      <w:r w:rsidRPr="004D3316">
        <w:rPr>
          <w:szCs w:val="24"/>
        </w:rPr>
        <w:t>%) by unintentional rewilding as compared with 7</w:t>
      </w:r>
      <w:r w:rsidR="008D0A15">
        <w:rPr>
          <w:szCs w:val="24"/>
        </w:rPr>
        <w:t>7</w:t>
      </w:r>
      <w:r w:rsidRPr="004D3316">
        <w:rPr>
          <w:szCs w:val="24"/>
        </w:rPr>
        <w:t xml:space="preserve">% (95% CI: </w:t>
      </w:r>
      <w:r w:rsidR="0002547E">
        <w:rPr>
          <w:szCs w:val="24"/>
        </w:rPr>
        <w:t>13</w:t>
      </w:r>
      <w:r w:rsidRPr="004D3316">
        <w:rPr>
          <w:szCs w:val="24"/>
        </w:rPr>
        <w:t xml:space="preserve"> to 99%) for intentional rewilding.  There was no difference between these two values (95% CI for difference: -</w:t>
      </w:r>
      <w:r w:rsidR="0002547E">
        <w:rPr>
          <w:szCs w:val="24"/>
        </w:rPr>
        <w:t>63 to 61</w:t>
      </w:r>
      <w:r w:rsidRPr="004D3316">
        <w:rPr>
          <w:szCs w:val="24"/>
        </w:rPr>
        <w:t>%).</w:t>
      </w:r>
    </w:p>
    <w:p w14:paraId="7A80654E" w14:textId="77777777" w:rsidR="00EF6A3D" w:rsidRPr="004D3316" w:rsidRDefault="00EF6A3D" w:rsidP="00EF6A3D">
      <w:pPr>
        <w:spacing w:line="480" w:lineRule="auto"/>
        <w:rPr>
          <w:i/>
          <w:szCs w:val="24"/>
        </w:rPr>
      </w:pPr>
    </w:p>
    <w:p w14:paraId="2ABB6AAE" w14:textId="77777777" w:rsidR="00EF6A3D" w:rsidRPr="004D3316" w:rsidRDefault="00EF6A3D" w:rsidP="00EF6A3D">
      <w:pPr>
        <w:spacing w:line="480" w:lineRule="auto"/>
        <w:rPr>
          <w:i/>
          <w:szCs w:val="24"/>
        </w:rPr>
      </w:pPr>
      <w:r w:rsidRPr="004D3316">
        <w:rPr>
          <w:i/>
          <w:szCs w:val="24"/>
        </w:rPr>
        <w:t>(c) How do the effects of unintentional rewilding vary across trophic levels?</w:t>
      </w:r>
    </w:p>
    <w:p w14:paraId="72F86D19" w14:textId="592FDFF6" w:rsidR="00EF6A3D" w:rsidRPr="004D3316" w:rsidRDefault="00EF6A3D" w:rsidP="00EF6A3D">
      <w:pPr>
        <w:spacing w:line="480" w:lineRule="auto"/>
        <w:rPr>
          <w:szCs w:val="24"/>
        </w:rPr>
      </w:pPr>
      <w:r w:rsidRPr="004D3316">
        <w:rPr>
          <w:szCs w:val="24"/>
        </w:rPr>
        <w:t xml:space="preserve">Unintentional rewilding had effects consistent with those of trophic cascades.  In addition to the strong negative effect on the next lowest trophic level (Fig. 2), we found that responses were positive when they were measured two trophic levels beneath the introduced species (Fig. 3; 95% CI for </w:t>
      </w:r>
      <w:r w:rsidR="00BF5580" w:rsidRPr="004D3316">
        <w:rPr>
          <w:szCs w:val="24"/>
        </w:rPr>
        <w:t xml:space="preserve">effect on </w:t>
      </w:r>
      <w:r w:rsidRPr="004D3316">
        <w:rPr>
          <w:i/>
          <w:szCs w:val="24"/>
          <w:shd w:val="clear" w:color="auto" w:fill="FFFFFF"/>
        </w:rPr>
        <w:t>R</w:t>
      </w:r>
      <w:r w:rsidRPr="004D3316">
        <w:rPr>
          <w:i/>
          <w:szCs w:val="24"/>
          <w:shd w:val="clear" w:color="auto" w:fill="FFFFFF"/>
          <w:vertAlign w:val="subscript"/>
        </w:rPr>
        <w:t>i</w:t>
      </w:r>
      <w:r w:rsidRPr="004D3316">
        <w:rPr>
          <w:szCs w:val="24"/>
        </w:rPr>
        <w:t>: 0.0</w:t>
      </w:r>
      <w:r w:rsidR="008D0A15">
        <w:rPr>
          <w:szCs w:val="24"/>
        </w:rPr>
        <w:t>2</w:t>
      </w:r>
      <w:r w:rsidRPr="004D3316">
        <w:rPr>
          <w:szCs w:val="24"/>
        </w:rPr>
        <w:t xml:space="preserve"> to 0.9</w:t>
      </w:r>
      <w:r w:rsidR="0002547E">
        <w:rPr>
          <w:szCs w:val="24"/>
        </w:rPr>
        <w:t>2</w:t>
      </w:r>
      <w:r w:rsidRPr="004D3316">
        <w:rPr>
          <w:szCs w:val="24"/>
        </w:rPr>
        <w:t>).  There was no effect at either the same trophic level (95% CI:</w:t>
      </w:r>
      <w:r w:rsidR="00BF5580" w:rsidRPr="004D3316">
        <w:rPr>
          <w:szCs w:val="24"/>
        </w:rPr>
        <w:t xml:space="preserve"> </w:t>
      </w:r>
      <w:r w:rsidRPr="004D3316">
        <w:rPr>
          <w:szCs w:val="24"/>
        </w:rPr>
        <w:t>-</w:t>
      </w:r>
      <w:r w:rsidR="008D0A15">
        <w:rPr>
          <w:szCs w:val="24"/>
        </w:rPr>
        <w:t>4</w:t>
      </w:r>
      <w:r w:rsidRPr="004D3316">
        <w:rPr>
          <w:szCs w:val="24"/>
        </w:rPr>
        <w:t>.</w:t>
      </w:r>
      <w:r w:rsidR="0002547E">
        <w:rPr>
          <w:szCs w:val="24"/>
        </w:rPr>
        <w:t>09</w:t>
      </w:r>
      <w:r w:rsidRPr="004D3316">
        <w:rPr>
          <w:szCs w:val="24"/>
        </w:rPr>
        <w:t xml:space="preserve"> to </w:t>
      </w:r>
      <w:r w:rsidR="008D0A15">
        <w:rPr>
          <w:szCs w:val="24"/>
        </w:rPr>
        <w:lastRenderedPageBreak/>
        <w:t>3</w:t>
      </w:r>
      <w:r w:rsidRPr="004D3316">
        <w:rPr>
          <w:szCs w:val="24"/>
        </w:rPr>
        <w:t>.</w:t>
      </w:r>
      <w:r w:rsidR="0002547E">
        <w:rPr>
          <w:szCs w:val="24"/>
        </w:rPr>
        <w:t>59</w:t>
      </w:r>
      <w:r w:rsidRPr="004D3316">
        <w:rPr>
          <w:szCs w:val="24"/>
        </w:rPr>
        <w:t>) o</w:t>
      </w:r>
      <w:r w:rsidR="0002547E">
        <w:rPr>
          <w:szCs w:val="24"/>
        </w:rPr>
        <w:t>r three levels lower (95% CI: -3.06</w:t>
      </w:r>
      <w:r w:rsidRPr="004D3316">
        <w:rPr>
          <w:szCs w:val="24"/>
        </w:rPr>
        <w:t xml:space="preserve"> to </w:t>
      </w:r>
      <w:r w:rsidR="0002547E">
        <w:rPr>
          <w:szCs w:val="24"/>
        </w:rPr>
        <w:t>3</w:t>
      </w:r>
      <w:r w:rsidRPr="004D3316">
        <w:rPr>
          <w:szCs w:val="24"/>
        </w:rPr>
        <w:t>.</w:t>
      </w:r>
      <w:r w:rsidR="0002547E">
        <w:rPr>
          <w:szCs w:val="24"/>
        </w:rPr>
        <w:t>15</w:t>
      </w:r>
      <w:r w:rsidRPr="004D3316">
        <w:rPr>
          <w:szCs w:val="24"/>
        </w:rPr>
        <w:t xml:space="preserve">), which was comprised entirely of measurements of ecosystem processes, e.g. soil nutrients (Fig. 3).  </w:t>
      </w:r>
    </w:p>
    <w:p w14:paraId="3F7E5AC2" w14:textId="78D19A0B" w:rsidR="00EF6A3D" w:rsidRPr="004D3316" w:rsidRDefault="00EF6A3D" w:rsidP="00EF6A3D">
      <w:pPr>
        <w:spacing w:line="480" w:lineRule="auto"/>
        <w:ind w:firstLine="720"/>
        <w:rPr>
          <w:b/>
          <w:szCs w:val="24"/>
        </w:rPr>
      </w:pPr>
      <w:r w:rsidRPr="004D3316">
        <w:rPr>
          <w:szCs w:val="24"/>
        </w:rPr>
        <w:t>We found support only for the prediction that the invasive status of introduced species influences the responses of different trophic levels to rewilding.</w:t>
      </w:r>
      <w:r w:rsidRPr="004D3316">
        <w:rPr>
          <w:b/>
          <w:szCs w:val="24"/>
        </w:rPr>
        <w:t xml:space="preserve">  </w:t>
      </w:r>
      <w:r w:rsidRPr="004D3316">
        <w:rPr>
          <w:szCs w:val="24"/>
        </w:rPr>
        <w:t xml:space="preserve">The effect of the number of trophic levels between the response and introduced species on the response ratios was surprisingly dampened in the presence of invasive species (95% CI for </w:t>
      </w:r>
      <w:r w:rsidRPr="004D3316">
        <w:rPr>
          <w:i/>
          <w:szCs w:val="24"/>
        </w:rPr>
        <w:t>β</w:t>
      </w:r>
      <w:r w:rsidRPr="004D3316">
        <w:rPr>
          <w:szCs w:val="24"/>
          <w:vertAlign w:val="subscript"/>
        </w:rPr>
        <w:t>2</w:t>
      </w:r>
      <w:r w:rsidR="0002547E">
        <w:rPr>
          <w:szCs w:val="24"/>
        </w:rPr>
        <w:t xml:space="preserve"> in equation 2.1: -6</w:t>
      </w:r>
      <w:r w:rsidRPr="004D3316">
        <w:rPr>
          <w:szCs w:val="24"/>
        </w:rPr>
        <w:t>.</w:t>
      </w:r>
      <w:r w:rsidR="0002547E">
        <w:rPr>
          <w:szCs w:val="24"/>
        </w:rPr>
        <w:t>02</w:t>
      </w:r>
      <w:r w:rsidRPr="004D3316">
        <w:rPr>
          <w:szCs w:val="24"/>
        </w:rPr>
        <w:t xml:space="preserve"> to -0.</w:t>
      </w:r>
      <w:r w:rsidR="0002547E">
        <w:rPr>
          <w:szCs w:val="24"/>
        </w:rPr>
        <w:t>91</w:t>
      </w:r>
      <w:r w:rsidRPr="004D3316">
        <w:rPr>
          <w:szCs w:val="24"/>
        </w:rPr>
        <w:t xml:space="preserve">).  For example, an invasive species that was not introduced for rewilding managed to reduce responses in the next lowest trophic level by a mean of only </w:t>
      </w:r>
      <w:r w:rsidR="0002547E">
        <w:rPr>
          <w:szCs w:val="24"/>
        </w:rPr>
        <w:t>5</w:t>
      </w:r>
      <w:r w:rsidRPr="004D3316">
        <w:rPr>
          <w:szCs w:val="24"/>
        </w:rPr>
        <w:t>% (95% CI: 0.</w:t>
      </w:r>
      <w:r w:rsidR="0002547E">
        <w:rPr>
          <w:szCs w:val="24"/>
        </w:rPr>
        <w:t>2</w:t>
      </w:r>
      <w:r w:rsidRPr="004D3316">
        <w:rPr>
          <w:szCs w:val="24"/>
        </w:rPr>
        <w:t xml:space="preserve"> to </w:t>
      </w:r>
      <w:r w:rsidR="008D0A15">
        <w:rPr>
          <w:szCs w:val="24"/>
        </w:rPr>
        <w:t>5</w:t>
      </w:r>
      <w:r w:rsidR="0002547E">
        <w:rPr>
          <w:szCs w:val="24"/>
        </w:rPr>
        <w:t>7</w:t>
      </w:r>
      <w:r w:rsidRPr="004D3316">
        <w:rPr>
          <w:szCs w:val="24"/>
        </w:rPr>
        <w:t xml:space="preserve">%) as compared with </w:t>
      </w:r>
      <w:r w:rsidR="0002547E">
        <w:rPr>
          <w:szCs w:val="24"/>
        </w:rPr>
        <w:t>79</w:t>
      </w:r>
      <w:r w:rsidRPr="004D3316">
        <w:rPr>
          <w:szCs w:val="24"/>
        </w:rPr>
        <w:t>% (95% CI: 2</w:t>
      </w:r>
      <w:r w:rsidR="0002547E">
        <w:rPr>
          <w:szCs w:val="24"/>
        </w:rPr>
        <w:t>4</w:t>
      </w:r>
      <w:r w:rsidRPr="004D3316">
        <w:rPr>
          <w:szCs w:val="24"/>
        </w:rPr>
        <w:t xml:space="preserve"> to 9</w:t>
      </w:r>
      <w:r w:rsidR="008D0A15">
        <w:rPr>
          <w:szCs w:val="24"/>
        </w:rPr>
        <w:t>9</w:t>
      </w:r>
      <w:r w:rsidRPr="004D3316">
        <w:rPr>
          <w:szCs w:val="24"/>
        </w:rPr>
        <w:t xml:space="preserve">%) by a non-invasive species.  Co-evolution of a response with a similar Order as an extinct species, study duration, </w:t>
      </w:r>
      <w:r w:rsidR="00C62E12" w:rsidRPr="004D3316">
        <w:rPr>
          <w:szCs w:val="24"/>
        </w:rPr>
        <w:t xml:space="preserve">indirect interactions, </w:t>
      </w:r>
      <w:r w:rsidR="00F74F23" w:rsidRPr="004D3316">
        <w:rPr>
          <w:szCs w:val="24"/>
        </w:rPr>
        <w:t xml:space="preserve">NPP, </w:t>
      </w:r>
      <w:r w:rsidRPr="004D3316">
        <w:rPr>
          <w:szCs w:val="24"/>
        </w:rPr>
        <w:t>and absolute latitude all had no effect on the response ratios either individually or by changing how they varied at different trophic levels beneath the introduced species (Table S</w:t>
      </w:r>
      <w:r w:rsidR="00323F72" w:rsidRPr="004D3316">
        <w:rPr>
          <w:szCs w:val="24"/>
        </w:rPr>
        <w:t>3</w:t>
      </w:r>
      <w:r w:rsidRPr="004D3316">
        <w:rPr>
          <w:szCs w:val="24"/>
        </w:rPr>
        <w:t xml:space="preserve">).  </w:t>
      </w:r>
      <w:r w:rsidR="001900BF" w:rsidRPr="004D3316">
        <w:rPr>
          <w:szCs w:val="24"/>
        </w:rPr>
        <w:t xml:space="preserve">Repeating our analysis with co-evolution measured at the Family level did not change our results (Table S4).  </w:t>
      </w:r>
      <w:r w:rsidRPr="004D3316">
        <w:rPr>
          <w:szCs w:val="24"/>
        </w:rPr>
        <w:t xml:space="preserve">Similarly, </w:t>
      </w:r>
      <w:r w:rsidR="00F017DC" w:rsidRPr="004D3316">
        <w:rPr>
          <w:szCs w:val="24"/>
        </w:rPr>
        <w:t xml:space="preserve">dietary breadth, </w:t>
      </w:r>
      <w:r w:rsidRPr="004D3316">
        <w:rPr>
          <w:szCs w:val="24"/>
        </w:rPr>
        <w:t xml:space="preserve">biome, response type, and study explained about </w:t>
      </w:r>
      <w:r w:rsidR="00F017DC" w:rsidRPr="004D3316">
        <w:rPr>
          <w:szCs w:val="24"/>
        </w:rPr>
        <w:t>two</w:t>
      </w:r>
      <w:r w:rsidRPr="004D3316">
        <w:rPr>
          <w:szCs w:val="24"/>
        </w:rPr>
        <w:t>- to eight-times less variation in response ratios, on average, as compared with the residual error, suggesting that they were of little importance, and only study identity weakly influenced how the response ratios varied across different trophic levels (Table S</w:t>
      </w:r>
      <w:r w:rsidR="00323F72" w:rsidRPr="004D3316">
        <w:rPr>
          <w:szCs w:val="24"/>
        </w:rPr>
        <w:t>3</w:t>
      </w:r>
      <w:r w:rsidRPr="004D3316">
        <w:rPr>
          <w:szCs w:val="24"/>
        </w:rPr>
        <w:t>; Fig. S3).</w:t>
      </w:r>
    </w:p>
    <w:p w14:paraId="6D6C95EC" w14:textId="77777777" w:rsidR="00EF6A3D" w:rsidRPr="004D3316" w:rsidRDefault="00EF6A3D" w:rsidP="00EF6A3D">
      <w:pPr>
        <w:spacing w:line="480" w:lineRule="auto"/>
        <w:rPr>
          <w:b/>
          <w:szCs w:val="24"/>
        </w:rPr>
      </w:pPr>
    </w:p>
    <w:p w14:paraId="79C06994" w14:textId="77777777" w:rsidR="00EF6A3D" w:rsidRPr="004D3316" w:rsidRDefault="00EF6A3D" w:rsidP="00EF6A3D">
      <w:pPr>
        <w:spacing w:line="480" w:lineRule="auto"/>
        <w:rPr>
          <w:rFonts w:ascii="MyriadPro-Cond" w:hAnsi="MyriadPro-Cond"/>
          <w:sz w:val="28"/>
          <w:szCs w:val="28"/>
        </w:rPr>
      </w:pPr>
      <w:r w:rsidRPr="004D3316">
        <w:rPr>
          <w:rFonts w:ascii="MyriadPro-Cond" w:hAnsi="MyriadPro-Cond"/>
          <w:bCs/>
          <w:sz w:val="28"/>
          <w:szCs w:val="28"/>
        </w:rPr>
        <w:t>4. Discussion</w:t>
      </w:r>
    </w:p>
    <w:p w14:paraId="659F53DD" w14:textId="67A00973" w:rsidR="00EF6A3D" w:rsidRPr="004D3316" w:rsidRDefault="00EF6A3D" w:rsidP="00EF6A3D">
      <w:pPr>
        <w:pStyle w:val="NormalWeb"/>
        <w:spacing w:before="0" w:beforeAutospacing="0" w:after="0" w:afterAutospacing="0" w:line="480" w:lineRule="auto"/>
      </w:pPr>
      <w:r w:rsidRPr="004D3316">
        <w:t>With this year marking the 20th anniversary of the term rewilding entering the conservation lexicon (4</w:t>
      </w:r>
      <w:r w:rsidR="00501E80">
        <w:t>8</w:t>
      </w:r>
      <w:r w:rsidRPr="004D3316">
        <w:t xml:space="preserve">), there remains little empirical data about its outcomes.  This knowledge gap has restricted efforts to advance the practice of rewilding and incorporate it into policy (5).  Here we found that unintentional rewilding influenced lower trophic levels similarly to where top-down trophic interactions were intentionally restored.  Our analysis also showed that most quantitative </w:t>
      </w:r>
      <w:r w:rsidR="00BF5580" w:rsidRPr="004D3316">
        <w:t>measurements</w:t>
      </w:r>
      <w:r w:rsidRPr="004D3316">
        <w:t xml:space="preserve"> of intentional rewilding have focused on the introduction of tortoises on oceanic islands, highlighting </w:t>
      </w:r>
      <w:r w:rsidR="00290B3A" w:rsidRPr="004D3316">
        <w:t xml:space="preserve">incompleteness </w:t>
      </w:r>
      <w:r w:rsidRPr="004D3316">
        <w:t xml:space="preserve">in our understanding.  Nonetheless, our study offers a new perspective on the few cases of intentional rewilding by synthesising their effects alongside species </w:t>
      </w:r>
      <w:r w:rsidRPr="004D3316">
        <w:lastRenderedPageBreak/>
        <w:t>introductions that have occurred over large spatiotemporal scales, charting a course to inform interventions across more ambitious taxonomic and spatial scales.</w:t>
      </w:r>
    </w:p>
    <w:p w14:paraId="2C61444A" w14:textId="77777777" w:rsidR="00EF6A3D" w:rsidRPr="004D3316" w:rsidRDefault="00EF6A3D" w:rsidP="00EF6A3D"/>
    <w:p w14:paraId="2A85A027" w14:textId="77777777" w:rsidR="00EF6A3D" w:rsidRPr="004D3316" w:rsidRDefault="00EF6A3D" w:rsidP="00EF6A3D">
      <w:pPr>
        <w:pStyle w:val="NormalWeb"/>
        <w:spacing w:before="0" w:beforeAutospacing="0" w:after="0" w:afterAutospacing="0" w:line="480" w:lineRule="auto"/>
      </w:pPr>
      <w:r w:rsidRPr="004D3316">
        <w:rPr>
          <w:i/>
          <w:iCs/>
        </w:rPr>
        <w:t>(a) Why do the effects of rewilding vary?  Lessons for intentional introductions</w:t>
      </w:r>
    </w:p>
    <w:p w14:paraId="635DC6C4" w14:textId="44724D3A" w:rsidR="00EF6A3D" w:rsidRPr="004D3316" w:rsidRDefault="00EF6A3D" w:rsidP="00EF6A3D">
      <w:pPr>
        <w:pStyle w:val="NormalWeb"/>
        <w:spacing w:before="0" w:beforeAutospacing="0" w:after="0" w:afterAutospacing="0" w:line="480" w:lineRule="auto"/>
      </w:pPr>
      <w:r w:rsidRPr="004D3316">
        <w:t xml:space="preserve">The many studies of unintentional rewilding allowed us to explore the factors that might influence the responses of lower trophic levels to intentional rewilding with larger datasets than would otherwise be possible.  In doing so, we found that introduced species that were invasive had smaller effects on lower trophic levels, contrary to our initial hypothesis.  We offer three potential explanations for this result.  First, most species classed as invasive in our dataset (e.g. </w:t>
      </w:r>
      <w:r w:rsidRPr="004D3316">
        <w:rPr>
          <w:i/>
          <w:iCs/>
        </w:rPr>
        <w:t xml:space="preserve">Rattus </w:t>
      </w:r>
      <w:r w:rsidRPr="004D3316">
        <w:t xml:space="preserve">spp. and </w:t>
      </w:r>
      <w:r w:rsidRPr="004D3316">
        <w:rPr>
          <w:i/>
          <w:iCs/>
        </w:rPr>
        <w:t>Vulpes vulpes</w:t>
      </w:r>
      <w:r w:rsidRPr="004D3316">
        <w:t xml:space="preserve">) have broad diets that include omnivory and scavenging as compared with the species that were not classified as invasive (e.g. </w:t>
      </w:r>
      <w:r w:rsidRPr="004D3316">
        <w:rPr>
          <w:i/>
          <w:iCs/>
        </w:rPr>
        <w:t>Bos taurus</w:t>
      </w:r>
      <w:r w:rsidRPr="004D3316">
        <w:t>).  Trophic cascades are predicted to be weaker in such cases because interactions among trophic levels are more diffuse (4</w:t>
      </w:r>
      <w:r w:rsidR="00501E80">
        <w:t>9</w:t>
      </w:r>
      <w:r w:rsidRPr="004D3316">
        <w:t>-</w:t>
      </w:r>
      <w:r w:rsidR="00501E80">
        <w:t>50</w:t>
      </w:r>
      <w:r w:rsidRPr="004D3316">
        <w:t>).  </w:t>
      </w:r>
      <w:r w:rsidR="000B68E3" w:rsidRPr="004D3316">
        <w:t xml:space="preserve">Although we did not find a separate effect of dietary breadth, our classification could have been too coarse to detect such differences.  </w:t>
      </w:r>
      <w:r w:rsidRPr="004D3316">
        <w:t xml:space="preserve">Second, most of the invasive species were mesopredators as compared with the non-invasive species that were mostly large herbivores or </w:t>
      </w:r>
      <w:r w:rsidR="00AB4872" w:rsidRPr="004D3316">
        <w:t xml:space="preserve">modern </w:t>
      </w:r>
      <w:r w:rsidRPr="004D3316">
        <w:t xml:space="preserve">apex predators (e.g. </w:t>
      </w:r>
      <w:r w:rsidRPr="004D3316">
        <w:rPr>
          <w:i/>
          <w:iCs/>
        </w:rPr>
        <w:t>Canis lupus</w:t>
      </w:r>
      <w:r w:rsidRPr="004D3316">
        <w:t xml:space="preserve">).  Relatively few individuals of an apex predator are sufficient to trigger strong responses across multiple trophic levels (7).  For example, the trophic cascades </w:t>
      </w:r>
      <w:r w:rsidR="002E309D" w:rsidRPr="004D3316">
        <w:t xml:space="preserve">facilitated by </w:t>
      </w:r>
      <w:r w:rsidRPr="004D3316">
        <w:t>wolves on Isle Royale, USA were attributed to just two or three packs (</w:t>
      </w:r>
      <w:r w:rsidR="00501E80">
        <w:t>51</w:t>
      </w:r>
      <w:r w:rsidRPr="004D3316">
        <w:t>)</w:t>
      </w:r>
      <w:r w:rsidR="000C2FB6" w:rsidRPr="004D3316">
        <w:t>.   Similar outcomes have been reported over the considerably larger Yellowstone National Park (</w:t>
      </w:r>
      <w:r w:rsidR="00501E80">
        <w:t>52</w:t>
      </w:r>
      <w:r w:rsidR="000C2FB6" w:rsidRPr="004D3316">
        <w:t>)</w:t>
      </w:r>
      <w:r w:rsidRPr="004D3316">
        <w:t>.  Therefore, numerical abundance may be a poorer predictor of rewilding outcomes than trophic position.  Additionally, high competition amongst mesopredators, as well as their control by extant apex predators (</w:t>
      </w:r>
      <w:r w:rsidR="00501E80">
        <w:t>53</w:t>
      </w:r>
      <w:r w:rsidRPr="004D3316">
        <w:t>-</w:t>
      </w:r>
      <w:r w:rsidR="00501E80">
        <w:t>54</w:t>
      </w:r>
      <w:r w:rsidRPr="004D3316">
        <w:t xml:space="preserve">), may limit their effects on lower trophic levels.  Finally, the effect of invasiveness may reflect biases in our data.  Nearly </w:t>
      </w:r>
      <w:r w:rsidR="001F31BA" w:rsidRPr="004D3316">
        <w:t>45</w:t>
      </w:r>
      <w:r w:rsidRPr="004D3316">
        <w:t xml:space="preserve">% of the responses to invasive species were associated with </w:t>
      </w:r>
      <w:r w:rsidR="001F31BA" w:rsidRPr="004D3316">
        <w:t>biomass,</w:t>
      </w:r>
      <w:r w:rsidRPr="004D3316">
        <w:t xml:space="preserve"> behaviour</w:t>
      </w:r>
      <w:r w:rsidR="001F31BA" w:rsidRPr="004D3316">
        <w:t>, and ecosystem processes</w:t>
      </w:r>
      <w:r w:rsidRPr="004D3316">
        <w:t xml:space="preserve"> as compared with </w:t>
      </w:r>
      <w:r w:rsidR="001F31BA" w:rsidRPr="004D3316">
        <w:t>1</w:t>
      </w:r>
      <w:r w:rsidRPr="004D3316">
        <w:t xml:space="preserve">5% for the non-invasive responses.  </w:t>
      </w:r>
      <w:r w:rsidR="001F31BA" w:rsidRPr="004D3316">
        <w:t>These response types had relatively weaker effects (Fig. S3)</w:t>
      </w:r>
      <w:r w:rsidRPr="004D3316">
        <w:t>.  Importantly, our finding that invasive species cause</w:t>
      </w:r>
      <w:r w:rsidR="001F31BA" w:rsidRPr="004D3316">
        <w:t>d</w:t>
      </w:r>
      <w:r w:rsidRPr="004D3316">
        <w:t xml:space="preserve"> relatively weaker trophic cascades should not be interpreted as supporting the view that they do not </w:t>
      </w:r>
      <w:r w:rsidRPr="004D3316">
        <w:lastRenderedPageBreak/>
        <w:t xml:space="preserve">merit control.  </w:t>
      </w:r>
      <w:r w:rsidR="008514C1" w:rsidRPr="004D3316">
        <w:t>Although some invasive consumers can eventually fill an important ecolog</w:t>
      </w:r>
      <w:r w:rsidR="002E309D" w:rsidRPr="004D3316">
        <w:t xml:space="preserve">ical role in their communities </w:t>
      </w:r>
      <w:r w:rsidR="008514C1" w:rsidRPr="004D3316">
        <w:t xml:space="preserve">(e.g. dingoes in Australia), they </w:t>
      </w:r>
      <w:r w:rsidRPr="004D3316">
        <w:t>have many undesirable effects, such as displacing competitors (</w:t>
      </w:r>
      <w:r w:rsidR="00501E80">
        <w:t>54</w:t>
      </w:r>
      <w:r w:rsidRPr="004D3316">
        <w:t>), and our analysis ignores the identity of their prey, such as if they are critically endangered (3</w:t>
      </w:r>
      <w:r w:rsidR="00501E80">
        <w:t>1</w:t>
      </w:r>
      <w:r w:rsidRPr="004D3316">
        <w:t>).</w:t>
      </w:r>
    </w:p>
    <w:p w14:paraId="1F9F3BCD" w14:textId="49355604" w:rsidR="00EF6A3D" w:rsidRPr="004D3316" w:rsidRDefault="00EF6A3D" w:rsidP="00EF6A3D">
      <w:pPr>
        <w:pStyle w:val="NormalWeb"/>
        <w:spacing w:before="0" w:beforeAutospacing="0" w:after="0" w:afterAutospacing="0" w:line="480" w:lineRule="auto"/>
      </w:pPr>
      <w:r w:rsidRPr="004D3316">
        <w:rPr>
          <w:rStyle w:val="apple-tab-span"/>
        </w:rPr>
        <w:tab/>
      </w:r>
      <w:r w:rsidRPr="004D3316">
        <w:t>The lack of support for our other hypotheses was consistent with effects observed elsewhere.  First, we found no support for the prediction that sites with greater productivity and/or energy availability would have stronger responses to rewilding.  Borer et al. (27) similarly found no effect of plant standing crop or nutrient fertilization on the strength of trophic cascades across 45 studies of aquatic and terrestrial ecosystems.  One explanation is that prey/plants are better defended in more resource-rich environments, offsetting any effect of greater consumption.  For example, plant defen</w:t>
      </w:r>
      <w:r w:rsidR="002E309D" w:rsidRPr="004D3316">
        <w:t>c</w:t>
      </w:r>
      <w:r w:rsidRPr="004D3316">
        <w:t>es have been reported to increase nearer the Tropics (</w:t>
      </w:r>
      <w:r w:rsidR="00501E80">
        <w:t>55</w:t>
      </w:r>
      <w:r w:rsidRPr="004D3316">
        <w:t>).  Latitudinal defen</w:t>
      </w:r>
      <w:r w:rsidR="002E309D" w:rsidRPr="004D3316">
        <w:t>c</w:t>
      </w:r>
      <w:r w:rsidRPr="004D3316">
        <w:t>e gradients are less studied in animals</w:t>
      </w:r>
      <w:r w:rsidR="002E309D" w:rsidRPr="004D3316">
        <w:t>,</w:t>
      </w:r>
      <w:r w:rsidRPr="004D3316">
        <w:t xml:space="preserve"> but some work suggests that predators may be more selective with respect to antipredator adaptations in more energetically favourable environments (</w:t>
      </w:r>
      <w:r w:rsidR="00501E80">
        <w:t>56</w:t>
      </w:r>
      <w:r w:rsidRPr="004D3316">
        <w:t>).  </w:t>
      </w:r>
      <w:r w:rsidR="003752E9" w:rsidRPr="004D3316">
        <w:t>A related explanation is that predation can alleviate competitive exclusion in resource-rich environments, thereby offsetting any direct negative effects on lower trophic levels (</w:t>
      </w:r>
      <w:r w:rsidR="00501E80">
        <w:t>57</w:t>
      </w:r>
      <w:r w:rsidR="0069476C" w:rsidRPr="004D3316">
        <w:t>).</w:t>
      </w:r>
      <w:r w:rsidR="003752E9" w:rsidRPr="004D3316">
        <w:t xml:space="preserve">  </w:t>
      </w:r>
      <w:r w:rsidR="000B22A4" w:rsidRPr="004D3316">
        <w:t>Large herbivores</w:t>
      </w:r>
      <w:r w:rsidR="003752E9" w:rsidRPr="004D3316">
        <w:t xml:space="preserve"> can instead</w:t>
      </w:r>
      <w:r w:rsidR="000B22A4" w:rsidRPr="004D3316">
        <w:t xml:space="preserve"> have more negative effects in low productivity environments </w:t>
      </w:r>
      <w:r w:rsidR="00D82BE9" w:rsidRPr="004D3316">
        <w:t>(</w:t>
      </w:r>
      <w:r w:rsidR="00501E80">
        <w:t>57, 58</w:t>
      </w:r>
      <w:r w:rsidR="000B22A4" w:rsidRPr="004D3316">
        <w:t xml:space="preserve">).  </w:t>
      </w:r>
      <w:r w:rsidRPr="004D3316">
        <w:t xml:space="preserve">Second, we found no evidence that shorter studies respond more strongly to species introductions.  While raw response ratios were negatively correlated with </w:t>
      </w:r>
      <w:r w:rsidR="000A0156">
        <w:t>the amount of time that treatments differed in introduction status</w:t>
      </w:r>
      <w:r w:rsidRPr="004D3316">
        <w:t xml:space="preserve"> (weighted Pearson’s </w:t>
      </w:r>
      <w:r w:rsidRPr="004D3316">
        <w:rPr>
          <w:i/>
          <w:iCs/>
        </w:rPr>
        <w:t>r</w:t>
      </w:r>
      <w:r w:rsidRPr="004D3316">
        <w:t xml:space="preserve"> = -0.58), as reported in a synthesis of plant biomass responses to large mammalian herbivores (5</w:t>
      </w:r>
      <w:r w:rsidR="00501E80">
        <w:t>9</w:t>
      </w:r>
      <w:r w:rsidRPr="004D3316">
        <w:t>), there was no discernible effect in our meta-regression model.  Others have similarly found that raw correlations disappear when accounting for predictors such as biome type or response generation time (2</w:t>
      </w:r>
      <w:r w:rsidR="00501E80">
        <w:t>8</w:t>
      </w:r>
      <w:r w:rsidRPr="004D3316">
        <w:t>, 3</w:t>
      </w:r>
      <w:r w:rsidR="00501E80">
        <w:t>2</w:t>
      </w:r>
      <w:r w:rsidRPr="004D3316">
        <w:t xml:space="preserve">).  This finding suggests that long timescales (i.e. years) may not necessarily be required to observe an effect of trophic rewilding.  </w:t>
      </w:r>
      <w:bookmarkStart w:id="1" w:name="_Hlk520735889"/>
      <w:bookmarkStart w:id="2" w:name="_Hlk520735703"/>
      <w:r w:rsidRPr="004D3316">
        <w:t>Finally, the lack of an effect of coevolution with a taxonomically-related species may be unsurprising because trophic interactions ultimately depend upon function</w:t>
      </w:r>
      <w:r w:rsidR="008514C1" w:rsidRPr="004D3316">
        <w:t>.</w:t>
      </w:r>
      <w:r w:rsidRPr="004D3316">
        <w:t xml:space="preserve"> </w:t>
      </w:r>
      <w:r w:rsidR="008514C1" w:rsidRPr="004D3316">
        <w:t xml:space="preserve"> In some cases, such as a niche space with a limited number of dimensions, species </w:t>
      </w:r>
      <w:r w:rsidRPr="004D3316">
        <w:t xml:space="preserve">can </w:t>
      </w:r>
      <w:r w:rsidR="00B71714" w:rsidRPr="004D3316">
        <w:t xml:space="preserve">converge towards </w:t>
      </w:r>
      <w:r w:rsidR="008514C1" w:rsidRPr="004D3316">
        <w:t xml:space="preserve">similar functions despite </w:t>
      </w:r>
      <w:r w:rsidRPr="004D3316">
        <w:t>b</w:t>
      </w:r>
      <w:r w:rsidR="008514C1" w:rsidRPr="004D3316">
        <w:t>eing</w:t>
      </w:r>
      <w:r w:rsidRPr="004D3316">
        <w:t xml:space="preserve"> distantly-related.  </w:t>
      </w:r>
      <w:bookmarkEnd w:id="1"/>
      <w:r w:rsidRPr="004D3316">
        <w:t xml:space="preserve">For </w:t>
      </w:r>
      <w:r w:rsidRPr="004D3316">
        <w:lastRenderedPageBreak/>
        <w:t>example, canids and the marsupial thylacine (</w:t>
      </w:r>
      <w:r w:rsidRPr="004D3316">
        <w:rPr>
          <w:i/>
          <w:iCs/>
        </w:rPr>
        <w:t>Thylacinus cynocephalus</w:t>
      </w:r>
      <w:r w:rsidRPr="004D3316">
        <w:t>) are morphologically and ecologically similar despite last sharing a common ancestor over 160 million years ago (</w:t>
      </w:r>
      <w:r w:rsidR="00501E80">
        <w:t>60</w:t>
      </w:r>
      <w:r w:rsidR="00B506A4" w:rsidRPr="004D3316">
        <w:t>; Table S1</w:t>
      </w:r>
      <w:r w:rsidRPr="004D3316">
        <w:t>).  </w:t>
      </w:r>
      <w:bookmarkEnd w:id="2"/>
    </w:p>
    <w:p w14:paraId="3AC5DED8" w14:textId="77777777" w:rsidR="00EF6A3D" w:rsidRPr="004D3316" w:rsidRDefault="00EF6A3D" w:rsidP="00EF6A3D"/>
    <w:p w14:paraId="5402E739" w14:textId="77777777" w:rsidR="00EF6A3D" w:rsidRPr="004D3316" w:rsidRDefault="00EF6A3D" w:rsidP="00EF6A3D">
      <w:pPr>
        <w:pStyle w:val="NormalWeb"/>
        <w:spacing w:before="0" w:beforeAutospacing="0" w:after="0" w:afterAutospacing="0" w:line="480" w:lineRule="auto"/>
      </w:pPr>
      <w:r w:rsidRPr="004D3316">
        <w:rPr>
          <w:i/>
          <w:iCs/>
        </w:rPr>
        <w:t>(b) Show me the data: empirical gaps that need closure</w:t>
      </w:r>
    </w:p>
    <w:p w14:paraId="0E6D5EFC" w14:textId="4EE646BD" w:rsidR="00EF6A3D" w:rsidRPr="004D3316" w:rsidRDefault="00EF6A3D" w:rsidP="00EF6A3D">
      <w:pPr>
        <w:pStyle w:val="NormalWeb"/>
        <w:spacing w:before="0" w:beforeAutospacing="0" w:after="0" w:afterAutospacing="0" w:line="480" w:lineRule="auto"/>
      </w:pPr>
      <w:r w:rsidRPr="004D3316">
        <w:t xml:space="preserve">The field of rewilding is arguably caught in a circle: it needs empirical evidence to convince decision makers that it will not have unintended consequences, but it cannot gather those data without being implemented.  Most intentional rewilding studies have thus been restricted in scale and focused on animals that pose relatively little potential economic and cultural conflict (after ref. </w:t>
      </w:r>
      <w:r w:rsidR="00501E80">
        <w:t>61</w:t>
      </w:r>
      <w:r w:rsidRPr="004D3316">
        <w:t>).  Rather than continue to repeat the call for more experimental evidence (6, 13-14), our study narrows the geographic and taxonomic gaps in quantitative data that need to be closed by future research.  South America may be a particularly important area to focus upon.  It had disproportionately more Late Quaternary extinctions associated with human impacts than elsewhere (</w:t>
      </w:r>
      <w:r w:rsidR="00501E80">
        <w:t>62</w:t>
      </w:r>
      <w:r w:rsidRPr="004D3316">
        <w:t>-</w:t>
      </w:r>
      <w:r w:rsidR="00501E80">
        <w:t>63</w:t>
      </w:r>
      <w:r w:rsidRPr="004D3316">
        <w:t xml:space="preserve">), and many are still ongoing (8, </w:t>
      </w:r>
      <w:r w:rsidR="00501E80">
        <w:t>64</w:t>
      </w:r>
      <w:r w:rsidRPr="004D3316">
        <w:t xml:space="preserve">).  </w:t>
      </w:r>
      <w:bookmarkStart w:id="3" w:name="_Hlk524329378"/>
      <w:r w:rsidRPr="004D3316">
        <w:t>There are also few quantitative data associated with rewilding in South America, particularly from biodiverse eastern regions (Fig. 1), which are highly suitable for rewilding with low risk solutions (e.g. ref. 6</w:t>
      </w:r>
      <w:r w:rsidR="00501E80">
        <w:t>5</w:t>
      </w:r>
      <w:r w:rsidRPr="004D3316">
        <w:t>).  </w:t>
      </w:r>
      <w:r w:rsidR="002A589E">
        <w:t xml:space="preserve">Partly, this gap may have arisen because relevant studies were published in non-English language journals and missed by our literature search.  </w:t>
      </w:r>
      <w:bookmarkEnd w:id="3"/>
      <w:r w:rsidR="00837F33" w:rsidRPr="004D3316">
        <w:t>Finally, much of what we can learn from unintentional rewilding comes from the Southern Hemisphere, mirroring geographic patterns in global species transport (</w:t>
      </w:r>
      <w:r w:rsidR="00501E80">
        <w:t>20</w:t>
      </w:r>
      <w:r w:rsidR="00837F33" w:rsidRPr="004D3316">
        <w:t>), and suggesting there may be opportunities to measure impacts elsewhere.</w:t>
      </w:r>
    </w:p>
    <w:p w14:paraId="14E1A4E5" w14:textId="1EB0F0A8" w:rsidR="00EF6A3D" w:rsidRPr="004D3316" w:rsidRDefault="00EF6A3D" w:rsidP="00EF6A3D">
      <w:pPr>
        <w:pStyle w:val="NormalWeb"/>
        <w:spacing w:before="0" w:beforeAutospacing="0" w:after="0" w:afterAutospacing="0" w:line="480" w:lineRule="auto"/>
        <w:ind w:firstLine="720"/>
      </w:pPr>
      <w:r w:rsidRPr="004D3316">
        <w:rPr>
          <w:shd w:val="clear" w:color="auto" w:fill="FFFFFF"/>
        </w:rPr>
        <w:t>An additional bias that may arise in rewilding studies is the focus on species-level cascades that involve a subset of taxa in lower trophic levels rather than community-level cascades that influence aggregate properties of entire systems (</w:t>
      </w:r>
      <w:r w:rsidR="00501E80">
        <w:rPr>
          <w:shd w:val="clear" w:color="auto" w:fill="FFFFFF"/>
        </w:rPr>
        <w:t>18</w:t>
      </w:r>
      <w:r w:rsidRPr="004D3316">
        <w:rPr>
          <w:shd w:val="clear" w:color="auto" w:fill="FFFFFF"/>
        </w:rPr>
        <w:t>).  Top-down control of aggregate responses may be harder to detect if there are compensatory trade-offs between species at lower trophic levels, such as in biomass (4</w:t>
      </w:r>
      <w:r w:rsidR="00501E80">
        <w:rPr>
          <w:shd w:val="clear" w:color="auto" w:fill="FFFFFF"/>
        </w:rPr>
        <w:t>9</w:t>
      </w:r>
      <w:r w:rsidRPr="004D3316">
        <w:rPr>
          <w:shd w:val="clear" w:color="auto" w:fill="FFFFFF"/>
        </w:rPr>
        <w:t xml:space="preserve">, </w:t>
      </w:r>
      <w:r w:rsidR="00501E80">
        <w:rPr>
          <w:shd w:val="clear" w:color="auto" w:fill="FFFFFF"/>
        </w:rPr>
        <w:t>66</w:t>
      </w:r>
      <w:r w:rsidRPr="004D3316">
        <w:rPr>
          <w:shd w:val="clear" w:color="auto" w:fill="FFFFFF"/>
        </w:rPr>
        <w:t xml:space="preserve">).  We dealt with this by aggregating observations at the community-level, where possible, and separating response types associated with species-level measures, such as </w:t>
      </w:r>
      <w:r w:rsidRPr="004D3316">
        <w:rPr>
          <w:shd w:val="clear" w:color="auto" w:fill="FFFFFF"/>
        </w:rPr>
        <w:lastRenderedPageBreak/>
        <w:t>behaviour, from more community-centric responses, such as richness and biomass.  Future rewilding studies should bear in mind these different scales of trophic responses when measuring outcomes.</w:t>
      </w:r>
    </w:p>
    <w:p w14:paraId="2F7F9346" w14:textId="77777777" w:rsidR="00EF6A3D" w:rsidRPr="004D3316" w:rsidRDefault="00EF6A3D" w:rsidP="00EF6A3D">
      <w:pPr>
        <w:pStyle w:val="NormalWeb"/>
        <w:spacing w:before="0" w:beforeAutospacing="0" w:after="0" w:afterAutospacing="0" w:line="480" w:lineRule="auto"/>
      </w:pPr>
    </w:p>
    <w:p w14:paraId="4C41B31B" w14:textId="77777777" w:rsidR="00EF6A3D" w:rsidRPr="004D3316" w:rsidRDefault="00EF6A3D" w:rsidP="00EF6A3D">
      <w:pPr>
        <w:pStyle w:val="NormalWeb"/>
        <w:spacing w:before="0" w:beforeAutospacing="0" w:after="0" w:afterAutospacing="0" w:line="480" w:lineRule="auto"/>
        <w:rPr>
          <w:i/>
          <w:iCs/>
        </w:rPr>
      </w:pPr>
      <w:r w:rsidRPr="004D3316">
        <w:rPr>
          <w:i/>
          <w:iCs/>
          <w:shd w:val="clear" w:color="auto" w:fill="FFFFFF"/>
        </w:rPr>
        <w:t xml:space="preserve">(c) Conclusions: </w:t>
      </w:r>
      <w:r w:rsidRPr="004D3316">
        <w:rPr>
          <w:i/>
          <w:iCs/>
        </w:rPr>
        <w:t>moving beyond the frontiers of rewilding</w:t>
      </w:r>
    </w:p>
    <w:p w14:paraId="0F80E203" w14:textId="64331AE2" w:rsidR="00813DAE" w:rsidRPr="004D3316" w:rsidRDefault="00EF6A3D" w:rsidP="00EF6A3D">
      <w:pPr>
        <w:pStyle w:val="NormalWeb"/>
        <w:spacing w:before="0" w:beforeAutospacing="0" w:after="0" w:afterAutospacing="0" w:line="480" w:lineRule="auto"/>
      </w:pPr>
      <w:r w:rsidRPr="004D3316">
        <w:rPr>
          <w:iCs/>
        </w:rPr>
        <w:t>Controversial or not – rewilding is already happening.  Our work reveals that species introductions for purposes other than rewilding can restore trophic interactions and offer a rich evidence base about what interventions work.  Certainly, some cases of unintentional rewilding have been disasters for the conservation of endemic wildlife, such as the introduction of mammalian predators on insular oceanic islands (</w:t>
      </w:r>
      <w:r w:rsidRPr="004D3316">
        <w:t>3</w:t>
      </w:r>
      <w:r w:rsidR="00501E80">
        <w:t>1</w:t>
      </w:r>
      <w:r w:rsidRPr="004D3316">
        <w:rPr>
          <w:iCs/>
        </w:rPr>
        <w:t xml:space="preserve">).  Care therefore needs to be taken in balancing restoration with other conservation goals.  Paleoecological data will be particularly invaluable in helping to identify opportunities for rewilding by reconstructing known diets and interaction networks of extinct species </w:t>
      </w:r>
      <w:r w:rsidRPr="004D3316">
        <w:rPr>
          <w:shd w:val="clear" w:color="auto" w:fill="FFFFFF"/>
        </w:rPr>
        <w:t xml:space="preserve">(e.g. ref. </w:t>
      </w:r>
      <w:r w:rsidR="00501E80">
        <w:rPr>
          <w:shd w:val="clear" w:color="auto" w:fill="FFFFFF"/>
        </w:rPr>
        <w:t>67</w:t>
      </w:r>
      <w:r w:rsidRPr="004D3316">
        <w:rPr>
          <w:shd w:val="clear" w:color="auto" w:fill="FFFFFF"/>
        </w:rPr>
        <w:t>), so as to avoid unwanted consequences.</w:t>
      </w:r>
    </w:p>
    <w:p w14:paraId="5E6B4057" w14:textId="77777777" w:rsidR="00376BA3" w:rsidRPr="004D3316" w:rsidRDefault="00376BA3" w:rsidP="00445BEE">
      <w:pPr>
        <w:rPr>
          <w:rFonts w:ascii="Palatino-Roman" w:hAnsi="Palatino-Roman"/>
          <w:sz w:val="20"/>
        </w:rPr>
      </w:pPr>
    </w:p>
    <w:p w14:paraId="53902CBC" w14:textId="77777777" w:rsidR="00842B3B" w:rsidRPr="004D3316" w:rsidRDefault="00BB4449" w:rsidP="00EF6A3D">
      <w:pPr>
        <w:shd w:val="clear" w:color="auto" w:fill="FFFFFF"/>
        <w:spacing w:after="240"/>
        <w:textAlignment w:val="baseline"/>
        <w:rPr>
          <w:rFonts w:ascii="MyriadPro-Cond" w:hAnsi="MyriadPro-Cond" w:cs="MyriadPro-Cond"/>
          <w:sz w:val="36"/>
          <w:szCs w:val="36"/>
        </w:rPr>
      </w:pPr>
      <w:r w:rsidRPr="004D3316">
        <w:rPr>
          <w:rFonts w:ascii="MyriadPro-Cond" w:hAnsi="MyriadPro-Cond" w:cs="MyriadPro-Cond"/>
          <w:sz w:val="36"/>
          <w:szCs w:val="36"/>
        </w:rPr>
        <w:t>Additional Information</w:t>
      </w:r>
    </w:p>
    <w:p w14:paraId="5D110E0C" w14:textId="77777777" w:rsidR="009418F0" w:rsidRPr="004D3316" w:rsidRDefault="009418F0" w:rsidP="00445BEE">
      <w:pPr>
        <w:rPr>
          <w:rFonts w:ascii="MyriadPro-Cond" w:hAnsi="MyriadPro-Cond"/>
          <w:b/>
          <w:sz w:val="18"/>
        </w:rPr>
      </w:pPr>
      <w:r w:rsidRPr="004D3316">
        <w:rPr>
          <w:rFonts w:ascii="MyriadPro-Cond" w:hAnsi="MyriadPro-Cond"/>
          <w:b/>
          <w:sz w:val="18"/>
        </w:rPr>
        <w:t>Data Accessibility</w:t>
      </w:r>
    </w:p>
    <w:p w14:paraId="7254D5D2" w14:textId="77777777" w:rsidR="009418F0" w:rsidRPr="004D3316" w:rsidRDefault="009418F0" w:rsidP="00435B79">
      <w:pPr>
        <w:rPr>
          <w:rFonts w:ascii="Palatino-Roman" w:hAnsi="Palatino-Roman"/>
          <w:sz w:val="20"/>
        </w:rPr>
      </w:pPr>
      <w:r w:rsidRPr="004D3316">
        <w:rPr>
          <w:rFonts w:ascii="Palatino-Roman" w:hAnsi="Palatino-Roman" w:cs="Arial"/>
          <w:iCs/>
          <w:sz w:val="18"/>
        </w:rPr>
        <w:t>The datasets supporting this article have been uploaded as part of the Supplementary Material.</w:t>
      </w:r>
      <w:r w:rsidRPr="004D3316">
        <w:rPr>
          <w:rFonts w:ascii="Palatino-Roman" w:hAnsi="Palatino-Roman" w:cs="Arial"/>
          <w:i/>
          <w:iCs/>
          <w:sz w:val="20"/>
          <w:bdr w:val="none" w:sz="0" w:space="0" w:color="auto" w:frame="1"/>
          <w:shd w:val="clear" w:color="auto" w:fill="FFFFFF"/>
        </w:rPr>
        <w:br/>
      </w:r>
    </w:p>
    <w:p w14:paraId="3B9BD5F8" w14:textId="77777777" w:rsidR="00445D4E" w:rsidRPr="004D3316" w:rsidRDefault="00445D4E" w:rsidP="00445D4E">
      <w:pPr>
        <w:shd w:val="clear" w:color="auto" w:fill="FFFFFF"/>
        <w:textAlignment w:val="baseline"/>
        <w:rPr>
          <w:rFonts w:ascii="Palatino-Roman" w:hAnsi="Palatino-Roman" w:cs="Arial"/>
          <w:sz w:val="18"/>
          <w:szCs w:val="18"/>
        </w:rPr>
      </w:pPr>
      <w:r w:rsidRPr="004D3316">
        <w:rPr>
          <w:rFonts w:ascii="MyriadPro-Cond" w:hAnsi="MyriadPro-Cond" w:cs="Arial"/>
          <w:b/>
          <w:bCs/>
          <w:sz w:val="18"/>
        </w:rPr>
        <w:t>Authors' Contributions</w:t>
      </w:r>
      <w:r w:rsidRPr="004D3316">
        <w:rPr>
          <w:rFonts w:ascii="Arial" w:hAnsi="Arial" w:cs="Arial"/>
          <w:sz w:val="18"/>
          <w:szCs w:val="18"/>
        </w:rPr>
        <w:br/>
      </w:r>
      <w:r w:rsidR="007720F9" w:rsidRPr="004D3316">
        <w:rPr>
          <w:rFonts w:ascii="Palatino-Roman" w:hAnsi="Palatino-Roman" w:cs="Arial"/>
          <w:sz w:val="18"/>
          <w:szCs w:val="18"/>
        </w:rPr>
        <w:t>Both authors designed the study.  BRS performed the literature search and collected data with AJT.  AJT analysed and interpreted the data and wrote the paper with input from BRS</w:t>
      </w:r>
      <w:r w:rsidRPr="004D3316">
        <w:rPr>
          <w:rFonts w:ascii="Palatino-Roman" w:hAnsi="Palatino-Roman" w:cs="Arial"/>
          <w:sz w:val="18"/>
          <w:szCs w:val="18"/>
        </w:rPr>
        <w:t>.</w:t>
      </w:r>
      <w:r w:rsidRPr="004D3316">
        <w:rPr>
          <w:rFonts w:ascii="Palatino-Roman" w:hAnsi="Palatino-Roman" w:cs="Arial"/>
          <w:sz w:val="18"/>
          <w:szCs w:val="18"/>
        </w:rPr>
        <w:br/>
      </w:r>
    </w:p>
    <w:p w14:paraId="646C6E86" w14:textId="77777777" w:rsidR="009418F0" w:rsidRPr="004D3316" w:rsidRDefault="009418F0" w:rsidP="00445BEE">
      <w:pPr>
        <w:tabs>
          <w:tab w:val="left" w:pos="120"/>
        </w:tabs>
        <w:rPr>
          <w:rFonts w:ascii="MyriadPro-Cond" w:hAnsi="MyriadPro-Cond"/>
          <w:b/>
          <w:sz w:val="18"/>
        </w:rPr>
      </w:pPr>
      <w:r w:rsidRPr="004D3316">
        <w:rPr>
          <w:rFonts w:ascii="MyriadPro-Cond" w:hAnsi="MyriadPro-Cond"/>
          <w:b/>
          <w:sz w:val="18"/>
        </w:rPr>
        <w:t>Competing Interests</w:t>
      </w:r>
    </w:p>
    <w:p w14:paraId="2ED8E5F2" w14:textId="77777777" w:rsidR="009418F0" w:rsidRPr="004D3316" w:rsidRDefault="009418F0" w:rsidP="00445BEE">
      <w:pPr>
        <w:rPr>
          <w:rFonts w:ascii="Palatino-Roman" w:hAnsi="Palatino-Roman" w:cs="Arial"/>
          <w:sz w:val="18"/>
          <w:shd w:val="clear" w:color="auto" w:fill="FFFFFF"/>
        </w:rPr>
      </w:pPr>
      <w:r w:rsidRPr="004D3316">
        <w:rPr>
          <w:rFonts w:ascii="Palatino-Roman" w:hAnsi="Palatino-Roman" w:cs="Arial"/>
          <w:iCs/>
          <w:sz w:val="18"/>
        </w:rPr>
        <w:t>We have no competing interests</w:t>
      </w:r>
      <w:r w:rsidR="00A547F7" w:rsidRPr="004D3316">
        <w:rPr>
          <w:rFonts w:ascii="Palatino-Roman" w:hAnsi="Palatino-Roman" w:cs="Arial"/>
          <w:iCs/>
          <w:sz w:val="18"/>
        </w:rPr>
        <w:t>.</w:t>
      </w:r>
      <w:r w:rsidR="00F86BBF" w:rsidRPr="004D3316">
        <w:rPr>
          <w:rFonts w:ascii="Palatino-Roman" w:hAnsi="Palatino-Roman" w:cs="Arial"/>
          <w:sz w:val="18"/>
        </w:rPr>
        <w:br/>
      </w:r>
    </w:p>
    <w:p w14:paraId="51FA3188" w14:textId="77777777" w:rsidR="00445D4E" w:rsidRPr="004D3316" w:rsidRDefault="00445D4E" w:rsidP="00445D4E">
      <w:pPr>
        <w:rPr>
          <w:rFonts w:ascii="MyriadPro-Cond" w:hAnsi="MyriadPro-Cond"/>
          <w:b/>
          <w:sz w:val="18"/>
        </w:rPr>
      </w:pPr>
      <w:r w:rsidRPr="004D3316">
        <w:rPr>
          <w:rFonts w:ascii="MyriadPro-Cond" w:hAnsi="MyriadPro-Cond"/>
          <w:b/>
          <w:sz w:val="18"/>
        </w:rPr>
        <w:t>Funding</w:t>
      </w:r>
    </w:p>
    <w:p w14:paraId="064B063A" w14:textId="77777777" w:rsidR="009F1FA1" w:rsidRPr="004D3316" w:rsidRDefault="00EF6A3D" w:rsidP="009F1FA1">
      <w:pPr>
        <w:rPr>
          <w:rFonts w:ascii="Palatino-Roman" w:hAnsi="Palatino-Roman"/>
          <w:sz w:val="18"/>
        </w:rPr>
      </w:pPr>
      <w:r w:rsidRPr="004D3316">
        <w:rPr>
          <w:rFonts w:ascii="Palatino-Roman" w:hAnsi="Palatino-Roman" w:cs="Arial"/>
          <w:sz w:val="18"/>
          <w:shd w:val="clear" w:color="auto" w:fill="FFFFFF"/>
        </w:rPr>
        <w:t>AJT is</w:t>
      </w:r>
      <w:r w:rsidR="00F86BBF" w:rsidRPr="004D3316">
        <w:rPr>
          <w:rFonts w:ascii="Palatino-Roman" w:hAnsi="Palatino-Roman" w:cs="Arial"/>
          <w:sz w:val="18"/>
          <w:shd w:val="clear" w:color="auto" w:fill="FFFFFF"/>
        </w:rPr>
        <w:t xml:space="preserve"> supported by the Gatsby Charitable Trust (GAT2962).</w:t>
      </w:r>
    </w:p>
    <w:p w14:paraId="073A8E0E" w14:textId="77777777" w:rsidR="00445BEE" w:rsidRPr="004D3316" w:rsidRDefault="00445BEE" w:rsidP="00445BEE">
      <w:pPr>
        <w:shd w:val="clear" w:color="auto" w:fill="FFFFFF"/>
        <w:textAlignment w:val="baseline"/>
        <w:rPr>
          <w:rFonts w:ascii="Arial" w:hAnsi="Arial" w:cs="Arial"/>
          <w:sz w:val="18"/>
          <w:szCs w:val="18"/>
        </w:rPr>
      </w:pPr>
      <w:r w:rsidRPr="004D3316">
        <w:rPr>
          <w:rFonts w:ascii="Palatino-Roman" w:hAnsi="Palatino-Roman" w:cs="Arial"/>
          <w:sz w:val="18"/>
          <w:szCs w:val="18"/>
        </w:rPr>
        <w:br/>
      </w:r>
    </w:p>
    <w:p w14:paraId="6C685E4A" w14:textId="77777777" w:rsidR="00394285" w:rsidRPr="004D3316" w:rsidRDefault="00394285" w:rsidP="00EF6A3D">
      <w:pPr>
        <w:shd w:val="clear" w:color="auto" w:fill="FFFFFF"/>
        <w:spacing w:after="240"/>
        <w:textAlignment w:val="baseline"/>
        <w:rPr>
          <w:rFonts w:ascii="MyriadPro-Cond" w:hAnsi="MyriadPro-Cond" w:cs="MyriadPro-Cond"/>
          <w:sz w:val="36"/>
          <w:szCs w:val="36"/>
        </w:rPr>
        <w:sectPr w:rsidR="00394285" w:rsidRPr="004D3316" w:rsidSect="00290B3A">
          <w:headerReference w:type="even" r:id="rId14"/>
          <w:headerReference w:type="first" r:id="rId15"/>
          <w:footerReference w:type="first" r:id="rId16"/>
          <w:type w:val="continuous"/>
          <w:pgSz w:w="11907" w:h="16840" w:code="9"/>
          <w:pgMar w:top="1601" w:right="1134" w:bottom="851" w:left="1304" w:header="720" w:footer="567" w:gutter="0"/>
          <w:cols w:space="397" w:equalWidth="0">
            <w:col w:w="9780" w:space="720"/>
          </w:cols>
          <w:titlePg/>
          <w:docGrid w:linePitch="360"/>
        </w:sectPr>
      </w:pPr>
      <w:r w:rsidRPr="004D3316">
        <w:rPr>
          <w:rFonts w:ascii="MyriadPro-Cond" w:hAnsi="MyriadPro-Cond" w:cs="MyriadPro-Cond"/>
          <w:sz w:val="36"/>
          <w:szCs w:val="36"/>
        </w:rPr>
        <w:t>References</w:t>
      </w:r>
    </w:p>
    <w:p w14:paraId="7AF6275A"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w:t>
      </w:r>
      <w:r w:rsidRPr="004D3316">
        <w:rPr>
          <w:rFonts w:ascii="MyriadPro-Cond" w:hAnsi="MyriadPro-Cond"/>
          <w:sz w:val="15"/>
          <w:szCs w:val="15"/>
        </w:rPr>
        <w:tab/>
        <w:t xml:space="preserve">Carey J. 2016 Core Concept: Rewilding. </w:t>
      </w:r>
      <w:r w:rsidRPr="004D3316">
        <w:rPr>
          <w:rFonts w:ascii="MyriadPro-Cond" w:hAnsi="MyriadPro-Cond"/>
          <w:i/>
          <w:iCs/>
          <w:sz w:val="15"/>
          <w:szCs w:val="15"/>
        </w:rPr>
        <w:t>PNAS</w:t>
      </w:r>
      <w:r w:rsidRPr="004D3316">
        <w:rPr>
          <w:rFonts w:ascii="MyriadPro-Cond" w:hAnsi="MyriadPro-Cond"/>
          <w:sz w:val="15"/>
          <w:szCs w:val="15"/>
        </w:rPr>
        <w:t xml:space="preserve"> </w:t>
      </w:r>
      <w:r w:rsidRPr="004D3316">
        <w:rPr>
          <w:rFonts w:ascii="MyriadPro-Cond" w:hAnsi="MyriadPro-Cond"/>
          <w:b/>
          <w:bCs/>
          <w:sz w:val="15"/>
          <w:szCs w:val="15"/>
        </w:rPr>
        <w:t>113</w:t>
      </w:r>
      <w:r w:rsidRPr="004D3316">
        <w:rPr>
          <w:rFonts w:ascii="MyriadPro-Cond" w:hAnsi="MyriadPro-Cond"/>
          <w:sz w:val="15"/>
          <w:szCs w:val="15"/>
        </w:rPr>
        <w:t>, 806–808. (doi:10.1073/pnas.1522151112)</w:t>
      </w:r>
    </w:p>
    <w:p w14:paraId="5050AC3E"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Pr="004D3316">
        <w:rPr>
          <w:rFonts w:ascii="MyriadPro-Cond" w:hAnsi="MyriadPro-Cond"/>
          <w:sz w:val="15"/>
          <w:szCs w:val="15"/>
        </w:rPr>
        <w:tab/>
        <w:t xml:space="preserve">Nogués-Bravo D, Simberloff D, Rahbek C, Sanders NJ. 2016 Rewilding is the new Pandora’s box in conservation. </w:t>
      </w:r>
      <w:r w:rsidRPr="004D3316">
        <w:rPr>
          <w:rFonts w:ascii="MyriadPro-Cond" w:hAnsi="MyriadPro-Cond"/>
          <w:i/>
          <w:iCs/>
          <w:sz w:val="15"/>
          <w:szCs w:val="15"/>
        </w:rPr>
        <w:t>Current Biology</w:t>
      </w:r>
      <w:r w:rsidRPr="004D3316">
        <w:rPr>
          <w:rFonts w:ascii="MyriadPro-Cond" w:hAnsi="MyriadPro-Cond"/>
          <w:sz w:val="15"/>
          <w:szCs w:val="15"/>
        </w:rPr>
        <w:t xml:space="preserve"> </w:t>
      </w:r>
      <w:r w:rsidRPr="004D3316">
        <w:rPr>
          <w:rFonts w:ascii="MyriadPro-Cond" w:hAnsi="MyriadPro-Cond"/>
          <w:b/>
          <w:bCs/>
          <w:sz w:val="15"/>
          <w:szCs w:val="15"/>
        </w:rPr>
        <w:t>26</w:t>
      </w:r>
      <w:r w:rsidRPr="004D3316">
        <w:rPr>
          <w:rFonts w:ascii="MyriadPro-Cond" w:hAnsi="MyriadPro-Cond"/>
          <w:sz w:val="15"/>
          <w:szCs w:val="15"/>
        </w:rPr>
        <w:t>, R87–R91. (doi:10.1016/j.cub.2015.12.044)</w:t>
      </w:r>
    </w:p>
    <w:p w14:paraId="41ECACCD"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Pr="004D3316">
        <w:rPr>
          <w:rFonts w:ascii="MyriadPro-Cond" w:hAnsi="MyriadPro-Cond"/>
          <w:sz w:val="15"/>
          <w:szCs w:val="15"/>
        </w:rPr>
        <w:tab/>
        <w:t xml:space="preserve">Svenning J-C </w:t>
      </w:r>
      <w:r w:rsidRPr="004D3316">
        <w:rPr>
          <w:rFonts w:ascii="MyriadPro-Cond" w:hAnsi="MyriadPro-Cond"/>
          <w:i/>
          <w:iCs/>
          <w:sz w:val="15"/>
          <w:szCs w:val="15"/>
        </w:rPr>
        <w:t>et al.</w:t>
      </w:r>
      <w:r w:rsidRPr="004D3316">
        <w:rPr>
          <w:rFonts w:ascii="MyriadPro-Cond" w:hAnsi="MyriadPro-Cond"/>
          <w:sz w:val="15"/>
          <w:szCs w:val="15"/>
        </w:rPr>
        <w:t xml:space="preserve"> 2016 Reply to Rubenstein and Rubenstein: time to move on from ideological debates on rewilding. </w:t>
      </w:r>
      <w:r w:rsidRPr="004D3316">
        <w:rPr>
          <w:rFonts w:ascii="MyriadPro-Cond" w:hAnsi="MyriadPro-Cond"/>
          <w:i/>
          <w:iCs/>
          <w:sz w:val="15"/>
          <w:szCs w:val="15"/>
        </w:rPr>
        <w:t>PNAS</w:t>
      </w:r>
      <w:r w:rsidRPr="004D3316">
        <w:rPr>
          <w:rFonts w:ascii="MyriadPro-Cond" w:hAnsi="MyriadPro-Cond"/>
          <w:sz w:val="15"/>
          <w:szCs w:val="15"/>
        </w:rPr>
        <w:t xml:space="preserve"> </w:t>
      </w:r>
      <w:r w:rsidRPr="004D3316">
        <w:rPr>
          <w:rFonts w:ascii="MyriadPro-Cond" w:hAnsi="MyriadPro-Cond"/>
          <w:b/>
          <w:bCs/>
          <w:sz w:val="15"/>
          <w:szCs w:val="15"/>
        </w:rPr>
        <w:t>113</w:t>
      </w:r>
      <w:r w:rsidRPr="004D3316">
        <w:rPr>
          <w:rFonts w:ascii="MyriadPro-Cond" w:hAnsi="MyriadPro-Cond"/>
          <w:sz w:val="15"/>
          <w:szCs w:val="15"/>
        </w:rPr>
        <w:t>, E2–E3. (doi:10.1073/pnas.1521891113)</w:t>
      </w:r>
    </w:p>
    <w:p w14:paraId="2FAE0BFD"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4.</w:t>
      </w:r>
      <w:r w:rsidRPr="004D3316">
        <w:rPr>
          <w:rFonts w:ascii="MyriadPro-Cond" w:hAnsi="MyriadPro-Cond"/>
          <w:sz w:val="15"/>
          <w:szCs w:val="15"/>
        </w:rPr>
        <w:tab/>
        <w:t xml:space="preserve">Jørgensen D. 2015 Rethinking rewilding. </w:t>
      </w:r>
      <w:r w:rsidRPr="004D3316">
        <w:rPr>
          <w:rFonts w:ascii="MyriadPro-Cond" w:hAnsi="MyriadPro-Cond"/>
          <w:i/>
          <w:iCs/>
          <w:sz w:val="15"/>
          <w:szCs w:val="15"/>
        </w:rPr>
        <w:t>Geoforum</w:t>
      </w:r>
      <w:r w:rsidRPr="004D3316">
        <w:rPr>
          <w:rFonts w:ascii="MyriadPro-Cond" w:hAnsi="MyriadPro-Cond"/>
          <w:sz w:val="15"/>
          <w:szCs w:val="15"/>
        </w:rPr>
        <w:t xml:space="preserve"> </w:t>
      </w:r>
      <w:r w:rsidRPr="004D3316">
        <w:rPr>
          <w:rFonts w:ascii="MyriadPro-Cond" w:hAnsi="MyriadPro-Cond"/>
          <w:b/>
          <w:bCs/>
          <w:sz w:val="15"/>
          <w:szCs w:val="15"/>
        </w:rPr>
        <w:t>65</w:t>
      </w:r>
      <w:r w:rsidRPr="004D3316">
        <w:rPr>
          <w:rFonts w:ascii="MyriadPro-Cond" w:hAnsi="MyriadPro-Cond"/>
          <w:sz w:val="15"/>
          <w:szCs w:val="15"/>
        </w:rPr>
        <w:t xml:space="preserve">, 482–488. </w:t>
      </w:r>
      <w:r w:rsidRPr="004D3316">
        <w:rPr>
          <w:rFonts w:ascii="MyriadPro-Cond" w:hAnsi="MyriadPro-Cond"/>
          <w:sz w:val="15"/>
          <w:szCs w:val="15"/>
        </w:rPr>
        <w:t>(doi:10.1016/j.geoforum.2014.11.016)</w:t>
      </w:r>
    </w:p>
    <w:p w14:paraId="430EC8BE"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5.</w:t>
      </w:r>
      <w:r w:rsidRPr="004D3316">
        <w:rPr>
          <w:rFonts w:ascii="MyriadPro-Cond" w:hAnsi="MyriadPro-Cond"/>
          <w:sz w:val="15"/>
          <w:szCs w:val="15"/>
        </w:rPr>
        <w:tab/>
        <w:t xml:space="preserve">Pettorelli N, Barlow J, Stephens PA, Durant SM, Connor B, Bühne HS to, Sandom CJ, Wentworth J, du Toit JT. 2018 Making rewilding fit for policy. </w:t>
      </w:r>
      <w:r w:rsidRPr="004D3316">
        <w:rPr>
          <w:rFonts w:ascii="MyriadPro-Cond" w:hAnsi="MyriadPro-Cond"/>
          <w:i/>
          <w:sz w:val="15"/>
          <w:szCs w:val="15"/>
        </w:rPr>
        <w:t>Journal of Applied Ecology</w:t>
      </w:r>
      <w:r w:rsidRPr="004D3316">
        <w:rPr>
          <w:rFonts w:ascii="MyriadPro-Cond" w:hAnsi="MyriadPro-Cond"/>
          <w:sz w:val="15"/>
          <w:szCs w:val="15"/>
        </w:rPr>
        <w:t xml:space="preserve"> in press (doi:10.1111/1365-2664.13082)</w:t>
      </w:r>
    </w:p>
    <w:p w14:paraId="29380714"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6.</w:t>
      </w:r>
      <w:r w:rsidRPr="004D3316">
        <w:rPr>
          <w:rFonts w:ascii="MyriadPro-Cond" w:hAnsi="MyriadPro-Cond"/>
          <w:sz w:val="15"/>
          <w:szCs w:val="15"/>
        </w:rPr>
        <w:tab/>
        <w:t xml:space="preserve">Svenning J-C </w:t>
      </w:r>
      <w:r w:rsidRPr="004D3316">
        <w:rPr>
          <w:rFonts w:ascii="MyriadPro-Cond" w:hAnsi="MyriadPro-Cond"/>
          <w:i/>
          <w:iCs/>
          <w:sz w:val="15"/>
          <w:szCs w:val="15"/>
        </w:rPr>
        <w:t>et al.</w:t>
      </w:r>
      <w:r w:rsidRPr="004D3316">
        <w:rPr>
          <w:rFonts w:ascii="MyriadPro-Cond" w:hAnsi="MyriadPro-Cond"/>
          <w:sz w:val="15"/>
          <w:szCs w:val="15"/>
        </w:rPr>
        <w:t xml:space="preserve"> 2016 Science for a wilder Anthropocene: synthesis and future directions for trophic rewilding research. </w:t>
      </w:r>
      <w:r w:rsidRPr="004D3316">
        <w:rPr>
          <w:rFonts w:ascii="MyriadPro-Cond" w:hAnsi="MyriadPro-Cond"/>
          <w:i/>
          <w:iCs/>
          <w:sz w:val="15"/>
          <w:szCs w:val="15"/>
        </w:rPr>
        <w:t>PNAS</w:t>
      </w:r>
      <w:r w:rsidRPr="004D3316">
        <w:rPr>
          <w:rFonts w:ascii="MyriadPro-Cond" w:hAnsi="MyriadPro-Cond"/>
          <w:sz w:val="15"/>
          <w:szCs w:val="15"/>
        </w:rPr>
        <w:t xml:space="preserve"> </w:t>
      </w:r>
      <w:r w:rsidRPr="004D3316">
        <w:rPr>
          <w:rFonts w:ascii="MyriadPro-Cond" w:hAnsi="MyriadPro-Cond"/>
          <w:b/>
          <w:bCs/>
          <w:sz w:val="15"/>
          <w:szCs w:val="15"/>
        </w:rPr>
        <w:t>113</w:t>
      </w:r>
      <w:r w:rsidRPr="004D3316">
        <w:rPr>
          <w:rFonts w:ascii="MyriadPro-Cond" w:hAnsi="MyriadPro-Cond"/>
          <w:sz w:val="15"/>
          <w:szCs w:val="15"/>
        </w:rPr>
        <w:t>, 898–906. (doi:10.1073/pnas.1502556112)</w:t>
      </w:r>
    </w:p>
    <w:p w14:paraId="65744CE0"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7.</w:t>
      </w:r>
      <w:r w:rsidRPr="004D3316">
        <w:rPr>
          <w:rFonts w:ascii="MyriadPro-Cond" w:hAnsi="MyriadPro-Cond"/>
          <w:sz w:val="15"/>
          <w:szCs w:val="15"/>
        </w:rPr>
        <w:tab/>
        <w:t xml:space="preserve">Estes JA </w:t>
      </w:r>
      <w:r w:rsidRPr="004D3316">
        <w:rPr>
          <w:rFonts w:ascii="MyriadPro-Cond" w:hAnsi="MyriadPro-Cond"/>
          <w:i/>
          <w:iCs/>
          <w:sz w:val="15"/>
          <w:szCs w:val="15"/>
        </w:rPr>
        <w:t>et al.</w:t>
      </w:r>
      <w:r w:rsidRPr="004D3316">
        <w:rPr>
          <w:rFonts w:ascii="MyriadPro-Cond" w:hAnsi="MyriadPro-Cond"/>
          <w:sz w:val="15"/>
          <w:szCs w:val="15"/>
        </w:rPr>
        <w:t xml:space="preserve"> 2011 Trophic downgrading of planet earth. </w:t>
      </w:r>
      <w:r w:rsidRPr="004D3316">
        <w:rPr>
          <w:rFonts w:ascii="MyriadPro-Cond" w:hAnsi="MyriadPro-Cond"/>
          <w:i/>
          <w:iCs/>
          <w:sz w:val="15"/>
          <w:szCs w:val="15"/>
        </w:rPr>
        <w:t>Science</w:t>
      </w:r>
      <w:r w:rsidRPr="004D3316">
        <w:rPr>
          <w:rFonts w:ascii="MyriadPro-Cond" w:hAnsi="MyriadPro-Cond"/>
          <w:sz w:val="15"/>
          <w:szCs w:val="15"/>
        </w:rPr>
        <w:t xml:space="preserve"> </w:t>
      </w:r>
      <w:r w:rsidRPr="004D3316">
        <w:rPr>
          <w:rFonts w:ascii="MyriadPro-Cond" w:hAnsi="MyriadPro-Cond"/>
          <w:b/>
          <w:bCs/>
          <w:sz w:val="15"/>
          <w:szCs w:val="15"/>
        </w:rPr>
        <w:t>333</w:t>
      </w:r>
      <w:r w:rsidRPr="004D3316">
        <w:rPr>
          <w:rFonts w:ascii="MyriadPro-Cond" w:hAnsi="MyriadPro-Cond"/>
          <w:sz w:val="15"/>
          <w:szCs w:val="15"/>
        </w:rPr>
        <w:t xml:space="preserve">, 301–306. </w:t>
      </w:r>
      <w:r w:rsidRPr="004D3316">
        <w:rPr>
          <w:rFonts w:ascii="MyriadPro-Cond" w:hAnsi="MyriadPro-Cond"/>
          <w:sz w:val="15"/>
          <w:szCs w:val="15"/>
        </w:rPr>
        <w:t>(doi:10.1126/science.1205106)</w:t>
      </w:r>
    </w:p>
    <w:p w14:paraId="39B61992"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8.</w:t>
      </w:r>
      <w:r w:rsidRPr="004D3316">
        <w:rPr>
          <w:rFonts w:ascii="MyriadPro-Cond" w:hAnsi="MyriadPro-Cond"/>
          <w:sz w:val="15"/>
          <w:szCs w:val="15"/>
        </w:rPr>
        <w:tab/>
        <w:t xml:space="preserve">Dirzo R, Young HS, Galetti M, Ceballos G, Isaac NJB, Collen B. 2014 Defaunation in the Anthropocene. </w:t>
      </w:r>
      <w:r w:rsidRPr="004D3316">
        <w:rPr>
          <w:rFonts w:ascii="MyriadPro-Cond" w:hAnsi="MyriadPro-Cond"/>
          <w:i/>
          <w:sz w:val="15"/>
          <w:szCs w:val="15"/>
        </w:rPr>
        <w:t>Science</w:t>
      </w:r>
      <w:r w:rsidRPr="004D3316">
        <w:rPr>
          <w:rFonts w:ascii="MyriadPro-Cond" w:hAnsi="MyriadPro-Cond"/>
          <w:sz w:val="15"/>
          <w:szCs w:val="15"/>
        </w:rPr>
        <w:t xml:space="preserve"> </w:t>
      </w:r>
      <w:r w:rsidRPr="004D3316">
        <w:rPr>
          <w:rFonts w:ascii="MyriadPro-Cond" w:hAnsi="MyriadPro-Cond"/>
          <w:b/>
          <w:sz w:val="15"/>
          <w:szCs w:val="15"/>
        </w:rPr>
        <w:t>345</w:t>
      </w:r>
      <w:r w:rsidRPr="004D3316">
        <w:rPr>
          <w:rFonts w:ascii="MyriadPro-Cond" w:hAnsi="MyriadPro-Cond"/>
          <w:sz w:val="15"/>
          <w:szCs w:val="15"/>
        </w:rPr>
        <w:t>, 401–406. (doi:10.1126/science.1251817) 9.</w:t>
      </w:r>
      <w:r w:rsidRPr="004D3316">
        <w:rPr>
          <w:rFonts w:ascii="MyriadPro-Cond" w:hAnsi="MyriadPro-Cond"/>
          <w:sz w:val="15"/>
          <w:szCs w:val="15"/>
        </w:rPr>
        <w:tab/>
        <w:t xml:space="preserve">Gill JL. 2014 Ecological impacts of the late Quaternary megaherbivore extinctions. </w:t>
      </w:r>
      <w:r w:rsidRPr="004D3316">
        <w:rPr>
          <w:rFonts w:ascii="MyriadPro-Cond" w:hAnsi="MyriadPro-Cond"/>
          <w:i/>
          <w:iCs/>
          <w:sz w:val="15"/>
          <w:szCs w:val="15"/>
        </w:rPr>
        <w:t>New Phyt</w:t>
      </w:r>
      <w:r w:rsidR="0050784E" w:rsidRPr="004D3316">
        <w:rPr>
          <w:rFonts w:ascii="MyriadPro-Cond" w:hAnsi="MyriadPro-Cond"/>
          <w:i/>
          <w:iCs/>
          <w:sz w:val="15"/>
          <w:szCs w:val="15"/>
        </w:rPr>
        <w:t>ologist</w:t>
      </w:r>
      <w:r w:rsidRPr="004D3316">
        <w:rPr>
          <w:rFonts w:ascii="MyriadPro-Cond" w:hAnsi="MyriadPro-Cond"/>
          <w:sz w:val="15"/>
          <w:szCs w:val="15"/>
        </w:rPr>
        <w:t xml:space="preserve"> </w:t>
      </w:r>
      <w:r w:rsidRPr="004D3316">
        <w:rPr>
          <w:rFonts w:ascii="MyriadPro-Cond" w:hAnsi="MyriadPro-Cond"/>
          <w:b/>
          <w:bCs/>
          <w:sz w:val="15"/>
          <w:szCs w:val="15"/>
        </w:rPr>
        <w:t>201</w:t>
      </w:r>
      <w:r w:rsidRPr="004D3316">
        <w:rPr>
          <w:rFonts w:ascii="MyriadPro-Cond" w:hAnsi="MyriadPro-Cond"/>
          <w:sz w:val="15"/>
          <w:szCs w:val="15"/>
        </w:rPr>
        <w:t>, 1163–1169. (doi:10.1111/nph.12576)</w:t>
      </w:r>
    </w:p>
    <w:p w14:paraId="19FFDAF8"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10.</w:t>
      </w:r>
      <w:r w:rsidRPr="004D3316">
        <w:rPr>
          <w:rFonts w:ascii="MyriadPro-Cond" w:hAnsi="MyriadPro-Cond"/>
          <w:sz w:val="15"/>
          <w:szCs w:val="15"/>
        </w:rPr>
        <w:tab/>
        <w:t xml:space="preserve">Bakker ES, Gill JL, Johnson CN, Vera FWM, Sandom CJ, Asner GP, Svenning J-C. 2016 Combining paleo-data and modern exclosure experiments to assess the impact of megafauna extinctions on </w:t>
      </w:r>
      <w:r w:rsidRPr="004D3316">
        <w:rPr>
          <w:rFonts w:ascii="MyriadPro-Cond" w:hAnsi="MyriadPro-Cond"/>
          <w:sz w:val="15"/>
          <w:szCs w:val="15"/>
        </w:rPr>
        <w:lastRenderedPageBreak/>
        <w:t xml:space="preserve">woody vegetation. </w:t>
      </w:r>
      <w:r w:rsidRPr="004D3316">
        <w:rPr>
          <w:rFonts w:ascii="MyriadPro-Cond" w:hAnsi="MyriadPro-Cond"/>
          <w:i/>
          <w:iCs/>
          <w:sz w:val="15"/>
          <w:szCs w:val="15"/>
        </w:rPr>
        <w:t>PNAS</w:t>
      </w:r>
      <w:r w:rsidRPr="004D3316">
        <w:rPr>
          <w:rFonts w:ascii="MyriadPro-Cond" w:hAnsi="MyriadPro-Cond"/>
          <w:sz w:val="15"/>
          <w:szCs w:val="15"/>
        </w:rPr>
        <w:t xml:space="preserve"> </w:t>
      </w:r>
      <w:r w:rsidRPr="004D3316">
        <w:rPr>
          <w:rFonts w:ascii="MyriadPro-Cond" w:hAnsi="MyriadPro-Cond"/>
          <w:b/>
          <w:bCs/>
          <w:sz w:val="15"/>
          <w:szCs w:val="15"/>
        </w:rPr>
        <w:t>113</w:t>
      </w:r>
      <w:r w:rsidRPr="004D3316">
        <w:rPr>
          <w:rFonts w:ascii="MyriadPro-Cond" w:hAnsi="MyriadPro-Cond"/>
          <w:sz w:val="15"/>
          <w:szCs w:val="15"/>
        </w:rPr>
        <w:t>, 847–855. (doi:10.1073/pnas.1502545112)</w:t>
      </w:r>
    </w:p>
    <w:p w14:paraId="07802946"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11.</w:t>
      </w:r>
      <w:r w:rsidRPr="004D3316">
        <w:rPr>
          <w:rFonts w:ascii="MyriadPro-Cond" w:hAnsi="MyriadPro-Cond"/>
          <w:sz w:val="15"/>
          <w:szCs w:val="15"/>
        </w:rPr>
        <w:tab/>
        <w:t xml:space="preserve">Seddon PJ, Griffiths CJ, Soorae PS, Armstrong DP. 2014 Reversing defaunation: restoring species in a changing world. </w:t>
      </w:r>
      <w:r w:rsidRPr="004D3316">
        <w:rPr>
          <w:rFonts w:ascii="MyriadPro-Cond" w:hAnsi="MyriadPro-Cond"/>
          <w:i/>
          <w:iCs/>
          <w:sz w:val="15"/>
          <w:szCs w:val="15"/>
        </w:rPr>
        <w:t>Science</w:t>
      </w:r>
      <w:r w:rsidRPr="004D3316">
        <w:rPr>
          <w:rFonts w:ascii="MyriadPro-Cond" w:hAnsi="MyriadPro-Cond"/>
          <w:sz w:val="15"/>
          <w:szCs w:val="15"/>
        </w:rPr>
        <w:t xml:space="preserve"> </w:t>
      </w:r>
      <w:r w:rsidRPr="004D3316">
        <w:rPr>
          <w:rFonts w:ascii="MyriadPro-Cond" w:hAnsi="MyriadPro-Cond"/>
          <w:b/>
          <w:bCs/>
          <w:sz w:val="15"/>
          <w:szCs w:val="15"/>
        </w:rPr>
        <w:t>345</w:t>
      </w:r>
      <w:r w:rsidRPr="004D3316">
        <w:rPr>
          <w:rFonts w:ascii="MyriadPro-Cond" w:hAnsi="MyriadPro-Cond"/>
          <w:sz w:val="15"/>
          <w:szCs w:val="15"/>
        </w:rPr>
        <w:t>, 406–412. (doi:10.1126/science.1251818)</w:t>
      </w:r>
    </w:p>
    <w:p w14:paraId="5ABC195A"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12.</w:t>
      </w:r>
      <w:r w:rsidRPr="004D3316">
        <w:rPr>
          <w:rFonts w:ascii="MyriadPro-Cond" w:hAnsi="MyriadPro-Cond"/>
          <w:sz w:val="15"/>
          <w:szCs w:val="15"/>
        </w:rPr>
        <w:tab/>
      </w:r>
      <w:r w:rsidR="0050784E" w:rsidRPr="004D3316">
        <w:rPr>
          <w:rFonts w:ascii="MyriadPro-Cond" w:hAnsi="MyriadPro-Cond"/>
          <w:sz w:val="15"/>
          <w:szCs w:val="15"/>
        </w:rPr>
        <w:t xml:space="preserve">Tanentzap AJ, Lee WG, Monks A. 2013 Increased nitrogen cycling facilitates native forest regeneration: Potential for restoring extinct ecological processes? </w:t>
      </w:r>
      <w:r w:rsidR="0050784E" w:rsidRPr="004D3316">
        <w:rPr>
          <w:rFonts w:ascii="MyriadPro-Cond" w:hAnsi="MyriadPro-Cond"/>
          <w:i/>
          <w:sz w:val="15"/>
          <w:szCs w:val="15"/>
        </w:rPr>
        <w:t>Ecological Applications</w:t>
      </w:r>
      <w:r w:rsidR="0050784E" w:rsidRPr="004D3316">
        <w:rPr>
          <w:rFonts w:ascii="MyriadPro-Cond" w:hAnsi="MyriadPro-Cond"/>
          <w:sz w:val="15"/>
          <w:szCs w:val="15"/>
        </w:rPr>
        <w:t xml:space="preserve"> </w:t>
      </w:r>
      <w:r w:rsidR="0050784E" w:rsidRPr="004D3316">
        <w:rPr>
          <w:rFonts w:ascii="MyriadPro-Cond" w:hAnsi="MyriadPro-Cond"/>
          <w:b/>
          <w:sz w:val="15"/>
          <w:szCs w:val="15"/>
        </w:rPr>
        <w:t>23</w:t>
      </w:r>
      <w:r w:rsidR="0050784E" w:rsidRPr="004D3316">
        <w:rPr>
          <w:rFonts w:ascii="MyriadPro-Cond" w:hAnsi="MyriadPro-Cond"/>
          <w:sz w:val="15"/>
          <w:szCs w:val="15"/>
        </w:rPr>
        <w:t>, 36–45. (doi:10.1890/12-0247.1)</w:t>
      </w:r>
    </w:p>
    <w:p w14:paraId="7D257100" w14:textId="77777777" w:rsidR="0050784E"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13.</w:t>
      </w:r>
      <w:r w:rsidRPr="004D3316">
        <w:rPr>
          <w:rFonts w:ascii="MyriadPro-Cond" w:hAnsi="MyriadPro-Cond"/>
          <w:sz w:val="15"/>
          <w:szCs w:val="15"/>
        </w:rPr>
        <w:tab/>
      </w:r>
      <w:r w:rsidR="0050784E" w:rsidRPr="004D3316">
        <w:rPr>
          <w:rFonts w:ascii="MyriadPro-Cond" w:hAnsi="MyriadPro-Cond"/>
          <w:sz w:val="15"/>
          <w:szCs w:val="15"/>
        </w:rPr>
        <w:t xml:space="preserve">Lorimer J, Sandom C, Jepson P, Doughty C, Barua M, Kirby KJ. 2015 Rewilding: science, practice, and politics. </w:t>
      </w:r>
      <w:r w:rsidR="0050784E" w:rsidRPr="004D3316">
        <w:rPr>
          <w:rFonts w:ascii="MyriadPro-Cond" w:hAnsi="MyriadPro-Cond"/>
          <w:i/>
          <w:iCs/>
          <w:sz w:val="15"/>
          <w:szCs w:val="15"/>
        </w:rPr>
        <w:t>Annual Review of Environment and Resources</w:t>
      </w:r>
      <w:r w:rsidR="0050784E" w:rsidRPr="004D3316">
        <w:rPr>
          <w:rFonts w:ascii="MyriadPro-Cond" w:hAnsi="MyriadPro-Cond"/>
          <w:sz w:val="15"/>
          <w:szCs w:val="15"/>
        </w:rPr>
        <w:t xml:space="preserve"> </w:t>
      </w:r>
      <w:r w:rsidR="0050784E" w:rsidRPr="004D3316">
        <w:rPr>
          <w:rFonts w:ascii="MyriadPro-Cond" w:hAnsi="MyriadPro-Cond"/>
          <w:b/>
          <w:bCs/>
          <w:sz w:val="15"/>
          <w:szCs w:val="15"/>
        </w:rPr>
        <w:t>40</w:t>
      </w:r>
      <w:r w:rsidR="0050784E" w:rsidRPr="004D3316">
        <w:rPr>
          <w:rFonts w:ascii="MyriadPro-Cond" w:hAnsi="MyriadPro-Cond"/>
          <w:sz w:val="15"/>
          <w:szCs w:val="15"/>
        </w:rPr>
        <w:t>, 39–62. (doi:10.1146/annurev-environ-102014-021406)</w:t>
      </w:r>
    </w:p>
    <w:p w14:paraId="206D0F01" w14:textId="77777777" w:rsidR="00CC1D5D" w:rsidRPr="004D3316" w:rsidRDefault="00CC1D5D" w:rsidP="0050784E">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14.</w:t>
      </w:r>
      <w:r w:rsidRPr="004D3316">
        <w:rPr>
          <w:rFonts w:ascii="MyriadPro-Cond" w:hAnsi="MyriadPro-Cond"/>
          <w:sz w:val="15"/>
          <w:szCs w:val="15"/>
        </w:rPr>
        <w:tab/>
      </w:r>
      <w:r w:rsidR="0050784E" w:rsidRPr="004D3316">
        <w:rPr>
          <w:rFonts w:ascii="MyriadPro-Cond" w:hAnsi="MyriadPro-Cond"/>
          <w:sz w:val="15"/>
          <w:szCs w:val="15"/>
        </w:rPr>
        <w:t xml:space="preserve">Rubenstein DR, Rubenstein DI. 2016 From Pleistocene to trophic rewilding: a wolf in sheep’s clothing. </w:t>
      </w:r>
      <w:r w:rsidR="0050784E" w:rsidRPr="004D3316">
        <w:rPr>
          <w:rFonts w:ascii="MyriadPro-Cond" w:hAnsi="MyriadPro-Cond"/>
          <w:i/>
          <w:iCs/>
          <w:sz w:val="15"/>
          <w:szCs w:val="15"/>
        </w:rPr>
        <w:t>PNAS</w:t>
      </w:r>
      <w:r w:rsidR="0050784E" w:rsidRPr="004D3316">
        <w:rPr>
          <w:rFonts w:ascii="MyriadPro-Cond" w:hAnsi="MyriadPro-Cond"/>
          <w:sz w:val="15"/>
          <w:szCs w:val="15"/>
        </w:rPr>
        <w:t xml:space="preserve"> </w:t>
      </w:r>
      <w:r w:rsidR="0050784E" w:rsidRPr="004D3316">
        <w:rPr>
          <w:rFonts w:ascii="MyriadPro-Cond" w:hAnsi="MyriadPro-Cond"/>
          <w:b/>
          <w:bCs/>
          <w:sz w:val="15"/>
          <w:szCs w:val="15"/>
        </w:rPr>
        <w:t>113</w:t>
      </w:r>
      <w:r w:rsidR="0050784E" w:rsidRPr="004D3316">
        <w:rPr>
          <w:rFonts w:ascii="MyriadPro-Cond" w:hAnsi="MyriadPro-Cond"/>
          <w:sz w:val="15"/>
          <w:szCs w:val="15"/>
        </w:rPr>
        <w:t>, E1. (doi:10.1073/pnas.1521757113)</w:t>
      </w:r>
    </w:p>
    <w:p w14:paraId="12E55289"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15.</w:t>
      </w:r>
      <w:r w:rsidRPr="004D3316">
        <w:rPr>
          <w:rFonts w:ascii="MyriadPro-Cond" w:hAnsi="MyriadPro-Cond"/>
          <w:sz w:val="15"/>
          <w:szCs w:val="15"/>
        </w:rPr>
        <w:tab/>
        <w:t xml:space="preserve">Svenning J-C, Faurby S. 2017 Prehistoric and historic baselines for trophic rewilding in the Neotropics. </w:t>
      </w:r>
      <w:r w:rsidRPr="004D3316">
        <w:rPr>
          <w:rFonts w:ascii="MyriadPro-Cond" w:hAnsi="MyriadPro-Cond"/>
          <w:i/>
          <w:iCs/>
          <w:sz w:val="15"/>
          <w:szCs w:val="15"/>
        </w:rPr>
        <w:t>Perspectives in Ecology and Conservation</w:t>
      </w:r>
      <w:r w:rsidRPr="004D3316">
        <w:rPr>
          <w:rFonts w:ascii="MyriadPro-Cond" w:hAnsi="MyriadPro-Cond"/>
          <w:sz w:val="15"/>
          <w:szCs w:val="15"/>
        </w:rPr>
        <w:t xml:space="preserve"> </w:t>
      </w:r>
      <w:r w:rsidRPr="004D3316">
        <w:rPr>
          <w:rFonts w:ascii="MyriadPro-Cond" w:hAnsi="MyriadPro-Cond"/>
          <w:b/>
          <w:bCs/>
          <w:sz w:val="15"/>
          <w:szCs w:val="15"/>
        </w:rPr>
        <w:t>15</w:t>
      </w:r>
      <w:r w:rsidRPr="004D3316">
        <w:rPr>
          <w:rFonts w:ascii="MyriadPro-Cond" w:hAnsi="MyriadPro-Cond"/>
          <w:sz w:val="15"/>
          <w:szCs w:val="15"/>
        </w:rPr>
        <w:t>, 282–291. (doi:10.1016/j.pecon.2017.09.006)</w:t>
      </w:r>
    </w:p>
    <w:p w14:paraId="029C1BF4"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16.</w:t>
      </w:r>
      <w:r w:rsidRPr="004D3316">
        <w:rPr>
          <w:rFonts w:ascii="MyriadPro-Cond" w:hAnsi="MyriadPro-Cond"/>
          <w:sz w:val="15"/>
          <w:szCs w:val="15"/>
        </w:rPr>
        <w:tab/>
        <w:t xml:space="preserve">Corlett RT. 2016 Restoration, </w:t>
      </w:r>
      <w:r w:rsidR="0050784E" w:rsidRPr="004D3316">
        <w:rPr>
          <w:rFonts w:ascii="MyriadPro-Cond" w:hAnsi="MyriadPro-Cond"/>
          <w:sz w:val="15"/>
          <w:szCs w:val="15"/>
        </w:rPr>
        <w:t>reintroduction, and rewilding in a changing world</w:t>
      </w:r>
      <w:r w:rsidRPr="004D3316">
        <w:rPr>
          <w:rFonts w:ascii="MyriadPro-Cond" w:hAnsi="MyriadPro-Cond"/>
          <w:sz w:val="15"/>
          <w:szCs w:val="15"/>
        </w:rPr>
        <w:t xml:space="preserve">. </w:t>
      </w:r>
      <w:r w:rsidRPr="004D3316">
        <w:rPr>
          <w:rFonts w:ascii="MyriadPro-Cond" w:hAnsi="MyriadPro-Cond"/>
          <w:i/>
          <w:iCs/>
          <w:sz w:val="15"/>
          <w:szCs w:val="15"/>
        </w:rPr>
        <w:t>Trends in Ecology &amp; Evolution</w:t>
      </w:r>
      <w:r w:rsidRPr="004D3316">
        <w:rPr>
          <w:rFonts w:ascii="MyriadPro-Cond" w:hAnsi="MyriadPro-Cond"/>
          <w:sz w:val="15"/>
          <w:szCs w:val="15"/>
        </w:rPr>
        <w:t xml:space="preserve"> </w:t>
      </w:r>
      <w:r w:rsidRPr="004D3316">
        <w:rPr>
          <w:rFonts w:ascii="MyriadPro-Cond" w:hAnsi="MyriadPro-Cond"/>
          <w:b/>
          <w:bCs/>
          <w:sz w:val="15"/>
          <w:szCs w:val="15"/>
        </w:rPr>
        <w:t>31</w:t>
      </w:r>
      <w:r w:rsidRPr="004D3316">
        <w:rPr>
          <w:rFonts w:ascii="MyriadPro-Cond" w:hAnsi="MyriadPro-Cond"/>
          <w:sz w:val="15"/>
          <w:szCs w:val="15"/>
        </w:rPr>
        <w:t>, 453–462. (doi:10.1016/j.tree.2016.02.017)</w:t>
      </w:r>
    </w:p>
    <w:p w14:paraId="39E90C60" w14:textId="77777777"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17.</w:t>
      </w:r>
      <w:r w:rsidRPr="004D3316">
        <w:rPr>
          <w:rFonts w:ascii="MyriadPro-Cond" w:hAnsi="MyriadPro-Cond"/>
          <w:sz w:val="15"/>
          <w:szCs w:val="15"/>
        </w:rPr>
        <w:tab/>
        <w:t xml:space="preserve">Ripple WJ </w:t>
      </w:r>
      <w:r w:rsidRPr="004D3316">
        <w:rPr>
          <w:rFonts w:ascii="MyriadPro-Cond" w:hAnsi="MyriadPro-Cond"/>
          <w:i/>
          <w:iCs/>
          <w:sz w:val="15"/>
          <w:szCs w:val="15"/>
        </w:rPr>
        <w:t>et al.</w:t>
      </w:r>
      <w:r w:rsidRPr="004D3316">
        <w:rPr>
          <w:rFonts w:ascii="MyriadPro-Cond" w:hAnsi="MyriadPro-Cond"/>
          <w:sz w:val="15"/>
          <w:szCs w:val="15"/>
        </w:rPr>
        <w:t xml:space="preserve"> 2016 What is a </w:t>
      </w:r>
      <w:r w:rsidR="0050784E" w:rsidRPr="004D3316">
        <w:rPr>
          <w:rFonts w:ascii="MyriadPro-Cond" w:hAnsi="MyriadPro-Cond"/>
          <w:sz w:val="15"/>
          <w:szCs w:val="15"/>
        </w:rPr>
        <w:t>trophic cascade</w:t>
      </w:r>
      <w:r w:rsidRPr="004D3316">
        <w:rPr>
          <w:rFonts w:ascii="MyriadPro-Cond" w:hAnsi="MyriadPro-Cond"/>
          <w:sz w:val="15"/>
          <w:szCs w:val="15"/>
        </w:rPr>
        <w:t xml:space="preserve">? </w:t>
      </w:r>
      <w:r w:rsidRPr="004D3316">
        <w:rPr>
          <w:rFonts w:ascii="MyriadPro-Cond" w:hAnsi="MyriadPro-Cond"/>
          <w:i/>
          <w:iCs/>
          <w:sz w:val="15"/>
          <w:szCs w:val="15"/>
        </w:rPr>
        <w:t>Trends in Ecology &amp; Evolution</w:t>
      </w:r>
      <w:r w:rsidRPr="004D3316">
        <w:rPr>
          <w:rFonts w:ascii="MyriadPro-Cond" w:hAnsi="MyriadPro-Cond"/>
          <w:sz w:val="15"/>
          <w:szCs w:val="15"/>
        </w:rPr>
        <w:t xml:space="preserve"> </w:t>
      </w:r>
      <w:r w:rsidRPr="004D3316">
        <w:rPr>
          <w:rFonts w:ascii="MyriadPro-Cond" w:hAnsi="MyriadPro-Cond"/>
          <w:b/>
          <w:bCs/>
          <w:sz w:val="15"/>
          <w:szCs w:val="15"/>
        </w:rPr>
        <w:t>31</w:t>
      </w:r>
      <w:r w:rsidRPr="004D3316">
        <w:rPr>
          <w:rFonts w:ascii="MyriadPro-Cond" w:hAnsi="MyriadPro-Cond"/>
          <w:sz w:val="15"/>
          <w:szCs w:val="15"/>
        </w:rPr>
        <w:t>, 842–849. (doi:10.1016/j.tree.2016.08.010)</w:t>
      </w:r>
    </w:p>
    <w:p w14:paraId="4537394C" w14:textId="79E7E9FE" w:rsidR="003E3A9A" w:rsidRPr="004D3316" w:rsidRDefault="00CC1D5D" w:rsidP="003E3A9A">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18.</w:t>
      </w:r>
      <w:r w:rsidRPr="004D3316">
        <w:rPr>
          <w:rFonts w:ascii="MyriadPro-Cond" w:hAnsi="MyriadPro-Cond"/>
          <w:sz w:val="15"/>
          <w:szCs w:val="15"/>
        </w:rPr>
        <w:tab/>
      </w:r>
      <w:r w:rsidR="003E3A9A" w:rsidRPr="004D3316">
        <w:rPr>
          <w:rFonts w:ascii="MyriadPro-Cond" w:hAnsi="MyriadPro-Cond"/>
          <w:sz w:val="15"/>
          <w:szCs w:val="15"/>
        </w:rPr>
        <w:t xml:space="preserve">Polis GA. 1999. Why are parts of the world green? Multiple factors control productivity and the distribution of biomass. </w:t>
      </w:r>
      <w:r w:rsidR="003E3A9A" w:rsidRPr="004D3316">
        <w:rPr>
          <w:rFonts w:ascii="MyriadPro-Cond" w:hAnsi="MyriadPro-Cond"/>
          <w:i/>
          <w:sz w:val="15"/>
          <w:szCs w:val="15"/>
        </w:rPr>
        <w:t>Oikos</w:t>
      </w:r>
      <w:r w:rsidR="003E3A9A" w:rsidRPr="004D3316">
        <w:rPr>
          <w:rFonts w:ascii="MyriadPro-Cond" w:hAnsi="MyriadPro-Cond"/>
          <w:sz w:val="15"/>
          <w:szCs w:val="15"/>
        </w:rPr>
        <w:t xml:space="preserve"> </w:t>
      </w:r>
      <w:r w:rsidR="003E3A9A" w:rsidRPr="004D3316">
        <w:rPr>
          <w:rFonts w:ascii="MyriadPro-Cond" w:hAnsi="MyriadPro-Cond"/>
          <w:b/>
          <w:sz w:val="15"/>
          <w:szCs w:val="15"/>
        </w:rPr>
        <w:t>86</w:t>
      </w:r>
      <w:r w:rsidR="003E3A9A" w:rsidRPr="004D3316">
        <w:rPr>
          <w:rFonts w:ascii="MyriadPro-Cond" w:hAnsi="MyriadPro-Cond"/>
          <w:sz w:val="15"/>
          <w:szCs w:val="15"/>
        </w:rPr>
        <w:t>, 3–15. (doi:10.2307/3546565)</w:t>
      </w:r>
    </w:p>
    <w:p w14:paraId="3C8C8336" w14:textId="245D665A" w:rsidR="00CC1D5D" w:rsidRPr="004D3316" w:rsidRDefault="003E3A9A" w:rsidP="003E3A9A">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19.</w:t>
      </w:r>
      <w:r w:rsidRPr="004D3316">
        <w:rPr>
          <w:rFonts w:ascii="MyriadPro-Cond" w:hAnsi="MyriadPro-Cond"/>
          <w:sz w:val="15"/>
          <w:szCs w:val="15"/>
        </w:rPr>
        <w:tab/>
      </w:r>
      <w:r w:rsidR="00CC1D5D" w:rsidRPr="004D3316">
        <w:rPr>
          <w:rFonts w:ascii="MyriadPro-Cond" w:hAnsi="MyriadPro-Cond"/>
          <w:sz w:val="15"/>
          <w:szCs w:val="15"/>
        </w:rPr>
        <w:t xml:space="preserve">Hulme PE </w:t>
      </w:r>
      <w:r w:rsidR="00CC1D5D" w:rsidRPr="004D3316">
        <w:rPr>
          <w:rFonts w:ascii="MyriadPro-Cond" w:hAnsi="MyriadPro-Cond"/>
          <w:i/>
          <w:iCs/>
          <w:sz w:val="15"/>
          <w:szCs w:val="15"/>
        </w:rPr>
        <w:t>et al.</w:t>
      </w:r>
      <w:r w:rsidR="00CC1D5D" w:rsidRPr="004D3316">
        <w:rPr>
          <w:rFonts w:ascii="MyriadPro-Cond" w:hAnsi="MyriadPro-Cond"/>
          <w:sz w:val="15"/>
          <w:szCs w:val="15"/>
        </w:rPr>
        <w:t xml:space="preserve"> 2008 Grasping at the routes of biological invasions: a framework for integrating pathways into policy. </w:t>
      </w:r>
      <w:r w:rsidR="00CC1D5D" w:rsidRPr="004D3316">
        <w:rPr>
          <w:rFonts w:ascii="MyriadPro-Cond" w:hAnsi="MyriadPro-Cond"/>
          <w:i/>
          <w:iCs/>
          <w:sz w:val="15"/>
          <w:szCs w:val="15"/>
        </w:rPr>
        <w:t>Journal of Applied Ecology</w:t>
      </w:r>
      <w:r w:rsidR="00CC1D5D" w:rsidRPr="004D3316">
        <w:rPr>
          <w:rFonts w:ascii="MyriadPro-Cond" w:hAnsi="MyriadPro-Cond"/>
          <w:sz w:val="15"/>
          <w:szCs w:val="15"/>
        </w:rPr>
        <w:t xml:space="preserve"> </w:t>
      </w:r>
      <w:r w:rsidR="00CC1D5D" w:rsidRPr="004D3316">
        <w:rPr>
          <w:rFonts w:ascii="MyriadPro-Cond" w:hAnsi="MyriadPro-Cond"/>
          <w:b/>
          <w:bCs/>
          <w:sz w:val="15"/>
          <w:szCs w:val="15"/>
        </w:rPr>
        <w:t>45</w:t>
      </w:r>
      <w:r w:rsidR="00CC1D5D" w:rsidRPr="004D3316">
        <w:rPr>
          <w:rFonts w:ascii="MyriadPro-Cond" w:hAnsi="MyriadPro-Cond"/>
          <w:sz w:val="15"/>
          <w:szCs w:val="15"/>
        </w:rPr>
        <w:t>, 403–414. (doi:10.1111/j.1365-2664.2007.01442.x)</w:t>
      </w:r>
    </w:p>
    <w:p w14:paraId="75929245" w14:textId="3AE08378" w:rsidR="00CC1D5D" w:rsidRPr="004D3316" w:rsidRDefault="004D3316"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20</w:t>
      </w:r>
      <w:r w:rsidR="00CC1D5D" w:rsidRPr="004D3316">
        <w:rPr>
          <w:rFonts w:ascii="MyriadPro-Cond" w:hAnsi="MyriadPro-Cond"/>
          <w:sz w:val="15"/>
          <w:szCs w:val="15"/>
        </w:rPr>
        <w:t>.</w:t>
      </w:r>
      <w:r w:rsidR="00CC1D5D" w:rsidRPr="004D3316">
        <w:rPr>
          <w:rFonts w:ascii="MyriadPro-Cond" w:hAnsi="MyriadPro-Cond"/>
          <w:sz w:val="15"/>
          <w:szCs w:val="15"/>
        </w:rPr>
        <w:tab/>
        <w:t xml:space="preserve">Turbelin AJ, Malamud BD, Francis RA. 2017 Mapping the global state of invasive alien species: patterns of invasion and policy responses. </w:t>
      </w:r>
      <w:r w:rsidR="00CC1D5D" w:rsidRPr="004D3316">
        <w:rPr>
          <w:rFonts w:ascii="MyriadPro-Cond" w:hAnsi="MyriadPro-Cond"/>
          <w:i/>
          <w:iCs/>
          <w:sz w:val="15"/>
          <w:szCs w:val="15"/>
        </w:rPr>
        <w:t>Global Ecology and Biogeography</w:t>
      </w:r>
      <w:r w:rsidR="00CC1D5D" w:rsidRPr="004D3316">
        <w:rPr>
          <w:rFonts w:ascii="MyriadPro-Cond" w:hAnsi="MyriadPro-Cond"/>
          <w:sz w:val="15"/>
          <w:szCs w:val="15"/>
        </w:rPr>
        <w:t xml:space="preserve"> </w:t>
      </w:r>
      <w:r w:rsidR="00CC1D5D" w:rsidRPr="004D3316">
        <w:rPr>
          <w:rFonts w:ascii="MyriadPro-Cond" w:hAnsi="MyriadPro-Cond"/>
          <w:b/>
          <w:bCs/>
          <w:sz w:val="15"/>
          <w:szCs w:val="15"/>
        </w:rPr>
        <w:t>26</w:t>
      </w:r>
      <w:r w:rsidR="00CC1D5D" w:rsidRPr="004D3316">
        <w:rPr>
          <w:rFonts w:ascii="MyriadPro-Cond" w:hAnsi="MyriadPro-Cond"/>
          <w:sz w:val="15"/>
          <w:szCs w:val="15"/>
        </w:rPr>
        <w:t>, 78–92. (doi:10.1111/geb.12517)</w:t>
      </w:r>
    </w:p>
    <w:p w14:paraId="1302513D" w14:textId="522058E0"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1</w:t>
      </w:r>
      <w:r w:rsidRPr="004D3316">
        <w:rPr>
          <w:rFonts w:ascii="MyriadPro-Cond" w:hAnsi="MyriadPro-Cond"/>
          <w:sz w:val="15"/>
          <w:szCs w:val="15"/>
        </w:rPr>
        <w:t>.</w:t>
      </w:r>
      <w:r w:rsidRPr="004D3316">
        <w:rPr>
          <w:rFonts w:ascii="MyriadPro-Cond" w:hAnsi="MyriadPro-Cond"/>
          <w:sz w:val="15"/>
          <w:szCs w:val="15"/>
        </w:rPr>
        <w:tab/>
        <w:t xml:space="preserve">Wilder BT, Betancourt JL, Epps CW, Crowhurst RS, Mead JI, Ezcurra E. 2014 Local </w:t>
      </w:r>
      <w:r w:rsidR="0050784E" w:rsidRPr="004D3316">
        <w:rPr>
          <w:rFonts w:ascii="MyriadPro-Cond" w:hAnsi="MyriadPro-Cond"/>
          <w:sz w:val="15"/>
          <w:szCs w:val="15"/>
        </w:rPr>
        <w:t>extinction and unintentional rewilding of bighorn shee</w:t>
      </w:r>
      <w:r w:rsidRPr="004D3316">
        <w:rPr>
          <w:rFonts w:ascii="MyriadPro-Cond" w:hAnsi="MyriadPro-Cond"/>
          <w:sz w:val="15"/>
          <w:szCs w:val="15"/>
        </w:rPr>
        <w:t>p (</w:t>
      </w:r>
      <w:r w:rsidRPr="004D3316">
        <w:rPr>
          <w:rFonts w:ascii="MyriadPro-Cond" w:hAnsi="MyriadPro-Cond"/>
          <w:i/>
          <w:sz w:val="15"/>
          <w:szCs w:val="15"/>
        </w:rPr>
        <w:t>Ovis canadensis</w:t>
      </w:r>
      <w:r w:rsidRPr="004D3316">
        <w:rPr>
          <w:rFonts w:ascii="MyriadPro-Cond" w:hAnsi="MyriadPro-Cond"/>
          <w:sz w:val="15"/>
          <w:szCs w:val="15"/>
        </w:rPr>
        <w:t xml:space="preserve">) on a </w:t>
      </w:r>
      <w:r w:rsidR="0050784E" w:rsidRPr="004D3316">
        <w:rPr>
          <w:rFonts w:ascii="MyriadPro-Cond" w:hAnsi="MyriadPro-Cond"/>
          <w:sz w:val="15"/>
          <w:szCs w:val="15"/>
        </w:rPr>
        <w:t>desert isl</w:t>
      </w:r>
      <w:r w:rsidRPr="004D3316">
        <w:rPr>
          <w:rFonts w:ascii="MyriadPro-Cond" w:hAnsi="MyriadPro-Cond"/>
          <w:sz w:val="15"/>
          <w:szCs w:val="15"/>
        </w:rPr>
        <w:t xml:space="preserve">and. </w:t>
      </w:r>
      <w:r w:rsidRPr="004D3316">
        <w:rPr>
          <w:rFonts w:ascii="MyriadPro-Cond" w:hAnsi="MyriadPro-Cond"/>
          <w:i/>
          <w:iCs/>
          <w:sz w:val="15"/>
          <w:szCs w:val="15"/>
        </w:rPr>
        <w:t>PLOS ONE</w:t>
      </w:r>
      <w:r w:rsidRPr="004D3316">
        <w:rPr>
          <w:rFonts w:ascii="MyriadPro-Cond" w:hAnsi="MyriadPro-Cond"/>
          <w:sz w:val="15"/>
          <w:szCs w:val="15"/>
        </w:rPr>
        <w:t xml:space="preserve"> </w:t>
      </w:r>
      <w:r w:rsidRPr="004D3316">
        <w:rPr>
          <w:rFonts w:ascii="MyriadPro-Cond" w:hAnsi="MyriadPro-Cond"/>
          <w:b/>
          <w:bCs/>
          <w:sz w:val="15"/>
          <w:szCs w:val="15"/>
        </w:rPr>
        <w:t>9</w:t>
      </w:r>
      <w:r w:rsidRPr="004D3316">
        <w:rPr>
          <w:rFonts w:ascii="MyriadPro-Cond" w:hAnsi="MyriadPro-Cond"/>
          <w:sz w:val="15"/>
          <w:szCs w:val="15"/>
        </w:rPr>
        <w:t>, e91358. (doi:10.1371/journal.pone.0091358)</w:t>
      </w:r>
    </w:p>
    <w:p w14:paraId="5AF3417D" w14:textId="3DFE71C0"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2</w:t>
      </w:r>
      <w:r w:rsidRPr="004D3316">
        <w:rPr>
          <w:rFonts w:ascii="MyriadPro-Cond" w:hAnsi="MyriadPro-Cond"/>
          <w:sz w:val="15"/>
          <w:szCs w:val="15"/>
        </w:rPr>
        <w:t>.</w:t>
      </w:r>
      <w:r w:rsidRPr="004D3316">
        <w:rPr>
          <w:rFonts w:ascii="MyriadPro-Cond" w:hAnsi="MyriadPro-Cond"/>
          <w:sz w:val="15"/>
          <w:szCs w:val="15"/>
        </w:rPr>
        <w:tab/>
        <w:t xml:space="preserve">Lundgren EJ, Ramp D, Ripple WJ, Wallach AD. 2017 Introduced megafauna are rewilding the Anthropocene. </w:t>
      </w:r>
      <w:r w:rsidRPr="004D3316">
        <w:rPr>
          <w:rFonts w:ascii="MyriadPro-Cond" w:hAnsi="MyriadPro-Cond"/>
          <w:i/>
          <w:iCs/>
          <w:sz w:val="15"/>
          <w:szCs w:val="15"/>
        </w:rPr>
        <w:t>Ecography</w:t>
      </w:r>
      <w:r w:rsidRPr="004D3316">
        <w:rPr>
          <w:rFonts w:ascii="MyriadPro-Cond" w:hAnsi="MyriadPro-Cond"/>
          <w:sz w:val="15"/>
          <w:szCs w:val="15"/>
        </w:rPr>
        <w:t xml:space="preserve"> </w:t>
      </w:r>
      <w:r w:rsidR="0050784E" w:rsidRPr="004D3316">
        <w:rPr>
          <w:rFonts w:ascii="MyriadPro-Cond" w:hAnsi="MyriadPro-Cond"/>
          <w:sz w:val="15"/>
          <w:szCs w:val="15"/>
        </w:rPr>
        <w:t xml:space="preserve">in press </w:t>
      </w:r>
      <w:r w:rsidRPr="004D3316">
        <w:rPr>
          <w:rFonts w:ascii="MyriadPro-Cond" w:hAnsi="MyriadPro-Cond"/>
          <w:sz w:val="15"/>
          <w:szCs w:val="15"/>
        </w:rPr>
        <w:t>(doi:10.1111/ecog.03430)</w:t>
      </w:r>
    </w:p>
    <w:p w14:paraId="41243852" w14:textId="655EAD90"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3</w:t>
      </w:r>
      <w:r w:rsidRPr="004D3316">
        <w:rPr>
          <w:rFonts w:ascii="MyriadPro-Cond" w:hAnsi="MyriadPro-Cond"/>
          <w:sz w:val="15"/>
          <w:szCs w:val="15"/>
        </w:rPr>
        <w:t>.</w:t>
      </w:r>
      <w:r w:rsidRPr="004D3316">
        <w:rPr>
          <w:rFonts w:ascii="MyriadPro-Cond" w:hAnsi="MyriadPro-Cond"/>
          <w:sz w:val="15"/>
          <w:szCs w:val="15"/>
        </w:rPr>
        <w:tab/>
        <w:t xml:space="preserve">Clavero M, García-Berthou E. 2005 Invasive species are a leading cause of animal extinctions. </w:t>
      </w:r>
      <w:r w:rsidRPr="004D3316">
        <w:rPr>
          <w:rFonts w:ascii="MyriadPro-Cond" w:hAnsi="MyriadPro-Cond"/>
          <w:i/>
          <w:iCs/>
          <w:sz w:val="15"/>
          <w:szCs w:val="15"/>
        </w:rPr>
        <w:t>Trends in Ecology &amp; Evolution</w:t>
      </w:r>
      <w:r w:rsidRPr="004D3316">
        <w:rPr>
          <w:rFonts w:ascii="MyriadPro-Cond" w:hAnsi="MyriadPro-Cond"/>
          <w:sz w:val="15"/>
          <w:szCs w:val="15"/>
        </w:rPr>
        <w:t xml:space="preserve"> </w:t>
      </w:r>
      <w:r w:rsidRPr="004D3316">
        <w:rPr>
          <w:rFonts w:ascii="MyriadPro-Cond" w:hAnsi="MyriadPro-Cond"/>
          <w:b/>
          <w:bCs/>
          <w:sz w:val="15"/>
          <w:szCs w:val="15"/>
        </w:rPr>
        <w:t>20</w:t>
      </w:r>
      <w:r w:rsidRPr="004D3316">
        <w:rPr>
          <w:rFonts w:ascii="MyriadPro-Cond" w:hAnsi="MyriadPro-Cond"/>
          <w:sz w:val="15"/>
          <w:szCs w:val="15"/>
        </w:rPr>
        <w:t>, 110. (doi:10.1016/j.tree.2005.01.003)</w:t>
      </w:r>
    </w:p>
    <w:p w14:paraId="25916873" w14:textId="7C354CD8"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4</w:t>
      </w:r>
      <w:r w:rsidRPr="004D3316">
        <w:rPr>
          <w:rFonts w:ascii="MyriadPro-Cond" w:hAnsi="MyriadPro-Cond"/>
          <w:sz w:val="15"/>
          <w:szCs w:val="15"/>
        </w:rPr>
        <w:t>.</w:t>
      </w:r>
      <w:r w:rsidRPr="004D3316">
        <w:rPr>
          <w:rFonts w:ascii="MyriadPro-Cond" w:hAnsi="MyriadPro-Cond"/>
          <w:sz w:val="15"/>
          <w:szCs w:val="15"/>
        </w:rPr>
        <w:tab/>
        <w:t xml:space="preserve">Mollot G, Pantel JH, Romanuk TN. 2017 The </w:t>
      </w:r>
      <w:r w:rsidR="0050784E" w:rsidRPr="004D3316">
        <w:rPr>
          <w:rFonts w:ascii="MyriadPro-Cond" w:hAnsi="MyriadPro-Cond"/>
          <w:sz w:val="15"/>
          <w:szCs w:val="15"/>
        </w:rPr>
        <w:t>effects of invasive species on the decline in species richness: a global meta-anal</w:t>
      </w:r>
      <w:r w:rsidRPr="004D3316">
        <w:rPr>
          <w:rFonts w:ascii="MyriadPro-Cond" w:hAnsi="MyriadPro-Cond"/>
          <w:sz w:val="15"/>
          <w:szCs w:val="15"/>
        </w:rPr>
        <w:t xml:space="preserve">ysis. </w:t>
      </w:r>
      <w:r w:rsidRPr="004D3316">
        <w:rPr>
          <w:rFonts w:ascii="MyriadPro-Cond" w:hAnsi="MyriadPro-Cond"/>
          <w:i/>
          <w:iCs/>
          <w:sz w:val="15"/>
          <w:szCs w:val="15"/>
        </w:rPr>
        <w:t>Advances in Ecological Research</w:t>
      </w:r>
      <w:r w:rsidR="0050784E" w:rsidRPr="004D3316">
        <w:rPr>
          <w:rFonts w:ascii="MyriadPro-Cond" w:hAnsi="MyriadPro-Cond"/>
          <w:sz w:val="15"/>
          <w:szCs w:val="15"/>
        </w:rPr>
        <w:t xml:space="preserve"> </w:t>
      </w:r>
      <w:r w:rsidR="0050784E" w:rsidRPr="004D3316">
        <w:rPr>
          <w:rFonts w:ascii="MyriadPro-Cond" w:hAnsi="MyriadPro-Cond"/>
          <w:b/>
          <w:sz w:val="15"/>
          <w:szCs w:val="15"/>
        </w:rPr>
        <w:t>56</w:t>
      </w:r>
      <w:r w:rsidR="0050784E" w:rsidRPr="004D3316">
        <w:rPr>
          <w:rFonts w:ascii="MyriadPro-Cond" w:hAnsi="MyriadPro-Cond"/>
          <w:sz w:val="15"/>
          <w:szCs w:val="15"/>
        </w:rPr>
        <w:t xml:space="preserve">, 61–83. </w:t>
      </w:r>
      <w:r w:rsidRPr="004D3316">
        <w:rPr>
          <w:rFonts w:ascii="MyriadPro-Cond" w:hAnsi="MyriadPro-Cond"/>
          <w:sz w:val="15"/>
          <w:szCs w:val="15"/>
        </w:rPr>
        <w:t>(doi:10.1016/bs.aecr.2016.10.002)</w:t>
      </w:r>
    </w:p>
    <w:p w14:paraId="5660C244" w14:textId="23D1EB03"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5</w:t>
      </w:r>
      <w:r w:rsidRPr="004D3316">
        <w:rPr>
          <w:rFonts w:ascii="MyriadPro-Cond" w:hAnsi="MyriadPro-Cond"/>
          <w:sz w:val="15"/>
          <w:szCs w:val="15"/>
        </w:rPr>
        <w:t>.</w:t>
      </w:r>
      <w:r w:rsidRPr="004D3316">
        <w:rPr>
          <w:rFonts w:ascii="MyriadPro-Cond" w:hAnsi="MyriadPro-Cond"/>
          <w:sz w:val="15"/>
          <w:szCs w:val="15"/>
        </w:rPr>
        <w:tab/>
        <w:t xml:space="preserve">Colautti Robert I., MacIsaac Hugh J. </w:t>
      </w:r>
      <w:r w:rsidRPr="004D3316">
        <w:rPr>
          <w:rFonts w:ascii="MyriadPro-Cond" w:hAnsi="MyriadPro-Cond"/>
          <w:sz w:val="15"/>
          <w:szCs w:val="15"/>
        </w:rPr>
        <w:t xml:space="preserve">2004 A neutral terminology to define ‘invasive’ species. </w:t>
      </w:r>
      <w:r w:rsidRPr="004D3316">
        <w:rPr>
          <w:rFonts w:ascii="MyriadPro-Cond" w:hAnsi="MyriadPro-Cond"/>
          <w:i/>
          <w:iCs/>
          <w:sz w:val="15"/>
          <w:szCs w:val="15"/>
        </w:rPr>
        <w:t>Diversity and Distributions</w:t>
      </w:r>
      <w:r w:rsidRPr="004D3316">
        <w:rPr>
          <w:rFonts w:ascii="MyriadPro-Cond" w:hAnsi="MyriadPro-Cond"/>
          <w:sz w:val="15"/>
          <w:szCs w:val="15"/>
        </w:rPr>
        <w:t xml:space="preserve"> </w:t>
      </w:r>
      <w:r w:rsidRPr="004D3316">
        <w:rPr>
          <w:rFonts w:ascii="MyriadPro-Cond" w:hAnsi="MyriadPro-Cond"/>
          <w:b/>
          <w:bCs/>
          <w:sz w:val="15"/>
          <w:szCs w:val="15"/>
        </w:rPr>
        <w:t>10</w:t>
      </w:r>
      <w:r w:rsidRPr="004D3316">
        <w:rPr>
          <w:rFonts w:ascii="MyriadPro-Cond" w:hAnsi="MyriadPro-Cond"/>
          <w:sz w:val="15"/>
          <w:szCs w:val="15"/>
        </w:rPr>
        <w:t>, 135–141. (doi:10.1111/j.1366-9516.2004.00061.x)</w:t>
      </w:r>
    </w:p>
    <w:p w14:paraId="59099746" w14:textId="4731A556"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6</w:t>
      </w:r>
      <w:r w:rsidRPr="004D3316">
        <w:rPr>
          <w:rFonts w:ascii="MyriadPro-Cond" w:hAnsi="MyriadPro-Cond"/>
          <w:sz w:val="15"/>
          <w:szCs w:val="15"/>
        </w:rPr>
        <w:t>.</w:t>
      </w:r>
      <w:r w:rsidRPr="004D3316">
        <w:rPr>
          <w:rFonts w:ascii="MyriadPro-Cond" w:hAnsi="MyriadPro-Cond"/>
          <w:sz w:val="15"/>
          <w:szCs w:val="15"/>
        </w:rPr>
        <w:tab/>
        <w:t xml:space="preserve">Forsyth DM, Wilmshurst JM, Allen RB, Coomes DA. 2010 Impacts of introduced deer and extinct moa on New Zealand ecosystems. </w:t>
      </w:r>
      <w:r w:rsidRPr="004D3316">
        <w:rPr>
          <w:rFonts w:ascii="MyriadPro-Cond" w:hAnsi="MyriadPro-Cond"/>
          <w:i/>
          <w:iCs/>
          <w:sz w:val="15"/>
          <w:szCs w:val="15"/>
        </w:rPr>
        <w:t xml:space="preserve">New Zealand Journal of Ecology </w:t>
      </w:r>
      <w:r w:rsidRPr="004D3316">
        <w:rPr>
          <w:rFonts w:ascii="MyriadPro-Cond" w:hAnsi="MyriadPro-Cond"/>
          <w:b/>
          <w:bCs/>
          <w:sz w:val="15"/>
          <w:szCs w:val="15"/>
        </w:rPr>
        <w:t>34</w:t>
      </w:r>
      <w:r w:rsidRPr="004D3316">
        <w:rPr>
          <w:rFonts w:ascii="MyriadPro-Cond" w:hAnsi="MyriadPro-Cond"/>
          <w:sz w:val="15"/>
          <w:szCs w:val="15"/>
        </w:rPr>
        <w:t>, 48–65.</w:t>
      </w:r>
    </w:p>
    <w:p w14:paraId="5FFD39D6" w14:textId="56A0A683"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7</w:t>
      </w:r>
      <w:r w:rsidRPr="004D3316">
        <w:rPr>
          <w:rFonts w:ascii="MyriadPro-Cond" w:hAnsi="MyriadPro-Cond"/>
          <w:sz w:val="15"/>
          <w:szCs w:val="15"/>
        </w:rPr>
        <w:t>.</w:t>
      </w:r>
      <w:r w:rsidRPr="004D3316">
        <w:rPr>
          <w:rFonts w:ascii="MyriadPro-Cond" w:hAnsi="MyriadPro-Cond"/>
          <w:sz w:val="15"/>
          <w:szCs w:val="15"/>
        </w:rPr>
        <w:tab/>
        <w:t xml:space="preserve">Hansen DM, Donlan CJ, Griffiths CJ, Campbell KJ. 2010 Ecological history and latent conservation potential: large and giant tortoises as a model for taxon substitutions. </w:t>
      </w:r>
      <w:r w:rsidRPr="004D3316">
        <w:rPr>
          <w:rFonts w:ascii="MyriadPro-Cond" w:hAnsi="MyriadPro-Cond"/>
          <w:i/>
          <w:iCs/>
          <w:sz w:val="15"/>
          <w:szCs w:val="15"/>
        </w:rPr>
        <w:t>Ecography</w:t>
      </w:r>
      <w:r w:rsidRPr="004D3316">
        <w:rPr>
          <w:rFonts w:ascii="MyriadPro-Cond" w:hAnsi="MyriadPro-Cond"/>
          <w:sz w:val="15"/>
          <w:szCs w:val="15"/>
        </w:rPr>
        <w:t xml:space="preserve"> </w:t>
      </w:r>
      <w:r w:rsidRPr="004D3316">
        <w:rPr>
          <w:rFonts w:ascii="MyriadPro-Cond" w:hAnsi="MyriadPro-Cond"/>
          <w:b/>
          <w:bCs/>
          <w:sz w:val="15"/>
          <w:szCs w:val="15"/>
        </w:rPr>
        <w:t>33</w:t>
      </w:r>
      <w:r w:rsidRPr="004D3316">
        <w:rPr>
          <w:rFonts w:ascii="MyriadPro-Cond" w:hAnsi="MyriadPro-Cond"/>
          <w:sz w:val="15"/>
          <w:szCs w:val="15"/>
        </w:rPr>
        <w:t>, 272–284. (doi:10.1111/j.1600-0587.2010.06305.x)</w:t>
      </w:r>
    </w:p>
    <w:p w14:paraId="10A0A5AE" w14:textId="6C20DA5C"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8</w:t>
      </w:r>
      <w:r w:rsidRPr="004D3316">
        <w:rPr>
          <w:rFonts w:ascii="MyriadPro-Cond" w:hAnsi="MyriadPro-Cond"/>
          <w:sz w:val="15"/>
          <w:szCs w:val="15"/>
        </w:rPr>
        <w:t>.</w:t>
      </w:r>
      <w:r w:rsidRPr="004D3316">
        <w:rPr>
          <w:rFonts w:ascii="MyriadPro-Cond" w:hAnsi="MyriadPro-Cond"/>
          <w:sz w:val="15"/>
          <w:szCs w:val="15"/>
        </w:rPr>
        <w:tab/>
        <w:t xml:space="preserve">Borer ET, Seabloom EW, Shurin JB, Anderson KE, Blanchette CA, Broitman B, Cooper SD, Halpern BS. 2005 What </w:t>
      </w:r>
      <w:r w:rsidR="0050784E" w:rsidRPr="004D3316">
        <w:rPr>
          <w:rFonts w:ascii="MyriadPro-Cond" w:hAnsi="MyriadPro-Cond"/>
          <w:sz w:val="15"/>
          <w:szCs w:val="15"/>
        </w:rPr>
        <w:t>determines the strength of a trophic cascade</w:t>
      </w:r>
      <w:r w:rsidRPr="004D3316">
        <w:rPr>
          <w:rFonts w:ascii="MyriadPro-Cond" w:hAnsi="MyriadPro-Cond"/>
          <w:sz w:val="15"/>
          <w:szCs w:val="15"/>
        </w:rPr>
        <w:t xml:space="preserve">? </w:t>
      </w:r>
      <w:r w:rsidRPr="004D3316">
        <w:rPr>
          <w:rFonts w:ascii="MyriadPro-Cond" w:hAnsi="MyriadPro-Cond"/>
          <w:i/>
          <w:iCs/>
          <w:sz w:val="15"/>
          <w:szCs w:val="15"/>
        </w:rPr>
        <w:t>Ecology</w:t>
      </w:r>
      <w:r w:rsidRPr="004D3316">
        <w:rPr>
          <w:rFonts w:ascii="MyriadPro-Cond" w:hAnsi="MyriadPro-Cond"/>
          <w:sz w:val="15"/>
          <w:szCs w:val="15"/>
        </w:rPr>
        <w:t xml:space="preserve"> </w:t>
      </w:r>
      <w:r w:rsidRPr="004D3316">
        <w:rPr>
          <w:rFonts w:ascii="MyriadPro-Cond" w:hAnsi="MyriadPro-Cond"/>
          <w:b/>
          <w:bCs/>
          <w:sz w:val="15"/>
          <w:szCs w:val="15"/>
        </w:rPr>
        <w:t>86</w:t>
      </w:r>
      <w:r w:rsidRPr="004D3316">
        <w:rPr>
          <w:rFonts w:ascii="MyriadPro-Cond" w:hAnsi="MyriadPro-Cond"/>
          <w:sz w:val="15"/>
          <w:szCs w:val="15"/>
        </w:rPr>
        <w:t>, 528–537. (doi:10.1890/03-0816)</w:t>
      </w:r>
    </w:p>
    <w:p w14:paraId="7E00BD01" w14:textId="4365F568"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2</w:t>
      </w:r>
      <w:r w:rsidR="004D3316" w:rsidRPr="004D3316">
        <w:rPr>
          <w:rFonts w:ascii="MyriadPro-Cond" w:hAnsi="MyriadPro-Cond"/>
          <w:sz w:val="15"/>
          <w:szCs w:val="15"/>
        </w:rPr>
        <w:t>9</w:t>
      </w:r>
      <w:r w:rsidRPr="004D3316">
        <w:rPr>
          <w:rFonts w:ascii="MyriadPro-Cond" w:hAnsi="MyriadPro-Cond"/>
          <w:sz w:val="15"/>
          <w:szCs w:val="15"/>
        </w:rPr>
        <w:t>.</w:t>
      </w:r>
      <w:r w:rsidRPr="004D3316">
        <w:rPr>
          <w:rFonts w:ascii="MyriadPro-Cond" w:hAnsi="MyriadPro-Cond"/>
          <w:sz w:val="15"/>
          <w:szCs w:val="15"/>
        </w:rPr>
        <w:tab/>
        <w:t xml:space="preserve">Shurin JB, Seabloom EW. 2005 The </w:t>
      </w:r>
      <w:r w:rsidR="0050784E" w:rsidRPr="004D3316">
        <w:rPr>
          <w:rFonts w:ascii="MyriadPro-Cond" w:hAnsi="MyriadPro-Cond"/>
          <w:sz w:val="15"/>
          <w:szCs w:val="15"/>
        </w:rPr>
        <w:t>strength of trophic cascades across ecosystems: predictions from allometry and energetics</w:t>
      </w:r>
      <w:r w:rsidRPr="004D3316">
        <w:rPr>
          <w:rFonts w:ascii="MyriadPro-Cond" w:hAnsi="MyriadPro-Cond"/>
          <w:sz w:val="15"/>
          <w:szCs w:val="15"/>
        </w:rPr>
        <w:t xml:space="preserve">. </w:t>
      </w:r>
      <w:r w:rsidRPr="004D3316">
        <w:rPr>
          <w:rFonts w:ascii="MyriadPro-Cond" w:hAnsi="MyriadPro-Cond"/>
          <w:i/>
          <w:iCs/>
          <w:sz w:val="15"/>
          <w:szCs w:val="15"/>
        </w:rPr>
        <w:t>Journal of Animal Ecology</w:t>
      </w:r>
      <w:r w:rsidRPr="004D3316">
        <w:rPr>
          <w:rFonts w:ascii="MyriadPro-Cond" w:hAnsi="MyriadPro-Cond"/>
          <w:sz w:val="15"/>
          <w:szCs w:val="15"/>
        </w:rPr>
        <w:t xml:space="preserve"> </w:t>
      </w:r>
      <w:r w:rsidRPr="004D3316">
        <w:rPr>
          <w:rFonts w:ascii="MyriadPro-Cond" w:hAnsi="MyriadPro-Cond"/>
          <w:b/>
          <w:bCs/>
          <w:sz w:val="15"/>
          <w:szCs w:val="15"/>
        </w:rPr>
        <w:t>74</w:t>
      </w:r>
      <w:r w:rsidRPr="004D3316">
        <w:rPr>
          <w:rFonts w:ascii="MyriadPro-Cond" w:hAnsi="MyriadPro-Cond"/>
          <w:sz w:val="15"/>
          <w:szCs w:val="15"/>
        </w:rPr>
        <w:t>, 1029–1038. (doi:10.1111/j.1365-2656.2005.00999.x)</w:t>
      </w:r>
    </w:p>
    <w:p w14:paraId="7D5FC36C" w14:textId="39846588" w:rsidR="00CC1D5D" w:rsidRPr="004D3316" w:rsidRDefault="004D3316"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30</w:t>
      </w:r>
      <w:r w:rsidR="00CC1D5D" w:rsidRPr="004D3316">
        <w:rPr>
          <w:rFonts w:ascii="MyriadPro-Cond" w:hAnsi="MyriadPro-Cond"/>
          <w:sz w:val="15"/>
          <w:szCs w:val="15"/>
        </w:rPr>
        <w:t>.</w:t>
      </w:r>
      <w:r w:rsidR="00CC1D5D" w:rsidRPr="004D3316">
        <w:rPr>
          <w:rFonts w:ascii="MyriadPro-Cond" w:hAnsi="MyriadPro-Cond"/>
          <w:sz w:val="15"/>
          <w:szCs w:val="15"/>
        </w:rPr>
        <w:tab/>
        <w:t xml:space="preserve">Cox JG, Lima SL. 2006 Naiveté and an aquatic–terrestrial dichotomy in the effects of introduced predators. </w:t>
      </w:r>
      <w:r w:rsidR="00CC1D5D" w:rsidRPr="004D3316">
        <w:rPr>
          <w:rFonts w:ascii="MyriadPro-Cond" w:hAnsi="MyriadPro-Cond"/>
          <w:i/>
          <w:iCs/>
          <w:sz w:val="15"/>
          <w:szCs w:val="15"/>
        </w:rPr>
        <w:t>Trends in Ecology &amp; Evolution</w:t>
      </w:r>
      <w:r w:rsidR="00CC1D5D" w:rsidRPr="004D3316">
        <w:rPr>
          <w:rFonts w:ascii="MyriadPro-Cond" w:hAnsi="MyriadPro-Cond"/>
          <w:sz w:val="15"/>
          <w:szCs w:val="15"/>
        </w:rPr>
        <w:t xml:space="preserve"> </w:t>
      </w:r>
      <w:r w:rsidR="00CC1D5D" w:rsidRPr="004D3316">
        <w:rPr>
          <w:rFonts w:ascii="MyriadPro-Cond" w:hAnsi="MyriadPro-Cond"/>
          <w:b/>
          <w:bCs/>
          <w:sz w:val="15"/>
          <w:szCs w:val="15"/>
        </w:rPr>
        <w:t>21</w:t>
      </w:r>
      <w:r w:rsidR="00CC1D5D" w:rsidRPr="004D3316">
        <w:rPr>
          <w:rFonts w:ascii="MyriadPro-Cond" w:hAnsi="MyriadPro-Cond"/>
          <w:sz w:val="15"/>
          <w:szCs w:val="15"/>
        </w:rPr>
        <w:t>, 674–680. (doi:10.1016/j.tree.2006.07.011)</w:t>
      </w:r>
    </w:p>
    <w:p w14:paraId="5DD9145F" w14:textId="2737E893"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004D3316" w:rsidRPr="004D3316">
        <w:rPr>
          <w:rFonts w:ascii="MyriadPro-Cond" w:hAnsi="MyriadPro-Cond"/>
          <w:sz w:val="15"/>
          <w:szCs w:val="15"/>
        </w:rPr>
        <w:t>1</w:t>
      </w:r>
      <w:r w:rsidRPr="004D3316">
        <w:rPr>
          <w:rFonts w:ascii="MyriadPro-Cond" w:hAnsi="MyriadPro-Cond"/>
          <w:sz w:val="15"/>
          <w:szCs w:val="15"/>
        </w:rPr>
        <w:t>.</w:t>
      </w:r>
      <w:r w:rsidRPr="004D3316">
        <w:rPr>
          <w:rFonts w:ascii="MyriadPro-Cond" w:hAnsi="MyriadPro-Cond"/>
          <w:sz w:val="15"/>
          <w:szCs w:val="15"/>
        </w:rPr>
        <w:tab/>
        <w:t xml:space="preserve">Doherty TS, Glen AS, Nimmo DG, Ritchie EG, Dickman CR. 2016 Invasive predators and global biodiversity loss. </w:t>
      </w:r>
      <w:r w:rsidRPr="004D3316">
        <w:rPr>
          <w:rFonts w:ascii="MyriadPro-Cond" w:hAnsi="MyriadPro-Cond"/>
          <w:i/>
          <w:iCs/>
          <w:sz w:val="15"/>
          <w:szCs w:val="15"/>
        </w:rPr>
        <w:t>PNAS</w:t>
      </w:r>
      <w:r w:rsidRPr="004D3316">
        <w:rPr>
          <w:rFonts w:ascii="MyriadPro-Cond" w:hAnsi="MyriadPro-Cond"/>
          <w:sz w:val="15"/>
          <w:szCs w:val="15"/>
        </w:rPr>
        <w:t xml:space="preserve"> </w:t>
      </w:r>
      <w:r w:rsidRPr="004D3316">
        <w:rPr>
          <w:rFonts w:ascii="MyriadPro-Cond" w:hAnsi="MyriadPro-Cond"/>
          <w:b/>
          <w:bCs/>
          <w:sz w:val="15"/>
          <w:szCs w:val="15"/>
        </w:rPr>
        <w:t>113</w:t>
      </w:r>
      <w:r w:rsidRPr="004D3316">
        <w:rPr>
          <w:rFonts w:ascii="MyriadPro-Cond" w:hAnsi="MyriadPro-Cond"/>
          <w:sz w:val="15"/>
          <w:szCs w:val="15"/>
        </w:rPr>
        <w:t>, 11261–11265. (doi:10.1073/pnas.1602480113)</w:t>
      </w:r>
    </w:p>
    <w:p w14:paraId="6BEF7061" w14:textId="26E224E6"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004D3316" w:rsidRPr="004D3316">
        <w:rPr>
          <w:rFonts w:ascii="MyriadPro-Cond" w:hAnsi="MyriadPro-Cond"/>
          <w:sz w:val="15"/>
          <w:szCs w:val="15"/>
        </w:rPr>
        <w:t>2</w:t>
      </w:r>
      <w:r w:rsidRPr="004D3316">
        <w:rPr>
          <w:rFonts w:ascii="MyriadPro-Cond" w:hAnsi="MyriadPro-Cond"/>
          <w:sz w:val="15"/>
          <w:szCs w:val="15"/>
        </w:rPr>
        <w:t>.</w:t>
      </w:r>
      <w:r w:rsidRPr="004D3316">
        <w:rPr>
          <w:rFonts w:ascii="MyriadPro-Cond" w:hAnsi="MyriadPro-Cond"/>
          <w:sz w:val="15"/>
          <w:szCs w:val="15"/>
        </w:rPr>
        <w:tab/>
        <w:t xml:space="preserve">Shurin JB, Borer ET, Seabloom EW, Anderson K, Blanchette CA, Broitman B, Cooper SD, Halpern BS. 2002 A cross-ecosystem comparison of the strength of trophic cascades. </w:t>
      </w:r>
      <w:r w:rsidR="0050784E" w:rsidRPr="004D3316">
        <w:rPr>
          <w:rFonts w:ascii="MyriadPro-Cond" w:hAnsi="MyriadPro-Cond"/>
          <w:i/>
          <w:iCs/>
          <w:sz w:val="15"/>
          <w:szCs w:val="15"/>
        </w:rPr>
        <w:t>Ecology L</w:t>
      </w:r>
      <w:r w:rsidRPr="004D3316">
        <w:rPr>
          <w:rFonts w:ascii="MyriadPro-Cond" w:hAnsi="MyriadPro-Cond"/>
          <w:i/>
          <w:iCs/>
          <w:sz w:val="15"/>
          <w:szCs w:val="15"/>
        </w:rPr>
        <w:t>etters</w:t>
      </w:r>
      <w:r w:rsidRPr="004D3316">
        <w:rPr>
          <w:rFonts w:ascii="MyriadPro-Cond" w:hAnsi="MyriadPro-Cond"/>
          <w:sz w:val="15"/>
          <w:szCs w:val="15"/>
        </w:rPr>
        <w:t xml:space="preserve"> </w:t>
      </w:r>
      <w:r w:rsidRPr="004D3316">
        <w:rPr>
          <w:rFonts w:ascii="MyriadPro-Cond" w:hAnsi="MyriadPro-Cond"/>
          <w:b/>
          <w:bCs/>
          <w:sz w:val="15"/>
          <w:szCs w:val="15"/>
        </w:rPr>
        <w:t>5</w:t>
      </w:r>
      <w:r w:rsidRPr="004D3316">
        <w:rPr>
          <w:rFonts w:ascii="MyriadPro-Cond" w:hAnsi="MyriadPro-Cond"/>
          <w:sz w:val="15"/>
          <w:szCs w:val="15"/>
        </w:rPr>
        <w:t>, 785–791. (doi:10.1046/j.1461-0248.2002.00381.x)</w:t>
      </w:r>
    </w:p>
    <w:p w14:paraId="5BB71A58" w14:textId="4CAE48B2"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004D3316" w:rsidRPr="004D3316">
        <w:rPr>
          <w:rFonts w:ascii="MyriadPro-Cond" w:hAnsi="MyriadPro-Cond"/>
          <w:sz w:val="15"/>
          <w:szCs w:val="15"/>
        </w:rPr>
        <w:t>3</w:t>
      </w:r>
      <w:r w:rsidRPr="004D3316">
        <w:rPr>
          <w:rFonts w:ascii="MyriadPro-Cond" w:hAnsi="MyriadPro-Cond"/>
          <w:sz w:val="15"/>
          <w:szCs w:val="15"/>
        </w:rPr>
        <w:t>.</w:t>
      </w:r>
      <w:r w:rsidRPr="004D3316">
        <w:rPr>
          <w:rFonts w:ascii="MyriadPro-Cond" w:hAnsi="MyriadPro-Cond"/>
          <w:sz w:val="15"/>
          <w:szCs w:val="15"/>
        </w:rPr>
        <w:tab/>
        <w:t xml:space="preserve">Cole FR, Reeder DM, Wilson DE. 1994 A </w:t>
      </w:r>
      <w:r w:rsidR="0050784E" w:rsidRPr="004D3316">
        <w:rPr>
          <w:rFonts w:ascii="MyriadPro-Cond" w:hAnsi="MyriadPro-Cond"/>
          <w:sz w:val="15"/>
          <w:szCs w:val="15"/>
        </w:rPr>
        <w:t>synopsis of distribution patterns and the conservation of mammal species</w:t>
      </w:r>
      <w:r w:rsidRPr="004D3316">
        <w:rPr>
          <w:rFonts w:ascii="MyriadPro-Cond" w:hAnsi="MyriadPro-Cond"/>
          <w:sz w:val="15"/>
          <w:szCs w:val="15"/>
        </w:rPr>
        <w:t xml:space="preserve">. </w:t>
      </w:r>
      <w:r w:rsidRPr="004D3316">
        <w:rPr>
          <w:rFonts w:ascii="MyriadPro-Cond" w:hAnsi="MyriadPro-Cond"/>
          <w:i/>
          <w:iCs/>
          <w:sz w:val="15"/>
          <w:szCs w:val="15"/>
        </w:rPr>
        <w:t>J</w:t>
      </w:r>
      <w:r w:rsidR="0050784E" w:rsidRPr="004D3316">
        <w:rPr>
          <w:rFonts w:ascii="MyriadPro-Cond" w:hAnsi="MyriadPro-Cond"/>
          <w:i/>
          <w:iCs/>
          <w:sz w:val="15"/>
          <w:szCs w:val="15"/>
        </w:rPr>
        <w:t>ournal of</w:t>
      </w:r>
      <w:r w:rsidRPr="004D3316">
        <w:rPr>
          <w:rFonts w:ascii="MyriadPro-Cond" w:hAnsi="MyriadPro-Cond"/>
          <w:i/>
          <w:iCs/>
          <w:sz w:val="15"/>
          <w:szCs w:val="15"/>
        </w:rPr>
        <w:t xml:space="preserve"> Mammal</w:t>
      </w:r>
      <w:r w:rsidR="0050784E" w:rsidRPr="004D3316">
        <w:rPr>
          <w:rFonts w:ascii="MyriadPro-Cond" w:hAnsi="MyriadPro-Cond"/>
          <w:i/>
          <w:iCs/>
          <w:sz w:val="15"/>
          <w:szCs w:val="15"/>
        </w:rPr>
        <w:t>ogy</w:t>
      </w:r>
      <w:r w:rsidRPr="004D3316">
        <w:rPr>
          <w:rFonts w:ascii="MyriadPro-Cond" w:hAnsi="MyriadPro-Cond"/>
          <w:sz w:val="15"/>
          <w:szCs w:val="15"/>
        </w:rPr>
        <w:t xml:space="preserve"> </w:t>
      </w:r>
      <w:r w:rsidRPr="004D3316">
        <w:rPr>
          <w:rFonts w:ascii="MyriadPro-Cond" w:hAnsi="MyriadPro-Cond"/>
          <w:b/>
          <w:bCs/>
          <w:sz w:val="15"/>
          <w:szCs w:val="15"/>
        </w:rPr>
        <w:t>75</w:t>
      </w:r>
      <w:r w:rsidRPr="004D3316">
        <w:rPr>
          <w:rFonts w:ascii="MyriadPro-Cond" w:hAnsi="MyriadPro-Cond"/>
          <w:sz w:val="15"/>
          <w:szCs w:val="15"/>
        </w:rPr>
        <w:t>, 266–276. (doi:10.2307/1382545)</w:t>
      </w:r>
    </w:p>
    <w:p w14:paraId="1A7A8B65" w14:textId="5527B6E5"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004D3316" w:rsidRPr="004D3316">
        <w:rPr>
          <w:rFonts w:ascii="MyriadPro-Cond" w:hAnsi="MyriadPro-Cond"/>
          <w:sz w:val="15"/>
          <w:szCs w:val="15"/>
        </w:rPr>
        <w:t>4</w:t>
      </w:r>
      <w:r w:rsidRPr="004D3316">
        <w:rPr>
          <w:rFonts w:ascii="MyriadPro-Cond" w:hAnsi="MyriadPro-Cond"/>
          <w:sz w:val="15"/>
          <w:szCs w:val="15"/>
        </w:rPr>
        <w:t>.</w:t>
      </w:r>
      <w:r w:rsidRPr="004D3316">
        <w:rPr>
          <w:rFonts w:ascii="MyriadPro-Cond" w:hAnsi="MyriadPro-Cond"/>
          <w:sz w:val="15"/>
          <w:szCs w:val="15"/>
        </w:rPr>
        <w:tab/>
        <w:t xml:space="preserve">Barnosky AD, Koch PL, Feranec RS, Wing SL, Shabel AB. 2004 Assessing the </w:t>
      </w:r>
      <w:r w:rsidR="0050784E" w:rsidRPr="004D3316">
        <w:rPr>
          <w:rFonts w:ascii="MyriadPro-Cond" w:hAnsi="MyriadPro-Cond"/>
          <w:sz w:val="15"/>
          <w:szCs w:val="15"/>
        </w:rPr>
        <w:t xml:space="preserve">causes of late </w:t>
      </w:r>
      <w:r w:rsidRPr="004D3316">
        <w:rPr>
          <w:rFonts w:ascii="MyriadPro-Cond" w:hAnsi="MyriadPro-Cond"/>
          <w:sz w:val="15"/>
          <w:szCs w:val="15"/>
        </w:rPr>
        <w:t xml:space="preserve">Pleistocene </w:t>
      </w:r>
      <w:r w:rsidR="0050784E" w:rsidRPr="004D3316">
        <w:rPr>
          <w:rFonts w:ascii="MyriadPro-Cond" w:hAnsi="MyriadPro-Cond"/>
          <w:sz w:val="15"/>
          <w:szCs w:val="15"/>
        </w:rPr>
        <w:t>extinctions on the continents</w:t>
      </w:r>
      <w:r w:rsidRPr="004D3316">
        <w:rPr>
          <w:rFonts w:ascii="MyriadPro-Cond" w:hAnsi="MyriadPro-Cond"/>
          <w:sz w:val="15"/>
          <w:szCs w:val="15"/>
        </w:rPr>
        <w:t xml:space="preserve">. </w:t>
      </w:r>
      <w:r w:rsidRPr="004D3316">
        <w:rPr>
          <w:rFonts w:ascii="MyriadPro-Cond" w:hAnsi="MyriadPro-Cond"/>
          <w:i/>
          <w:iCs/>
          <w:sz w:val="15"/>
          <w:szCs w:val="15"/>
        </w:rPr>
        <w:t>Science</w:t>
      </w:r>
      <w:r w:rsidRPr="004D3316">
        <w:rPr>
          <w:rFonts w:ascii="MyriadPro-Cond" w:hAnsi="MyriadPro-Cond"/>
          <w:sz w:val="15"/>
          <w:szCs w:val="15"/>
        </w:rPr>
        <w:t xml:space="preserve"> </w:t>
      </w:r>
      <w:r w:rsidRPr="004D3316">
        <w:rPr>
          <w:rFonts w:ascii="MyriadPro-Cond" w:hAnsi="MyriadPro-Cond"/>
          <w:b/>
          <w:bCs/>
          <w:sz w:val="15"/>
          <w:szCs w:val="15"/>
        </w:rPr>
        <w:t>306</w:t>
      </w:r>
      <w:r w:rsidRPr="004D3316">
        <w:rPr>
          <w:rFonts w:ascii="MyriadPro-Cond" w:hAnsi="MyriadPro-Cond"/>
          <w:sz w:val="15"/>
          <w:szCs w:val="15"/>
        </w:rPr>
        <w:t>, 70–75. (doi:10.1126/science.1101476)</w:t>
      </w:r>
    </w:p>
    <w:p w14:paraId="6A426AF8" w14:textId="6FA04E0C"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004D3316" w:rsidRPr="004D3316">
        <w:rPr>
          <w:rFonts w:ascii="MyriadPro-Cond" w:hAnsi="MyriadPro-Cond"/>
          <w:sz w:val="15"/>
          <w:szCs w:val="15"/>
        </w:rPr>
        <w:t>5</w:t>
      </w:r>
      <w:r w:rsidRPr="004D3316">
        <w:rPr>
          <w:rFonts w:ascii="MyriadPro-Cond" w:hAnsi="MyriadPro-Cond"/>
          <w:sz w:val="15"/>
          <w:szCs w:val="15"/>
        </w:rPr>
        <w:t>.</w:t>
      </w:r>
      <w:r w:rsidRPr="004D3316">
        <w:rPr>
          <w:rFonts w:ascii="MyriadPro-Cond" w:hAnsi="MyriadPro-Cond"/>
          <w:sz w:val="15"/>
          <w:szCs w:val="15"/>
        </w:rPr>
        <w:tab/>
        <w:t xml:space="preserve">IUCN. 2016 </w:t>
      </w:r>
      <w:r w:rsidRPr="004D3316">
        <w:rPr>
          <w:rFonts w:ascii="MyriadPro-Cond" w:hAnsi="MyriadPro-Cond"/>
          <w:i/>
          <w:iCs/>
          <w:sz w:val="15"/>
          <w:szCs w:val="15"/>
        </w:rPr>
        <w:t>The IUCN Red List of Threatened Species.</w:t>
      </w:r>
      <w:r w:rsidRPr="004D3316">
        <w:rPr>
          <w:rFonts w:ascii="MyriadPro-Cond" w:hAnsi="MyriadPro-Cond"/>
          <w:sz w:val="15"/>
          <w:szCs w:val="15"/>
        </w:rPr>
        <w:t xml:space="preserve"> See http://www.iucnredlist.org.</w:t>
      </w:r>
    </w:p>
    <w:p w14:paraId="110E9EAA" w14:textId="73DF20E9"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004D3316" w:rsidRPr="004D3316">
        <w:rPr>
          <w:rFonts w:ascii="MyriadPro-Cond" w:hAnsi="MyriadPro-Cond"/>
          <w:sz w:val="15"/>
          <w:szCs w:val="15"/>
        </w:rPr>
        <w:t>6</w:t>
      </w:r>
      <w:r w:rsidRPr="004D3316">
        <w:rPr>
          <w:rFonts w:ascii="MyriadPro-Cond" w:hAnsi="MyriadPro-Cond"/>
          <w:sz w:val="15"/>
          <w:szCs w:val="15"/>
        </w:rPr>
        <w:t>.</w:t>
      </w:r>
      <w:r w:rsidRPr="004D3316">
        <w:rPr>
          <w:rFonts w:ascii="MyriadPro-Cond" w:hAnsi="MyriadPro-Cond"/>
          <w:sz w:val="15"/>
          <w:szCs w:val="15"/>
        </w:rPr>
        <w:tab/>
        <w:t xml:space="preserve">Seddon PJ, Moehrenschlager A, Ewen J. 2014 Reintroducing resurrected species: selecting </w:t>
      </w:r>
      <w:r w:rsidR="0050784E" w:rsidRPr="004D3316">
        <w:rPr>
          <w:rFonts w:ascii="MyriadPro-Cond" w:hAnsi="MyriadPro-Cond"/>
          <w:sz w:val="15"/>
          <w:szCs w:val="15"/>
        </w:rPr>
        <w:t>deexti</w:t>
      </w:r>
      <w:r w:rsidRPr="004D3316">
        <w:rPr>
          <w:rFonts w:ascii="MyriadPro-Cond" w:hAnsi="MyriadPro-Cond"/>
          <w:sz w:val="15"/>
          <w:szCs w:val="15"/>
        </w:rPr>
        <w:t xml:space="preserve">nction candidates. </w:t>
      </w:r>
      <w:r w:rsidRPr="004D3316">
        <w:rPr>
          <w:rFonts w:ascii="MyriadPro-Cond" w:hAnsi="MyriadPro-Cond"/>
          <w:i/>
          <w:iCs/>
          <w:sz w:val="15"/>
          <w:szCs w:val="15"/>
        </w:rPr>
        <w:t>Trends in Ecology &amp; Evolution</w:t>
      </w:r>
      <w:r w:rsidRPr="004D3316">
        <w:rPr>
          <w:rFonts w:ascii="MyriadPro-Cond" w:hAnsi="MyriadPro-Cond"/>
          <w:sz w:val="15"/>
          <w:szCs w:val="15"/>
        </w:rPr>
        <w:t xml:space="preserve"> </w:t>
      </w:r>
      <w:r w:rsidRPr="004D3316">
        <w:rPr>
          <w:rFonts w:ascii="MyriadPro-Cond" w:hAnsi="MyriadPro-Cond"/>
          <w:b/>
          <w:bCs/>
          <w:sz w:val="15"/>
          <w:szCs w:val="15"/>
        </w:rPr>
        <w:t>29</w:t>
      </w:r>
      <w:r w:rsidRPr="004D3316">
        <w:rPr>
          <w:rFonts w:ascii="MyriadPro-Cond" w:hAnsi="MyriadPro-Cond"/>
          <w:sz w:val="15"/>
          <w:szCs w:val="15"/>
        </w:rPr>
        <w:t>, 140–147. (doi:10.1016/j.tree.2014.01.007)</w:t>
      </w:r>
    </w:p>
    <w:p w14:paraId="5DA67A32" w14:textId="51FE82E7" w:rsidR="004D3316"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004D3316" w:rsidRPr="004D3316">
        <w:rPr>
          <w:rFonts w:ascii="MyriadPro-Cond" w:hAnsi="MyriadPro-Cond"/>
          <w:sz w:val="15"/>
          <w:szCs w:val="15"/>
        </w:rPr>
        <w:t>7</w:t>
      </w:r>
      <w:r w:rsidRPr="004D3316">
        <w:rPr>
          <w:rFonts w:ascii="MyriadPro-Cond" w:hAnsi="MyriadPro-Cond"/>
          <w:sz w:val="15"/>
          <w:szCs w:val="15"/>
        </w:rPr>
        <w:t>.</w:t>
      </w:r>
      <w:r w:rsidRPr="004D3316">
        <w:rPr>
          <w:rFonts w:ascii="MyriadPro-Cond" w:hAnsi="MyriadPro-Cond"/>
          <w:sz w:val="15"/>
          <w:szCs w:val="15"/>
        </w:rPr>
        <w:tab/>
      </w:r>
      <w:r w:rsidR="004D3316" w:rsidRPr="004D3316">
        <w:rPr>
          <w:rFonts w:ascii="MyriadPro-Cond" w:hAnsi="MyriadPro-Cond"/>
          <w:sz w:val="15"/>
          <w:szCs w:val="15"/>
        </w:rPr>
        <w:t xml:space="preserve">Goldberg J, Trewick SA, Paterson AM. 2008 Evolution of New Zealand’s terrestrial fauna: a review of molecular evidence. </w:t>
      </w:r>
      <w:r w:rsidR="004D3316" w:rsidRPr="004D3316">
        <w:rPr>
          <w:rFonts w:ascii="MyriadPro-Cond" w:hAnsi="MyriadPro-Cond"/>
          <w:i/>
          <w:sz w:val="15"/>
          <w:szCs w:val="15"/>
        </w:rPr>
        <w:t>Philosophical Transactions of the Royal Society of London B</w:t>
      </w:r>
      <w:r w:rsidR="004D3316" w:rsidRPr="004D3316">
        <w:rPr>
          <w:rFonts w:ascii="MyriadPro-Cond" w:hAnsi="MyriadPro-Cond"/>
          <w:sz w:val="15"/>
          <w:szCs w:val="15"/>
        </w:rPr>
        <w:t xml:space="preserve"> </w:t>
      </w:r>
      <w:r w:rsidR="004D3316" w:rsidRPr="004D3316">
        <w:rPr>
          <w:rFonts w:ascii="MyriadPro-Cond" w:hAnsi="MyriadPro-Cond"/>
          <w:b/>
          <w:sz w:val="15"/>
          <w:szCs w:val="15"/>
        </w:rPr>
        <w:t>363</w:t>
      </w:r>
      <w:r w:rsidR="004D3316" w:rsidRPr="004D3316">
        <w:rPr>
          <w:rFonts w:ascii="MyriadPro-Cond" w:hAnsi="MyriadPro-Cond"/>
          <w:sz w:val="15"/>
          <w:szCs w:val="15"/>
        </w:rPr>
        <w:t>, 3319–3334. (doi:10.1098/rstb.2008.0114)</w:t>
      </w:r>
    </w:p>
    <w:p w14:paraId="78E988D1" w14:textId="03C6913F" w:rsidR="00CC1D5D" w:rsidRPr="004D3316" w:rsidRDefault="004D3316"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38.</w:t>
      </w:r>
      <w:r w:rsidRPr="004D3316">
        <w:rPr>
          <w:rFonts w:ascii="MyriadPro-Cond" w:hAnsi="MyriadPro-Cond"/>
          <w:sz w:val="15"/>
          <w:szCs w:val="15"/>
        </w:rPr>
        <w:tab/>
      </w:r>
      <w:r w:rsidR="00CC1D5D" w:rsidRPr="004D3316">
        <w:rPr>
          <w:rFonts w:ascii="MyriadPro-Cond" w:hAnsi="MyriadPro-Cond"/>
          <w:sz w:val="15"/>
          <w:szCs w:val="15"/>
        </w:rPr>
        <w:t xml:space="preserve">Gurevitch J, Curtis PS, Jones MH. 2001 Meta-analysis in ecology. </w:t>
      </w:r>
      <w:r w:rsidR="00CC1D5D" w:rsidRPr="004D3316">
        <w:rPr>
          <w:rFonts w:ascii="MyriadPro-Cond" w:hAnsi="MyriadPro-Cond"/>
          <w:i/>
          <w:iCs/>
          <w:sz w:val="15"/>
          <w:szCs w:val="15"/>
        </w:rPr>
        <w:t>Advances in Ecological Research</w:t>
      </w:r>
      <w:r w:rsidR="00CC1D5D" w:rsidRPr="004D3316">
        <w:rPr>
          <w:rFonts w:ascii="MyriadPro-Cond" w:hAnsi="MyriadPro-Cond"/>
          <w:sz w:val="15"/>
          <w:szCs w:val="15"/>
        </w:rPr>
        <w:t xml:space="preserve"> </w:t>
      </w:r>
      <w:r w:rsidR="00CC1D5D" w:rsidRPr="004D3316">
        <w:rPr>
          <w:rFonts w:ascii="MyriadPro-Cond" w:hAnsi="MyriadPro-Cond"/>
          <w:b/>
          <w:bCs/>
          <w:sz w:val="15"/>
          <w:szCs w:val="15"/>
        </w:rPr>
        <w:t>32</w:t>
      </w:r>
      <w:r w:rsidR="00CC1D5D" w:rsidRPr="004D3316">
        <w:rPr>
          <w:rFonts w:ascii="MyriadPro-Cond" w:hAnsi="MyriadPro-Cond"/>
          <w:sz w:val="15"/>
          <w:szCs w:val="15"/>
        </w:rPr>
        <w:t>, 199–247. (doi:10.1016/S0065-2504(01)32013-5)</w:t>
      </w:r>
    </w:p>
    <w:p w14:paraId="3232A872" w14:textId="2BF0C64A"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3</w:t>
      </w:r>
      <w:r w:rsidR="004D3316" w:rsidRPr="004D3316">
        <w:rPr>
          <w:rFonts w:ascii="MyriadPro-Cond" w:hAnsi="MyriadPro-Cond"/>
          <w:sz w:val="15"/>
          <w:szCs w:val="15"/>
        </w:rPr>
        <w:t>9</w:t>
      </w:r>
      <w:r w:rsidRPr="004D3316">
        <w:rPr>
          <w:rFonts w:ascii="MyriadPro-Cond" w:hAnsi="MyriadPro-Cond"/>
          <w:sz w:val="15"/>
          <w:szCs w:val="15"/>
        </w:rPr>
        <w:t>.</w:t>
      </w:r>
      <w:r w:rsidRPr="004D3316">
        <w:rPr>
          <w:rFonts w:ascii="MyriadPro-Cond" w:hAnsi="MyriadPro-Cond"/>
          <w:sz w:val="15"/>
          <w:szCs w:val="15"/>
        </w:rPr>
        <w:tab/>
        <w:t xml:space="preserve">Hedges LV, Olkin I. 1985 </w:t>
      </w:r>
      <w:r w:rsidRPr="004D3316">
        <w:rPr>
          <w:rFonts w:ascii="MyriadPro-Cond" w:hAnsi="MyriadPro-Cond"/>
          <w:i/>
          <w:iCs/>
          <w:sz w:val="15"/>
          <w:szCs w:val="15"/>
        </w:rPr>
        <w:t>Statistical Methods for Meta-Analysis</w:t>
      </w:r>
      <w:r w:rsidRPr="004D3316">
        <w:rPr>
          <w:rFonts w:ascii="MyriadPro-Cond" w:hAnsi="MyriadPro-Cond"/>
          <w:sz w:val="15"/>
          <w:szCs w:val="15"/>
        </w:rPr>
        <w:t>. San Diego: Academic Press. (doi:10.1016/B978-0-08-057065-5.50006-3)</w:t>
      </w:r>
    </w:p>
    <w:p w14:paraId="5C74F441" w14:textId="4EF3CDB6" w:rsidR="00CC1D5D" w:rsidRPr="004D3316" w:rsidRDefault="004D3316"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40</w:t>
      </w:r>
      <w:r w:rsidR="00CC1D5D" w:rsidRPr="004D3316">
        <w:rPr>
          <w:rFonts w:ascii="MyriadPro-Cond" w:hAnsi="MyriadPro-Cond"/>
          <w:sz w:val="15"/>
          <w:szCs w:val="15"/>
        </w:rPr>
        <w:t>.</w:t>
      </w:r>
      <w:r w:rsidR="00CC1D5D" w:rsidRPr="004D3316">
        <w:rPr>
          <w:rFonts w:ascii="MyriadPro-Cond" w:hAnsi="MyriadPro-Cond"/>
          <w:sz w:val="15"/>
          <w:szCs w:val="15"/>
        </w:rPr>
        <w:tab/>
        <w:t>Viechtbauer W. 2010 Conducting meta-</w:t>
      </w:r>
      <w:r w:rsidR="00CC1D5D" w:rsidRPr="004D3316">
        <w:rPr>
          <w:rFonts w:ascii="MyriadPro-Cond" w:hAnsi="MyriadPro-Cond"/>
          <w:sz w:val="15"/>
          <w:szCs w:val="15"/>
        </w:rPr>
        <w:t xml:space="preserve">analyses in R with the metafor package. </w:t>
      </w:r>
      <w:r w:rsidR="0050784E" w:rsidRPr="004D3316">
        <w:rPr>
          <w:rFonts w:ascii="MyriadPro-Cond" w:hAnsi="MyriadPro-Cond"/>
          <w:i/>
          <w:iCs/>
          <w:sz w:val="15"/>
          <w:szCs w:val="15"/>
        </w:rPr>
        <w:t>Journal of Statistical Software</w:t>
      </w:r>
      <w:r w:rsidR="0050784E" w:rsidRPr="004D3316">
        <w:rPr>
          <w:rFonts w:ascii="MyriadPro-Cond" w:hAnsi="MyriadPro-Cond"/>
          <w:sz w:val="15"/>
          <w:szCs w:val="15"/>
        </w:rPr>
        <w:t xml:space="preserve"> </w:t>
      </w:r>
      <w:r w:rsidR="00CC1D5D" w:rsidRPr="004D3316">
        <w:rPr>
          <w:rFonts w:ascii="MyriadPro-Cond" w:hAnsi="MyriadPro-Cond"/>
          <w:b/>
          <w:bCs/>
          <w:sz w:val="15"/>
          <w:szCs w:val="15"/>
        </w:rPr>
        <w:t>36</w:t>
      </w:r>
      <w:r w:rsidR="00CC1D5D" w:rsidRPr="004D3316">
        <w:rPr>
          <w:rFonts w:ascii="MyriadPro-Cond" w:hAnsi="MyriadPro-Cond"/>
          <w:sz w:val="15"/>
          <w:szCs w:val="15"/>
        </w:rPr>
        <w:t>, 1–48.</w:t>
      </w:r>
    </w:p>
    <w:p w14:paraId="74E465B2" w14:textId="7A27AE3C" w:rsidR="004D3316" w:rsidRDefault="004D3316"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41</w:t>
      </w:r>
      <w:r w:rsidR="00CC1D5D" w:rsidRPr="004D3316">
        <w:rPr>
          <w:rFonts w:ascii="MyriadPro-Cond" w:hAnsi="MyriadPro-Cond"/>
          <w:sz w:val="15"/>
          <w:szCs w:val="15"/>
        </w:rPr>
        <w:t>.</w:t>
      </w:r>
      <w:r w:rsidR="00CC1D5D" w:rsidRPr="004D3316">
        <w:rPr>
          <w:rFonts w:ascii="MyriadPro-Cond" w:hAnsi="MyriadPro-Cond"/>
          <w:sz w:val="15"/>
          <w:szCs w:val="15"/>
        </w:rPr>
        <w:tab/>
      </w:r>
      <w:r w:rsidRPr="004D3316">
        <w:rPr>
          <w:rFonts w:ascii="MyriadPro-Cond" w:hAnsi="MyriadPro-Cond"/>
          <w:sz w:val="15"/>
          <w:szCs w:val="15"/>
        </w:rPr>
        <w:t xml:space="preserve">Hawkins BA et al. 2003 energy, water, and broad-scale geographic patterns of species richness. </w:t>
      </w:r>
      <w:r w:rsidRPr="004D3316">
        <w:rPr>
          <w:rFonts w:ascii="MyriadPro-Cond" w:hAnsi="MyriadPro-Cond"/>
          <w:i/>
          <w:sz w:val="15"/>
          <w:szCs w:val="15"/>
        </w:rPr>
        <w:t>Ecology</w:t>
      </w:r>
      <w:r w:rsidRPr="004D3316">
        <w:rPr>
          <w:rFonts w:ascii="MyriadPro-Cond" w:hAnsi="MyriadPro-Cond"/>
          <w:sz w:val="15"/>
          <w:szCs w:val="15"/>
        </w:rPr>
        <w:t xml:space="preserve"> </w:t>
      </w:r>
      <w:r w:rsidRPr="004D3316">
        <w:rPr>
          <w:rFonts w:ascii="MyriadPro-Cond" w:hAnsi="MyriadPro-Cond"/>
          <w:b/>
          <w:sz w:val="15"/>
          <w:szCs w:val="15"/>
        </w:rPr>
        <w:t>84</w:t>
      </w:r>
      <w:r w:rsidRPr="004D3316">
        <w:rPr>
          <w:rFonts w:ascii="MyriadPro-Cond" w:hAnsi="MyriadPro-Cond"/>
          <w:sz w:val="15"/>
          <w:szCs w:val="15"/>
        </w:rPr>
        <w:t>, 3105–3117. (doi:10.1890/03-8006)</w:t>
      </w:r>
    </w:p>
    <w:p w14:paraId="72180C37" w14:textId="65CB8B30" w:rsidR="004D3316" w:rsidRPr="004D3316" w:rsidRDefault="004D3316" w:rsidP="004D3316">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42.</w:t>
      </w:r>
      <w:r>
        <w:rPr>
          <w:rFonts w:ascii="MyriadPro-Cond" w:hAnsi="MyriadPro-Cond"/>
          <w:sz w:val="15"/>
          <w:szCs w:val="15"/>
        </w:rPr>
        <w:tab/>
      </w:r>
      <w:r w:rsidRPr="004D3316">
        <w:rPr>
          <w:rFonts w:ascii="MyriadPro-Cond" w:hAnsi="MyriadPro-Cond"/>
          <w:sz w:val="15"/>
          <w:szCs w:val="15"/>
        </w:rPr>
        <w:t xml:space="preserve">Imhoff ML, Bounoua L, Ricketts T, Loucks C, Harriss R, Lawrence WT. 2004 Global patterns in human consumption of net primary production. </w:t>
      </w:r>
      <w:r w:rsidRPr="004D3316">
        <w:rPr>
          <w:rFonts w:ascii="MyriadPro-Cond" w:hAnsi="MyriadPro-Cond"/>
          <w:i/>
          <w:sz w:val="15"/>
          <w:szCs w:val="15"/>
        </w:rPr>
        <w:t>Nature</w:t>
      </w:r>
      <w:r w:rsidRPr="004D3316">
        <w:rPr>
          <w:rFonts w:ascii="MyriadPro-Cond" w:hAnsi="MyriadPro-Cond"/>
          <w:sz w:val="15"/>
          <w:szCs w:val="15"/>
        </w:rPr>
        <w:t xml:space="preserve"> </w:t>
      </w:r>
      <w:r w:rsidRPr="004D3316">
        <w:rPr>
          <w:rFonts w:ascii="MyriadPro-Cond" w:hAnsi="MyriadPro-Cond"/>
          <w:b/>
          <w:sz w:val="15"/>
          <w:szCs w:val="15"/>
        </w:rPr>
        <w:t>429</w:t>
      </w:r>
      <w:r w:rsidRPr="004D3316">
        <w:rPr>
          <w:rFonts w:ascii="MyriadPro-Cond" w:hAnsi="MyriadPro-Cond"/>
          <w:sz w:val="15"/>
          <w:szCs w:val="15"/>
        </w:rPr>
        <w:t>, 870–873. (doi:10.1038/nature02619)</w:t>
      </w:r>
    </w:p>
    <w:p w14:paraId="0DCB4F76" w14:textId="0BE955A9" w:rsidR="00CC1D5D" w:rsidRPr="004D3316" w:rsidRDefault="004D3316" w:rsidP="004D3316">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43.</w:t>
      </w:r>
      <w:r>
        <w:rPr>
          <w:rFonts w:ascii="MyriadPro-Cond" w:hAnsi="MyriadPro-Cond"/>
          <w:sz w:val="15"/>
          <w:szCs w:val="15"/>
        </w:rPr>
        <w:tab/>
      </w:r>
      <w:r w:rsidRPr="004D3316">
        <w:rPr>
          <w:rFonts w:ascii="MyriadPro-Cond" w:hAnsi="MyriadPro-Cond"/>
          <w:sz w:val="15"/>
          <w:szCs w:val="15"/>
        </w:rPr>
        <w:t xml:space="preserve">Terborgh JW. 2015 Toward a trophic theory of species diversity. </w:t>
      </w:r>
      <w:r w:rsidRPr="004D3316">
        <w:rPr>
          <w:rFonts w:ascii="MyriadPro-Cond" w:hAnsi="MyriadPro-Cond"/>
          <w:i/>
          <w:sz w:val="15"/>
          <w:szCs w:val="15"/>
        </w:rPr>
        <w:t>PNAS</w:t>
      </w:r>
      <w:r w:rsidRPr="004D3316">
        <w:rPr>
          <w:rFonts w:ascii="MyriadPro-Cond" w:hAnsi="MyriadPro-Cond"/>
          <w:sz w:val="15"/>
          <w:szCs w:val="15"/>
        </w:rPr>
        <w:t xml:space="preserve"> </w:t>
      </w:r>
      <w:r w:rsidRPr="004D3316">
        <w:rPr>
          <w:rFonts w:ascii="MyriadPro-Cond" w:hAnsi="MyriadPro-Cond"/>
          <w:b/>
          <w:sz w:val="15"/>
          <w:szCs w:val="15"/>
        </w:rPr>
        <w:t>112</w:t>
      </w:r>
      <w:r w:rsidRPr="004D3316">
        <w:rPr>
          <w:rFonts w:ascii="MyriadPro-Cond" w:hAnsi="MyriadPro-Cond"/>
          <w:sz w:val="15"/>
          <w:szCs w:val="15"/>
        </w:rPr>
        <w:t>, 11415–11422. (doi:10.1073/pnas.1501070112)</w:t>
      </w:r>
      <w:r w:rsidRPr="004D3316" w:rsidDel="004D3316">
        <w:rPr>
          <w:rFonts w:ascii="MyriadPro-Cond" w:hAnsi="MyriadPro-Cond"/>
          <w:sz w:val="15"/>
          <w:szCs w:val="15"/>
        </w:rPr>
        <w:t xml:space="preserve"> </w:t>
      </w:r>
    </w:p>
    <w:p w14:paraId="4BB42048" w14:textId="1187E2C7" w:rsidR="00CC1D5D"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4</w:t>
      </w:r>
      <w:r w:rsidR="00501E80">
        <w:rPr>
          <w:rFonts w:ascii="MyriadPro-Cond" w:hAnsi="MyriadPro-Cond"/>
          <w:sz w:val="15"/>
          <w:szCs w:val="15"/>
        </w:rPr>
        <w:t>4</w:t>
      </w:r>
      <w:r w:rsidRPr="004D3316">
        <w:rPr>
          <w:rFonts w:ascii="MyriadPro-Cond" w:hAnsi="MyriadPro-Cond"/>
          <w:sz w:val="15"/>
          <w:szCs w:val="15"/>
        </w:rPr>
        <w:t>.</w:t>
      </w:r>
      <w:r w:rsidRPr="004D3316">
        <w:rPr>
          <w:rFonts w:ascii="MyriadPro-Cond" w:hAnsi="MyriadPro-Cond"/>
          <w:sz w:val="15"/>
          <w:szCs w:val="15"/>
        </w:rPr>
        <w:tab/>
        <w:t xml:space="preserve">Carpenter B </w:t>
      </w:r>
      <w:r w:rsidRPr="004D3316">
        <w:rPr>
          <w:rFonts w:ascii="MyriadPro-Cond" w:hAnsi="MyriadPro-Cond"/>
          <w:i/>
          <w:iCs/>
          <w:sz w:val="15"/>
          <w:szCs w:val="15"/>
        </w:rPr>
        <w:t>et al.</w:t>
      </w:r>
      <w:r w:rsidRPr="004D3316">
        <w:rPr>
          <w:rFonts w:ascii="MyriadPro-Cond" w:hAnsi="MyriadPro-Cond"/>
          <w:sz w:val="15"/>
          <w:szCs w:val="15"/>
        </w:rPr>
        <w:t xml:space="preserve"> 2017 Stan: </w:t>
      </w:r>
      <w:r w:rsidR="0050784E" w:rsidRPr="004D3316">
        <w:rPr>
          <w:rFonts w:ascii="MyriadPro-Cond" w:hAnsi="MyriadPro-Cond"/>
          <w:sz w:val="15"/>
          <w:szCs w:val="15"/>
        </w:rPr>
        <w:t>a</w:t>
      </w:r>
      <w:r w:rsidRPr="004D3316">
        <w:rPr>
          <w:rFonts w:ascii="MyriadPro-Cond" w:hAnsi="MyriadPro-Cond"/>
          <w:sz w:val="15"/>
          <w:szCs w:val="15"/>
        </w:rPr>
        <w:t xml:space="preserve"> probabilistic programming language. </w:t>
      </w:r>
      <w:r w:rsidRPr="004D3316">
        <w:rPr>
          <w:rFonts w:ascii="MyriadPro-Cond" w:hAnsi="MyriadPro-Cond"/>
          <w:i/>
          <w:iCs/>
          <w:sz w:val="15"/>
          <w:szCs w:val="15"/>
        </w:rPr>
        <w:t>Journal of Statistical Software</w:t>
      </w:r>
      <w:r w:rsidRPr="004D3316">
        <w:rPr>
          <w:rFonts w:ascii="MyriadPro-Cond" w:hAnsi="MyriadPro-Cond"/>
          <w:sz w:val="15"/>
          <w:szCs w:val="15"/>
        </w:rPr>
        <w:t xml:space="preserve"> </w:t>
      </w:r>
      <w:r w:rsidRPr="004D3316">
        <w:rPr>
          <w:rFonts w:ascii="MyriadPro-Cond" w:hAnsi="MyriadPro-Cond"/>
          <w:b/>
          <w:bCs/>
          <w:sz w:val="15"/>
          <w:szCs w:val="15"/>
        </w:rPr>
        <w:t>76</w:t>
      </w:r>
      <w:r w:rsidRPr="004D3316">
        <w:rPr>
          <w:rFonts w:ascii="MyriadPro-Cond" w:hAnsi="MyriadPro-Cond"/>
          <w:sz w:val="15"/>
          <w:szCs w:val="15"/>
        </w:rPr>
        <w:t>, 1–32.</w:t>
      </w:r>
    </w:p>
    <w:p w14:paraId="43D3D7CA" w14:textId="0C0D4246" w:rsidR="00501E80" w:rsidRDefault="00501E80" w:rsidP="00501E80">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45</w:t>
      </w:r>
      <w:r w:rsidRPr="00501E80">
        <w:rPr>
          <w:rFonts w:ascii="MyriadPro-Cond" w:hAnsi="MyriadPro-Cond"/>
          <w:sz w:val="15"/>
          <w:szCs w:val="15"/>
        </w:rPr>
        <w:t>.</w:t>
      </w:r>
      <w:r>
        <w:rPr>
          <w:rFonts w:ascii="MyriadPro-Cond" w:hAnsi="MyriadPro-Cond"/>
          <w:sz w:val="15"/>
          <w:szCs w:val="15"/>
        </w:rPr>
        <w:tab/>
      </w:r>
      <w:r w:rsidRPr="00501E80">
        <w:rPr>
          <w:rFonts w:ascii="MyriadPro-Cond" w:hAnsi="MyriadPro-Cond"/>
          <w:sz w:val="15"/>
          <w:szCs w:val="15"/>
        </w:rPr>
        <w:t xml:space="preserve">Sterne JAC, Becker BJ, Egger M. 2006 The </w:t>
      </w:r>
      <w:r>
        <w:rPr>
          <w:rFonts w:ascii="MyriadPro-Cond" w:hAnsi="MyriadPro-Cond"/>
          <w:sz w:val="15"/>
          <w:szCs w:val="15"/>
        </w:rPr>
        <w:t>f</w:t>
      </w:r>
      <w:r w:rsidRPr="00501E80">
        <w:rPr>
          <w:rFonts w:ascii="MyriadPro-Cond" w:hAnsi="MyriadPro-Cond"/>
          <w:sz w:val="15"/>
          <w:szCs w:val="15"/>
        </w:rPr>
        <w:t xml:space="preserve">unnel </w:t>
      </w:r>
      <w:r>
        <w:rPr>
          <w:rFonts w:ascii="MyriadPro-Cond" w:hAnsi="MyriadPro-Cond"/>
          <w:sz w:val="15"/>
          <w:szCs w:val="15"/>
        </w:rPr>
        <w:t>p</w:t>
      </w:r>
      <w:r w:rsidRPr="00501E80">
        <w:rPr>
          <w:rFonts w:ascii="MyriadPro-Cond" w:hAnsi="MyriadPro-Cond"/>
          <w:sz w:val="15"/>
          <w:szCs w:val="15"/>
        </w:rPr>
        <w:t xml:space="preserve">lot. In </w:t>
      </w:r>
      <w:r w:rsidRPr="00501E80">
        <w:rPr>
          <w:rFonts w:ascii="MyriadPro-Cond" w:hAnsi="MyriadPro-Cond"/>
          <w:i/>
          <w:sz w:val="15"/>
          <w:szCs w:val="15"/>
        </w:rPr>
        <w:t>Publication Bias in Meta-Analysis</w:t>
      </w:r>
      <w:r w:rsidRPr="00501E80">
        <w:rPr>
          <w:rFonts w:ascii="MyriadPro-Cond" w:hAnsi="MyriadPro-Cond"/>
          <w:sz w:val="15"/>
          <w:szCs w:val="15"/>
        </w:rPr>
        <w:t>, pp. 73–98. Wiley-Blackwell. (doi:10.1002/0470870168.ch5)</w:t>
      </w:r>
    </w:p>
    <w:p w14:paraId="0064CD3D" w14:textId="4FFC63A5" w:rsidR="00501E80" w:rsidRPr="004D3316" w:rsidRDefault="00501E80" w:rsidP="00501E80">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46.</w:t>
      </w:r>
      <w:r>
        <w:rPr>
          <w:rFonts w:ascii="MyriadPro-Cond" w:hAnsi="MyriadPro-Cond"/>
          <w:sz w:val="15"/>
          <w:szCs w:val="15"/>
        </w:rPr>
        <w:tab/>
      </w:r>
      <w:r w:rsidRPr="00501E80">
        <w:rPr>
          <w:rFonts w:ascii="MyriadPro-Cond" w:hAnsi="MyriadPro-Cond"/>
          <w:sz w:val="15"/>
          <w:szCs w:val="15"/>
        </w:rPr>
        <w:t xml:space="preserve">Egger M, Smith GD, Schneider M, Minder C. 1997 Bias in meta-analysis detected by a simple, graphical test. </w:t>
      </w:r>
      <w:r w:rsidRPr="00501E80">
        <w:rPr>
          <w:rFonts w:ascii="MyriadPro-Cond" w:hAnsi="MyriadPro-Cond"/>
          <w:i/>
          <w:sz w:val="15"/>
          <w:szCs w:val="15"/>
        </w:rPr>
        <w:t>British Medical Journal</w:t>
      </w:r>
      <w:r>
        <w:rPr>
          <w:rFonts w:ascii="MyriadPro-Cond" w:hAnsi="MyriadPro-Cond"/>
          <w:i/>
          <w:sz w:val="15"/>
          <w:szCs w:val="15"/>
        </w:rPr>
        <w:t xml:space="preserve"> </w:t>
      </w:r>
      <w:r w:rsidRPr="00501E80">
        <w:rPr>
          <w:rFonts w:ascii="MyriadPro-Cond" w:hAnsi="MyriadPro-Cond"/>
          <w:b/>
          <w:sz w:val="15"/>
          <w:szCs w:val="15"/>
        </w:rPr>
        <w:t>315</w:t>
      </w:r>
      <w:r w:rsidRPr="00501E80">
        <w:rPr>
          <w:rFonts w:ascii="MyriadPro-Cond" w:hAnsi="MyriadPro-Cond"/>
          <w:sz w:val="15"/>
          <w:szCs w:val="15"/>
        </w:rPr>
        <w:t>, 629–634. (doi:10.1136/bmj.315.7109.629)</w:t>
      </w:r>
    </w:p>
    <w:p w14:paraId="58474FC2" w14:textId="2513B07B"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4</w:t>
      </w:r>
      <w:r w:rsidR="00501E80">
        <w:rPr>
          <w:rFonts w:ascii="MyriadPro-Cond" w:hAnsi="MyriadPro-Cond"/>
          <w:sz w:val="15"/>
          <w:szCs w:val="15"/>
        </w:rPr>
        <w:t>7</w:t>
      </w:r>
      <w:r w:rsidRPr="004D3316">
        <w:rPr>
          <w:rFonts w:ascii="MyriadPro-Cond" w:hAnsi="MyriadPro-Cond"/>
          <w:sz w:val="15"/>
          <w:szCs w:val="15"/>
        </w:rPr>
        <w:t>.</w:t>
      </w:r>
      <w:r w:rsidRPr="004D3316">
        <w:rPr>
          <w:rFonts w:ascii="MyriadPro-Cond" w:hAnsi="MyriadPro-Cond"/>
          <w:sz w:val="15"/>
          <w:szCs w:val="15"/>
        </w:rPr>
        <w:tab/>
        <w:t xml:space="preserve">Nakagawa S, Santos ESA. 2012 Methodological issues and advances in biological meta-analysis. </w:t>
      </w:r>
      <w:r w:rsidRPr="004D3316">
        <w:rPr>
          <w:rFonts w:ascii="MyriadPro-Cond" w:hAnsi="MyriadPro-Cond"/>
          <w:i/>
          <w:iCs/>
          <w:sz w:val="15"/>
          <w:szCs w:val="15"/>
        </w:rPr>
        <w:t>Evol</w:t>
      </w:r>
      <w:r w:rsidR="0050784E" w:rsidRPr="004D3316">
        <w:rPr>
          <w:rFonts w:ascii="MyriadPro-Cond" w:hAnsi="MyriadPro-Cond"/>
          <w:i/>
          <w:iCs/>
          <w:sz w:val="15"/>
          <w:szCs w:val="15"/>
        </w:rPr>
        <w:t>utionary</w:t>
      </w:r>
      <w:r w:rsidRPr="004D3316">
        <w:rPr>
          <w:rFonts w:ascii="MyriadPro-Cond" w:hAnsi="MyriadPro-Cond"/>
          <w:i/>
          <w:iCs/>
          <w:sz w:val="15"/>
          <w:szCs w:val="15"/>
        </w:rPr>
        <w:t xml:space="preserve"> Ecol</w:t>
      </w:r>
      <w:r w:rsidR="0050784E" w:rsidRPr="004D3316">
        <w:rPr>
          <w:rFonts w:ascii="MyriadPro-Cond" w:hAnsi="MyriadPro-Cond"/>
          <w:i/>
          <w:iCs/>
          <w:sz w:val="15"/>
          <w:szCs w:val="15"/>
        </w:rPr>
        <w:t>ogy</w:t>
      </w:r>
      <w:r w:rsidRPr="004D3316">
        <w:rPr>
          <w:rFonts w:ascii="MyriadPro-Cond" w:hAnsi="MyriadPro-Cond"/>
          <w:sz w:val="15"/>
          <w:szCs w:val="15"/>
        </w:rPr>
        <w:t xml:space="preserve"> </w:t>
      </w:r>
      <w:r w:rsidRPr="004D3316">
        <w:rPr>
          <w:rFonts w:ascii="MyriadPro-Cond" w:hAnsi="MyriadPro-Cond"/>
          <w:b/>
          <w:bCs/>
          <w:sz w:val="15"/>
          <w:szCs w:val="15"/>
        </w:rPr>
        <w:t>26</w:t>
      </w:r>
      <w:r w:rsidRPr="004D3316">
        <w:rPr>
          <w:rFonts w:ascii="MyriadPro-Cond" w:hAnsi="MyriadPro-Cond"/>
          <w:sz w:val="15"/>
          <w:szCs w:val="15"/>
        </w:rPr>
        <w:t>, 1253–1274. (doi:10.1007/s10682-012-9555-5)</w:t>
      </w:r>
    </w:p>
    <w:p w14:paraId="42CBAB01" w14:textId="7F661D65"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4</w:t>
      </w:r>
      <w:r w:rsidR="00501E80">
        <w:rPr>
          <w:rFonts w:ascii="MyriadPro-Cond" w:hAnsi="MyriadPro-Cond"/>
          <w:sz w:val="15"/>
          <w:szCs w:val="15"/>
        </w:rPr>
        <w:t>8</w:t>
      </w:r>
      <w:r w:rsidRPr="004D3316">
        <w:rPr>
          <w:rFonts w:ascii="MyriadPro-Cond" w:hAnsi="MyriadPro-Cond"/>
          <w:sz w:val="15"/>
          <w:szCs w:val="15"/>
        </w:rPr>
        <w:t>.</w:t>
      </w:r>
      <w:r w:rsidRPr="004D3316">
        <w:rPr>
          <w:rFonts w:ascii="MyriadPro-Cond" w:hAnsi="MyriadPro-Cond"/>
          <w:sz w:val="15"/>
          <w:szCs w:val="15"/>
        </w:rPr>
        <w:tab/>
        <w:t xml:space="preserve">Soulè M, Noss R. 1998 Rewilding and biodiversity: complementary goals for continental conservation. </w:t>
      </w:r>
      <w:r w:rsidRPr="004D3316">
        <w:rPr>
          <w:rFonts w:ascii="MyriadPro-Cond" w:hAnsi="MyriadPro-Cond"/>
          <w:i/>
          <w:iCs/>
          <w:sz w:val="15"/>
          <w:szCs w:val="15"/>
        </w:rPr>
        <w:t>Wild Earth</w:t>
      </w:r>
      <w:r w:rsidRPr="004D3316">
        <w:rPr>
          <w:rFonts w:ascii="MyriadPro-Cond" w:hAnsi="MyriadPro-Cond"/>
          <w:sz w:val="15"/>
          <w:szCs w:val="15"/>
        </w:rPr>
        <w:t xml:space="preserve"> </w:t>
      </w:r>
      <w:r w:rsidRPr="004D3316">
        <w:rPr>
          <w:rFonts w:ascii="MyriadPro-Cond" w:hAnsi="MyriadPro-Cond"/>
          <w:b/>
          <w:bCs/>
          <w:sz w:val="15"/>
          <w:szCs w:val="15"/>
        </w:rPr>
        <w:t>8</w:t>
      </w:r>
      <w:r w:rsidRPr="004D3316">
        <w:rPr>
          <w:rFonts w:ascii="MyriadPro-Cond" w:hAnsi="MyriadPro-Cond"/>
          <w:sz w:val="15"/>
          <w:szCs w:val="15"/>
        </w:rPr>
        <w:t>, 18–28.</w:t>
      </w:r>
    </w:p>
    <w:p w14:paraId="1A6C23ED" w14:textId="0B82AD2C"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4</w:t>
      </w:r>
      <w:r w:rsidR="00501E80">
        <w:rPr>
          <w:rFonts w:ascii="MyriadPro-Cond" w:hAnsi="MyriadPro-Cond"/>
          <w:sz w:val="15"/>
          <w:szCs w:val="15"/>
        </w:rPr>
        <w:t>9</w:t>
      </w:r>
      <w:r w:rsidRPr="004D3316">
        <w:rPr>
          <w:rFonts w:ascii="MyriadPro-Cond" w:hAnsi="MyriadPro-Cond"/>
          <w:sz w:val="15"/>
          <w:szCs w:val="15"/>
        </w:rPr>
        <w:t>.</w:t>
      </w:r>
      <w:r w:rsidRPr="004D3316">
        <w:rPr>
          <w:rFonts w:ascii="MyriadPro-Cond" w:hAnsi="MyriadPro-Cond"/>
          <w:sz w:val="15"/>
          <w:szCs w:val="15"/>
        </w:rPr>
        <w:tab/>
        <w:t xml:space="preserve">Schmitz OJ, Hambäck PA, Beckerman AP. 2000 Trophic </w:t>
      </w:r>
      <w:r w:rsidR="0050784E" w:rsidRPr="004D3316">
        <w:rPr>
          <w:rFonts w:ascii="MyriadPro-Cond" w:hAnsi="MyriadPro-Cond"/>
          <w:sz w:val="15"/>
          <w:szCs w:val="15"/>
        </w:rPr>
        <w:t>cascades in terrestrial systems: a review of the effects of carnivore removals on plants</w:t>
      </w:r>
      <w:r w:rsidRPr="004D3316">
        <w:rPr>
          <w:rFonts w:ascii="MyriadPro-Cond" w:hAnsi="MyriadPro-Cond"/>
          <w:sz w:val="15"/>
          <w:szCs w:val="15"/>
        </w:rPr>
        <w:t xml:space="preserve">. </w:t>
      </w:r>
      <w:r w:rsidR="0050784E" w:rsidRPr="004D3316">
        <w:rPr>
          <w:rFonts w:ascii="MyriadPro-Cond" w:hAnsi="MyriadPro-Cond"/>
          <w:i/>
          <w:iCs/>
          <w:sz w:val="15"/>
          <w:szCs w:val="15"/>
        </w:rPr>
        <w:t>American Naturalist</w:t>
      </w:r>
      <w:r w:rsidRPr="004D3316">
        <w:rPr>
          <w:rFonts w:ascii="MyriadPro-Cond" w:hAnsi="MyriadPro-Cond"/>
          <w:sz w:val="15"/>
          <w:szCs w:val="15"/>
        </w:rPr>
        <w:t xml:space="preserve"> </w:t>
      </w:r>
      <w:r w:rsidRPr="004D3316">
        <w:rPr>
          <w:rFonts w:ascii="MyriadPro-Cond" w:hAnsi="MyriadPro-Cond"/>
          <w:b/>
          <w:bCs/>
          <w:sz w:val="15"/>
          <w:szCs w:val="15"/>
        </w:rPr>
        <w:t>155</w:t>
      </w:r>
      <w:r w:rsidRPr="004D3316">
        <w:rPr>
          <w:rFonts w:ascii="MyriadPro-Cond" w:hAnsi="MyriadPro-Cond"/>
          <w:sz w:val="15"/>
          <w:szCs w:val="15"/>
        </w:rPr>
        <w:t>, 141–153. (doi:10.1086/303311)</w:t>
      </w:r>
    </w:p>
    <w:p w14:paraId="41AAF76A" w14:textId="2F3A1FAB"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50</w:t>
      </w:r>
      <w:r w:rsidR="00CC1D5D" w:rsidRPr="004D3316">
        <w:rPr>
          <w:rFonts w:ascii="MyriadPro-Cond" w:hAnsi="MyriadPro-Cond"/>
          <w:sz w:val="15"/>
          <w:szCs w:val="15"/>
        </w:rPr>
        <w:t>.</w:t>
      </w:r>
      <w:r w:rsidR="00CC1D5D" w:rsidRPr="004D3316">
        <w:rPr>
          <w:rFonts w:ascii="MyriadPro-Cond" w:hAnsi="MyriadPro-Cond"/>
          <w:sz w:val="15"/>
          <w:szCs w:val="15"/>
        </w:rPr>
        <w:tab/>
        <w:t xml:space="preserve">Bascompte J, Melián CJ, Sala E. 2005 Interaction strength combinations and the overfishing of a marine food web. </w:t>
      </w:r>
      <w:r w:rsidR="00CC1D5D" w:rsidRPr="004D3316">
        <w:rPr>
          <w:rFonts w:ascii="MyriadPro-Cond" w:hAnsi="MyriadPro-Cond"/>
          <w:i/>
          <w:iCs/>
          <w:sz w:val="15"/>
          <w:szCs w:val="15"/>
        </w:rPr>
        <w:t>PNAS</w:t>
      </w:r>
      <w:r w:rsidR="00CC1D5D" w:rsidRPr="004D3316">
        <w:rPr>
          <w:rFonts w:ascii="MyriadPro-Cond" w:hAnsi="MyriadPro-Cond"/>
          <w:sz w:val="15"/>
          <w:szCs w:val="15"/>
        </w:rPr>
        <w:t xml:space="preserve"> </w:t>
      </w:r>
      <w:r w:rsidR="00CC1D5D" w:rsidRPr="004D3316">
        <w:rPr>
          <w:rFonts w:ascii="MyriadPro-Cond" w:hAnsi="MyriadPro-Cond"/>
          <w:b/>
          <w:bCs/>
          <w:sz w:val="15"/>
          <w:szCs w:val="15"/>
        </w:rPr>
        <w:t>102</w:t>
      </w:r>
      <w:r w:rsidR="00CC1D5D" w:rsidRPr="004D3316">
        <w:rPr>
          <w:rFonts w:ascii="MyriadPro-Cond" w:hAnsi="MyriadPro-Cond"/>
          <w:sz w:val="15"/>
          <w:szCs w:val="15"/>
        </w:rPr>
        <w:t>, 5443–5447. (doi:10.1073/pnas.0501562102)</w:t>
      </w:r>
    </w:p>
    <w:p w14:paraId="56E27FD0" w14:textId="63DD9CD0" w:rsidR="00CC1D5D"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5</w:t>
      </w:r>
      <w:r w:rsidR="00501E80">
        <w:rPr>
          <w:rFonts w:ascii="MyriadPro-Cond" w:hAnsi="MyriadPro-Cond"/>
          <w:sz w:val="15"/>
          <w:szCs w:val="15"/>
        </w:rPr>
        <w:t>1</w:t>
      </w:r>
      <w:r w:rsidRPr="004D3316">
        <w:rPr>
          <w:rFonts w:ascii="MyriadPro-Cond" w:hAnsi="MyriadPro-Cond"/>
          <w:sz w:val="15"/>
          <w:szCs w:val="15"/>
        </w:rPr>
        <w:t>.</w:t>
      </w:r>
      <w:r w:rsidRPr="004D3316">
        <w:rPr>
          <w:rFonts w:ascii="MyriadPro-Cond" w:hAnsi="MyriadPro-Cond"/>
          <w:sz w:val="15"/>
          <w:szCs w:val="15"/>
        </w:rPr>
        <w:tab/>
        <w:t xml:space="preserve">McLaren BE, Peterson RO. 1994 Wolves, </w:t>
      </w:r>
      <w:r w:rsidR="0050784E" w:rsidRPr="004D3316">
        <w:rPr>
          <w:rFonts w:ascii="MyriadPro-Cond" w:hAnsi="MyriadPro-Cond"/>
          <w:sz w:val="15"/>
          <w:szCs w:val="15"/>
        </w:rPr>
        <w:t xml:space="preserve">moose, and tree rings </w:t>
      </w:r>
      <w:r w:rsidRPr="004D3316">
        <w:rPr>
          <w:rFonts w:ascii="MyriadPro-Cond" w:hAnsi="MyriadPro-Cond"/>
          <w:sz w:val="15"/>
          <w:szCs w:val="15"/>
        </w:rPr>
        <w:t xml:space="preserve">on Isle Royale. </w:t>
      </w:r>
      <w:r w:rsidRPr="004D3316">
        <w:rPr>
          <w:rFonts w:ascii="MyriadPro-Cond" w:hAnsi="MyriadPro-Cond"/>
          <w:i/>
          <w:iCs/>
          <w:sz w:val="15"/>
          <w:szCs w:val="15"/>
        </w:rPr>
        <w:t>Science</w:t>
      </w:r>
      <w:r w:rsidRPr="004D3316">
        <w:rPr>
          <w:rFonts w:ascii="MyriadPro-Cond" w:hAnsi="MyriadPro-Cond"/>
          <w:sz w:val="15"/>
          <w:szCs w:val="15"/>
        </w:rPr>
        <w:t xml:space="preserve"> </w:t>
      </w:r>
      <w:r w:rsidRPr="004D3316">
        <w:rPr>
          <w:rFonts w:ascii="MyriadPro-Cond" w:hAnsi="MyriadPro-Cond"/>
          <w:b/>
          <w:bCs/>
          <w:sz w:val="15"/>
          <w:szCs w:val="15"/>
        </w:rPr>
        <w:t>266</w:t>
      </w:r>
      <w:r w:rsidRPr="004D3316">
        <w:rPr>
          <w:rFonts w:ascii="MyriadPro-Cond" w:hAnsi="MyriadPro-Cond"/>
          <w:sz w:val="15"/>
          <w:szCs w:val="15"/>
        </w:rPr>
        <w:t>, 1555–1558. (doi:10.1126/science.266.5190.1555)</w:t>
      </w:r>
    </w:p>
    <w:p w14:paraId="2AF34F27" w14:textId="2E8C6F9C" w:rsidR="00501E80"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52.</w:t>
      </w:r>
      <w:r>
        <w:rPr>
          <w:rFonts w:ascii="MyriadPro-Cond" w:hAnsi="MyriadPro-Cond"/>
          <w:sz w:val="15"/>
          <w:szCs w:val="15"/>
        </w:rPr>
        <w:tab/>
      </w:r>
      <w:r w:rsidRPr="00501E80">
        <w:rPr>
          <w:rFonts w:ascii="MyriadPro-Cond" w:hAnsi="MyriadPro-Cond"/>
          <w:sz w:val="15"/>
          <w:szCs w:val="15"/>
        </w:rPr>
        <w:t xml:space="preserve">Ripple WJ, Larsen EJ, Renkin RA, Smith DW. 2001 Trophic cascades among wolves, elk and aspen on Yellowstone National Park’s northern range. </w:t>
      </w:r>
      <w:r w:rsidRPr="00501E80">
        <w:rPr>
          <w:rFonts w:ascii="MyriadPro-Cond" w:hAnsi="MyriadPro-Cond"/>
          <w:i/>
          <w:sz w:val="15"/>
          <w:szCs w:val="15"/>
        </w:rPr>
        <w:t>Biological Conservation</w:t>
      </w:r>
      <w:r w:rsidRPr="00501E80">
        <w:rPr>
          <w:rFonts w:ascii="MyriadPro-Cond" w:hAnsi="MyriadPro-Cond"/>
          <w:sz w:val="15"/>
          <w:szCs w:val="15"/>
        </w:rPr>
        <w:t xml:space="preserve"> </w:t>
      </w:r>
      <w:r w:rsidRPr="00501E80">
        <w:rPr>
          <w:rFonts w:ascii="MyriadPro-Cond" w:hAnsi="MyriadPro-Cond"/>
          <w:b/>
          <w:sz w:val="15"/>
          <w:szCs w:val="15"/>
        </w:rPr>
        <w:t>102</w:t>
      </w:r>
      <w:r w:rsidRPr="00501E80">
        <w:rPr>
          <w:rFonts w:ascii="MyriadPro-Cond" w:hAnsi="MyriadPro-Cond"/>
          <w:sz w:val="15"/>
          <w:szCs w:val="15"/>
        </w:rPr>
        <w:t>, 227–234. (doi:10.1016/S0006-3207(01)00107-0)</w:t>
      </w:r>
    </w:p>
    <w:p w14:paraId="4A4E3464" w14:textId="47D5D285"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53</w:t>
      </w:r>
      <w:r w:rsidR="00CC1D5D" w:rsidRPr="004D3316">
        <w:rPr>
          <w:rFonts w:ascii="MyriadPro-Cond" w:hAnsi="MyriadPro-Cond"/>
          <w:sz w:val="15"/>
          <w:szCs w:val="15"/>
        </w:rPr>
        <w:t>.</w:t>
      </w:r>
      <w:r w:rsidR="00CC1D5D" w:rsidRPr="004D3316">
        <w:rPr>
          <w:rFonts w:ascii="MyriadPro-Cond" w:hAnsi="MyriadPro-Cond"/>
          <w:sz w:val="15"/>
          <w:szCs w:val="15"/>
        </w:rPr>
        <w:tab/>
        <w:t xml:space="preserve">Crooks KR, Soulé ME. 1999 Mesopredator release and avifaunal extinctions in a fragmented system. </w:t>
      </w:r>
      <w:r w:rsidR="00CC1D5D" w:rsidRPr="004D3316">
        <w:rPr>
          <w:rFonts w:ascii="MyriadPro-Cond" w:hAnsi="MyriadPro-Cond"/>
          <w:i/>
          <w:iCs/>
          <w:sz w:val="15"/>
          <w:szCs w:val="15"/>
        </w:rPr>
        <w:t>Nature</w:t>
      </w:r>
      <w:r w:rsidR="00CC1D5D" w:rsidRPr="004D3316">
        <w:rPr>
          <w:rFonts w:ascii="MyriadPro-Cond" w:hAnsi="MyriadPro-Cond"/>
          <w:sz w:val="15"/>
          <w:szCs w:val="15"/>
        </w:rPr>
        <w:t xml:space="preserve"> </w:t>
      </w:r>
      <w:r w:rsidR="00CC1D5D" w:rsidRPr="004D3316">
        <w:rPr>
          <w:rFonts w:ascii="MyriadPro-Cond" w:hAnsi="MyriadPro-Cond"/>
          <w:b/>
          <w:bCs/>
          <w:sz w:val="15"/>
          <w:szCs w:val="15"/>
        </w:rPr>
        <w:t>400</w:t>
      </w:r>
      <w:r w:rsidR="00CC1D5D" w:rsidRPr="004D3316">
        <w:rPr>
          <w:rFonts w:ascii="MyriadPro-Cond" w:hAnsi="MyriadPro-Cond"/>
          <w:sz w:val="15"/>
          <w:szCs w:val="15"/>
        </w:rPr>
        <w:t>, 563–566. (doi:10.1038/23028)</w:t>
      </w:r>
    </w:p>
    <w:p w14:paraId="353CB466" w14:textId="70FA14ED"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54</w:t>
      </w:r>
      <w:r w:rsidR="00CC1D5D" w:rsidRPr="004D3316">
        <w:rPr>
          <w:rFonts w:ascii="MyriadPro-Cond" w:hAnsi="MyriadPro-Cond"/>
          <w:sz w:val="15"/>
          <w:szCs w:val="15"/>
        </w:rPr>
        <w:t>.</w:t>
      </w:r>
      <w:r w:rsidR="00CC1D5D" w:rsidRPr="004D3316">
        <w:rPr>
          <w:rFonts w:ascii="MyriadPro-Cond" w:hAnsi="MyriadPro-Cond"/>
          <w:sz w:val="15"/>
          <w:szCs w:val="15"/>
        </w:rPr>
        <w:tab/>
        <w:t xml:space="preserve">Wallach AD, Ripple WJ, Carroll SP. 2015 Novel trophic cascades: apex predators enable coexistence. </w:t>
      </w:r>
      <w:r w:rsidR="00CC1D5D" w:rsidRPr="004D3316">
        <w:rPr>
          <w:rFonts w:ascii="MyriadPro-Cond" w:hAnsi="MyriadPro-Cond"/>
          <w:i/>
          <w:iCs/>
          <w:sz w:val="15"/>
          <w:szCs w:val="15"/>
        </w:rPr>
        <w:t>Trends in Ecology &amp; Evolution</w:t>
      </w:r>
      <w:r w:rsidR="00CC1D5D" w:rsidRPr="004D3316">
        <w:rPr>
          <w:rFonts w:ascii="MyriadPro-Cond" w:hAnsi="MyriadPro-Cond"/>
          <w:sz w:val="15"/>
          <w:szCs w:val="15"/>
        </w:rPr>
        <w:t xml:space="preserve"> </w:t>
      </w:r>
      <w:r w:rsidR="00CC1D5D" w:rsidRPr="004D3316">
        <w:rPr>
          <w:rFonts w:ascii="MyriadPro-Cond" w:hAnsi="MyriadPro-Cond"/>
          <w:b/>
          <w:bCs/>
          <w:sz w:val="15"/>
          <w:szCs w:val="15"/>
        </w:rPr>
        <w:t>30</w:t>
      </w:r>
      <w:r w:rsidR="00CC1D5D" w:rsidRPr="004D3316">
        <w:rPr>
          <w:rFonts w:ascii="MyriadPro-Cond" w:hAnsi="MyriadPro-Cond"/>
          <w:sz w:val="15"/>
          <w:szCs w:val="15"/>
        </w:rPr>
        <w:t>, 146–153. (doi:10.1016/j.tree.2015.01.003)</w:t>
      </w:r>
    </w:p>
    <w:p w14:paraId="74E17F40" w14:textId="4501B56B"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55</w:t>
      </w:r>
      <w:r w:rsidR="00CC1D5D" w:rsidRPr="004D3316">
        <w:rPr>
          <w:rFonts w:ascii="MyriadPro-Cond" w:hAnsi="MyriadPro-Cond"/>
          <w:sz w:val="15"/>
          <w:szCs w:val="15"/>
        </w:rPr>
        <w:t>.</w:t>
      </w:r>
      <w:r w:rsidR="00CC1D5D" w:rsidRPr="004D3316">
        <w:rPr>
          <w:rFonts w:ascii="MyriadPro-Cond" w:hAnsi="MyriadPro-Cond"/>
          <w:sz w:val="15"/>
          <w:szCs w:val="15"/>
        </w:rPr>
        <w:tab/>
        <w:t xml:space="preserve">Anstett DN, Nunes KA, Baskett C, Kotanen PM. 2016 Sources of </w:t>
      </w:r>
      <w:r w:rsidR="0050784E" w:rsidRPr="004D3316">
        <w:rPr>
          <w:rFonts w:ascii="MyriadPro-Cond" w:hAnsi="MyriadPro-Cond"/>
          <w:sz w:val="15"/>
          <w:szCs w:val="15"/>
        </w:rPr>
        <w:t>controversy surrounding latitudinal patterns in herbivory and defense</w:t>
      </w:r>
      <w:r w:rsidR="00CC1D5D" w:rsidRPr="004D3316">
        <w:rPr>
          <w:rFonts w:ascii="MyriadPro-Cond" w:hAnsi="MyriadPro-Cond"/>
          <w:sz w:val="15"/>
          <w:szCs w:val="15"/>
        </w:rPr>
        <w:t xml:space="preserve">. </w:t>
      </w:r>
      <w:r w:rsidR="00CC1D5D" w:rsidRPr="004D3316">
        <w:rPr>
          <w:rFonts w:ascii="MyriadPro-Cond" w:hAnsi="MyriadPro-Cond"/>
          <w:i/>
          <w:iCs/>
          <w:sz w:val="15"/>
          <w:szCs w:val="15"/>
        </w:rPr>
        <w:t>Trends in Ecology &amp; Evolution</w:t>
      </w:r>
      <w:r w:rsidR="00CC1D5D" w:rsidRPr="004D3316">
        <w:rPr>
          <w:rFonts w:ascii="MyriadPro-Cond" w:hAnsi="MyriadPro-Cond"/>
          <w:sz w:val="15"/>
          <w:szCs w:val="15"/>
        </w:rPr>
        <w:t xml:space="preserve"> </w:t>
      </w:r>
      <w:r w:rsidR="00CC1D5D" w:rsidRPr="004D3316">
        <w:rPr>
          <w:rFonts w:ascii="MyriadPro-Cond" w:hAnsi="MyriadPro-Cond"/>
          <w:b/>
          <w:bCs/>
          <w:sz w:val="15"/>
          <w:szCs w:val="15"/>
        </w:rPr>
        <w:t>31</w:t>
      </w:r>
      <w:r w:rsidR="00CC1D5D" w:rsidRPr="004D3316">
        <w:rPr>
          <w:rFonts w:ascii="MyriadPro-Cond" w:hAnsi="MyriadPro-Cond"/>
          <w:sz w:val="15"/>
          <w:szCs w:val="15"/>
        </w:rPr>
        <w:t>, 789–802. (doi:10.1016/j.tree.2016.07.011)</w:t>
      </w:r>
    </w:p>
    <w:p w14:paraId="4BADD83E" w14:textId="6D99A44F" w:rsidR="00501E80" w:rsidRDefault="00501E80" w:rsidP="00501E80">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56</w:t>
      </w:r>
      <w:r w:rsidR="00CC1D5D" w:rsidRPr="004D3316">
        <w:rPr>
          <w:rFonts w:ascii="MyriadPro-Cond" w:hAnsi="MyriadPro-Cond"/>
          <w:sz w:val="15"/>
          <w:szCs w:val="15"/>
        </w:rPr>
        <w:t>.</w:t>
      </w:r>
      <w:r w:rsidR="00CC1D5D" w:rsidRPr="004D3316">
        <w:rPr>
          <w:rFonts w:ascii="MyriadPro-Cond" w:hAnsi="MyriadPro-Cond"/>
          <w:sz w:val="15"/>
          <w:szCs w:val="15"/>
        </w:rPr>
        <w:tab/>
        <w:t xml:space="preserve">Chatelain M, Halpin CG, Rowe C. 2013 Ambient temperature influences birds’ decisions to eat toxic prey. </w:t>
      </w:r>
      <w:r w:rsidR="00CC1D5D" w:rsidRPr="004D3316">
        <w:rPr>
          <w:rFonts w:ascii="MyriadPro-Cond" w:hAnsi="MyriadPro-Cond"/>
          <w:i/>
          <w:iCs/>
          <w:sz w:val="15"/>
          <w:szCs w:val="15"/>
        </w:rPr>
        <w:t xml:space="preserve">Animal </w:t>
      </w:r>
      <w:r w:rsidR="00CC1D5D" w:rsidRPr="004D3316">
        <w:rPr>
          <w:rFonts w:ascii="MyriadPro-Cond" w:hAnsi="MyriadPro-Cond"/>
          <w:i/>
          <w:iCs/>
          <w:sz w:val="15"/>
          <w:szCs w:val="15"/>
        </w:rPr>
        <w:lastRenderedPageBreak/>
        <w:t>Behaviour</w:t>
      </w:r>
      <w:r w:rsidR="00CC1D5D" w:rsidRPr="004D3316">
        <w:rPr>
          <w:rFonts w:ascii="MyriadPro-Cond" w:hAnsi="MyriadPro-Cond"/>
          <w:sz w:val="15"/>
          <w:szCs w:val="15"/>
        </w:rPr>
        <w:t xml:space="preserve"> </w:t>
      </w:r>
      <w:r w:rsidR="00CC1D5D" w:rsidRPr="004D3316">
        <w:rPr>
          <w:rFonts w:ascii="MyriadPro-Cond" w:hAnsi="MyriadPro-Cond"/>
          <w:b/>
          <w:bCs/>
          <w:sz w:val="15"/>
          <w:szCs w:val="15"/>
        </w:rPr>
        <w:t>86</w:t>
      </w:r>
      <w:r w:rsidR="00CC1D5D" w:rsidRPr="004D3316">
        <w:rPr>
          <w:rFonts w:ascii="MyriadPro-Cond" w:hAnsi="MyriadPro-Cond"/>
          <w:sz w:val="15"/>
          <w:szCs w:val="15"/>
        </w:rPr>
        <w:t>, 733–740. (doi:10.1016/j.anbehav.2013.07.007)</w:t>
      </w:r>
    </w:p>
    <w:p w14:paraId="21E5B3F2" w14:textId="1DA06063" w:rsidR="00501E80" w:rsidRPr="00501E80" w:rsidRDefault="00501E80" w:rsidP="00501E80">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57</w:t>
      </w:r>
      <w:r w:rsidRPr="00501E80">
        <w:rPr>
          <w:rFonts w:ascii="MyriadPro-Cond" w:hAnsi="MyriadPro-Cond"/>
          <w:sz w:val="15"/>
          <w:szCs w:val="15"/>
        </w:rPr>
        <w:t>.</w:t>
      </w:r>
      <w:r>
        <w:rPr>
          <w:rFonts w:ascii="MyriadPro-Cond" w:hAnsi="MyriadPro-Cond"/>
          <w:sz w:val="15"/>
          <w:szCs w:val="15"/>
        </w:rPr>
        <w:tab/>
      </w:r>
      <w:r w:rsidRPr="00501E80">
        <w:rPr>
          <w:rFonts w:ascii="MyriadPro-Cond" w:hAnsi="MyriadPro-Cond"/>
          <w:sz w:val="15"/>
          <w:szCs w:val="15"/>
        </w:rPr>
        <w:t xml:space="preserve">Bakker ES, Ritchie ME, Olff H, Milchunas DG, Knops JMH. 2006 Herbivore impact on grassland plant diversity depends on habitat productivity and herbivore size. </w:t>
      </w:r>
      <w:r w:rsidRPr="00501E80">
        <w:rPr>
          <w:rFonts w:ascii="MyriadPro-Cond" w:hAnsi="MyriadPro-Cond"/>
          <w:i/>
          <w:sz w:val="15"/>
          <w:szCs w:val="15"/>
        </w:rPr>
        <w:t>Ecology Letters</w:t>
      </w:r>
      <w:r w:rsidRPr="00501E80">
        <w:rPr>
          <w:rFonts w:ascii="MyriadPro-Cond" w:hAnsi="MyriadPro-Cond"/>
          <w:sz w:val="15"/>
          <w:szCs w:val="15"/>
        </w:rPr>
        <w:t xml:space="preserve"> </w:t>
      </w:r>
      <w:r w:rsidRPr="00501E80">
        <w:rPr>
          <w:rFonts w:ascii="MyriadPro-Cond" w:hAnsi="MyriadPro-Cond"/>
          <w:b/>
          <w:sz w:val="15"/>
          <w:szCs w:val="15"/>
        </w:rPr>
        <w:t>9</w:t>
      </w:r>
      <w:r w:rsidRPr="00501E80">
        <w:rPr>
          <w:rFonts w:ascii="MyriadPro-Cond" w:hAnsi="MyriadPro-Cond"/>
          <w:sz w:val="15"/>
          <w:szCs w:val="15"/>
        </w:rPr>
        <w:t>, 780–788. (doi:10.1111/j.1461-0248.2006.00925.x)</w:t>
      </w:r>
    </w:p>
    <w:p w14:paraId="2E9E98EC" w14:textId="2754B9F2" w:rsidR="00501E80" w:rsidRDefault="00501E80" w:rsidP="00501E80">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58</w:t>
      </w:r>
      <w:r w:rsidRPr="00501E80">
        <w:rPr>
          <w:rFonts w:ascii="MyriadPro-Cond" w:hAnsi="MyriadPro-Cond"/>
          <w:sz w:val="15"/>
          <w:szCs w:val="15"/>
        </w:rPr>
        <w:t>.</w:t>
      </w:r>
      <w:r>
        <w:rPr>
          <w:rFonts w:ascii="MyriadPro-Cond" w:hAnsi="MyriadPro-Cond"/>
          <w:sz w:val="15"/>
          <w:szCs w:val="15"/>
        </w:rPr>
        <w:tab/>
      </w:r>
      <w:r w:rsidRPr="00501E80">
        <w:rPr>
          <w:rFonts w:ascii="MyriadPro-Cond" w:hAnsi="MyriadPro-Cond"/>
          <w:sz w:val="15"/>
          <w:szCs w:val="15"/>
        </w:rPr>
        <w:t xml:space="preserve">Pringle RM, Young TP, Rubenstein DI, McCauley DJ. 2007 Herbivore-initiated interaction cascades and their modulation by productivity in an African savanna. </w:t>
      </w:r>
      <w:r w:rsidRPr="00501E80">
        <w:rPr>
          <w:rFonts w:ascii="MyriadPro-Cond" w:hAnsi="MyriadPro-Cond"/>
          <w:i/>
          <w:sz w:val="15"/>
          <w:szCs w:val="15"/>
        </w:rPr>
        <w:t>PNAS</w:t>
      </w:r>
      <w:r w:rsidRPr="00501E80">
        <w:rPr>
          <w:rFonts w:ascii="MyriadPro-Cond" w:hAnsi="MyriadPro-Cond"/>
          <w:sz w:val="15"/>
          <w:szCs w:val="15"/>
        </w:rPr>
        <w:t xml:space="preserve"> </w:t>
      </w:r>
      <w:r w:rsidRPr="00501E80">
        <w:rPr>
          <w:rFonts w:ascii="MyriadPro-Cond" w:hAnsi="MyriadPro-Cond"/>
          <w:b/>
          <w:sz w:val="15"/>
          <w:szCs w:val="15"/>
        </w:rPr>
        <w:t>104</w:t>
      </w:r>
      <w:r w:rsidRPr="00501E80">
        <w:rPr>
          <w:rFonts w:ascii="MyriadPro-Cond" w:hAnsi="MyriadPro-Cond"/>
          <w:sz w:val="15"/>
          <w:szCs w:val="15"/>
        </w:rPr>
        <w:t>, 193–197. (doi:10.1073/pnas.0609840104)</w:t>
      </w:r>
    </w:p>
    <w:p w14:paraId="779C39C8" w14:textId="77777777" w:rsidR="00501E80"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p>
    <w:p w14:paraId="494B56D4" w14:textId="3A414DC1"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5</w:t>
      </w:r>
      <w:r w:rsidR="00501E80">
        <w:rPr>
          <w:rFonts w:ascii="MyriadPro-Cond" w:hAnsi="MyriadPro-Cond"/>
          <w:sz w:val="15"/>
          <w:szCs w:val="15"/>
        </w:rPr>
        <w:t>9</w:t>
      </w:r>
      <w:r w:rsidRPr="004D3316">
        <w:rPr>
          <w:rFonts w:ascii="MyriadPro-Cond" w:hAnsi="MyriadPro-Cond"/>
          <w:sz w:val="15"/>
          <w:szCs w:val="15"/>
        </w:rPr>
        <w:t>.</w:t>
      </w:r>
      <w:r w:rsidRPr="004D3316">
        <w:rPr>
          <w:rFonts w:ascii="MyriadPro-Cond" w:hAnsi="MyriadPro-Cond"/>
          <w:sz w:val="15"/>
          <w:szCs w:val="15"/>
        </w:rPr>
        <w:tab/>
        <w:t xml:space="preserve">Tanentzap AJ, Coomes DA. 2012 Carbon storage in terrestrial ecosystems: do browsing and grazing herbivores matter? </w:t>
      </w:r>
      <w:r w:rsidRPr="004D3316">
        <w:rPr>
          <w:rFonts w:ascii="MyriadPro-Cond" w:hAnsi="MyriadPro-Cond"/>
          <w:i/>
          <w:iCs/>
          <w:sz w:val="15"/>
          <w:szCs w:val="15"/>
        </w:rPr>
        <w:t>Biol</w:t>
      </w:r>
      <w:r w:rsidR="0050784E" w:rsidRPr="004D3316">
        <w:rPr>
          <w:rFonts w:ascii="MyriadPro-Cond" w:hAnsi="MyriadPro-Cond"/>
          <w:i/>
          <w:iCs/>
          <w:sz w:val="15"/>
          <w:szCs w:val="15"/>
        </w:rPr>
        <w:t>ogical Reviews</w:t>
      </w:r>
      <w:r w:rsidRPr="004D3316">
        <w:rPr>
          <w:rFonts w:ascii="MyriadPro-Cond" w:hAnsi="MyriadPro-Cond"/>
          <w:sz w:val="15"/>
          <w:szCs w:val="15"/>
        </w:rPr>
        <w:t xml:space="preserve"> </w:t>
      </w:r>
      <w:r w:rsidRPr="004D3316">
        <w:rPr>
          <w:rFonts w:ascii="MyriadPro-Cond" w:hAnsi="MyriadPro-Cond"/>
          <w:b/>
          <w:bCs/>
          <w:sz w:val="15"/>
          <w:szCs w:val="15"/>
        </w:rPr>
        <w:t>87</w:t>
      </w:r>
      <w:r w:rsidRPr="004D3316">
        <w:rPr>
          <w:rFonts w:ascii="MyriadPro-Cond" w:hAnsi="MyriadPro-Cond"/>
          <w:sz w:val="15"/>
          <w:szCs w:val="15"/>
        </w:rPr>
        <w:t>, 72–94. (doi:10.1111/j.1469-185X.2011.00185.x)</w:t>
      </w:r>
    </w:p>
    <w:p w14:paraId="6A4ED163" w14:textId="7650C40B"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60</w:t>
      </w:r>
      <w:r w:rsidR="00CC1D5D" w:rsidRPr="004D3316">
        <w:rPr>
          <w:rFonts w:ascii="MyriadPro-Cond" w:hAnsi="MyriadPro-Cond"/>
          <w:sz w:val="15"/>
          <w:szCs w:val="15"/>
        </w:rPr>
        <w:t>.</w:t>
      </w:r>
      <w:r w:rsidR="00CC1D5D" w:rsidRPr="004D3316">
        <w:rPr>
          <w:rFonts w:ascii="MyriadPro-Cond" w:hAnsi="MyriadPro-Cond"/>
          <w:sz w:val="15"/>
          <w:szCs w:val="15"/>
        </w:rPr>
        <w:tab/>
        <w:t xml:space="preserve">Feigin CY </w:t>
      </w:r>
      <w:r w:rsidR="00CC1D5D" w:rsidRPr="004D3316">
        <w:rPr>
          <w:rFonts w:ascii="MyriadPro-Cond" w:hAnsi="MyriadPro-Cond"/>
          <w:i/>
          <w:iCs/>
          <w:sz w:val="15"/>
          <w:szCs w:val="15"/>
        </w:rPr>
        <w:t>et al.</w:t>
      </w:r>
      <w:r w:rsidR="00CC1D5D" w:rsidRPr="004D3316">
        <w:rPr>
          <w:rFonts w:ascii="MyriadPro-Cond" w:hAnsi="MyriadPro-Cond"/>
          <w:sz w:val="15"/>
          <w:szCs w:val="15"/>
        </w:rPr>
        <w:t xml:space="preserve"> 2018 Genome of the Tasmanian tiger provides insights into the evolution and demography of an extinct marsupial carnivore. </w:t>
      </w:r>
      <w:r w:rsidR="00CC1D5D" w:rsidRPr="004D3316">
        <w:rPr>
          <w:rFonts w:ascii="MyriadPro-Cond" w:hAnsi="MyriadPro-Cond"/>
          <w:i/>
          <w:iCs/>
          <w:sz w:val="15"/>
          <w:szCs w:val="15"/>
        </w:rPr>
        <w:t>Nature Ecology &amp; Evolution</w:t>
      </w:r>
      <w:r w:rsidR="00CC1D5D" w:rsidRPr="004D3316">
        <w:rPr>
          <w:rFonts w:ascii="MyriadPro-Cond" w:hAnsi="MyriadPro-Cond"/>
          <w:sz w:val="15"/>
          <w:szCs w:val="15"/>
        </w:rPr>
        <w:t xml:space="preserve"> </w:t>
      </w:r>
      <w:r w:rsidR="00CC1D5D" w:rsidRPr="004D3316">
        <w:rPr>
          <w:rFonts w:ascii="MyriadPro-Cond" w:hAnsi="MyriadPro-Cond"/>
          <w:b/>
          <w:bCs/>
          <w:sz w:val="15"/>
          <w:szCs w:val="15"/>
        </w:rPr>
        <w:t>2</w:t>
      </w:r>
      <w:r w:rsidR="00CC1D5D" w:rsidRPr="004D3316">
        <w:rPr>
          <w:rFonts w:ascii="MyriadPro-Cond" w:hAnsi="MyriadPro-Cond"/>
          <w:sz w:val="15"/>
          <w:szCs w:val="15"/>
        </w:rPr>
        <w:t>, 182–192. (doi:10.1038/s41559-017-0417-y)</w:t>
      </w:r>
    </w:p>
    <w:p w14:paraId="6CC3C304" w14:textId="137DDF85"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61</w:t>
      </w:r>
      <w:r w:rsidR="00CC1D5D" w:rsidRPr="004D3316">
        <w:rPr>
          <w:rFonts w:ascii="MyriadPro-Cond" w:hAnsi="MyriadPro-Cond"/>
          <w:sz w:val="15"/>
          <w:szCs w:val="15"/>
        </w:rPr>
        <w:t>.</w:t>
      </w:r>
      <w:r w:rsidR="00CC1D5D" w:rsidRPr="004D3316">
        <w:rPr>
          <w:rFonts w:ascii="MyriadPro-Cond" w:hAnsi="MyriadPro-Cond"/>
          <w:sz w:val="15"/>
          <w:szCs w:val="15"/>
        </w:rPr>
        <w:tab/>
        <w:t xml:space="preserve">Donlan J. 2005 Re-wilding </w:t>
      </w:r>
      <w:r w:rsidR="0050784E" w:rsidRPr="004D3316">
        <w:rPr>
          <w:rFonts w:ascii="MyriadPro-Cond" w:hAnsi="MyriadPro-Cond"/>
          <w:sz w:val="15"/>
          <w:szCs w:val="15"/>
        </w:rPr>
        <w:t>North</w:t>
      </w:r>
      <w:r w:rsidR="00CC1D5D" w:rsidRPr="004D3316">
        <w:rPr>
          <w:rFonts w:ascii="MyriadPro-Cond" w:hAnsi="MyriadPro-Cond"/>
          <w:sz w:val="15"/>
          <w:szCs w:val="15"/>
        </w:rPr>
        <w:t xml:space="preserve"> America. </w:t>
      </w:r>
      <w:r w:rsidR="00CC1D5D" w:rsidRPr="004D3316">
        <w:rPr>
          <w:rFonts w:ascii="MyriadPro-Cond" w:hAnsi="MyriadPro-Cond"/>
          <w:i/>
          <w:iCs/>
          <w:sz w:val="15"/>
          <w:szCs w:val="15"/>
        </w:rPr>
        <w:t>Nature</w:t>
      </w:r>
      <w:r w:rsidR="00CC1D5D" w:rsidRPr="004D3316">
        <w:rPr>
          <w:rFonts w:ascii="MyriadPro-Cond" w:hAnsi="MyriadPro-Cond"/>
          <w:sz w:val="15"/>
          <w:szCs w:val="15"/>
        </w:rPr>
        <w:t xml:space="preserve"> </w:t>
      </w:r>
      <w:r w:rsidR="00CC1D5D" w:rsidRPr="004D3316">
        <w:rPr>
          <w:rFonts w:ascii="MyriadPro-Cond" w:hAnsi="MyriadPro-Cond"/>
          <w:b/>
          <w:bCs/>
          <w:sz w:val="15"/>
          <w:szCs w:val="15"/>
        </w:rPr>
        <w:t>436</w:t>
      </w:r>
      <w:r w:rsidR="00CC1D5D" w:rsidRPr="004D3316">
        <w:rPr>
          <w:rFonts w:ascii="MyriadPro-Cond" w:hAnsi="MyriadPro-Cond"/>
          <w:sz w:val="15"/>
          <w:szCs w:val="15"/>
        </w:rPr>
        <w:t>, 913–914. (doi:10.1038/436913a)</w:t>
      </w:r>
    </w:p>
    <w:p w14:paraId="2D1D5A8E" w14:textId="5EF4BF2A"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62</w:t>
      </w:r>
      <w:r w:rsidR="00CC1D5D" w:rsidRPr="004D3316">
        <w:rPr>
          <w:rFonts w:ascii="MyriadPro-Cond" w:hAnsi="MyriadPro-Cond"/>
          <w:sz w:val="15"/>
          <w:szCs w:val="15"/>
        </w:rPr>
        <w:t>.</w:t>
      </w:r>
      <w:r w:rsidR="00CC1D5D" w:rsidRPr="004D3316">
        <w:rPr>
          <w:rFonts w:ascii="MyriadPro-Cond" w:hAnsi="MyriadPro-Cond"/>
          <w:sz w:val="15"/>
          <w:szCs w:val="15"/>
        </w:rPr>
        <w:tab/>
        <w:t xml:space="preserve">Sandom C, Faurby S, Sandel B, Svenning J-C. 2014 Global late </w:t>
      </w:r>
      <w:r w:rsidR="00CC1D5D" w:rsidRPr="004D3316">
        <w:rPr>
          <w:rFonts w:ascii="MyriadPro-Cond" w:hAnsi="MyriadPro-Cond"/>
          <w:sz w:val="15"/>
          <w:szCs w:val="15"/>
        </w:rPr>
        <w:t xml:space="preserve">Quaternary megafauna extinctions linked to humans, not climate change. </w:t>
      </w:r>
      <w:r w:rsidR="0050784E" w:rsidRPr="004D3316">
        <w:rPr>
          <w:rFonts w:ascii="MyriadPro-Cond" w:hAnsi="MyriadPro-Cond"/>
          <w:i/>
          <w:iCs/>
          <w:sz w:val="15"/>
          <w:szCs w:val="15"/>
        </w:rPr>
        <w:t>Proceedings of the Royal Society</w:t>
      </w:r>
      <w:r w:rsidR="00CC1D5D" w:rsidRPr="004D3316">
        <w:rPr>
          <w:rFonts w:ascii="MyriadPro-Cond" w:hAnsi="MyriadPro-Cond"/>
          <w:i/>
          <w:iCs/>
          <w:sz w:val="15"/>
          <w:szCs w:val="15"/>
        </w:rPr>
        <w:t xml:space="preserve"> B</w:t>
      </w:r>
      <w:r w:rsidR="00CC1D5D" w:rsidRPr="004D3316">
        <w:rPr>
          <w:rFonts w:ascii="MyriadPro-Cond" w:hAnsi="MyriadPro-Cond"/>
          <w:sz w:val="15"/>
          <w:szCs w:val="15"/>
        </w:rPr>
        <w:t xml:space="preserve"> </w:t>
      </w:r>
      <w:r w:rsidR="00CC1D5D" w:rsidRPr="004D3316">
        <w:rPr>
          <w:rFonts w:ascii="MyriadPro-Cond" w:hAnsi="MyriadPro-Cond"/>
          <w:b/>
          <w:bCs/>
          <w:sz w:val="15"/>
          <w:szCs w:val="15"/>
        </w:rPr>
        <w:t>281</w:t>
      </w:r>
      <w:r w:rsidR="00CC1D5D" w:rsidRPr="004D3316">
        <w:rPr>
          <w:rFonts w:ascii="MyriadPro-Cond" w:hAnsi="MyriadPro-Cond"/>
          <w:sz w:val="15"/>
          <w:szCs w:val="15"/>
        </w:rPr>
        <w:t>, 20133254. (doi:10.1098/rspb.2013.3254)</w:t>
      </w:r>
    </w:p>
    <w:p w14:paraId="5A27B4DA" w14:textId="6E56A3E5"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63</w:t>
      </w:r>
      <w:r w:rsidR="00CC1D5D" w:rsidRPr="004D3316">
        <w:rPr>
          <w:rFonts w:ascii="MyriadPro-Cond" w:hAnsi="MyriadPro-Cond"/>
          <w:sz w:val="15"/>
          <w:szCs w:val="15"/>
        </w:rPr>
        <w:t>.</w:t>
      </w:r>
      <w:r w:rsidR="00CC1D5D" w:rsidRPr="004D3316">
        <w:rPr>
          <w:rFonts w:ascii="MyriadPro-Cond" w:hAnsi="MyriadPro-Cond"/>
          <w:sz w:val="15"/>
          <w:szCs w:val="15"/>
        </w:rPr>
        <w:tab/>
        <w:t xml:space="preserve">Araujo BBA, Oliveira-Santos LGR, Lima-Ribeiro MS, Diniz-Filho JAF, Fernandez FAS. 2017 Bigger kill than chill: </w:t>
      </w:r>
      <w:r w:rsidR="0050784E" w:rsidRPr="004D3316">
        <w:rPr>
          <w:rFonts w:ascii="MyriadPro-Cond" w:hAnsi="MyriadPro-Cond"/>
          <w:sz w:val="15"/>
          <w:szCs w:val="15"/>
        </w:rPr>
        <w:t>t</w:t>
      </w:r>
      <w:r w:rsidR="00CC1D5D" w:rsidRPr="004D3316">
        <w:rPr>
          <w:rFonts w:ascii="MyriadPro-Cond" w:hAnsi="MyriadPro-Cond"/>
          <w:sz w:val="15"/>
          <w:szCs w:val="15"/>
        </w:rPr>
        <w:t xml:space="preserve">he uneven roles of humans and climate on late Quaternary megafaunal extinctions. </w:t>
      </w:r>
      <w:r w:rsidR="00CC1D5D" w:rsidRPr="004D3316">
        <w:rPr>
          <w:rFonts w:ascii="MyriadPro-Cond" w:hAnsi="MyriadPro-Cond"/>
          <w:i/>
          <w:iCs/>
          <w:sz w:val="15"/>
          <w:szCs w:val="15"/>
        </w:rPr>
        <w:t>Quaternary International</w:t>
      </w:r>
      <w:r w:rsidR="00CC1D5D" w:rsidRPr="004D3316">
        <w:rPr>
          <w:rFonts w:ascii="MyriadPro-Cond" w:hAnsi="MyriadPro-Cond"/>
          <w:sz w:val="15"/>
          <w:szCs w:val="15"/>
        </w:rPr>
        <w:t xml:space="preserve"> </w:t>
      </w:r>
      <w:r w:rsidR="00CC1D5D" w:rsidRPr="004D3316">
        <w:rPr>
          <w:rFonts w:ascii="MyriadPro-Cond" w:hAnsi="MyriadPro-Cond"/>
          <w:b/>
          <w:bCs/>
          <w:sz w:val="15"/>
          <w:szCs w:val="15"/>
        </w:rPr>
        <w:t>431</w:t>
      </w:r>
      <w:r w:rsidR="00CC1D5D" w:rsidRPr="004D3316">
        <w:rPr>
          <w:rFonts w:ascii="MyriadPro-Cond" w:hAnsi="MyriadPro-Cond"/>
          <w:sz w:val="15"/>
          <w:szCs w:val="15"/>
        </w:rPr>
        <w:t>, 216–222. (doi:10.1016/j.quaint.2015.10.045)</w:t>
      </w:r>
    </w:p>
    <w:p w14:paraId="40520309" w14:textId="0CDA68C7"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64</w:t>
      </w:r>
      <w:r w:rsidR="00CC1D5D" w:rsidRPr="004D3316">
        <w:rPr>
          <w:rFonts w:ascii="MyriadPro-Cond" w:hAnsi="MyriadPro-Cond"/>
          <w:sz w:val="15"/>
          <w:szCs w:val="15"/>
        </w:rPr>
        <w:t>.</w:t>
      </w:r>
      <w:r w:rsidR="00CC1D5D" w:rsidRPr="004D3316">
        <w:rPr>
          <w:rFonts w:ascii="MyriadPro-Cond" w:hAnsi="MyriadPro-Cond"/>
          <w:sz w:val="15"/>
          <w:szCs w:val="15"/>
        </w:rPr>
        <w:tab/>
        <w:t>Benítez-López A, Alkemade R, Schipper AM, Ingram</w:t>
      </w:r>
      <w:r w:rsidR="00E046E8" w:rsidRPr="004D3316">
        <w:rPr>
          <w:rFonts w:ascii="MyriadPro-Cond" w:hAnsi="MyriadPro-Cond"/>
          <w:sz w:val="15"/>
          <w:szCs w:val="15"/>
        </w:rPr>
        <w:t xml:space="preserve"> DJ, Verweij PA, Eikelboom JAJ, Huijbregts MA</w:t>
      </w:r>
      <w:r w:rsidR="00CC1D5D" w:rsidRPr="004D3316">
        <w:rPr>
          <w:rFonts w:ascii="MyriadPro-Cond" w:hAnsi="MyriadPro-Cond"/>
          <w:sz w:val="15"/>
          <w:szCs w:val="15"/>
        </w:rPr>
        <w:t xml:space="preserve">J. 2017 The impact of hunting on tropical mammal and bird populations. </w:t>
      </w:r>
      <w:r w:rsidR="00CC1D5D" w:rsidRPr="004D3316">
        <w:rPr>
          <w:rFonts w:ascii="MyriadPro-Cond" w:hAnsi="MyriadPro-Cond"/>
          <w:i/>
          <w:iCs/>
          <w:sz w:val="15"/>
          <w:szCs w:val="15"/>
        </w:rPr>
        <w:t>Science</w:t>
      </w:r>
      <w:r w:rsidR="00CC1D5D" w:rsidRPr="004D3316">
        <w:rPr>
          <w:rFonts w:ascii="MyriadPro-Cond" w:hAnsi="MyriadPro-Cond"/>
          <w:sz w:val="15"/>
          <w:szCs w:val="15"/>
        </w:rPr>
        <w:t xml:space="preserve"> </w:t>
      </w:r>
      <w:r w:rsidR="00CC1D5D" w:rsidRPr="004D3316">
        <w:rPr>
          <w:rFonts w:ascii="MyriadPro-Cond" w:hAnsi="MyriadPro-Cond"/>
          <w:b/>
          <w:bCs/>
          <w:sz w:val="15"/>
          <w:szCs w:val="15"/>
        </w:rPr>
        <w:t>356</w:t>
      </w:r>
      <w:r w:rsidR="00CC1D5D" w:rsidRPr="004D3316">
        <w:rPr>
          <w:rFonts w:ascii="MyriadPro-Cond" w:hAnsi="MyriadPro-Cond"/>
          <w:sz w:val="15"/>
          <w:szCs w:val="15"/>
        </w:rPr>
        <w:t>, 180–183. (doi:10.1126/science.aaj1891)</w:t>
      </w:r>
    </w:p>
    <w:p w14:paraId="254B4311" w14:textId="31F25304"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6</w:t>
      </w:r>
      <w:r w:rsidR="00501E80">
        <w:rPr>
          <w:rFonts w:ascii="MyriadPro-Cond" w:hAnsi="MyriadPro-Cond"/>
          <w:sz w:val="15"/>
          <w:szCs w:val="15"/>
        </w:rPr>
        <w:t>5</w:t>
      </w:r>
      <w:r w:rsidRPr="004D3316">
        <w:rPr>
          <w:rFonts w:ascii="MyriadPro-Cond" w:hAnsi="MyriadPro-Cond"/>
          <w:sz w:val="15"/>
          <w:szCs w:val="15"/>
        </w:rPr>
        <w:t>.</w:t>
      </w:r>
      <w:r w:rsidRPr="004D3316">
        <w:rPr>
          <w:rFonts w:ascii="MyriadPro-Cond" w:hAnsi="MyriadPro-Cond"/>
          <w:sz w:val="15"/>
          <w:szCs w:val="15"/>
        </w:rPr>
        <w:tab/>
        <w:t xml:space="preserve">Sobral-Souza T, Lautenschlager L, Morcatty TQ, Bello C, Hansen D, Galetti M. 2017 Rewilding defaunated Atlantic Forests with tortoises to restore lost seed dispersal functions. </w:t>
      </w:r>
      <w:r w:rsidRPr="004D3316">
        <w:rPr>
          <w:rFonts w:ascii="MyriadPro-Cond" w:hAnsi="MyriadPro-Cond"/>
          <w:i/>
          <w:iCs/>
          <w:sz w:val="15"/>
          <w:szCs w:val="15"/>
        </w:rPr>
        <w:t>Perspectives in Ecology and Conservation</w:t>
      </w:r>
      <w:r w:rsidRPr="004D3316">
        <w:rPr>
          <w:rFonts w:ascii="MyriadPro-Cond" w:hAnsi="MyriadPro-Cond"/>
          <w:sz w:val="15"/>
          <w:szCs w:val="15"/>
        </w:rPr>
        <w:t xml:space="preserve"> </w:t>
      </w:r>
      <w:r w:rsidRPr="004D3316">
        <w:rPr>
          <w:rFonts w:ascii="MyriadPro-Cond" w:hAnsi="MyriadPro-Cond"/>
          <w:b/>
          <w:bCs/>
          <w:sz w:val="15"/>
          <w:szCs w:val="15"/>
        </w:rPr>
        <w:t>15</w:t>
      </w:r>
      <w:r w:rsidRPr="004D3316">
        <w:rPr>
          <w:rFonts w:ascii="MyriadPro-Cond" w:hAnsi="MyriadPro-Cond"/>
          <w:sz w:val="15"/>
          <w:szCs w:val="15"/>
        </w:rPr>
        <w:t>, 300–307. (doi:10.1016/j.pecon.2017.08.005)</w:t>
      </w:r>
    </w:p>
    <w:p w14:paraId="0CB18724" w14:textId="1A1875E2"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66</w:t>
      </w:r>
      <w:r w:rsidR="00CC1D5D" w:rsidRPr="004D3316">
        <w:rPr>
          <w:rFonts w:ascii="MyriadPro-Cond" w:hAnsi="MyriadPro-Cond"/>
          <w:sz w:val="15"/>
          <w:szCs w:val="15"/>
        </w:rPr>
        <w:t>.</w:t>
      </w:r>
      <w:r w:rsidR="00CC1D5D" w:rsidRPr="004D3316">
        <w:rPr>
          <w:rFonts w:ascii="MyriadPro-Cond" w:hAnsi="MyriadPro-Cond"/>
          <w:sz w:val="15"/>
          <w:szCs w:val="15"/>
        </w:rPr>
        <w:tab/>
        <w:t xml:space="preserve">Schmitz </w:t>
      </w:r>
      <w:r w:rsidR="00E046E8" w:rsidRPr="004D3316">
        <w:rPr>
          <w:rFonts w:ascii="MyriadPro-Cond" w:hAnsi="MyriadPro-Cond"/>
          <w:sz w:val="15"/>
          <w:szCs w:val="15"/>
        </w:rPr>
        <w:t>OJ</w:t>
      </w:r>
      <w:r w:rsidR="00CC1D5D" w:rsidRPr="004D3316">
        <w:rPr>
          <w:rFonts w:ascii="MyriadPro-Cond" w:hAnsi="MyriadPro-Cond"/>
          <w:sz w:val="15"/>
          <w:szCs w:val="15"/>
        </w:rPr>
        <w:t xml:space="preserve">, Krivan </w:t>
      </w:r>
      <w:r w:rsidR="00E046E8" w:rsidRPr="004D3316">
        <w:rPr>
          <w:rFonts w:ascii="MyriadPro-Cond" w:hAnsi="MyriadPro-Cond"/>
          <w:sz w:val="15"/>
          <w:szCs w:val="15"/>
        </w:rPr>
        <w:t>V</w:t>
      </w:r>
      <w:r w:rsidR="00CC1D5D" w:rsidRPr="004D3316">
        <w:rPr>
          <w:rFonts w:ascii="MyriadPro-Cond" w:hAnsi="MyriadPro-Cond"/>
          <w:sz w:val="15"/>
          <w:szCs w:val="15"/>
        </w:rPr>
        <w:t xml:space="preserve">, Ovadia </w:t>
      </w:r>
      <w:r w:rsidR="00E046E8" w:rsidRPr="004D3316">
        <w:rPr>
          <w:rFonts w:ascii="MyriadPro-Cond" w:hAnsi="MyriadPro-Cond"/>
          <w:sz w:val="15"/>
          <w:szCs w:val="15"/>
        </w:rPr>
        <w:t>O</w:t>
      </w:r>
      <w:r w:rsidR="00CC1D5D" w:rsidRPr="004D3316">
        <w:rPr>
          <w:rFonts w:ascii="MyriadPro-Cond" w:hAnsi="MyriadPro-Cond"/>
          <w:sz w:val="15"/>
          <w:szCs w:val="15"/>
        </w:rPr>
        <w:t>. 2004 Trophic cascades: the primacy of trait</w:t>
      </w:r>
      <w:r w:rsidR="00CC1D5D" w:rsidRPr="004D3316">
        <w:rPr>
          <w:rFonts w:ascii="Cambria Math" w:hAnsi="Cambria Math" w:cs="Cambria Math"/>
          <w:sz w:val="15"/>
          <w:szCs w:val="15"/>
        </w:rPr>
        <w:t>‐</w:t>
      </w:r>
      <w:r w:rsidR="00CC1D5D" w:rsidRPr="004D3316">
        <w:rPr>
          <w:rFonts w:ascii="MyriadPro-Cond" w:hAnsi="MyriadPro-Cond"/>
          <w:sz w:val="15"/>
          <w:szCs w:val="15"/>
        </w:rPr>
        <w:t xml:space="preserve">mediated indirect interactions. </w:t>
      </w:r>
      <w:r w:rsidR="00CC1D5D" w:rsidRPr="004D3316">
        <w:rPr>
          <w:rFonts w:ascii="MyriadPro-Cond" w:hAnsi="MyriadPro-Cond"/>
          <w:i/>
          <w:iCs/>
          <w:sz w:val="15"/>
          <w:szCs w:val="15"/>
        </w:rPr>
        <w:t>Ecology Letters</w:t>
      </w:r>
      <w:r w:rsidR="00CC1D5D" w:rsidRPr="004D3316">
        <w:rPr>
          <w:rFonts w:ascii="MyriadPro-Cond" w:hAnsi="MyriadPro-Cond"/>
          <w:sz w:val="15"/>
          <w:szCs w:val="15"/>
        </w:rPr>
        <w:t xml:space="preserve"> </w:t>
      </w:r>
      <w:r w:rsidR="00CC1D5D" w:rsidRPr="004D3316">
        <w:rPr>
          <w:rFonts w:ascii="MyriadPro-Cond" w:hAnsi="MyriadPro-Cond"/>
          <w:b/>
          <w:bCs/>
          <w:sz w:val="15"/>
          <w:szCs w:val="15"/>
        </w:rPr>
        <w:t>7</w:t>
      </w:r>
      <w:r w:rsidR="00CC1D5D" w:rsidRPr="004D3316">
        <w:rPr>
          <w:rFonts w:ascii="MyriadPro-Cond" w:hAnsi="MyriadPro-Cond"/>
          <w:sz w:val="15"/>
          <w:szCs w:val="15"/>
        </w:rPr>
        <w:t>, 153–163. (doi:10.1111/j.1461-0248.2003.00560.x)</w:t>
      </w:r>
    </w:p>
    <w:p w14:paraId="119A1B17" w14:textId="376F0CE2"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67</w:t>
      </w:r>
      <w:r w:rsidR="00CC1D5D" w:rsidRPr="004D3316">
        <w:rPr>
          <w:rFonts w:ascii="MyriadPro-Cond" w:hAnsi="MyriadPro-Cond"/>
          <w:sz w:val="15"/>
          <w:szCs w:val="15"/>
        </w:rPr>
        <w:t>.</w:t>
      </w:r>
      <w:r w:rsidR="00CC1D5D" w:rsidRPr="004D3316">
        <w:rPr>
          <w:rFonts w:ascii="MyriadPro-Cond" w:hAnsi="MyriadPro-Cond"/>
          <w:sz w:val="15"/>
          <w:szCs w:val="15"/>
        </w:rPr>
        <w:tab/>
        <w:t xml:space="preserve">Wood JR, Perry GLW, Wilmshurst JM. 2017 Using palaeoecology to determine </w:t>
      </w:r>
      <w:r w:rsidR="00CC1D5D" w:rsidRPr="004D3316">
        <w:rPr>
          <w:rFonts w:ascii="MyriadPro-Cond" w:hAnsi="MyriadPro-Cond"/>
          <w:sz w:val="15"/>
          <w:szCs w:val="15"/>
        </w:rPr>
        <w:t>baseline ecological requirements and interaction networks for de</w:t>
      </w:r>
      <w:r w:rsidR="00CC1D5D" w:rsidRPr="004D3316">
        <w:rPr>
          <w:rFonts w:ascii="Cambria Math" w:hAnsi="Cambria Math" w:cs="Cambria Math"/>
          <w:sz w:val="15"/>
          <w:szCs w:val="15"/>
        </w:rPr>
        <w:t>‐</w:t>
      </w:r>
      <w:r w:rsidR="00CC1D5D" w:rsidRPr="004D3316">
        <w:rPr>
          <w:rFonts w:ascii="MyriadPro-Cond" w:hAnsi="MyriadPro-Cond"/>
          <w:sz w:val="15"/>
          <w:szCs w:val="15"/>
        </w:rPr>
        <w:t xml:space="preserve">extinction candidate species. </w:t>
      </w:r>
      <w:r w:rsidR="00CC1D5D" w:rsidRPr="004D3316">
        <w:rPr>
          <w:rFonts w:ascii="MyriadPro-Cond" w:hAnsi="MyriadPro-Cond"/>
          <w:i/>
          <w:iCs/>
          <w:sz w:val="15"/>
          <w:szCs w:val="15"/>
        </w:rPr>
        <w:t>Functional Ecology</w:t>
      </w:r>
      <w:r w:rsidR="00CC1D5D" w:rsidRPr="004D3316">
        <w:rPr>
          <w:rFonts w:ascii="MyriadPro-Cond" w:hAnsi="MyriadPro-Cond"/>
          <w:sz w:val="15"/>
          <w:szCs w:val="15"/>
        </w:rPr>
        <w:t xml:space="preserve"> </w:t>
      </w:r>
      <w:r w:rsidR="00CC1D5D" w:rsidRPr="004D3316">
        <w:rPr>
          <w:rFonts w:ascii="MyriadPro-Cond" w:hAnsi="MyriadPro-Cond"/>
          <w:b/>
          <w:bCs/>
          <w:sz w:val="15"/>
          <w:szCs w:val="15"/>
        </w:rPr>
        <w:t>31</w:t>
      </w:r>
      <w:r w:rsidR="00CC1D5D" w:rsidRPr="004D3316">
        <w:rPr>
          <w:rFonts w:ascii="MyriadPro-Cond" w:hAnsi="MyriadPro-Cond"/>
          <w:sz w:val="15"/>
          <w:szCs w:val="15"/>
        </w:rPr>
        <w:t>, 1012–1020. (doi:10.1111/1365-2435.12773)</w:t>
      </w:r>
    </w:p>
    <w:p w14:paraId="600DFEDF" w14:textId="3A4E1344" w:rsidR="00CC1D5D" w:rsidRPr="004D3316" w:rsidRDefault="00CC1D5D"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sidRPr="004D3316">
        <w:rPr>
          <w:rFonts w:ascii="MyriadPro-Cond" w:hAnsi="MyriadPro-Cond"/>
          <w:sz w:val="15"/>
          <w:szCs w:val="15"/>
        </w:rPr>
        <w:t>6</w:t>
      </w:r>
      <w:r w:rsidR="00501E80">
        <w:rPr>
          <w:rFonts w:ascii="MyriadPro-Cond" w:hAnsi="MyriadPro-Cond"/>
          <w:sz w:val="15"/>
          <w:szCs w:val="15"/>
        </w:rPr>
        <w:t>8</w:t>
      </w:r>
      <w:r w:rsidRPr="004D3316">
        <w:rPr>
          <w:rFonts w:ascii="MyriadPro-Cond" w:hAnsi="MyriadPro-Cond"/>
          <w:sz w:val="15"/>
          <w:szCs w:val="15"/>
        </w:rPr>
        <w:t>.</w:t>
      </w:r>
      <w:r w:rsidRPr="004D3316">
        <w:rPr>
          <w:rFonts w:ascii="MyriadPro-Cond" w:hAnsi="MyriadPro-Cond"/>
          <w:sz w:val="15"/>
          <w:szCs w:val="15"/>
        </w:rPr>
        <w:tab/>
        <w:t xml:space="preserve">DeLong JP </w:t>
      </w:r>
      <w:r w:rsidRPr="004D3316">
        <w:rPr>
          <w:rFonts w:ascii="MyriadPro-Cond" w:hAnsi="MyriadPro-Cond"/>
          <w:i/>
          <w:iCs/>
          <w:sz w:val="15"/>
          <w:szCs w:val="15"/>
        </w:rPr>
        <w:t>et al.</w:t>
      </w:r>
      <w:r w:rsidRPr="004D3316">
        <w:rPr>
          <w:rFonts w:ascii="MyriadPro-Cond" w:hAnsi="MyriadPro-Cond"/>
          <w:sz w:val="15"/>
          <w:szCs w:val="15"/>
        </w:rPr>
        <w:t xml:space="preserve"> 2015 The body size dependence of trophic cascades. </w:t>
      </w:r>
      <w:r w:rsidR="00E046E8" w:rsidRPr="004D3316">
        <w:rPr>
          <w:rFonts w:ascii="MyriadPro-Cond" w:hAnsi="MyriadPro-Cond"/>
          <w:i/>
          <w:iCs/>
          <w:sz w:val="15"/>
          <w:szCs w:val="15"/>
        </w:rPr>
        <w:t>American Naturalist</w:t>
      </w:r>
      <w:r w:rsidRPr="004D3316">
        <w:rPr>
          <w:rFonts w:ascii="MyriadPro-Cond" w:hAnsi="MyriadPro-Cond"/>
          <w:sz w:val="15"/>
          <w:szCs w:val="15"/>
        </w:rPr>
        <w:t xml:space="preserve"> </w:t>
      </w:r>
      <w:r w:rsidRPr="004D3316">
        <w:rPr>
          <w:rFonts w:ascii="MyriadPro-Cond" w:hAnsi="MyriadPro-Cond"/>
          <w:b/>
          <w:bCs/>
          <w:sz w:val="15"/>
          <w:szCs w:val="15"/>
        </w:rPr>
        <w:t>185</w:t>
      </w:r>
      <w:r w:rsidRPr="004D3316">
        <w:rPr>
          <w:rFonts w:ascii="MyriadPro-Cond" w:hAnsi="MyriadPro-Cond"/>
          <w:sz w:val="15"/>
          <w:szCs w:val="15"/>
        </w:rPr>
        <w:t>, 354–366. (doi:10.1086/679735)</w:t>
      </w:r>
    </w:p>
    <w:p w14:paraId="13F78FB9" w14:textId="6045F763"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69</w:t>
      </w:r>
      <w:r w:rsidR="00CC1D5D" w:rsidRPr="004D3316">
        <w:rPr>
          <w:rFonts w:ascii="MyriadPro-Cond" w:hAnsi="MyriadPro-Cond"/>
          <w:sz w:val="15"/>
          <w:szCs w:val="15"/>
        </w:rPr>
        <w:t>.</w:t>
      </w:r>
      <w:r w:rsidR="00CC1D5D" w:rsidRPr="004D3316">
        <w:rPr>
          <w:rFonts w:ascii="MyriadPro-Cond" w:hAnsi="MyriadPro-Cond"/>
          <w:sz w:val="15"/>
          <w:szCs w:val="15"/>
        </w:rPr>
        <w:tab/>
        <w:t xml:space="preserve">Finke DL, Denno RF. 2004 Predator diversity dampens trophic cascades. </w:t>
      </w:r>
      <w:r w:rsidR="00CC1D5D" w:rsidRPr="004D3316">
        <w:rPr>
          <w:rFonts w:ascii="MyriadPro-Cond" w:hAnsi="MyriadPro-Cond"/>
          <w:i/>
          <w:iCs/>
          <w:sz w:val="15"/>
          <w:szCs w:val="15"/>
        </w:rPr>
        <w:t>Nature</w:t>
      </w:r>
      <w:r w:rsidR="00CC1D5D" w:rsidRPr="004D3316">
        <w:rPr>
          <w:rFonts w:ascii="MyriadPro-Cond" w:hAnsi="MyriadPro-Cond"/>
          <w:sz w:val="15"/>
          <w:szCs w:val="15"/>
        </w:rPr>
        <w:t xml:space="preserve"> </w:t>
      </w:r>
      <w:r w:rsidR="00CC1D5D" w:rsidRPr="004D3316">
        <w:rPr>
          <w:rFonts w:ascii="MyriadPro-Cond" w:hAnsi="MyriadPro-Cond"/>
          <w:b/>
          <w:bCs/>
          <w:sz w:val="15"/>
          <w:szCs w:val="15"/>
        </w:rPr>
        <w:t>429</w:t>
      </w:r>
      <w:r w:rsidR="00CC1D5D" w:rsidRPr="004D3316">
        <w:rPr>
          <w:rFonts w:ascii="MyriadPro-Cond" w:hAnsi="MyriadPro-Cond"/>
          <w:sz w:val="15"/>
          <w:szCs w:val="15"/>
        </w:rPr>
        <w:t>, 407–410. (doi:10.1038/nature02554)</w:t>
      </w:r>
    </w:p>
    <w:p w14:paraId="1B517677" w14:textId="77306914"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70</w:t>
      </w:r>
      <w:r w:rsidR="00CC1D5D" w:rsidRPr="004D3316">
        <w:rPr>
          <w:rFonts w:ascii="MyriadPro-Cond" w:hAnsi="MyriadPro-Cond"/>
          <w:sz w:val="15"/>
          <w:szCs w:val="15"/>
        </w:rPr>
        <w:t>.</w:t>
      </w:r>
      <w:r w:rsidR="00CC1D5D" w:rsidRPr="004D3316">
        <w:rPr>
          <w:rFonts w:ascii="MyriadPro-Cond" w:hAnsi="MyriadPro-Cond"/>
          <w:sz w:val="15"/>
          <w:szCs w:val="15"/>
        </w:rPr>
        <w:tab/>
        <w:t xml:space="preserve">Byrnes J, Stachowicz JJ, Hultgren KM, Randall Hughes A, Olyarnik SV, Thornber CS. 2006 Predator diversity strengthens trophic cascades in kelp forests by modifying herbivore behaviour. </w:t>
      </w:r>
      <w:r w:rsidR="00CC1D5D" w:rsidRPr="004D3316">
        <w:rPr>
          <w:rFonts w:ascii="MyriadPro-Cond" w:hAnsi="MyriadPro-Cond"/>
          <w:i/>
          <w:iCs/>
          <w:sz w:val="15"/>
          <w:szCs w:val="15"/>
        </w:rPr>
        <w:t>Ecol</w:t>
      </w:r>
      <w:r w:rsidR="00E046E8" w:rsidRPr="004D3316">
        <w:rPr>
          <w:rFonts w:ascii="MyriadPro-Cond" w:hAnsi="MyriadPro-Cond"/>
          <w:i/>
          <w:iCs/>
          <w:sz w:val="15"/>
          <w:szCs w:val="15"/>
        </w:rPr>
        <w:t>ogy Letters</w:t>
      </w:r>
      <w:r w:rsidR="00CC1D5D" w:rsidRPr="004D3316">
        <w:rPr>
          <w:rFonts w:ascii="MyriadPro-Cond" w:hAnsi="MyriadPro-Cond"/>
          <w:sz w:val="15"/>
          <w:szCs w:val="15"/>
        </w:rPr>
        <w:t xml:space="preserve"> </w:t>
      </w:r>
      <w:r w:rsidR="00CC1D5D" w:rsidRPr="004D3316">
        <w:rPr>
          <w:rFonts w:ascii="MyriadPro-Cond" w:hAnsi="MyriadPro-Cond"/>
          <w:b/>
          <w:bCs/>
          <w:sz w:val="15"/>
          <w:szCs w:val="15"/>
        </w:rPr>
        <w:t>9</w:t>
      </w:r>
      <w:r w:rsidR="00CC1D5D" w:rsidRPr="004D3316">
        <w:rPr>
          <w:rFonts w:ascii="MyriadPro-Cond" w:hAnsi="MyriadPro-Cond"/>
          <w:sz w:val="15"/>
          <w:szCs w:val="15"/>
        </w:rPr>
        <w:t>, 61–71. (doi:10.1111/j.1461-0248.2005.00842.x)</w:t>
      </w:r>
    </w:p>
    <w:p w14:paraId="1F3A66EF" w14:textId="173C157C"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71</w:t>
      </w:r>
      <w:r w:rsidR="00CC1D5D" w:rsidRPr="004D3316">
        <w:rPr>
          <w:rFonts w:ascii="MyriadPro-Cond" w:hAnsi="MyriadPro-Cond"/>
          <w:sz w:val="15"/>
          <w:szCs w:val="15"/>
        </w:rPr>
        <w:t>.</w:t>
      </w:r>
      <w:r w:rsidR="00CC1D5D" w:rsidRPr="004D3316">
        <w:rPr>
          <w:rFonts w:ascii="MyriadPro-Cond" w:hAnsi="MyriadPro-Cond"/>
          <w:sz w:val="15"/>
          <w:szCs w:val="15"/>
        </w:rPr>
        <w:tab/>
        <w:t xml:space="preserve">Polis GA, Sears ALW, Huxel GR, Strong DR, Maron J. 2000 When is a trophic cascade a trophic cascade? </w:t>
      </w:r>
      <w:r w:rsidR="00CC1D5D" w:rsidRPr="004D3316">
        <w:rPr>
          <w:rFonts w:ascii="MyriadPro-Cond" w:hAnsi="MyriadPro-Cond"/>
          <w:i/>
          <w:iCs/>
          <w:sz w:val="15"/>
          <w:szCs w:val="15"/>
        </w:rPr>
        <w:t>Trends in Ecology &amp; Evolution</w:t>
      </w:r>
      <w:r w:rsidR="00CC1D5D" w:rsidRPr="004D3316">
        <w:rPr>
          <w:rFonts w:ascii="MyriadPro-Cond" w:hAnsi="MyriadPro-Cond"/>
          <w:sz w:val="15"/>
          <w:szCs w:val="15"/>
        </w:rPr>
        <w:t xml:space="preserve"> </w:t>
      </w:r>
      <w:r w:rsidR="00CC1D5D" w:rsidRPr="004D3316">
        <w:rPr>
          <w:rFonts w:ascii="MyriadPro-Cond" w:hAnsi="MyriadPro-Cond"/>
          <w:b/>
          <w:bCs/>
          <w:sz w:val="15"/>
          <w:szCs w:val="15"/>
        </w:rPr>
        <w:t>15</w:t>
      </w:r>
      <w:r w:rsidR="00CC1D5D" w:rsidRPr="004D3316">
        <w:rPr>
          <w:rFonts w:ascii="MyriadPro-Cond" w:hAnsi="MyriadPro-Cond"/>
          <w:sz w:val="15"/>
          <w:szCs w:val="15"/>
        </w:rPr>
        <w:t>, 473–475. (doi:10.1016/S0169-5347(00)01971-6)</w:t>
      </w:r>
    </w:p>
    <w:p w14:paraId="1E8B9F0A" w14:textId="7710FB34" w:rsidR="00CC1D5D" w:rsidRPr="004D3316" w:rsidRDefault="00501E80" w:rsidP="00CC1D5D">
      <w:pPr>
        <w:widowControl w:val="0"/>
        <w:tabs>
          <w:tab w:val="left" w:pos="384"/>
        </w:tabs>
        <w:autoSpaceDE w:val="0"/>
        <w:autoSpaceDN w:val="0"/>
        <w:adjustRightInd w:val="0"/>
        <w:spacing w:line="276" w:lineRule="auto"/>
        <w:ind w:left="384" w:hanging="384"/>
        <w:rPr>
          <w:rFonts w:ascii="MyriadPro-Cond" w:hAnsi="MyriadPro-Cond"/>
          <w:sz w:val="15"/>
          <w:szCs w:val="15"/>
        </w:rPr>
      </w:pPr>
      <w:r>
        <w:rPr>
          <w:rFonts w:ascii="MyriadPro-Cond" w:hAnsi="MyriadPro-Cond"/>
          <w:sz w:val="15"/>
          <w:szCs w:val="15"/>
        </w:rPr>
        <w:t>72</w:t>
      </w:r>
      <w:r w:rsidR="00CC1D5D" w:rsidRPr="004D3316">
        <w:rPr>
          <w:rFonts w:ascii="MyriadPro-Cond" w:hAnsi="MyriadPro-Cond"/>
          <w:sz w:val="15"/>
          <w:szCs w:val="15"/>
        </w:rPr>
        <w:t>.</w:t>
      </w:r>
      <w:r w:rsidR="00CC1D5D" w:rsidRPr="004D3316">
        <w:rPr>
          <w:rFonts w:ascii="MyriadPro-Cond" w:hAnsi="MyriadPro-Cond"/>
          <w:sz w:val="15"/>
          <w:szCs w:val="15"/>
        </w:rPr>
        <w:tab/>
        <w:t xml:space="preserve">Leibold MA. 1989 Resource </w:t>
      </w:r>
      <w:r w:rsidR="00E046E8" w:rsidRPr="004D3316">
        <w:rPr>
          <w:rFonts w:ascii="MyriadPro-Cond" w:hAnsi="MyriadPro-Cond"/>
          <w:sz w:val="15"/>
          <w:szCs w:val="15"/>
        </w:rPr>
        <w:t>edibility and the effects of predators and productivity on the outcome of trophic interact</w:t>
      </w:r>
      <w:r w:rsidR="00CC1D5D" w:rsidRPr="004D3316">
        <w:rPr>
          <w:rFonts w:ascii="MyriadPro-Cond" w:hAnsi="MyriadPro-Cond"/>
          <w:sz w:val="15"/>
          <w:szCs w:val="15"/>
        </w:rPr>
        <w:t xml:space="preserve">ions. </w:t>
      </w:r>
      <w:r w:rsidR="00CC1D5D" w:rsidRPr="004D3316">
        <w:rPr>
          <w:rFonts w:ascii="MyriadPro-Cond" w:hAnsi="MyriadPro-Cond"/>
          <w:i/>
          <w:iCs/>
          <w:sz w:val="15"/>
          <w:szCs w:val="15"/>
        </w:rPr>
        <w:t>American Naturalist</w:t>
      </w:r>
      <w:r w:rsidR="00CC1D5D" w:rsidRPr="004D3316">
        <w:rPr>
          <w:rFonts w:ascii="MyriadPro-Cond" w:hAnsi="MyriadPro-Cond"/>
          <w:sz w:val="15"/>
          <w:szCs w:val="15"/>
        </w:rPr>
        <w:t xml:space="preserve"> </w:t>
      </w:r>
      <w:r w:rsidR="00CC1D5D" w:rsidRPr="004D3316">
        <w:rPr>
          <w:rFonts w:ascii="MyriadPro-Cond" w:hAnsi="MyriadPro-Cond"/>
          <w:b/>
          <w:bCs/>
          <w:sz w:val="15"/>
          <w:szCs w:val="15"/>
        </w:rPr>
        <w:t>134</w:t>
      </w:r>
      <w:r w:rsidR="00CC1D5D" w:rsidRPr="004D3316">
        <w:rPr>
          <w:rFonts w:ascii="MyriadPro-Cond" w:hAnsi="MyriadPro-Cond"/>
          <w:sz w:val="15"/>
          <w:szCs w:val="15"/>
        </w:rPr>
        <w:t>, 922–949. (doi:10.1086/285022)</w:t>
      </w:r>
    </w:p>
    <w:p w14:paraId="6D610FA8" w14:textId="77777777" w:rsidR="00394285" w:rsidRPr="004D3316" w:rsidRDefault="00394285" w:rsidP="00445BEE">
      <w:pPr>
        <w:rPr>
          <w:rFonts w:ascii="Palatino-Roman" w:hAnsi="Palatino-Roman"/>
          <w:sz w:val="20"/>
        </w:rPr>
        <w:sectPr w:rsidR="00394285" w:rsidRPr="004D3316" w:rsidSect="00445BEE">
          <w:type w:val="continuous"/>
          <w:pgSz w:w="11907" w:h="16840" w:code="9"/>
          <w:pgMar w:top="238" w:right="1134" w:bottom="851" w:left="1304" w:header="340" w:footer="567" w:gutter="0"/>
          <w:cols w:num="3" w:space="397"/>
          <w:titlePg/>
          <w:docGrid w:linePitch="360"/>
        </w:sectPr>
      </w:pPr>
    </w:p>
    <w:p w14:paraId="3FA295BE" w14:textId="77777777" w:rsidR="00435B79" w:rsidRPr="004D3316" w:rsidRDefault="00435B79" w:rsidP="00435B79">
      <w:pPr>
        <w:rPr>
          <w:rFonts w:ascii="Palatino-Roman" w:hAnsi="Palatino-Roman"/>
          <w:sz w:val="20"/>
        </w:rPr>
      </w:pPr>
    </w:p>
    <w:p w14:paraId="5B5781A6" w14:textId="77777777" w:rsidR="00435B79" w:rsidRPr="004D3316" w:rsidRDefault="00435B79" w:rsidP="00435B79">
      <w:pPr>
        <w:rPr>
          <w:rFonts w:ascii="Palatino-Roman" w:hAnsi="Palatino-Roman"/>
          <w:sz w:val="20"/>
        </w:rPr>
      </w:pPr>
    </w:p>
    <w:p w14:paraId="47159F29" w14:textId="77777777" w:rsidR="00EF6A3D" w:rsidRPr="004D3316" w:rsidRDefault="00EF6A3D" w:rsidP="00BB4449">
      <w:pPr>
        <w:shd w:val="clear" w:color="auto" w:fill="FFFFFF"/>
        <w:spacing w:after="240"/>
        <w:textAlignment w:val="baseline"/>
        <w:rPr>
          <w:rFonts w:ascii="MyriadPro-Cond" w:hAnsi="MyriadPro-Cond" w:cs="MyriadPro-Cond"/>
          <w:sz w:val="36"/>
          <w:szCs w:val="36"/>
        </w:rPr>
      </w:pPr>
    </w:p>
    <w:p w14:paraId="2387CA47" w14:textId="77777777" w:rsidR="00EF6A3D" w:rsidRPr="004D3316" w:rsidRDefault="00EF6A3D" w:rsidP="00BB4449">
      <w:pPr>
        <w:shd w:val="clear" w:color="auto" w:fill="FFFFFF"/>
        <w:spacing w:after="240"/>
        <w:textAlignment w:val="baseline"/>
        <w:rPr>
          <w:rFonts w:ascii="MyriadPro-Cond" w:hAnsi="MyriadPro-Cond" w:cs="MyriadPro-Cond"/>
          <w:sz w:val="36"/>
          <w:szCs w:val="36"/>
        </w:rPr>
      </w:pPr>
    </w:p>
    <w:p w14:paraId="2B67CC3A" w14:textId="77777777" w:rsidR="00EF6A3D" w:rsidRPr="004D3316" w:rsidRDefault="00EF6A3D" w:rsidP="00BB4449">
      <w:pPr>
        <w:shd w:val="clear" w:color="auto" w:fill="FFFFFF"/>
        <w:spacing w:after="240"/>
        <w:textAlignment w:val="baseline"/>
        <w:rPr>
          <w:rFonts w:ascii="MyriadPro-Cond" w:hAnsi="MyriadPro-Cond" w:cs="MyriadPro-Cond"/>
          <w:sz w:val="36"/>
          <w:szCs w:val="36"/>
        </w:rPr>
      </w:pPr>
    </w:p>
    <w:p w14:paraId="48129D05" w14:textId="77777777" w:rsidR="00EF6A3D" w:rsidRPr="004D3316" w:rsidRDefault="00EF6A3D" w:rsidP="00BB4449">
      <w:pPr>
        <w:shd w:val="clear" w:color="auto" w:fill="FFFFFF"/>
        <w:spacing w:after="240"/>
        <w:textAlignment w:val="baseline"/>
        <w:rPr>
          <w:rFonts w:ascii="MyriadPro-Cond" w:hAnsi="MyriadPro-Cond" w:cs="MyriadPro-Cond"/>
          <w:sz w:val="36"/>
          <w:szCs w:val="36"/>
        </w:rPr>
      </w:pPr>
    </w:p>
    <w:p w14:paraId="0D1E9B64" w14:textId="0C909393" w:rsidR="00EF6A3D" w:rsidRPr="004D3316" w:rsidRDefault="004D3316" w:rsidP="00BB4449">
      <w:pPr>
        <w:shd w:val="clear" w:color="auto" w:fill="FFFFFF"/>
        <w:spacing w:after="240"/>
        <w:textAlignment w:val="baseline"/>
        <w:rPr>
          <w:rFonts w:ascii="MyriadPro-Cond" w:hAnsi="MyriadPro-Cond" w:cs="MyriadPro-Cond"/>
          <w:sz w:val="36"/>
          <w:szCs w:val="36"/>
        </w:rPr>
      </w:pPr>
      <w:r>
        <w:rPr>
          <w:rFonts w:ascii="MyriadPro-Cond" w:hAnsi="MyriadPro-Cond" w:cs="MyriadPro-Cond"/>
          <w:sz w:val="36"/>
          <w:szCs w:val="36"/>
        </w:rPr>
        <w:br w:type="column"/>
      </w:r>
      <w:r w:rsidR="00376BA3" w:rsidRPr="004D3316">
        <w:rPr>
          <w:rFonts w:ascii="MyriadPro-Cond" w:hAnsi="MyriadPro-Cond" w:cs="MyriadPro-Cond"/>
          <w:sz w:val="36"/>
          <w:szCs w:val="36"/>
        </w:rPr>
        <w:lastRenderedPageBreak/>
        <w:t>Tables</w:t>
      </w:r>
    </w:p>
    <w:p w14:paraId="6A3C053F" w14:textId="77777777" w:rsidR="00EF6A3D" w:rsidRPr="004D3316" w:rsidRDefault="00EF6A3D" w:rsidP="00EF6A3D">
      <w:pPr>
        <w:pStyle w:val="NormalWeb"/>
        <w:spacing w:before="0" w:beforeAutospacing="0" w:after="0" w:afterAutospacing="0" w:line="480" w:lineRule="auto"/>
        <w:rPr>
          <w:iCs/>
        </w:rPr>
      </w:pPr>
      <w:r w:rsidRPr="004D3316">
        <w:rPr>
          <w:b/>
        </w:rPr>
        <w:t>Table 1 – Factors influencing variation in trophic rewilding.</w:t>
      </w:r>
      <w:r w:rsidRPr="004D3316">
        <w:t xml:space="preserve">  For each factor, we predicted the change in the strength of a trophic interaction (TI) between two adjacent trophic levels.  Interactions could include changes in behaviour, life history (e.g. reproduction, survival), abundance and/or total standing biomass of prey.  The list is not meant to be exhaustive.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616"/>
        <w:gridCol w:w="5140"/>
        <w:gridCol w:w="1236"/>
      </w:tblGrid>
      <w:tr w:rsidR="004D3316" w:rsidRPr="004D3316" w14:paraId="16649BAC" w14:textId="77777777" w:rsidTr="008514C1">
        <w:tc>
          <w:tcPr>
            <w:tcW w:w="2250" w:type="dxa"/>
            <w:tcBorders>
              <w:bottom w:val="single" w:sz="4" w:space="0" w:color="auto"/>
            </w:tcBorders>
          </w:tcPr>
          <w:p w14:paraId="1BA22B63" w14:textId="77777777" w:rsidR="00EF6A3D" w:rsidRPr="004D3316" w:rsidRDefault="00EF6A3D" w:rsidP="008514C1">
            <w:pPr>
              <w:tabs>
                <w:tab w:val="center" w:pos="2202"/>
              </w:tabs>
              <w:spacing w:line="480" w:lineRule="auto"/>
              <w:rPr>
                <w:rFonts w:ascii="Times New Roman" w:hAnsi="Times New Roman" w:cs="Times New Roman"/>
                <w:szCs w:val="24"/>
              </w:rPr>
            </w:pPr>
            <w:r w:rsidRPr="004D3316">
              <w:rPr>
                <w:rFonts w:ascii="Times New Roman" w:hAnsi="Times New Roman" w:cs="Times New Roman"/>
                <w:szCs w:val="24"/>
              </w:rPr>
              <w:t>Factor</w:t>
            </w:r>
          </w:p>
        </w:tc>
        <w:tc>
          <w:tcPr>
            <w:tcW w:w="616" w:type="dxa"/>
            <w:tcBorders>
              <w:bottom w:val="single" w:sz="4" w:space="0" w:color="auto"/>
            </w:tcBorders>
          </w:tcPr>
          <w:p w14:paraId="37674537" w14:textId="77777777" w:rsidR="00EF6A3D" w:rsidRPr="004D3316" w:rsidRDefault="00EF6A3D" w:rsidP="008514C1">
            <w:pPr>
              <w:spacing w:line="480" w:lineRule="auto"/>
              <w:jc w:val="center"/>
              <w:rPr>
                <w:rFonts w:ascii="Times New Roman" w:hAnsi="Times New Roman" w:cs="Times New Roman"/>
                <w:szCs w:val="24"/>
              </w:rPr>
            </w:pPr>
            <w:r w:rsidRPr="004D3316">
              <w:rPr>
                <w:rFonts w:ascii="Times New Roman" w:hAnsi="Times New Roman" w:cs="Times New Roman"/>
                <w:szCs w:val="24"/>
              </w:rPr>
              <w:t>ΔTI</w:t>
            </w:r>
          </w:p>
        </w:tc>
        <w:tc>
          <w:tcPr>
            <w:tcW w:w="5140" w:type="dxa"/>
            <w:tcBorders>
              <w:bottom w:val="single" w:sz="4" w:space="0" w:color="auto"/>
            </w:tcBorders>
          </w:tcPr>
          <w:p w14:paraId="0FD71711"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Mechanism</w:t>
            </w:r>
          </w:p>
        </w:tc>
        <w:tc>
          <w:tcPr>
            <w:tcW w:w="1236" w:type="dxa"/>
            <w:tcBorders>
              <w:bottom w:val="single" w:sz="4" w:space="0" w:color="auto"/>
            </w:tcBorders>
          </w:tcPr>
          <w:p w14:paraId="499C909C"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Reference</w:t>
            </w:r>
          </w:p>
        </w:tc>
      </w:tr>
      <w:tr w:rsidR="004D3316" w:rsidRPr="004D3316" w14:paraId="19AC3DDC" w14:textId="77777777" w:rsidTr="008514C1">
        <w:tc>
          <w:tcPr>
            <w:tcW w:w="2250" w:type="dxa"/>
            <w:tcBorders>
              <w:top w:val="single" w:sz="4" w:space="0" w:color="auto"/>
            </w:tcBorders>
          </w:tcPr>
          <w:p w14:paraId="2CB4D7A6"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 xml:space="preserve">Consumer invasiveness </w:t>
            </w:r>
          </w:p>
        </w:tc>
        <w:tc>
          <w:tcPr>
            <w:tcW w:w="616" w:type="dxa"/>
            <w:tcBorders>
              <w:top w:val="single" w:sz="4" w:space="0" w:color="auto"/>
            </w:tcBorders>
          </w:tcPr>
          <w:p w14:paraId="30C1BDB1" w14:textId="77777777" w:rsidR="00EF6A3D" w:rsidRPr="004D3316" w:rsidRDefault="00EF6A3D" w:rsidP="008514C1">
            <w:pPr>
              <w:spacing w:line="480" w:lineRule="auto"/>
              <w:jc w:val="center"/>
              <w:rPr>
                <w:rFonts w:ascii="Times New Roman" w:hAnsi="Times New Roman" w:cs="Times New Roman"/>
                <w:szCs w:val="24"/>
              </w:rPr>
            </w:pPr>
            <w:r w:rsidRPr="004D3316">
              <w:rPr>
                <w:rFonts w:ascii="Times New Roman" w:hAnsi="Times New Roman" w:cs="Times New Roman"/>
                <w:szCs w:val="24"/>
              </w:rPr>
              <w:t>↑</w:t>
            </w:r>
          </w:p>
        </w:tc>
        <w:tc>
          <w:tcPr>
            <w:tcW w:w="5140" w:type="dxa"/>
            <w:tcBorders>
              <w:top w:val="single" w:sz="4" w:space="0" w:color="auto"/>
            </w:tcBorders>
          </w:tcPr>
          <w:p w14:paraId="13970698"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Numerically dominant and widespread consumers will intake more prey/plants.</w:t>
            </w:r>
          </w:p>
        </w:tc>
        <w:tc>
          <w:tcPr>
            <w:tcW w:w="1236" w:type="dxa"/>
            <w:tcBorders>
              <w:top w:val="single" w:sz="4" w:space="0" w:color="auto"/>
            </w:tcBorders>
          </w:tcPr>
          <w:p w14:paraId="23E4C026"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N/A</w:t>
            </w:r>
          </w:p>
        </w:tc>
      </w:tr>
      <w:tr w:rsidR="004D3316" w:rsidRPr="004D3316" w14:paraId="5D577BDD" w14:textId="77777777" w:rsidTr="008514C1">
        <w:tc>
          <w:tcPr>
            <w:tcW w:w="2250" w:type="dxa"/>
          </w:tcPr>
          <w:p w14:paraId="7FCDE268"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Consumer body size</w:t>
            </w:r>
          </w:p>
        </w:tc>
        <w:tc>
          <w:tcPr>
            <w:tcW w:w="616" w:type="dxa"/>
          </w:tcPr>
          <w:p w14:paraId="1873A68C" w14:textId="77777777" w:rsidR="00EF6A3D" w:rsidRPr="004D3316" w:rsidRDefault="00EF6A3D" w:rsidP="008514C1">
            <w:pPr>
              <w:spacing w:line="480" w:lineRule="auto"/>
              <w:jc w:val="center"/>
              <w:rPr>
                <w:rFonts w:ascii="Times New Roman" w:hAnsi="Times New Roman" w:cs="Times New Roman"/>
                <w:szCs w:val="24"/>
              </w:rPr>
            </w:pPr>
            <w:r w:rsidRPr="004D3316">
              <w:rPr>
                <w:rFonts w:ascii="Times New Roman" w:hAnsi="Times New Roman" w:cs="Times New Roman"/>
                <w:szCs w:val="24"/>
              </w:rPr>
              <w:t>↑</w:t>
            </w:r>
          </w:p>
        </w:tc>
        <w:tc>
          <w:tcPr>
            <w:tcW w:w="5140" w:type="dxa"/>
          </w:tcPr>
          <w:p w14:paraId="27C8F897"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 xml:space="preserve">Larger organisms need to consume more biomass. </w:t>
            </w:r>
          </w:p>
        </w:tc>
        <w:tc>
          <w:tcPr>
            <w:tcW w:w="1236" w:type="dxa"/>
          </w:tcPr>
          <w:p w14:paraId="63F58761" w14:textId="6181ECD4"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6</w:t>
            </w:r>
            <w:r w:rsidR="00501E80">
              <w:rPr>
                <w:rFonts w:ascii="Times New Roman" w:hAnsi="Times New Roman" w:cs="Times New Roman"/>
                <w:szCs w:val="24"/>
              </w:rPr>
              <w:t>8</w:t>
            </w:r>
          </w:p>
        </w:tc>
      </w:tr>
      <w:tr w:rsidR="004D3316" w:rsidRPr="004D3316" w14:paraId="6D638B79" w14:textId="77777777" w:rsidTr="008514C1">
        <w:tc>
          <w:tcPr>
            <w:tcW w:w="2250" w:type="dxa"/>
          </w:tcPr>
          <w:p w14:paraId="0037AF25"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Consumer richness</w:t>
            </w:r>
          </w:p>
        </w:tc>
        <w:tc>
          <w:tcPr>
            <w:tcW w:w="616" w:type="dxa"/>
          </w:tcPr>
          <w:p w14:paraId="7346DA75" w14:textId="77777777" w:rsidR="00EF6A3D" w:rsidRPr="004D3316" w:rsidRDefault="00EF6A3D" w:rsidP="008514C1">
            <w:pPr>
              <w:spacing w:line="480" w:lineRule="auto"/>
              <w:jc w:val="center"/>
              <w:rPr>
                <w:rFonts w:ascii="Times New Roman" w:hAnsi="Times New Roman" w:cs="Times New Roman"/>
                <w:szCs w:val="24"/>
              </w:rPr>
            </w:pPr>
            <w:r w:rsidRPr="004D3316">
              <w:rPr>
                <w:rFonts w:ascii="Times New Roman" w:hAnsi="Times New Roman" w:cs="Times New Roman"/>
                <w:szCs w:val="24"/>
              </w:rPr>
              <w:t>↓</w:t>
            </w:r>
          </w:p>
        </w:tc>
        <w:tc>
          <w:tcPr>
            <w:tcW w:w="5140" w:type="dxa"/>
          </w:tcPr>
          <w:p w14:paraId="0037A74E"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More intra-trophic-level interactions (e.g. competition, predation) can reduce prey/plant consumption.</w:t>
            </w:r>
          </w:p>
        </w:tc>
        <w:tc>
          <w:tcPr>
            <w:tcW w:w="1236" w:type="dxa"/>
          </w:tcPr>
          <w:p w14:paraId="721A134E" w14:textId="2BC42AD0" w:rsidR="00EF6A3D" w:rsidRPr="004D3316" w:rsidRDefault="00501E80" w:rsidP="008514C1">
            <w:pPr>
              <w:spacing w:line="480" w:lineRule="auto"/>
              <w:rPr>
                <w:rFonts w:ascii="Times New Roman" w:hAnsi="Times New Roman" w:cs="Times New Roman"/>
                <w:szCs w:val="24"/>
              </w:rPr>
            </w:pPr>
            <w:r>
              <w:rPr>
                <w:rFonts w:ascii="Times New Roman" w:hAnsi="Times New Roman" w:cs="Times New Roman"/>
                <w:szCs w:val="24"/>
              </w:rPr>
              <w:t>69</w:t>
            </w:r>
            <w:r w:rsidR="00EF6A3D" w:rsidRPr="004D3316">
              <w:rPr>
                <w:rFonts w:ascii="Times New Roman" w:hAnsi="Times New Roman" w:cs="Times New Roman"/>
                <w:szCs w:val="24"/>
              </w:rPr>
              <w:t xml:space="preserve">, but see </w:t>
            </w:r>
            <w:r>
              <w:rPr>
                <w:rFonts w:ascii="Times New Roman" w:hAnsi="Times New Roman" w:cs="Times New Roman"/>
                <w:szCs w:val="24"/>
              </w:rPr>
              <w:t>70</w:t>
            </w:r>
          </w:p>
        </w:tc>
      </w:tr>
      <w:tr w:rsidR="004D3316" w:rsidRPr="004D3316" w14:paraId="43425AE0" w14:textId="77777777" w:rsidTr="008514C1">
        <w:tc>
          <w:tcPr>
            <w:tcW w:w="2250" w:type="dxa"/>
          </w:tcPr>
          <w:p w14:paraId="1EEA9E04"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Consumer foraging efficiency</w:t>
            </w:r>
          </w:p>
        </w:tc>
        <w:tc>
          <w:tcPr>
            <w:tcW w:w="616" w:type="dxa"/>
          </w:tcPr>
          <w:p w14:paraId="29BCB913" w14:textId="77777777" w:rsidR="00EF6A3D" w:rsidRPr="004D3316" w:rsidRDefault="00EF6A3D" w:rsidP="008514C1">
            <w:pPr>
              <w:spacing w:line="480" w:lineRule="auto"/>
              <w:jc w:val="center"/>
              <w:rPr>
                <w:rFonts w:ascii="Times New Roman" w:hAnsi="Times New Roman" w:cs="Times New Roman"/>
                <w:szCs w:val="24"/>
              </w:rPr>
            </w:pPr>
            <w:r w:rsidRPr="004D3316">
              <w:rPr>
                <w:rFonts w:ascii="Times New Roman" w:hAnsi="Times New Roman" w:cs="Times New Roman"/>
                <w:szCs w:val="24"/>
              </w:rPr>
              <w:t>↓</w:t>
            </w:r>
          </w:p>
        </w:tc>
        <w:tc>
          <w:tcPr>
            <w:tcW w:w="5140" w:type="dxa"/>
          </w:tcPr>
          <w:p w14:paraId="4814DB87"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High efficiency will remove more prey/plants.</w:t>
            </w:r>
          </w:p>
        </w:tc>
        <w:tc>
          <w:tcPr>
            <w:tcW w:w="1236" w:type="dxa"/>
          </w:tcPr>
          <w:p w14:paraId="6336AAC6" w14:textId="1FAB3DF6"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2</w:t>
            </w:r>
            <w:r w:rsidR="00501E80">
              <w:rPr>
                <w:rFonts w:ascii="Times New Roman" w:hAnsi="Times New Roman" w:cs="Times New Roman"/>
                <w:szCs w:val="24"/>
              </w:rPr>
              <w:t>8</w:t>
            </w:r>
          </w:p>
        </w:tc>
      </w:tr>
      <w:tr w:rsidR="004D3316" w:rsidRPr="004D3316" w14:paraId="392FB787" w14:textId="77777777" w:rsidTr="008514C1">
        <w:tc>
          <w:tcPr>
            <w:tcW w:w="2250" w:type="dxa"/>
          </w:tcPr>
          <w:p w14:paraId="63A52142"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Prey/plant generation time</w:t>
            </w:r>
          </w:p>
        </w:tc>
        <w:tc>
          <w:tcPr>
            <w:tcW w:w="616" w:type="dxa"/>
          </w:tcPr>
          <w:p w14:paraId="50F9D1AB" w14:textId="77777777" w:rsidR="00EF6A3D" w:rsidRPr="004D3316" w:rsidRDefault="00EF6A3D" w:rsidP="008514C1">
            <w:pPr>
              <w:spacing w:line="480" w:lineRule="auto"/>
              <w:jc w:val="center"/>
              <w:rPr>
                <w:rFonts w:ascii="Times New Roman" w:hAnsi="Times New Roman" w:cs="Times New Roman"/>
                <w:szCs w:val="24"/>
              </w:rPr>
            </w:pPr>
            <w:r w:rsidRPr="004D3316">
              <w:rPr>
                <w:rFonts w:ascii="Times New Roman" w:hAnsi="Times New Roman" w:cs="Times New Roman"/>
                <w:szCs w:val="24"/>
              </w:rPr>
              <w:t>↓</w:t>
            </w:r>
          </w:p>
        </w:tc>
        <w:tc>
          <w:tcPr>
            <w:tcW w:w="5140" w:type="dxa"/>
          </w:tcPr>
          <w:p w14:paraId="1AED6E28"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Faster turnover will mitigate losses in population size.</w:t>
            </w:r>
          </w:p>
        </w:tc>
        <w:tc>
          <w:tcPr>
            <w:tcW w:w="1236" w:type="dxa"/>
          </w:tcPr>
          <w:p w14:paraId="21A7B0A0" w14:textId="0774DC63"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2</w:t>
            </w:r>
            <w:r w:rsidR="00501E80">
              <w:rPr>
                <w:rFonts w:ascii="Times New Roman" w:hAnsi="Times New Roman" w:cs="Times New Roman"/>
                <w:szCs w:val="24"/>
              </w:rPr>
              <w:t>8</w:t>
            </w:r>
          </w:p>
        </w:tc>
      </w:tr>
      <w:tr w:rsidR="004D3316" w:rsidRPr="004D3316" w14:paraId="4756CC18" w14:textId="77777777" w:rsidTr="008514C1">
        <w:tc>
          <w:tcPr>
            <w:tcW w:w="2250" w:type="dxa"/>
          </w:tcPr>
          <w:p w14:paraId="76A081DE"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Prey/plant spatial heterogeneity</w:t>
            </w:r>
          </w:p>
        </w:tc>
        <w:tc>
          <w:tcPr>
            <w:tcW w:w="616" w:type="dxa"/>
          </w:tcPr>
          <w:p w14:paraId="06A31AF6" w14:textId="77777777" w:rsidR="00EF6A3D" w:rsidRPr="004D3316" w:rsidRDefault="00EF6A3D" w:rsidP="008514C1">
            <w:pPr>
              <w:spacing w:line="480" w:lineRule="auto"/>
              <w:jc w:val="center"/>
              <w:rPr>
                <w:rFonts w:ascii="Times New Roman" w:hAnsi="Times New Roman" w:cs="Times New Roman"/>
                <w:szCs w:val="24"/>
              </w:rPr>
            </w:pPr>
            <w:r w:rsidRPr="004D3316">
              <w:rPr>
                <w:rFonts w:ascii="Times New Roman" w:hAnsi="Times New Roman" w:cs="Times New Roman"/>
                <w:szCs w:val="24"/>
              </w:rPr>
              <w:t>↓</w:t>
            </w:r>
          </w:p>
        </w:tc>
        <w:tc>
          <w:tcPr>
            <w:tcW w:w="5140" w:type="dxa"/>
          </w:tcPr>
          <w:p w14:paraId="3A4E05D7"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Reduces the search efficiency of consumers.</w:t>
            </w:r>
          </w:p>
        </w:tc>
        <w:tc>
          <w:tcPr>
            <w:tcW w:w="1236" w:type="dxa"/>
          </w:tcPr>
          <w:p w14:paraId="5E42E4F7" w14:textId="29378986" w:rsidR="00EF6A3D" w:rsidRPr="004D3316" w:rsidRDefault="00501E80" w:rsidP="008514C1">
            <w:pPr>
              <w:spacing w:line="480" w:lineRule="auto"/>
              <w:rPr>
                <w:rFonts w:ascii="Times New Roman" w:hAnsi="Times New Roman" w:cs="Times New Roman"/>
                <w:szCs w:val="24"/>
              </w:rPr>
            </w:pPr>
            <w:r>
              <w:rPr>
                <w:rFonts w:ascii="Times New Roman" w:hAnsi="Times New Roman" w:cs="Times New Roman"/>
                <w:szCs w:val="24"/>
              </w:rPr>
              <w:t>71</w:t>
            </w:r>
          </w:p>
        </w:tc>
      </w:tr>
      <w:tr w:rsidR="00EF6A3D" w:rsidRPr="004D3316" w14:paraId="73AA160C" w14:textId="77777777" w:rsidTr="008514C1">
        <w:tc>
          <w:tcPr>
            <w:tcW w:w="2250" w:type="dxa"/>
            <w:tcBorders>
              <w:bottom w:val="single" w:sz="4" w:space="0" w:color="auto"/>
            </w:tcBorders>
          </w:tcPr>
          <w:p w14:paraId="67E091ED"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Prey/plant quantity and quality</w:t>
            </w:r>
          </w:p>
        </w:tc>
        <w:tc>
          <w:tcPr>
            <w:tcW w:w="616" w:type="dxa"/>
            <w:tcBorders>
              <w:bottom w:val="single" w:sz="4" w:space="0" w:color="auto"/>
            </w:tcBorders>
          </w:tcPr>
          <w:p w14:paraId="2D4B2FCE" w14:textId="77777777" w:rsidR="00EF6A3D" w:rsidRPr="004D3316" w:rsidRDefault="00EF6A3D" w:rsidP="008514C1">
            <w:pPr>
              <w:spacing w:line="480" w:lineRule="auto"/>
              <w:jc w:val="center"/>
              <w:rPr>
                <w:rFonts w:ascii="Times New Roman" w:hAnsi="Times New Roman" w:cs="Times New Roman"/>
                <w:szCs w:val="24"/>
              </w:rPr>
            </w:pPr>
            <w:r w:rsidRPr="004D3316">
              <w:rPr>
                <w:rFonts w:ascii="Times New Roman" w:hAnsi="Times New Roman" w:cs="Times New Roman"/>
                <w:szCs w:val="24"/>
              </w:rPr>
              <w:t>↓</w:t>
            </w:r>
          </w:p>
        </w:tc>
        <w:tc>
          <w:tcPr>
            <w:tcW w:w="5140" w:type="dxa"/>
            <w:tcBorders>
              <w:bottom w:val="single" w:sz="4" w:space="0" w:color="auto"/>
            </w:tcBorders>
          </w:tcPr>
          <w:p w14:paraId="3875AB3B" w14:textId="77777777" w:rsidR="00EF6A3D" w:rsidRPr="004D3316" w:rsidRDefault="00EF6A3D" w:rsidP="008514C1">
            <w:pPr>
              <w:spacing w:line="480" w:lineRule="auto"/>
              <w:rPr>
                <w:rFonts w:ascii="Times New Roman" w:hAnsi="Times New Roman" w:cs="Times New Roman"/>
                <w:szCs w:val="24"/>
              </w:rPr>
            </w:pPr>
            <w:r w:rsidRPr="004D3316">
              <w:rPr>
                <w:rFonts w:ascii="Times New Roman" w:hAnsi="Times New Roman" w:cs="Times New Roman"/>
                <w:szCs w:val="24"/>
              </w:rPr>
              <w:t>High quantity and quality can promote consumption rates.</w:t>
            </w:r>
          </w:p>
        </w:tc>
        <w:tc>
          <w:tcPr>
            <w:tcW w:w="1236" w:type="dxa"/>
            <w:tcBorders>
              <w:bottom w:val="single" w:sz="4" w:space="0" w:color="auto"/>
            </w:tcBorders>
          </w:tcPr>
          <w:p w14:paraId="1536D585" w14:textId="0409C527" w:rsidR="00EF6A3D" w:rsidRPr="004D3316" w:rsidRDefault="00501E80" w:rsidP="008514C1">
            <w:pPr>
              <w:spacing w:line="480" w:lineRule="auto"/>
              <w:rPr>
                <w:rFonts w:ascii="Times New Roman" w:hAnsi="Times New Roman" w:cs="Times New Roman"/>
                <w:szCs w:val="24"/>
              </w:rPr>
            </w:pPr>
            <w:r>
              <w:rPr>
                <w:rFonts w:ascii="Times New Roman" w:hAnsi="Times New Roman" w:cs="Times New Roman"/>
                <w:szCs w:val="24"/>
              </w:rPr>
              <w:t>18</w:t>
            </w:r>
            <w:r w:rsidR="00EF6A3D" w:rsidRPr="004D3316">
              <w:rPr>
                <w:rFonts w:ascii="Times New Roman" w:hAnsi="Times New Roman" w:cs="Times New Roman"/>
                <w:szCs w:val="24"/>
              </w:rPr>
              <w:t xml:space="preserve">, </w:t>
            </w:r>
            <w:r>
              <w:rPr>
                <w:rFonts w:ascii="Times New Roman" w:hAnsi="Times New Roman" w:cs="Times New Roman"/>
                <w:szCs w:val="24"/>
              </w:rPr>
              <w:t>72</w:t>
            </w:r>
          </w:p>
        </w:tc>
      </w:tr>
    </w:tbl>
    <w:p w14:paraId="0B9E458D" w14:textId="77777777" w:rsidR="00EF6A3D" w:rsidRPr="004D3316" w:rsidRDefault="00EF6A3D" w:rsidP="00EF6A3D">
      <w:pPr>
        <w:shd w:val="clear" w:color="auto" w:fill="FFFFFF"/>
        <w:spacing w:after="240"/>
        <w:textAlignment w:val="baseline"/>
        <w:rPr>
          <w:rFonts w:ascii="MyriadPro-Cond" w:hAnsi="MyriadPro-Cond" w:cs="MyriadPro-Cond"/>
          <w:sz w:val="36"/>
          <w:szCs w:val="36"/>
        </w:rPr>
      </w:pPr>
      <w:r w:rsidRPr="004D3316">
        <w:rPr>
          <w:rFonts w:ascii="MyriadPro-Cond" w:hAnsi="MyriadPro-Cond" w:cs="MyriadPro-Cond"/>
          <w:sz w:val="36"/>
          <w:szCs w:val="36"/>
        </w:rPr>
        <w:br w:type="column"/>
      </w:r>
      <w:r w:rsidRPr="004D3316">
        <w:rPr>
          <w:rFonts w:ascii="MyriadPro-Cond" w:hAnsi="MyriadPro-Cond" w:cs="MyriadPro-Cond"/>
          <w:sz w:val="36"/>
          <w:szCs w:val="36"/>
        </w:rPr>
        <w:lastRenderedPageBreak/>
        <w:t>Figures</w:t>
      </w:r>
    </w:p>
    <w:p w14:paraId="51DEE34D" w14:textId="77777777" w:rsidR="00EF6A3D" w:rsidRPr="004D3316" w:rsidRDefault="00EF6A3D" w:rsidP="00EF6A3D">
      <w:pPr>
        <w:spacing w:line="480" w:lineRule="auto"/>
        <w:rPr>
          <w:szCs w:val="24"/>
        </w:rPr>
      </w:pPr>
      <w:r w:rsidRPr="004D3316">
        <w:rPr>
          <w:noProof/>
        </w:rPr>
        <w:drawing>
          <wp:inline distT="0" distB="0" distL="0" distR="0" wp14:anchorId="4D8E1C9B" wp14:editId="5FEC31FC">
            <wp:extent cx="4838432" cy="497541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46" b="398"/>
                    <a:stretch/>
                  </pic:blipFill>
                  <pic:spPr bwMode="auto">
                    <a:xfrm>
                      <a:off x="0" y="0"/>
                      <a:ext cx="4845973" cy="4983165"/>
                    </a:xfrm>
                    <a:prstGeom prst="rect">
                      <a:avLst/>
                    </a:prstGeom>
                    <a:ln>
                      <a:noFill/>
                    </a:ln>
                    <a:extLst>
                      <a:ext uri="{53640926-AAD7-44D8-BBD7-CCE9431645EC}">
                        <a14:shadowObscured xmlns:a14="http://schemas.microsoft.com/office/drawing/2010/main"/>
                      </a:ext>
                    </a:extLst>
                  </pic:spPr>
                </pic:pic>
              </a:graphicData>
            </a:graphic>
          </wp:inline>
        </w:drawing>
      </w:r>
    </w:p>
    <w:p w14:paraId="442BD0EA" w14:textId="60979BE2" w:rsidR="00EF6A3D" w:rsidRDefault="00EF6A3D" w:rsidP="00EF6A3D">
      <w:pPr>
        <w:spacing w:line="480" w:lineRule="auto"/>
        <w:rPr>
          <w:szCs w:val="24"/>
        </w:rPr>
      </w:pPr>
      <w:r w:rsidRPr="004D3316">
        <w:rPr>
          <w:b/>
          <w:szCs w:val="24"/>
        </w:rPr>
        <w:t xml:space="preserve">Fig. 1 – Rewilding responses were dominated by unintentional introductions of mammals in the Southern Hemisphere and temperate woodlands.  </w:t>
      </w:r>
      <w:r w:rsidRPr="004D3316">
        <w:rPr>
          <w:szCs w:val="24"/>
        </w:rPr>
        <w:t>(</w:t>
      </w:r>
      <w:r w:rsidRPr="004D3316">
        <w:rPr>
          <w:b/>
          <w:szCs w:val="24"/>
        </w:rPr>
        <w:t>a</w:t>
      </w:r>
      <w:r w:rsidRPr="004D3316">
        <w:rPr>
          <w:szCs w:val="24"/>
        </w:rPr>
        <w:t>) Global distribution of compiled studies (</w:t>
      </w:r>
      <w:r w:rsidRPr="004D3316">
        <w:rPr>
          <w:i/>
          <w:szCs w:val="24"/>
        </w:rPr>
        <w:t>n</w:t>
      </w:r>
      <w:r w:rsidRPr="004D3316">
        <w:rPr>
          <w:szCs w:val="24"/>
        </w:rPr>
        <w:t xml:space="preserve"> = 51) in relation to the Order of the introduced species and whether introductions were intentional or unintentional.  Symbols are scaled to the number of responses recorded in each study (total </w:t>
      </w:r>
      <w:r w:rsidRPr="004D3316">
        <w:rPr>
          <w:i/>
          <w:szCs w:val="24"/>
        </w:rPr>
        <w:t>n</w:t>
      </w:r>
      <w:r w:rsidR="004004DE">
        <w:rPr>
          <w:szCs w:val="24"/>
        </w:rPr>
        <w:t xml:space="preserve"> = 139</w:t>
      </w:r>
      <w:r w:rsidRPr="004D3316">
        <w:rPr>
          <w:szCs w:val="24"/>
        </w:rPr>
        <w:t xml:space="preserve"> and 19 for unintentional and intentional rewilding, respectively).  (</w:t>
      </w:r>
      <w:r w:rsidRPr="004D3316">
        <w:rPr>
          <w:b/>
          <w:szCs w:val="24"/>
        </w:rPr>
        <w:t>b</w:t>
      </w:r>
      <w:r w:rsidRPr="004D3316">
        <w:rPr>
          <w:szCs w:val="24"/>
        </w:rPr>
        <w:t xml:space="preserve">)  Number of observations associated with five response types: biomass, ecosystem processes and services, </w:t>
      </w:r>
      <w:r w:rsidRPr="004D3316">
        <w:rPr>
          <w:szCs w:val="24"/>
          <w:shd w:val="clear" w:color="auto" w:fill="FFFFFF"/>
        </w:rPr>
        <w:t>life history (e.g. reproduction, dispersal, survival), species richness, and behaviour (e.g. feeding and escape rates).  (</w:t>
      </w:r>
      <w:r w:rsidRPr="004D3316">
        <w:rPr>
          <w:b/>
          <w:szCs w:val="24"/>
          <w:shd w:val="clear" w:color="auto" w:fill="FFFFFF"/>
        </w:rPr>
        <w:t>c</w:t>
      </w:r>
      <w:r w:rsidRPr="004D3316">
        <w:rPr>
          <w:szCs w:val="24"/>
          <w:shd w:val="clear" w:color="auto" w:fill="FFFFFF"/>
        </w:rPr>
        <w:t xml:space="preserve">)  </w:t>
      </w:r>
      <w:r w:rsidRPr="004D3316">
        <w:rPr>
          <w:szCs w:val="24"/>
        </w:rPr>
        <w:t>Number of observations associated with ten biome types.  wood = woodland; grass = grassland.</w:t>
      </w:r>
    </w:p>
    <w:p w14:paraId="33441E05" w14:textId="19C4B7B8" w:rsidR="00E47327" w:rsidRPr="004D3316" w:rsidRDefault="00E47327" w:rsidP="00EF6A3D">
      <w:pPr>
        <w:spacing w:line="480" w:lineRule="auto"/>
        <w:rPr>
          <w:szCs w:val="24"/>
        </w:rPr>
      </w:pPr>
      <w:r w:rsidRPr="00E47327">
        <w:rPr>
          <w:noProof/>
        </w:rPr>
        <w:lastRenderedPageBreak/>
        <w:drawing>
          <wp:inline distT="0" distB="0" distL="0" distR="0" wp14:anchorId="6FA2AA25" wp14:editId="35BAA3C5">
            <wp:extent cx="3762120" cy="3609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188" cy="3627312"/>
                    </a:xfrm>
                    <a:prstGeom prst="rect">
                      <a:avLst/>
                    </a:prstGeom>
                    <a:noFill/>
                    <a:ln>
                      <a:noFill/>
                    </a:ln>
                  </pic:spPr>
                </pic:pic>
              </a:graphicData>
            </a:graphic>
          </wp:inline>
        </w:drawing>
      </w:r>
    </w:p>
    <w:p w14:paraId="0A36766A" w14:textId="4359358C" w:rsidR="008A4CBD" w:rsidRPr="004D3316" w:rsidRDefault="00EF6A3D" w:rsidP="00EF6A3D">
      <w:pPr>
        <w:spacing w:line="480" w:lineRule="auto"/>
        <w:rPr>
          <w:szCs w:val="24"/>
        </w:rPr>
      </w:pPr>
      <w:r w:rsidRPr="004D3316">
        <w:rPr>
          <w:b/>
          <w:szCs w:val="24"/>
        </w:rPr>
        <w:t xml:space="preserve">Fig. 2 – Intentional and unintentional rewilding have similar effects.  </w:t>
      </w:r>
      <w:r w:rsidRPr="004D3316">
        <w:rPr>
          <w:szCs w:val="24"/>
        </w:rPr>
        <w:t xml:space="preserve">Estimated log response ratios across all response types in the absence of species being invasive and with or without responses having coevolved with a taxon from the same Order as the introduced species.  Solid lines are mean ratios ± 95% CIs, with boxes denoting inter-quartile range.  </w:t>
      </w:r>
      <w:r w:rsidR="008A4CBD">
        <w:rPr>
          <w:szCs w:val="24"/>
        </w:rPr>
        <w:br w:type="column"/>
      </w:r>
      <w:r w:rsidR="008A4CBD" w:rsidRPr="008A4CBD">
        <w:rPr>
          <w:noProof/>
        </w:rPr>
        <w:lastRenderedPageBreak/>
        <w:drawing>
          <wp:inline distT="0" distB="0" distL="0" distR="0" wp14:anchorId="169F906E" wp14:editId="4911A24D">
            <wp:extent cx="4643150" cy="40576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5914" cy="4068805"/>
                    </a:xfrm>
                    <a:prstGeom prst="rect">
                      <a:avLst/>
                    </a:prstGeom>
                    <a:noFill/>
                    <a:ln>
                      <a:noFill/>
                    </a:ln>
                  </pic:spPr>
                </pic:pic>
              </a:graphicData>
            </a:graphic>
          </wp:inline>
        </w:drawing>
      </w:r>
    </w:p>
    <w:p w14:paraId="2980CEE6" w14:textId="24B62117" w:rsidR="00854E48" w:rsidRPr="004D3316" w:rsidRDefault="00EF6A3D" w:rsidP="00EF6A3D">
      <w:pPr>
        <w:spacing w:line="480" w:lineRule="auto"/>
        <w:rPr>
          <w:szCs w:val="24"/>
        </w:rPr>
      </w:pPr>
      <w:r w:rsidRPr="004D3316">
        <w:rPr>
          <w:b/>
          <w:szCs w:val="24"/>
        </w:rPr>
        <w:t xml:space="preserve">Fig. 3 – Intentional rewilding causes trophic cascades.  </w:t>
      </w:r>
      <w:r w:rsidRPr="004D3316">
        <w:rPr>
          <w:szCs w:val="24"/>
        </w:rPr>
        <w:t xml:space="preserve">Points are estimated log response ratios at 0 to 3 trophic levels beneath introduced species that are either non-invasive (circle symbols) or invasive (square symbols).  Symbol size was scaled to precision of the observation (i.e. reciprocal of SD).  Lines are posterior densities for responses estimated for invasive introduced species, which account for most of the observations in the </w:t>
      </w:r>
      <w:r w:rsidR="002A589E">
        <w:rPr>
          <w:szCs w:val="24"/>
        </w:rPr>
        <w:t>un</w:t>
      </w:r>
      <w:r w:rsidRPr="004D3316">
        <w:rPr>
          <w:szCs w:val="24"/>
        </w:rPr>
        <w:t xml:space="preserve">intentional rewilding dataset </w:t>
      </w:r>
      <w:r w:rsidR="00E47327">
        <w:rPr>
          <w:szCs w:val="24"/>
        </w:rPr>
        <w:t>(n = 107 of 139</w:t>
      </w:r>
      <w:r w:rsidRPr="004D3316">
        <w:rPr>
          <w:szCs w:val="24"/>
        </w:rPr>
        <w:t>).  * = estimated effects exclude</w:t>
      </w:r>
      <w:r w:rsidR="001F31BA" w:rsidRPr="004D3316">
        <w:rPr>
          <w:szCs w:val="24"/>
        </w:rPr>
        <w:t>d</w:t>
      </w:r>
      <w:r w:rsidRPr="004D3316">
        <w:rPr>
          <w:szCs w:val="24"/>
        </w:rPr>
        <w:t xml:space="preserve"> zero.</w:t>
      </w:r>
    </w:p>
    <w:sectPr w:rsidR="00854E48" w:rsidRPr="004D3316" w:rsidSect="00854E48">
      <w:type w:val="continuous"/>
      <w:pgSz w:w="11907" w:h="16840" w:code="9"/>
      <w:pgMar w:top="960"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D50B2" w14:textId="77777777" w:rsidR="009D0791" w:rsidRDefault="009D0791">
      <w:r>
        <w:separator/>
      </w:r>
    </w:p>
    <w:p w14:paraId="626D8C50" w14:textId="77777777" w:rsidR="009D0791" w:rsidRDefault="009D0791"/>
    <w:p w14:paraId="1FACB620" w14:textId="77777777" w:rsidR="009D0791" w:rsidRDefault="009D0791"/>
    <w:p w14:paraId="3FD3B407" w14:textId="77777777" w:rsidR="009D0791" w:rsidRDefault="009D0791"/>
    <w:p w14:paraId="37AE588B" w14:textId="77777777" w:rsidR="009D0791" w:rsidRDefault="009D0791"/>
    <w:p w14:paraId="3687AAD5" w14:textId="77777777" w:rsidR="009D0791" w:rsidRDefault="009D0791"/>
  </w:endnote>
  <w:endnote w:type="continuationSeparator" w:id="0">
    <w:p w14:paraId="6CCE75D6" w14:textId="77777777" w:rsidR="009D0791" w:rsidRDefault="009D0791">
      <w:r>
        <w:continuationSeparator/>
      </w:r>
    </w:p>
    <w:p w14:paraId="478B7772" w14:textId="77777777" w:rsidR="009D0791" w:rsidRDefault="009D0791"/>
    <w:p w14:paraId="4C722F0C" w14:textId="77777777" w:rsidR="009D0791" w:rsidRDefault="009D0791"/>
    <w:p w14:paraId="5383C902" w14:textId="77777777" w:rsidR="009D0791" w:rsidRDefault="009D0791"/>
    <w:p w14:paraId="01C32FEA" w14:textId="77777777" w:rsidR="009D0791" w:rsidRDefault="009D0791"/>
    <w:p w14:paraId="3811E3D9" w14:textId="77777777" w:rsidR="009D0791" w:rsidRDefault="009D0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2C1F9C73-28A5-4287-9512-ED7F02195B02}"/>
  </w:font>
  <w:font w:name="Cambria">
    <w:panose1 w:val="02040503050406030204"/>
    <w:charset w:val="00"/>
    <w:family w:val="roman"/>
    <w:pitch w:val="variable"/>
    <w:sig w:usb0="E00002FF" w:usb1="400004FF" w:usb2="00000000" w:usb3="00000000" w:csb0="0000019F" w:csb1="00000000"/>
    <w:embedRegular r:id="rId2" w:fontKey="{4B48FF01-FDA6-4A2A-8B7E-5458BA88A6DC}"/>
    <w:embedBold r:id="rId3" w:fontKey="{66BDC1BD-D387-4966-AF2A-ED2973F170A3}"/>
  </w:font>
  <w:font w:name="MyriadPro-Con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486DE2CF-815F-47F0-BD9F-6BD8FC32CE15}"/>
  </w:font>
  <w:font w:name="Calibri">
    <w:panose1 w:val="020F0502020204030204"/>
    <w:charset w:val="00"/>
    <w:family w:val="swiss"/>
    <w:pitch w:val="variable"/>
    <w:sig w:usb0="E00002FF" w:usb1="4000ACFF" w:usb2="00000001" w:usb3="00000000" w:csb0="0000019F" w:csb1="00000000"/>
    <w:embedRegular r:id="rId5" w:fontKey="{C8C3C1E8-BB3E-44C3-8394-31CA810D0B26}"/>
  </w:font>
  <w:font w:name="Palatino-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6" w:fontKey="{64BC471A-30F2-4947-BE5D-FF4D0D5A8065}"/>
    <w:embedItalic r:id="rId7" w:fontKey="{EF3EFEDD-D398-41E9-A8DD-D216EF486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15BF3" w14:textId="77777777" w:rsidR="00D46BAE" w:rsidRDefault="00D46BAE" w:rsidP="00090077">
    <w:pPr>
      <w:tabs>
        <w:tab w:val="right" w:pos="9923"/>
      </w:tabs>
      <w:rPr>
        <w:rFonts w:ascii="Arial" w:hAnsi="Arial" w:cs="Arial"/>
        <w:b/>
        <w:sz w:val="17"/>
        <w:szCs w:val="17"/>
      </w:rPr>
    </w:pPr>
  </w:p>
  <w:p w14:paraId="258151EB" w14:textId="77777777" w:rsidR="00D46BAE" w:rsidRPr="004E5F6D" w:rsidRDefault="00D46BAE" w:rsidP="00090077">
    <w:pPr>
      <w:tabs>
        <w:tab w:val="right" w:pos="9923"/>
      </w:tabs>
      <w:rPr>
        <w:rFonts w:ascii="Arial" w:hAnsi="Arial" w:cs="Arial"/>
        <w:sz w:val="17"/>
        <w:szCs w:val="17"/>
      </w:rPr>
    </w:pPr>
    <w:r w:rsidRPr="006848D8">
      <w:rPr>
        <w:i/>
        <w:sz w:val="16"/>
        <w:szCs w:val="16"/>
      </w:rPr>
      <w:t xml:space="preserve">Phil. Trans. R. Soc. </w:t>
    </w:r>
    <w:r>
      <w:rPr>
        <w:i/>
        <w:sz w:val="16"/>
        <w:szCs w:val="16"/>
      </w:rPr>
      <w:t>B</w:t>
    </w:r>
    <w:r w:rsidRPr="006848D8">
      <w:rPr>
        <w:i/>
        <w:sz w:val="16"/>
        <w:szCs w:val="16"/>
      </w:rPr>
      <w:t>.</w:t>
    </w:r>
    <w:r>
      <w:rPr>
        <w:rFonts w:ascii="Arial" w:hAnsi="Arial" w:cs="Arial"/>
        <w:b/>
        <w:sz w:val="17"/>
        <w:szCs w:val="17"/>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07411691"/>
      <w:docPartObj>
        <w:docPartGallery w:val="Page Numbers (Bottom of Page)"/>
        <w:docPartUnique/>
      </w:docPartObj>
    </w:sdtPr>
    <w:sdtEndPr>
      <w:rPr>
        <w:noProof/>
      </w:rPr>
    </w:sdtEndPr>
    <w:sdtContent>
      <w:p w14:paraId="77B7572D" w14:textId="77777777" w:rsidR="00D46BAE" w:rsidRPr="00EF6A3D" w:rsidRDefault="00D46BAE">
        <w:pPr>
          <w:pStyle w:val="Footer"/>
          <w:jc w:val="center"/>
          <w:rPr>
            <w:sz w:val="18"/>
            <w:szCs w:val="18"/>
          </w:rPr>
        </w:pPr>
        <w:r w:rsidRPr="00EF6A3D">
          <w:rPr>
            <w:sz w:val="18"/>
            <w:szCs w:val="18"/>
          </w:rPr>
          <w:fldChar w:fldCharType="begin"/>
        </w:r>
        <w:r w:rsidRPr="00EF6A3D">
          <w:rPr>
            <w:sz w:val="18"/>
            <w:szCs w:val="18"/>
          </w:rPr>
          <w:instrText xml:space="preserve"> PAGE   \* MERGEFORMAT </w:instrText>
        </w:r>
        <w:r w:rsidRPr="00EF6A3D">
          <w:rPr>
            <w:sz w:val="18"/>
            <w:szCs w:val="18"/>
          </w:rPr>
          <w:fldChar w:fldCharType="separate"/>
        </w:r>
        <w:r w:rsidR="00D94933">
          <w:rPr>
            <w:noProof/>
            <w:sz w:val="18"/>
            <w:szCs w:val="18"/>
          </w:rPr>
          <w:t>20</w:t>
        </w:r>
        <w:r w:rsidRPr="00EF6A3D">
          <w:rPr>
            <w:noProof/>
            <w:sz w:val="18"/>
            <w:szCs w:val="18"/>
          </w:rPr>
          <w:fldChar w:fldCharType="end"/>
        </w:r>
      </w:p>
    </w:sdtContent>
  </w:sdt>
  <w:p w14:paraId="4F984804" w14:textId="77777777" w:rsidR="00D46BAE" w:rsidRDefault="00D46B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195715"/>
      <w:docPartObj>
        <w:docPartGallery w:val="Page Numbers (Bottom of Page)"/>
        <w:docPartUnique/>
      </w:docPartObj>
    </w:sdtPr>
    <w:sdtEndPr>
      <w:rPr>
        <w:noProof/>
      </w:rPr>
    </w:sdtEndPr>
    <w:sdtContent>
      <w:p w14:paraId="39F0C513" w14:textId="77777777" w:rsidR="00D46BAE" w:rsidRDefault="00D46BAE">
        <w:pPr>
          <w:pStyle w:val="Footer"/>
          <w:jc w:val="right"/>
        </w:pPr>
        <w:r>
          <w:fldChar w:fldCharType="begin"/>
        </w:r>
        <w:r>
          <w:instrText xml:space="preserve"> PAGE   \* MERGEFORMAT </w:instrText>
        </w:r>
        <w:r>
          <w:fldChar w:fldCharType="separate"/>
        </w:r>
        <w:r w:rsidR="00D94933">
          <w:rPr>
            <w:noProof/>
          </w:rPr>
          <w:t>1</w:t>
        </w:r>
        <w:r>
          <w:rPr>
            <w:noProof/>
          </w:rPr>
          <w:fldChar w:fldCharType="end"/>
        </w:r>
      </w:p>
    </w:sdtContent>
  </w:sdt>
  <w:p w14:paraId="64C54DB4" w14:textId="77777777" w:rsidR="00D46BAE" w:rsidRPr="001B02A0" w:rsidRDefault="00D46BAE" w:rsidP="00DA31BD">
    <w:pPr>
      <w:tabs>
        <w:tab w:val="right" w:pos="5040"/>
      </w:tabs>
      <w:rPr>
        <w:rFonts w:ascii="Arial" w:hAnsi="Arial" w:cs="Arial"/>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E455B" w14:textId="77777777" w:rsidR="00D46BAE" w:rsidRPr="00F234D5" w:rsidRDefault="00D46BAE" w:rsidP="00F234D5">
    <w:pPr>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95C9C" w14:textId="77777777" w:rsidR="009D0791" w:rsidRDefault="009D0791">
      <w:r>
        <w:separator/>
      </w:r>
    </w:p>
    <w:p w14:paraId="0B02BFFD" w14:textId="77777777" w:rsidR="009D0791" w:rsidRDefault="009D0791"/>
    <w:p w14:paraId="038C155F" w14:textId="77777777" w:rsidR="009D0791" w:rsidRDefault="009D0791"/>
    <w:p w14:paraId="301C836D" w14:textId="77777777" w:rsidR="009D0791" w:rsidRDefault="009D0791"/>
    <w:p w14:paraId="50EAC2FD" w14:textId="77777777" w:rsidR="009D0791" w:rsidRDefault="009D0791"/>
    <w:p w14:paraId="59474E4F" w14:textId="77777777" w:rsidR="009D0791" w:rsidRDefault="009D0791"/>
  </w:footnote>
  <w:footnote w:type="continuationSeparator" w:id="0">
    <w:p w14:paraId="0C643277" w14:textId="77777777" w:rsidR="009D0791" w:rsidRDefault="009D0791">
      <w:r>
        <w:continuationSeparator/>
      </w:r>
    </w:p>
    <w:p w14:paraId="7AF0AD29" w14:textId="77777777" w:rsidR="009D0791" w:rsidRDefault="009D0791"/>
    <w:p w14:paraId="7E2FE4FE" w14:textId="77777777" w:rsidR="009D0791" w:rsidRDefault="009D0791"/>
    <w:p w14:paraId="0E70E215" w14:textId="77777777" w:rsidR="009D0791" w:rsidRDefault="009D0791"/>
    <w:p w14:paraId="1B9DF235" w14:textId="77777777" w:rsidR="009D0791" w:rsidRDefault="009D0791"/>
    <w:p w14:paraId="1561A609" w14:textId="77777777" w:rsidR="009D0791" w:rsidRDefault="009D07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618C" w14:textId="77777777" w:rsidR="00D46BAE" w:rsidRPr="00516B22" w:rsidRDefault="00D46BAE" w:rsidP="00EC50BF">
    <w:pPr>
      <w:pBdr>
        <w:bottom w:val="single" w:sz="6" w:space="1" w:color="auto"/>
      </w:pBdr>
      <w:spacing w:after="180"/>
      <w:jc w:val="center"/>
      <w:rPr>
        <w:rFonts w:ascii="Arial" w:hAnsi="Arial"/>
        <w:b/>
        <w:color w:val="000000"/>
        <w:szCs w:val="24"/>
        <w:lang w:val="fr-FR"/>
      </w:rPr>
    </w:pPr>
    <w:r>
      <w:rPr>
        <w:rFonts w:ascii="Arial" w:hAnsi="Arial"/>
        <w:b/>
        <w:i/>
        <w:color w:val="000000"/>
        <w:szCs w:val="24"/>
        <w:lang w:val="fr-FR"/>
      </w:rPr>
      <w:t>R. Soc. open sci.</w:t>
    </w:r>
    <w:r w:rsidRPr="00516B22">
      <w:rPr>
        <w:rFonts w:ascii="Arial" w:hAnsi="Arial"/>
        <w:b/>
        <w:color w:val="000000"/>
        <w:szCs w:val="24"/>
        <w:lang w:val="fr-FR"/>
      </w:rPr>
      <w:t xml:space="preserve"> article template </w:t>
    </w:r>
  </w:p>
  <w:p w14:paraId="0B892363" w14:textId="77777777" w:rsidR="00D46BAE" w:rsidRPr="003F3A19" w:rsidRDefault="00D46BAE" w:rsidP="00EC50BF">
    <w:pPr>
      <w:pBdr>
        <w:bottom w:val="single" w:sz="6" w:space="1" w:color="auto"/>
      </w:pBdr>
      <w:spacing w:after="180"/>
      <w:rPr>
        <w:b/>
        <w:color w:val="000000"/>
        <w:sz w:val="18"/>
        <w:szCs w:val="18"/>
      </w:rPr>
    </w:pPr>
    <w:r w:rsidRPr="003F3A19">
      <w:rPr>
        <w:sz w:val="18"/>
        <w:szCs w:val="18"/>
      </w:rPr>
      <w:fldChar w:fldCharType="begin"/>
    </w:r>
    <w:r w:rsidRPr="003F3A19">
      <w:rPr>
        <w:sz w:val="18"/>
        <w:szCs w:val="18"/>
      </w:rPr>
      <w:instrText xml:space="preserve"> PAGE </w:instrText>
    </w:r>
    <w:r w:rsidRPr="003F3A19">
      <w:rPr>
        <w:sz w:val="18"/>
        <w:szCs w:val="18"/>
      </w:rPr>
      <w:fldChar w:fldCharType="separate"/>
    </w:r>
    <w:r>
      <w:rPr>
        <w:noProof/>
        <w:sz w:val="18"/>
        <w:szCs w:val="18"/>
      </w:rPr>
      <w:t>2</w:t>
    </w:r>
    <w:r w:rsidRPr="003F3A19">
      <w:rPr>
        <w:sz w:val="18"/>
        <w:szCs w:val="18"/>
      </w:rPr>
      <w:fldChar w:fldCharType="end"/>
    </w:r>
    <w:r>
      <w:rPr>
        <w:sz w:val="18"/>
        <w:szCs w:val="18"/>
      </w:rPr>
      <w:t xml:space="preserve">  </w:t>
    </w:r>
    <w:r w:rsidRPr="003F3A19">
      <w:rPr>
        <w:sz w:val="18"/>
        <w:szCs w:val="18"/>
      </w:rPr>
      <w:t xml:space="preserve"> </w:t>
    </w:r>
    <w:r>
      <w:rPr>
        <w:i/>
        <w:color w:val="000000"/>
        <w:sz w:val="18"/>
        <w:szCs w:val="18"/>
      </w:rPr>
      <w:fldChar w:fldCharType="begin"/>
    </w:r>
    <w:r>
      <w:rPr>
        <w:i/>
        <w:color w:val="000000"/>
        <w:sz w:val="18"/>
        <w:szCs w:val="18"/>
      </w:rPr>
      <w:instrText xml:space="preserve"> MACROBUTTON  AcceptAllChangesInDoc Insert your short title here </w:instrText>
    </w:r>
    <w:r>
      <w:rPr>
        <w:i/>
        <w:color w:val="000000"/>
        <w:sz w:val="18"/>
        <w:szCs w:val="18"/>
      </w:rPr>
      <w:fldChar w:fldCharType="end"/>
    </w:r>
  </w:p>
  <w:p w14:paraId="271F332E" w14:textId="77777777" w:rsidR="00D46BAE" w:rsidRDefault="00D46BAE" w:rsidP="00EC50BF">
    <w:pPr>
      <w:pBdr>
        <w:bottom w:val="single" w:sz="6" w:space="1" w:color="auto"/>
      </w:pBdr>
      <w:tabs>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90B0A" w14:textId="77777777" w:rsidR="00D46BAE" w:rsidRPr="00516B22" w:rsidRDefault="00D46BAE" w:rsidP="00F5304A">
    <w:pPr>
      <w:spacing w:after="180"/>
      <w:jc w:val="center"/>
      <w:rPr>
        <w:rFonts w:ascii="Arial" w:hAnsi="Arial"/>
        <w:b/>
        <w:color w:val="000000"/>
        <w:szCs w:val="24"/>
        <w:lang w:val="fr-FR"/>
      </w:rPr>
    </w:pPr>
    <w:r>
      <w:rPr>
        <w:rFonts w:ascii="Arial" w:hAnsi="Arial"/>
        <w:b/>
        <w:i/>
        <w:color w:val="000000"/>
        <w:szCs w:val="24"/>
        <w:lang w:val="fr-FR"/>
      </w:rPr>
      <w:t>Phil. Trans. R. Soc. B</w:t>
    </w:r>
    <w:r w:rsidRPr="006848D8">
      <w:rPr>
        <w:rFonts w:ascii="Arial" w:hAnsi="Arial"/>
        <w:b/>
        <w:i/>
        <w:color w:val="000000"/>
        <w:szCs w:val="24"/>
        <w:lang w:val="fr-FR"/>
      </w:rPr>
      <w:t>.</w:t>
    </w:r>
    <w:r w:rsidRPr="00516B22">
      <w:rPr>
        <w:rFonts w:ascii="Arial" w:hAnsi="Arial"/>
        <w:b/>
        <w:color w:val="000000"/>
        <w:szCs w:val="24"/>
        <w:lang w:val="fr-FR"/>
      </w:rPr>
      <w:t xml:space="preserve"> article template </w:t>
    </w:r>
  </w:p>
  <w:p w14:paraId="3FD93DCC" w14:textId="77777777" w:rsidR="00D46BAE" w:rsidRPr="00516B22" w:rsidRDefault="00D46BAE" w:rsidP="000063D6">
    <w:pPr>
      <w:pBdr>
        <w:bottom w:val="single" w:sz="6" w:space="1" w:color="auto"/>
      </w:pBdr>
      <w:tabs>
        <w:tab w:val="right" w:pos="9923"/>
      </w:tabs>
      <w:jc w:val="right"/>
      <w:rPr>
        <w:i/>
        <w:color w:val="000000"/>
        <w:sz w:val="18"/>
        <w:szCs w:val="18"/>
        <w:lang w:val="fr-FR"/>
      </w:rPr>
    </w:pPr>
  </w:p>
  <w:p w14:paraId="0C2499AC" w14:textId="77777777" w:rsidR="00D46BAE" w:rsidRDefault="00D46BAE" w:rsidP="00B85405">
    <w:pPr>
      <w:pBdr>
        <w:bottom w:val="single" w:sz="6" w:space="1" w:color="auto"/>
      </w:pBdr>
      <w:tabs>
        <w:tab w:val="right" w:pos="9923"/>
      </w:tabs>
      <w:rPr>
        <w:rFonts w:ascii="Arial" w:hAnsi="Arial"/>
        <w:b/>
        <w:i/>
        <w:color w:val="000000"/>
        <w:szCs w:val="24"/>
        <w:lang w:val="fr-FR"/>
      </w:rPr>
    </w:pPr>
    <w:r>
      <w:rPr>
        <w:rFonts w:ascii="Arial" w:hAnsi="Arial"/>
        <w:b/>
        <w:i/>
        <w:noProof/>
        <w:color w:val="000000"/>
        <w:szCs w:val="24"/>
      </w:rPr>
      <w:drawing>
        <wp:anchor distT="0" distB="0" distL="114300" distR="114300" simplePos="0" relativeHeight="251660288" behindDoc="0" locked="0" layoutInCell="1" allowOverlap="1" wp14:anchorId="52C3757F" wp14:editId="2F7F69B8">
          <wp:simplePos x="0" y="0"/>
          <wp:positionH relativeFrom="column">
            <wp:posOffset>635</wp:posOffset>
          </wp:positionH>
          <wp:positionV relativeFrom="paragraph">
            <wp:posOffset>0</wp:posOffset>
          </wp:positionV>
          <wp:extent cx="2400300" cy="457200"/>
          <wp:effectExtent l="19050" t="0" r="0" b="0"/>
          <wp:wrapSquare wrapText="bothSides"/>
          <wp:docPr id="2" name="Picture 1" descr="\\rsnet.local\dfs\Marketing\Logos\Journal logos\PHILOSOPHICAL TRANSACTIONS B\Web\PHILOSOPHICAL TRANSACTIONS 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t.local\dfs\Marketing\Logos\Journal logos\PHILOSOPHICAL TRANSACTIONS B\Web\PHILOSOPHICAL TRANSACTIONS B_RGB.png"/>
                  <pic:cNvPicPr>
                    <a:picLocks noChangeAspect="1" noChangeArrowheads="1"/>
                  </pic:cNvPicPr>
                </pic:nvPicPr>
                <pic:blipFill>
                  <a:blip r:embed="rId1"/>
                  <a:srcRect/>
                  <a:stretch>
                    <a:fillRect/>
                  </a:stretch>
                </pic:blipFill>
                <pic:spPr bwMode="auto">
                  <a:xfrm>
                    <a:off x="0" y="0"/>
                    <a:ext cx="2400300" cy="457200"/>
                  </a:xfrm>
                  <a:prstGeom prst="rect">
                    <a:avLst/>
                  </a:prstGeom>
                  <a:noFill/>
                  <a:ln w="9525">
                    <a:noFill/>
                    <a:miter lim="800000"/>
                    <a:headEnd/>
                    <a:tailEnd/>
                  </a:ln>
                </pic:spPr>
              </pic:pic>
            </a:graphicData>
          </a:graphic>
        </wp:anchor>
      </w:drawing>
    </w:r>
  </w:p>
  <w:p w14:paraId="732817CD" w14:textId="77777777" w:rsidR="00D46BAE" w:rsidRPr="00FF0DAA" w:rsidRDefault="00D46BAE" w:rsidP="00B85405">
    <w:pPr>
      <w:pBdr>
        <w:bottom w:val="single" w:sz="6" w:space="1" w:color="auto"/>
      </w:pBdr>
      <w:tabs>
        <w:tab w:val="right" w:pos="9923"/>
      </w:tabs>
      <w:jc w:val="right"/>
      <w:rPr>
        <w:i/>
        <w:color w:val="000000"/>
        <w:sz w:val="18"/>
        <w:szCs w:val="18"/>
      </w:rPr>
    </w:pPr>
    <w:r>
      <w:rPr>
        <w:i/>
        <w:color w:val="000000"/>
        <w:sz w:val="18"/>
        <w:szCs w:val="18"/>
      </w:rPr>
      <w:t>Phil. Trans. R. Soc. B.</w:t>
    </w:r>
  </w:p>
  <w:p w14:paraId="6425F5C7" w14:textId="77777777" w:rsidR="00D46BAE" w:rsidRPr="00FF0DAA" w:rsidRDefault="00D46BAE" w:rsidP="00FF0DAA">
    <w:pPr>
      <w:pBdr>
        <w:bottom w:val="single" w:sz="6" w:space="1" w:color="auto"/>
      </w:pBdr>
      <w:tabs>
        <w:tab w:val="right" w:pos="9923"/>
      </w:tabs>
      <w:jc w:val="right"/>
      <w:rPr>
        <w:color w:val="000000"/>
        <w:sz w:val="18"/>
        <w:szCs w:val="18"/>
      </w:rPr>
    </w:pPr>
    <w:r w:rsidRPr="00FF0DAA">
      <w:rPr>
        <w:color w:val="000000"/>
        <w:sz w:val="18"/>
        <w:szCs w:val="18"/>
      </w:rPr>
      <w:t>doi:10.1098/not yet assigned</w:t>
    </w:r>
  </w:p>
  <w:p w14:paraId="1F52B91F" w14:textId="77777777" w:rsidR="00D46BAE" w:rsidRPr="000063D6" w:rsidRDefault="00D46BAE" w:rsidP="00F5304A">
    <w:pPr>
      <w:pBdr>
        <w:bottom w:val="single" w:sz="6" w:space="1" w:color="auto"/>
      </w:pBdr>
      <w:tabs>
        <w:tab w:val="right" w:pos="9923"/>
      </w:tabs>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10684" w14:textId="77777777" w:rsidR="00D46BAE" w:rsidRDefault="00D46BA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20147" w14:textId="77777777" w:rsidR="00D46BAE" w:rsidRPr="00090077" w:rsidRDefault="00D46BAE" w:rsidP="00090077">
    <w:pP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153247"/>
    <w:multiLevelType w:val="hybridMultilevel"/>
    <w:tmpl w:val="0724658E"/>
    <w:lvl w:ilvl="0" w:tplc="A5541244">
      <w:start w:val="1"/>
      <w:numFmt w:val="lowerRoman"/>
      <w:lvlText w:val="(%1)"/>
      <w:lvlJc w:val="left"/>
      <w:pPr>
        <w:ind w:left="780" w:hanging="720"/>
      </w:pPr>
      <w:rPr>
        <w:rFonts w:hint="default"/>
        <w:i/>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1776CF7"/>
    <w:multiLevelType w:val="hybridMultilevel"/>
    <w:tmpl w:val="767867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6"/>
  </w:num>
  <w:num w:numId="12">
    <w:abstractNumId w:val="19"/>
  </w:num>
  <w:num w:numId="13">
    <w:abstractNumId w:val="13"/>
  </w:num>
  <w:num w:numId="14">
    <w:abstractNumId w:val="12"/>
  </w:num>
  <w:num w:numId="15">
    <w:abstractNumId w:val="18"/>
  </w:num>
  <w:num w:numId="16">
    <w:abstractNumId w:val="14"/>
  </w:num>
  <w:num w:numId="17">
    <w:abstractNumId w:val="11"/>
  </w:num>
  <w:num w:numId="18">
    <w:abstractNumId w:val="9"/>
  </w:num>
  <w:num w:numId="19">
    <w:abstractNumId w:val="18"/>
    <w:lvlOverride w:ilvl="0">
      <w:startOverride w:val="1"/>
    </w:lvlOverride>
  </w:num>
  <w:num w:numId="20">
    <w:abstractNumId w:val="18"/>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BE"/>
    <w:rsid w:val="00004CEC"/>
    <w:rsid w:val="000063D6"/>
    <w:rsid w:val="00016F46"/>
    <w:rsid w:val="00020950"/>
    <w:rsid w:val="0002547E"/>
    <w:rsid w:val="0002719C"/>
    <w:rsid w:val="00032A13"/>
    <w:rsid w:val="00032D43"/>
    <w:rsid w:val="00033D91"/>
    <w:rsid w:val="00046676"/>
    <w:rsid w:val="0006030E"/>
    <w:rsid w:val="00060A4C"/>
    <w:rsid w:val="00064EE5"/>
    <w:rsid w:val="00065BFF"/>
    <w:rsid w:val="00066D8A"/>
    <w:rsid w:val="00067E9D"/>
    <w:rsid w:val="000762DC"/>
    <w:rsid w:val="00081B04"/>
    <w:rsid w:val="00082C94"/>
    <w:rsid w:val="00084019"/>
    <w:rsid w:val="00084756"/>
    <w:rsid w:val="000875C3"/>
    <w:rsid w:val="00090077"/>
    <w:rsid w:val="00097D60"/>
    <w:rsid w:val="000A0156"/>
    <w:rsid w:val="000A0722"/>
    <w:rsid w:val="000B0B06"/>
    <w:rsid w:val="000B1AAA"/>
    <w:rsid w:val="000B22A4"/>
    <w:rsid w:val="000B68E3"/>
    <w:rsid w:val="000C29C4"/>
    <w:rsid w:val="000C2FB6"/>
    <w:rsid w:val="000C62E0"/>
    <w:rsid w:val="000E14C9"/>
    <w:rsid w:val="000E3F64"/>
    <w:rsid w:val="000E4718"/>
    <w:rsid w:val="000F1E02"/>
    <w:rsid w:val="000F359A"/>
    <w:rsid w:val="000F7AD5"/>
    <w:rsid w:val="00100ACC"/>
    <w:rsid w:val="00101B28"/>
    <w:rsid w:val="00107892"/>
    <w:rsid w:val="0011133D"/>
    <w:rsid w:val="00113108"/>
    <w:rsid w:val="00115145"/>
    <w:rsid w:val="00122D46"/>
    <w:rsid w:val="001266D4"/>
    <w:rsid w:val="001279BD"/>
    <w:rsid w:val="00131859"/>
    <w:rsid w:val="00137BAF"/>
    <w:rsid w:val="00142173"/>
    <w:rsid w:val="0015052F"/>
    <w:rsid w:val="00151EF8"/>
    <w:rsid w:val="00153AF0"/>
    <w:rsid w:val="00157E18"/>
    <w:rsid w:val="00164249"/>
    <w:rsid w:val="001653B6"/>
    <w:rsid w:val="00165B97"/>
    <w:rsid w:val="0016784E"/>
    <w:rsid w:val="00182835"/>
    <w:rsid w:val="00184D0D"/>
    <w:rsid w:val="00187676"/>
    <w:rsid w:val="001900BF"/>
    <w:rsid w:val="00192B42"/>
    <w:rsid w:val="00196E98"/>
    <w:rsid w:val="001977A6"/>
    <w:rsid w:val="001A177F"/>
    <w:rsid w:val="001A3CC0"/>
    <w:rsid w:val="001B02A0"/>
    <w:rsid w:val="001B3CC2"/>
    <w:rsid w:val="001B554B"/>
    <w:rsid w:val="001B7062"/>
    <w:rsid w:val="001C6657"/>
    <w:rsid w:val="001F31BA"/>
    <w:rsid w:val="00212F79"/>
    <w:rsid w:val="00214F10"/>
    <w:rsid w:val="0022251D"/>
    <w:rsid w:val="0022330B"/>
    <w:rsid w:val="0022433C"/>
    <w:rsid w:val="00231B7A"/>
    <w:rsid w:val="00234E81"/>
    <w:rsid w:val="00236AAD"/>
    <w:rsid w:val="00240887"/>
    <w:rsid w:val="002450FE"/>
    <w:rsid w:val="00247116"/>
    <w:rsid w:val="0025337A"/>
    <w:rsid w:val="0025780C"/>
    <w:rsid w:val="0027535A"/>
    <w:rsid w:val="00275D87"/>
    <w:rsid w:val="00282643"/>
    <w:rsid w:val="00290B3A"/>
    <w:rsid w:val="00295D2F"/>
    <w:rsid w:val="00295DB0"/>
    <w:rsid w:val="00296ED3"/>
    <w:rsid w:val="002A55E3"/>
    <w:rsid w:val="002A589E"/>
    <w:rsid w:val="002B211E"/>
    <w:rsid w:val="002B79B1"/>
    <w:rsid w:val="002C3E4A"/>
    <w:rsid w:val="002C4927"/>
    <w:rsid w:val="002D0658"/>
    <w:rsid w:val="002D365C"/>
    <w:rsid w:val="002D7273"/>
    <w:rsid w:val="002E26D8"/>
    <w:rsid w:val="002E309D"/>
    <w:rsid w:val="002E4DA6"/>
    <w:rsid w:val="002F20EF"/>
    <w:rsid w:val="002F474A"/>
    <w:rsid w:val="002F53C2"/>
    <w:rsid w:val="003009AC"/>
    <w:rsid w:val="00301504"/>
    <w:rsid w:val="00301B96"/>
    <w:rsid w:val="00310496"/>
    <w:rsid w:val="00311524"/>
    <w:rsid w:val="00313D6D"/>
    <w:rsid w:val="00315238"/>
    <w:rsid w:val="00322CA9"/>
    <w:rsid w:val="00323F72"/>
    <w:rsid w:val="0034068D"/>
    <w:rsid w:val="00344FF9"/>
    <w:rsid w:val="00345892"/>
    <w:rsid w:val="00357871"/>
    <w:rsid w:val="00361722"/>
    <w:rsid w:val="00361C47"/>
    <w:rsid w:val="003628FE"/>
    <w:rsid w:val="003752E9"/>
    <w:rsid w:val="00376BA3"/>
    <w:rsid w:val="00377199"/>
    <w:rsid w:val="003861B1"/>
    <w:rsid w:val="00393751"/>
    <w:rsid w:val="00393898"/>
    <w:rsid w:val="00394285"/>
    <w:rsid w:val="003946BE"/>
    <w:rsid w:val="00395097"/>
    <w:rsid w:val="003978FD"/>
    <w:rsid w:val="003A2191"/>
    <w:rsid w:val="003A3220"/>
    <w:rsid w:val="003A5682"/>
    <w:rsid w:val="003A7A61"/>
    <w:rsid w:val="003B32D4"/>
    <w:rsid w:val="003B7896"/>
    <w:rsid w:val="003C277C"/>
    <w:rsid w:val="003C3D1C"/>
    <w:rsid w:val="003C4460"/>
    <w:rsid w:val="003C72B0"/>
    <w:rsid w:val="003E1D82"/>
    <w:rsid w:val="003E3A9A"/>
    <w:rsid w:val="003E4EAC"/>
    <w:rsid w:val="003E7B4C"/>
    <w:rsid w:val="003F0E96"/>
    <w:rsid w:val="003F2930"/>
    <w:rsid w:val="003F32B7"/>
    <w:rsid w:val="003F3A19"/>
    <w:rsid w:val="004004DE"/>
    <w:rsid w:val="00402C26"/>
    <w:rsid w:val="00405F3B"/>
    <w:rsid w:val="004120F3"/>
    <w:rsid w:val="00422ED0"/>
    <w:rsid w:val="004234E5"/>
    <w:rsid w:val="004310FA"/>
    <w:rsid w:val="0043150C"/>
    <w:rsid w:val="00433529"/>
    <w:rsid w:val="004358C5"/>
    <w:rsid w:val="00435B79"/>
    <w:rsid w:val="0043734B"/>
    <w:rsid w:val="00444690"/>
    <w:rsid w:val="00445008"/>
    <w:rsid w:val="00445BEE"/>
    <w:rsid w:val="00445D4E"/>
    <w:rsid w:val="00462385"/>
    <w:rsid w:val="004662B2"/>
    <w:rsid w:val="004678CB"/>
    <w:rsid w:val="004707CB"/>
    <w:rsid w:val="00470C3F"/>
    <w:rsid w:val="00474310"/>
    <w:rsid w:val="00475DAA"/>
    <w:rsid w:val="004769AF"/>
    <w:rsid w:val="00476B27"/>
    <w:rsid w:val="0048194C"/>
    <w:rsid w:val="004836DC"/>
    <w:rsid w:val="00484C63"/>
    <w:rsid w:val="00485C9B"/>
    <w:rsid w:val="00497BA5"/>
    <w:rsid w:val="004A354A"/>
    <w:rsid w:val="004B55A3"/>
    <w:rsid w:val="004B590D"/>
    <w:rsid w:val="004C59F0"/>
    <w:rsid w:val="004D2602"/>
    <w:rsid w:val="004D3316"/>
    <w:rsid w:val="004D4A04"/>
    <w:rsid w:val="004D6A59"/>
    <w:rsid w:val="004E5DED"/>
    <w:rsid w:val="004F0AF7"/>
    <w:rsid w:val="004F26C9"/>
    <w:rsid w:val="004F3BE3"/>
    <w:rsid w:val="004F46E9"/>
    <w:rsid w:val="004F47E8"/>
    <w:rsid w:val="004F5693"/>
    <w:rsid w:val="004F7B4D"/>
    <w:rsid w:val="004F7F88"/>
    <w:rsid w:val="00501E80"/>
    <w:rsid w:val="00506CFC"/>
    <w:rsid w:val="0050784E"/>
    <w:rsid w:val="0051014B"/>
    <w:rsid w:val="00512302"/>
    <w:rsid w:val="00514C82"/>
    <w:rsid w:val="00516638"/>
    <w:rsid w:val="00516B22"/>
    <w:rsid w:val="00517B1D"/>
    <w:rsid w:val="00521645"/>
    <w:rsid w:val="005325ED"/>
    <w:rsid w:val="00534069"/>
    <w:rsid w:val="005521D9"/>
    <w:rsid w:val="005549F1"/>
    <w:rsid w:val="00561D87"/>
    <w:rsid w:val="0056303B"/>
    <w:rsid w:val="00563089"/>
    <w:rsid w:val="00566D42"/>
    <w:rsid w:val="00571B52"/>
    <w:rsid w:val="00573A4D"/>
    <w:rsid w:val="00573E08"/>
    <w:rsid w:val="005847B2"/>
    <w:rsid w:val="0058696E"/>
    <w:rsid w:val="00586B33"/>
    <w:rsid w:val="005935C8"/>
    <w:rsid w:val="005968CD"/>
    <w:rsid w:val="005972F9"/>
    <w:rsid w:val="005A0993"/>
    <w:rsid w:val="005A3E2C"/>
    <w:rsid w:val="005A4925"/>
    <w:rsid w:val="005A7DEF"/>
    <w:rsid w:val="005B39D0"/>
    <w:rsid w:val="005B3FC1"/>
    <w:rsid w:val="005B579C"/>
    <w:rsid w:val="005C2A48"/>
    <w:rsid w:val="005C59CD"/>
    <w:rsid w:val="005C5A96"/>
    <w:rsid w:val="005C5C6B"/>
    <w:rsid w:val="005C6A08"/>
    <w:rsid w:val="005D1949"/>
    <w:rsid w:val="005D46B8"/>
    <w:rsid w:val="005D55B5"/>
    <w:rsid w:val="005D5ED9"/>
    <w:rsid w:val="005D742A"/>
    <w:rsid w:val="005E0A23"/>
    <w:rsid w:val="005E5D84"/>
    <w:rsid w:val="005F29F0"/>
    <w:rsid w:val="005F4BE6"/>
    <w:rsid w:val="0060175D"/>
    <w:rsid w:val="00607B0D"/>
    <w:rsid w:val="006103A8"/>
    <w:rsid w:val="00612BE7"/>
    <w:rsid w:val="00613C55"/>
    <w:rsid w:val="00620A53"/>
    <w:rsid w:val="00622404"/>
    <w:rsid w:val="00632BDE"/>
    <w:rsid w:val="00640F50"/>
    <w:rsid w:val="00651698"/>
    <w:rsid w:val="006523E0"/>
    <w:rsid w:val="00660FBE"/>
    <w:rsid w:val="006623EC"/>
    <w:rsid w:val="0066538D"/>
    <w:rsid w:val="0066590B"/>
    <w:rsid w:val="00681B60"/>
    <w:rsid w:val="00684366"/>
    <w:rsid w:val="006848D8"/>
    <w:rsid w:val="006855BE"/>
    <w:rsid w:val="00692F7A"/>
    <w:rsid w:val="0069476C"/>
    <w:rsid w:val="00694F76"/>
    <w:rsid w:val="00697537"/>
    <w:rsid w:val="006A21D3"/>
    <w:rsid w:val="006A72E9"/>
    <w:rsid w:val="006B1246"/>
    <w:rsid w:val="006B3B86"/>
    <w:rsid w:val="006B47B9"/>
    <w:rsid w:val="006B6BA7"/>
    <w:rsid w:val="006C159D"/>
    <w:rsid w:val="006C2110"/>
    <w:rsid w:val="006C4ACB"/>
    <w:rsid w:val="006D17AA"/>
    <w:rsid w:val="006D23DA"/>
    <w:rsid w:val="006D29DE"/>
    <w:rsid w:val="006E0E60"/>
    <w:rsid w:val="007143A9"/>
    <w:rsid w:val="0072514E"/>
    <w:rsid w:val="0072521F"/>
    <w:rsid w:val="00725A3F"/>
    <w:rsid w:val="00727B8A"/>
    <w:rsid w:val="00727C1A"/>
    <w:rsid w:val="00732897"/>
    <w:rsid w:val="00735004"/>
    <w:rsid w:val="00737F43"/>
    <w:rsid w:val="00744558"/>
    <w:rsid w:val="007468B2"/>
    <w:rsid w:val="00747A45"/>
    <w:rsid w:val="007505F7"/>
    <w:rsid w:val="007528C5"/>
    <w:rsid w:val="00764620"/>
    <w:rsid w:val="00770C45"/>
    <w:rsid w:val="007720F9"/>
    <w:rsid w:val="00773A64"/>
    <w:rsid w:val="00781969"/>
    <w:rsid w:val="007827BF"/>
    <w:rsid w:val="00786B3D"/>
    <w:rsid w:val="00786D74"/>
    <w:rsid w:val="007A0A2A"/>
    <w:rsid w:val="007A428A"/>
    <w:rsid w:val="007B04EA"/>
    <w:rsid w:val="007B19FF"/>
    <w:rsid w:val="007B3B98"/>
    <w:rsid w:val="007B3DEB"/>
    <w:rsid w:val="007B4AFE"/>
    <w:rsid w:val="007B77B1"/>
    <w:rsid w:val="007C348F"/>
    <w:rsid w:val="007C37F0"/>
    <w:rsid w:val="007C3EF2"/>
    <w:rsid w:val="007C70EB"/>
    <w:rsid w:val="007C78A6"/>
    <w:rsid w:val="007D65FE"/>
    <w:rsid w:val="007E2ED7"/>
    <w:rsid w:val="007E7C1D"/>
    <w:rsid w:val="007F0C91"/>
    <w:rsid w:val="007F75D6"/>
    <w:rsid w:val="008027FB"/>
    <w:rsid w:val="00813296"/>
    <w:rsid w:val="00813650"/>
    <w:rsid w:val="00813DAE"/>
    <w:rsid w:val="00815DEB"/>
    <w:rsid w:val="00821A0A"/>
    <w:rsid w:val="00837F33"/>
    <w:rsid w:val="0084031D"/>
    <w:rsid w:val="008411AA"/>
    <w:rsid w:val="00841C48"/>
    <w:rsid w:val="00842B3B"/>
    <w:rsid w:val="00845742"/>
    <w:rsid w:val="0084576D"/>
    <w:rsid w:val="008467D6"/>
    <w:rsid w:val="008514A6"/>
    <w:rsid w:val="008514C1"/>
    <w:rsid w:val="0085152B"/>
    <w:rsid w:val="00853F39"/>
    <w:rsid w:val="00854E48"/>
    <w:rsid w:val="00855646"/>
    <w:rsid w:val="00864EA7"/>
    <w:rsid w:val="00871903"/>
    <w:rsid w:val="00874210"/>
    <w:rsid w:val="008743CB"/>
    <w:rsid w:val="00880990"/>
    <w:rsid w:val="00880D38"/>
    <w:rsid w:val="0088661B"/>
    <w:rsid w:val="00886B7C"/>
    <w:rsid w:val="00890AF5"/>
    <w:rsid w:val="00893FBA"/>
    <w:rsid w:val="00896470"/>
    <w:rsid w:val="008975A1"/>
    <w:rsid w:val="00897C71"/>
    <w:rsid w:val="008A0B38"/>
    <w:rsid w:val="008A39D8"/>
    <w:rsid w:val="008A3CC4"/>
    <w:rsid w:val="008A4CBD"/>
    <w:rsid w:val="008B2BF4"/>
    <w:rsid w:val="008C44C9"/>
    <w:rsid w:val="008C512F"/>
    <w:rsid w:val="008D0A15"/>
    <w:rsid w:val="008D2E4D"/>
    <w:rsid w:val="008D46CA"/>
    <w:rsid w:val="008E0C1E"/>
    <w:rsid w:val="008F0D62"/>
    <w:rsid w:val="008F3975"/>
    <w:rsid w:val="00900F55"/>
    <w:rsid w:val="00902E81"/>
    <w:rsid w:val="009101D8"/>
    <w:rsid w:val="00910A8A"/>
    <w:rsid w:val="0092135D"/>
    <w:rsid w:val="0093074A"/>
    <w:rsid w:val="0093100F"/>
    <w:rsid w:val="00933012"/>
    <w:rsid w:val="009418F0"/>
    <w:rsid w:val="00944811"/>
    <w:rsid w:val="00944FAE"/>
    <w:rsid w:val="00955D0D"/>
    <w:rsid w:val="0096390D"/>
    <w:rsid w:val="00967DFE"/>
    <w:rsid w:val="00972137"/>
    <w:rsid w:val="00980EBD"/>
    <w:rsid w:val="00981C90"/>
    <w:rsid w:val="0098578F"/>
    <w:rsid w:val="00994331"/>
    <w:rsid w:val="009955B8"/>
    <w:rsid w:val="009A2913"/>
    <w:rsid w:val="009B4B3A"/>
    <w:rsid w:val="009B5A0B"/>
    <w:rsid w:val="009C2398"/>
    <w:rsid w:val="009C62E9"/>
    <w:rsid w:val="009D0791"/>
    <w:rsid w:val="009F1FA1"/>
    <w:rsid w:val="009F3567"/>
    <w:rsid w:val="009F55EB"/>
    <w:rsid w:val="00A03104"/>
    <w:rsid w:val="00A0535F"/>
    <w:rsid w:val="00A054DA"/>
    <w:rsid w:val="00A055BC"/>
    <w:rsid w:val="00A2244C"/>
    <w:rsid w:val="00A2255F"/>
    <w:rsid w:val="00A24E23"/>
    <w:rsid w:val="00A33143"/>
    <w:rsid w:val="00A35CF6"/>
    <w:rsid w:val="00A36A64"/>
    <w:rsid w:val="00A426D8"/>
    <w:rsid w:val="00A46B46"/>
    <w:rsid w:val="00A50AE4"/>
    <w:rsid w:val="00A5122B"/>
    <w:rsid w:val="00A52613"/>
    <w:rsid w:val="00A53DB4"/>
    <w:rsid w:val="00A547F7"/>
    <w:rsid w:val="00A571C0"/>
    <w:rsid w:val="00A62074"/>
    <w:rsid w:val="00A62671"/>
    <w:rsid w:val="00A63105"/>
    <w:rsid w:val="00A66C97"/>
    <w:rsid w:val="00A71AEB"/>
    <w:rsid w:val="00A74221"/>
    <w:rsid w:val="00A82005"/>
    <w:rsid w:val="00A8455F"/>
    <w:rsid w:val="00A84C16"/>
    <w:rsid w:val="00A84FED"/>
    <w:rsid w:val="00A85750"/>
    <w:rsid w:val="00A9217A"/>
    <w:rsid w:val="00A94FE9"/>
    <w:rsid w:val="00AA0920"/>
    <w:rsid w:val="00AA4E71"/>
    <w:rsid w:val="00AA683E"/>
    <w:rsid w:val="00AB1336"/>
    <w:rsid w:val="00AB4872"/>
    <w:rsid w:val="00AC4324"/>
    <w:rsid w:val="00AC4971"/>
    <w:rsid w:val="00AC6250"/>
    <w:rsid w:val="00AD27E5"/>
    <w:rsid w:val="00AD4BE3"/>
    <w:rsid w:val="00AD71BE"/>
    <w:rsid w:val="00AE00E1"/>
    <w:rsid w:val="00AE1259"/>
    <w:rsid w:val="00AF33EA"/>
    <w:rsid w:val="00B0285A"/>
    <w:rsid w:val="00B23EFF"/>
    <w:rsid w:val="00B27BD7"/>
    <w:rsid w:val="00B30BB8"/>
    <w:rsid w:val="00B42D75"/>
    <w:rsid w:val="00B43098"/>
    <w:rsid w:val="00B459B4"/>
    <w:rsid w:val="00B45FE3"/>
    <w:rsid w:val="00B46BDD"/>
    <w:rsid w:val="00B506A4"/>
    <w:rsid w:val="00B54BE5"/>
    <w:rsid w:val="00B61F44"/>
    <w:rsid w:val="00B66534"/>
    <w:rsid w:val="00B71714"/>
    <w:rsid w:val="00B76E30"/>
    <w:rsid w:val="00B85405"/>
    <w:rsid w:val="00B940AE"/>
    <w:rsid w:val="00B94147"/>
    <w:rsid w:val="00B954DE"/>
    <w:rsid w:val="00BA007A"/>
    <w:rsid w:val="00BA19AE"/>
    <w:rsid w:val="00BA3B7A"/>
    <w:rsid w:val="00BA611C"/>
    <w:rsid w:val="00BB3A04"/>
    <w:rsid w:val="00BB3A31"/>
    <w:rsid w:val="00BB3EF5"/>
    <w:rsid w:val="00BB4449"/>
    <w:rsid w:val="00BB57C8"/>
    <w:rsid w:val="00BB5B47"/>
    <w:rsid w:val="00BB5F8F"/>
    <w:rsid w:val="00BC403B"/>
    <w:rsid w:val="00BC512C"/>
    <w:rsid w:val="00BD352B"/>
    <w:rsid w:val="00BD739E"/>
    <w:rsid w:val="00BE39AE"/>
    <w:rsid w:val="00BF3A44"/>
    <w:rsid w:val="00BF5580"/>
    <w:rsid w:val="00C05558"/>
    <w:rsid w:val="00C062C9"/>
    <w:rsid w:val="00C11832"/>
    <w:rsid w:val="00C17FF0"/>
    <w:rsid w:val="00C23EEC"/>
    <w:rsid w:val="00C263B4"/>
    <w:rsid w:val="00C269A6"/>
    <w:rsid w:val="00C30CDE"/>
    <w:rsid w:val="00C317AD"/>
    <w:rsid w:val="00C32ADA"/>
    <w:rsid w:val="00C32AE9"/>
    <w:rsid w:val="00C51158"/>
    <w:rsid w:val="00C5236C"/>
    <w:rsid w:val="00C575CA"/>
    <w:rsid w:val="00C6068D"/>
    <w:rsid w:val="00C62E12"/>
    <w:rsid w:val="00C6332D"/>
    <w:rsid w:val="00C63A07"/>
    <w:rsid w:val="00C63ABC"/>
    <w:rsid w:val="00C63D8B"/>
    <w:rsid w:val="00C84725"/>
    <w:rsid w:val="00C878A7"/>
    <w:rsid w:val="00C90543"/>
    <w:rsid w:val="00C95DE4"/>
    <w:rsid w:val="00C9616C"/>
    <w:rsid w:val="00C977B7"/>
    <w:rsid w:val="00CB481D"/>
    <w:rsid w:val="00CB662C"/>
    <w:rsid w:val="00CB6633"/>
    <w:rsid w:val="00CC0C30"/>
    <w:rsid w:val="00CC1D5D"/>
    <w:rsid w:val="00CC253C"/>
    <w:rsid w:val="00CC2AEE"/>
    <w:rsid w:val="00CC7CDB"/>
    <w:rsid w:val="00CD749E"/>
    <w:rsid w:val="00CD760A"/>
    <w:rsid w:val="00CD76D1"/>
    <w:rsid w:val="00CE0F05"/>
    <w:rsid w:val="00CE550B"/>
    <w:rsid w:val="00CE5A20"/>
    <w:rsid w:val="00CF1274"/>
    <w:rsid w:val="00CF62EB"/>
    <w:rsid w:val="00CF6994"/>
    <w:rsid w:val="00D00609"/>
    <w:rsid w:val="00D0688F"/>
    <w:rsid w:val="00D06B4B"/>
    <w:rsid w:val="00D07E53"/>
    <w:rsid w:val="00D105D9"/>
    <w:rsid w:val="00D17DE9"/>
    <w:rsid w:val="00D23346"/>
    <w:rsid w:val="00D26EED"/>
    <w:rsid w:val="00D31A18"/>
    <w:rsid w:val="00D3653D"/>
    <w:rsid w:val="00D40D6C"/>
    <w:rsid w:val="00D41D79"/>
    <w:rsid w:val="00D4364B"/>
    <w:rsid w:val="00D46BAE"/>
    <w:rsid w:val="00D51509"/>
    <w:rsid w:val="00D53609"/>
    <w:rsid w:val="00D5614C"/>
    <w:rsid w:val="00D64869"/>
    <w:rsid w:val="00D67C77"/>
    <w:rsid w:val="00D7344C"/>
    <w:rsid w:val="00D746A9"/>
    <w:rsid w:val="00D74C65"/>
    <w:rsid w:val="00D758CB"/>
    <w:rsid w:val="00D76DB5"/>
    <w:rsid w:val="00D77718"/>
    <w:rsid w:val="00D82BE9"/>
    <w:rsid w:val="00D87806"/>
    <w:rsid w:val="00D9132B"/>
    <w:rsid w:val="00D93B27"/>
    <w:rsid w:val="00D9412A"/>
    <w:rsid w:val="00D94933"/>
    <w:rsid w:val="00D9641E"/>
    <w:rsid w:val="00D9779D"/>
    <w:rsid w:val="00DA31BD"/>
    <w:rsid w:val="00DA61FB"/>
    <w:rsid w:val="00DB1056"/>
    <w:rsid w:val="00DB575E"/>
    <w:rsid w:val="00DC2383"/>
    <w:rsid w:val="00DC40A2"/>
    <w:rsid w:val="00DC42DD"/>
    <w:rsid w:val="00DD032C"/>
    <w:rsid w:val="00DD0883"/>
    <w:rsid w:val="00DD7F85"/>
    <w:rsid w:val="00DE4B06"/>
    <w:rsid w:val="00DF2BEC"/>
    <w:rsid w:val="00DF6988"/>
    <w:rsid w:val="00E0080A"/>
    <w:rsid w:val="00E00CEE"/>
    <w:rsid w:val="00E00D45"/>
    <w:rsid w:val="00E046E8"/>
    <w:rsid w:val="00E04A88"/>
    <w:rsid w:val="00E059D3"/>
    <w:rsid w:val="00E05C0E"/>
    <w:rsid w:val="00E13619"/>
    <w:rsid w:val="00E14DF2"/>
    <w:rsid w:val="00E17318"/>
    <w:rsid w:val="00E24D83"/>
    <w:rsid w:val="00E2511A"/>
    <w:rsid w:val="00E273EF"/>
    <w:rsid w:val="00E30C7F"/>
    <w:rsid w:val="00E34F67"/>
    <w:rsid w:val="00E357A9"/>
    <w:rsid w:val="00E36B5F"/>
    <w:rsid w:val="00E37A6C"/>
    <w:rsid w:val="00E40AC4"/>
    <w:rsid w:val="00E40EBE"/>
    <w:rsid w:val="00E47327"/>
    <w:rsid w:val="00E51F31"/>
    <w:rsid w:val="00E526E0"/>
    <w:rsid w:val="00E563EF"/>
    <w:rsid w:val="00E57D0B"/>
    <w:rsid w:val="00E62C75"/>
    <w:rsid w:val="00E63B59"/>
    <w:rsid w:val="00E6614E"/>
    <w:rsid w:val="00E70161"/>
    <w:rsid w:val="00E70326"/>
    <w:rsid w:val="00E70C67"/>
    <w:rsid w:val="00E80014"/>
    <w:rsid w:val="00E90D33"/>
    <w:rsid w:val="00E91081"/>
    <w:rsid w:val="00E96EDB"/>
    <w:rsid w:val="00EA06D1"/>
    <w:rsid w:val="00EA1F17"/>
    <w:rsid w:val="00EC50BF"/>
    <w:rsid w:val="00ED1114"/>
    <w:rsid w:val="00ED1EA9"/>
    <w:rsid w:val="00EE1FCD"/>
    <w:rsid w:val="00EE7816"/>
    <w:rsid w:val="00EF3074"/>
    <w:rsid w:val="00EF6A3D"/>
    <w:rsid w:val="00F0036D"/>
    <w:rsid w:val="00F017DC"/>
    <w:rsid w:val="00F043F8"/>
    <w:rsid w:val="00F06F00"/>
    <w:rsid w:val="00F14B8F"/>
    <w:rsid w:val="00F234D5"/>
    <w:rsid w:val="00F33265"/>
    <w:rsid w:val="00F358E9"/>
    <w:rsid w:val="00F43E03"/>
    <w:rsid w:val="00F463A2"/>
    <w:rsid w:val="00F519EA"/>
    <w:rsid w:val="00F5304A"/>
    <w:rsid w:val="00F539E6"/>
    <w:rsid w:val="00F53D10"/>
    <w:rsid w:val="00F55D5B"/>
    <w:rsid w:val="00F629FD"/>
    <w:rsid w:val="00F6418E"/>
    <w:rsid w:val="00F74D62"/>
    <w:rsid w:val="00F74F23"/>
    <w:rsid w:val="00F751FC"/>
    <w:rsid w:val="00F76249"/>
    <w:rsid w:val="00F85EBD"/>
    <w:rsid w:val="00F86BBF"/>
    <w:rsid w:val="00F9324A"/>
    <w:rsid w:val="00F956DB"/>
    <w:rsid w:val="00FA0B15"/>
    <w:rsid w:val="00FA1E3B"/>
    <w:rsid w:val="00FA4024"/>
    <w:rsid w:val="00FA70FB"/>
    <w:rsid w:val="00FB0890"/>
    <w:rsid w:val="00FB64F8"/>
    <w:rsid w:val="00FE39BF"/>
    <w:rsid w:val="00FE4C05"/>
    <w:rsid w:val="00FF0281"/>
    <w:rsid w:val="00FF0DAA"/>
    <w:rsid w:val="00FF0F19"/>
    <w:rsid w:val="00FF1787"/>
    <w:rsid w:val="00FF1D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565BCE"/>
  <w15:docId w15:val="{4C4EBCAC-B719-4DFD-BB80-1761070A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1D8"/>
    <w:rPr>
      <w:sz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rsid w:val="00275D87"/>
    <w:rPr>
      <w:sz w:val="20"/>
    </w:rPr>
  </w:style>
  <w:style w:type="character" w:customStyle="1" w:styleId="CommentTextChar">
    <w:name w:val="Comment Text Char"/>
    <w:basedOn w:val="DefaultParagraphFont"/>
    <w:link w:val="CommentText"/>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paragraph" w:styleId="Header">
    <w:name w:val="header"/>
    <w:basedOn w:val="Normal"/>
    <w:link w:val="HeaderChar"/>
    <w:rsid w:val="00854E48"/>
    <w:pPr>
      <w:tabs>
        <w:tab w:val="center" w:pos="4513"/>
        <w:tab w:val="right" w:pos="9026"/>
      </w:tabs>
    </w:pPr>
  </w:style>
  <w:style w:type="character" w:customStyle="1" w:styleId="HeaderChar">
    <w:name w:val="Header Char"/>
    <w:basedOn w:val="DefaultParagraphFont"/>
    <w:link w:val="Header"/>
    <w:rsid w:val="00854E48"/>
    <w:rPr>
      <w:sz w:val="24"/>
    </w:rPr>
  </w:style>
  <w:style w:type="paragraph" w:styleId="Footer">
    <w:name w:val="footer"/>
    <w:basedOn w:val="Normal"/>
    <w:link w:val="FooterChar"/>
    <w:uiPriority w:val="99"/>
    <w:rsid w:val="00854E48"/>
    <w:pPr>
      <w:tabs>
        <w:tab w:val="center" w:pos="4513"/>
        <w:tab w:val="right" w:pos="9026"/>
      </w:tabs>
    </w:pPr>
  </w:style>
  <w:style w:type="character" w:customStyle="1" w:styleId="FooterChar">
    <w:name w:val="Footer Char"/>
    <w:basedOn w:val="DefaultParagraphFont"/>
    <w:link w:val="Footer"/>
    <w:uiPriority w:val="99"/>
    <w:rsid w:val="00854E48"/>
    <w:rPr>
      <w:sz w:val="24"/>
    </w:rPr>
  </w:style>
  <w:style w:type="character" w:customStyle="1" w:styleId="apple-tab-span">
    <w:name w:val="apple-tab-span"/>
    <w:basedOn w:val="DefaultParagraphFont"/>
    <w:rsid w:val="00EF6A3D"/>
  </w:style>
  <w:style w:type="table" w:styleId="TableGrid">
    <w:name w:val="Table Grid"/>
    <w:basedOn w:val="TableNormal"/>
    <w:uiPriority w:val="39"/>
    <w:rsid w:val="00EF6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emiHidden/>
    <w:unhideWhenUsed/>
    <w:rsid w:val="00290B3A"/>
  </w:style>
  <w:style w:type="paragraph" w:styleId="Revision">
    <w:name w:val="Revision"/>
    <w:hidden/>
    <w:uiPriority w:val="99"/>
    <w:semiHidden/>
    <w:rsid w:val="004D331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07549">
      <w:bodyDiv w:val="1"/>
      <w:marLeft w:val="0"/>
      <w:marRight w:val="0"/>
      <w:marTop w:val="0"/>
      <w:marBottom w:val="0"/>
      <w:divBdr>
        <w:top w:val="none" w:sz="0" w:space="0" w:color="auto"/>
        <w:left w:val="none" w:sz="0" w:space="0" w:color="auto"/>
        <w:bottom w:val="none" w:sz="0" w:space="0" w:color="auto"/>
        <w:right w:val="none" w:sz="0" w:space="0" w:color="auto"/>
      </w:divBdr>
      <w:divsChild>
        <w:div w:id="219632853">
          <w:marLeft w:val="0"/>
          <w:marRight w:val="0"/>
          <w:marTop w:val="0"/>
          <w:marBottom w:val="0"/>
          <w:divBdr>
            <w:top w:val="none" w:sz="0" w:space="0" w:color="auto"/>
            <w:left w:val="none" w:sz="0" w:space="0" w:color="auto"/>
            <w:bottom w:val="none" w:sz="0" w:space="0" w:color="auto"/>
            <w:right w:val="none" w:sz="0" w:space="0" w:color="auto"/>
          </w:divBdr>
          <w:divsChild>
            <w:div w:id="1249146702">
              <w:marLeft w:val="0"/>
              <w:marRight w:val="0"/>
              <w:marTop w:val="0"/>
              <w:marBottom w:val="240"/>
              <w:divBdr>
                <w:top w:val="none" w:sz="0" w:space="0" w:color="auto"/>
                <w:left w:val="none" w:sz="0" w:space="0" w:color="auto"/>
                <w:bottom w:val="none" w:sz="0" w:space="0" w:color="auto"/>
                <w:right w:val="none" w:sz="0" w:space="0" w:color="auto"/>
              </w:divBdr>
              <w:divsChild>
                <w:div w:id="789740197">
                  <w:marLeft w:val="360"/>
                  <w:marRight w:val="96"/>
                  <w:marTop w:val="0"/>
                  <w:marBottom w:val="0"/>
                  <w:divBdr>
                    <w:top w:val="none" w:sz="0" w:space="0" w:color="auto"/>
                    <w:left w:val="none" w:sz="0" w:space="0" w:color="auto"/>
                    <w:bottom w:val="none" w:sz="0" w:space="0" w:color="auto"/>
                    <w:right w:val="none" w:sz="0" w:space="0" w:color="auto"/>
                  </w:divBdr>
                </w:div>
              </w:divsChild>
            </w:div>
            <w:div w:id="1668246012">
              <w:marLeft w:val="0"/>
              <w:marRight w:val="0"/>
              <w:marTop w:val="0"/>
              <w:marBottom w:val="0"/>
              <w:divBdr>
                <w:top w:val="none" w:sz="0" w:space="0" w:color="auto"/>
                <w:left w:val="none" w:sz="0" w:space="0" w:color="auto"/>
                <w:bottom w:val="none" w:sz="0" w:space="0" w:color="auto"/>
                <w:right w:val="none" w:sz="0" w:space="0" w:color="auto"/>
              </w:divBdr>
              <w:divsChild>
                <w:div w:id="4727180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713000299">
      <w:bodyDiv w:val="1"/>
      <w:marLeft w:val="0"/>
      <w:marRight w:val="0"/>
      <w:marTop w:val="0"/>
      <w:marBottom w:val="0"/>
      <w:divBdr>
        <w:top w:val="none" w:sz="0" w:space="0" w:color="auto"/>
        <w:left w:val="none" w:sz="0" w:space="0" w:color="auto"/>
        <w:bottom w:val="none" w:sz="0" w:space="0" w:color="auto"/>
        <w:right w:val="none" w:sz="0" w:space="0" w:color="auto"/>
      </w:divBdr>
      <w:divsChild>
        <w:div w:id="637153056">
          <w:marLeft w:val="0"/>
          <w:marRight w:val="0"/>
          <w:marTop w:val="0"/>
          <w:marBottom w:val="0"/>
          <w:divBdr>
            <w:top w:val="none" w:sz="0" w:space="0" w:color="auto"/>
            <w:left w:val="none" w:sz="0" w:space="0" w:color="auto"/>
            <w:bottom w:val="none" w:sz="0" w:space="0" w:color="auto"/>
            <w:right w:val="none" w:sz="0" w:space="0" w:color="auto"/>
          </w:divBdr>
          <w:divsChild>
            <w:div w:id="213590142">
              <w:marLeft w:val="0"/>
              <w:marRight w:val="0"/>
              <w:marTop w:val="0"/>
              <w:marBottom w:val="0"/>
              <w:divBdr>
                <w:top w:val="none" w:sz="0" w:space="0" w:color="auto"/>
                <w:left w:val="none" w:sz="0" w:space="0" w:color="auto"/>
                <w:bottom w:val="none" w:sz="0" w:space="0" w:color="auto"/>
                <w:right w:val="none" w:sz="0" w:space="0" w:color="auto"/>
              </w:divBdr>
              <w:divsChild>
                <w:div w:id="3972853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ucngisd.org/gisd/"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39298-DA14-4780-9488-CFBF38F8F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RSPB_template.dot</Template>
  <TotalTime>4665</TotalTime>
  <Pages>22</Pages>
  <Words>7706</Words>
  <Characters>43925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51528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Andrew Tanentzap</cp:lastModifiedBy>
  <cp:revision>32</cp:revision>
  <cp:lastPrinted>1900-01-01T00:00:00Z</cp:lastPrinted>
  <dcterms:created xsi:type="dcterms:W3CDTF">2018-08-08T07:49:00Z</dcterms:created>
  <dcterms:modified xsi:type="dcterms:W3CDTF">2018-09-13T08:36:00Z</dcterms:modified>
</cp:coreProperties>
</file>