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C70F" w14:textId="77777777" w:rsidR="008C6280" w:rsidRDefault="008C6280" w:rsidP="00822349">
      <w:r>
        <w:t>TITLE PAGE</w:t>
      </w:r>
    </w:p>
    <w:p w14:paraId="48CBB5B7" w14:textId="77777777" w:rsidR="008C6280" w:rsidRDefault="008C6280" w:rsidP="00822349"/>
    <w:p w14:paraId="6EF0F0F0" w14:textId="5B86432B" w:rsidR="009A5FA2" w:rsidRDefault="009A5FA2" w:rsidP="00822349">
      <w:r>
        <w:t>Feasibility studies, clinical trials and multicentre collaboration</w:t>
      </w:r>
    </w:p>
    <w:p w14:paraId="3CC2E0C0" w14:textId="77777777" w:rsidR="008427D0" w:rsidRDefault="008427D0" w:rsidP="00822349"/>
    <w:p w14:paraId="4D103038" w14:textId="77777777" w:rsidR="009A5FA2" w:rsidRDefault="009A5FA2" w:rsidP="00822349">
      <w:pPr>
        <w:rPr>
          <w:rFonts w:eastAsia="Times New Roman"/>
        </w:rPr>
      </w:pPr>
    </w:p>
    <w:p w14:paraId="385583E6" w14:textId="3B3CFE79" w:rsidR="00C52319" w:rsidRDefault="00C52319" w:rsidP="00822349">
      <w:pPr>
        <w:rPr>
          <w:rFonts w:eastAsia="Times New Roman"/>
        </w:rPr>
      </w:pPr>
      <w:r w:rsidRPr="00C52319">
        <w:rPr>
          <w:rFonts w:eastAsia="Times New Roman"/>
        </w:rPr>
        <w:t xml:space="preserve">Carole </w:t>
      </w:r>
      <w:r>
        <w:rPr>
          <w:rFonts w:eastAsia="Times New Roman"/>
        </w:rPr>
        <w:t xml:space="preserve">L </w:t>
      </w:r>
      <w:r w:rsidRPr="00C52319">
        <w:rPr>
          <w:rFonts w:eastAsia="Times New Roman"/>
        </w:rPr>
        <w:t>Turner,</w:t>
      </w:r>
      <w:r w:rsidR="008C6280">
        <w:rPr>
          <w:rFonts w:eastAsia="Times New Roman"/>
        </w:rPr>
        <w:t xml:space="preserve"> </w:t>
      </w:r>
      <w:r w:rsidRPr="00C52319">
        <w:rPr>
          <w:rFonts w:eastAsia="Times New Roman"/>
        </w:rPr>
        <w:t xml:space="preserve">Angelos </w:t>
      </w:r>
      <w:r>
        <w:rPr>
          <w:rFonts w:eastAsia="Times New Roman"/>
        </w:rPr>
        <w:t xml:space="preserve">G </w:t>
      </w:r>
      <w:r w:rsidRPr="00C52319">
        <w:rPr>
          <w:rFonts w:eastAsia="Times New Roman"/>
        </w:rPr>
        <w:t xml:space="preserve">Kolias, Peter </w:t>
      </w:r>
      <w:r>
        <w:rPr>
          <w:rFonts w:eastAsia="Times New Roman"/>
        </w:rPr>
        <w:t xml:space="preserve">J </w:t>
      </w:r>
      <w:r w:rsidRPr="00C52319">
        <w:rPr>
          <w:rFonts w:eastAsia="Times New Roman"/>
        </w:rPr>
        <w:t>Hutchinson</w:t>
      </w:r>
    </w:p>
    <w:p w14:paraId="181F5F8B" w14:textId="77777777" w:rsidR="00C52319" w:rsidRDefault="00C52319" w:rsidP="00822349">
      <w:pPr>
        <w:rPr>
          <w:rFonts w:eastAsia="Times New Roman"/>
        </w:rPr>
      </w:pPr>
    </w:p>
    <w:p w14:paraId="5B5E177F" w14:textId="6305900B" w:rsidR="00C52319" w:rsidRDefault="00C52319" w:rsidP="00822349">
      <w:pPr>
        <w:rPr>
          <w:rFonts w:eastAsia="Times New Roman"/>
        </w:rPr>
      </w:pPr>
      <w:r>
        <w:rPr>
          <w:rFonts w:eastAsia="Times New Roman"/>
        </w:rPr>
        <w:t xml:space="preserve">Division of Neurosurgery, </w:t>
      </w:r>
      <w:r w:rsidR="008C6280">
        <w:rPr>
          <w:rFonts w:eastAsia="Times New Roman"/>
        </w:rPr>
        <w:t>Universi</w:t>
      </w:r>
      <w:r>
        <w:rPr>
          <w:rFonts w:eastAsia="Times New Roman"/>
        </w:rPr>
        <w:t>ty of Cambridge, Cambridge, UK</w:t>
      </w:r>
    </w:p>
    <w:p w14:paraId="10275C0E" w14:textId="77777777" w:rsidR="00C52319" w:rsidRDefault="00C52319" w:rsidP="00822349">
      <w:pPr>
        <w:rPr>
          <w:rFonts w:eastAsia="Times New Roman"/>
        </w:rPr>
      </w:pPr>
    </w:p>
    <w:p w14:paraId="3FFFD249" w14:textId="6773E9C2" w:rsidR="00C52319" w:rsidRDefault="00C52319" w:rsidP="00822349">
      <w:pPr>
        <w:rPr>
          <w:rFonts w:eastAsia="Times New Roman"/>
        </w:rPr>
      </w:pPr>
      <w:r>
        <w:rPr>
          <w:rFonts w:eastAsia="Times New Roman"/>
        </w:rPr>
        <w:t>Co</w:t>
      </w:r>
      <w:r w:rsidR="008C6280">
        <w:rPr>
          <w:rFonts w:eastAsia="Times New Roman"/>
        </w:rPr>
        <w:t>rrespondi</w:t>
      </w:r>
      <w:r>
        <w:rPr>
          <w:rFonts w:eastAsia="Times New Roman"/>
        </w:rPr>
        <w:t>ng Author</w:t>
      </w:r>
      <w:r w:rsidR="008C6280">
        <w:rPr>
          <w:rFonts w:eastAsia="Times New Roman"/>
        </w:rPr>
        <w:t>:</w:t>
      </w:r>
    </w:p>
    <w:p w14:paraId="473098A1" w14:textId="77777777" w:rsidR="00C52319" w:rsidRDefault="00C52319" w:rsidP="00822349">
      <w:pPr>
        <w:rPr>
          <w:rFonts w:eastAsia="Times New Roman"/>
        </w:rPr>
      </w:pPr>
    </w:p>
    <w:p w14:paraId="10230243" w14:textId="77777777" w:rsidR="00C52319" w:rsidRDefault="00C52319" w:rsidP="00822349">
      <w:pPr>
        <w:rPr>
          <w:rFonts w:eastAsia="Times New Roman"/>
        </w:rPr>
      </w:pPr>
      <w:r>
        <w:rPr>
          <w:rFonts w:eastAsia="Times New Roman"/>
        </w:rPr>
        <w:t>Carole L Turner</w:t>
      </w:r>
    </w:p>
    <w:p w14:paraId="1879031C" w14:textId="77777777" w:rsidR="00C52319" w:rsidRDefault="00C52319" w:rsidP="00822349">
      <w:pPr>
        <w:rPr>
          <w:rFonts w:eastAsia="Times New Roman"/>
        </w:rPr>
      </w:pPr>
      <w:r>
        <w:rPr>
          <w:rFonts w:eastAsia="Times New Roman"/>
        </w:rPr>
        <w:t>Division of Neurosurgery</w:t>
      </w:r>
    </w:p>
    <w:p w14:paraId="375C58F8" w14:textId="77777777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Box 167</w:t>
      </w:r>
    </w:p>
    <w:p w14:paraId="3210B67C" w14:textId="1501FC6D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University of Cambridge</w:t>
      </w:r>
    </w:p>
    <w:p w14:paraId="3A916901" w14:textId="77777777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Cambridge Biomedical Campus</w:t>
      </w:r>
    </w:p>
    <w:p w14:paraId="0A449027" w14:textId="77777777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Cambridge</w:t>
      </w:r>
    </w:p>
    <w:p w14:paraId="083D95FA" w14:textId="77777777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CB2 0QQ</w:t>
      </w:r>
    </w:p>
    <w:p w14:paraId="08B7967C" w14:textId="77777777" w:rsidR="004508E5" w:rsidRDefault="004508E5" w:rsidP="00822349">
      <w:pPr>
        <w:rPr>
          <w:rFonts w:eastAsia="Times New Roman"/>
        </w:rPr>
      </w:pPr>
    </w:p>
    <w:p w14:paraId="2116A4B5" w14:textId="18D8C712" w:rsidR="004508E5" w:rsidRDefault="004508E5" w:rsidP="00822349">
      <w:pPr>
        <w:rPr>
          <w:rFonts w:eastAsia="Times New Roman"/>
        </w:rPr>
      </w:pPr>
      <w:hyperlink r:id="rId6" w:history="1">
        <w:r w:rsidRPr="004508E5">
          <w:rPr>
            <w:rStyle w:val="Hyperlink"/>
            <w:rFonts w:eastAsia="Times New Roman"/>
          </w:rPr>
          <w:t>clt29@medschl.cam.ac.uk</w:t>
        </w:r>
      </w:hyperlink>
    </w:p>
    <w:p w14:paraId="4F59B450" w14:textId="77777777" w:rsidR="004508E5" w:rsidRDefault="004508E5" w:rsidP="00822349">
      <w:pPr>
        <w:rPr>
          <w:rFonts w:eastAsia="Times New Roman"/>
        </w:rPr>
      </w:pPr>
    </w:p>
    <w:p w14:paraId="1A0D986F" w14:textId="77777777" w:rsidR="004508E5" w:rsidRDefault="004508E5" w:rsidP="00822349">
      <w:pPr>
        <w:rPr>
          <w:rFonts w:eastAsia="Times New Roman"/>
        </w:rPr>
      </w:pPr>
      <w:r>
        <w:rPr>
          <w:rFonts w:eastAsia="Times New Roman"/>
        </w:rPr>
        <w:t>Tel: +44 (0)1223 217205</w:t>
      </w:r>
    </w:p>
    <w:p w14:paraId="6166D0E5" w14:textId="083DB271" w:rsidR="00C52319" w:rsidRDefault="004508E5" w:rsidP="00822349">
      <w:pPr>
        <w:rPr>
          <w:rFonts w:eastAsia="Times New Roman"/>
        </w:rPr>
      </w:pPr>
      <w:r>
        <w:rPr>
          <w:rFonts w:eastAsia="Times New Roman"/>
        </w:rPr>
        <w:t>Fax: +44 (0)1223 216926</w:t>
      </w:r>
      <w:r w:rsidR="00C52319">
        <w:rPr>
          <w:rFonts w:eastAsia="Times New Roman"/>
        </w:rPr>
        <w:br w:type="page"/>
      </w:r>
    </w:p>
    <w:p w14:paraId="0711B70C" w14:textId="7F90645A" w:rsidR="00995C4D" w:rsidRDefault="00995C4D" w:rsidP="00822349">
      <w:pPr>
        <w:rPr>
          <w:rFonts w:eastAsia="Times New Roman"/>
        </w:rPr>
      </w:pPr>
      <w:r>
        <w:rPr>
          <w:rFonts w:eastAsia="Times New Roman"/>
        </w:rPr>
        <w:lastRenderedPageBreak/>
        <w:t>Dear Editor</w:t>
      </w:r>
    </w:p>
    <w:p w14:paraId="4020B77C" w14:textId="77777777" w:rsidR="00995C4D" w:rsidRDefault="00995C4D" w:rsidP="00822349">
      <w:pPr>
        <w:rPr>
          <w:rFonts w:eastAsia="Times New Roman"/>
        </w:rPr>
      </w:pPr>
    </w:p>
    <w:p w14:paraId="2BABEE72" w14:textId="466EFCB3" w:rsidR="00925567" w:rsidRDefault="00822349" w:rsidP="00822349">
      <w:pPr>
        <w:rPr>
          <w:rFonts w:eastAsia="Times New Roman"/>
        </w:rPr>
      </w:pPr>
      <w:r>
        <w:rPr>
          <w:rFonts w:eastAsia="Times New Roman"/>
        </w:rPr>
        <w:t>The COXIBRAIN study published in the September issue of Acta Neurochirurgica</w:t>
      </w:r>
      <w:r w:rsidR="0066544A">
        <w:rPr>
          <w:rFonts w:eastAsia="Times New Roman"/>
        </w:rPr>
        <w:t xml:space="preserve"> [5]</w:t>
      </w:r>
      <w:r w:rsidR="00D55F42">
        <w:rPr>
          <w:rFonts w:eastAsia="Times New Roman"/>
        </w:rPr>
        <w:t xml:space="preserve"> </w:t>
      </w:r>
      <w:r w:rsidR="00D84EF9">
        <w:rPr>
          <w:rFonts w:eastAsia="Times New Roman"/>
        </w:rPr>
        <w:t xml:space="preserve">was designed to determine the effects of a selective COX-2 inhibitor (Celecoxib) on the recurrence rate of chronic subdural </w:t>
      </w:r>
      <w:r w:rsidR="00E27ECC">
        <w:rPr>
          <w:rFonts w:eastAsia="Times New Roman"/>
        </w:rPr>
        <w:t>haematomas</w:t>
      </w:r>
      <w:r w:rsidR="00D84EF9">
        <w:rPr>
          <w:rFonts w:eastAsia="Times New Roman"/>
        </w:rPr>
        <w:t>. U</w:t>
      </w:r>
      <w:r w:rsidR="00D55F42">
        <w:rPr>
          <w:rFonts w:eastAsia="Times New Roman"/>
        </w:rPr>
        <w:t>nfortunately</w:t>
      </w:r>
      <w:r w:rsidR="00A039C7">
        <w:rPr>
          <w:rFonts w:eastAsia="Times New Roman"/>
        </w:rPr>
        <w:t>, despite a good design,</w:t>
      </w:r>
      <w:r w:rsidR="00D84EF9">
        <w:rPr>
          <w:rFonts w:eastAsia="Times New Roman"/>
        </w:rPr>
        <w:t xml:space="preserve"> it was </w:t>
      </w:r>
      <w:r w:rsidR="00D55F42">
        <w:rPr>
          <w:rFonts w:eastAsia="Times New Roman"/>
        </w:rPr>
        <w:t>terminated prematurely, due to low recruitment</w:t>
      </w:r>
      <w:r w:rsidR="00925567">
        <w:rPr>
          <w:rFonts w:eastAsia="Times New Roman"/>
        </w:rPr>
        <w:t xml:space="preserve">. </w:t>
      </w:r>
      <w:r w:rsidR="00D55F42">
        <w:rPr>
          <w:rFonts w:eastAsia="Times New Roman"/>
        </w:rPr>
        <w:t>Despite the relative common occurrence of chronic subdural ha</w:t>
      </w:r>
      <w:r w:rsidR="00E302CA">
        <w:rPr>
          <w:rFonts w:eastAsia="Times New Roman"/>
        </w:rPr>
        <w:t>e</w:t>
      </w:r>
      <w:r w:rsidR="00D55F42">
        <w:rPr>
          <w:rFonts w:eastAsia="Times New Roman"/>
        </w:rPr>
        <w:t xml:space="preserve">matoma, the COXIBRAIN study </w:t>
      </w:r>
      <w:r w:rsidR="00F56FD1">
        <w:rPr>
          <w:rFonts w:eastAsia="Times New Roman"/>
        </w:rPr>
        <w:t xml:space="preserve">only managed </w:t>
      </w:r>
      <w:r w:rsidR="00A56692">
        <w:rPr>
          <w:rFonts w:eastAsia="Times New Roman"/>
        </w:rPr>
        <w:t>to enrol 23 patients despite screening 246 (9.4%)</w:t>
      </w:r>
      <w:r w:rsidR="00A47A4F">
        <w:rPr>
          <w:rFonts w:eastAsia="Times New Roman"/>
        </w:rPr>
        <w:t>.</w:t>
      </w:r>
      <w:r w:rsidR="00A56692">
        <w:rPr>
          <w:rFonts w:eastAsia="Times New Roman"/>
        </w:rPr>
        <w:t xml:space="preserve"> The major cause for the low enrolment was </w:t>
      </w:r>
      <w:r w:rsidR="00CA6485">
        <w:rPr>
          <w:rFonts w:eastAsia="Times New Roman"/>
        </w:rPr>
        <w:t>due to</w:t>
      </w:r>
      <w:r w:rsidR="00A56692">
        <w:rPr>
          <w:rFonts w:eastAsia="Times New Roman"/>
        </w:rPr>
        <w:t xml:space="preserve"> contraindications to selective COX-2 inhibition and contra-indicated pre-existing therapy</w:t>
      </w:r>
      <w:r w:rsidR="00F56FD1">
        <w:rPr>
          <w:rFonts w:eastAsia="Times New Roman"/>
        </w:rPr>
        <w:t xml:space="preserve">. </w:t>
      </w:r>
      <w:r w:rsidR="00CA6485">
        <w:rPr>
          <w:rFonts w:eastAsia="Times New Roman"/>
        </w:rPr>
        <w:t>Of note a</w:t>
      </w:r>
      <w:r w:rsidR="00925567">
        <w:rPr>
          <w:rFonts w:eastAsia="Times New Roman"/>
        </w:rPr>
        <w:t xml:space="preserve"> neurosurgical trial </w:t>
      </w:r>
      <w:r w:rsidR="00925567">
        <w:t>comparing early surgery versus initial conservative treatment in patients with traumatic intracerebral haemorrhage</w:t>
      </w:r>
      <w:r w:rsidR="00925567" w:rsidRPr="00147298">
        <w:rPr>
          <w:rFonts w:eastAsia="Times New Roman"/>
        </w:rPr>
        <w:t xml:space="preserve"> </w:t>
      </w:r>
      <w:r w:rsidR="00925567">
        <w:rPr>
          <w:rFonts w:eastAsia="Times New Roman"/>
        </w:rPr>
        <w:t>(STITCH)</w:t>
      </w:r>
      <w:r w:rsidR="0066544A">
        <w:rPr>
          <w:rFonts w:eastAsia="Times New Roman"/>
        </w:rPr>
        <w:t xml:space="preserve"> [4]</w:t>
      </w:r>
      <w:r w:rsidR="00925567">
        <w:t xml:space="preserve">, </w:t>
      </w:r>
      <w:r w:rsidR="00925567">
        <w:rPr>
          <w:rFonts w:eastAsia="Times New Roman"/>
        </w:rPr>
        <w:t xml:space="preserve">published in 2015, was also terminated early; although overall recruitment was progressing well, insufficient participants </w:t>
      </w:r>
      <w:r w:rsidR="00CA6485">
        <w:rPr>
          <w:rFonts w:eastAsia="Times New Roman"/>
        </w:rPr>
        <w:t xml:space="preserve">were </w:t>
      </w:r>
      <w:r w:rsidR="00925567">
        <w:rPr>
          <w:rFonts w:eastAsia="Times New Roman"/>
        </w:rPr>
        <w:t>recruited from UK sites (6 out of 170).</w:t>
      </w:r>
    </w:p>
    <w:p w14:paraId="7DE74601" w14:textId="77777777" w:rsidR="00925567" w:rsidRDefault="00925567" w:rsidP="00822349">
      <w:pPr>
        <w:rPr>
          <w:rFonts w:eastAsia="Times New Roman"/>
        </w:rPr>
      </w:pPr>
    </w:p>
    <w:p w14:paraId="13768B9E" w14:textId="2AE14BE6" w:rsidR="001429FC" w:rsidRDefault="00925567" w:rsidP="009E1BF8">
      <w:pPr>
        <w:rPr>
          <w:rFonts w:eastAsia="Times New Roman"/>
        </w:rPr>
      </w:pPr>
      <w:r>
        <w:rPr>
          <w:rFonts w:eastAsia="Times New Roman"/>
        </w:rPr>
        <w:t>These findings</w:t>
      </w:r>
      <w:r w:rsidR="00D773AF">
        <w:rPr>
          <w:rFonts w:eastAsia="Times New Roman"/>
        </w:rPr>
        <w:t xml:space="preserve"> emphasise</w:t>
      </w:r>
      <w:r w:rsidR="00A56692">
        <w:rPr>
          <w:rFonts w:eastAsia="Times New Roman"/>
        </w:rPr>
        <w:t xml:space="preserve"> the importance of </w:t>
      </w:r>
      <w:r w:rsidR="00F56FD1">
        <w:rPr>
          <w:rFonts w:eastAsia="Times New Roman"/>
        </w:rPr>
        <w:t xml:space="preserve">performing </w:t>
      </w:r>
      <w:r w:rsidR="00A56692">
        <w:rPr>
          <w:rFonts w:eastAsia="Times New Roman"/>
        </w:rPr>
        <w:t xml:space="preserve">rigorous </w:t>
      </w:r>
      <w:r w:rsidR="00E302CA">
        <w:rPr>
          <w:rFonts w:eastAsia="Times New Roman"/>
        </w:rPr>
        <w:t xml:space="preserve">feasibility and </w:t>
      </w:r>
      <w:r w:rsidR="00A56692">
        <w:rPr>
          <w:rFonts w:eastAsia="Times New Roman"/>
        </w:rPr>
        <w:t>internal pilot studies</w:t>
      </w:r>
      <w:r w:rsidR="00E302CA">
        <w:rPr>
          <w:rFonts w:eastAsia="Times New Roman"/>
        </w:rPr>
        <w:t>, as the accompanying editorial is also pointing out</w:t>
      </w:r>
      <w:r w:rsidR="0066544A">
        <w:rPr>
          <w:rFonts w:eastAsia="Times New Roman"/>
        </w:rPr>
        <w:t xml:space="preserve"> [3]</w:t>
      </w:r>
      <w:r w:rsidR="00A56692">
        <w:rPr>
          <w:rFonts w:eastAsia="Times New Roman"/>
        </w:rPr>
        <w:t xml:space="preserve">. </w:t>
      </w:r>
      <w:r w:rsidR="00CA6485">
        <w:rPr>
          <w:rFonts w:eastAsia="Times New Roman"/>
        </w:rPr>
        <w:t>E</w:t>
      </w:r>
      <w:r w:rsidR="003E3797">
        <w:rPr>
          <w:rFonts w:eastAsia="Times New Roman"/>
        </w:rPr>
        <w:t xml:space="preserve">ngaging </w:t>
      </w:r>
      <w:r w:rsidR="00E302CA">
        <w:rPr>
          <w:rFonts w:eastAsia="Times New Roman"/>
        </w:rPr>
        <w:t xml:space="preserve">neurosurgical trainees </w:t>
      </w:r>
      <w:r w:rsidR="00C2721D">
        <w:rPr>
          <w:rFonts w:eastAsia="Times New Roman"/>
        </w:rPr>
        <w:t>who are spread out in several</w:t>
      </w:r>
      <w:r w:rsidR="00E302CA">
        <w:rPr>
          <w:rFonts w:eastAsia="Times New Roman"/>
        </w:rPr>
        <w:t xml:space="preserve"> units </w:t>
      </w:r>
      <w:r w:rsidR="00A276B3">
        <w:rPr>
          <w:rFonts w:eastAsia="Times New Roman"/>
        </w:rPr>
        <w:t xml:space="preserve">can help studies </w:t>
      </w:r>
      <w:r w:rsidR="000E1C1B">
        <w:rPr>
          <w:rFonts w:eastAsia="Times New Roman"/>
        </w:rPr>
        <w:t>reach their sample size faster and may also facilitate the</w:t>
      </w:r>
      <w:r w:rsidR="00C2721D">
        <w:rPr>
          <w:rFonts w:eastAsia="Times New Roman"/>
        </w:rPr>
        <w:t xml:space="preserve"> assessment of feasibility</w:t>
      </w:r>
      <w:r w:rsidR="000E1C1B">
        <w:rPr>
          <w:rFonts w:eastAsia="Times New Roman"/>
        </w:rPr>
        <w:t xml:space="preserve"> of trials.</w:t>
      </w:r>
      <w:r w:rsidR="009A5FA2">
        <w:rPr>
          <w:rFonts w:eastAsia="Times New Roman"/>
        </w:rPr>
        <w:t xml:space="preserve"> </w:t>
      </w:r>
      <w:r w:rsidR="000E1C1B">
        <w:rPr>
          <w:rFonts w:eastAsia="Times New Roman"/>
        </w:rPr>
        <w:t>For example, in the UK, the British Neurosurgical Trainee Research Collaborative (</w:t>
      </w:r>
      <w:r>
        <w:rPr>
          <w:rFonts w:eastAsia="Times New Roman"/>
        </w:rPr>
        <w:t>BNTRC</w:t>
      </w:r>
      <w:r w:rsidR="000E1C1B">
        <w:rPr>
          <w:rFonts w:eastAsia="Times New Roman"/>
        </w:rPr>
        <w:t>)</w:t>
      </w:r>
      <w:r w:rsidR="0066544A">
        <w:rPr>
          <w:rFonts w:eastAsia="Times New Roman"/>
        </w:rPr>
        <w:t xml:space="preserve"> [</w:t>
      </w:r>
      <w:r w:rsidR="00FE69F5">
        <w:rPr>
          <w:rFonts w:eastAsia="Times New Roman"/>
        </w:rPr>
        <w:t>2</w:t>
      </w:r>
      <w:r w:rsidR="0066544A">
        <w:rPr>
          <w:rFonts w:eastAsia="Times New Roman"/>
        </w:rPr>
        <w:t>]</w:t>
      </w:r>
      <w:r w:rsidR="003E3797">
        <w:rPr>
          <w:rFonts w:eastAsia="Times New Roman"/>
        </w:rPr>
        <w:t xml:space="preserve"> completed a</w:t>
      </w:r>
      <w:r w:rsidR="000E1C1B">
        <w:rPr>
          <w:rFonts w:eastAsia="Times New Roman"/>
        </w:rPr>
        <w:t xml:space="preserve"> prospective observational study</w:t>
      </w:r>
      <w:r w:rsidR="009A5FA2">
        <w:rPr>
          <w:rFonts w:eastAsia="Times New Roman"/>
        </w:rPr>
        <w:t xml:space="preserve"> </w:t>
      </w:r>
      <w:r w:rsidR="003E3797">
        <w:rPr>
          <w:rFonts w:eastAsia="Times New Roman"/>
        </w:rPr>
        <w:t xml:space="preserve">of </w:t>
      </w:r>
      <w:r w:rsidR="000E1C1B">
        <w:rPr>
          <w:rFonts w:eastAsia="Times New Roman"/>
        </w:rPr>
        <w:t>1205</w:t>
      </w:r>
      <w:r w:rsidR="003E3797">
        <w:rPr>
          <w:rFonts w:eastAsia="Times New Roman"/>
        </w:rPr>
        <w:t xml:space="preserve"> patients</w:t>
      </w:r>
      <w:r w:rsidR="000E1C1B">
        <w:rPr>
          <w:rFonts w:eastAsia="Times New Roman"/>
        </w:rPr>
        <w:t xml:space="preserve"> with chronic subdural haematoma from 26 UK neurosurgical units over a period of 8 months</w:t>
      </w:r>
      <w:r w:rsidR="009A5FA2">
        <w:rPr>
          <w:rFonts w:eastAsia="Times New Roman"/>
        </w:rPr>
        <w:t xml:space="preserve"> </w:t>
      </w:r>
      <w:r w:rsidR="000E1C1B">
        <w:rPr>
          <w:rFonts w:eastAsia="Times New Roman"/>
        </w:rPr>
        <w:t>(</w:t>
      </w:r>
      <w:r w:rsidR="009E1BF8">
        <w:rPr>
          <w:rFonts w:eastAsia="Times New Roman"/>
        </w:rPr>
        <w:t>manuscript</w:t>
      </w:r>
      <w:r w:rsidR="003E3797">
        <w:rPr>
          <w:rFonts w:eastAsia="Times New Roman"/>
        </w:rPr>
        <w:t xml:space="preserve"> currently in press with the Journal of Neurosurgery</w:t>
      </w:r>
      <w:r w:rsidR="000E1C1B">
        <w:rPr>
          <w:rFonts w:eastAsia="Times New Roman"/>
        </w:rPr>
        <w:t>)</w:t>
      </w:r>
      <w:r w:rsidR="003E3797">
        <w:rPr>
          <w:rFonts w:eastAsia="Times New Roman"/>
        </w:rPr>
        <w:t>.</w:t>
      </w:r>
      <w:r w:rsidR="00762E77">
        <w:rPr>
          <w:rFonts w:eastAsia="Times New Roman"/>
        </w:rPr>
        <w:t xml:space="preserve"> Subsequently, a funding application to the UK National Institute for Health Research for a trial of dexamethasone in chronic subdural haematoma was successful </w:t>
      </w:r>
      <w:r w:rsidR="00995C4D">
        <w:rPr>
          <w:rFonts w:eastAsia="Times New Roman"/>
        </w:rPr>
        <w:t>largely because</w:t>
      </w:r>
      <w:r w:rsidR="00762E77">
        <w:rPr>
          <w:rFonts w:eastAsia="Times New Roman"/>
        </w:rPr>
        <w:t xml:space="preserve"> there was substantial evidence of adequate patient numbers.</w:t>
      </w:r>
      <w:r w:rsidR="003E3797">
        <w:rPr>
          <w:rFonts w:eastAsia="Times New Roman"/>
        </w:rPr>
        <w:t xml:space="preserve"> </w:t>
      </w:r>
      <w:r w:rsidR="009A5FA2">
        <w:rPr>
          <w:rFonts w:eastAsia="Times New Roman"/>
        </w:rPr>
        <w:t>(www.dexcsdh.org)</w:t>
      </w:r>
    </w:p>
    <w:p w14:paraId="5E51D1D0" w14:textId="77777777" w:rsidR="001429FC" w:rsidRDefault="001429FC" w:rsidP="009E1BF8">
      <w:pPr>
        <w:rPr>
          <w:rFonts w:eastAsia="Times New Roman"/>
        </w:rPr>
      </w:pPr>
    </w:p>
    <w:p w14:paraId="06E2B8CA" w14:textId="2A64C67C" w:rsidR="00D773AF" w:rsidRDefault="00563486" w:rsidP="00822349">
      <w:pPr>
        <w:rPr>
          <w:rFonts w:eastAsia="Times New Roman"/>
        </w:rPr>
      </w:pPr>
      <w:r>
        <w:rPr>
          <w:rFonts w:eastAsia="Times New Roman"/>
        </w:rPr>
        <w:t xml:space="preserve">Bragge </w:t>
      </w:r>
      <w:r w:rsidRPr="00563486">
        <w:rPr>
          <w:rFonts w:eastAsia="Times New Roman"/>
          <w:i/>
        </w:rPr>
        <w:t>e</w:t>
      </w:r>
      <w:r w:rsidR="003E3797" w:rsidRPr="00563486">
        <w:rPr>
          <w:rFonts w:eastAsia="Times New Roman"/>
          <w:i/>
        </w:rPr>
        <w:t>t al</w:t>
      </w:r>
      <w:r w:rsidR="003E3797">
        <w:rPr>
          <w:rFonts w:eastAsia="Times New Roman"/>
        </w:rPr>
        <w:t xml:space="preserve"> </w:t>
      </w:r>
      <w:r w:rsidR="002E7A7B">
        <w:rPr>
          <w:rFonts w:eastAsia="Times New Roman"/>
        </w:rPr>
        <w:t xml:space="preserve">recently published </w:t>
      </w:r>
      <w:r w:rsidR="003E3797">
        <w:rPr>
          <w:rFonts w:eastAsia="Times New Roman"/>
        </w:rPr>
        <w:t xml:space="preserve">an overview of randomised controlled trials evaluating acute management of </w:t>
      </w:r>
      <w:r w:rsidR="002E7A7B">
        <w:rPr>
          <w:rFonts w:eastAsia="Times New Roman"/>
        </w:rPr>
        <w:t xml:space="preserve">moderate-to-severe traumatic brain </w:t>
      </w:r>
      <w:r w:rsidR="00D42C9A">
        <w:rPr>
          <w:rFonts w:eastAsia="Times New Roman"/>
        </w:rPr>
        <w:t>injury</w:t>
      </w:r>
      <w:r w:rsidR="0066544A">
        <w:rPr>
          <w:rFonts w:eastAsia="Times New Roman"/>
        </w:rPr>
        <w:t xml:space="preserve"> [1]</w:t>
      </w:r>
      <w:r>
        <w:rPr>
          <w:rFonts w:eastAsia="Times New Roman"/>
        </w:rPr>
        <w:t xml:space="preserve">. 207 randomised controlled trials were identified of which more than two thirds had fewer than 100 participants and almost three-quarters were single centre. </w:t>
      </w:r>
      <w:r w:rsidR="00925567">
        <w:rPr>
          <w:rFonts w:eastAsia="Times New Roman"/>
        </w:rPr>
        <w:t>For all outcomes of interest measured almost three-quarters of the trials found no differences between the interv</w:t>
      </w:r>
      <w:r w:rsidR="009E1BF8">
        <w:rPr>
          <w:rFonts w:eastAsia="Times New Roman"/>
        </w:rPr>
        <w:t>ention and control groups</w:t>
      </w:r>
      <w:r w:rsidR="00D773AF">
        <w:rPr>
          <w:rFonts w:eastAsia="Times New Roman"/>
        </w:rPr>
        <w:t xml:space="preserve">. </w:t>
      </w:r>
      <w:r w:rsidR="001429FC">
        <w:rPr>
          <w:rFonts w:eastAsia="Times New Roman"/>
        </w:rPr>
        <w:t>The authors correctly pointed out that a substantial investment of resources has resulted in very</w:t>
      </w:r>
      <w:r w:rsidR="005B68E7">
        <w:rPr>
          <w:rFonts w:eastAsia="Times New Roman"/>
        </w:rPr>
        <w:t xml:space="preserve"> limited translatable evidence. Two of the main reasons for this</w:t>
      </w:r>
      <w:r w:rsidR="009A5FA2">
        <w:rPr>
          <w:rFonts w:eastAsia="Times New Roman"/>
        </w:rPr>
        <w:t xml:space="preserve">, </w:t>
      </w:r>
      <w:r w:rsidR="005B68E7">
        <w:rPr>
          <w:rFonts w:eastAsia="Times New Roman"/>
        </w:rPr>
        <w:t>put forward by the authors</w:t>
      </w:r>
      <w:r w:rsidR="009A5FA2">
        <w:rPr>
          <w:rFonts w:eastAsia="Times New Roman"/>
        </w:rPr>
        <w:t>,</w:t>
      </w:r>
      <w:r w:rsidR="005B68E7">
        <w:rPr>
          <w:rFonts w:eastAsia="Times New Roman"/>
        </w:rPr>
        <w:t xml:space="preserve"> are the small sample sizes and the </w:t>
      </w:r>
      <w:r w:rsidR="005B68E7" w:rsidRPr="005B68E7">
        <w:rPr>
          <w:rFonts w:eastAsia="Times New Roman"/>
        </w:rPr>
        <w:t>prep</w:t>
      </w:r>
      <w:r w:rsidR="005B68E7">
        <w:rPr>
          <w:rFonts w:eastAsia="Times New Roman"/>
        </w:rPr>
        <w:t>onderance of single-cent</w:t>
      </w:r>
      <w:r w:rsidR="009A5FA2">
        <w:rPr>
          <w:rFonts w:eastAsia="Times New Roman"/>
        </w:rPr>
        <w:t>re</w:t>
      </w:r>
      <w:r w:rsidR="005B68E7">
        <w:rPr>
          <w:rFonts w:eastAsia="Times New Roman"/>
        </w:rPr>
        <w:t xml:space="preserve"> RCTs. </w:t>
      </w:r>
    </w:p>
    <w:p w14:paraId="7EBE2CC3" w14:textId="77777777" w:rsidR="00D42C9A" w:rsidRDefault="00D42C9A" w:rsidP="00822349">
      <w:pPr>
        <w:rPr>
          <w:rFonts w:eastAsia="Times New Roman"/>
        </w:rPr>
      </w:pPr>
    </w:p>
    <w:p w14:paraId="2AAE3D91" w14:textId="5A08D811" w:rsidR="004508E5" w:rsidRDefault="00D773AF" w:rsidP="00822349">
      <w:pPr>
        <w:rPr>
          <w:rFonts w:eastAsia="Times New Roman"/>
        </w:rPr>
      </w:pPr>
      <w:r>
        <w:rPr>
          <w:rFonts w:eastAsia="Times New Roman"/>
        </w:rPr>
        <w:t xml:space="preserve">The trend towards </w:t>
      </w:r>
      <w:r w:rsidR="001429FC">
        <w:rPr>
          <w:rFonts w:eastAsia="Times New Roman"/>
        </w:rPr>
        <w:t xml:space="preserve">conducting </w:t>
      </w:r>
      <w:r>
        <w:rPr>
          <w:rFonts w:eastAsia="Times New Roman"/>
        </w:rPr>
        <w:t xml:space="preserve">multicentre trials, based on </w:t>
      </w:r>
      <w:r w:rsidR="00995C4D">
        <w:rPr>
          <w:rFonts w:eastAsia="Times New Roman"/>
        </w:rPr>
        <w:t xml:space="preserve">high quality </w:t>
      </w:r>
      <w:r w:rsidR="00EA7A0C">
        <w:rPr>
          <w:rFonts w:eastAsia="Times New Roman"/>
        </w:rPr>
        <w:t>feasibility studies, conducted in</w:t>
      </w:r>
      <w:r>
        <w:rPr>
          <w:rFonts w:eastAsia="Times New Roman"/>
        </w:rPr>
        <w:t xml:space="preserve"> multiple centres in </w:t>
      </w:r>
      <w:r w:rsidR="00C53198">
        <w:rPr>
          <w:rFonts w:eastAsia="Times New Roman"/>
        </w:rPr>
        <w:t>multiple countries</w:t>
      </w:r>
      <w:r w:rsidR="001429FC">
        <w:rPr>
          <w:rFonts w:eastAsia="Times New Roman"/>
        </w:rPr>
        <w:t xml:space="preserve"> with adequate sample sizes</w:t>
      </w:r>
      <w:r>
        <w:rPr>
          <w:rFonts w:eastAsia="Times New Roman"/>
        </w:rPr>
        <w:t xml:space="preserve"> is surely the way forward. </w:t>
      </w:r>
      <w:r w:rsidR="00C53198">
        <w:rPr>
          <w:rFonts w:eastAsia="Times New Roman"/>
        </w:rPr>
        <w:t xml:space="preserve">With this in mind the Society of British Neurological Surgeons (SBNS) have generated a database of UK neurosurgeons with an interest in research, along with their subspecialty </w:t>
      </w:r>
      <w:r w:rsidR="005360EE">
        <w:rPr>
          <w:rFonts w:eastAsia="Times New Roman"/>
        </w:rPr>
        <w:t>expertise</w:t>
      </w:r>
      <w:r w:rsidR="00C53198">
        <w:rPr>
          <w:rFonts w:eastAsia="Times New Roman"/>
        </w:rPr>
        <w:t xml:space="preserve">. </w:t>
      </w:r>
      <w:r w:rsidR="005360EE">
        <w:rPr>
          <w:rFonts w:eastAsia="Times New Roman"/>
        </w:rPr>
        <w:t>Furthermore</w:t>
      </w:r>
      <w:r w:rsidR="001429FC">
        <w:rPr>
          <w:rFonts w:eastAsia="Times New Roman"/>
        </w:rPr>
        <w:t>,</w:t>
      </w:r>
      <w:r w:rsidR="00C53198">
        <w:rPr>
          <w:rFonts w:eastAsia="Times New Roman"/>
        </w:rPr>
        <w:t xml:space="preserve"> </w:t>
      </w:r>
      <w:r w:rsidR="005360EE">
        <w:rPr>
          <w:rFonts w:eastAsia="Times New Roman"/>
        </w:rPr>
        <w:t>the SBNS</w:t>
      </w:r>
      <w:r w:rsidR="009A5FA2">
        <w:rPr>
          <w:rFonts w:eastAsia="Times New Roman"/>
        </w:rPr>
        <w:t xml:space="preserve"> (</w:t>
      </w:r>
      <w:r w:rsidR="00995C4D" w:rsidRPr="00995C4D">
        <w:rPr>
          <w:rFonts w:eastAsia="Times New Roman"/>
        </w:rPr>
        <w:t>www.sbns.org.uk/index.php/research/</w:t>
      </w:r>
      <w:r w:rsidR="009A5FA2">
        <w:rPr>
          <w:rFonts w:eastAsia="Times New Roman"/>
        </w:rPr>
        <w:t>)</w:t>
      </w:r>
      <w:r w:rsidR="005360EE">
        <w:rPr>
          <w:rFonts w:eastAsia="Times New Roman"/>
        </w:rPr>
        <w:t>, in</w:t>
      </w:r>
      <w:r w:rsidR="00C53198">
        <w:rPr>
          <w:rFonts w:eastAsia="Times New Roman"/>
        </w:rPr>
        <w:t xml:space="preserve"> collaboration </w:t>
      </w:r>
      <w:r w:rsidR="005360EE">
        <w:rPr>
          <w:rFonts w:eastAsia="Times New Roman"/>
        </w:rPr>
        <w:t>with</w:t>
      </w:r>
      <w:r w:rsidR="00C53198">
        <w:rPr>
          <w:rFonts w:eastAsia="Times New Roman"/>
        </w:rPr>
        <w:t xml:space="preserve"> the European Association of </w:t>
      </w:r>
      <w:r w:rsidR="005360EE">
        <w:rPr>
          <w:rFonts w:eastAsia="Times New Roman"/>
        </w:rPr>
        <w:t>Neuro</w:t>
      </w:r>
      <w:r w:rsidR="001429FC">
        <w:rPr>
          <w:rFonts w:eastAsia="Times New Roman"/>
        </w:rPr>
        <w:t>surgical</w:t>
      </w:r>
      <w:r w:rsidR="00C53198">
        <w:rPr>
          <w:rFonts w:eastAsia="Times New Roman"/>
        </w:rPr>
        <w:t xml:space="preserve"> Societies (EANS</w:t>
      </w:r>
      <w:r w:rsidR="009A5FA2">
        <w:rPr>
          <w:rFonts w:eastAsia="Times New Roman"/>
        </w:rPr>
        <w:t>, www.eans.org</w:t>
      </w:r>
      <w:r w:rsidR="00995C4D">
        <w:rPr>
          <w:rFonts w:eastAsia="Times New Roman"/>
        </w:rPr>
        <w:t>)</w:t>
      </w:r>
      <w:r w:rsidR="00C53198">
        <w:rPr>
          <w:rFonts w:eastAsia="Times New Roman"/>
        </w:rPr>
        <w:t xml:space="preserve">, </w:t>
      </w:r>
      <w:r w:rsidR="005360EE">
        <w:rPr>
          <w:rFonts w:eastAsia="Times New Roman"/>
        </w:rPr>
        <w:t>have initiated a database of multicentre trials with the purpose of promoting wider support</w:t>
      </w:r>
      <w:r w:rsidR="00C53198">
        <w:rPr>
          <w:rFonts w:eastAsia="Times New Roman"/>
        </w:rPr>
        <w:t xml:space="preserve">. </w:t>
      </w:r>
      <w:r w:rsidR="00B327A8">
        <w:rPr>
          <w:rFonts w:eastAsia="Times New Roman"/>
        </w:rPr>
        <w:t>Both of these initiatives will hopefully help with the setup and running of trials.</w:t>
      </w:r>
    </w:p>
    <w:p w14:paraId="385BB8C4" w14:textId="797CA7DB" w:rsidR="002E7A7B" w:rsidRDefault="001429FC" w:rsidP="00822349">
      <w:pPr>
        <w:rPr>
          <w:rFonts w:eastAsia="Times New Roman"/>
        </w:rPr>
      </w:pPr>
      <w:r w:rsidDel="001429FC">
        <w:rPr>
          <w:rFonts w:eastAsia="Times New Roman"/>
        </w:rPr>
        <w:t xml:space="preserve"> </w:t>
      </w:r>
    </w:p>
    <w:p w14:paraId="03889AFB" w14:textId="77777777" w:rsidR="004508E5" w:rsidRPr="004508E5" w:rsidRDefault="004508E5" w:rsidP="004508E5">
      <w:pPr>
        <w:rPr>
          <w:rFonts w:eastAsia="Times New Roman"/>
        </w:rPr>
      </w:pPr>
      <w:r w:rsidRPr="004508E5">
        <w:rPr>
          <w:rFonts w:eastAsia="Times New Roman"/>
        </w:rPr>
        <w:t>All authors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</w:t>
      </w:r>
    </w:p>
    <w:p w14:paraId="59A62617" w14:textId="17AEC8E4" w:rsidR="004508E5" w:rsidRDefault="008C6280" w:rsidP="00822349">
      <w:pPr>
        <w:rPr>
          <w:rFonts w:eastAsia="Times New Roman"/>
        </w:rPr>
      </w:pPr>
      <w:r>
        <w:rPr>
          <w:rFonts w:eastAsia="Times New Roman"/>
        </w:rPr>
        <w:lastRenderedPageBreak/>
        <w:t>REFERENCES</w:t>
      </w:r>
    </w:p>
    <w:p w14:paraId="31CBF818" w14:textId="77777777" w:rsidR="00822349" w:rsidRDefault="00822349"/>
    <w:p w14:paraId="1FFA7F85" w14:textId="712B23EA" w:rsidR="0066544A" w:rsidRDefault="00FE69F5">
      <w:pPr>
        <w:rPr>
          <w:rFonts w:eastAsia="Times New Roman"/>
        </w:rPr>
      </w:pPr>
      <w:r>
        <w:t>(</w:t>
      </w:r>
      <w:r w:rsidR="00D84EF9">
        <w:t>1</w:t>
      </w:r>
      <w:r>
        <w:t>)</w:t>
      </w:r>
      <w:r w:rsidR="00D84EF9">
        <w:t xml:space="preserve"> </w:t>
      </w:r>
      <w:r w:rsidR="0066544A">
        <w:t>Bragge P, Synnot A, Maas AI, Menon DK, Cooper DJ, Rosenfeld JV, Gruen RL</w:t>
      </w:r>
      <w:r w:rsidR="0066544A">
        <w:t xml:space="preserve"> (</w:t>
      </w:r>
      <w:r w:rsidR="0066544A">
        <w:rPr>
          <w:rFonts w:eastAsia="Times New Roman"/>
        </w:rPr>
        <w:t>2016</w:t>
      </w:r>
      <w:r w:rsidR="0066544A">
        <w:rPr>
          <w:rFonts w:eastAsia="Times New Roman"/>
        </w:rPr>
        <w:t>)</w:t>
      </w:r>
      <w:r w:rsidR="0066544A">
        <w:t>.</w:t>
      </w:r>
      <w:r w:rsidR="0066544A">
        <w:t xml:space="preserve"> </w:t>
      </w:r>
      <w:r w:rsidR="0066544A">
        <w:rPr>
          <w:rFonts w:eastAsia="Times New Roman"/>
        </w:rPr>
        <w:t xml:space="preserve">A state-of-the-science overview of randomised controlled trials evaluating acute management of moderate-to-severe traumatic brain injury. </w:t>
      </w:r>
      <w:r w:rsidR="0066544A" w:rsidRPr="0066544A">
        <w:rPr>
          <w:rFonts w:eastAsia="Times New Roman"/>
        </w:rPr>
        <w:t>J of Neurotrauma</w:t>
      </w:r>
      <w:r w:rsidR="0066544A">
        <w:rPr>
          <w:rFonts w:eastAsia="Times New Roman"/>
        </w:rPr>
        <w:t xml:space="preserve">. </w:t>
      </w:r>
      <w:r w:rsidR="0066544A" w:rsidRPr="002E7A7B">
        <w:rPr>
          <w:rFonts w:eastAsia="Times New Roman"/>
        </w:rPr>
        <w:t>Aug 5;33(16):1461-78</w:t>
      </w:r>
    </w:p>
    <w:p w14:paraId="1AC10CE5" w14:textId="77777777" w:rsidR="0066544A" w:rsidRDefault="0066544A"/>
    <w:p w14:paraId="62E70D1A" w14:textId="1F0DA944" w:rsidR="0066544A" w:rsidRDefault="00FE69F5">
      <w:pPr>
        <w:rPr>
          <w:rFonts w:eastAsia="Times New Roman"/>
        </w:rPr>
      </w:pPr>
      <w:r>
        <w:t>(</w:t>
      </w:r>
      <w:r w:rsidR="0066544A">
        <w:t>2</w:t>
      </w:r>
      <w:r>
        <w:t>)</w:t>
      </w:r>
      <w:r w:rsidR="0066544A">
        <w:t xml:space="preserve"> </w:t>
      </w:r>
      <w:r w:rsidR="0066544A">
        <w:t>Kolias AG1, Jones TL, Cowie CJ, Coulter IC, Afshari FT, Tarnaris A, Nelson RJ, Gray WP, Hutchinson PJ, Brennan PM; UK Neurosurgical Research Network; British Neurosurgical Trainee Research Collaborative</w:t>
      </w:r>
      <w:r w:rsidR="0066544A">
        <w:t xml:space="preserve"> (2016)</w:t>
      </w:r>
      <w:r w:rsidR="0066544A">
        <w:t>.</w:t>
      </w:r>
      <w:r w:rsidR="0066544A" w:rsidRPr="009A5FA2">
        <w:t xml:space="preserve"> </w:t>
      </w:r>
      <w:r w:rsidR="0066544A">
        <w:t xml:space="preserve">A report from the inaugural meeting of the British Neurosurgical Trainee Research Collaborative held in the Royal College of Surgeons of England, 19 October 2012. </w:t>
      </w:r>
      <w:r w:rsidR="0066544A" w:rsidRPr="0066544A">
        <w:t>Br J Neurosurg.</w:t>
      </w:r>
      <w:r w:rsidR="0066544A">
        <w:t xml:space="preserve"> Jun;27(3):307-10.5. </w:t>
      </w:r>
    </w:p>
    <w:p w14:paraId="5F4F2EBC" w14:textId="77777777" w:rsidR="0066544A" w:rsidRDefault="0066544A">
      <w:pPr>
        <w:rPr>
          <w:rFonts w:eastAsia="Times New Roman"/>
        </w:rPr>
      </w:pPr>
    </w:p>
    <w:p w14:paraId="301D375F" w14:textId="6A2366D9" w:rsidR="0066544A" w:rsidRDefault="00FE69F5">
      <w:r>
        <w:t>(</w:t>
      </w:r>
      <w:r w:rsidR="0066544A">
        <w:t>3</w:t>
      </w:r>
      <w:r>
        <w:t>)</w:t>
      </w:r>
      <w:r w:rsidR="0066544A">
        <w:t xml:space="preserve"> </w:t>
      </w:r>
      <w:r w:rsidR="0066544A">
        <w:t>Maas</w:t>
      </w:r>
      <w:r w:rsidR="0066544A">
        <w:t xml:space="preserve"> AIR</w:t>
      </w:r>
      <w:r w:rsidR="0066544A">
        <w:t xml:space="preserve">. </w:t>
      </w:r>
      <w:r w:rsidR="0066544A">
        <w:t xml:space="preserve">(2016) </w:t>
      </w:r>
      <w:r w:rsidR="0066544A">
        <w:t xml:space="preserve">Clinical trials: do we need criteria for pre-study feasibility assessment? </w:t>
      </w:r>
      <w:r w:rsidR="0066544A" w:rsidRPr="0066544A">
        <w:t>Acta Neurochir.</w:t>
      </w:r>
      <w:r w:rsidR="0066544A">
        <w:t xml:space="preserve"> DOI 10.1007/s00701-016-2950-x</w:t>
      </w:r>
      <w:r w:rsidR="0066544A">
        <w:t xml:space="preserve"> </w:t>
      </w:r>
    </w:p>
    <w:p w14:paraId="56231085" w14:textId="77777777" w:rsidR="0066544A" w:rsidRDefault="0066544A"/>
    <w:p w14:paraId="056883DB" w14:textId="6B2D882B" w:rsidR="0066544A" w:rsidRDefault="00FE69F5">
      <w:r>
        <w:t>(</w:t>
      </w:r>
      <w:r w:rsidR="0066544A">
        <w:t>4</w:t>
      </w:r>
      <w:r>
        <w:t>)</w:t>
      </w:r>
      <w:r w:rsidR="0066544A">
        <w:t xml:space="preserve"> </w:t>
      </w:r>
      <w:r w:rsidR="0066544A">
        <w:t>Mendelow</w:t>
      </w:r>
      <w:r w:rsidR="0066544A">
        <w:t xml:space="preserve"> AD</w:t>
      </w:r>
      <w:r w:rsidR="0066544A">
        <w:t>, Gregson</w:t>
      </w:r>
      <w:r w:rsidR="0066544A">
        <w:t xml:space="preserve"> BA</w:t>
      </w:r>
      <w:r w:rsidR="0066544A">
        <w:t>, Rowan</w:t>
      </w:r>
      <w:r w:rsidR="0066544A">
        <w:t xml:space="preserve"> EN</w:t>
      </w:r>
      <w:r w:rsidR="0066544A">
        <w:t>, Francis</w:t>
      </w:r>
      <w:r w:rsidR="0066544A">
        <w:t xml:space="preserve"> R</w:t>
      </w:r>
      <w:r w:rsidR="0066544A">
        <w:t>, McColl</w:t>
      </w:r>
      <w:r w:rsidR="0066544A">
        <w:t xml:space="preserve"> E</w:t>
      </w:r>
      <w:r w:rsidR="0066544A">
        <w:t>, McNamee</w:t>
      </w:r>
      <w:r w:rsidR="0066544A">
        <w:t xml:space="preserve"> P</w:t>
      </w:r>
      <w:r w:rsidR="0066544A">
        <w:t>, Chambers</w:t>
      </w:r>
      <w:r w:rsidR="0066544A">
        <w:t xml:space="preserve"> IR</w:t>
      </w:r>
      <w:r w:rsidR="0066544A">
        <w:t>, Unterberg</w:t>
      </w:r>
      <w:r w:rsidR="0066544A">
        <w:t xml:space="preserve"> A</w:t>
      </w:r>
      <w:r w:rsidR="0066544A">
        <w:t>,  Boyers</w:t>
      </w:r>
      <w:r w:rsidR="0066544A">
        <w:t xml:space="preserve"> D</w:t>
      </w:r>
      <w:r w:rsidR="0066544A">
        <w:t xml:space="preserve">, Mitchell </w:t>
      </w:r>
      <w:r w:rsidR="0066544A">
        <w:t xml:space="preserve">PM </w:t>
      </w:r>
      <w:r w:rsidR="0066544A">
        <w:t>on behalf of the STITCH(Trauma) Investigators</w:t>
      </w:r>
      <w:r w:rsidR="0066544A">
        <w:t xml:space="preserve"> (2015)</w:t>
      </w:r>
      <w:r w:rsidR="0066544A">
        <w:t>. Early Surgery versus Initial Conservative Treatment in Patients with Traumatic Intracerebral Hemorrhage STITCH</w:t>
      </w:r>
      <w:r w:rsidR="0066544A">
        <w:t xml:space="preserve"> </w:t>
      </w:r>
      <w:r w:rsidR="0066544A">
        <w:t xml:space="preserve">[Trauma]): The First Randomized Trial. </w:t>
      </w:r>
      <w:r w:rsidR="0066544A" w:rsidRPr="0066544A">
        <w:t>J of Neurotrauma</w:t>
      </w:r>
      <w:r w:rsidR="0066544A" w:rsidRPr="00147298">
        <w:rPr>
          <w:i/>
        </w:rPr>
        <w:t xml:space="preserve"> </w:t>
      </w:r>
      <w:r w:rsidR="0066544A">
        <w:rPr>
          <w:i/>
        </w:rPr>
        <w:t>.</w:t>
      </w:r>
      <w:r w:rsidR="0066544A">
        <w:t>32: 1312-1323</w:t>
      </w:r>
    </w:p>
    <w:p w14:paraId="614954DF" w14:textId="77777777" w:rsidR="0066544A" w:rsidRDefault="0066544A"/>
    <w:p w14:paraId="72863353" w14:textId="4CCDC4B1" w:rsidR="00D42C9A" w:rsidRDefault="00FE69F5">
      <w:r>
        <w:t>(</w:t>
      </w:r>
      <w:r w:rsidR="0066544A">
        <w:t>5</w:t>
      </w:r>
      <w:r>
        <w:t>)</w:t>
      </w:r>
      <w:bookmarkStart w:id="0" w:name="_GoBack"/>
      <w:bookmarkEnd w:id="0"/>
      <w:r w:rsidR="0066544A">
        <w:t xml:space="preserve"> </w:t>
      </w:r>
      <w:r w:rsidR="00D84EF9">
        <w:t>Schumann A, Klene W, Rosens</w:t>
      </w:r>
      <w:r w:rsidR="00822349">
        <w:t xml:space="preserve">tengel C, Ringel F, Tüttenberg J, Vajkoczy P (2016) COXIBRAIN; results of the prospective randomised, phase II/III study for the selective COX-2-inhibitoion in chronic subdural hematoma patients. </w:t>
      </w:r>
      <w:r w:rsidR="00822349" w:rsidRPr="0066544A">
        <w:t>Acta Neurochir</w:t>
      </w:r>
      <w:r w:rsidR="00822349">
        <w:t>. Doi:10.1007/s00701-016-2949-3</w:t>
      </w:r>
    </w:p>
    <w:p w14:paraId="14404FEC" w14:textId="77777777" w:rsidR="001A2C9D" w:rsidRDefault="001A2C9D"/>
    <w:p w14:paraId="4B06F40E" w14:textId="77777777" w:rsidR="00D42C9A" w:rsidRDefault="00D42C9A"/>
    <w:p w14:paraId="64CD9C51" w14:textId="221A37FF" w:rsidR="00D42C9A" w:rsidRDefault="00D42C9A"/>
    <w:p w14:paraId="603B2216" w14:textId="77777777" w:rsidR="009A5FA2" w:rsidRDefault="009A5FA2"/>
    <w:p w14:paraId="0740C859" w14:textId="62E301BC" w:rsidR="002E7A7B" w:rsidRDefault="002E7A7B" w:rsidP="002E7A7B">
      <w:pPr>
        <w:rPr>
          <w:rFonts w:eastAsia="Times New Roman"/>
        </w:rPr>
      </w:pPr>
    </w:p>
    <w:p w14:paraId="6091F6CF" w14:textId="77777777" w:rsidR="009A5FA2" w:rsidRDefault="009A5FA2" w:rsidP="002E7A7B">
      <w:pPr>
        <w:rPr>
          <w:rFonts w:eastAsia="Times New Roman"/>
        </w:rPr>
      </w:pPr>
    </w:p>
    <w:p w14:paraId="5AB65B29" w14:textId="0BD5DBE1" w:rsidR="009A5FA2" w:rsidRDefault="009A5FA2" w:rsidP="002E7A7B"/>
    <w:p w14:paraId="5B52C5E3" w14:textId="77777777" w:rsidR="00147298" w:rsidRDefault="00147298"/>
    <w:p w14:paraId="117E8137" w14:textId="77777777" w:rsidR="00D773AF" w:rsidRDefault="00D773AF"/>
    <w:p w14:paraId="3D2FD619" w14:textId="0C3C6F95" w:rsidR="00D773AF" w:rsidRDefault="00D773AF"/>
    <w:sectPr w:rsidR="00D773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170C" w14:textId="77777777" w:rsidR="00C52319" w:rsidRDefault="00C52319" w:rsidP="00C52319">
      <w:r>
        <w:separator/>
      </w:r>
    </w:p>
  </w:endnote>
  <w:endnote w:type="continuationSeparator" w:id="0">
    <w:p w14:paraId="2BCA3F8D" w14:textId="77777777" w:rsidR="00C52319" w:rsidRDefault="00C52319" w:rsidP="00C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6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54AD3" w14:textId="53E9AE0B" w:rsidR="00C52319" w:rsidRDefault="00C523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58CECC" w14:textId="77777777" w:rsidR="00C52319" w:rsidRDefault="00C5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54FF" w14:textId="77777777" w:rsidR="00C52319" w:rsidRDefault="00C52319" w:rsidP="00C52319">
      <w:r>
        <w:separator/>
      </w:r>
    </w:p>
  </w:footnote>
  <w:footnote w:type="continuationSeparator" w:id="0">
    <w:p w14:paraId="73F86F91" w14:textId="77777777" w:rsidR="00C52319" w:rsidRDefault="00C52319" w:rsidP="00C5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9"/>
    <w:rsid w:val="000E1C1B"/>
    <w:rsid w:val="00135683"/>
    <w:rsid w:val="001429FC"/>
    <w:rsid w:val="00147298"/>
    <w:rsid w:val="001A2C9D"/>
    <w:rsid w:val="002E7A7B"/>
    <w:rsid w:val="003E3797"/>
    <w:rsid w:val="00425918"/>
    <w:rsid w:val="004508E5"/>
    <w:rsid w:val="005360EE"/>
    <w:rsid w:val="00563486"/>
    <w:rsid w:val="005B68E7"/>
    <w:rsid w:val="0066544A"/>
    <w:rsid w:val="00692A3B"/>
    <w:rsid w:val="00762E77"/>
    <w:rsid w:val="00822349"/>
    <w:rsid w:val="008427D0"/>
    <w:rsid w:val="008C6280"/>
    <w:rsid w:val="00925567"/>
    <w:rsid w:val="0095444D"/>
    <w:rsid w:val="009819D8"/>
    <w:rsid w:val="00995C4D"/>
    <w:rsid w:val="009A5FA2"/>
    <w:rsid w:val="009E1BF8"/>
    <w:rsid w:val="00A039C7"/>
    <w:rsid w:val="00A276B3"/>
    <w:rsid w:val="00A47A4F"/>
    <w:rsid w:val="00A56692"/>
    <w:rsid w:val="00A664A5"/>
    <w:rsid w:val="00B108C4"/>
    <w:rsid w:val="00B327A8"/>
    <w:rsid w:val="00C2721D"/>
    <w:rsid w:val="00C52319"/>
    <w:rsid w:val="00C53198"/>
    <w:rsid w:val="00CA6485"/>
    <w:rsid w:val="00D42C9A"/>
    <w:rsid w:val="00D55F42"/>
    <w:rsid w:val="00D773AF"/>
    <w:rsid w:val="00D84EF9"/>
    <w:rsid w:val="00E27ECC"/>
    <w:rsid w:val="00E302CA"/>
    <w:rsid w:val="00EA7A0C"/>
    <w:rsid w:val="00F56FD1"/>
    <w:rsid w:val="00FE69F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F589"/>
  <w15:chartTrackingRefBased/>
  <w15:docId w15:val="{8C5C2B35-60FE-49D2-BE5E-4A620E00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4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0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CA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62E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1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2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1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3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649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256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4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3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3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6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8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t29@medschl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Turner</dc:creator>
  <cp:keywords/>
  <dc:description/>
  <cp:lastModifiedBy>Carole Turner</cp:lastModifiedBy>
  <cp:revision>6</cp:revision>
  <cp:lastPrinted>2016-10-17T12:56:00Z</cp:lastPrinted>
  <dcterms:created xsi:type="dcterms:W3CDTF">2016-10-17T08:45:00Z</dcterms:created>
  <dcterms:modified xsi:type="dcterms:W3CDTF">2016-10-20T09:18:00Z</dcterms:modified>
</cp:coreProperties>
</file>