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01F65" w14:textId="77777777" w:rsidR="00AA57CB" w:rsidRPr="00AA57CB" w:rsidRDefault="00AA57CB" w:rsidP="00AA57CB">
      <w:pPr>
        <w:jc w:val="center"/>
        <w:rPr>
          <w:rFonts w:eastAsia="Calibri" w:cs="Times New Roman"/>
        </w:rPr>
      </w:pPr>
      <w:r w:rsidRPr="00AA57CB">
        <w:rPr>
          <w:rFonts w:eastAsia="Calibri" w:cs="Times New Roman"/>
          <w:b/>
        </w:rPr>
        <w:t>The Population of Non-corporate Business Proprietors in England and Wales 1891-1911</w:t>
      </w:r>
    </w:p>
    <w:p w14:paraId="1BE9027D" w14:textId="77777777" w:rsidR="00AA57CB" w:rsidRDefault="00AA57CB" w:rsidP="00AA57CB">
      <w:pPr>
        <w:spacing w:line="360" w:lineRule="auto"/>
        <w:rPr>
          <w:rFonts w:eastAsia="Calibri" w:cs="Times New Roman"/>
          <w:b/>
        </w:rPr>
      </w:pPr>
    </w:p>
    <w:p w14:paraId="473DFDEB" w14:textId="76F3CDAA" w:rsidR="00AA57CB" w:rsidRPr="00AA57CB" w:rsidRDefault="00AA57CB" w:rsidP="00AA57CB">
      <w:pPr>
        <w:spacing w:line="360" w:lineRule="auto"/>
        <w:rPr>
          <w:rFonts w:eastAsia="Calibri" w:cs="Times New Roman"/>
          <w:b/>
        </w:rPr>
      </w:pPr>
      <w:r>
        <w:rPr>
          <w:rFonts w:eastAsia="Calibri" w:cs="Times New Roman"/>
          <w:b/>
        </w:rPr>
        <w:t xml:space="preserve">Robert J. Bennett*, Harry Smith, </w:t>
      </w:r>
      <w:r w:rsidRPr="00AA57CB">
        <w:rPr>
          <w:rFonts w:eastAsia="Calibri" w:cs="Times New Roman"/>
          <w:b/>
        </w:rPr>
        <w:t>Piero Montebruno</w:t>
      </w:r>
    </w:p>
    <w:p w14:paraId="30430959" w14:textId="77777777" w:rsidR="00AA57CB" w:rsidRPr="00AA57CB" w:rsidRDefault="00AA57CB" w:rsidP="00AA57CB">
      <w:pPr>
        <w:spacing w:line="360" w:lineRule="auto"/>
        <w:rPr>
          <w:rFonts w:eastAsia="Calibri" w:cs="Times New Roman"/>
          <w:b/>
        </w:rPr>
      </w:pPr>
    </w:p>
    <w:p w14:paraId="16CA612B" w14:textId="0225F67C" w:rsidR="00AA57CB" w:rsidRPr="00AA57CB" w:rsidRDefault="00AA57CB" w:rsidP="00AA57CB">
      <w:pPr>
        <w:spacing w:line="360" w:lineRule="auto"/>
        <w:rPr>
          <w:rFonts w:eastAsia="Calibri" w:cs="Times New Roman"/>
          <w:b/>
        </w:rPr>
      </w:pPr>
      <w:r w:rsidRPr="00AA57CB">
        <w:rPr>
          <w:rFonts w:eastAsia="Calibri" w:cs="Times New Roman"/>
          <w:b/>
        </w:rPr>
        <w:t>University of Cambridge, Department of Geography and Cambridge Group for the History of Population and Social Structure, Downing Place, Cambridge, CB2 3EN, UK.</w:t>
      </w:r>
    </w:p>
    <w:p w14:paraId="6CFE6D2F" w14:textId="77777777" w:rsidR="00AA57CB" w:rsidRPr="00AA57CB" w:rsidRDefault="00AA57CB" w:rsidP="00AA57CB">
      <w:pPr>
        <w:spacing w:line="360" w:lineRule="auto"/>
        <w:rPr>
          <w:rFonts w:eastAsia="Calibri" w:cs="Times New Roman"/>
          <w:b/>
        </w:rPr>
      </w:pPr>
    </w:p>
    <w:p w14:paraId="77AF979C" w14:textId="77777777" w:rsidR="00AA57CB" w:rsidRPr="00AA57CB" w:rsidRDefault="00AA57CB" w:rsidP="00AA57CB">
      <w:pPr>
        <w:spacing w:line="360" w:lineRule="auto"/>
        <w:rPr>
          <w:rFonts w:eastAsia="Calibri" w:cs="Times New Roman"/>
          <w:b/>
        </w:rPr>
      </w:pPr>
    </w:p>
    <w:p w14:paraId="4EA6AA5F" w14:textId="77777777" w:rsidR="00AA57CB" w:rsidRPr="00AA57CB" w:rsidRDefault="00AA57CB" w:rsidP="00AA57CB">
      <w:pPr>
        <w:spacing w:line="360" w:lineRule="auto"/>
        <w:rPr>
          <w:rFonts w:eastAsia="Calibri" w:cs="Times New Roman"/>
          <w:b/>
        </w:rPr>
      </w:pPr>
      <w:r w:rsidRPr="00AA57CB">
        <w:rPr>
          <w:rFonts w:eastAsia="Calibri" w:cs="Times New Roman"/>
          <w:b/>
        </w:rPr>
        <w:t xml:space="preserve">* </w:t>
      </w:r>
      <w:proofErr w:type="gramStart"/>
      <w:r w:rsidRPr="00AA57CB">
        <w:rPr>
          <w:rFonts w:eastAsia="Calibri" w:cs="Times New Roman"/>
          <w:b/>
        </w:rPr>
        <w:t>corresponding</w:t>
      </w:r>
      <w:proofErr w:type="gramEnd"/>
      <w:r w:rsidRPr="00AA57CB">
        <w:rPr>
          <w:rFonts w:eastAsia="Calibri" w:cs="Times New Roman"/>
          <w:b/>
        </w:rPr>
        <w:t xml:space="preserve"> author</w:t>
      </w:r>
    </w:p>
    <w:p w14:paraId="745148F8" w14:textId="6AE2DA99" w:rsidR="00AA57CB" w:rsidRPr="00AA57CB" w:rsidRDefault="00AA57CB" w:rsidP="00AA57CB">
      <w:pPr>
        <w:spacing w:line="360" w:lineRule="auto"/>
        <w:rPr>
          <w:rFonts w:eastAsia="Calibri" w:cs="Times New Roman"/>
          <w:b/>
        </w:rPr>
      </w:pPr>
      <w:proofErr w:type="gramStart"/>
      <w:r w:rsidRPr="00AA57CB">
        <w:rPr>
          <w:rFonts w:eastAsia="Calibri" w:cs="Times New Roman"/>
          <w:b/>
        </w:rPr>
        <w:t>email</w:t>
      </w:r>
      <w:proofErr w:type="gramEnd"/>
      <w:r w:rsidRPr="00AA57CB">
        <w:rPr>
          <w:rFonts w:eastAsia="Calibri" w:cs="Times New Roman"/>
          <w:b/>
        </w:rPr>
        <w:t xml:space="preserve"> rjb7@cam.ac.uk</w:t>
      </w:r>
    </w:p>
    <w:p w14:paraId="056DB31D" w14:textId="77777777" w:rsidR="00AA57CB" w:rsidRDefault="00AA57CB" w:rsidP="00AA57CB">
      <w:pPr>
        <w:spacing w:line="360" w:lineRule="auto"/>
        <w:rPr>
          <w:rFonts w:eastAsia="Calibri" w:cs="Times New Roman"/>
          <w:b/>
        </w:rPr>
      </w:pPr>
    </w:p>
    <w:p w14:paraId="5C7D1EA0" w14:textId="77777777" w:rsidR="00AA57CB" w:rsidRDefault="00AA57CB" w:rsidP="00AA57CB">
      <w:pPr>
        <w:spacing w:line="360" w:lineRule="auto"/>
        <w:rPr>
          <w:rFonts w:eastAsia="Calibri" w:cs="Times New Roman"/>
          <w:b/>
        </w:rPr>
      </w:pPr>
    </w:p>
    <w:p w14:paraId="6D6945C8" w14:textId="77777777" w:rsidR="00AA57CB" w:rsidRPr="00AA57CB" w:rsidRDefault="00AA57CB" w:rsidP="00AA57CB">
      <w:pPr>
        <w:spacing w:line="360" w:lineRule="auto"/>
        <w:rPr>
          <w:rFonts w:eastAsia="Calibri" w:cs="Times New Roman"/>
          <w:b/>
        </w:rPr>
      </w:pPr>
      <w:r w:rsidRPr="00AA57CB">
        <w:rPr>
          <w:rFonts w:eastAsia="Calibri" w:cs="Times New Roman"/>
          <w:b/>
        </w:rPr>
        <w:t>Abstract</w:t>
      </w:r>
    </w:p>
    <w:p w14:paraId="7AA6F4E0" w14:textId="77777777" w:rsidR="00AA57CB" w:rsidRPr="00AA57CB" w:rsidRDefault="00AA57CB" w:rsidP="00AA57CB">
      <w:pPr>
        <w:spacing w:line="360" w:lineRule="auto"/>
        <w:jc w:val="both"/>
        <w:rPr>
          <w:rFonts w:eastAsia="Calibri" w:cs="Times New Roman"/>
        </w:rPr>
      </w:pPr>
      <w:r w:rsidRPr="00AA57CB">
        <w:rPr>
          <w:rFonts w:eastAsia="Calibri" w:cs="Times New Roman"/>
        </w:rPr>
        <w:t xml:space="preserve">This paper uses population Censuses to provide the first consistent counts of the population of business proprietors for 1891-1911. </w:t>
      </w:r>
      <w:proofErr w:type="gramStart"/>
      <w:r w:rsidRPr="00AA57CB">
        <w:rPr>
          <w:rFonts w:eastAsia="Calibri" w:cs="Times New Roman"/>
        </w:rPr>
        <w:t>After appropriate adjustments for imperfect Census design the paper confirms the persistence of own account self-employed as the most common businesses throughout the period.</w:t>
      </w:r>
      <w:proofErr w:type="gramEnd"/>
      <w:r w:rsidRPr="00AA57CB">
        <w:rPr>
          <w:rFonts w:eastAsia="Calibri" w:cs="Times New Roman"/>
        </w:rPr>
        <w:t xml:space="preserve"> But it identifies a turning point around 1901 when the business numbers decisively shifted towards larger firms, where employers with waged workers began substituting for many own account businesses. Developments were, however, multi-faceted, with important sector differences, and some fields of female business beginning to take off over the period, especially in retail and the professions.</w:t>
      </w:r>
    </w:p>
    <w:p w14:paraId="720D32E1" w14:textId="77777777" w:rsidR="00AA57CB" w:rsidRPr="00AA57CB" w:rsidRDefault="00AA57CB" w:rsidP="00AA57CB">
      <w:pPr>
        <w:spacing w:line="360" w:lineRule="auto"/>
        <w:jc w:val="both"/>
        <w:rPr>
          <w:rFonts w:eastAsia="Calibri" w:cs="Times New Roman"/>
        </w:rPr>
      </w:pPr>
    </w:p>
    <w:p w14:paraId="7F65C52A" w14:textId="77777777" w:rsidR="00AA57CB" w:rsidRPr="00AA57CB" w:rsidRDefault="00AA57CB" w:rsidP="00AA57CB">
      <w:pPr>
        <w:spacing w:line="360" w:lineRule="auto"/>
        <w:rPr>
          <w:rFonts w:eastAsia="Calibri" w:cs="Times New Roman"/>
          <w:b/>
        </w:rPr>
      </w:pPr>
      <w:r w:rsidRPr="00AA57CB">
        <w:rPr>
          <w:rFonts w:eastAsia="Calibri" w:cs="Times New Roman"/>
          <w:b/>
        </w:rPr>
        <w:t>Keywords</w:t>
      </w:r>
    </w:p>
    <w:p w14:paraId="7E49DDF5" w14:textId="77777777" w:rsidR="00AA57CB" w:rsidRPr="00AA57CB" w:rsidRDefault="00AA57CB" w:rsidP="00AA57CB">
      <w:pPr>
        <w:spacing w:line="360" w:lineRule="auto"/>
        <w:rPr>
          <w:rFonts w:eastAsia="Calibri" w:cs="Times New Roman"/>
        </w:rPr>
      </w:pPr>
    </w:p>
    <w:p w14:paraId="72D4EA06" w14:textId="77777777" w:rsidR="00AA57CB" w:rsidRPr="00AA57CB" w:rsidRDefault="00AA57CB" w:rsidP="00AA57CB">
      <w:pPr>
        <w:spacing w:line="360" w:lineRule="auto"/>
        <w:rPr>
          <w:rFonts w:eastAsia="Calibri" w:cs="Times New Roman"/>
        </w:rPr>
      </w:pPr>
      <w:r w:rsidRPr="00AA57CB">
        <w:rPr>
          <w:rFonts w:eastAsia="Calibri" w:cs="Times New Roman"/>
        </w:rPr>
        <w:t>Business proprietors</w:t>
      </w:r>
      <w:r w:rsidRPr="00AA57CB">
        <w:rPr>
          <w:rFonts w:eastAsia="Calibri" w:cs="Times New Roman"/>
        </w:rPr>
        <w:tab/>
      </w:r>
      <w:r w:rsidRPr="00AA57CB">
        <w:rPr>
          <w:rFonts w:eastAsia="Calibri" w:cs="Times New Roman"/>
        </w:rPr>
        <w:tab/>
        <w:t>Self-employed</w:t>
      </w:r>
      <w:r w:rsidRPr="00AA57CB">
        <w:rPr>
          <w:rFonts w:eastAsia="Calibri" w:cs="Times New Roman"/>
        </w:rPr>
        <w:tab/>
      </w:r>
      <w:r w:rsidRPr="00AA57CB">
        <w:rPr>
          <w:rFonts w:eastAsia="Calibri" w:cs="Times New Roman"/>
        </w:rPr>
        <w:tab/>
        <w:t>Employers</w:t>
      </w:r>
    </w:p>
    <w:p w14:paraId="6D22E947" w14:textId="77777777" w:rsidR="00AA57CB" w:rsidRPr="00AA57CB" w:rsidRDefault="00AA57CB" w:rsidP="00AA57CB">
      <w:pPr>
        <w:spacing w:line="360" w:lineRule="auto"/>
        <w:rPr>
          <w:rFonts w:eastAsia="Calibri" w:cs="Times New Roman"/>
        </w:rPr>
      </w:pPr>
      <w:r w:rsidRPr="00AA57CB">
        <w:rPr>
          <w:rFonts w:eastAsia="Calibri" w:cs="Times New Roman"/>
        </w:rPr>
        <w:t>Sector change</w:t>
      </w:r>
      <w:r w:rsidRPr="00AA57CB">
        <w:rPr>
          <w:rFonts w:eastAsia="Calibri" w:cs="Times New Roman"/>
        </w:rPr>
        <w:tab/>
      </w:r>
      <w:r w:rsidRPr="00AA57CB">
        <w:rPr>
          <w:rFonts w:eastAsia="Calibri" w:cs="Times New Roman"/>
        </w:rPr>
        <w:tab/>
        <w:t>Gender</w:t>
      </w:r>
      <w:r w:rsidRPr="00AA57CB">
        <w:rPr>
          <w:rFonts w:eastAsia="Calibri" w:cs="Times New Roman"/>
        </w:rPr>
        <w:tab/>
      </w:r>
      <w:r w:rsidRPr="00AA57CB">
        <w:rPr>
          <w:rFonts w:eastAsia="Calibri" w:cs="Times New Roman"/>
        </w:rPr>
        <w:tab/>
        <w:t>Female entrepreneurship</w:t>
      </w:r>
      <w:r w:rsidRPr="00AA57CB">
        <w:rPr>
          <w:rFonts w:eastAsia="Calibri" w:cs="Times New Roman"/>
        </w:rPr>
        <w:tab/>
      </w:r>
      <w:r w:rsidRPr="00AA57CB">
        <w:rPr>
          <w:rFonts w:eastAsia="Calibri" w:cs="Times New Roman"/>
        </w:rPr>
        <w:tab/>
        <w:t>Census</w:t>
      </w:r>
    </w:p>
    <w:p w14:paraId="6F5C47CB" w14:textId="77777777" w:rsidR="00AA57CB" w:rsidRPr="00AA57CB" w:rsidRDefault="00AA57CB" w:rsidP="00AA57CB">
      <w:pPr>
        <w:spacing w:line="360" w:lineRule="auto"/>
        <w:rPr>
          <w:rFonts w:eastAsia="Calibri" w:cs="Times New Roman"/>
        </w:rPr>
      </w:pPr>
      <w:r w:rsidRPr="00AA57CB">
        <w:rPr>
          <w:rFonts w:eastAsia="Calibri" w:cs="Times New Roman"/>
        </w:rPr>
        <w:t>Family firms</w:t>
      </w:r>
      <w:r w:rsidRPr="00AA57CB">
        <w:rPr>
          <w:rFonts w:eastAsia="Calibri" w:cs="Times New Roman"/>
        </w:rPr>
        <w:tab/>
      </w:r>
      <w:r w:rsidRPr="00AA57CB">
        <w:rPr>
          <w:rFonts w:eastAsia="Calibri" w:cs="Times New Roman"/>
        </w:rPr>
        <w:tab/>
        <w:t>Sole proprietors</w:t>
      </w:r>
      <w:r w:rsidRPr="00AA57CB">
        <w:rPr>
          <w:rFonts w:eastAsia="Calibri" w:cs="Times New Roman"/>
        </w:rPr>
        <w:tab/>
      </w:r>
      <w:r w:rsidRPr="00AA57CB">
        <w:rPr>
          <w:rFonts w:eastAsia="Calibri" w:cs="Times New Roman"/>
        </w:rPr>
        <w:tab/>
        <w:t>Professions</w:t>
      </w:r>
      <w:r w:rsidRPr="00AA57CB">
        <w:rPr>
          <w:rFonts w:eastAsia="Calibri" w:cs="Times New Roman"/>
        </w:rPr>
        <w:tab/>
      </w:r>
      <w:r w:rsidRPr="00AA57CB">
        <w:rPr>
          <w:rFonts w:eastAsia="Calibri" w:cs="Times New Roman"/>
        </w:rPr>
        <w:tab/>
        <w:t>Maker-dealers</w:t>
      </w:r>
    </w:p>
    <w:p w14:paraId="423B3274" w14:textId="77777777" w:rsidR="00AA57CB" w:rsidRPr="00AA57CB" w:rsidRDefault="00AA57CB" w:rsidP="00AA57CB">
      <w:pPr>
        <w:spacing w:line="360" w:lineRule="auto"/>
        <w:rPr>
          <w:rFonts w:eastAsia="Calibri" w:cs="Times New Roman"/>
        </w:rPr>
      </w:pPr>
      <w:r w:rsidRPr="00AA57CB">
        <w:rPr>
          <w:rFonts w:eastAsia="Calibri" w:cs="Times New Roman"/>
        </w:rPr>
        <w:t>Retail</w:t>
      </w:r>
      <w:r w:rsidRPr="00AA57CB">
        <w:rPr>
          <w:rFonts w:eastAsia="Calibri" w:cs="Times New Roman"/>
        </w:rPr>
        <w:tab/>
      </w:r>
      <w:r w:rsidRPr="00AA57CB">
        <w:rPr>
          <w:rFonts w:eastAsia="Calibri" w:cs="Times New Roman"/>
        </w:rPr>
        <w:tab/>
        <w:t>Manufacturers</w:t>
      </w:r>
      <w:r w:rsidRPr="00AA57CB">
        <w:rPr>
          <w:rFonts w:eastAsia="Calibri" w:cs="Times New Roman"/>
        </w:rPr>
        <w:tab/>
      </w:r>
      <w:r w:rsidRPr="00AA57CB">
        <w:rPr>
          <w:rFonts w:eastAsia="Calibri" w:cs="Times New Roman"/>
        </w:rPr>
        <w:tab/>
        <w:t>Mining</w:t>
      </w:r>
      <w:r w:rsidRPr="00AA57CB">
        <w:rPr>
          <w:rFonts w:eastAsia="Calibri" w:cs="Times New Roman"/>
        </w:rPr>
        <w:tab/>
      </w:r>
      <w:r w:rsidRPr="00AA57CB">
        <w:rPr>
          <w:rFonts w:eastAsia="Calibri" w:cs="Times New Roman"/>
        </w:rPr>
        <w:tab/>
        <w:t>Farmers</w:t>
      </w:r>
    </w:p>
    <w:p w14:paraId="346F416E" w14:textId="77777777" w:rsidR="001D3DB7" w:rsidRDefault="001D3DB7" w:rsidP="002726CD">
      <w:pPr>
        <w:spacing w:line="360" w:lineRule="auto"/>
        <w:rPr>
          <w:b/>
        </w:rPr>
      </w:pPr>
    </w:p>
    <w:p w14:paraId="14C54DE9" w14:textId="77777777" w:rsidR="00AA7738" w:rsidRDefault="00AA7738" w:rsidP="001D3DB7">
      <w:pPr>
        <w:spacing w:line="360" w:lineRule="auto"/>
        <w:rPr>
          <w:b/>
        </w:rPr>
      </w:pPr>
    </w:p>
    <w:p w14:paraId="2B2DEFE1" w14:textId="0EF5B3B8" w:rsidR="004B6FBC" w:rsidRDefault="001D3DB7" w:rsidP="001D3DB7">
      <w:pPr>
        <w:spacing w:line="360" w:lineRule="auto"/>
        <w:rPr>
          <w:b/>
        </w:rPr>
      </w:pPr>
      <w:r>
        <w:rPr>
          <w:b/>
        </w:rPr>
        <w:t>Introduction</w:t>
      </w:r>
    </w:p>
    <w:p w14:paraId="1C585931" w14:textId="77777777" w:rsidR="001D3DB7" w:rsidRPr="001D3DB7" w:rsidRDefault="001D3DB7" w:rsidP="001D3DB7">
      <w:pPr>
        <w:spacing w:line="360" w:lineRule="auto"/>
        <w:rPr>
          <w:b/>
        </w:rPr>
      </w:pPr>
    </w:p>
    <w:p w14:paraId="2592E738" w14:textId="3F9280E8" w:rsidR="008A1FED" w:rsidRDefault="00EB6AE8" w:rsidP="00417D0C">
      <w:pPr>
        <w:spacing w:line="360" w:lineRule="auto"/>
        <w:jc w:val="both"/>
      </w:pPr>
      <w:r w:rsidRPr="00EB6AE8">
        <w:t xml:space="preserve">This </w:t>
      </w:r>
      <w:r w:rsidR="008A1FED">
        <w:t xml:space="preserve">paper </w:t>
      </w:r>
      <w:r>
        <w:t xml:space="preserve">gives the first </w:t>
      </w:r>
      <w:r w:rsidRPr="00EB6AE8">
        <w:t xml:space="preserve">accurate and consistent counts </w:t>
      </w:r>
      <w:r>
        <w:t xml:space="preserve">of the whole population </w:t>
      </w:r>
      <w:r w:rsidRPr="00EB6AE8">
        <w:t xml:space="preserve">of </w:t>
      </w:r>
      <w:r w:rsidR="008A1FED">
        <w:t xml:space="preserve">non-corporate </w:t>
      </w:r>
      <w:r w:rsidRPr="00EB6AE8">
        <w:t>business proprietors</w:t>
      </w:r>
      <w:r>
        <w:t xml:space="preserve"> in England and Wales 1891-1911</w:t>
      </w:r>
      <w:r w:rsidRPr="00EB6AE8">
        <w:t xml:space="preserve">, and </w:t>
      </w:r>
      <w:r>
        <w:t>a</w:t>
      </w:r>
      <w:r w:rsidRPr="00EB6AE8">
        <w:t xml:space="preserve"> breakdown into employers and own account self-employed by sector and gender</w:t>
      </w:r>
      <w:r>
        <w:t xml:space="preserve">. </w:t>
      </w:r>
      <w:r w:rsidR="004B6FBC">
        <w:t xml:space="preserve">Business </w:t>
      </w:r>
      <w:r w:rsidR="001E1115">
        <w:t>historians have</w:t>
      </w:r>
      <w:r w:rsidR="004B6FBC">
        <w:t xml:space="preserve"> </w:t>
      </w:r>
      <w:r w:rsidR="004B6FBC">
        <w:lastRenderedPageBreak/>
        <w:t>long lamented the lack of large</w:t>
      </w:r>
      <w:r w:rsidR="00823E3F">
        <w:t>-</w:t>
      </w:r>
      <w:r w:rsidR="004B6FBC">
        <w:t>scale statistics for the nineteenth</w:t>
      </w:r>
      <w:r w:rsidR="003E50E0">
        <w:t>-</w:t>
      </w:r>
      <w:r w:rsidR="004B6FBC">
        <w:t xml:space="preserve"> and e</w:t>
      </w:r>
      <w:r w:rsidR="00C31FDC">
        <w:t>arly twentieth</w:t>
      </w:r>
      <w:r w:rsidR="003E50E0">
        <w:t>-</w:t>
      </w:r>
      <w:r w:rsidR="00C31FDC">
        <w:t>century British b</w:t>
      </w:r>
      <w:r w:rsidR="004B6FBC">
        <w:t xml:space="preserve">usiness population. </w:t>
      </w:r>
      <w:r w:rsidR="001E1115">
        <w:t>There was</w:t>
      </w:r>
      <w:r w:rsidR="001E1115" w:rsidRPr="001E1115">
        <w:t xml:space="preserve"> </w:t>
      </w:r>
      <w:r w:rsidR="00076146" w:rsidRPr="00076146">
        <w:t>no national registration process</w:t>
      </w:r>
      <w:r w:rsidR="00823E3F">
        <w:t xml:space="preserve"> and consequently</w:t>
      </w:r>
      <w:r w:rsidR="00076146">
        <w:t xml:space="preserve"> </w:t>
      </w:r>
      <w:r w:rsidR="001E1115" w:rsidRPr="001E1115">
        <w:t xml:space="preserve">no contemporary official data on </w:t>
      </w:r>
      <w:r w:rsidR="00076146">
        <w:t>the whole business population.</w:t>
      </w:r>
      <w:r w:rsidR="001E1115" w:rsidRPr="001E1115">
        <w:t xml:space="preserve"> </w:t>
      </w:r>
      <w:r w:rsidR="002D32B9">
        <w:t>Hannah</w:t>
      </w:r>
      <w:r w:rsidR="007157AA">
        <w:t xml:space="preserve"> </w:t>
      </w:r>
      <w:r w:rsidR="00602A90">
        <w:t>(2007: 415</w:t>
      </w:r>
      <w:r w:rsidR="00AA7D9B">
        <w:t>; 201</w:t>
      </w:r>
      <w:r w:rsidR="00602A90">
        <w:t xml:space="preserve">4) </w:t>
      </w:r>
      <w:r w:rsidR="007157AA">
        <w:t>referred</w:t>
      </w:r>
      <w:r w:rsidR="00076146" w:rsidRPr="00076146">
        <w:t xml:space="preserve"> to </w:t>
      </w:r>
      <w:r w:rsidR="00A1480E" w:rsidRPr="00A1480E">
        <w:t xml:space="preserve">information </w:t>
      </w:r>
      <w:r w:rsidR="00A1480E">
        <w:t xml:space="preserve">on </w:t>
      </w:r>
      <w:r w:rsidR="00076146" w:rsidRPr="00076146">
        <w:t xml:space="preserve">nineteenth century business </w:t>
      </w:r>
      <w:r w:rsidR="00A1480E">
        <w:t xml:space="preserve">numbers </w:t>
      </w:r>
      <w:r w:rsidR="00076146" w:rsidRPr="00076146">
        <w:t xml:space="preserve">as a ‘statistical dark age’. </w:t>
      </w:r>
      <w:r w:rsidR="001E1115" w:rsidRPr="001E1115">
        <w:t xml:space="preserve">Jeremy </w:t>
      </w:r>
      <w:r w:rsidR="00602A90">
        <w:t xml:space="preserve">(1998: 331) </w:t>
      </w:r>
      <w:r w:rsidR="001E1115" w:rsidRPr="001E1115">
        <w:t>argue</w:t>
      </w:r>
      <w:r w:rsidR="007157AA">
        <w:t>d</w:t>
      </w:r>
      <w:r w:rsidR="001E1115" w:rsidRPr="001E1115">
        <w:t xml:space="preserve"> that </w:t>
      </w:r>
      <w:r w:rsidR="001E1115">
        <w:t xml:space="preserve">the lack of </w:t>
      </w:r>
      <w:r w:rsidR="001E1115" w:rsidRPr="001E1115">
        <w:t xml:space="preserve">data </w:t>
      </w:r>
      <w:r w:rsidR="007157AA">
        <w:t xml:space="preserve">leads to reliance on </w:t>
      </w:r>
      <w:r w:rsidR="00076146">
        <w:t>varied sources</w:t>
      </w:r>
      <w:r w:rsidR="001E1115">
        <w:t xml:space="preserve"> </w:t>
      </w:r>
      <w:r w:rsidR="00076146">
        <w:t xml:space="preserve">that </w:t>
      </w:r>
      <w:r w:rsidR="00C45CA2">
        <w:t xml:space="preserve">are so ‘scarce and variable’ that </w:t>
      </w:r>
      <w:r w:rsidR="001E1115" w:rsidRPr="001E1115">
        <w:t xml:space="preserve">economy-wide understanding of business dynamics </w:t>
      </w:r>
      <w:r w:rsidR="00C45CA2">
        <w:t xml:space="preserve">is </w:t>
      </w:r>
      <w:r w:rsidR="00505604">
        <w:t>highly restricted</w:t>
      </w:r>
      <w:r w:rsidR="001E1115" w:rsidRPr="001E1115">
        <w:t xml:space="preserve">: </w:t>
      </w:r>
      <w:r w:rsidR="009B63F4">
        <w:t>‘</w:t>
      </w:r>
      <w:r w:rsidR="001E1115" w:rsidRPr="001E1115">
        <w:t>over the long period the statistics are not comparable and therefore not to be t</w:t>
      </w:r>
      <w:r w:rsidR="009B63F4">
        <w:t>rusted for secular comparisons’</w:t>
      </w:r>
      <w:r w:rsidR="001E1115" w:rsidRPr="001E1115">
        <w:t xml:space="preserve">. </w:t>
      </w:r>
    </w:p>
    <w:p w14:paraId="6449BF9E" w14:textId="77777777" w:rsidR="008A1FED" w:rsidRDefault="008A1FED" w:rsidP="00417D0C">
      <w:pPr>
        <w:spacing w:line="360" w:lineRule="auto"/>
        <w:jc w:val="both"/>
      </w:pPr>
    </w:p>
    <w:p w14:paraId="7FB6048C" w14:textId="4465ECAC" w:rsidR="00046056" w:rsidRDefault="002C11FB" w:rsidP="00417D0C">
      <w:pPr>
        <w:spacing w:line="360" w:lineRule="auto"/>
        <w:jc w:val="both"/>
      </w:pPr>
      <w:r>
        <w:t xml:space="preserve">A useful debate has emerged on the need for </w:t>
      </w:r>
      <w:r w:rsidRPr="002C11FB">
        <w:t xml:space="preserve">greater ‘development of generally accessible machine-readable </w:t>
      </w:r>
      <w:proofErr w:type="spellStart"/>
      <w:r w:rsidRPr="002C11FB">
        <w:t>datasets’</w:t>
      </w:r>
      <w:proofErr w:type="spellEnd"/>
      <w:r w:rsidR="00AA7D9B">
        <w:t xml:space="preserve"> (Wardley 2001: 129)</w:t>
      </w:r>
      <w:r w:rsidRPr="002C11FB">
        <w:t>.</w:t>
      </w:r>
      <w:r>
        <w:t xml:space="preserve"> However, </w:t>
      </w:r>
      <w:r w:rsidR="00D7372B">
        <w:t>development of such databases has chiefly focused on corporate and large businesses</w:t>
      </w:r>
      <w:r w:rsidR="00EF7849">
        <w:t>, with significant research into the 100 largest firms</w:t>
      </w:r>
      <w:r w:rsidR="00D7372B">
        <w:t xml:space="preserve">; </w:t>
      </w:r>
      <w:r w:rsidR="00D1760C">
        <w:t xml:space="preserve">but </w:t>
      </w:r>
      <w:r>
        <w:t xml:space="preserve">nothing of scale </w:t>
      </w:r>
      <w:r w:rsidR="00A05B1B">
        <w:t xml:space="preserve">for </w:t>
      </w:r>
      <w:r w:rsidR="002D4FF9">
        <w:t>Britain</w:t>
      </w:r>
      <w:r w:rsidR="00A05B1B">
        <w:t xml:space="preserve"> has emerged </w:t>
      </w:r>
      <w:r w:rsidR="00D7372B">
        <w:t>on non-corporate and smaller businesses</w:t>
      </w:r>
      <w:r w:rsidR="00AA7D9B">
        <w:t xml:space="preserve"> (see Hannah, </w:t>
      </w:r>
      <w:r w:rsidR="00AA7D9B" w:rsidRPr="00AA7D9B">
        <w:t>1983</w:t>
      </w:r>
      <w:r w:rsidR="00AA7D9B">
        <w:t xml:space="preserve">; Jeremy, </w:t>
      </w:r>
      <w:r w:rsidR="00AA7D9B" w:rsidRPr="00AA7D9B">
        <w:t>1991</w:t>
      </w:r>
      <w:r w:rsidR="00AA7D9B">
        <w:t>:</w:t>
      </w:r>
      <w:r w:rsidR="00AA7D9B" w:rsidRPr="00AA7D9B">
        <w:t xml:space="preserve"> 568-72; </w:t>
      </w:r>
      <w:r w:rsidR="00AA7D9B">
        <w:t xml:space="preserve">and </w:t>
      </w:r>
      <w:r w:rsidR="00AA7D9B" w:rsidRPr="00AA7D9B">
        <w:t>recent controvers</w:t>
      </w:r>
      <w:r w:rsidR="00AA7D9B">
        <w:t xml:space="preserve">ies about the 100 largest firms: Wardley, 1999; Hannah, </w:t>
      </w:r>
      <w:r w:rsidR="00AA7D9B" w:rsidRPr="00AA7D9B">
        <w:t>2014).</w:t>
      </w:r>
      <w:r>
        <w:t xml:space="preserve"> </w:t>
      </w:r>
      <w:r w:rsidR="007157AA">
        <w:t xml:space="preserve">Yet the importance of </w:t>
      </w:r>
      <w:r w:rsidR="00A1480E">
        <w:t>non-corporate businesses as both</w:t>
      </w:r>
      <w:r w:rsidR="007157AA">
        <w:t xml:space="preserve"> partnership</w:t>
      </w:r>
      <w:r w:rsidR="00A1480E">
        <w:t>s</w:t>
      </w:r>
      <w:r w:rsidR="007157AA">
        <w:t xml:space="preserve"> and individual proprietor</w:t>
      </w:r>
      <w:r w:rsidR="00A1480E">
        <w:t>s</w:t>
      </w:r>
      <w:r w:rsidR="00BB6B3B">
        <w:t xml:space="preserve"> </w:t>
      </w:r>
      <w:r w:rsidR="00A1480E">
        <w:t>for</w:t>
      </w:r>
      <w:r w:rsidR="00BB6B3B">
        <w:t xml:space="preserve"> </w:t>
      </w:r>
      <w:r w:rsidR="007157AA">
        <w:t xml:space="preserve">this period is well-established. </w:t>
      </w:r>
      <w:r w:rsidR="00DA61D3">
        <w:t>Alfred Marshall (1919: 314)</w:t>
      </w:r>
      <w:r w:rsidR="00935E61" w:rsidRPr="00935E61">
        <w:t xml:space="preserve"> </w:t>
      </w:r>
      <w:r w:rsidR="00935E61">
        <w:t xml:space="preserve">referred to </w:t>
      </w:r>
      <w:r w:rsidR="009E4AD8">
        <w:t xml:space="preserve">non-corporate </w:t>
      </w:r>
      <w:r w:rsidR="00935E61">
        <w:t>partnerships as</w:t>
      </w:r>
      <w:r w:rsidR="00935E61" w:rsidRPr="00935E61">
        <w:t xml:space="preserve"> ‘the representative firm in most industries and tr</w:t>
      </w:r>
      <w:r w:rsidR="00935E61">
        <w:t xml:space="preserve">ades’, </w:t>
      </w:r>
      <w:r w:rsidR="00935E61" w:rsidRPr="00935E61">
        <w:t xml:space="preserve">Pollard </w:t>
      </w:r>
      <w:r w:rsidR="00DA61D3">
        <w:t xml:space="preserve">(1965: 233) </w:t>
      </w:r>
      <w:r w:rsidR="00935E61">
        <w:t xml:space="preserve">called them </w:t>
      </w:r>
      <w:r w:rsidR="00935E61" w:rsidRPr="00935E61">
        <w:t>‘the typical firm</w:t>
      </w:r>
      <w:r w:rsidR="00935E61">
        <w:t>’, and</w:t>
      </w:r>
      <w:r w:rsidR="00935E61" w:rsidRPr="00935E61">
        <w:t xml:space="preserve"> Clapham </w:t>
      </w:r>
      <w:r w:rsidR="00DA61D3">
        <w:t xml:space="preserve">(1932: 112) </w:t>
      </w:r>
      <w:r w:rsidR="00935E61">
        <w:t>concluded that</w:t>
      </w:r>
      <w:r w:rsidR="00935E61" w:rsidRPr="00935E61">
        <w:t xml:space="preserve"> ‘masters’</w:t>
      </w:r>
      <w:r w:rsidR="00CF6167">
        <w:t>, sole proprietors,</w:t>
      </w:r>
      <w:r w:rsidR="00935E61" w:rsidRPr="00935E61">
        <w:t xml:space="preserve"> and partnerships remained the most numerous form of enterprise into the 1930s</w:t>
      </w:r>
      <w:r w:rsidR="00935E61">
        <w:t xml:space="preserve">, </w:t>
      </w:r>
      <w:r w:rsidR="00A1480E">
        <w:t xml:space="preserve">with Hannah </w:t>
      </w:r>
      <w:r w:rsidR="00DA61D3">
        <w:t xml:space="preserve">(2014: 867) </w:t>
      </w:r>
      <w:r w:rsidR="00A1480E">
        <w:t xml:space="preserve">arguing that partnerships </w:t>
      </w:r>
      <w:r w:rsidR="00935E61">
        <w:t>offer</w:t>
      </w:r>
      <w:r w:rsidR="00A1480E">
        <w:t>ed</w:t>
      </w:r>
      <w:r w:rsidR="00935E61">
        <w:t xml:space="preserve"> </w:t>
      </w:r>
      <w:r w:rsidR="00935E61" w:rsidRPr="00935E61">
        <w:t xml:space="preserve">most </w:t>
      </w:r>
      <w:r w:rsidR="00935E61">
        <w:t xml:space="preserve">of the </w:t>
      </w:r>
      <w:r w:rsidR="00935E61" w:rsidRPr="00935E61">
        <w:t>advantages of ‘corporate-n</w:t>
      </w:r>
      <w:r w:rsidR="00DA61D3">
        <w:t>ess’ without becoming companies</w:t>
      </w:r>
      <w:r w:rsidR="008A1FED">
        <w:t xml:space="preserve">. </w:t>
      </w:r>
      <w:r w:rsidR="00A42801">
        <w:t xml:space="preserve">Whilst data do exist on some firms, especially larger ones, and on some sectors at some time points as a result of official enquiries, </w:t>
      </w:r>
      <w:r w:rsidR="00CA1FA8">
        <w:t>regulatory reports</w:t>
      </w:r>
      <w:r w:rsidR="00A42801">
        <w:t xml:space="preserve"> and other records, there </w:t>
      </w:r>
      <w:r w:rsidR="00D7372B">
        <w:t>is</w:t>
      </w:r>
      <w:r>
        <w:t xml:space="preserve"> no source with</w:t>
      </w:r>
      <w:r w:rsidR="00A42801">
        <w:t xml:space="preserve"> systematic </w:t>
      </w:r>
      <w:r w:rsidR="00975D48">
        <w:t xml:space="preserve">national </w:t>
      </w:r>
      <w:r w:rsidR="00A42801">
        <w:t xml:space="preserve">coverage </w:t>
      </w:r>
      <w:r w:rsidR="0021447C">
        <w:t xml:space="preserve">aligned </w:t>
      </w:r>
      <w:r w:rsidR="00E6468D">
        <w:t>over time</w:t>
      </w:r>
      <w:r>
        <w:t xml:space="preserve"> that covers all or most firms</w:t>
      </w:r>
      <w:r w:rsidR="00EF7849">
        <w:t>, especially small firms and self-employed sole trade</w:t>
      </w:r>
      <w:r w:rsidR="00E841E6">
        <w:t>r</w:t>
      </w:r>
      <w:r w:rsidR="00EF7849">
        <w:t>s</w:t>
      </w:r>
      <w:r>
        <w:t>.</w:t>
      </w:r>
      <w:r w:rsidR="00A42801">
        <w:t xml:space="preserve"> </w:t>
      </w:r>
      <w:r>
        <w:t xml:space="preserve">Erickson </w:t>
      </w:r>
      <w:r w:rsidR="00DA61D3">
        <w:t xml:space="preserve">(1959: 7) </w:t>
      </w:r>
      <w:r>
        <w:t>noted</w:t>
      </w:r>
      <w:r w:rsidR="002D32B9">
        <w:t xml:space="preserve"> that </w:t>
      </w:r>
      <w:r w:rsidR="002F4E4B">
        <w:t>even for iron and steel</w:t>
      </w:r>
      <w:r w:rsidR="00CA1FA8">
        <w:t>,</w:t>
      </w:r>
      <w:r w:rsidR="002F4E4B">
        <w:t xml:space="preserve"> a relatively well-recorded industry, </w:t>
      </w:r>
      <w:r w:rsidR="002D32B9">
        <w:t xml:space="preserve">much business history </w:t>
      </w:r>
      <w:r w:rsidR="00A6537E">
        <w:t>derives</w:t>
      </w:r>
      <w:r w:rsidR="002D32B9">
        <w:t xml:space="preserve"> from ‘the proportion of the whole population which historical sources enabled us to study’. </w:t>
      </w:r>
    </w:p>
    <w:p w14:paraId="24D9E6BC" w14:textId="77777777" w:rsidR="00046056" w:rsidRDefault="00046056" w:rsidP="00417D0C">
      <w:pPr>
        <w:spacing w:line="360" w:lineRule="auto"/>
        <w:jc w:val="both"/>
      </w:pPr>
    </w:p>
    <w:p w14:paraId="532733AB" w14:textId="7370CB94" w:rsidR="004B6FBC" w:rsidRDefault="00975D48" w:rsidP="00417D0C">
      <w:pPr>
        <w:spacing w:line="360" w:lineRule="auto"/>
        <w:jc w:val="both"/>
      </w:pPr>
      <w:r>
        <w:t>The lack of data on the majority of businesses, which were overwhelmingly small</w:t>
      </w:r>
      <w:r w:rsidR="007157AA">
        <w:t xml:space="preserve"> and non-corporate</w:t>
      </w:r>
      <w:r>
        <w:t xml:space="preserve">, </w:t>
      </w:r>
      <w:r w:rsidR="00143478">
        <w:t xml:space="preserve">has </w:t>
      </w:r>
      <w:r>
        <w:t>limit</w:t>
      </w:r>
      <w:r w:rsidR="00143478">
        <w:t>ed</w:t>
      </w:r>
      <w:r>
        <w:t xml:space="preserve"> analysis of</w:t>
      </w:r>
      <w:r w:rsidR="00046056">
        <w:t xml:space="preserve"> business trends and proper understanding of the role of different types of</w:t>
      </w:r>
      <w:r>
        <w:t xml:space="preserve"> firm </w:t>
      </w:r>
      <w:r w:rsidR="00046056">
        <w:t xml:space="preserve">within the </w:t>
      </w:r>
      <w:r>
        <w:t>size distribution</w:t>
      </w:r>
      <w:r w:rsidR="00046056">
        <w:t>. This</w:t>
      </w:r>
      <w:r>
        <w:t xml:space="preserve"> makes assessment of distribution between entrepreneurial</w:t>
      </w:r>
      <w:r w:rsidR="007157AA">
        <w:t>, corporate</w:t>
      </w:r>
      <w:r>
        <w:t xml:space="preserve"> and other </w:t>
      </w:r>
      <w:r w:rsidR="002D32B9">
        <w:t>activities</w:t>
      </w:r>
      <w:r>
        <w:t xml:space="preserve"> problematic. As</w:t>
      </w:r>
      <w:r w:rsidR="00A42801">
        <w:t xml:space="preserve"> </w:t>
      </w:r>
      <w:r w:rsidR="00CA1FA8" w:rsidRPr="00CA1FA8">
        <w:t xml:space="preserve">Crossick and Haupt </w:t>
      </w:r>
      <w:r w:rsidR="00DA61D3">
        <w:t xml:space="preserve">(1995: 40) </w:t>
      </w:r>
      <w:r w:rsidR="00CA1FA8" w:rsidRPr="00CA1FA8">
        <w:t>observed</w:t>
      </w:r>
      <w:r w:rsidR="00CA1FA8">
        <w:t>,</w:t>
      </w:r>
      <w:r w:rsidR="00CA1FA8" w:rsidRPr="00CA1FA8">
        <w:t xml:space="preserve"> in the nineteenth century ‘the vitality of small enterprise was not sufficiently important in Britain to shape the gathering of </w:t>
      </w:r>
      <w:r w:rsidR="00BB6AA4">
        <w:t>Census</w:t>
      </w:r>
      <w:r w:rsidR="00CA1FA8" w:rsidRPr="00CA1FA8">
        <w:t xml:space="preserve"> statistics’</w:t>
      </w:r>
      <w:r w:rsidR="00CA1FA8">
        <w:t xml:space="preserve">; </w:t>
      </w:r>
      <w:r w:rsidR="00A42801">
        <w:t xml:space="preserve">Payne </w:t>
      </w:r>
      <w:r w:rsidR="00DA61D3">
        <w:t xml:space="preserve">(1988: 22) </w:t>
      </w:r>
      <w:r w:rsidR="00CA1FA8">
        <w:lastRenderedPageBreak/>
        <w:t>argue</w:t>
      </w:r>
      <w:r w:rsidR="00823E3F">
        <w:t>d</w:t>
      </w:r>
      <w:r w:rsidR="00A42801" w:rsidRPr="00A42801">
        <w:t xml:space="preserve"> small businesses were the ‘regiments of the anonymous’</w:t>
      </w:r>
      <w:r w:rsidR="002D32B9">
        <w:t xml:space="preserve"> with a tendency for business histories to be ‘inherently biased towards the successful’</w:t>
      </w:r>
      <w:r w:rsidR="001E1115" w:rsidRPr="001E1115">
        <w:t xml:space="preserve">. </w:t>
      </w:r>
      <w:r>
        <w:t xml:space="preserve"> </w:t>
      </w:r>
      <w:r w:rsidR="009408A6">
        <w:t>Similarly, w</w:t>
      </w:r>
      <w:r w:rsidR="009408A6" w:rsidRPr="009408A6">
        <w:t xml:space="preserve">hilst the 1890s were observed by Marshall as the period when corporations began to take over, it has been impossible to assess the speed and extent of this in relation to rest of the business population.  </w:t>
      </w:r>
      <w:r>
        <w:t>This paper seeks to fill</w:t>
      </w:r>
      <w:r w:rsidR="00A05B1B">
        <w:t xml:space="preserve"> some of</w:t>
      </w:r>
      <w:r>
        <w:t xml:space="preserve"> th</w:t>
      </w:r>
      <w:r w:rsidR="009408A6">
        <w:t>ese</w:t>
      </w:r>
      <w:r>
        <w:t xml:space="preserve"> gap</w:t>
      </w:r>
      <w:r w:rsidR="009408A6">
        <w:t>s</w:t>
      </w:r>
      <w:r w:rsidR="002D4FF9">
        <w:t xml:space="preserve">; it reveals </w:t>
      </w:r>
      <w:r w:rsidR="004F71F9">
        <w:t xml:space="preserve">the persistence of </w:t>
      </w:r>
      <w:r w:rsidR="009408A6">
        <w:t xml:space="preserve">non-corporate </w:t>
      </w:r>
      <w:r w:rsidR="004F71F9">
        <w:t>firms</w:t>
      </w:r>
      <w:r w:rsidR="009408A6">
        <w:t>, individual self-employment,</w:t>
      </w:r>
      <w:r w:rsidR="001D3DB7">
        <w:t xml:space="preserve"> and the importance of sector and gender</w:t>
      </w:r>
      <w:r w:rsidR="001D3DB7" w:rsidRPr="001D3DB7">
        <w:t xml:space="preserve"> differentia</w:t>
      </w:r>
      <w:r w:rsidR="001D3DB7">
        <w:t>tion.</w:t>
      </w:r>
      <w:r w:rsidR="004F71F9">
        <w:t xml:space="preserve">  This is a counterpoint to the dominant trend of much business history for the period before World War I </w:t>
      </w:r>
      <w:r w:rsidR="00823E3F">
        <w:t>that focuses</w:t>
      </w:r>
      <w:r w:rsidR="004F71F9">
        <w:t xml:space="preserve"> on the emergence of the large firm</w:t>
      </w:r>
      <w:r w:rsidR="009408A6">
        <w:t xml:space="preserve"> and corporations</w:t>
      </w:r>
      <w:r>
        <w:t>.</w:t>
      </w:r>
    </w:p>
    <w:p w14:paraId="21F61771" w14:textId="77777777" w:rsidR="0021447C" w:rsidRDefault="0021447C" w:rsidP="00417D0C">
      <w:pPr>
        <w:spacing w:line="360" w:lineRule="auto"/>
        <w:jc w:val="both"/>
      </w:pPr>
    </w:p>
    <w:p w14:paraId="78EE083D" w14:textId="16D8DC86" w:rsidR="00417D0C" w:rsidRPr="00A05B1B" w:rsidRDefault="00B66E97" w:rsidP="00417D0C">
      <w:pPr>
        <w:spacing w:line="360" w:lineRule="auto"/>
        <w:jc w:val="both"/>
        <w:rPr>
          <w:u w:val="single"/>
        </w:rPr>
      </w:pPr>
      <w:r>
        <w:t xml:space="preserve">A </w:t>
      </w:r>
      <w:r w:rsidR="00E6468D">
        <w:t xml:space="preserve">source of information </w:t>
      </w:r>
      <w:r w:rsidR="00975D48">
        <w:t xml:space="preserve">on </w:t>
      </w:r>
      <w:r w:rsidR="00A05B1B">
        <w:t xml:space="preserve">most of </w:t>
      </w:r>
      <w:r w:rsidR="00975D48">
        <w:t xml:space="preserve">the business population, including almost all small enterprises, </w:t>
      </w:r>
      <w:r w:rsidR="00E6468D">
        <w:t xml:space="preserve">has been lurking within sight but out of reach. The population </w:t>
      </w:r>
      <w:r w:rsidR="00BB6AA4">
        <w:t>Census</w:t>
      </w:r>
      <w:r w:rsidR="00E306FF">
        <w:t xml:space="preserve"> </w:t>
      </w:r>
      <w:r w:rsidR="00E6468D">
        <w:t xml:space="preserve">contained information on business </w:t>
      </w:r>
      <w:r w:rsidR="00143478">
        <w:t xml:space="preserve">proprietors </w:t>
      </w:r>
      <w:r w:rsidR="002A4083">
        <w:t xml:space="preserve">through counts of </w:t>
      </w:r>
      <w:r w:rsidR="00E6468D">
        <w:t>employers and the self-employed</w:t>
      </w:r>
      <w:r w:rsidR="00975D48">
        <w:t xml:space="preserve"> over 1891-1911</w:t>
      </w:r>
      <w:r w:rsidR="00E6468D">
        <w:t>, but m</w:t>
      </w:r>
      <w:r w:rsidR="00975D48">
        <w:t>uch</w:t>
      </w:r>
      <w:r w:rsidR="00E6468D">
        <w:t xml:space="preserve"> of this information was either never published or was reported only in partial or limited summaries. The original </w:t>
      </w:r>
      <w:r w:rsidR="00BB6AA4">
        <w:t>Census</w:t>
      </w:r>
      <w:r w:rsidR="00E306FF">
        <w:t xml:space="preserve"> </w:t>
      </w:r>
      <w:r w:rsidR="009E4AD8">
        <w:t xml:space="preserve">household </w:t>
      </w:r>
      <w:r w:rsidR="00E6468D">
        <w:t xml:space="preserve">records contained the information but were inaccessible on the scale required to yield full population </w:t>
      </w:r>
      <w:r w:rsidR="002A4083">
        <w:t>estimates</w:t>
      </w:r>
      <w:r w:rsidR="00E6468D">
        <w:t xml:space="preserve">. However, </w:t>
      </w:r>
      <w:r>
        <w:t>s</w:t>
      </w:r>
      <w:r w:rsidR="00E6468D">
        <w:t xml:space="preserve">ince 2014 the full </w:t>
      </w:r>
      <w:r w:rsidR="00315A4B">
        <w:t xml:space="preserve">individual </w:t>
      </w:r>
      <w:r w:rsidR="00E6468D">
        <w:t xml:space="preserve">records of the </w:t>
      </w:r>
      <w:r w:rsidR="00BB6AA4">
        <w:t>Census</w:t>
      </w:r>
      <w:r w:rsidR="00E6468D">
        <w:t xml:space="preserve">es </w:t>
      </w:r>
      <w:r w:rsidR="00417D0C">
        <w:t xml:space="preserve">from 1851 to 1911 </w:t>
      </w:r>
      <w:r w:rsidR="00E6468D">
        <w:t>have been</w:t>
      </w:r>
      <w:r w:rsidR="0021447C" w:rsidRPr="0021447C">
        <w:t xml:space="preserve"> </w:t>
      </w:r>
      <w:r w:rsidR="0021447C">
        <w:t xml:space="preserve">become available electronically </w:t>
      </w:r>
      <w:r w:rsidR="00C45CA2" w:rsidRPr="00C45CA2">
        <w:t>th</w:t>
      </w:r>
      <w:r w:rsidR="00C45CA2">
        <w:t>rough the</w:t>
      </w:r>
      <w:r w:rsidR="00C45CA2" w:rsidRPr="00C45CA2">
        <w:t xml:space="preserve"> Integrated </w:t>
      </w:r>
      <w:r w:rsidR="00BB6AA4">
        <w:t>Census</w:t>
      </w:r>
      <w:r w:rsidR="00E306FF">
        <w:t xml:space="preserve"> </w:t>
      </w:r>
      <w:r w:rsidR="00C45CA2" w:rsidRPr="00C45CA2">
        <w:t>Microdata (I-CeM)</w:t>
      </w:r>
      <w:r w:rsidR="00C45CA2">
        <w:t xml:space="preserve"> database</w:t>
      </w:r>
      <w:r w:rsidR="00DA61D3">
        <w:t xml:space="preserve"> (Higgs and Schürer, 2014)</w:t>
      </w:r>
      <w:r w:rsidR="00C45CA2">
        <w:t>.</w:t>
      </w:r>
      <w:r w:rsidR="00143478">
        <w:rPr>
          <w:rStyle w:val="EndnoteReference"/>
        </w:rPr>
        <w:endnoteReference w:id="1"/>
      </w:r>
      <w:r w:rsidR="00C45CA2" w:rsidRPr="00C45CA2">
        <w:t xml:space="preserve"> </w:t>
      </w:r>
      <w:r w:rsidR="00C45CA2">
        <w:t xml:space="preserve"> This</w:t>
      </w:r>
      <w:r w:rsidR="0021447C">
        <w:t xml:space="preserve"> can be used </w:t>
      </w:r>
      <w:r w:rsidR="00315A4B">
        <w:t xml:space="preserve">to </w:t>
      </w:r>
      <w:r w:rsidR="002D4FF9">
        <w:t>identify</w:t>
      </w:r>
      <w:r w:rsidR="00315A4B">
        <w:t xml:space="preserve"> business</w:t>
      </w:r>
      <w:r w:rsidR="006B048B">
        <w:t xml:space="preserve"> proprietors</w:t>
      </w:r>
      <w:r w:rsidR="0021447C">
        <w:t xml:space="preserve"> in</w:t>
      </w:r>
      <w:r w:rsidR="00315A4B">
        <w:t xml:space="preserve"> a wa</w:t>
      </w:r>
      <w:r w:rsidR="00C45CA2">
        <w:t>y not previously possible</w:t>
      </w:r>
      <w:r w:rsidR="00975D48">
        <w:t xml:space="preserve">. </w:t>
      </w:r>
    </w:p>
    <w:p w14:paraId="5EBF0338" w14:textId="77777777" w:rsidR="002A4FA4" w:rsidRDefault="002A4FA4" w:rsidP="00417D0C">
      <w:pPr>
        <w:spacing w:line="360" w:lineRule="auto"/>
        <w:jc w:val="both"/>
      </w:pPr>
    </w:p>
    <w:p w14:paraId="60EB6D4F" w14:textId="64465E51" w:rsidR="00BE3EC5" w:rsidRDefault="00417D0C" w:rsidP="00417D0C">
      <w:pPr>
        <w:spacing w:line="360" w:lineRule="auto"/>
        <w:jc w:val="both"/>
      </w:pPr>
      <w:r>
        <w:t xml:space="preserve">The </w:t>
      </w:r>
      <w:r w:rsidR="00B66E97">
        <w:t>paper</w:t>
      </w:r>
      <w:r>
        <w:t xml:space="preserve"> use</w:t>
      </w:r>
      <w:r w:rsidR="00D1760C">
        <w:t>s</w:t>
      </w:r>
      <w:r>
        <w:t xml:space="preserve"> the population </w:t>
      </w:r>
      <w:r w:rsidR="00BB6AA4">
        <w:t>Census</w:t>
      </w:r>
      <w:r w:rsidR="00E306FF">
        <w:t xml:space="preserve"> </w:t>
      </w:r>
      <w:r w:rsidR="00C45CA2">
        <w:t xml:space="preserve">records </w:t>
      </w:r>
      <w:r>
        <w:t xml:space="preserve">to construct a time series of </w:t>
      </w:r>
      <w:r w:rsidR="00A05B1B">
        <w:t xml:space="preserve">the </w:t>
      </w:r>
      <w:r w:rsidR="00C803E9" w:rsidRPr="00C803E9">
        <w:t xml:space="preserve">population </w:t>
      </w:r>
      <w:r w:rsidR="00B66E97">
        <w:t xml:space="preserve">of </w:t>
      </w:r>
      <w:r w:rsidR="00C803E9" w:rsidRPr="00C803E9">
        <w:t>business proprietors</w:t>
      </w:r>
      <w:r>
        <w:t xml:space="preserve"> for the first period in which the </w:t>
      </w:r>
      <w:r w:rsidR="00BB6AA4">
        <w:t>Census</w:t>
      </w:r>
      <w:r w:rsidR="00E306FF">
        <w:t xml:space="preserve"> </w:t>
      </w:r>
      <w:r w:rsidR="00666511">
        <w:t xml:space="preserve">fully </w:t>
      </w:r>
      <w:r>
        <w:t xml:space="preserve">covers all </w:t>
      </w:r>
      <w:r w:rsidR="005413CC">
        <w:t xml:space="preserve">non-corporate </w:t>
      </w:r>
      <w:r>
        <w:t xml:space="preserve">employers and self-employed: 1891-1911. </w:t>
      </w:r>
      <w:r w:rsidR="00046056" w:rsidRPr="00046056">
        <w:t xml:space="preserve">Self-employment was defined at this time as individuals operating on ‘own account’ not employing others. </w:t>
      </w:r>
      <w:r w:rsidR="00975D48">
        <w:t>The focus is on estimat</w:t>
      </w:r>
      <w:r w:rsidR="00046056">
        <w:t>ing the</w:t>
      </w:r>
      <w:r w:rsidR="00975D48">
        <w:t xml:space="preserve"> 1891-1911 </w:t>
      </w:r>
      <w:r w:rsidR="009408A6">
        <w:t>business population</w:t>
      </w:r>
      <w:r w:rsidR="009408A6" w:rsidRPr="009408A6">
        <w:t xml:space="preserve"> </w:t>
      </w:r>
      <w:r w:rsidR="009408A6">
        <w:t>by</w:t>
      </w:r>
      <w:r w:rsidR="009408A6" w:rsidRPr="009408A6">
        <w:t xml:space="preserve"> accurate and consistent identification of </w:t>
      </w:r>
      <w:r w:rsidR="00BE3EC5">
        <w:t xml:space="preserve">non-corporate </w:t>
      </w:r>
      <w:r w:rsidR="009408A6" w:rsidRPr="009408A6">
        <w:t>business proprietors</w:t>
      </w:r>
      <w:r w:rsidR="004F71F9">
        <w:t xml:space="preserve">. </w:t>
      </w:r>
      <w:r w:rsidR="00AF36B3">
        <w:t xml:space="preserve">As </w:t>
      </w:r>
      <w:r w:rsidR="00F03ABD">
        <w:t xml:space="preserve">the </w:t>
      </w:r>
      <w:r w:rsidR="00BB6AA4">
        <w:t>Census</w:t>
      </w:r>
      <w:r w:rsidR="00AF36B3">
        <w:t xml:space="preserve">es provide data </w:t>
      </w:r>
      <w:r w:rsidR="00F03ABD">
        <w:t>on all</w:t>
      </w:r>
      <w:r w:rsidR="00AF36B3">
        <w:t xml:space="preserve"> individual</w:t>
      </w:r>
      <w:r w:rsidR="00F03ABD">
        <w:t>s</w:t>
      </w:r>
      <w:r w:rsidR="00AF36B3">
        <w:t xml:space="preserve"> for the whole population</w:t>
      </w:r>
      <w:r w:rsidR="00BE3EC5">
        <w:t xml:space="preserve">, </w:t>
      </w:r>
      <w:r w:rsidR="00482AA2">
        <w:t xml:space="preserve">this is </w:t>
      </w:r>
      <w:r w:rsidR="00BE3EC5">
        <w:t>an essential preliminary</w:t>
      </w:r>
      <w:r w:rsidR="009408A6">
        <w:t xml:space="preserve"> </w:t>
      </w:r>
      <w:r w:rsidR="00BE3EC5">
        <w:t>for opening</w:t>
      </w:r>
      <w:r w:rsidR="00AF36B3">
        <w:t xml:space="preserve"> up a wide range of </w:t>
      </w:r>
      <w:r w:rsidR="00BE3EC5">
        <w:t>opportunities</w:t>
      </w:r>
      <w:r w:rsidR="00AF36B3">
        <w:t xml:space="preserve"> for </w:t>
      </w:r>
      <w:r w:rsidR="005413CC">
        <w:t xml:space="preserve">whole-population </w:t>
      </w:r>
      <w:r w:rsidR="00AF36B3">
        <w:t>researc</w:t>
      </w:r>
      <w:r w:rsidR="00C45CA2">
        <w:t>h by business historians at the</w:t>
      </w:r>
      <w:r w:rsidR="00AF36B3">
        <w:t xml:space="preserve"> individual </w:t>
      </w:r>
      <w:r w:rsidR="009408A6">
        <w:t>level</w:t>
      </w:r>
      <w:r w:rsidR="00AF36B3">
        <w:t>. Th</w:t>
      </w:r>
      <w:r w:rsidR="00A05B1B">
        <w:t xml:space="preserve">is </w:t>
      </w:r>
      <w:r w:rsidR="009408A6">
        <w:t xml:space="preserve">is </w:t>
      </w:r>
      <w:r w:rsidR="00A05B1B">
        <w:t>a step towards</w:t>
      </w:r>
      <w:r w:rsidR="00AF36B3">
        <w:t xml:space="preserve"> analysis</w:t>
      </w:r>
      <w:r w:rsidR="00EE2DE6">
        <w:t xml:space="preserve"> of</w:t>
      </w:r>
      <w:r w:rsidR="00AF36B3">
        <w:t xml:space="preserve"> </w:t>
      </w:r>
      <w:r w:rsidR="00BE3EC5">
        <w:t>the</w:t>
      </w:r>
      <w:r w:rsidR="00AF36B3">
        <w:t xml:space="preserve"> business characteristics</w:t>
      </w:r>
      <w:r w:rsidR="00BE3EC5" w:rsidRPr="00BE3EC5">
        <w:t xml:space="preserve"> of all individuals</w:t>
      </w:r>
      <w:r w:rsidR="00AF36B3">
        <w:t>,</w:t>
      </w:r>
      <w:r w:rsidR="00BE3EC5">
        <w:t xml:space="preserve"> their</w:t>
      </w:r>
      <w:r w:rsidR="00AF36B3">
        <w:t xml:space="preserve"> industry sector, gender, family structure, and location</w:t>
      </w:r>
      <w:r w:rsidR="00D758A5">
        <w:t>,</w:t>
      </w:r>
      <w:r w:rsidR="00AF36B3">
        <w:t xml:space="preserve"> </w:t>
      </w:r>
      <w:r w:rsidR="00D758A5">
        <w:t xml:space="preserve">opening </w:t>
      </w:r>
      <w:r w:rsidR="00AF36B3">
        <w:t xml:space="preserve">major opportunities </w:t>
      </w:r>
      <w:r w:rsidR="00F03ABD">
        <w:t>for</w:t>
      </w:r>
      <w:r w:rsidR="00AF36B3">
        <w:t xml:space="preserve"> ‘big data’</w:t>
      </w:r>
      <w:r w:rsidR="00BE3EC5">
        <w:t>. The estimates from this paper provide the starting point for such analysis by accurately identifying the population</w:t>
      </w:r>
      <w:r w:rsidR="007864D6">
        <w:t xml:space="preserve"> of proprietors.</w:t>
      </w:r>
      <w:r w:rsidR="00BE3EC5">
        <w:t xml:space="preserve"> </w:t>
      </w:r>
      <w:r w:rsidR="007864D6">
        <w:t xml:space="preserve"> </w:t>
      </w:r>
      <w:r w:rsidR="00666511">
        <w:t xml:space="preserve">These </w:t>
      </w:r>
      <w:r w:rsidR="00984893">
        <w:t>are part</w:t>
      </w:r>
      <w:r w:rsidR="00BE3EC5">
        <w:t xml:space="preserve"> of a UK Data Archive (</w:t>
      </w:r>
      <w:r w:rsidR="00BE3EC5" w:rsidRPr="00BE3EC5">
        <w:t>UKDA</w:t>
      </w:r>
      <w:r w:rsidR="00BE3EC5">
        <w:t>) database deposit available to all business historians.</w:t>
      </w:r>
      <w:r w:rsidR="007864D6">
        <w:rPr>
          <w:rStyle w:val="EndnoteReference"/>
        </w:rPr>
        <w:endnoteReference w:id="2"/>
      </w:r>
    </w:p>
    <w:p w14:paraId="42CD541A" w14:textId="77777777" w:rsidR="00BE3EC5" w:rsidRDefault="00BE3EC5" w:rsidP="00417D0C">
      <w:pPr>
        <w:spacing w:line="360" w:lineRule="auto"/>
        <w:jc w:val="both"/>
      </w:pPr>
    </w:p>
    <w:p w14:paraId="5A205292" w14:textId="087D6893" w:rsidR="00E6468D" w:rsidRDefault="00417D0C" w:rsidP="00417D0C">
      <w:pPr>
        <w:spacing w:line="360" w:lineRule="auto"/>
        <w:jc w:val="both"/>
      </w:pPr>
      <w:r>
        <w:lastRenderedPageBreak/>
        <w:t xml:space="preserve">The next section of the paper </w:t>
      </w:r>
      <w:r w:rsidR="00F86D89">
        <w:t>discusses the information that h</w:t>
      </w:r>
      <w:r w:rsidR="00904E60">
        <w:t>as been previously available fro</w:t>
      </w:r>
      <w:r w:rsidR="00F86D89">
        <w:t xml:space="preserve">m the </w:t>
      </w:r>
      <w:r w:rsidR="00BB6AA4">
        <w:t>Census</w:t>
      </w:r>
      <w:r w:rsidR="00F86D89">
        <w:t xml:space="preserve"> </w:t>
      </w:r>
      <w:r w:rsidR="00EB714C">
        <w:t>and its limitations</w:t>
      </w:r>
      <w:r w:rsidR="00F86D89">
        <w:t xml:space="preserve">. Section 3 </w:t>
      </w:r>
      <w:r>
        <w:t>outlines how</w:t>
      </w:r>
      <w:r w:rsidR="00EE2DE6">
        <w:t xml:space="preserve"> I-CeM</w:t>
      </w:r>
      <w:r>
        <w:t xml:space="preserve"> can be used to identify the business </w:t>
      </w:r>
      <w:r w:rsidR="006B048B" w:rsidRPr="006B048B">
        <w:t>proprietors</w:t>
      </w:r>
      <w:r w:rsidR="002A4083">
        <w:t xml:space="preserve"> for 1891-1911</w:t>
      </w:r>
      <w:r>
        <w:t xml:space="preserve">. Section </w:t>
      </w:r>
      <w:r w:rsidR="00F86D89">
        <w:t>4</w:t>
      </w:r>
      <w:r w:rsidR="00974084">
        <w:t xml:space="preserve"> develops the methodology</w:t>
      </w:r>
      <w:r w:rsidR="00C803E9">
        <w:t xml:space="preserve">. </w:t>
      </w:r>
      <w:r w:rsidR="002A4083">
        <w:t>Section</w:t>
      </w:r>
      <w:r w:rsidR="00F86D89">
        <w:t xml:space="preserve"> 5</w:t>
      </w:r>
      <w:r w:rsidR="00CC4605">
        <w:t xml:space="preserve"> </w:t>
      </w:r>
      <w:r w:rsidR="00C803E9">
        <w:t xml:space="preserve">presents the estimates of the </w:t>
      </w:r>
      <w:r w:rsidR="00C803E9" w:rsidRPr="00C803E9">
        <w:t xml:space="preserve">population </w:t>
      </w:r>
      <w:r w:rsidR="0003007B">
        <w:t xml:space="preserve">of </w:t>
      </w:r>
      <w:r w:rsidR="00C803E9" w:rsidRPr="00C803E9">
        <w:t>business proprietors</w:t>
      </w:r>
      <w:r w:rsidR="005778D9">
        <w:t xml:space="preserve"> by main sector, business form, and gender</w:t>
      </w:r>
      <w:r w:rsidR="00C803E9">
        <w:t xml:space="preserve">. The </w:t>
      </w:r>
      <w:r w:rsidR="009E716A">
        <w:t>conclusion</w:t>
      </w:r>
      <w:r w:rsidR="00C803E9">
        <w:t xml:space="preserve"> </w:t>
      </w:r>
      <w:r w:rsidR="00E76785">
        <w:t xml:space="preserve">summarises the results and </w:t>
      </w:r>
      <w:r w:rsidR="00C803E9">
        <w:t>assesses</w:t>
      </w:r>
      <w:r w:rsidR="00974084">
        <w:t xml:space="preserve"> the implications of these new estimates for further research.</w:t>
      </w:r>
    </w:p>
    <w:p w14:paraId="250C7ED0" w14:textId="77777777" w:rsidR="0080619B" w:rsidRDefault="0080619B" w:rsidP="002726CD">
      <w:pPr>
        <w:spacing w:line="360" w:lineRule="auto"/>
      </w:pPr>
    </w:p>
    <w:p w14:paraId="6B69A7E2" w14:textId="60E49A6E" w:rsidR="00F86D89" w:rsidRPr="00F86D89" w:rsidRDefault="00F86D89" w:rsidP="00F86D89">
      <w:pPr>
        <w:spacing w:line="360" w:lineRule="auto"/>
        <w:jc w:val="both"/>
        <w:rPr>
          <w:b/>
        </w:rPr>
      </w:pPr>
      <w:r w:rsidRPr="00F86D89">
        <w:rPr>
          <w:b/>
        </w:rPr>
        <w:t>Pu</w:t>
      </w:r>
      <w:r w:rsidR="00066C94">
        <w:rPr>
          <w:b/>
        </w:rPr>
        <w:t xml:space="preserve">blished </w:t>
      </w:r>
      <w:r w:rsidR="00BB6AA4">
        <w:rPr>
          <w:b/>
        </w:rPr>
        <w:t>Census</w:t>
      </w:r>
      <w:r w:rsidR="00E306FF">
        <w:rPr>
          <w:b/>
        </w:rPr>
        <w:t xml:space="preserve"> </w:t>
      </w:r>
      <w:r w:rsidR="00066C94">
        <w:rPr>
          <w:b/>
        </w:rPr>
        <w:t xml:space="preserve">business </w:t>
      </w:r>
      <w:r w:rsidR="006B048B" w:rsidRPr="006B048B">
        <w:rPr>
          <w:b/>
        </w:rPr>
        <w:t>proprietor</w:t>
      </w:r>
      <w:r w:rsidR="006B048B">
        <w:rPr>
          <w:b/>
        </w:rPr>
        <w:t xml:space="preserve"> </w:t>
      </w:r>
      <w:r w:rsidR="00066C94">
        <w:rPr>
          <w:b/>
        </w:rPr>
        <w:t>numbers and limitations</w:t>
      </w:r>
    </w:p>
    <w:p w14:paraId="4F5A7D64" w14:textId="77777777" w:rsidR="00F86D89" w:rsidRDefault="00F86D89" w:rsidP="00F86D89">
      <w:pPr>
        <w:spacing w:line="360" w:lineRule="auto"/>
        <w:jc w:val="both"/>
      </w:pPr>
    </w:p>
    <w:p w14:paraId="5D893B92" w14:textId="1FC94B28" w:rsidR="00F86D89" w:rsidRDefault="0003007B" w:rsidP="00F86D89">
      <w:pPr>
        <w:spacing w:line="360" w:lineRule="auto"/>
        <w:jc w:val="both"/>
      </w:pPr>
      <w:r>
        <w:t>Some</w:t>
      </w:r>
      <w:r w:rsidR="00F86D89">
        <w:t xml:space="preserve"> information on the business population </w:t>
      </w:r>
      <w:r>
        <w:t xml:space="preserve">identified in </w:t>
      </w:r>
      <w:r w:rsidR="00BB6AA4">
        <w:t>Census</w:t>
      </w:r>
      <w:r w:rsidR="00F86D89">
        <w:t>es of this period was p</w:t>
      </w:r>
      <w:r w:rsidR="00F86D89" w:rsidRPr="00076146">
        <w:t>ublished.</w:t>
      </w:r>
      <w:r w:rsidR="00F86D89">
        <w:t xml:space="preserve"> For example, in 1891 a table of the numbers of employers and </w:t>
      </w:r>
      <w:r>
        <w:t>‘</w:t>
      </w:r>
      <w:r w:rsidR="00F86D89">
        <w:t>own account</w:t>
      </w:r>
      <w:r>
        <w:t>’</w:t>
      </w:r>
      <w:r w:rsidR="00F86D89">
        <w:t xml:space="preserve"> businesses for a selection of occupations by gender aged 10 and upwards was published</w:t>
      </w:r>
      <w:r w:rsidR="00543CBF">
        <w:t xml:space="preserve"> (PP</w:t>
      </w:r>
      <w:r w:rsidR="00F86D89">
        <w:t>,</w:t>
      </w:r>
      <w:r w:rsidR="00543CBF" w:rsidRPr="00543CBF">
        <w:t xml:space="preserve"> </w:t>
      </w:r>
      <w:r w:rsidR="00543CBF">
        <w:t>1893-4: x-xx),</w:t>
      </w:r>
      <w:r w:rsidR="00F86D89">
        <w:t xml:space="preserve"> but this excluded over 70 occupations likely to include business proprietors, with important omissions for </w:t>
      </w:r>
      <w:r w:rsidR="005413CC">
        <w:t xml:space="preserve">all </w:t>
      </w:r>
      <w:r w:rsidR="00F86D89">
        <w:t>agriculture, mining and quarrying, some textiles, all professions,</w:t>
      </w:r>
      <w:r w:rsidR="00F86D89" w:rsidRPr="00021A00">
        <w:t xml:space="preserve"> merchants</w:t>
      </w:r>
      <w:r w:rsidR="00F86D89">
        <w:t>,</w:t>
      </w:r>
      <w:r w:rsidR="00F86D89" w:rsidRPr="00021A00">
        <w:t xml:space="preserve"> agents, dealers in money, </w:t>
      </w:r>
      <w:r w:rsidR="00F86D89">
        <w:t xml:space="preserve">and </w:t>
      </w:r>
      <w:r w:rsidR="00F86D89" w:rsidRPr="00021A00">
        <w:t>insurance</w:t>
      </w:r>
      <w:r w:rsidR="00F86D89">
        <w:t>.</w:t>
      </w:r>
      <w:r w:rsidR="005413CC">
        <w:t xml:space="preserve"> As shown in Table 1 (bottom row)</w:t>
      </w:r>
      <w:r w:rsidR="00EE2DE6">
        <w:t>, the</w:t>
      </w:r>
      <w:r w:rsidR="005413CC">
        <w:t xml:space="preserve"> </w:t>
      </w:r>
      <w:r w:rsidR="00EC51BF">
        <w:t>published table</w:t>
      </w:r>
      <w:r w:rsidR="0067712D">
        <w:t>s</w:t>
      </w:r>
      <w:r w:rsidR="00F86D89">
        <w:t xml:space="preserve"> included only 7</w:t>
      </w:r>
      <w:r w:rsidR="00962D9C">
        <w:t>4</w:t>
      </w:r>
      <w:r w:rsidR="00F86D89">
        <w:t xml:space="preserve">% of the </w:t>
      </w:r>
      <w:r w:rsidR="006B048B" w:rsidRPr="006B048B">
        <w:t>proprietors</w:t>
      </w:r>
      <w:r w:rsidR="00F86D89">
        <w:t xml:space="preserve"> contained in the manuscript </w:t>
      </w:r>
      <w:r w:rsidR="00BB6AA4">
        <w:t>Census</w:t>
      </w:r>
      <w:r w:rsidR="00E306FF">
        <w:t xml:space="preserve"> </w:t>
      </w:r>
      <w:r w:rsidR="00F86D89">
        <w:t>records now available electr</w:t>
      </w:r>
      <w:r w:rsidR="005413CC">
        <w:t>onically</w:t>
      </w:r>
      <w:r w:rsidR="00F86D89">
        <w:t>. In 1901 the same occupations were excluded from publication with coverage reduc</w:t>
      </w:r>
      <w:r w:rsidR="00904E60">
        <w:t>ed</w:t>
      </w:r>
      <w:r w:rsidR="00F86D89">
        <w:t xml:space="preserve"> to 7</w:t>
      </w:r>
      <w:r w:rsidR="00962D9C">
        <w:t>3</w:t>
      </w:r>
      <w:r w:rsidR="00F86D89">
        <w:t xml:space="preserve">% of all </w:t>
      </w:r>
      <w:r w:rsidR="006B048B" w:rsidRPr="006B048B">
        <w:t>proprietors</w:t>
      </w:r>
      <w:r w:rsidR="00E05E81">
        <w:t xml:space="preserve"> (PP, 1904: 186-201)</w:t>
      </w:r>
      <w:r w:rsidR="00F86D89">
        <w:t>.</w:t>
      </w:r>
      <w:r w:rsidR="00E05E81">
        <w:t xml:space="preserve"> </w:t>
      </w:r>
      <w:r w:rsidR="00EC51BF">
        <w:t xml:space="preserve">1911 </w:t>
      </w:r>
      <w:r w:rsidR="00666511">
        <w:t xml:space="preserve">publication </w:t>
      </w:r>
      <w:r w:rsidR="00E666DA">
        <w:t xml:space="preserve">included </w:t>
      </w:r>
      <w:r w:rsidR="00F86D89">
        <w:t xml:space="preserve">farming, and </w:t>
      </w:r>
      <w:r w:rsidR="005413CC">
        <w:t>laundry</w:t>
      </w:r>
      <w:r w:rsidR="00F86D89" w:rsidRPr="00021A00">
        <w:t xml:space="preserve"> and bathing services</w:t>
      </w:r>
      <w:r w:rsidR="00E666DA">
        <w:t xml:space="preserve"> for the first time</w:t>
      </w:r>
      <w:r w:rsidR="00E05E81">
        <w:t xml:space="preserve"> (PP, 1913: 12-67)</w:t>
      </w:r>
      <w:r w:rsidR="00F86D89">
        <w:t>. This markedly increased the coverage to 8</w:t>
      </w:r>
      <w:r w:rsidR="00962D9C">
        <w:t>3</w:t>
      </w:r>
      <w:r w:rsidR="00F86D89">
        <w:t xml:space="preserve">% because these classes included numerous proprietors. </w:t>
      </w:r>
    </w:p>
    <w:p w14:paraId="25F76AE8" w14:textId="77777777" w:rsidR="00D554BD" w:rsidRPr="00D554BD" w:rsidRDefault="00D554BD" w:rsidP="00D554BD">
      <w:pPr>
        <w:spacing w:line="360" w:lineRule="auto"/>
        <w:jc w:val="both"/>
        <w:rPr>
          <w:rFonts w:eastAsia="Calibri" w:cs="Times New Roman"/>
        </w:rPr>
      </w:pPr>
    </w:p>
    <w:tbl>
      <w:tblPr>
        <w:tblStyle w:val="TableGrid11"/>
        <w:tblW w:w="0" w:type="auto"/>
        <w:tblLook w:val="04A0" w:firstRow="1" w:lastRow="0" w:firstColumn="1" w:lastColumn="0" w:noHBand="0" w:noVBand="1"/>
      </w:tblPr>
      <w:tblGrid>
        <w:gridCol w:w="3936"/>
        <w:gridCol w:w="1842"/>
        <w:gridCol w:w="2127"/>
        <w:gridCol w:w="1381"/>
      </w:tblGrid>
      <w:tr w:rsidR="00D554BD" w:rsidRPr="00D554BD" w14:paraId="48CABAF9" w14:textId="77777777" w:rsidTr="00874EE0">
        <w:tc>
          <w:tcPr>
            <w:tcW w:w="3936" w:type="dxa"/>
            <w:tcBorders>
              <w:bottom w:val="single" w:sz="12" w:space="0" w:color="auto"/>
            </w:tcBorders>
          </w:tcPr>
          <w:p w14:paraId="1FCD0DD7" w14:textId="77777777" w:rsidR="00D554BD" w:rsidRPr="00D554BD" w:rsidRDefault="00D554BD" w:rsidP="00D554BD">
            <w:pPr>
              <w:spacing w:line="360" w:lineRule="auto"/>
              <w:jc w:val="both"/>
              <w:rPr>
                <w:rFonts w:eastAsia="Calibri" w:cs="Times New Roman"/>
              </w:rPr>
            </w:pPr>
          </w:p>
        </w:tc>
        <w:tc>
          <w:tcPr>
            <w:tcW w:w="1842" w:type="dxa"/>
            <w:tcBorders>
              <w:bottom w:val="single" w:sz="12" w:space="0" w:color="auto"/>
            </w:tcBorders>
          </w:tcPr>
          <w:p w14:paraId="1898B67E" w14:textId="77777777" w:rsidR="00D554BD" w:rsidRPr="00D554BD" w:rsidRDefault="00D554BD" w:rsidP="00D554BD">
            <w:pPr>
              <w:spacing w:line="360" w:lineRule="auto"/>
              <w:jc w:val="center"/>
              <w:rPr>
                <w:rFonts w:eastAsia="Calibri" w:cs="Times New Roman"/>
                <w:b/>
              </w:rPr>
            </w:pPr>
            <w:r w:rsidRPr="00D554BD">
              <w:rPr>
                <w:rFonts w:eastAsia="Calibri" w:cs="Times New Roman"/>
                <w:b/>
              </w:rPr>
              <w:t>1891</w:t>
            </w:r>
          </w:p>
        </w:tc>
        <w:tc>
          <w:tcPr>
            <w:tcW w:w="2127" w:type="dxa"/>
            <w:tcBorders>
              <w:bottom w:val="single" w:sz="12" w:space="0" w:color="auto"/>
            </w:tcBorders>
          </w:tcPr>
          <w:p w14:paraId="359DBAE5" w14:textId="77777777" w:rsidR="00D554BD" w:rsidRPr="00D554BD" w:rsidRDefault="00D554BD" w:rsidP="00D554BD">
            <w:pPr>
              <w:spacing w:line="360" w:lineRule="auto"/>
              <w:jc w:val="center"/>
              <w:rPr>
                <w:rFonts w:eastAsia="Calibri" w:cs="Times New Roman"/>
                <w:b/>
              </w:rPr>
            </w:pPr>
            <w:r w:rsidRPr="00D554BD">
              <w:rPr>
                <w:rFonts w:eastAsia="Calibri" w:cs="Times New Roman"/>
                <w:b/>
              </w:rPr>
              <w:t>1901</w:t>
            </w:r>
          </w:p>
        </w:tc>
        <w:tc>
          <w:tcPr>
            <w:tcW w:w="1381" w:type="dxa"/>
            <w:tcBorders>
              <w:bottom w:val="single" w:sz="12" w:space="0" w:color="auto"/>
            </w:tcBorders>
          </w:tcPr>
          <w:p w14:paraId="7F17A2BA" w14:textId="77777777" w:rsidR="00D554BD" w:rsidRPr="00D554BD" w:rsidRDefault="00D554BD" w:rsidP="00D554BD">
            <w:pPr>
              <w:spacing w:line="360" w:lineRule="auto"/>
              <w:jc w:val="center"/>
              <w:rPr>
                <w:rFonts w:eastAsia="Calibri" w:cs="Times New Roman"/>
                <w:b/>
              </w:rPr>
            </w:pPr>
            <w:r w:rsidRPr="00D554BD">
              <w:rPr>
                <w:rFonts w:eastAsia="Calibri" w:cs="Times New Roman"/>
                <w:b/>
              </w:rPr>
              <w:t>1911</w:t>
            </w:r>
          </w:p>
        </w:tc>
      </w:tr>
      <w:tr w:rsidR="00D554BD" w:rsidRPr="00D554BD" w14:paraId="39105F2F" w14:textId="77777777" w:rsidTr="00874EE0">
        <w:tc>
          <w:tcPr>
            <w:tcW w:w="3936" w:type="dxa"/>
            <w:tcBorders>
              <w:top w:val="single" w:sz="12" w:space="0" w:color="auto"/>
            </w:tcBorders>
          </w:tcPr>
          <w:p w14:paraId="2473B09C" w14:textId="77777777" w:rsidR="00D554BD" w:rsidRPr="00D554BD" w:rsidRDefault="00D554BD" w:rsidP="00D554BD">
            <w:pPr>
              <w:spacing w:line="360" w:lineRule="auto"/>
              <w:jc w:val="both"/>
              <w:rPr>
                <w:rFonts w:eastAsia="Calibri" w:cs="Times New Roman"/>
              </w:rPr>
            </w:pPr>
            <w:r w:rsidRPr="00D554BD">
              <w:rPr>
                <w:rFonts w:eastAsia="Calibri" w:cs="Times New Roman"/>
              </w:rPr>
              <w:t>Published employer nos.</w:t>
            </w:r>
          </w:p>
        </w:tc>
        <w:tc>
          <w:tcPr>
            <w:tcW w:w="1842" w:type="dxa"/>
            <w:tcBorders>
              <w:top w:val="single" w:sz="12" w:space="0" w:color="auto"/>
            </w:tcBorders>
          </w:tcPr>
          <w:p w14:paraId="054B1576" w14:textId="77777777" w:rsidR="00D554BD" w:rsidRPr="00D554BD" w:rsidRDefault="00D554BD" w:rsidP="00D554BD">
            <w:pPr>
              <w:spacing w:line="360" w:lineRule="auto"/>
              <w:jc w:val="center"/>
              <w:rPr>
                <w:rFonts w:eastAsia="Calibri" w:cs="Times New Roman"/>
              </w:rPr>
            </w:pPr>
            <w:r w:rsidRPr="00D554BD">
              <w:rPr>
                <w:rFonts w:eastAsia="Calibri" w:cs="Times New Roman"/>
              </w:rPr>
              <w:t>500,189</w:t>
            </w:r>
          </w:p>
        </w:tc>
        <w:tc>
          <w:tcPr>
            <w:tcW w:w="2127" w:type="dxa"/>
            <w:tcBorders>
              <w:top w:val="single" w:sz="12" w:space="0" w:color="auto"/>
            </w:tcBorders>
          </w:tcPr>
          <w:p w14:paraId="2C82F99B" w14:textId="77777777" w:rsidR="00D554BD" w:rsidRPr="00D554BD" w:rsidRDefault="00D554BD" w:rsidP="00D554BD">
            <w:pPr>
              <w:spacing w:line="360" w:lineRule="auto"/>
              <w:jc w:val="center"/>
              <w:rPr>
                <w:rFonts w:eastAsia="Calibri" w:cs="Times New Roman"/>
              </w:rPr>
            </w:pPr>
            <w:r w:rsidRPr="00D554BD">
              <w:rPr>
                <w:rFonts w:eastAsia="Calibri" w:cs="Times New Roman"/>
              </w:rPr>
              <w:t>386,986</w:t>
            </w:r>
          </w:p>
        </w:tc>
        <w:tc>
          <w:tcPr>
            <w:tcW w:w="1381" w:type="dxa"/>
            <w:tcBorders>
              <w:top w:val="single" w:sz="12" w:space="0" w:color="auto"/>
            </w:tcBorders>
          </w:tcPr>
          <w:p w14:paraId="37AE6974" w14:textId="77777777" w:rsidR="00D554BD" w:rsidRPr="00D554BD" w:rsidRDefault="00D554BD" w:rsidP="00D554BD">
            <w:pPr>
              <w:spacing w:line="360" w:lineRule="auto"/>
              <w:jc w:val="center"/>
              <w:rPr>
                <w:rFonts w:eastAsia="Calibri" w:cs="Times New Roman"/>
              </w:rPr>
            </w:pPr>
            <w:r w:rsidRPr="00D554BD">
              <w:rPr>
                <w:rFonts w:eastAsia="Calibri" w:cs="Times New Roman"/>
              </w:rPr>
              <w:t>663,970</w:t>
            </w:r>
          </w:p>
        </w:tc>
      </w:tr>
      <w:tr w:rsidR="00D554BD" w:rsidRPr="00D554BD" w14:paraId="14C1CBA0" w14:textId="77777777" w:rsidTr="00874EE0">
        <w:tc>
          <w:tcPr>
            <w:tcW w:w="3936" w:type="dxa"/>
          </w:tcPr>
          <w:p w14:paraId="442051F6" w14:textId="77777777" w:rsidR="00D554BD" w:rsidRPr="00D554BD" w:rsidRDefault="00D554BD" w:rsidP="00D554BD">
            <w:pPr>
              <w:spacing w:line="360" w:lineRule="auto"/>
              <w:jc w:val="both"/>
              <w:rPr>
                <w:rFonts w:eastAsia="Calibri" w:cs="Times New Roman"/>
              </w:rPr>
            </w:pPr>
            <w:r w:rsidRPr="00D554BD">
              <w:rPr>
                <w:rFonts w:eastAsia="Calibri" w:cs="Times New Roman"/>
              </w:rPr>
              <w:t>Actual Census respondent employers</w:t>
            </w:r>
          </w:p>
        </w:tc>
        <w:tc>
          <w:tcPr>
            <w:tcW w:w="1842" w:type="dxa"/>
          </w:tcPr>
          <w:p w14:paraId="26F51393" w14:textId="77777777" w:rsidR="00D554BD" w:rsidRPr="00D554BD" w:rsidRDefault="00D554BD" w:rsidP="00D554BD">
            <w:pPr>
              <w:spacing w:line="360" w:lineRule="auto"/>
              <w:jc w:val="center"/>
              <w:rPr>
                <w:rFonts w:eastAsia="Calibri" w:cs="Times New Roman"/>
                <w:b/>
              </w:rPr>
            </w:pPr>
            <w:r w:rsidRPr="00D554BD">
              <w:rPr>
                <w:rFonts w:eastAsia="Calibri" w:cs="Times New Roman"/>
              </w:rPr>
              <w:t>696,525</w:t>
            </w:r>
          </w:p>
        </w:tc>
        <w:tc>
          <w:tcPr>
            <w:tcW w:w="2127" w:type="dxa"/>
          </w:tcPr>
          <w:p w14:paraId="22FCB3A3" w14:textId="77777777" w:rsidR="00D554BD" w:rsidRPr="00D554BD" w:rsidRDefault="00D554BD" w:rsidP="00D554BD">
            <w:pPr>
              <w:spacing w:line="360" w:lineRule="auto"/>
              <w:jc w:val="center"/>
              <w:rPr>
                <w:rFonts w:eastAsia="Calibri" w:cs="Times New Roman"/>
              </w:rPr>
            </w:pPr>
            <w:r w:rsidRPr="00D554BD">
              <w:rPr>
                <w:rFonts w:eastAsia="Calibri" w:cs="Times New Roman"/>
              </w:rPr>
              <w:t>576,793</w:t>
            </w:r>
          </w:p>
        </w:tc>
        <w:tc>
          <w:tcPr>
            <w:tcW w:w="1381" w:type="dxa"/>
          </w:tcPr>
          <w:p w14:paraId="538447C2" w14:textId="77777777" w:rsidR="00D554BD" w:rsidRPr="00D554BD" w:rsidRDefault="00D554BD" w:rsidP="00D554BD">
            <w:pPr>
              <w:spacing w:line="360" w:lineRule="auto"/>
              <w:jc w:val="center"/>
              <w:rPr>
                <w:rFonts w:eastAsia="Calibri" w:cs="Times New Roman"/>
              </w:rPr>
            </w:pPr>
            <w:r w:rsidRPr="00D554BD">
              <w:rPr>
                <w:rFonts w:eastAsia="Calibri" w:cs="Times New Roman"/>
              </w:rPr>
              <w:t>727,049</w:t>
            </w:r>
          </w:p>
        </w:tc>
      </w:tr>
      <w:tr w:rsidR="00D554BD" w:rsidRPr="00D554BD" w14:paraId="25A0FACA" w14:textId="77777777" w:rsidTr="00874EE0">
        <w:tc>
          <w:tcPr>
            <w:tcW w:w="3936" w:type="dxa"/>
            <w:tcBorders>
              <w:bottom w:val="single" w:sz="12" w:space="0" w:color="auto"/>
            </w:tcBorders>
          </w:tcPr>
          <w:p w14:paraId="69AD6D0C" w14:textId="77777777" w:rsidR="00D554BD" w:rsidRPr="00D554BD" w:rsidRDefault="00D554BD" w:rsidP="00D554BD">
            <w:pPr>
              <w:spacing w:line="360" w:lineRule="auto"/>
              <w:jc w:val="both"/>
              <w:rPr>
                <w:rFonts w:eastAsia="Calibri" w:cs="Times New Roman"/>
              </w:rPr>
            </w:pPr>
            <w:r w:rsidRPr="00D554BD">
              <w:rPr>
                <w:rFonts w:eastAsia="Calibri" w:cs="Times New Roman"/>
              </w:rPr>
              <w:t>Published as % of actual</w:t>
            </w:r>
          </w:p>
        </w:tc>
        <w:tc>
          <w:tcPr>
            <w:tcW w:w="1842" w:type="dxa"/>
            <w:tcBorders>
              <w:bottom w:val="single" w:sz="12" w:space="0" w:color="auto"/>
            </w:tcBorders>
          </w:tcPr>
          <w:p w14:paraId="3D3D60D7" w14:textId="77777777" w:rsidR="00D554BD" w:rsidRPr="00D554BD" w:rsidRDefault="00D554BD" w:rsidP="00D554BD">
            <w:pPr>
              <w:spacing w:line="360" w:lineRule="auto"/>
              <w:jc w:val="center"/>
              <w:rPr>
                <w:rFonts w:eastAsia="Calibri" w:cs="Times New Roman"/>
              </w:rPr>
            </w:pPr>
            <w:r w:rsidRPr="00D554BD">
              <w:rPr>
                <w:rFonts w:eastAsia="Calibri" w:cs="Times New Roman"/>
              </w:rPr>
              <w:t>71.8%</w:t>
            </w:r>
          </w:p>
        </w:tc>
        <w:tc>
          <w:tcPr>
            <w:tcW w:w="2127" w:type="dxa"/>
            <w:tcBorders>
              <w:bottom w:val="single" w:sz="12" w:space="0" w:color="auto"/>
            </w:tcBorders>
          </w:tcPr>
          <w:p w14:paraId="76B8FF21" w14:textId="77777777" w:rsidR="00D554BD" w:rsidRPr="00D554BD" w:rsidRDefault="00D554BD" w:rsidP="00D554BD">
            <w:pPr>
              <w:spacing w:line="360" w:lineRule="auto"/>
              <w:jc w:val="center"/>
              <w:rPr>
                <w:rFonts w:eastAsia="Calibri" w:cs="Times New Roman"/>
              </w:rPr>
            </w:pPr>
            <w:r w:rsidRPr="00D554BD">
              <w:rPr>
                <w:rFonts w:eastAsia="Calibri" w:cs="Times New Roman"/>
              </w:rPr>
              <w:t>67.1%</w:t>
            </w:r>
          </w:p>
        </w:tc>
        <w:tc>
          <w:tcPr>
            <w:tcW w:w="1381" w:type="dxa"/>
            <w:tcBorders>
              <w:bottom w:val="single" w:sz="12" w:space="0" w:color="auto"/>
            </w:tcBorders>
          </w:tcPr>
          <w:p w14:paraId="32208BD3" w14:textId="77777777" w:rsidR="00D554BD" w:rsidRPr="00D554BD" w:rsidRDefault="00D554BD" w:rsidP="00D554BD">
            <w:pPr>
              <w:spacing w:line="360" w:lineRule="auto"/>
              <w:jc w:val="center"/>
              <w:rPr>
                <w:rFonts w:eastAsia="Calibri" w:cs="Times New Roman"/>
              </w:rPr>
            </w:pPr>
            <w:r w:rsidRPr="00D554BD">
              <w:rPr>
                <w:rFonts w:eastAsia="Calibri" w:cs="Times New Roman"/>
              </w:rPr>
              <w:t>91.3%</w:t>
            </w:r>
          </w:p>
        </w:tc>
      </w:tr>
      <w:tr w:rsidR="00D554BD" w:rsidRPr="00D554BD" w14:paraId="10591C8A" w14:textId="77777777" w:rsidTr="00874EE0">
        <w:tc>
          <w:tcPr>
            <w:tcW w:w="3936" w:type="dxa"/>
            <w:tcBorders>
              <w:top w:val="single" w:sz="12" w:space="0" w:color="auto"/>
            </w:tcBorders>
          </w:tcPr>
          <w:p w14:paraId="2BC1E8C2" w14:textId="77777777" w:rsidR="00D554BD" w:rsidRPr="00D554BD" w:rsidRDefault="00D554BD" w:rsidP="00D554BD">
            <w:pPr>
              <w:spacing w:line="360" w:lineRule="auto"/>
              <w:jc w:val="both"/>
              <w:rPr>
                <w:rFonts w:eastAsia="Calibri" w:cs="Times New Roman"/>
              </w:rPr>
            </w:pPr>
            <w:r w:rsidRPr="00D554BD">
              <w:rPr>
                <w:rFonts w:eastAsia="Calibri" w:cs="Times New Roman"/>
              </w:rPr>
              <w:t>Published own account nos.</w:t>
            </w:r>
          </w:p>
        </w:tc>
        <w:tc>
          <w:tcPr>
            <w:tcW w:w="1842" w:type="dxa"/>
            <w:tcBorders>
              <w:top w:val="single" w:sz="12" w:space="0" w:color="auto"/>
            </w:tcBorders>
          </w:tcPr>
          <w:p w14:paraId="490B17FE" w14:textId="77777777" w:rsidR="00D554BD" w:rsidRPr="00D554BD" w:rsidRDefault="00D554BD" w:rsidP="00D554BD">
            <w:pPr>
              <w:spacing w:line="360" w:lineRule="auto"/>
              <w:jc w:val="center"/>
              <w:rPr>
                <w:rFonts w:eastAsia="Calibri" w:cs="Times New Roman"/>
              </w:rPr>
            </w:pPr>
            <w:r w:rsidRPr="00D554BD">
              <w:rPr>
                <w:rFonts w:eastAsia="Calibri" w:cs="Times New Roman"/>
              </w:rPr>
              <w:t>672,807</w:t>
            </w:r>
          </w:p>
        </w:tc>
        <w:tc>
          <w:tcPr>
            <w:tcW w:w="2127" w:type="dxa"/>
            <w:tcBorders>
              <w:top w:val="single" w:sz="12" w:space="0" w:color="auto"/>
            </w:tcBorders>
          </w:tcPr>
          <w:p w14:paraId="49A449FC" w14:textId="77777777" w:rsidR="00D554BD" w:rsidRPr="00D554BD" w:rsidRDefault="00D554BD" w:rsidP="00D554BD">
            <w:pPr>
              <w:spacing w:line="360" w:lineRule="auto"/>
              <w:jc w:val="center"/>
              <w:rPr>
                <w:rFonts w:eastAsia="Calibri" w:cs="Times New Roman"/>
              </w:rPr>
            </w:pPr>
            <w:r w:rsidRPr="00D554BD">
              <w:rPr>
                <w:rFonts w:eastAsia="Calibri" w:cs="Times New Roman"/>
              </w:rPr>
              <w:t>902,018</w:t>
            </w:r>
          </w:p>
        </w:tc>
        <w:tc>
          <w:tcPr>
            <w:tcW w:w="1381" w:type="dxa"/>
            <w:tcBorders>
              <w:top w:val="single" w:sz="12" w:space="0" w:color="auto"/>
            </w:tcBorders>
          </w:tcPr>
          <w:p w14:paraId="3EB712CD" w14:textId="77777777" w:rsidR="00D554BD" w:rsidRPr="00D554BD" w:rsidRDefault="00D554BD" w:rsidP="00D554BD">
            <w:pPr>
              <w:spacing w:line="360" w:lineRule="auto"/>
              <w:jc w:val="center"/>
              <w:rPr>
                <w:rFonts w:eastAsia="Calibri" w:cs="Times New Roman"/>
              </w:rPr>
            </w:pPr>
            <w:r w:rsidRPr="00D554BD">
              <w:rPr>
                <w:rFonts w:eastAsia="Calibri" w:cs="Times New Roman"/>
              </w:rPr>
              <w:t>829,959</w:t>
            </w:r>
          </w:p>
        </w:tc>
      </w:tr>
      <w:tr w:rsidR="00D554BD" w:rsidRPr="00D554BD" w14:paraId="583B93A8" w14:textId="77777777" w:rsidTr="00874EE0">
        <w:tc>
          <w:tcPr>
            <w:tcW w:w="3936" w:type="dxa"/>
          </w:tcPr>
          <w:p w14:paraId="45A89A59" w14:textId="77777777" w:rsidR="00D554BD" w:rsidRPr="00D554BD" w:rsidRDefault="00D554BD" w:rsidP="00D554BD">
            <w:pPr>
              <w:spacing w:line="360" w:lineRule="auto"/>
              <w:jc w:val="both"/>
              <w:rPr>
                <w:rFonts w:eastAsia="Calibri" w:cs="Times New Roman"/>
              </w:rPr>
            </w:pPr>
            <w:r w:rsidRPr="00D554BD">
              <w:rPr>
                <w:rFonts w:eastAsia="Calibri" w:cs="Times New Roman"/>
              </w:rPr>
              <w:t>Actual Census respondent own account</w:t>
            </w:r>
          </w:p>
        </w:tc>
        <w:tc>
          <w:tcPr>
            <w:tcW w:w="1842" w:type="dxa"/>
          </w:tcPr>
          <w:p w14:paraId="7036155B" w14:textId="77777777" w:rsidR="00D554BD" w:rsidRPr="00D554BD" w:rsidRDefault="00D554BD" w:rsidP="00D554BD">
            <w:pPr>
              <w:spacing w:line="360" w:lineRule="auto"/>
              <w:jc w:val="center"/>
              <w:rPr>
                <w:rFonts w:eastAsia="Calibri" w:cs="Times New Roman"/>
                <w:b/>
              </w:rPr>
            </w:pPr>
            <w:r w:rsidRPr="00D554BD">
              <w:rPr>
                <w:rFonts w:eastAsia="Calibri" w:cs="Times New Roman"/>
              </w:rPr>
              <w:t>880,650</w:t>
            </w:r>
          </w:p>
        </w:tc>
        <w:tc>
          <w:tcPr>
            <w:tcW w:w="2127" w:type="dxa"/>
          </w:tcPr>
          <w:p w14:paraId="65DE39C5" w14:textId="77777777" w:rsidR="00D554BD" w:rsidRPr="00D554BD" w:rsidRDefault="00D554BD" w:rsidP="00D554BD">
            <w:pPr>
              <w:spacing w:line="360" w:lineRule="auto"/>
              <w:jc w:val="center"/>
              <w:rPr>
                <w:rFonts w:eastAsia="Calibri" w:cs="Times New Roman"/>
              </w:rPr>
            </w:pPr>
            <w:r w:rsidRPr="00D554BD">
              <w:rPr>
                <w:rFonts w:eastAsia="Calibri" w:cs="Times New Roman"/>
              </w:rPr>
              <w:t>1,189,507</w:t>
            </w:r>
          </w:p>
        </w:tc>
        <w:tc>
          <w:tcPr>
            <w:tcW w:w="1381" w:type="dxa"/>
          </w:tcPr>
          <w:p w14:paraId="195B2232" w14:textId="77777777" w:rsidR="00D554BD" w:rsidRPr="00D554BD" w:rsidRDefault="00D554BD" w:rsidP="00D554BD">
            <w:pPr>
              <w:spacing w:line="360" w:lineRule="auto"/>
              <w:jc w:val="center"/>
              <w:rPr>
                <w:rFonts w:eastAsia="Calibri" w:cs="Times New Roman"/>
              </w:rPr>
            </w:pPr>
            <w:r w:rsidRPr="00D554BD">
              <w:rPr>
                <w:rFonts w:eastAsia="Calibri" w:cs="Times New Roman"/>
              </w:rPr>
              <w:t>1,074,560</w:t>
            </w:r>
          </w:p>
        </w:tc>
      </w:tr>
      <w:tr w:rsidR="00D554BD" w:rsidRPr="00D554BD" w14:paraId="18F7DEF0" w14:textId="77777777" w:rsidTr="00874EE0">
        <w:tc>
          <w:tcPr>
            <w:tcW w:w="3936" w:type="dxa"/>
            <w:tcBorders>
              <w:bottom w:val="single" w:sz="12" w:space="0" w:color="auto"/>
            </w:tcBorders>
          </w:tcPr>
          <w:p w14:paraId="009C766B" w14:textId="77777777" w:rsidR="00D554BD" w:rsidRPr="00D554BD" w:rsidRDefault="00D554BD" w:rsidP="00D554BD">
            <w:pPr>
              <w:spacing w:line="360" w:lineRule="auto"/>
              <w:jc w:val="both"/>
              <w:rPr>
                <w:rFonts w:eastAsia="Calibri" w:cs="Times New Roman"/>
              </w:rPr>
            </w:pPr>
            <w:r w:rsidRPr="00D554BD">
              <w:rPr>
                <w:rFonts w:eastAsia="Calibri" w:cs="Times New Roman"/>
              </w:rPr>
              <w:t>Published as % of actual</w:t>
            </w:r>
          </w:p>
        </w:tc>
        <w:tc>
          <w:tcPr>
            <w:tcW w:w="1842" w:type="dxa"/>
            <w:tcBorders>
              <w:bottom w:val="single" w:sz="12" w:space="0" w:color="auto"/>
            </w:tcBorders>
          </w:tcPr>
          <w:p w14:paraId="0D7786F2" w14:textId="77777777" w:rsidR="00D554BD" w:rsidRPr="00D554BD" w:rsidRDefault="00D554BD" w:rsidP="00D554BD">
            <w:pPr>
              <w:spacing w:line="360" w:lineRule="auto"/>
              <w:jc w:val="center"/>
              <w:rPr>
                <w:rFonts w:eastAsia="Calibri" w:cs="Times New Roman"/>
              </w:rPr>
            </w:pPr>
            <w:r w:rsidRPr="00D554BD">
              <w:rPr>
                <w:rFonts w:eastAsia="Calibri" w:cs="Times New Roman"/>
              </w:rPr>
              <w:t>76.4%</w:t>
            </w:r>
          </w:p>
        </w:tc>
        <w:tc>
          <w:tcPr>
            <w:tcW w:w="2127" w:type="dxa"/>
            <w:tcBorders>
              <w:bottom w:val="single" w:sz="12" w:space="0" w:color="auto"/>
            </w:tcBorders>
          </w:tcPr>
          <w:p w14:paraId="3D809B80" w14:textId="77777777" w:rsidR="00D554BD" w:rsidRPr="00D554BD" w:rsidRDefault="00D554BD" w:rsidP="00D554BD">
            <w:pPr>
              <w:spacing w:line="360" w:lineRule="auto"/>
              <w:jc w:val="center"/>
              <w:rPr>
                <w:rFonts w:eastAsia="Calibri" w:cs="Times New Roman"/>
              </w:rPr>
            </w:pPr>
            <w:r w:rsidRPr="00D554BD">
              <w:rPr>
                <w:rFonts w:eastAsia="Calibri" w:cs="Times New Roman"/>
              </w:rPr>
              <w:t>75.8%</w:t>
            </w:r>
          </w:p>
        </w:tc>
        <w:tc>
          <w:tcPr>
            <w:tcW w:w="1381" w:type="dxa"/>
            <w:tcBorders>
              <w:bottom w:val="single" w:sz="12" w:space="0" w:color="auto"/>
            </w:tcBorders>
          </w:tcPr>
          <w:p w14:paraId="09DA5B93" w14:textId="77777777" w:rsidR="00D554BD" w:rsidRPr="00D554BD" w:rsidRDefault="00D554BD" w:rsidP="00D554BD">
            <w:pPr>
              <w:spacing w:line="360" w:lineRule="auto"/>
              <w:jc w:val="center"/>
              <w:rPr>
                <w:rFonts w:eastAsia="Calibri" w:cs="Times New Roman"/>
              </w:rPr>
            </w:pPr>
            <w:r w:rsidRPr="00D554BD">
              <w:rPr>
                <w:rFonts w:eastAsia="Calibri" w:cs="Times New Roman"/>
              </w:rPr>
              <w:t>77.2%</w:t>
            </w:r>
          </w:p>
        </w:tc>
      </w:tr>
      <w:tr w:rsidR="00D554BD" w:rsidRPr="00D554BD" w14:paraId="1FC03ABF" w14:textId="77777777" w:rsidTr="00874EE0">
        <w:tc>
          <w:tcPr>
            <w:tcW w:w="3936" w:type="dxa"/>
            <w:tcBorders>
              <w:top w:val="single" w:sz="12" w:space="0" w:color="auto"/>
            </w:tcBorders>
          </w:tcPr>
          <w:p w14:paraId="78304A11" w14:textId="77777777" w:rsidR="00D554BD" w:rsidRPr="00D554BD" w:rsidRDefault="00D554BD" w:rsidP="00D554BD">
            <w:pPr>
              <w:spacing w:line="360" w:lineRule="auto"/>
              <w:jc w:val="both"/>
              <w:rPr>
                <w:rFonts w:eastAsia="Calibri" w:cs="Times New Roman"/>
              </w:rPr>
            </w:pPr>
            <w:r w:rsidRPr="00D554BD">
              <w:rPr>
                <w:rFonts w:eastAsia="Calibri" w:cs="Times New Roman"/>
              </w:rPr>
              <w:t>Published total all employers and own account</w:t>
            </w:r>
          </w:p>
        </w:tc>
        <w:tc>
          <w:tcPr>
            <w:tcW w:w="1842" w:type="dxa"/>
            <w:tcBorders>
              <w:top w:val="single" w:sz="12" w:space="0" w:color="auto"/>
            </w:tcBorders>
          </w:tcPr>
          <w:p w14:paraId="6F9666CF" w14:textId="77777777" w:rsidR="00D554BD" w:rsidRPr="00D554BD" w:rsidRDefault="00D554BD" w:rsidP="00D554BD">
            <w:pPr>
              <w:spacing w:line="360" w:lineRule="auto"/>
              <w:jc w:val="center"/>
              <w:rPr>
                <w:rFonts w:eastAsia="Calibri" w:cs="Times New Roman"/>
              </w:rPr>
            </w:pPr>
            <w:r w:rsidRPr="00D554BD">
              <w:rPr>
                <w:rFonts w:eastAsia="Calibri" w:cs="Times New Roman"/>
              </w:rPr>
              <w:t>1,172,996</w:t>
            </w:r>
          </w:p>
        </w:tc>
        <w:tc>
          <w:tcPr>
            <w:tcW w:w="2127" w:type="dxa"/>
            <w:tcBorders>
              <w:top w:val="single" w:sz="12" w:space="0" w:color="auto"/>
            </w:tcBorders>
          </w:tcPr>
          <w:p w14:paraId="77F2FE1E" w14:textId="77777777" w:rsidR="00D554BD" w:rsidRPr="00D554BD" w:rsidRDefault="00D554BD" w:rsidP="00D554BD">
            <w:pPr>
              <w:spacing w:line="360" w:lineRule="auto"/>
              <w:jc w:val="center"/>
              <w:rPr>
                <w:rFonts w:eastAsia="Calibri" w:cs="Times New Roman"/>
              </w:rPr>
            </w:pPr>
            <w:r w:rsidRPr="00D554BD">
              <w:rPr>
                <w:rFonts w:eastAsia="Calibri" w:cs="Times New Roman"/>
              </w:rPr>
              <w:t>1,289,004</w:t>
            </w:r>
          </w:p>
        </w:tc>
        <w:tc>
          <w:tcPr>
            <w:tcW w:w="1381" w:type="dxa"/>
            <w:tcBorders>
              <w:top w:val="single" w:sz="12" w:space="0" w:color="auto"/>
            </w:tcBorders>
          </w:tcPr>
          <w:p w14:paraId="400BCCE5" w14:textId="77777777" w:rsidR="00D554BD" w:rsidRPr="00D554BD" w:rsidRDefault="00D554BD" w:rsidP="00D554BD">
            <w:pPr>
              <w:spacing w:line="360" w:lineRule="auto"/>
              <w:jc w:val="center"/>
              <w:rPr>
                <w:rFonts w:eastAsia="Calibri" w:cs="Times New Roman"/>
              </w:rPr>
            </w:pPr>
            <w:r w:rsidRPr="00D554BD">
              <w:rPr>
                <w:rFonts w:eastAsia="Calibri" w:cs="Times New Roman"/>
              </w:rPr>
              <w:t>1,493,929</w:t>
            </w:r>
          </w:p>
        </w:tc>
      </w:tr>
      <w:tr w:rsidR="00D554BD" w:rsidRPr="00D554BD" w14:paraId="6474BAD4" w14:textId="77777777" w:rsidTr="00874EE0">
        <w:tc>
          <w:tcPr>
            <w:tcW w:w="3936" w:type="dxa"/>
            <w:tcBorders>
              <w:top w:val="single" w:sz="4" w:space="0" w:color="auto"/>
            </w:tcBorders>
          </w:tcPr>
          <w:p w14:paraId="2C9A64CA" w14:textId="77777777" w:rsidR="00D554BD" w:rsidRPr="00D554BD" w:rsidRDefault="00D554BD" w:rsidP="00D554BD">
            <w:pPr>
              <w:spacing w:line="360" w:lineRule="auto"/>
              <w:jc w:val="both"/>
              <w:rPr>
                <w:rFonts w:eastAsia="Calibri" w:cs="Times New Roman"/>
              </w:rPr>
            </w:pPr>
            <w:r w:rsidRPr="00D554BD">
              <w:rPr>
                <w:rFonts w:eastAsia="Calibri" w:cs="Times New Roman"/>
              </w:rPr>
              <w:t xml:space="preserve">Actual total Census employers and own account </w:t>
            </w:r>
          </w:p>
        </w:tc>
        <w:tc>
          <w:tcPr>
            <w:tcW w:w="1842" w:type="dxa"/>
            <w:tcBorders>
              <w:top w:val="single" w:sz="4" w:space="0" w:color="auto"/>
            </w:tcBorders>
          </w:tcPr>
          <w:p w14:paraId="3A196416" w14:textId="77777777" w:rsidR="00D554BD" w:rsidRPr="00D554BD" w:rsidRDefault="00D554BD" w:rsidP="00D554BD">
            <w:pPr>
              <w:jc w:val="center"/>
              <w:rPr>
                <w:rFonts w:eastAsia="Calibri" w:cs="Times New Roman"/>
                <w:b/>
              </w:rPr>
            </w:pPr>
            <w:r w:rsidRPr="00D554BD">
              <w:rPr>
                <w:rFonts w:eastAsia="Calibri" w:cs="Times New Roman"/>
              </w:rPr>
              <w:t>1,577,175</w:t>
            </w:r>
          </w:p>
        </w:tc>
        <w:tc>
          <w:tcPr>
            <w:tcW w:w="2127" w:type="dxa"/>
            <w:tcBorders>
              <w:top w:val="single" w:sz="4" w:space="0" w:color="auto"/>
            </w:tcBorders>
          </w:tcPr>
          <w:p w14:paraId="7B217D80" w14:textId="77777777" w:rsidR="00D554BD" w:rsidRPr="00D554BD" w:rsidRDefault="00D554BD" w:rsidP="00D554BD">
            <w:pPr>
              <w:jc w:val="center"/>
              <w:rPr>
                <w:rFonts w:eastAsia="Calibri" w:cs="Times New Roman"/>
              </w:rPr>
            </w:pPr>
            <w:r w:rsidRPr="00D554BD">
              <w:rPr>
                <w:rFonts w:eastAsia="Calibri" w:cs="Times New Roman"/>
              </w:rPr>
              <w:t>1,766,300</w:t>
            </w:r>
          </w:p>
        </w:tc>
        <w:tc>
          <w:tcPr>
            <w:tcW w:w="1381" w:type="dxa"/>
            <w:tcBorders>
              <w:top w:val="single" w:sz="4" w:space="0" w:color="auto"/>
            </w:tcBorders>
          </w:tcPr>
          <w:p w14:paraId="4ED88BB7" w14:textId="77777777" w:rsidR="00D554BD" w:rsidRPr="00D554BD" w:rsidRDefault="00D554BD" w:rsidP="00D554BD">
            <w:pPr>
              <w:jc w:val="center"/>
              <w:rPr>
                <w:rFonts w:eastAsia="Calibri" w:cs="Times New Roman"/>
              </w:rPr>
            </w:pPr>
            <w:r w:rsidRPr="00D554BD">
              <w:rPr>
                <w:rFonts w:eastAsia="Calibri" w:cs="Times New Roman"/>
              </w:rPr>
              <w:t>1,801,609</w:t>
            </w:r>
          </w:p>
        </w:tc>
      </w:tr>
      <w:tr w:rsidR="00D554BD" w:rsidRPr="00D554BD" w14:paraId="64778CC7" w14:textId="77777777" w:rsidTr="00874EE0">
        <w:tc>
          <w:tcPr>
            <w:tcW w:w="3936" w:type="dxa"/>
          </w:tcPr>
          <w:p w14:paraId="6D303E90" w14:textId="77777777" w:rsidR="00D554BD" w:rsidRPr="00D554BD" w:rsidRDefault="00D554BD" w:rsidP="00D554BD">
            <w:pPr>
              <w:spacing w:line="360" w:lineRule="auto"/>
              <w:jc w:val="both"/>
              <w:rPr>
                <w:rFonts w:eastAsia="Calibri" w:cs="Times New Roman"/>
              </w:rPr>
            </w:pPr>
            <w:r w:rsidRPr="00D554BD">
              <w:rPr>
                <w:rFonts w:eastAsia="Calibri" w:cs="Times New Roman"/>
              </w:rPr>
              <w:lastRenderedPageBreak/>
              <w:t>Published as % of actual</w:t>
            </w:r>
          </w:p>
        </w:tc>
        <w:tc>
          <w:tcPr>
            <w:tcW w:w="1842" w:type="dxa"/>
          </w:tcPr>
          <w:p w14:paraId="6EDD1B90" w14:textId="77777777" w:rsidR="00D554BD" w:rsidRPr="00D554BD" w:rsidRDefault="00D554BD" w:rsidP="00D554BD">
            <w:pPr>
              <w:spacing w:line="360" w:lineRule="auto"/>
              <w:jc w:val="center"/>
              <w:rPr>
                <w:rFonts w:eastAsia="Calibri" w:cs="Times New Roman"/>
              </w:rPr>
            </w:pPr>
            <w:r w:rsidRPr="00D554BD">
              <w:rPr>
                <w:rFonts w:eastAsia="Calibri" w:cs="Times New Roman"/>
              </w:rPr>
              <w:t>74.3%</w:t>
            </w:r>
          </w:p>
        </w:tc>
        <w:tc>
          <w:tcPr>
            <w:tcW w:w="2127" w:type="dxa"/>
          </w:tcPr>
          <w:p w14:paraId="337749E4" w14:textId="77777777" w:rsidR="00D554BD" w:rsidRPr="00D554BD" w:rsidRDefault="00D554BD" w:rsidP="00D554BD">
            <w:pPr>
              <w:spacing w:line="360" w:lineRule="auto"/>
              <w:jc w:val="center"/>
              <w:rPr>
                <w:rFonts w:eastAsia="Calibri" w:cs="Times New Roman"/>
              </w:rPr>
            </w:pPr>
            <w:r w:rsidRPr="00D554BD">
              <w:rPr>
                <w:rFonts w:eastAsia="Calibri" w:cs="Times New Roman"/>
              </w:rPr>
              <w:t>73.0</w:t>
            </w:r>
          </w:p>
        </w:tc>
        <w:tc>
          <w:tcPr>
            <w:tcW w:w="1381" w:type="dxa"/>
          </w:tcPr>
          <w:p w14:paraId="025A7CEF" w14:textId="77777777" w:rsidR="00D554BD" w:rsidRPr="00D554BD" w:rsidRDefault="00D554BD" w:rsidP="00D554BD">
            <w:pPr>
              <w:spacing w:line="360" w:lineRule="auto"/>
              <w:jc w:val="center"/>
              <w:rPr>
                <w:rFonts w:eastAsia="Calibri" w:cs="Times New Roman"/>
              </w:rPr>
            </w:pPr>
            <w:r w:rsidRPr="00D554BD">
              <w:rPr>
                <w:rFonts w:eastAsia="Calibri" w:cs="Times New Roman"/>
              </w:rPr>
              <w:t>82.9%</w:t>
            </w:r>
          </w:p>
        </w:tc>
      </w:tr>
    </w:tbl>
    <w:p w14:paraId="596091B9" w14:textId="77777777" w:rsidR="00D554BD" w:rsidRPr="00D554BD" w:rsidRDefault="00D554BD" w:rsidP="00D554BD">
      <w:pPr>
        <w:spacing w:line="360" w:lineRule="auto"/>
        <w:jc w:val="both"/>
        <w:rPr>
          <w:rFonts w:eastAsia="Calibri" w:cs="Times New Roman"/>
        </w:rPr>
      </w:pPr>
    </w:p>
    <w:p w14:paraId="68C35878" w14:textId="77777777" w:rsidR="00D554BD" w:rsidRPr="00D554BD" w:rsidRDefault="00D554BD" w:rsidP="00D554BD">
      <w:pPr>
        <w:spacing w:line="360" w:lineRule="auto"/>
        <w:jc w:val="both"/>
        <w:rPr>
          <w:rFonts w:eastAsia="Calibri" w:cs="Times New Roman"/>
          <w:b/>
        </w:rPr>
      </w:pPr>
      <w:proofErr w:type="gramStart"/>
      <w:r w:rsidRPr="00D554BD">
        <w:rPr>
          <w:rFonts w:eastAsia="Calibri" w:cs="Times New Roman"/>
          <w:b/>
        </w:rPr>
        <w:t>Table 1.</w:t>
      </w:r>
      <w:proofErr w:type="gramEnd"/>
      <w:r w:rsidRPr="00D554BD">
        <w:rPr>
          <w:rFonts w:eastAsia="Calibri" w:cs="Times New Roman"/>
        </w:rPr>
        <w:t xml:space="preserve"> Comparison of published and actual counts (from ‘raw’ I-CeM data before data cleaning) of business proprietors (employers and own account) in the Censuses 1891-1911 </w:t>
      </w:r>
    </w:p>
    <w:p w14:paraId="67732E41" w14:textId="77777777" w:rsidR="00F86D89" w:rsidRDefault="00F86D89" w:rsidP="00F86D89">
      <w:pPr>
        <w:spacing w:line="360" w:lineRule="auto"/>
        <w:jc w:val="both"/>
      </w:pPr>
    </w:p>
    <w:p w14:paraId="48C26E1F" w14:textId="7C2A792B" w:rsidR="0003007B" w:rsidRDefault="00C91F80" w:rsidP="00F86D89">
      <w:pPr>
        <w:spacing w:line="360" w:lineRule="auto"/>
        <w:jc w:val="both"/>
      </w:pPr>
      <w:r>
        <w:t>Publication coverage varied by enterprise type</w:t>
      </w:r>
      <w:r w:rsidR="0003007B" w:rsidRPr="0003007B">
        <w:t xml:space="preserve">. </w:t>
      </w:r>
      <w:r w:rsidR="00C10876" w:rsidRPr="0003007B">
        <w:t>Table 1</w:t>
      </w:r>
      <w:r w:rsidR="00C10876">
        <w:t xml:space="preserve"> (rows 4 and 7) </w:t>
      </w:r>
      <w:r w:rsidR="00984893">
        <w:t>show</w:t>
      </w:r>
      <w:r w:rsidR="00C10876">
        <w:t xml:space="preserve"> that</w:t>
      </w:r>
      <w:r w:rsidR="00C10876" w:rsidRPr="0003007B">
        <w:t>, for 1891 and 1901</w:t>
      </w:r>
      <w:r w:rsidR="00C10876">
        <w:t>,</w:t>
      </w:r>
      <w:r w:rsidR="00C10876" w:rsidRPr="0003007B">
        <w:t xml:space="preserve"> the coverage of employers was </w:t>
      </w:r>
      <w:r w:rsidR="00C10876">
        <w:t>67-72</w:t>
      </w:r>
      <w:r w:rsidR="00C10876" w:rsidRPr="0003007B">
        <w:t>% compared to o</w:t>
      </w:r>
      <w:r w:rsidR="00C10876">
        <w:t xml:space="preserve">wn account at 76%. </w:t>
      </w:r>
      <w:r w:rsidR="00EC51BF">
        <w:t>I</w:t>
      </w:r>
      <w:r w:rsidR="0003007B" w:rsidRPr="0003007B">
        <w:t xml:space="preserve">n 1911, mainly as a result of including farmers, published employer summaries markedly improved to </w:t>
      </w:r>
      <w:r w:rsidR="00962D9C">
        <w:t>91</w:t>
      </w:r>
      <w:r w:rsidR="0003007B" w:rsidRPr="0003007B">
        <w:t xml:space="preserve">% </w:t>
      </w:r>
      <w:r w:rsidR="00EC51BF">
        <w:t>but</w:t>
      </w:r>
      <w:r w:rsidR="0003007B" w:rsidRPr="0003007B">
        <w:t xml:space="preserve"> own account </w:t>
      </w:r>
      <w:r w:rsidR="00EC51BF">
        <w:t xml:space="preserve">remained low </w:t>
      </w:r>
      <w:r w:rsidR="0003007B" w:rsidRPr="0003007B">
        <w:t xml:space="preserve">at </w:t>
      </w:r>
      <w:r w:rsidR="00962D9C">
        <w:t>77</w:t>
      </w:r>
      <w:r w:rsidR="0003007B" w:rsidRPr="0003007B">
        <w:t>%.</w:t>
      </w:r>
    </w:p>
    <w:p w14:paraId="6607746D" w14:textId="77777777" w:rsidR="0003007B" w:rsidRDefault="0003007B" w:rsidP="00F86D89">
      <w:pPr>
        <w:spacing w:line="360" w:lineRule="auto"/>
        <w:jc w:val="both"/>
      </w:pPr>
    </w:p>
    <w:p w14:paraId="470A5948" w14:textId="7514EE5C" w:rsidR="00EB714C" w:rsidRDefault="00D95659" w:rsidP="00F86D89">
      <w:pPr>
        <w:spacing w:line="360" w:lineRule="auto"/>
        <w:jc w:val="both"/>
      </w:pPr>
      <w:r>
        <w:t xml:space="preserve">However, the greatest deficiency </w:t>
      </w:r>
      <w:r w:rsidR="00AA0720">
        <w:t>for business historians</w:t>
      </w:r>
      <w:r w:rsidRPr="00D95659">
        <w:t xml:space="preserve"> </w:t>
      </w:r>
      <w:r>
        <w:t xml:space="preserve">in using the published tables from the 1891-1911 </w:t>
      </w:r>
      <w:r w:rsidR="00C20BD7">
        <w:t>C</w:t>
      </w:r>
      <w:r>
        <w:t xml:space="preserve">ensuses was inaccurate identification of the business responses analysed. </w:t>
      </w:r>
      <w:r w:rsidR="00F86D89">
        <w:t xml:space="preserve">Table 1 illustrates some of the difficulties of using the </w:t>
      </w:r>
      <w:r w:rsidR="001E76E4">
        <w:t xml:space="preserve">published </w:t>
      </w:r>
      <w:r w:rsidR="00E40FEA">
        <w:t>data.</w:t>
      </w:r>
      <w:r w:rsidR="00F86D89">
        <w:t xml:space="preserve"> If we believed the </w:t>
      </w:r>
      <w:r w:rsidR="00BB6AA4">
        <w:t>Census</w:t>
      </w:r>
      <w:r w:rsidR="00E306FF">
        <w:t xml:space="preserve"> </w:t>
      </w:r>
      <w:r w:rsidR="00046056">
        <w:t xml:space="preserve">published </w:t>
      </w:r>
      <w:r w:rsidR="00F86D89">
        <w:t>statistics (row 2)</w:t>
      </w:r>
      <w:r w:rsidR="009E4BFC">
        <w:t xml:space="preserve"> there were 1</w:t>
      </w:r>
      <w:r w:rsidR="0004102D">
        <w:t>13</w:t>
      </w:r>
      <w:r w:rsidR="00F86D89">
        <w:t xml:space="preserve">,000 </w:t>
      </w:r>
      <w:r w:rsidR="009E4BFC">
        <w:t xml:space="preserve">or </w:t>
      </w:r>
      <w:r w:rsidR="0004102D">
        <w:t>29</w:t>
      </w:r>
      <w:r w:rsidR="009E4BFC">
        <w:t xml:space="preserve">% </w:t>
      </w:r>
      <w:r w:rsidR="001E76E4">
        <w:t>more employers in 1891 than</w:t>
      </w:r>
      <w:r w:rsidR="00F86D89">
        <w:t xml:space="preserve"> 1901. Conversely own account (row 5) </w:t>
      </w:r>
      <w:r w:rsidR="001E76E4">
        <w:t>had</w:t>
      </w:r>
      <w:r w:rsidR="00F86D89">
        <w:t xml:space="preserve"> </w:t>
      </w:r>
      <w:r w:rsidR="009E4BFC">
        <w:t>grown</w:t>
      </w:r>
      <w:r w:rsidR="00F86D89">
        <w:t xml:space="preserve"> by 3</w:t>
      </w:r>
      <w:r w:rsidR="0004102D">
        <w:t>4</w:t>
      </w:r>
      <w:r w:rsidR="00F86D89">
        <w:t>% over the 10 years 1891-1901, before falling by</w:t>
      </w:r>
      <w:r w:rsidR="009E4BFC">
        <w:t xml:space="preserve"> </w:t>
      </w:r>
      <w:r w:rsidR="0004102D">
        <w:t>8</w:t>
      </w:r>
      <w:r w:rsidR="009E4BFC">
        <w:t>% 1901-11.</w:t>
      </w:r>
      <w:r w:rsidR="005A4C30">
        <w:t xml:space="preserve"> </w:t>
      </w:r>
      <w:r w:rsidR="009E4BFC">
        <w:t>These numbers look implausible and are not supported by any previous secondary analysis or contemporary observation.</w:t>
      </w:r>
      <w:r w:rsidR="00EC51BF">
        <w:t xml:space="preserve"> The published figures </w:t>
      </w:r>
      <w:r w:rsidR="005A4C30" w:rsidRPr="005A4C30">
        <w:t>appear even more implausible when individual sectors are examined. For example,</w:t>
      </w:r>
      <w:r w:rsidR="00472802">
        <w:t xml:space="preserve"> employer numbers in</w:t>
      </w:r>
      <w:r w:rsidR="005A4C30" w:rsidRPr="005A4C30">
        <w:t xml:space="preserve"> the large categories of lodging and boarding-house keepers, innkeepers, physicians, beer sellers, dressmakers, shopkeepers, shoe and boot makers all appear</w:t>
      </w:r>
      <w:r w:rsidR="009D31E7">
        <w:t xml:space="preserve">ed to </w:t>
      </w:r>
      <w:r w:rsidR="002A7584">
        <w:t xml:space="preserve">fall </w:t>
      </w:r>
      <w:r w:rsidR="002A7584" w:rsidRPr="005A4C30">
        <w:t>by</w:t>
      </w:r>
      <w:r w:rsidR="005A4C30" w:rsidRPr="005A4C30">
        <w:t xml:space="preserve"> over 40% </w:t>
      </w:r>
      <w:r w:rsidR="009D31E7">
        <w:t>between</w:t>
      </w:r>
      <w:r w:rsidR="009D31E7" w:rsidRPr="005A4C30">
        <w:t xml:space="preserve"> </w:t>
      </w:r>
      <w:r w:rsidR="005A4C30" w:rsidRPr="005A4C30">
        <w:t xml:space="preserve">1891-1901; other large categories such as blacksmiths, grocers, cow keepers, watch and clock makers, laundry workers, biscuit dealers and butchers appear to </w:t>
      </w:r>
      <w:r w:rsidR="005A4C30">
        <w:t xml:space="preserve">have </w:t>
      </w:r>
      <w:r w:rsidR="005A4C30" w:rsidRPr="005A4C30">
        <w:t>decline</w:t>
      </w:r>
      <w:r w:rsidR="005A4C30">
        <w:t>d</w:t>
      </w:r>
      <w:r w:rsidR="005A4C30" w:rsidRPr="005A4C30">
        <w:t xml:space="preserve"> by over 30%.; wheelwrights, greengrocers, solicitors, fishmongers and masons declined by over 25%. </w:t>
      </w:r>
      <w:r w:rsidR="009D31E7">
        <w:t>Consolidation was</w:t>
      </w:r>
      <w:r w:rsidR="005A4C30" w:rsidRPr="005A4C30">
        <w:t xml:space="preserve"> occurring </w:t>
      </w:r>
      <w:r w:rsidR="009D31E7">
        <w:t xml:space="preserve">in some of these sectors </w:t>
      </w:r>
      <w:r w:rsidR="005A4C30" w:rsidRPr="005A4C30">
        <w:t xml:space="preserve">at this time, </w:t>
      </w:r>
      <w:r w:rsidR="0004102D">
        <w:t xml:space="preserve">but </w:t>
      </w:r>
      <w:r w:rsidR="005A4C30" w:rsidRPr="005A4C30">
        <w:t xml:space="preserve">there is no </w:t>
      </w:r>
      <w:r w:rsidR="00472802">
        <w:t>reason to believe</w:t>
      </w:r>
      <w:r w:rsidR="005A4C30" w:rsidRPr="005A4C30">
        <w:t xml:space="preserve"> this scale of change, which would have occasioned major crises for these sectors; indeed</w:t>
      </w:r>
      <w:r w:rsidR="00472802">
        <w:t>,</w:t>
      </w:r>
      <w:r w:rsidR="005A4C30" w:rsidRPr="005A4C30">
        <w:t xml:space="preserve"> most literature suggests that most of these sectors had growth of absolute </w:t>
      </w:r>
      <w:r w:rsidR="00046056">
        <w:t xml:space="preserve">business </w:t>
      </w:r>
      <w:r w:rsidR="005A4C30" w:rsidRPr="005A4C30">
        <w:t>numbers over the period at least in line with population growth.</w:t>
      </w:r>
      <w:r w:rsidR="001E76E4">
        <w:t xml:space="preserve"> </w:t>
      </w:r>
      <w:r w:rsidR="00EB714C">
        <w:t xml:space="preserve">Hence it is </w:t>
      </w:r>
      <w:r w:rsidR="00435090">
        <w:t>crucial before using these data to assess the</w:t>
      </w:r>
      <w:r w:rsidR="00EB714C">
        <w:t xml:space="preserve"> 1891 </w:t>
      </w:r>
      <w:r w:rsidR="00BB6AA4">
        <w:t>Census</w:t>
      </w:r>
      <w:r w:rsidR="00E306FF">
        <w:t xml:space="preserve"> </w:t>
      </w:r>
      <w:r w:rsidR="002B6478">
        <w:t>for misallocation</w:t>
      </w:r>
      <w:r w:rsidR="00EB714C">
        <w:t xml:space="preserve"> </w:t>
      </w:r>
      <w:r w:rsidR="00984893">
        <w:t>bias;</w:t>
      </w:r>
      <w:r w:rsidR="00EB714C">
        <w:t xml:space="preserve"> a </w:t>
      </w:r>
      <w:r w:rsidR="00435090">
        <w:t>possibility</w:t>
      </w:r>
      <w:r w:rsidR="00EB714C">
        <w:t xml:space="preserve"> that</w:t>
      </w:r>
      <w:r w:rsidR="00EB714C" w:rsidRPr="00EB714C">
        <w:t xml:space="preserve"> was observed by </w:t>
      </w:r>
      <w:r w:rsidR="00512953">
        <w:t>Census administrators</w:t>
      </w:r>
      <w:r w:rsidR="00AA0720">
        <w:t>, but was not tackled</w:t>
      </w:r>
      <w:r w:rsidR="00E05E81">
        <w:t xml:space="preserve"> (PP, 1893-4: 36)</w:t>
      </w:r>
      <w:r w:rsidR="00EB714C">
        <w:t>.</w:t>
      </w:r>
    </w:p>
    <w:p w14:paraId="730FF745" w14:textId="77777777" w:rsidR="00EB714C" w:rsidRDefault="00EB714C" w:rsidP="00F86D89">
      <w:pPr>
        <w:spacing w:line="360" w:lineRule="auto"/>
        <w:jc w:val="both"/>
      </w:pPr>
    </w:p>
    <w:p w14:paraId="468E0348" w14:textId="32C742C3" w:rsidR="00F86D89" w:rsidRPr="007C003F" w:rsidRDefault="00EB714C" w:rsidP="0001457C">
      <w:pPr>
        <w:spacing w:line="360" w:lineRule="auto"/>
        <w:jc w:val="both"/>
      </w:pPr>
      <w:r>
        <w:t xml:space="preserve">Moreover, a </w:t>
      </w:r>
      <w:r w:rsidR="00AA0720">
        <w:t>further</w:t>
      </w:r>
      <w:r>
        <w:t xml:space="preserve"> set of limitations result</w:t>
      </w:r>
      <w:r w:rsidR="007C003F">
        <w:t>s</w:t>
      </w:r>
      <w:r>
        <w:t xml:space="preserve"> from the fact that many householders did not respond to the </w:t>
      </w:r>
      <w:r w:rsidR="00BB6AA4">
        <w:t>Census</w:t>
      </w:r>
      <w:r w:rsidR="00E306FF">
        <w:t xml:space="preserve"> </w:t>
      </w:r>
      <w:r>
        <w:t xml:space="preserve">question at all, so that the published statistics and those recorded in the electronic records shown in Table 1 are only part of the total possible population of employers </w:t>
      </w:r>
      <w:r>
        <w:lastRenderedPageBreak/>
        <w:t xml:space="preserve">and own account. </w:t>
      </w:r>
      <w:r w:rsidR="00472802">
        <w:t>Thus</w:t>
      </w:r>
      <w:r w:rsidR="001E76E4" w:rsidRPr="001E76E4">
        <w:t xml:space="preserve">, </w:t>
      </w:r>
      <w:r w:rsidR="00984893">
        <w:t xml:space="preserve">non-response as well as potential misallocation biases in 1891 </w:t>
      </w:r>
      <w:proofErr w:type="gramStart"/>
      <w:r w:rsidR="00984893">
        <w:t>have</w:t>
      </w:r>
      <w:proofErr w:type="gramEnd"/>
      <w:r>
        <w:t xml:space="preserve"> to be </w:t>
      </w:r>
      <w:r w:rsidR="00E40FEA">
        <w:t>adjust</w:t>
      </w:r>
      <w:r>
        <w:t xml:space="preserve">ed before we can obtain reliable estimates of </w:t>
      </w:r>
      <w:r w:rsidR="00512953">
        <w:t xml:space="preserve">proprietor </w:t>
      </w:r>
      <w:r>
        <w:t xml:space="preserve">numbers. </w:t>
      </w:r>
    </w:p>
    <w:p w14:paraId="3C835ADC" w14:textId="77777777" w:rsidR="009C2510" w:rsidRDefault="009C2510" w:rsidP="0001457C">
      <w:pPr>
        <w:spacing w:line="360" w:lineRule="auto"/>
        <w:jc w:val="both"/>
        <w:rPr>
          <w:b/>
        </w:rPr>
      </w:pPr>
    </w:p>
    <w:p w14:paraId="7258FBC9" w14:textId="64EC4E67" w:rsidR="000D6845" w:rsidRPr="000D6845" w:rsidRDefault="000D6845" w:rsidP="0001457C">
      <w:pPr>
        <w:spacing w:line="360" w:lineRule="auto"/>
        <w:jc w:val="both"/>
        <w:rPr>
          <w:b/>
        </w:rPr>
      </w:pPr>
      <w:r w:rsidRPr="000D6845">
        <w:rPr>
          <w:b/>
        </w:rPr>
        <w:t xml:space="preserve">The </w:t>
      </w:r>
      <w:r w:rsidR="00BB6AA4">
        <w:rPr>
          <w:b/>
        </w:rPr>
        <w:t>Census</w:t>
      </w:r>
      <w:r w:rsidR="00E306FF">
        <w:rPr>
          <w:b/>
        </w:rPr>
        <w:t xml:space="preserve"> </w:t>
      </w:r>
      <w:r w:rsidRPr="000D6845">
        <w:rPr>
          <w:b/>
        </w:rPr>
        <w:t>as a source</w:t>
      </w:r>
      <w:r w:rsidR="00417D0C">
        <w:rPr>
          <w:b/>
        </w:rPr>
        <w:t xml:space="preserve"> for the </w:t>
      </w:r>
      <w:r w:rsidR="00046056">
        <w:rPr>
          <w:b/>
        </w:rPr>
        <w:t xml:space="preserve">non-corporate </w:t>
      </w:r>
      <w:r w:rsidR="00512953">
        <w:rPr>
          <w:b/>
        </w:rPr>
        <w:t xml:space="preserve">proprietor </w:t>
      </w:r>
      <w:r w:rsidR="00417D0C">
        <w:rPr>
          <w:b/>
        </w:rPr>
        <w:t>population</w:t>
      </w:r>
    </w:p>
    <w:p w14:paraId="5AC04049" w14:textId="77777777" w:rsidR="000D6845" w:rsidRDefault="000D6845" w:rsidP="0001457C">
      <w:pPr>
        <w:spacing w:line="360" w:lineRule="auto"/>
        <w:jc w:val="both"/>
      </w:pPr>
    </w:p>
    <w:p w14:paraId="1C6F0A83" w14:textId="7F901AE8" w:rsidR="00660916" w:rsidRDefault="00EA5673" w:rsidP="0001457C">
      <w:pPr>
        <w:spacing w:line="360" w:lineRule="auto"/>
        <w:jc w:val="both"/>
      </w:pPr>
      <w:r>
        <w:t xml:space="preserve">The data </w:t>
      </w:r>
      <w:r w:rsidR="002A4083">
        <w:t>used</w:t>
      </w:r>
      <w:r>
        <w:t xml:space="preserve"> in this paper </w:t>
      </w:r>
      <w:r w:rsidR="00CF3072">
        <w:t>are</w:t>
      </w:r>
      <w:r>
        <w:t xml:space="preserve"> derived from the</w:t>
      </w:r>
      <w:r w:rsidR="00F76696">
        <w:t xml:space="preserve"> original </w:t>
      </w:r>
      <w:r w:rsidR="009514A9">
        <w:t>householder</w:t>
      </w:r>
      <w:r w:rsidR="00F76696">
        <w:t xml:space="preserve"> responses </w:t>
      </w:r>
      <w:r w:rsidR="002B6478">
        <w:t>electronically captured in</w:t>
      </w:r>
      <w:r w:rsidR="008A1FED">
        <w:t xml:space="preserve"> I-CeM</w:t>
      </w:r>
      <w:r w:rsidR="00DA61D3">
        <w:t xml:space="preserve"> </w:t>
      </w:r>
      <w:r w:rsidR="007C003F">
        <w:t>version 2</w:t>
      </w:r>
      <w:r w:rsidR="00DA61D3">
        <w:t xml:space="preserve"> </w:t>
      </w:r>
      <w:r w:rsidR="00DA61D3" w:rsidRPr="00DA61D3">
        <w:t>(</w:t>
      </w:r>
      <w:r w:rsidR="00DA61D3">
        <w:t>Higgs et al., 2015; Schürer et al., 2016).</w:t>
      </w:r>
      <w:r w:rsidR="007C003F">
        <w:t xml:space="preserve"> </w:t>
      </w:r>
      <w:r>
        <w:t>These records are transcriptions made by the com</w:t>
      </w:r>
      <w:r w:rsidR="00B30AA4">
        <w:t>mercial genealogy provider FindMy</w:t>
      </w:r>
      <w:r>
        <w:t>Past</w:t>
      </w:r>
      <w:r w:rsidR="0077018A">
        <w:t xml:space="preserve"> </w:t>
      </w:r>
      <w:r w:rsidR="007C003F">
        <w:t xml:space="preserve">(FMP) </w:t>
      </w:r>
      <w:r w:rsidR="003E4E76">
        <w:t>in</w:t>
      </w:r>
      <w:r>
        <w:t xml:space="preserve"> conjunction with The National Archives (TNA). </w:t>
      </w:r>
      <w:r w:rsidR="00B751F4">
        <w:t xml:space="preserve">For 1891 </w:t>
      </w:r>
      <w:r w:rsidR="0004102D">
        <w:t xml:space="preserve">and 1901 </w:t>
      </w:r>
      <w:r w:rsidR="00B751F4">
        <w:t>the</w:t>
      </w:r>
      <w:r>
        <w:t xml:space="preserve"> </w:t>
      </w:r>
      <w:r w:rsidR="00BB6AA4">
        <w:t>Census</w:t>
      </w:r>
      <w:r w:rsidR="00E306FF">
        <w:t xml:space="preserve"> </w:t>
      </w:r>
      <w:r>
        <w:t>Enumerators Books (CEBs)</w:t>
      </w:r>
      <w:r w:rsidR="00B751F4">
        <w:t xml:space="preserve"> were transcribed, </w:t>
      </w:r>
      <w:r w:rsidR="0004102D">
        <w:t xml:space="preserve">and </w:t>
      </w:r>
      <w:r w:rsidR="00B751F4">
        <w:t>for 1911</w:t>
      </w:r>
      <w:r w:rsidR="00CC4605">
        <w:t xml:space="preserve"> the original household</w:t>
      </w:r>
      <w:r w:rsidR="002B6478">
        <w:t>er</w:t>
      </w:r>
      <w:r w:rsidR="00CC4605">
        <w:t xml:space="preserve"> returns</w:t>
      </w:r>
      <w:r w:rsidR="00305BB3">
        <w:t xml:space="preserve">. </w:t>
      </w:r>
      <w:r w:rsidR="007C003F">
        <w:t>The contribution of I-CeM has been to covert the FMP-TNA genealogy resource into a coded database that is amenable to research analysis. However</w:t>
      </w:r>
      <w:r w:rsidR="00C657A4">
        <w:t>,</w:t>
      </w:r>
      <w:r w:rsidR="007C003F">
        <w:t xml:space="preserve"> I-CeM provides only a starting point, especially </w:t>
      </w:r>
      <w:r w:rsidR="00C657A4">
        <w:t>for use as a</w:t>
      </w:r>
      <w:r w:rsidR="007C003F">
        <w:t xml:space="preserve"> business </w:t>
      </w:r>
      <w:r w:rsidR="00C657A4">
        <w:t>source</w:t>
      </w:r>
      <w:r w:rsidR="00AA0720">
        <w:t>.</w:t>
      </w:r>
      <w:r w:rsidR="00CF3072">
        <w:t xml:space="preserve"> </w:t>
      </w:r>
    </w:p>
    <w:p w14:paraId="6AF2FCD5" w14:textId="77777777" w:rsidR="00660916" w:rsidRDefault="00660916" w:rsidP="0001457C">
      <w:pPr>
        <w:spacing w:line="360" w:lineRule="auto"/>
        <w:jc w:val="both"/>
      </w:pPr>
    </w:p>
    <w:p w14:paraId="06DA6EE5" w14:textId="6C992FC1" w:rsidR="009D2997" w:rsidRDefault="00C657A4" w:rsidP="008366A7">
      <w:pPr>
        <w:spacing w:line="360" w:lineRule="auto"/>
        <w:jc w:val="both"/>
      </w:pPr>
      <w:r>
        <w:t>I-CeM attempted</w:t>
      </w:r>
      <w:r w:rsidR="009F5A68">
        <w:t xml:space="preserve"> to </w:t>
      </w:r>
      <w:r w:rsidR="00C92969">
        <w:t xml:space="preserve">provide a standardized coding </w:t>
      </w:r>
      <w:r w:rsidR="00AA0720">
        <w:t>of all</w:t>
      </w:r>
      <w:r w:rsidR="009F5A68">
        <w:t xml:space="preserve"> </w:t>
      </w:r>
      <w:r w:rsidR="00BB6AA4">
        <w:t>Census</w:t>
      </w:r>
      <w:r w:rsidR="00E306FF">
        <w:t xml:space="preserve"> </w:t>
      </w:r>
      <w:r w:rsidR="009F5A68">
        <w:t xml:space="preserve">respondents. However, a number of corrections to </w:t>
      </w:r>
      <w:r w:rsidR="00BB6AA4">
        <w:t>Census</w:t>
      </w:r>
      <w:r w:rsidR="00E306FF">
        <w:t xml:space="preserve"> </w:t>
      </w:r>
      <w:r w:rsidR="009F5A68">
        <w:t xml:space="preserve">responses in the original CEBs, which would have been made by </w:t>
      </w:r>
      <w:r w:rsidR="00BB6AA4">
        <w:t>Census</w:t>
      </w:r>
      <w:r w:rsidR="00E306FF">
        <w:t xml:space="preserve"> </w:t>
      </w:r>
      <w:r w:rsidR="009F5A68">
        <w:t xml:space="preserve">clerks before production of published tables, cannot be captured. As a result it is important to impose on I-CeM data a number of controls </w:t>
      </w:r>
      <w:r w:rsidR="00046056">
        <w:t>to achieve</w:t>
      </w:r>
      <w:r w:rsidR="009F5A68">
        <w:t xml:space="preserve"> consistency. The</w:t>
      </w:r>
      <w:r w:rsidR="00773422">
        <w:t xml:space="preserve"> issues</w:t>
      </w:r>
      <w:r w:rsidR="009F5A68">
        <w:t xml:space="preserve"> </w:t>
      </w:r>
      <w:r w:rsidR="00975BD5">
        <w:t xml:space="preserve">affect all years, but </w:t>
      </w:r>
      <w:r w:rsidR="009F5A68">
        <w:t xml:space="preserve">are greater in 1911 because </w:t>
      </w:r>
      <w:r w:rsidR="00975BD5">
        <w:t xml:space="preserve">use of </w:t>
      </w:r>
      <w:r w:rsidR="009F5A68">
        <w:t xml:space="preserve">the original householder returns remove any intervention by </w:t>
      </w:r>
      <w:r w:rsidR="00BB6AA4">
        <w:t>Census</w:t>
      </w:r>
      <w:r w:rsidR="00E306FF">
        <w:t xml:space="preserve"> </w:t>
      </w:r>
      <w:r w:rsidR="00512953">
        <w:t xml:space="preserve">enumerators </w:t>
      </w:r>
      <w:r w:rsidR="009F5A68">
        <w:t xml:space="preserve">that would have limited variations in, for example, how occupations were described. To reduce the complexities, </w:t>
      </w:r>
      <w:r w:rsidR="00CF3072">
        <w:t xml:space="preserve">a significant amount of </w:t>
      </w:r>
      <w:r w:rsidR="00CF3072" w:rsidRPr="00CF3072">
        <w:t>additional data cleaning,</w:t>
      </w:r>
      <w:r w:rsidR="00CF3072">
        <w:t xml:space="preserve"> occupational coding correction, and improvement</w:t>
      </w:r>
      <w:r w:rsidR="00B13CA6">
        <w:t xml:space="preserve">s </w:t>
      </w:r>
      <w:r w:rsidR="009F5A68">
        <w:t xml:space="preserve">have </w:t>
      </w:r>
      <w:r w:rsidR="00AA0720">
        <w:t>to be</w:t>
      </w:r>
      <w:r w:rsidR="00B13CA6">
        <w:t xml:space="preserve"> </w:t>
      </w:r>
      <w:r w:rsidR="00CF3072">
        <w:t>undertaken</w:t>
      </w:r>
      <w:r>
        <w:t xml:space="preserve"> to </w:t>
      </w:r>
      <w:r w:rsidR="00046056">
        <w:t>achieve consistent</w:t>
      </w:r>
      <w:r>
        <w:t xml:space="preserve"> description of business activities</w:t>
      </w:r>
      <w:r w:rsidR="00DA61D3">
        <w:t xml:space="preserve"> (</w:t>
      </w:r>
      <w:r w:rsidR="008C4661">
        <w:t>Smith et al., 2017</w:t>
      </w:r>
      <w:r w:rsidR="00DA61D3">
        <w:t>)</w:t>
      </w:r>
      <w:r w:rsidR="00CF3072">
        <w:t xml:space="preserve">. </w:t>
      </w:r>
      <w:r w:rsidR="00670967">
        <w:t>One of the most important pre-requisites is</w:t>
      </w:r>
      <w:r w:rsidR="00B13CA6">
        <w:t xml:space="preserve"> </w:t>
      </w:r>
      <w:r w:rsidR="00660916">
        <w:t>identification</w:t>
      </w:r>
      <w:r w:rsidR="00670967">
        <w:t xml:space="preserve"> of industry sector. To achieve this</w:t>
      </w:r>
      <w:r>
        <w:t>,</w:t>
      </w:r>
      <w:r w:rsidR="00660916">
        <w:t xml:space="preserve"> the </w:t>
      </w:r>
      <w:r w:rsidR="00B13CA6" w:rsidRPr="00B13CA6">
        <w:t>occupation</w:t>
      </w:r>
      <w:r w:rsidR="00670967">
        <w:t>al</w:t>
      </w:r>
      <w:r w:rsidR="00B13CA6" w:rsidRPr="00B13CA6">
        <w:t xml:space="preserve"> coding </w:t>
      </w:r>
      <w:r w:rsidR="00670967">
        <w:t>in I-CeM must be</w:t>
      </w:r>
      <w:r w:rsidR="00660916">
        <w:t xml:space="preserve"> checked against </w:t>
      </w:r>
      <w:r w:rsidR="00F76696">
        <w:t xml:space="preserve">the original descriptors used by </w:t>
      </w:r>
      <w:r w:rsidR="00BB6AA4">
        <w:t>Census</w:t>
      </w:r>
      <w:r w:rsidR="00E306FF">
        <w:t xml:space="preserve"> </w:t>
      </w:r>
      <w:r w:rsidR="00660916">
        <w:t>respondents</w:t>
      </w:r>
      <w:r w:rsidR="00F76696">
        <w:t>. This was undertaken in a three</w:t>
      </w:r>
      <w:r w:rsidR="00075647">
        <w:t>-</w:t>
      </w:r>
      <w:r w:rsidR="00F76696">
        <w:t>stage process</w:t>
      </w:r>
      <w:r w:rsidR="00B13CA6" w:rsidRPr="00B13CA6">
        <w:t xml:space="preserve">. First, the total </w:t>
      </w:r>
      <w:r w:rsidR="00B13CA6">
        <w:t>proprietors</w:t>
      </w:r>
      <w:r w:rsidR="00B13CA6" w:rsidRPr="00B13CA6">
        <w:t xml:space="preserve"> in each occupation category </w:t>
      </w:r>
      <w:r w:rsidR="00B13CA6">
        <w:t>were</w:t>
      </w:r>
      <w:r w:rsidR="00B13CA6" w:rsidRPr="00B13CA6">
        <w:t xml:space="preserve"> compared </w:t>
      </w:r>
      <w:r w:rsidR="00F76696">
        <w:t>with</w:t>
      </w:r>
      <w:r w:rsidR="00B13CA6" w:rsidRPr="00B13CA6">
        <w:t xml:space="preserve"> the totals given in </w:t>
      </w:r>
      <w:r w:rsidR="00F76696">
        <w:t>published</w:t>
      </w:r>
      <w:r w:rsidR="00B13CA6" w:rsidRPr="00B13CA6">
        <w:t xml:space="preserve"> </w:t>
      </w:r>
      <w:r w:rsidR="00BB6AA4">
        <w:t>Census</w:t>
      </w:r>
      <w:r w:rsidR="00E306FF">
        <w:t xml:space="preserve"> </w:t>
      </w:r>
      <w:r w:rsidR="00B13CA6" w:rsidRPr="00B13CA6">
        <w:t>reports</w:t>
      </w:r>
      <w:r w:rsidR="00E05E81">
        <w:t xml:space="preserve"> (PP, </w:t>
      </w:r>
      <w:r w:rsidR="00E05E81" w:rsidRPr="00E05E81">
        <w:t>1893-4</w:t>
      </w:r>
      <w:r w:rsidR="00E05E81">
        <w:t>:</w:t>
      </w:r>
      <w:r w:rsidR="00E05E81" w:rsidRPr="00E05E81">
        <w:t xml:space="preserve"> x-xxv;</w:t>
      </w:r>
      <w:r w:rsidR="00E05E81">
        <w:t xml:space="preserve"> 1903: </w:t>
      </w:r>
      <w:r w:rsidR="00E05E81" w:rsidRPr="00E05E81">
        <w:t xml:space="preserve">186-201; </w:t>
      </w:r>
      <w:r w:rsidR="00E05E81">
        <w:t xml:space="preserve">1913: </w:t>
      </w:r>
      <w:r w:rsidR="00E05E81" w:rsidRPr="00E05E81">
        <w:t>12-25</w:t>
      </w:r>
      <w:r w:rsidR="00E05E81">
        <w:t>)</w:t>
      </w:r>
      <w:r w:rsidR="00B13CA6" w:rsidRPr="00B13CA6">
        <w:t xml:space="preserve">. </w:t>
      </w:r>
      <w:r w:rsidR="00CC6D51">
        <w:t>The</w:t>
      </w:r>
      <w:r w:rsidR="00670967">
        <w:t xml:space="preserve"> work </w:t>
      </w:r>
      <w:r w:rsidR="008736A4">
        <w:t xml:space="preserve">undertaken </w:t>
      </w:r>
      <w:r w:rsidR="00670967">
        <w:t xml:space="preserve">by </w:t>
      </w:r>
      <w:r w:rsidR="00BB6AA4">
        <w:t>Census</w:t>
      </w:r>
      <w:r w:rsidR="00E306FF">
        <w:t xml:space="preserve"> </w:t>
      </w:r>
      <w:r w:rsidR="008736A4">
        <w:t>clerks</w:t>
      </w:r>
      <w:r w:rsidR="00670967">
        <w:t xml:space="preserve"> </w:t>
      </w:r>
      <w:r w:rsidR="00CC6D51">
        <w:t xml:space="preserve">thus </w:t>
      </w:r>
      <w:r w:rsidR="00670967">
        <w:t>guide</w:t>
      </w:r>
      <w:r w:rsidR="00CC6D51">
        <w:t>s</w:t>
      </w:r>
      <w:r w:rsidR="00670967">
        <w:t xml:space="preserve"> the corrections needed. </w:t>
      </w:r>
      <w:r w:rsidR="00B13CA6" w:rsidRPr="00B13CA6">
        <w:t xml:space="preserve">For any category where the I-CeM total </w:t>
      </w:r>
      <w:r w:rsidR="00F76696">
        <w:t xml:space="preserve">was more than twice the </w:t>
      </w:r>
      <w:r w:rsidR="00B13CA6" w:rsidRPr="00B13CA6">
        <w:t>report</w:t>
      </w:r>
      <w:r w:rsidR="00670967">
        <w:t>ed</w:t>
      </w:r>
      <w:r w:rsidR="00B13CA6" w:rsidRPr="00B13CA6">
        <w:t xml:space="preserve"> total</w:t>
      </w:r>
      <w:r w:rsidR="00C663F9">
        <w:t>,</w:t>
      </w:r>
      <w:r w:rsidR="00B13CA6" w:rsidRPr="00B13CA6">
        <w:t xml:space="preserve"> the mo</w:t>
      </w:r>
      <w:r w:rsidR="00B13CA6">
        <w:t>st common occupation descriptor strings</w:t>
      </w:r>
      <w:r w:rsidR="00B13CA6" w:rsidRPr="00B13CA6">
        <w:t xml:space="preserve"> were </w:t>
      </w:r>
      <w:r w:rsidR="00F76696">
        <w:t>inspected and all</w:t>
      </w:r>
      <w:r w:rsidR="00B13CA6" w:rsidRPr="00B13CA6">
        <w:t xml:space="preserve"> strings </w:t>
      </w:r>
      <w:r w:rsidR="00F76696">
        <w:t>with</w:t>
      </w:r>
      <w:r w:rsidR="00B13CA6" w:rsidRPr="00B13CA6">
        <w:t xml:space="preserve"> more than 100 </w:t>
      </w:r>
      <w:r w:rsidR="00F76696">
        <w:t>proprietors</w:t>
      </w:r>
      <w:r w:rsidR="001A179A">
        <w:t xml:space="preserve"> or more than 5</w:t>
      </w:r>
      <w:r w:rsidR="001F3B65">
        <w:t>%</w:t>
      </w:r>
      <w:r w:rsidR="00366041">
        <w:t xml:space="preserve"> </w:t>
      </w:r>
      <w:r w:rsidR="00B13CA6" w:rsidRPr="00B13CA6">
        <w:t xml:space="preserve">of the total in that category were checked and, if necessary, </w:t>
      </w:r>
      <w:r w:rsidR="00046056">
        <w:t xml:space="preserve">more accurately </w:t>
      </w:r>
      <w:r w:rsidR="00670967">
        <w:t>coded</w:t>
      </w:r>
      <w:r w:rsidR="00B13CA6" w:rsidRPr="00B13CA6">
        <w:t>. S</w:t>
      </w:r>
      <w:r w:rsidR="00B13CA6">
        <w:t>econd, a</w:t>
      </w:r>
      <w:r w:rsidR="00B13CA6" w:rsidRPr="00B13CA6">
        <w:t>ll</w:t>
      </w:r>
      <w:r w:rsidR="00AA0720">
        <w:t xml:space="preserve"> </w:t>
      </w:r>
      <w:r w:rsidR="00B13CA6" w:rsidRPr="00B13CA6">
        <w:t xml:space="preserve">occupation strings </w:t>
      </w:r>
      <w:r w:rsidR="00B13CA6">
        <w:t>with</w:t>
      </w:r>
      <w:r w:rsidR="00B13CA6" w:rsidRPr="00B13CA6">
        <w:t xml:space="preserve"> 25 or more </w:t>
      </w:r>
      <w:r w:rsidR="00B13CA6">
        <w:t>proprietors</w:t>
      </w:r>
      <w:r w:rsidR="00B13CA6" w:rsidRPr="00B13CA6">
        <w:t xml:space="preserve"> </w:t>
      </w:r>
      <w:r w:rsidR="001A179A">
        <w:t>were checked by hand and</w:t>
      </w:r>
      <w:r w:rsidR="00B13CA6" w:rsidRPr="00B13CA6">
        <w:t xml:space="preserve"> corrected if necessary. </w:t>
      </w:r>
      <w:r w:rsidR="00F76696">
        <w:t>Third,</w:t>
      </w:r>
      <w:r w:rsidR="00B13CA6" w:rsidRPr="00B13CA6">
        <w:t xml:space="preserve"> all </w:t>
      </w:r>
      <w:r w:rsidR="00B13CA6">
        <w:t>proprietors</w:t>
      </w:r>
      <w:r w:rsidR="00B13CA6" w:rsidRPr="00B13CA6">
        <w:t xml:space="preserve"> with portfolios of</w:t>
      </w:r>
      <w:r w:rsidR="00B13CA6">
        <w:t xml:space="preserve"> activity</w:t>
      </w:r>
      <w:r w:rsidR="00670967">
        <w:t>, indicated by multiple business descriptors,</w:t>
      </w:r>
      <w:r w:rsidR="00B13CA6">
        <w:t xml:space="preserve"> were checked and coded by </w:t>
      </w:r>
      <w:r w:rsidR="00B13CA6">
        <w:lastRenderedPageBreak/>
        <w:t>hand (</w:t>
      </w:r>
      <w:r w:rsidR="00670967">
        <w:t xml:space="preserve">about </w:t>
      </w:r>
      <w:r w:rsidR="00B13CA6" w:rsidRPr="00B13CA6">
        <w:t>10</w:t>
      </w:r>
      <w:r w:rsidR="001F3B65">
        <w:t>%</w:t>
      </w:r>
      <w:r w:rsidR="00881DD6">
        <w:t xml:space="preserve"> </w:t>
      </w:r>
      <w:r w:rsidR="00B13CA6" w:rsidRPr="00B13CA6">
        <w:t xml:space="preserve">of all </w:t>
      </w:r>
      <w:r w:rsidR="00B13CA6">
        <w:t>proprietors). Overall</w:t>
      </w:r>
      <w:r w:rsidR="001A179A">
        <w:t>, for each year,</w:t>
      </w:r>
      <w:r w:rsidR="00B13CA6">
        <w:t xml:space="preserve"> </w:t>
      </w:r>
      <w:r w:rsidR="00046056">
        <w:t xml:space="preserve">occupations </w:t>
      </w:r>
      <w:r w:rsidR="00046056" w:rsidRPr="00046056">
        <w:t xml:space="preserve">were corrected </w:t>
      </w:r>
      <w:r w:rsidR="00512953">
        <w:t xml:space="preserve">for </w:t>
      </w:r>
      <w:r w:rsidR="00220713">
        <w:t xml:space="preserve">around </w:t>
      </w:r>
      <w:r w:rsidR="00B13CA6">
        <w:t>300,00</w:t>
      </w:r>
      <w:r w:rsidR="001A179A">
        <w:t>0</w:t>
      </w:r>
      <w:r w:rsidR="00B13CA6">
        <w:t xml:space="preserve"> individuals representing over 1.5</w:t>
      </w:r>
      <w:r w:rsidR="001F3B65">
        <w:t>%</w:t>
      </w:r>
      <w:r w:rsidR="00B13CA6">
        <w:t xml:space="preserve"> of the working population</w:t>
      </w:r>
      <w:r w:rsidR="00BD5614">
        <w:t>; of these, about 5</w:t>
      </w:r>
      <w:r w:rsidR="004B0AE1">
        <w:t>5</w:t>
      </w:r>
      <w:r w:rsidR="00BD5614">
        <w:t xml:space="preserve">,000 in each year were </w:t>
      </w:r>
      <w:r w:rsidR="00D05BD0">
        <w:t xml:space="preserve">corrections for </w:t>
      </w:r>
      <w:r w:rsidR="00BD5614">
        <w:t>businesses proprietors, around</w:t>
      </w:r>
      <w:r w:rsidR="001A179A">
        <w:t xml:space="preserve"> </w:t>
      </w:r>
      <w:r w:rsidR="00220713" w:rsidRPr="00AA0720">
        <w:t>3</w:t>
      </w:r>
      <w:r w:rsidR="001F3B65">
        <w:t>%</w:t>
      </w:r>
      <w:r w:rsidR="00881DD6">
        <w:t xml:space="preserve"> </w:t>
      </w:r>
      <w:r w:rsidR="001A179A">
        <w:t xml:space="preserve">of </w:t>
      </w:r>
      <w:r w:rsidR="00BD5614">
        <w:t>the total</w:t>
      </w:r>
      <w:r w:rsidR="00B13CA6">
        <w:t xml:space="preserve">. </w:t>
      </w:r>
      <w:r w:rsidR="00CC6D51">
        <w:t>These</w:t>
      </w:r>
      <w:r w:rsidR="00F76696">
        <w:t xml:space="preserve"> checks</w:t>
      </w:r>
      <w:r w:rsidR="00CF3072">
        <w:t xml:space="preserve"> significantly enhanced accuracy </w:t>
      </w:r>
      <w:r w:rsidR="00220713">
        <w:t xml:space="preserve">and </w:t>
      </w:r>
      <w:r w:rsidR="00CF3072">
        <w:t>ensure</w:t>
      </w:r>
      <w:r w:rsidR="00220713">
        <w:t>d</w:t>
      </w:r>
      <w:r w:rsidR="00CF3072">
        <w:t xml:space="preserve"> </w:t>
      </w:r>
      <w:r w:rsidR="001A179A">
        <w:t xml:space="preserve">aligned </w:t>
      </w:r>
      <w:r w:rsidR="00CF3072" w:rsidRPr="00CF3072">
        <w:t xml:space="preserve">and consistent </w:t>
      </w:r>
      <w:r w:rsidR="00C803E9">
        <w:t>estimat</w:t>
      </w:r>
      <w:r w:rsidR="00512953">
        <w:t>ion</w:t>
      </w:r>
      <w:r w:rsidR="00CF3072">
        <w:t>.</w:t>
      </w:r>
      <w:r w:rsidR="00670967">
        <w:t xml:space="preserve"> However, i</w:t>
      </w:r>
      <w:r w:rsidR="008366A7">
        <w:t>t is important to note that, d</w:t>
      </w:r>
      <w:r w:rsidR="009D2997">
        <w:t xml:space="preserve">espite </w:t>
      </w:r>
      <w:r w:rsidR="008366A7">
        <w:t xml:space="preserve">these efforts, and despite </w:t>
      </w:r>
      <w:r w:rsidR="009D2997">
        <w:t xml:space="preserve">the </w:t>
      </w:r>
      <w:r w:rsidR="00BB6AA4">
        <w:t>Census</w:t>
      </w:r>
      <w:r w:rsidR="00E306FF">
        <w:t xml:space="preserve"> </w:t>
      </w:r>
      <w:r w:rsidR="008366A7">
        <w:t xml:space="preserve">Instructions, </w:t>
      </w:r>
      <w:r w:rsidR="00670967">
        <w:t>a proportion of</w:t>
      </w:r>
      <w:r w:rsidR="008366A7">
        <w:t xml:space="preserve"> people gave unspecific</w:t>
      </w:r>
      <w:r w:rsidR="009D2997">
        <w:t xml:space="preserve"> occupation titles (</w:t>
      </w:r>
      <w:r w:rsidR="008366A7">
        <w:t>such as ‘</w:t>
      </w:r>
      <w:r w:rsidR="009D2997">
        <w:t>merchant</w:t>
      </w:r>
      <w:r w:rsidR="008366A7">
        <w:t>’</w:t>
      </w:r>
      <w:r w:rsidR="009D2997">
        <w:t xml:space="preserve">, </w:t>
      </w:r>
      <w:r w:rsidR="008366A7">
        <w:t>‘manufacturer’, ‘</w:t>
      </w:r>
      <w:r w:rsidR="009D2997">
        <w:t>general la</w:t>
      </w:r>
      <w:r w:rsidR="008366A7">
        <w:t xml:space="preserve">bourer’ etc.). </w:t>
      </w:r>
      <w:r w:rsidR="00773422">
        <w:t>Consequently</w:t>
      </w:r>
      <w:r w:rsidR="002A7584">
        <w:t>,</w:t>
      </w:r>
      <w:r w:rsidR="008366A7">
        <w:t xml:space="preserve"> although counts of</w:t>
      </w:r>
      <w:r w:rsidR="009D2997">
        <w:t xml:space="preserve"> </w:t>
      </w:r>
      <w:r w:rsidR="00CC6D51">
        <w:t xml:space="preserve">proprietors </w:t>
      </w:r>
      <w:r w:rsidR="008366A7">
        <w:t>as a whole</w:t>
      </w:r>
      <w:r w:rsidR="00670967">
        <w:t xml:space="preserve"> are not affected</w:t>
      </w:r>
      <w:r w:rsidR="009D2997">
        <w:t xml:space="preserve">, </w:t>
      </w:r>
      <w:r w:rsidR="008366A7">
        <w:t xml:space="preserve">the industry to which </w:t>
      </w:r>
      <w:r w:rsidR="00CC6D51">
        <w:t>they</w:t>
      </w:r>
      <w:r w:rsidR="00670967">
        <w:t xml:space="preserve"> </w:t>
      </w:r>
      <w:r w:rsidR="008366A7">
        <w:t xml:space="preserve">are assigned </w:t>
      </w:r>
      <w:r w:rsidR="00CC6D51">
        <w:t xml:space="preserve">cannot be identified and this </w:t>
      </w:r>
      <w:r w:rsidR="00177E1E">
        <w:t>constrains</w:t>
      </w:r>
      <w:r w:rsidR="00CC6D51">
        <w:t xml:space="preserve"> efforts to calculate mean employee size</w:t>
      </w:r>
      <w:r w:rsidR="00177E1E">
        <w:t xml:space="preserve"> using occupational codes to assign workers</w:t>
      </w:r>
      <w:r w:rsidR="00670967">
        <w:t xml:space="preserve">. </w:t>
      </w:r>
      <w:r w:rsidR="00CC6D51">
        <w:t xml:space="preserve">Other </w:t>
      </w:r>
      <w:r w:rsidR="00670967">
        <w:t>consequences of this constraint are discussed in</w:t>
      </w:r>
      <w:r w:rsidR="00C21022">
        <w:t xml:space="preserve"> conclusion</w:t>
      </w:r>
      <w:r w:rsidR="00670967">
        <w:t xml:space="preserve">. </w:t>
      </w:r>
    </w:p>
    <w:p w14:paraId="04DCEFE2" w14:textId="77777777" w:rsidR="009D2997" w:rsidRDefault="009D2997" w:rsidP="0001457C">
      <w:pPr>
        <w:spacing w:line="360" w:lineRule="auto"/>
        <w:jc w:val="both"/>
      </w:pPr>
    </w:p>
    <w:p w14:paraId="2AEB566B" w14:textId="54384601" w:rsidR="000D6845" w:rsidRDefault="003B6056" w:rsidP="0001457C">
      <w:pPr>
        <w:spacing w:line="360" w:lineRule="auto"/>
        <w:jc w:val="both"/>
      </w:pPr>
      <w:r>
        <w:t>T</w:t>
      </w:r>
      <w:r w:rsidR="001A179A">
        <w:t xml:space="preserve">he analysis must also correct for biases in the original </w:t>
      </w:r>
      <w:r w:rsidR="00BB6AA4">
        <w:t>Census</w:t>
      </w:r>
      <w:r w:rsidR="00E306FF">
        <w:t xml:space="preserve"> </w:t>
      </w:r>
      <w:r w:rsidR="001A179A">
        <w:t xml:space="preserve">process. </w:t>
      </w:r>
      <w:r w:rsidR="00220713">
        <w:t>T</w:t>
      </w:r>
      <w:r w:rsidR="00EA5673">
        <w:t xml:space="preserve">he population </w:t>
      </w:r>
      <w:r w:rsidR="00BB6AA4">
        <w:t>Census</w:t>
      </w:r>
      <w:r w:rsidR="00E306FF">
        <w:t xml:space="preserve"> </w:t>
      </w:r>
      <w:r w:rsidR="00EA5673">
        <w:t xml:space="preserve">was not a business </w:t>
      </w:r>
      <w:r w:rsidR="00BB6AA4">
        <w:t>Census</w:t>
      </w:r>
      <w:r w:rsidR="00305BB3">
        <w:t xml:space="preserve">. </w:t>
      </w:r>
      <w:r w:rsidR="00C663F9">
        <w:t>There was</w:t>
      </w:r>
      <w:r w:rsidR="001A179A" w:rsidRPr="001A179A">
        <w:t xml:space="preserve"> a legal obligation to reply and to provide accurate information </w:t>
      </w:r>
      <w:r w:rsidR="001A179A">
        <w:t>which ensure</w:t>
      </w:r>
      <w:r w:rsidR="00D05BD0">
        <w:t>d</w:t>
      </w:r>
      <w:r w:rsidR="001A179A">
        <w:t xml:space="preserve"> </w:t>
      </w:r>
      <w:r w:rsidR="001A179A" w:rsidRPr="001A179A">
        <w:t xml:space="preserve">near-complete coverage and a high level of accuracy of what it collected. </w:t>
      </w:r>
      <w:r w:rsidR="001A179A">
        <w:t>But i</w:t>
      </w:r>
      <w:r w:rsidR="00305BB3">
        <w:t xml:space="preserve">t was designed </w:t>
      </w:r>
      <w:r w:rsidR="00CC4605">
        <w:t xml:space="preserve">and administered </w:t>
      </w:r>
      <w:r w:rsidR="00305BB3">
        <w:t>by</w:t>
      </w:r>
      <w:r w:rsidR="00EA5673">
        <w:t xml:space="preserve"> the General Register Offic</w:t>
      </w:r>
      <w:r w:rsidR="00305BB3">
        <w:t xml:space="preserve">e (GRO) </w:t>
      </w:r>
      <w:r w:rsidR="00CC4605" w:rsidRPr="00CC4605">
        <w:t>to count the population</w:t>
      </w:r>
      <w:r w:rsidR="00512953">
        <w:t xml:space="preserve"> primarily for demographic and analysis and assessment </w:t>
      </w:r>
      <w:r w:rsidR="00CF26AB">
        <w:t>of occupation-specific mortality (see Higgs, 2005)</w:t>
      </w:r>
      <w:r w:rsidR="00CC4605" w:rsidRPr="00CC4605">
        <w:t xml:space="preserve">, with information on industry and the economy a secondary consideration. </w:t>
      </w:r>
      <w:r w:rsidR="00486D93">
        <w:t>This resulted in defects of survey design and administration</w:t>
      </w:r>
      <w:r w:rsidR="00CC4605" w:rsidRPr="00CC4605">
        <w:t xml:space="preserve">. </w:t>
      </w:r>
    </w:p>
    <w:p w14:paraId="215F0BE2" w14:textId="77777777" w:rsidR="001A179A" w:rsidRDefault="001A179A" w:rsidP="0001457C">
      <w:pPr>
        <w:spacing w:line="360" w:lineRule="auto"/>
        <w:jc w:val="both"/>
      </w:pPr>
    </w:p>
    <w:p w14:paraId="56579BBE" w14:textId="2920BD11" w:rsidR="00A76D78" w:rsidRDefault="000D6845" w:rsidP="002726CD">
      <w:pPr>
        <w:spacing w:line="360" w:lineRule="auto"/>
        <w:jc w:val="both"/>
      </w:pPr>
      <w:r>
        <w:t>T</w:t>
      </w:r>
      <w:r w:rsidR="00D61058">
        <w:t xml:space="preserve">he </w:t>
      </w:r>
      <w:r w:rsidR="0057077F">
        <w:t xml:space="preserve">employment status </w:t>
      </w:r>
      <w:r w:rsidR="00D61058">
        <w:t xml:space="preserve">question </w:t>
      </w:r>
      <w:r w:rsidR="00D1760C">
        <w:t xml:space="preserve">initiated in 1891 </w:t>
      </w:r>
      <w:r w:rsidR="00DD63BE">
        <w:t xml:space="preserve">asked householders </w:t>
      </w:r>
      <w:r w:rsidR="001C77DF">
        <w:t xml:space="preserve">to </w:t>
      </w:r>
      <w:r w:rsidR="00DD63BE">
        <w:t>put a cross in one of three columns (numbered 7, 8 and 9) headed</w:t>
      </w:r>
      <w:r w:rsidR="00486D93">
        <w:t>, respectively</w:t>
      </w:r>
      <w:r w:rsidR="00DD63BE">
        <w:t xml:space="preserve">: ‘employers’, ‘employed’, or ‘neither employer or employed’. These three columns were grouped with the occupation </w:t>
      </w:r>
      <w:r w:rsidR="00486D93">
        <w:t>Instruction</w:t>
      </w:r>
      <w:r w:rsidR="004938AC">
        <w:t xml:space="preserve"> under a heading ‘Profession</w:t>
      </w:r>
      <w:r w:rsidR="00DD63BE">
        <w:t xml:space="preserve"> or Occupation’</w:t>
      </w:r>
      <w:r w:rsidR="0025010D">
        <w:t xml:space="preserve">. </w:t>
      </w:r>
      <w:r w:rsidR="00997BBB">
        <w:t xml:space="preserve">The </w:t>
      </w:r>
      <w:r w:rsidR="0080619B">
        <w:t>terms used were defined more fully</w:t>
      </w:r>
      <w:r w:rsidR="00226D9C">
        <w:t xml:space="preserve"> in the general I</w:t>
      </w:r>
      <w:r w:rsidR="00997BBB">
        <w:t xml:space="preserve">nstructions </w:t>
      </w:r>
      <w:r w:rsidR="0001457C">
        <w:t>as follows:</w:t>
      </w:r>
    </w:p>
    <w:p w14:paraId="79FE9C2A" w14:textId="2825ABAA" w:rsidR="001E7990" w:rsidRDefault="00AA73EB" w:rsidP="0001457C">
      <w:pPr>
        <w:spacing w:line="360" w:lineRule="auto"/>
        <w:ind w:left="720"/>
        <w:jc w:val="both"/>
      </w:pPr>
      <w:r>
        <w:t xml:space="preserve">A </w:t>
      </w:r>
      <w:r>
        <w:rPr>
          <w:i/>
        </w:rPr>
        <w:t>cross</w:t>
      </w:r>
      <w:r>
        <w:t xml:space="preserve"> must be made in Column 7, headed ‘Employer’, when a person is a master, employing under him workers in his trade or industry; in Column 8, headed ‘Employed’, when the person is working in a trade or industry under a master; and in Column 9, </w:t>
      </w:r>
      <w:r w:rsidR="00484909">
        <w:t>headed ‘Neither Employer nor Employed’, when the person neither employs other workmen in his trade or industry, no</w:t>
      </w:r>
      <w:r w:rsidR="004D6CB9">
        <w:t>r</w:t>
      </w:r>
      <w:r w:rsidR="00484909">
        <w:t xml:space="preserve"> works for a </w:t>
      </w:r>
      <w:r w:rsidR="001B4597">
        <w:t xml:space="preserve">master, but works on his own account. Married women assisting their husbands in their trade or industry are to </w:t>
      </w:r>
      <w:r w:rsidR="00C5318F">
        <w:t xml:space="preserve">be </w:t>
      </w:r>
      <w:r w:rsidR="001B4597">
        <w:t>returned as ‘Employed’.</w:t>
      </w:r>
      <w:r w:rsidR="001E7990">
        <w:rPr>
          <w:rStyle w:val="EndnoteReference"/>
        </w:rPr>
        <w:endnoteReference w:id="3"/>
      </w:r>
    </w:p>
    <w:p w14:paraId="37B9F6C9" w14:textId="77777777" w:rsidR="001E7990" w:rsidRDefault="001E7990" w:rsidP="002726CD">
      <w:pPr>
        <w:spacing w:line="360" w:lineRule="auto"/>
        <w:jc w:val="both"/>
      </w:pPr>
    </w:p>
    <w:p w14:paraId="743D5CDA" w14:textId="0C98EA3A" w:rsidR="001E7990" w:rsidRDefault="001E7990" w:rsidP="0080619B">
      <w:pPr>
        <w:spacing w:line="360" w:lineRule="auto"/>
        <w:jc w:val="both"/>
      </w:pPr>
      <w:r>
        <w:t xml:space="preserve">Recognising difficulties with this design, the Census Instructions were modified in subsequent Censuses. In 1901 and 1911, rather than putting crosses in columns, </w:t>
      </w:r>
      <w:r w:rsidRPr="00AC1153">
        <w:t xml:space="preserve">householders </w:t>
      </w:r>
      <w:r>
        <w:t xml:space="preserve">had to </w:t>
      </w:r>
      <w:r w:rsidRPr="00AC1153">
        <w:rPr>
          <w:i/>
        </w:rPr>
        <w:t>write</w:t>
      </w:r>
      <w:r>
        <w:t xml:space="preserve"> </w:t>
      </w:r>
      <w:r>
        <w:lastRenderedPageBreak/>
        <w:t>their employment status in a single column. For 1901 (and almost identically in 1911) this Instruction was:</w:t>
      </w:r>
      <w:r>
        <w:rPr>
          <w:rStyle w:val="EndnoteReference"/>
        </w:rPr>
        <w:endnoteReference w:id="4"/>
      </w:r>
    </w:p>
    <w:p w14:paraId="711FFD3F" w14:textId="77777777" w:rsidR="001E7990" w:rsidRDefault="001E7990" w:rsidP="0080619B">
      <w:pPr>
        <w:spacing w:line="360" w:lineRule="auto"/>
        <w:ind w:left="720"/>
        <w:jc w:val="both"/>
      </w:pPr>
      <w:r>
        <w:t>Write opposite the name of each person engaged in any trade or industry, either</w:t>
      </w:r>
    </w:p>
    <w:p w14:paraId="73434302" w14:textId="77777777" w:rsidR="001E7990" w:rsidRDefault="001E7990" w:rsidP="0080619B">
      <w:pPr>
        <w:spacing w:line="360" w:lineRule="auto"/>
        <w:ind w:left="720"/>
        <w:jc w:val="both"/>
      </w:pPr>
      <w:r>
        <w:t>(1)</w:t>
      </w:r>
      <w:r>
        <w:tab/>
        <w:t>‘Employer’ (that is, employing persons other than domestic servants)</w:t>
      </w:r>
    </w:p>
    <w:p w14:paraId="766E9DEE" w14:textId="77777777" w:rsidR="001E7990" w:rsidRDefault="001E7990" w:rsidP="0080619B">
      <w:pPr>
        <w:spacing w:line="360" w:lineRule="auto"/>
        <w:ind w:left="720"/>
        <w:jc w:val="both"/>
      </w:pPr>
      <w:r>
        <w:t>(2)</w:t>
      </w:r>
      <w:r>
        <w:tab/>
        <w:t>‘Worker’ (that is, a worker for an employer), or</w:t>
      </w:r>
    </w:p>
    <w:p w14:paraId="0CADBD8F" w14:textId="77777777" w:rsidR="001E7990" w:rsidRDefault="001E7990" w:rsidP="0080619B">
      <w:pPr>
        <w:spacing w:line="360" w:lineRule="auto"/>
        <w:ind w:left="720"/>
        <w:jc w:val="both"/>
      </w:pPr>
      <w:r>
        <w:t>(3)</w:t>
      </w:r>
      <w:r>
        <w:tab/>
        <w:t xml:space="preserve">‘Own Account’ (that is, neither Employer nor working for Employer, but working on own account). </w:t>
      </w:r>
    </w:p>
    <w:p w14:paraId="004DC170" w14:textId="77777777" w:rsidR="001E7990" w:rsidRDefault="001E7990" w:rsidP="002275F1">
      <w:pPr>
        <w:spacing w:line="360" w:lineRule="auto"/>
        <w:jc w:val="both"/>
        <w:rPr>
          <w:bCs/>
        </w:rPr>
      </w:pPr>
    </w:p>
    <w:p w14:paraId="420298CA" w14:textId="0DE279E5" w:rsidR="001E7990" w:rsidRDefault="001E7990" w:rsidP="002275F1">
      <w:pPr>
        <w:spacing w:line="360" w:lineRule="auto"/>
        <w:jc w:val="both"/>
        <w:rPr>
          <w:bCs/>
        </w:rPr>
      </w:pPr>
      <w:r w:rsidRPr="00AC1153">
        <w:rPr>
          <w:bCs/>
        </w:rPr>
        <w:t xml:space="preserve">The </w:t>
      </w:r>
      <w:r>
        <w:rPr>
          <w:bCs/>
        </w:rPr>
        <w:t xml:space="preserve">Census </w:t>
      </w:r>
      <w:r w:rsidRPr="00AC1153">
        <w:rPr>
          <w:bCs/>
        </w:rPr>
        <w:t xml:space="preserve">Instructions set out the distinction between the three kinds of employment status and also explicitly included married </w:t>
      </w:r>
      <w:r w:rsidR="00CF26AB">
        <w:rPr>
          <w:bCs/>
        </w:rPr>
        <w:t xml:space="preserve">as well as other </w:t>
      </w:r>
      <w:r w:rsidRPr="00AC1153">
        <w:rPr>
          <w:bCs/>
        </w:rPr>
        <w:t>women. This should have resulted in all sectors</w:t>
      </w:r>
      <w:r>
        <w:rPr>
          <w:bCs/>
        </w:rPr>
        <w:t>, genders and ages</w:t>
      </w:r>
      <w:r w:rsidRPr="00AC1153">
        <w:rPr>
          <w:bCs/>
        </w:rPr>
        <w:t xml:space="preserve"> of employers and </w:t>
      </w:r>
      <w:r w:rsidR="00E841E6">
        <w:rPr>
          <w:bCs/>
        </w:rPr>
        <w:t>own account</w:t>
      </w:r>
      <w:r w:rsidRPr="00AC1153">
        <w:rPr>
          <w:bCs/>
        </w:rPr>
        <w:t xml:space="preserve"> replying. </w:t>
      </w:r>
      <w:r>
        <w:rPr>
          <w:bCs/>
        </w:rPr>
        <w:t>The Instructions for 1901 and 1911 were generally believed by GRO to have worked well, and a similar question has been included in all subsequent Censuses.</w:t>
      </w:r>
      <w:r>
        <w:rPr>
          <w:rStyle w:val="EndnoteReference"/>
          <w:bCs/>
        </w:rPr>
        <w:endnoteReference w:id="5"/>
      </w:r>
      <w:r>
        <w:rPr>
          <w:bCs/>
        </w:rPr>
        <w:t xml:space="preserve"> For example, in 2011 the Census question was: ‘</w:t>
      </w:r>
      <w:proofErr w:type="gramStart"/>
      <w:r w:rsidRPr="00F633D3">
        <w:rPr>
          <w:bCs/>
        </w:rPr>
        <w:t>In</w:t>
      </w:r>
      <w:proofErr w:type="gramEnd"/>
      <w:r w:rsidRPr="00F633D3">
        <w:rPr>
          <w:bCs/>
        </w:rPr>
        <w:t xml:space="preserve"> your main job, are (were) you:</w:t>
      </w:r>
      <w:r>
        <w:rPr>
          <w:bCs/>
        </w:rPr>
        <w:t xml:space="preserve"> An employee? </w:t>
      </w:r>
      <w:proofErr w:type="gramStart"/>
      <w:r w:rsidRPr="00F633D3">
        <w:rPr>
          <w:bCs/>
        </w:rPr>
        <w:t xml:space="preserve">Self-employed </w:t>
      </w:r>
      <w:r>
        <w:rPr>
          <w:bCs/>
        </w:rPr>
        <w:t>or freelance without employees?</w:t>
      </w:r>
      <w:proofErr w:type="gramEnd"/>
      <w:r>
        <w:rPr>
          <w:bCs/>
        </w:rPr>
        <w:t xml:space="preserve"> </w:t>
      </w:r>
      <w:proofErr w:type="gramStart"/>
      <w:r w:rsidRPr="00F633D3">
        <w:rPr>
          <w:bCs/>
        </w:rPr>
        <w:t>Self-employed with employees?</w:t>
      </w:r>
      <w:r>
        <w:rPr>
          <w:bCs/>
        </w:rPr>
        <w:t>’</w:t>
      </w:r>
      <w:proofErr w:type="gramEnd"/>
      <w:r>
        <w:rPr>
          <w:rStyle w:val="EndnoteReference"/>
          <w:bCs/>
        </w:rPr>
        <w:endnoteReference w:id="6"/>
      </w:r>
      <w:r>
        <w:rPr>
          <w:bCs/>
        </w:rPr>
        <w:t xml:space="preserve"> </w:t>
      </w:r>
    </w:p>
    <w:p w14:paraId="78AC5293" w14:textId="77777777" w:rsidR="001E7990" w:rsidRDefault="001E7990" w:rsidP="002275F1">
      <w:pPr>
        <w:spacing w:line="360" w:lineRule="auto"/>
        <w:jc w:val="both"/>
        <w:rPr>
          <w:bCs/>
        </w:rPr>
      </w:pPr>
    </w:p>
    <w:p w14:paraId="05E8CDCA" w14:textId="115F80D5" w:rsidR="001E7990" w:rsidRDefault="001E7990" w:rsidP="002275F1">
      <w:pPr>
        <w:spacing w:line="360" w:lineRule="auto"/>
        <w:jc w:val="both"/>
        <w:rPr>
          <w:bCs/>
        </w:rPr>
      </w:pPr>
      <w:r>
        <w:rPr>
          <w:bCs/>
        </w:rPr>
        <w:t xml:space="preserve">The 1891-1911 Instructions and administration introduced </w:t>
      </w:r>
      <w:r w:rsidRPr="002275F1">
        <w:rPr>
          <w:bCs/>
        </w:rPr>
        <w:t xml:space="preserve">important constraints that have to be managed </w:t>
      </w:r>
      <w:r>
        <w:rPr>
          <w:bCs/>
        </w:rPr>
        <w:t xml:space="preserve">when using these Censuses to estimate </w:t>
      </w:r>
      <w:r w:rsidR="006B048B" w:rsidRPr="006B048B">
        <w:rPr>
          <w:bCs/>
        </w:rPr>
        <w:t>proprietor</w:t>
      </w:r>
      <w:r w:rsidR="006B048B">
        <w:rPr>
          <w:bCs/>
        </w:rPr>
        <w:t xml:space="preserve"> </w:t>
      </w:r>
      <w:r>
        <w:rPr>
          <w:bCs/>
        </w:rPr>
        <w:t>numbers</w:t>
      </w:r>
      <w:r w:rsidRPr="002275F1">
        <w:rPr>
          <w:bCs/>
        </w:rPr>
        <w:t>.</w:t>
      </w:r>
      <w:r>
        <w:rPr>
          <w:bCs/>
        </w:rPr>
        <w:t xml:space="preserve">  First, all three years put the least common option (employer) first and the most common (worker) last, something considered a possible defect in modern survey design. Although question ordering is recognised as an imprecise science (Groves et al., 2014), when combined with the format of multiple columns in </w:t>
      </w:r>
      <w:r w:rsidR="00984893">
        <w:rPr>
          <w:bCs/>
        </w:rPr>
        <w:t>1891 this</w:t>
      </w:r>
      <w:r w:rsidR="00975BD5">
        <w:rPr>
          <w:bCs/>
        </w:rPr>
        <w:t xml:space="preserve"> </w:t>
      </w:r>
      <w:r w:rsidR="00692BEF">
        <w:rPr>
          <w:bCs/>
        </w:rPr>
        <w:t>probably</w:t>
      </w:r>
      <w:r>
        <w:rPr>
          <w:bCs/>
        </w:rPr>
        <w:t xml:space="preserve"> increased the tendency to over-record the first option (employers) in that year</w:t>
      </w:r>
      <w:r w:rsidRPr="008250DC">
        <w:rPr>
          <w:bCs/>
        </w:rPr>
        <w:t>.</w:t>
      </w:r>
      <w:r>
        <w:rPr>
          <w:bCs/>
        </w:rPr>
        <w:t xml:space="preserve">  </w:t>
      </w:r>
    </w:p>
    <w:p w14:paraId="4F2B5F93" w14:textId="77777777" w:rsidR="001E7990" w:rsidRDefault="001E7990" w:rsidP="002275F1">
      <w:pPr>
        <w:spacing w:line="360" w:lineRule="auto"/>
        <w:jc w:val="both"/>
        <w:rPr>
          <w:bCs/>
        </w:rPr>
      </w:pPr>
    </w:p>
    <w:p w14:paraId="4DFE7626" w14:textId="4BCA035C" w:rsidR="001E7990" w:rsidRDefault="001E7990" w:rsidP="002275F1">
      <w:pPr>
        <w:spacing w:line="360" w:lineRule="auto"/>
        <w:jc w:val="both"/>
        <w:rPr>
          <w:bCs/>
        </w:rPr>
      </w:pPr>
      <w:r>
        <w:rPr>
          <w:bCs/>
        </w:rPr>
        <w:t xml:space="preserve">Second, all three years suffered from a lack of priority given to this question by Census administrators resulting in high levels of non-response bias. It has been previously recognised as an important constraint that the GRO included this question only reluctantly (Schürer, 1991: 20-26; Higgs, 2005: </w:t>
      </w:r>
      <w:r w:rsidRPr="00DA61D3">
        <w:rPr>
          <w:bCs/>
        </w:rPr>
        <w:t>112</w:t>
      </w:r>
      <w:r>
        <w:rPr>
          <w:bCs/>
        </w:rPr>
        <w:t>). This was</w:t>
      </w:r>
      <w:r w:rsidRPr="00FD4E2A">
        <w:rPr>
          <w:bCs/>
        </w:rPr>
        <w:t xml:space="preserve"> partly because of </w:t>
      </w:r>
      <w:r>
        <w:rPr>
          <w:bCs/>
        </w:rPr>
        <w:t xml:space="preserve">the </w:t>
      </w:r>
      <w:r w:rsidRPr="00FD4E2A">
        <w:rPr>
          <w:bCs/>
        </w:rPr>
        <w:t xml:space="preserve">costs of </w:t>
      </w:r>
      <w:r>
        <w:rPr>
          <w:bCs/>
        </w:rPr>
        <w:t>administration and processing, which explains the reluctance to tabulate and publish the results; but mainly arose because t</w:t>
      </w:r>
      <w:r w:rsidRPr="004D0E8F">
        <w:rPr>
          <w:bCs/>
        </w:rPr>
        <w:t xml:space="preserve">he GRO continued to see the </w:t>
      </w:r>
      <w:r>
        <w:rPr>
          <w:bCs/>
        </w:rPr>
        <w:t xml:space="preserve">Census </w:t>
      </w:r>
      <w:r w:rsidRPr="004D0E8F">
        <w:rPr>
          <w:bCs/>
        </w:rPr>
        <w:t>as a</w:t>
      </w:r>
      <w:r>
        <w:rPr>
          <w:bCs/>
        </w:rPr>
        <w:t xml:space="preserve"> primarily demographic </w:t>
      </w:r>
      <w:r w:rsidR="00CF26AB">
        <w:rPr>
          <w:bCs/>
        </w:rPr>
        <w:t>and medical assessment</w:t>
      </w:r>
      <w:r w:rsidR="00CF26AB" w:rsidRPr="004D0E8F">
        <w:rPr>
          <w:bCs/>
        </w:rPr>
        <w:t xml:space="preserve"> </w:t>
      </w:r>
      <w:r>
        <w:rPr>
          <w:bCs/>
        </w:rPr>
        <w:t>and had little interest in the economy. The GRO was forced to add the question only because of</w:t>
      </w:r>
      <w:r w:rsidRPr="00FD4E2A">
        <w:rPr>
          <w:bCs/>
        </w:rPr>
        <w:t xml:space="preserve"> </w:t>
      </w:r>
      <w:r>
        <w:rPr>
          <w:bCs/>
        </w:rPr>
        <w:t xml:space="preserve">sustained </w:t>
      </w:r>
      <w:r w:rsidRPr="00FD4E2A">
        <w:rPr>
          <w:bCs/>
        </w:rPr>
        <w:t xml:space="preserve">pressure </w:t>
      </w:r>
      <w:r>
        <w:rPr>
          <w:bCs/>
        </w:rPr>
        <w:t xml:space="preserve">from </w:t>
      </w:r>
      <w:r w:rsidR="00CF26AB" w:rsidRPr="00CF26AB">
        <w:rPr>
          <w:bCs/>
        </w:rPr>
        <w:t>the Treasury,</w:t>
      </w:r>
      <w:r w:rsidR="00CF26AB">
        <w:rPr>
          <w:bCs/>
        </w:rPr>
        <w:t xml:space="preserve"> </w:t>
      </w:r>
      <w:r>
        <w:rPr>
          <w:bCs/>
        </w:rPr>
        <w:t>bodies such as the Royal Statistical Society, prominent economists and social statisticians</w:t>
      </w:r>
      <w:r w:rsidRPr="00242E75">
        <w:t xml:space="preserve"> </w:t>
      </w:r>
      <w:r w:rsidRPr="00242E75">
        <w:rPr>
          <w:bCs/>
        </w:rPr>
        <w:t xml:space="preserve">such as </w:t>
      </w:r>
      <w:r>
        <w:rPr>
          <w:bCs/>
        </w:rPr>
        <w:t xml:space="preserve">Charles </w:t>
      </w:r>
      <w:r w:rsidRPr="00242E75">
        <w:rPr>
          <w:bCs/>
        </w:rPr>
        <w:t xml:space="preserve">Booth and </w:t>
      </w:r>
      <w:r>
        <w:rPr>
          <w:bCs/>
        </w:rPr>
        <w:t xml:space="preserve">Alfred </w:t>
      </w:r>
      <w:r w:rsidRPr="00242E75">
        <w:rPr>
          <w:bCs/>
        </w:rPr>
        <w:t>Marshall</w:t>
      </w:r>
      <w:r>
        <w:rPr>
          <w:bCs/>
        </w:rPr>
        <w:t xml:space="preserve"> who wrote and publicised a lengthy memorandum of suggested reforms (</w:t>
      </w:r>
      <w:r w:rsidRPr="0038702E">
        <w:rPr>
          <w:bCs/>
        </w:rPr>
        <w:t>Acland</w:t>
      </w:r>
      <w:r>
        <w:rPr>
          <w:bCs/>
        </w:rPr>
        <w:t xml:space="preserve">, et </w:t>
      </w:r>
      <w:r>
        <w:rPr>
          <w:bCs/>
        </w:rPr>
        <w:lastRenderedPageBreak/>
        <w:t xml:space="preserve">al., 1890), and others </w:t>
      </w:r>
      <w:r w:rsidRPr="00FD4E2A">
        <w:rPr>
          <w:bCs/>
        </w:rPr>
        <w:t xml:space="preserve">concerned </w:t>
      </w:r>
      <w:r>
        <w:rPr>
          <w:bCs/>
        </w:rPr>
        <w:t xml:space="preserve">to improve the value of the Census for information </w:t>
      </w:r>
      <w:r w:rsidRPr="00FD4E2A">
        <w:rPr>
          <w:bCs/>
        </w:rPr>
        <w:t xml:space="preserve">about industry and </w:t>
      </w:r>
      <w:r>
        <w:rPr>
          <w:bCs/>
        </w:rPr>
        <w:t xml:space="preserve">the </w:t>
      </w:r>
      <w:r w:rsidRPr="00FD4E2A">
        <w:rPr>
          <w:bCs/>
        </w:rPr>
        <w:t>econom</w:t>
      </w:r>
      <w:r>
        <w:rPr>
          <w:bCs/>
        </w:rPr>
        <w:t xml:space="preserve">y. </w:t>
      </w:r>
      <w:r w:rsidRPr="004D0E8F">
        <w:rPr>
          <w:bCs/>
        </w:rPr>
        <w:t>Following</w:t>
      </w:r>
      <w:r>
        <w:rPr>
          <w:bCs/>
        </w:rPr>
        <w:t xml:space="preserve"> the</w:t>
      </w:r>
      <w:r w:rsidRPr="004D0E8F">
        <w:rPr>
          <w:bCs/>
        </w:rPr>
        <w:t xml:space="preserve"> recommendations of a Treasury Committee enquiry into the taking of the </w:t>
      </w:r>
      <w:r>
        <w:rPr>
          <w:bCs/>
        </w:rPr>
        <w:t xml:space="preserve">Census, the </w:t>
      </w:r>
      <w:r w:rsidRPr="004D0E8F">
        <w:rPr>
          <w:bCs/>
        </w:rPr>
        <w:t xml:space="preserve">Local Government Board </w:t>
      </w:r>
      <w:r w:rsidRPr="00975BD5">
        <w:rPr>
          <w:bCs/>
          <w:i/>
        </w:rPr>
        <w:t>directed</w:t>
      </w:r>
      <w:r>
        <w:rPr>
          <w:bCs/>
        </w:rPr>
        <w:t xml:space="preserve"> the GRO to include a question almost exactly in the form used in 1891 (Treasury, 1890). Nevertheless</w:t>
      </w:r>
      <w:r w:rsidR="003C6D7F">
        <w:rPr>
          <w:bCs/>
        </w:rPr>
        <w:t>,</w:t>
      </w:r>
      <w:r>
        <w:rPr>
          <w:bCs/>
        </w:rPr>
        <w:t xml:space="preserve"> the GRO continued to resist the question, as their comments show (P. Brydges Henniker, Registrar General, 1890: </w:t>
      </w:r>
      <w:r w:rsidRPr="00032685">
        <w:rPr>
          <w:bCs/>
        </w:rPr>
        <w:t>120-1</w:t>
      </w:r>
      <w:r>
        <w:rPr>
          <w:bCs/>
        </w:rPr>
        <w:t xml:space="preserve">). As a result, as well as not fully tabulating and publishing results, low priority </w:t>
      </w:r>
      <w:r w:rsidR="00E3360D">
        <w:rPr>
          <w:bCs/>
        </w:rPr>
        <w:t xml:space="preserve">was </w:t>
      </w:r>
      <w:r w:rsidR="00692BEF">
        <w:rPr>
          <w:bCs/>
        </w:rPr>
        <w:t>given to</w:t>
      </w:r>
      <w:r>
        <w:rPr>
          <w:bCs/>
        </w:rPr>
        <w:t xml:space="preserve"> data collection </w:t>
      </w:r>
      <w:r w:rsidR="00975BD5">
        <w:rPr>
          <w:bCs/>
        </w:rPr>
        <w:t xml:space="preserve">which </w:t>
      </w:r>
      <w:r>
        <w:rPr>
          <w:bCs/>
        </w:rPr>
        <w:t xml:space="preserve">resulted </w:t>
      </w:r>
      <w:r w:rsidRPr="00E45C78">
        <w:rPr>
          <w:bCs/>
        </w:rPr>
        <w:t xml:space="preserve">in </w:t>
      </w:r>
      <w:r w:rsidR="00692BEF">
        <w:rPr>
          <w:bCs/>
        </w:rPr>
        <w:t>acquiescing in</w:t>
      </w:r>
      <w:r w:rsidRPr="00E45C78">
        <w:rPr>
          <w:bCs/>
        </w:rPr>
        <w:t xml:space="preserve"> high level</w:t>
      </w:r>
      <w:r w:rsidR="00692BEF">
        <w:rPr>
          <w:bCs/>
        </w:rPr>
        <w:t>s</w:t>
      </w:r>
      <w:r w:rsidRPr="00E45C78">
        <w:rPr>
          <w:bCs/>
        </w:rPr>
        <w:t xml:space="preserve"> of non-response </w:t>
      </w:r>
      <w:r>
        <w:rPr>
          <w:bCs/>
        </w:rPr>
        <w:t>for</w:t>
      </w:r>
      <w:r w:rsidRPr="00E45C78">
        <w:rPr>
          <w:bCs/>
        </w:rPr>
        <w:t xml:space="preserve"> the whole period 1891-1911</w:t>
      </w:r>
      <w:r w:rsidR="00975BD5">
        <w:rPr>
          <w:bCs/>
        </w:rPr>
        <w:t>.</w:t>
      </w:r>
      <w:r>
        <w:rPr>
          <w:bCs/>
        </w:rPr>
        <w:t xml:space="preserve"> </w:t>
      </w:r>
      <w:r w:rsidR="00975BD5">
        <w:rPr>
          <w:bCs/>
        </w:rPr>
        <w:t xml:space="preserve">These </w:t>
      </w:r>
      <w:r>
        <w:rPr>
          <w:bCs/>
        </w:rPr>
        <w:t>should have been checked for completeness by the enumerators who collected the Census forms. The non-response rates</w:t>
      </w:r>
      <w:r w:rsidR="00E3360D">
        <w:rPr>
          <w:bCs/>
        </w:rPr>
        <w:t xml:space="preserve"> to the employment status question</w:t>
      </w:r>
      <w:r>
        <w:rPr>
          <w:bCs/>
        </w:rPr>
        <w:t xml:space="preserve"> were far higher than for any other Census question: once the non-economically active are removed (scholars, retired, those living off own means and so on) 16%, 18% and 20% of people in, respectively, 1891, 1901 and 1911</w:t>
      </w:r>
      <w:r w:rsidR="00CF26AB">
        <w:rPr>
          <w:bCs/>
        </w:rPr>
        <w:t>,</w:t>
      </w:r>
      <w:r>
        <w:rPr>
          <w:bCs/>
        </w:rPr>
        <w:t xml:space="preserve"> gave no answer. Moreover, non-responses were no</w:t>
      </w:r>
      <w:r w:rsidR="00975BD5">
        <w:rPr>
          <w:bCs/>
        </w:rPr>
        <w:t>n-</w:t>
      </w:r>
      <w:r>
        <w:rPr>
          <w:bCs/>
        </w:rPr>
        <w:t xml:space="preserve">random, biased by gender, position in household, age and other factors (see: </w:t>
      </w:r>
      <w:r w:rsidR="008C4661">
        <w:rPr>
          <w:bCs/>
        </w:rPr>
        <w:t>Smith et al., 2017</w:t>
      </w:r>
      <w:r>
        <w:rPr>
          <w:bCs/>
        </w:rPr>
        <w:t>). Consequently, correct</w:t>
      </w:r>
      <w:r w:rsidR="00975BD5">
        <w:rPr>
          <w:bCs/>
        </w:rPr>
        <w:t>ion</w:t>
      </w:r>
      <w:r>
        <w:rPr>
          <w:bCs/>
        </w:rPr>
        <w:t xml:space="preserve"> for non-response bias by Census respondent category is required. </w:t>
      </w:r>
    </w:p>
    <w:p w14:paraId="3607714A" w14:textId="77777777" w:rsidR="001E7990" w:rsidRDefault="001E7990" w:rsidP="002275F1">
      <w:pPr>
        <w:spacing w:line="360" w:lineRule="auto"/>
        <w:jc w:val="both"/>
        <w:rPr>
          <w:bCs/>
        </w:rPr>
      </w:pPr>
    </w:p>
    <w:p w14:paraId="5691E36C" w14:textId="4409B87C" w:rsidR="001E7990" w:rsidRDefault="001E7990" w:rsidP="002275F1">
      <w:pPr>
        <w:spacing w:line="360" w:lineRule="auto"/>
        <w:jc w:val="both"/>
        <w:rPr>
          <w:bCs/>
        </w:rPr>
      </w:pPr>
      <w:r>
        <w:rPr>
          <w:bCs/>
        </w:rPr>
        <w:t xml:space="preserve">In addition, the 1891 Census suffered from six further defects that are unique to the Instructions used in that year and led GRO to its subsequent redesign. First, the terminology of </w:t>
      </w:r>
      <w:r w:rsidRPr="002434B3">
        <w:rPr>
          <w:bCs/>
        </w:rPr>
        <w:t>‘Employer’</w:t>
      </w:r>
      <w:r>
        <w:rPr>
          <w:bCs/>
        </w:rPr>
        <w:t xml:space="preserve"> and</w:t>
      </w:r>
      <w:r w:rsidRPr="002434B3">
        <w:rPr>
          <w:bCs/>
        </w:rPr>
        <w:t xml:space="preserve"> ‘Employed’</w:t>
      </w:r>
      <w:r>
        <w:rPr>
          <w:bCs/>
        </w:rPr>
        <w:t xml:space="preserve"> were so similar that they appear to have confused respondents who could easily misread and cross the wrong column. When combined with ‘employer’ being the first and least frequent category, this probably increased the number of incorrectly identified employers. Second, the 1891 definition of the </w:t>
      </w:r>
      <w:r w:rsidRPr="002275F1">
        <w:rPr>
          <w:bCs/>
        </w:rPr>
        <w:t xml:space="preserve">last category </w:t>
      </w:r>
      <w:r>
        <w:rPr>
          <w:bCs/>
        </w:rPr>
        <w:t>‘own account’ was confusing. As noted earlier, the definition was</w:t>
      </w:r>
      <w:r w:rsidRPr="002275F1">
        <w:rPr>
          <w:bCs/>
        </w:rPr>
        <w:t xml:space="preserve"> expanded in the</w:t>
      </w:r>
      <w:r>
        <w:rPr>
          <w:bCs/>
        </w:rPr>
        <w:t xml:space="preserve"> general I</w:t>
      </w:r>
      <w:r w:rsidRPr="002275F1">
        <w:rPr>
          <w:bCs/>
        </w:rPr>
        <w:t>n</w:t>
      </w:r>
      <w:r>
        <w:rPr>
          <w:bCs/>
        </w:rPr>
        <w:t>structions</w:t>
      </w:r>
      <w:r w:rsidRPr="002275F1">
        <w:rPr>
          <w:bCs/>
        </w:rPr>
        <w:t xml:space="preserve">, as ‘the person neither employs other workmen in his trade or industry, nor works for a master, but works on his </w:t>
      </w:r>
      <w:r w:rsidRPr="002275F1">
        <w:rPr>
          <w:bCs/>
          <w:i/>
        </w:rPr>
        <w:t>own account’.</w:t>
      </w:r>
      <w:r w:rsidRPr="002275F1">
        <w:rPr>
          <w:bCs/>
        </w:rPr>
        <w:t xml:space="preserve"> </w:t>
      </w:r>
      <w:r>
        <w:rPr>
          <w:bCs/>
        </w:rPr>
        <w:t>This</w:t>
      </w:r>
      <w:r w:rsidRPr="002275F1">
        <w:rPr>
          <w:bCs/>
        </w:rPr>
        <w:t xml:space="preserve"> </w:t>
      </w:r>
      <w:r>
        <w:rPr>
          <w:bCs/>
        </w:rPr>
        <w:t xml:space="preserve">long-winded and </w:t>
      </w:r>
      <w:r w:rsidRPr="002275F1">
        <w:rPr>
          <w:bCs/>
        </w:rPr>
        <w:t xml:space="preserve">negative </w:t>
      </w:r>
      <w:r>
        <w:rPr>
          <w:bCs/>
        </w:rPr>
        <w:t>phrasing was complex and easy to misread as applying to employers who worked on their own account whilst also employing other people, thus resulting in an over-estimate of own-account individuals. Similarly, third, i</w:t>
      </w:r>
      <w:r w:rsidRPr="00390F32">
        <w:rPr>
          <w:bCs/>
        </w:rPr>
        <w:t xml:space="preserve">t is </w:t>
      </w:r>
      <w:r>
        <w:rPr>
          <w:bCs/>
        </w:rPr>
        <w:t xml:space="preserve">also </w:t>
      </w:r>
      <w:r w:rsidRPr="00390F32">
        <w:rPr>
          <w:bCs/>
        </w:rPr>
        <w:t xml:space="preserve">believed that many respondents </w:t>
      </w:r>
      <w:r>
        <w:rPr>
          <w:bCs/>
        </w:rPr>
        <w:t xml:space="preserve">could have </w:t>
      </w:r>
      <w:r w:rsidRPr="00390F32">
        <w:rPr>
          <w:bCs/>
        </w:rPr>
        <w:t>read ‘master’</w:t>
      </w:r>
      <w:r>
        <w:rPr>
          <w:bCs/>
        </w:rPr>
        <w:t xml:space="preserve">, which the Instructions regarded as synonymous with ‘employer’, </w:t>
      </w:r>
      <w:r w:rsidRPr="00390F32">
        <w:rPr>
          <w:bCs/>
        </w:rPr>
        <w:t xml:space="preserve">to refer to </w:t>
      </w:r>
      <w:r>
        <w:rPr>
          <w:bCs/>
        </w:rPr>
        <w:t>own account</w:t>
      </w:r>
      <w:r w:rsidRPr="00390F32">
        <w:rPr>
          <w:bCs/>
        </w:rPr>
        <w:t xml:space="preserve"> traders </w:t>
      </w:r>
      <w:r>
        <w:rPr>
          <w:bCs/>
        </w:rPr>
        <w:t>who</w:t>
      </w:r>
      <w:r w:rsidRPr="00390F32">
        <w:rPr>
          <w:bCs/>
        </w:rPr>
        <w:t xml:space="preserve"> employed no-one else. </w:t>
      </w:r>
      <w:r>
        <w:rPr>
          <w:bCs/>
        </w:rPr>
        <w:t>This potentially resulted</w:t>
      </w:r>
      <w:r w:rsidRPr="00E96D9F">
        <w:rPr>
          <w:bCs/>
        </w:rPr>
        <w:t xml:space="preserve"> in misallocations </w:t>
      </w:r>
      <w:r>
        <w:rPr>
          <w:bCs/>
        </w:rPr>
        <w:t xml:space="preserve">that </w:t>
      </w:r>
      <w:r w:rsidRPr="00E96D9F">
        <w:rPr>
          <w:bCs/>
        </w:rPr>
        <w:t>inflat</w:t>
      </w:r>
      <w:r>
        <w:rPr>
          <w:bCs/>
        </w:rPr>
        <w:t>ed</w:t>
      </w:r>
      <w:r w:rsidRPr="00E96D9F">
        <w:rPr>
          <w:bCs/>
        </w:rPr>
        <w:t xml:space="preserve"> the numbers of employers.</w:t>
      </w:r>
      <w:r>
        <w:rPr>
          <w:bCs/>
        </w:rPr>
        <w:t xml:space="preserve"> Fourth, the term ‘own account’ was also confused by many respondents to mean living on ‘own means’ through income from investments, annuities, welfare, pensions, etc. Checks of the actual responses to occupations against their employers status demonstrates that this inflated the number </w:t>
      </w:r>
      <w:r w:rsidR="00CF26AB">
        <w:rPr>
          <w:bCs/>
        </w:rPr>
        <w:t xml:space="preserve">putting a cross in the </w:t>
      </w:r>
      <w:r>
        <w:rPr>
          <w:bCs/>
        </w:rPr>
        <w:t xml:space="preserve">own account </w:t>
      </w:r>
      <w:r w:rsidR="00CF26AB">
        <w:rPr>
          <w:bCs/>
        </w:rPr>
        <w:t xml:space="preserve">column </w:t>
      </w:r>
      <w:r>
        <w:rPr>
          <w:bCs/>
        </w:rPr>
        <w:t xml:space="preserve">by including many who were </w:t>
      </w:r>
      <w:r>
        <w:rPr>
          <w:bCs/>
        </w:rPr>
        <w:lastRenderedPageBreak/>
        <w:t>not economically active. Fifth, the question may have encouraged respondents to inflate their importance by falsely returning themselves as employer rather than employed, or employer rather than own account. These defects resulted in a significant danger of upward bias to misallocate some workers or own account</w:t>
      </w:r>
      <w:r w:rsidRPr="00277585">
        <w:t xml:space="preserve"> </w:t>
      </w:r>
      <w:r w:rsidRPr="00277585">
        <w:rPr>
          <w:bCs/>
        </w:rPr>
        <w:t>as employers</w:t>
      </w:r>
      <w:r>
        <w:rPr>
          <w:bCs/>
        </w:rPr>
        <w:t>, and some workers as own account. A sixth source of bias was</w:t>
      </w:r>
      <w:r w:rsidRPr="00C31FDC">
        <w:rPr>
          <w:bCs/>
        </w:rPr>
        <w:t xml:space="preserve"> </w:t>
      </w:r>
      <w:r>
        <w:rPr>
          <w:bCs/>
        </w:rPr>
        <w:t>the Instruction</w:t>
      </w:r>
      <w:r w:rsidRPr="00C31FDC">
        <w:rPr>
          <w:bCs/>
        </w:rPr>
        <w:t xml:space="preserve"> for wives who were ‘assisting their husbands … </w:t>
      </w:r>
      <w:r>
        <w:rPr>
          <w:bCs/>
        </w:rPr>
        <w:t>to be returned as “Employed”’. A</w:t>
      </w:r>
      <w:r w:rsidRPr="00C31FDC">
        <w:rPr>
          <w:bCs/>
        </w:rPr>
        <w:t xml:space="preserve">lthough typical of the time, </w:t>
      </w:r>
      <w:r>
        <w:rPr>
          <w:bCs/>
        </w:rPr>
        <w:t>this</w:t>
      </w:r>
      <w:r w:rsidRPr="00C31FDC">
        <w:rPr>
          <w:bCs/>
        </w:rPr>
        <w:t xml:space="preserve"> encouraged </w:t>
      </w:r>
      <w:r>
        <w:rPr>
          <w:bCs/>
        </w:rPr>
        <w:t xml:space="preserve">the status of some </w:t>
      </w:r>
      <w:r w:rsidRPr="00C31FDC">
        <w:rPr>
          <w:bCs/>
        </w:rPr>
        <w:t xml:space="preserve">wives who were business partners or co-preneurs to be </w:t>
      </w:r>
      <w:r>
        <w:rPr>
          <w:bCs/>
        </w:rPr>
        <w:t>recorded</w:t>
      </w:r>
      <w:r w:rsidRPr="00C31FDC">
        <w:rPr>
          <w:bCs/>
        </w:rPr>
        <w:t xml:space="preserve"> as workers</w:t>
      </w:r>
      <w:r>
        <w:rPr>
          <w:bCs/>
        </w:rPr>
        <w:t>,</w:t>
      </w:r>
      <w:r w:rsidRPr="00C31FDC">
        <w:rPr>
          <w:bCs/>
        </w:rPr>
        <w:t xml:space="preserve"> leading to a </w:t>
      </w:r>
      <w:r>
        <w:rPr>
          <w:bCs/>
        </w:rPr>
        <w:t xml:space="preserve">small </w:t>
      </w:r>
      <w:r w:rsidRPr="00C31FDC">
        <w:rPr>
          <w:bCs/>
        </w:rPr>
        <w:t>potential undercount of their</w:t>
      </w:r>
      <w:r>
        <w:rPr>
          <w:bCs/>
        </w:rPr>
        <w:t xml:space="preserve"> own account or employer status</w:t>
      </w:r>
      <w:r w:rsidRPr="00C31FDC">
        <w:rPr>
          <w:bCs/>
        </w:rPr>
        <w:t>.</w:t>
      </w:r>
      <w:r>
        <w:rPr>
          <w:bCs/>
        </w:rPr>
        <w:t xml:space="preserve"> This is an important issue for analysis of female entrepreneurship, as observed in previous studies (Hatton and Bailey, 2001; Davidoff and Hall, 1997; Kay, 2009). However, </w:t>
      </w:r>
      <w:r w:rsidR="00A94177">
        <w:rPr>
          <w:bCs/>
        </w:rPr>
        <w:t xml:space="preserve">the use of the </w:t>
      </w:r>
      <w:r w:rsidR="00A94177" w:rsidRPr="00B56994">
        <w:rPr>
          <w:bCs/>
          <w:i/>
        </w:rPr>
        <w:t>original</w:t>
      </w:r>
      <w:r w:rsidR="00A94177">
        <w:rPr>
          <w:bCs/>
        </w:rPr>
        <w:t xml:space="preserve"> Census records overcomes many of the problems other researchers have encountered when using </w:t>
      </w:r>
      <w:r w:rsidR="00B56994">
        <w:rPr>
          <w:bCs/>
        </w:rPr>
        <w:t xml:space="preserve">published </w:t>
      </w:r>
      <w:r w:rsidR="00A94177">
        <w:rPr>
          <w:bCs/>
        </w:rPr>
        <w:t>Reports, which often edited out female roles</w:t>
      </w:r>
      <w:r w:rsidR="00566882">
        <w:rPr>
          <w:bCs/>
        </w:rPr>
        <w:t xml:space="preserve"> and this</w:t>
      </w:r>
      <w:r w:rsidR="00B56994">
        <w:rPr>
          <w:bCs/>
        </w:rPr>
        <w:t xml:space="preserve"> has</w:t>
      </w:r>
      <w:r w:rsidR="00F8574B">
        <w:rPr>
          <w:bCs/>
        </w:rPr>
        <w:t xml:space="preserve"> led to </w:t>
      </w:r>
      <w:r w:rsidR="00B56994">
        <w:rPr>
          <w:bCs/>
        </w:rPr>
        <w:t>severe</w:t>
      </w:r>
      <w:r w:rsidR="00F8574B">
        <w:rPr>
          <w:bCs/>
        </w:rPr>
        <w:t xml:space="preserve"> criticism </w:t>
      </w:r>
      <w:r w:rsidR="00566882">
        <w:rPr>
          <w:bCs/>
        </w:rPr>
        <w:t xml:space="preserve">of the </w:t>
      </w:r>
      <w:r w:rsidR="00566882" w:rsidRPr="00566882">
        <w:rPr>
          <w:bCs/>
        </w:rPr>
        <w:t xml:space="preserve">Census </w:t>
      </w:r>
      <w:r w:rsidR="00F8574B">
        <w:rPr>
          <w:bCs/>
        </w:rPr>
        <w:t xml:space="preserve">as a </w:t>
      </w:r>
      <w:r w:rsidR="00B56994">
        <w:rPr>
          <w:bCs/>
        </w:rPr>
        <w:t>source</w:t>
      </w:r>
      <w:r w:rsidR="00F8574B">
        <w:rPr>
          <w:bCs/>
        </w:rPr>
        <w:t xml:space="preserve"> for female proprietorship</w:t>
      </w:r>
      <w:r w:rsidR="00A94177">
        <w:rPr>
          <w:bCs/>
        </w:rPr>
        <w:t xml:space="preserve"> (</w:t>
      </w:r>
      <w:r w:rsidR="00F8574B">
        <w:rPr>
          <w:bCs/>
        </w:rPr>
        <w:t xml:space="preserve">see </w:t>
      </w:r>
      <w:r w:rsidR="00A94177">
        <w:rPr>
          <w:bCs/>
        </w:rPr>
        <w:t>Higgs, 2005</w:t>
      </w:r>
      <w:r w:rsidR="00F8574B">
        <w:rPr>
          <w:bCs/>
        </w:rPr>
        <w:t>; Kay, 2009; Barker, 2006</w:t>
      </w:r>
      <w:r w:rsidR="00A94177">
        <w:rPr>
          <w:bCs/>
        </w:rPr>
        <w:t xml:space="preserve">). Also, </w:t>
      </w:r>
      <w:r w:rsidR="009302FF">
        <w:rPr>
          <w:bCs/>
        </w:rPr>
        <w:t xml:space="preserve">given the </w:t>
      </w:r>
      <w:r w:rsidR="00A94177">
        <w:rPr>
          <w:bCs/>
        </w:rPr>
        <w:t xml:space="preserve">large </w:t>
      </w:r>
      <w:r w:rsidR="009302FF">
        <w:rPr>
          <w:bCs/>
        </w:rPr>
        <w:t xml:space="preserve">numbers of </w:t>
      </w:r>
      <w:r w:rsidR="00A94177">
        <w:rPr>
          <w:bCs/>
        </w:rPr>
        <w:t>wife and other female</w:t>
      </w:r>
      <w:r w:rsidR="009302FF">
        <w:rPr>
          <w:bCs/>
        </w:rPr>
        <w:t xml:space="preserve"> </w:t>
      </w:r>
      <w:r w:rsidR="00A94177">
        <w:rPr>
          <w:bCs/>
        </w:rPr>
        <w:t xml:space="preserve">entrepreneurs </w:t>
      </w:r>
      <w:r w:rsidR="009302FF">
        <w:rPr>
          <w:bCs/>
        </w:rPr>
        <w:t xml:space="preserve">actually recorded </w:t>
      </w:r>
      <w:r w:rsidR="00B56994">
        <w:rPr>
          <w:bCs/>
        </w:rPr>
        <w:t>the effects of gendered questions were</w:t>
      </w:r>
      <w:r w:rsidR="009302FF">
        <w:rPr>
          <w:bCs/>
        </w:rPr>
        <w:t xml:space="preserve"> probably</w:t>
      </w:r>
      <w:r>
        <w:rPr>
          <w:bCs/>
        </w:rPr>
        <w:t xml:space="preserve"> small.</w:t>
      </w:r>
      <w:r w:rsidR="00A94177">
        <w:rPr>
          <w:bCs/>
        </w:rPr>
        <w:t xml:space="preserve"> We find much higher rates of female entrepreneurship from the Census records than any previous study (e.g. Kay, 2009; Aston and Di Martino, 2017)</w:t>
      </w:r>
      <w:r w:rsidR="00817EBF">
        <w:rPr>
          <w:bCs/>
        </w:rPr>
        <w:t xml:space="preserve"> suggesting that, for all its problems, the Census is </w:t>
      </w:r>
      <w:r w:rsidR="00D05BD0">
        <w:rPr>
          <w:bCs/>
        </w:rPr>
        <w:t xml:space="preserve">generally </w:t>
      </w:r>
      <w:r w:rsidR="00817EBF">
        <w:rPr>
          <w:bCs/>
        </w:rPr>
        <w:t>the most complete source available for the study of female entrepreneurship.</w:t>
      </w:r>
    </w:p>
    <w:p w14:paraId="35CE8146" w14:textId="77777777" w:rsidR="001E7990" w:rsidRDefault="001E7990" w:rsidP="002275F1">
      <w:pPr>
        <w:spacing w:line="360" w:lineRule="auto"/>
        <w:jc w:val="both"/>
        <w:rPr>
          <w:bCs/>
        </w:rPr>
      </w:pPr>
    </w:p>
    <w:p w14:paraId="4E422881" w14:textId="5557FF1F" w:rsidR="001E7990" w:rsidRDefault="001E7990" w:rsidP="0089356A">
      <w:pPr>
        <w:spacing w:line="360" w:lineRule="auto"/>
        <w:jc w:val="both"/>
        <w:rPr>
          <w:bCs/>
        </w:rPr>
      </w:pPr>
      <w:r>
        <w:rPr>
          <w:bCs/>
        </w:rPr>
        <w:t>Some of the main defects of the 1891 design were recognised at the time</w:t>
      </w:r>
      <w:r w:rsidR="00F62EA3">
        <w:rPr>
          <w:bCs/>
        </w:rPr>
        <w:t xml:space="preserve"> in a highly critical</w:t>
      </w:r>
      <w:r w:rsidRPr="0089356A">
        <w:rPr>
          <w:bCs/>
        </w:rPr>
        <w:t xml:space="preserve"> </w:t>
      </w:r>
      <w:r>
        <w:rPr>
          <w:bCs/>
        </w:rPr>
        <w:t xml:space="preserve">Census </w:t>
      </w:r>
      <w:r w:rsidRPr="0089356A">
        <w:rPr>
          <w:bCs/>
        </w:rPr>
        <w:t xml:space="preserve">Report. The </w:t>
      </w:r>
      <w:r>
        <w:rPr>
          <w:bCs/>
        </w:rPr>
        <w:t>GRO</w:t>
      </w:r>
      <w:r w:rsidRPr="0089356A">
        <w:rPr>
          <w:bCs/>
        </w:rPr>
        <w:t xml:space="preserve"> </w:t>
      </w:r>
      <w:r>
        <w:rPr>
          <w:bCs/>
        </w:rPr>
        <w:t>believed that the choice of columns crossed was very unreliable:</w:t>
      </w:r>
      <w:r w:rsidRPr="009D2997">
        <w:t xml:space="preserve"> </w:t>
      </w:r>
      <w:r>
        <w:t>‘</w:t>
      </w:r>
      <w:r w:rsidRPr="009D2997">
        <w:rPr>
          <w:bCs/>
        </w:rPr>
        <w:t xml:space="preserve">there were often strong reasons for believing that it </w:t>
      </w:r>
      <w:r>
        <w:rPr>
          <w:bCs/>
        </w:rPr>
        <w:t xml:space="preserve">[crossing] </w:t>
      </w:r>
      <w:r w:rsidRPr="009D2997">
        <w:rPr>
          <w:bCs/>
        </w:rPr>
        <w:t>was made in the wrong column</w:t>
      </w:r>
      <w:r>
        <w:rPr>
          <w:bCs/>
        </w:rPr>
        <w:t xml:space="preserve">’. They </w:t>
      </w:r>
      <w:r w:rsidRPr="0089356A">
        <w:rPr>
          <w:bCs/>
        </w:rPr>
        <w:t>suggested that ‘</w:t>
      </w:r>
      <w:r>
        <w:rPr>
          <w:bCs/>
        </w:rPr>
        <w:t xml:space="preserve">oftentimes this use of the wrong column can scarcely have been other than intentional; being dictated by </w:t>
      </w:r>
      <w:r w:rsidRPr="0089356A">
        <w:rPr>
          <w:bCs/>
        </w:rPr>
        <w:t>the foolish but very common desire of persons to magnify the importance of their occupational condition.’ This resulted in the ‘the otherwise unintelligible fact’ that some occupations had more ‘employers than em</w:t>
      </w:r>
      <w:r>
        <w:rPr>
          <w:bCs/>
        </w:rPr>
        <w:t xml:space="preserve">ployed, more masters than men’, particularly for </w:t>
      </w:r>
      <w:r w:rsidRPr="0089356A">
        <w:rPr>
          <w:bCs/>
        </w:rPr>
        <w:t>‘Builders, Provision Dealers, Coal Dealers, Road Contractors, Dealers in Hemp, &amp;c., Dealers in Cane, Rush, &amp;c. and others.’</w:t>
      </w:r>
      <w:r w:rsidR="00F62EA3">
        <w:rPr>
          <w:rStyle w:val="EndnoteReference"/>
          <w:bCs/>
        </w:rPr>
        <w:endnoteReference w:id="7"/>
      </w:r>
      <w:r w:rsidRPr="0089356A">
        <w:rPr>
          <w:bCs/>
        </w:rPr>
        <w:t xml:space="preserve"> </w:t>
      </w:r>
      <w:r>
        <w:rPr>
          <w:bCs/>
        </w:rPr>
        <w:t>It</w:t>
      </w:r>
      <w:r w:rsidRPr="0089356A">
        <w:rPr>
          <w:bCs/>
        </w:rPr>
        <w:t xml:space="preserve"> also suggested that</w:t>
      </w:r>
      <w:r>
        <w:rPr>
          <w:bCs/>
        </w:rPr>
        <w:t xml:space="preserve"> in addition to the intentional use of the wrong column, there was </w:t>
      </w:r>
      <w:r w:rsidRPr="0089356A">
        <w:rPr>
          <w:bCs/>
        </w:rPr>
        <w:t>a lack of familiarity with filling forms and</w:t>
      </w:r>
      <w:r>
        <w:rPr>
          <w:bCs/>
        </w:rPr>
        <w:t xml:space="preserve"> a</w:t>
      </w:r>
      <w:r w:rsidRPr="0089356A">
        <w:rPr>
          <w:bCs/>
        </w:rPr>
        <w:t xml:space="preserve"> general inability to cope with </w:t>
      </w:r>
      <w:r>
        <w:rPr>
          <w:bCs/>
        </w:rPr>
        <w:t>the I</w:t>
      </w:r>
      <w:r w:rsidRPr="0089356A">
        <w:rPr>
          <w:bCs/>
        </w:rPr>
        <w:t xml:space="preserve">nstructions </w:t>
      </w:r>
      <w:r>
        <w:rPr>
          <w:bCs/>
        </w:rPr>
        <w:t xml:space="preserve">that </w:t>
      </w:r>
      <w:r w:rsidRPr="0089356A">
        <w:rPr>
          <w:bCs/>
        </w:rPr>
        <w:t>led to many genuine mistakes</w:t>
      </w:r>
      <w:r>
        <w:rPr>
          <w:bCs/>
        </w:rPr>
        <w:t xml:space="preserve"> in </w:t>
      </w:r>
      <w:r w:rsidR="009302FF">
        <w:rPr>
          <w:bCs/>
        </w:rPr>
        <w:t xml:space="preserve">a question that </w:t>
      </w:r>
      <w:r>
        <w:rPr>
          <w:bCs/>
        </w:rPr>
        <w:t xml:space="preserve">GRO considered complex </w:t>
      </w:r>
      <w:r w:rsidR="009302FF">
        <w:rPr>
          <w:bCs/>
        </w:rPr>
        <w:t>and had been forced to include</w:t>
      </w:r>
      <w:r w:rsidRPr="0089356A">
        <w:rPr>
          <w:bCs/>
        </w:rPr>
        <w:t>.</w:t>
      </w:r>
      <w:r>
        <w:rPr>
          <w:bCs/>
        </w:rPr>
        <w:t xml:space="preserve"> ‘It appears scarcely reasonable to expect such an [ordinary working] man laboriously to spell out the Instructions, and, following them duly, to select out of the three columns the proper one in which to make his </w:t>
      </w:r>
      <w:proofErr w:type="gramStart"/>
      <w:r>
        <w:rPr>
          <w:bCs/>
        </w:rPr>
        <w:t>cross’</w:t>
      </w:r>
      <w:proofErr w:type="gramEnd"/>
      <w:r>
        <w:rPr>
          <w:bCs/>
        </w:rPr>
        <w:t xml:space="preserve">. And as a final riposte to those compelling the use of this question, </w:t>
      </w:r>
      <w:r>
        <w:rPr>
          <w:bCs/>
        </w:rPr>
        <w:lastRenderedPageBreak/>
        <w:t xml:space="preserve">GRO stated that ‘although … we have not considered ourselves justified, after the instructions given to us by the Local Government Board, altogether to discard the statements as to employers and employed from the Census volumes, we hold them to be excessively untrustworthy’ (PP, 1893-4: 36). </w:t>
      </w:r>
    </w:p>
    <w:p w14:paraId="5B18C10B" w14:textId="77777777" w:rsidR="001E7990" w:rsidRDefault="001E7990" w:rsidP="0089356A">
      <w:pPr>
        <w:spacing w:line="360" w:lineRule="auto"/>
        <w:jc w:val="both"/>
        <w:rPr>
          <w:bCs/>
        </w:rPr>
      </w:pPr>
    </w:p>
    <w:p w14:paraId="5FB29737" w14:textId="3443D009" w:rsidR="001E7990" w:rsidRDefault="001E7990" w:rsidP="0089356A">
      <w:pPr>
        <w:spacing w:line="360" w:lineRule="auto"/>
        <w:jc w:val="both"/>
        <w:rPr>
          <w:bCs/>
        </w:rPr>
      </w:pPr>
      <w:r>
        <w:rPr>
          <w:bCs/>
        </w:rPr>
        <w:t>Historical Census administrators were slow to adopt insights from statistical sampling theory to help understand potential biases, and make post-survey adjustments. The first substantial research to deal with these issues began to appear in the 1950s and 1960s (</w:t>
      </w:r>
      <w:r w:rsidRPr="00DA61D3">
        <w:rPr>
          <w:bCs/>
        </w:rPr>
        <w:t xml:space="preserve">US Bureau of Census, 1950; </w:t>
      </w:r>
      <w:proofErr w:type="spellStart"/>
      <w:r w:rsidRPr="00DA61D3">
        <w:rPr>
          <w:bCs/>
        </w:rPr>
        <w:t>Eckler</w:t>
      </w:r>
      <w:proofErr w:type="spellEnd"/>
      <w:r w:rsidRPr="00DA61D3">
        <w:rPr>
          <w:bCs/>
        </w:rPr>
        <w:t xml:space="preserve"> and Hurwitz, 1958; Hansen et al., 1961; </w:t>
      </w:r>
      <w:proofErr w:type="spellStart"/>
      <w:r w:rsidRPr="00DA61D3">
        <w:rPr>
          <w:bCs/>
        </w:rPr>
        <w:t>Jabine</w:t>
      </w:r>
      <w:proofErr w:type="spellEnd"/>
      <w:r w:rsidRPr="00DA61D3">
        <w:rPr>
          <w:bCs/>
        </w:rPr>
        <w:t xml:space="preserve"> and </w:t>
      </w:r>
      <w:proofErr w:type="spellStart"/>
      <w:r w:rsidRPr="00DA61D3">
        <w:rPr>
          <w:bCs/>
        </w:rPr>
        <w:t>Tepping</w:t>
      </w:r>
      <w:proofErr w:type="spellEnd"/>
      <w:r w:rsidRPr="00DA61D3">
        <w:rPr>
          <w:bCs/>
        </w:rPr>
        <w:t>, 1973</w:t>
      </w:r>
      <w:r>
        <w:rPr>
          <w:bCs/>
        </w:rPr>
        <w:t>). The GRO itself made no attempt statistically to test the validity of its claims of response biases, nor to clean and correct data, nor even report actual numbers of potentially biased responses. I-CeM now allows adjustments to be made. Modern published Census tables are weighted and adjusted for significant non-response and other biases. Occupational description, which is normally captured as open reporting, is now understood to be particularly difficult for both respondents and coders (Conrad et al., 2016:</w:t>
      </w:r>
      <w:r w:rsidRPr="00DA61D3">
        <w:rPr>
          <w:bCs/>
        </w:rPr>
        <w:t xml:space="preserve"> 77-80</w:t>
      </w:r>
      <w:r>
        <w:rPr>
          <w:bCs/>
        </w:rPr>
        <w:t>). From modern studies, by testing</w:t>
      </w:r>
      <w:r w:rsidRPr="004B0302">
        <w:rPr>
          <w:bCs/>
        </w:rPr>
        <w:t xml:space="preserve"> the effects of different question formats</w:t>
      </w:r>
      <w:r>
        <w:rPr>
          <w:bCs/>
        </w:rPr>
        <w:t>, it is understood</w:t>
      </w:r>
      <w:r w:rsidRPr="004B0302">
        <w:rPr>
          <w:bCs/>
        </w:rPr>
        <w:t xml:space="preserve"> </w:t>
      </w:r>
      <w:r>
        <w:rPr>
          <w:bCs/>
        </w:rPr>
        <w:t xml:space="preserve">that complex occupation questions should be split </w:t>
      </w:r>
      <w:r w:rsidR="009302FF">
        <w:rPr>
          <w:bCs/>
        </w:rPr>
        <w:t>up</w:t>
      </w:r>
      <w:r>
        <w:rPr>
          <w:bCs/>
        </w:rPr>
        <w:t xml:space="preserve"> (</w:t>
      </w:r>
      <w:r w:rsidRPr="006C7F52">
        <w:rPr>
          <w:bCs/>
        </w:rPr>
        <w:t xml:space="preserve">Elliot, 1983; </w:t>
      </w:r>
      <w:proofErr w:type="spellStart"/>
      <w:r w:rsidRPr="006C7F52">
        <w:rPr>
          <w:bCs/>
        </w:rPr>
        <w:t>Campanelli</w:t>
      </w:r>
      <w:proofErr w:type="spellEnd"/>
      <w:r w:rsidRPr="006C7F52">
        <w:rPr>
          <w:bCs/>
        </w:rPr>
        <w:t xml:space="preserve"> et al., 1997</w:t>
      </w:r>
      <w:r>
        <w:rPr>
          <w:bCs/>
        </w:rPr>
        <w:t xml:space="preserve">). It has also </w:t>
      </w:r>
      <w:r w:rsidR="009302FF">
        <w:rPr>
          <w:bCs/>
        </w:rPr>
        <w:t>now known that</w:t>
      </w:r>
      <w:r>
        <w:rPr>
          <w:bCs/>
        </w:rPr>
        <w:t xml:space="preserve"> responses are more complex and uncertain for own account and employers in the smallest establishments, because of their multi-attribute activity (</w:t>
      </w:r>
      <w:r w:rsidR="009302FF">
        <w:rPr>
          <w:bCs/>
        </w:rPr>
        <w:t xml:space="preserve">e.g. </w:t>
      </w:r>
      <w:r w:rsidR="009302FF" w:rsidRPr="009302FF">
        <w:rPr>
          <w:bCs/>
        </w:rPr>
        <w:t>for the 1971 and 1981 Censuses</w:t>
      </w:r>
      <w:r w:rsidR="009302FF">
        <w:rPr>
          <w:bCs/>
        </w:rPr>
        <w:t xml:space="preserve">: </w:t>
      </w:r>
      <w:r>
        <w:rPr>
          <w:bCs/>
        </w:rPr>
        <w:t xml:space="preserve">Martin et al., 1994: </w:t>
      </w:r>
      <w:r w:rsidRPr="006C7F52">
        <w:rPr>
          <w:bCs/>
        </w:rPr>
        <w:t>Tables 1 and 2</w:t>
      </w:r>
      <w:r>
        <w:rPr>
          <w:bCs/>
        </w:rPr>
        <w:t>). All the indications from modern Census analysis are that the format of the 1891 question in particular, and to a lesser extent the questions in 1901 and 1911, were difficult to respond to, difficult for Census enumerators to record accurately, and for clerks to code. When combined with the reluctance of the GRO to administer the question at all it is not surprising that biases occurred.</w:t>
      </w:r>
    </w:p>
    <w:p w14:paraId="615FF91D" w14:textId="77777777" w:rsidR="001E7990" w:rsidRDefault="001E7990" w:rsidP="009D2997">
      <w:pPr>
        <w:spacing w:line="360" w:lineRule="auto"/>
        <w:jc w:val="both"/>
      </w:pPr>
    </w:p>
    <w:p w14:paraId="39E4A919" w14:textId="59D114F4" w:rsidR="001E7990" w:rsidRPr="004C4AE0" w:rsidRDefault="001E7990" w:rsidP="0089356A">
      <w:pPr>
        <w:spacing w:line="360" w:lineRule="auto"/>
        <w:jc w:val="both"/>
        <w:rPr>
          <w:b/>
        </w:rPr>
      </w:pPr>
      <w:r>
        <w:t xml:space="preserve">One other aspect of the GRO criticism, however, </w:t>
      </w:r>
      <w:r w:rsidRPr="00007B8B">
        <w:t xml:space="preserve">can </w:t>
      </w:r>
      <w:r>
        <w:t xml:space="preserve">be set aside. GRO commented that significant problems arose from crossing multiple columns; </w:t>
      </w:r>
      <w:r w:rsidRPr="009D2997">
        <w:t>‘in numerous instances … no cross at all was made; in many others, crosses were made in t</w:t>
      </w:r>
      <w:r>
        <w:t>wo or even in all three columns</w:t>
      </w:r>
      <w:r w:rsidRPr="009D2997">
        <w:t>’</w:t>
      </w:r>
      <w:r>
        <w:t xml:space="preserve"> </w:t>
      </w:r>
      <w:r w:rsidRPr="00032685">
        <w:t>(PP, 1893-4: 36)</w:t>
      </w:r>
      <w:r w:rsidRPr="009D2997">
        <w:t>.</w:t>
      </w:r>
      <w:r>
        <w:t xml:space="preserve"> GRO believed this was inconsistent with the Instructions and reinforced indications of unreliability. Of course it was also a defect of GRO administration. However, the phenomenon appears to be inconsequential</w:t>
      </w:r>
      <w:r w:rsidR="00CD5EC7">
        <w:t xml:space="preserve">, as </w:t>
      </w:r>
      <w:r w:rsidR="009302FF">
        <w:t>already been suggested by Schürer (</w:t>
      </w:r>
      <w:r w:rsidR="009302FF" w:rsidRPr="009302FF">
        <w:t>1991: 26</w:t>
      </w:r>
      <w:r w:rsidR="009302FF">
        <w:t xml:space="preserve">). </w:t>
      </w:r>
      <w:r>
        <w:t>Checks of a</w:t>
      </w:r>
      <w:r w:rsidRPr="00E82501">
        <w:t xml:space="preserve">pproximately 36,156 individuals </w:t>
      </w:r>
      <w:r>
        <w:t xml:space="preserve">between I-CeM codes and the original CEBs in London, Brighton, Birmingham and Oldham indicated only 33 double crosses (0.09%). Moreover these cases appear to be entirely reasonable ways of recording the individuals </w:t>
      </w:r>
      <w:r>
        <w:lastRenderedPageBreak/>
        <w:t>concerned. For example, ‘</w:t>
      </w:r>
      <w:r w:rsidRPr="005F6F09">
        <w:t>fishmonger &amp; grocers traveller</w:t>
      </w:r>
      <w:r>
        <w:t>’</w:t>
      </w:r>
      <w:r w:rsidRPr="005F6F09">
        <w:t xml:space="preserve"> </w:t>
      </w:r>
      <w:r>
        <w:t>and ‘farmer, coal merchant</w:t>
      </w:r>
      <w:r w:rsidRPr="00277294">
        <w:t xml:space="preserve"> manager</w:t>
      </w:r>
      <w:r>
        <w:t>’ would be correctly crossed for both own account and worker. Indeed, the number of multiple crosses appears to be far lower than the probable number of multiple occupations in the population</w:t>
      </w:r>
      <w:r w:rsidR="00984893">
        <w:t>.</w:t>
      </w:r>
      <w:r>
        <w:t xml:space="preserve"> In the rest of this paper the responses of multiple ticks are dealt with in the same way as the GRO itself: by assigning individuals to their first or ‘main’ occupation listed. However, multiple business descriptors allow identification of an important class of portfolio businesses that are the subject of more detailed</w:t>
      </w:r>
      <w:r w:rsidRPr="00B73441">
        <w:t xml:space="preserve"> </w:t>
      </w:r>
      <w:r>
        <w:t>analysis (see</w:t>
      </w:r>
      <w:r w:rsidR="008C4661">
        <w:t xml:space="preserve"> e.g. Bennett et al., 2017b</w:t>
      </w:r>
      <w:r>
        <w:t xml:space="preserve">). </w:t>
      </w:r>
    </w:p>
    <w:p w14:paraId="1437FC93" w14:textId="77777777" w:rsidR="001E7990" w:rsidRDefault="001E7990" w:rsidP="002726CD">
      <w:pPr>
        <w:spacing w:line="360" w:lineRule="auto"/>
        <w:jc w:val="both"/>
      </w:pPr>
    </w:p>
    <w:p w14:paraId="42E15ABC" w14:textId="6B6FE9AB" w:rsidR="001E7990" w:rsidRPr="009A1434" w:rsidRDefault="001E7990" w:rsidP="002726CD">
      <w:pPr>
        <w:spacing w:line="360" w:lineRule="auto"/>
        <w:jc w:val="both"/>
        <w:rPr>
          <w:b/>
        </w:rPr>
      </w:pPr>
      <w:r>
        <w:rPr>
          <w:b/>
        </w:rPr>
        <w:t>Methodology</w:t>
      </w:r>
    </w:p>
    <w:p w14:paraId="5A62B523" w14:textId="77777777" w:rsidR="001E7990" w:rsidRDefault="001E7990" w:rsidP="002726CD">
      <w:pPr>
        <w:spacing w:line="360" w:lineRule="auto"/>
        <w:jc w:val="both"/>
      </w:pPr>
    </w:p>
    <w:p w14:paraId="17CBED90" w14:textId="0FEA1574" w:rsidR="001E7990" w:rsidRDefault="001E7990" w:rsidP="0051302D">
      <w:pPr>
        <w:spacing w:line="360" w:lineRule="auto"/>
        <w:jc w:val="both"/>
      </w:pPr>
      <w:r>
        <w:t>The previous discussion has identified the two main issues that have to be addressed in order to achieve dependable estimates of business proprietor numbers: misallocation bias in estimates of employer numbers in 1891; and non-response bias for all three years. The methodology developed to manage these complexities follows a three</w:t>
      </w:r>
      <w:r w:rsidR="004954EF">
        <w:t>-</w:t>
      </w:r>
      <w:r>
        <w:t>stage process: data editing</w:t>
      </w:r>
      <w:r w:rsidR="00B37C47">
        <w:t xml:space="preserve">, </w:t>
      </w:r>
      <w:r>
        <w:t>cleaning</w:t>
      </w:r>
      <w:r w:rsidR="00B37C47">
        <w:t xml:space="preserve"> and </w:t>
      </w:r>
      <w:r w:rsidR="00CD5EC7">
        <w:t>definitions</w:t>
      </w:r>
      <w:r>
        <w:t>; correction for non-response bias; and specific ‘corrections’ of upward bias for 1891.</w:t>
      </w:r>
      <w:r w:rsidRPr="00EE759B">
        <w:t xml:space="preserve"> </w:t>
      </w:r>
    </w:p>
    <w:p w14:paraId="05656BBB" w14:textId="77777777" w:rsidR="001E7990" w:rsidRDefault="001E7990" w:rsidP="0051302D">
      <w:pPr>
        <w:spacing w:line="360" w:lineRule="auto"/>
        <w:jc w:val="both"/>
      </w:pPr>
    </w:p>
    <w:p w14:paraId="1EE2A42D" w14:textId="188EB582" w:rsidR="001E7990" w:rsidRPr="00CD1CD5" w:rsidRDefault="001E7990" w:rsidP="0051302D">
      <w:pPr>
        <w:spacing w:line="360" w:lineRule="auto"/>
        <w:jc w:val="both"/>
        <w:rPr>
          <w:b/>
          <w:i/>
        </w:rPr>
      </w:pPr>
      <w:r w:rsidRPr="00CD1CD5">
        <w:rPr>
          <w:b/>
          <w:i/>
        </w:rPr>
        <w:t xml:space="preserve">Data </w:t>
      </w:r>
      <w:r w:rsidR="00B37C47">
        <w:rPr>
          <w:b/>
          <w:i/>
        </w:rPr>
        <w:t xml:space="preserve">editing, </w:t>
      </w:r>
      <w:r w:rsidRPr="00CD1CD5">
        <w:rPr>
          <w:b/>
          <w:i/>
        </w:rPr>
        <w:t>cleaning</w:t>
      </w:r>
      <w:r w:rsidR="00B37C47">
        <w:rPr>
          <w:b/>
          <w:i/>
        </w:rPr>
        <w:t xml:space="preserve">, and </w:t>
      </w:r>
      <w:r w:rsidR="001E7651">
        <w:rPr>
          <w:b/>
          <w:i/>
        </w:rPr>
        <w:t>definitions</w:t>
      </w:r>
    </w:p>
    <w:p w14:paraId="77C11182" w14:textId="77777777" w:rsidR="001E7990" w:rsidRDefault="001E7990" w:rsidP="00DF0C65">
      <w:pPr>
        <w:spacing w:line="360" w:lineRule="auto"/>
        <w:jc w:val="both"/>
      </w:pPr>
    </w:p>
    <w:p w14:paraId="44C9AD26" w14:textId="35B87072" w:rsidR="001E7990" w:rsidRDefault="001E7990" w:rsidP="00DF0C65">
      <w:pPr>
        <w:spacing w:line="360" w:lineRule="auto"/>
        <w:jc w:val="both"/>
      </w:pPr>
      <w:r>
        <w:t xml:space="preserve">Survey ‘editing’ is a standard method of post-response </w:t>
      </w:r>
      <w:r w:rsidR="00A3670F">
        <w:t xml:space="preserve">Census </w:t>
      </w:r>
      <w:r>
        <w:t>processing (</w:t>
      </w:r>
      <w:proofErr w:type="spellStart"/>
      <w:r>
        <w:t>Lyberg</w:t>
      </w:r>
      <w:proofErr w:type="spellEnd"/>
      <w:r>
        <w:t xml:space="preserve"> and </w:t>
      </w:r>
      <w:proofErr w:type="spellStart"/>
      <w:r>
        <w:t>Kasprzyk</w:t>
      </w:r>
      <w:proofErr w:type="spellEnd"/>
      <w:r>
        <w:t>, 1997:</w:t>
      </w:r>
      <w:r w:rsidRPr="00283DB8">
        <w:t xml:space="preserve"> 355-8</w:t>
      </w:r>
      <w:r>
        <w:t xml:space="preserve">). It is rarely discussed explicitly for </w:t>
      </w:r>
      <w:r w:rsidR="00E734D5">
        <w:t xml:space="preserve">historical </w:t>
      </w:r>
      <w:r>
        <w:t xml:space="preserve">Censuses, but is an essential prerequisite to remove biases. Since each respondent gave two pieces of information, their employment status and their occupation, the tendency to cross the wrong status column, inflate status, or write an incorrect status can be adjusted by inspection of the actual occupational descriptors given. For many this provides a reliable means to correct for response bias toward employer or own account status, as well as reducing I-CeM coding and other errors. </w:t>
      </w:r>
      <w:r w:rsidR="00E734D5">
        <w:t>Using this check, large</w:t>
      </w:r>
      <w:r w:rsidRPr="00CD1CD5">
        <w:t xml:space="preserve"> numbers of incorrect responses to employer status were detected</w:t>
      </w:r>
      <w:r>
        <w:t xml:space="preserve"> even after the earlier occupational cleaning</w:t>
      </w:r>
      <w:r w:rsidRPr="00CD1CD5">
        <w:t>. Most were uncontroversially wrong; e.g. ‘labourers’</w:t>
      </w:r>
      <w:r w:rsidR="00E734D5">
        <w:t>, ‘scholars’,</w:t>
      </w:r>
      <w:r w:rsidRPr="00CD1CD5">
        <w:t xml:space="preserve"> and ‘domestic servants’ that </w:t>
      </w:r>
      <w:r>
        <w:t>had</w:t>
      </w:r>
      <w:r w:rsidRPr="00CD1CD5">
        <w:t xml:space="preserve"> employer status. Others resulted from confusion about occupational terms; for example, </w:t>
      </w:r>
      <w:r>
        <w:t xml:space="preserve">many respondents </w:t>
      </w:r>
      <w:r w:rsidRPr="00CD1CD5">
        <w:t>‘li</w:t>
      </w:r>
      <w:r>
        <w:t xml:space="preserve">ving on own means’, ‘annuitant’, </w:t>
      </w:r>
      <w:r w:rsidRPr="00CD1CD5">
        <w:t xml:space="preserve">‘living on investment income’ </w:t>
      </w:r>
      <w:r>
        <w:t xml:space="preserve">and </w:t>
      </w:r>
      <w:r w:rsidR="00E734D5">
        <w:t>‘</w:t>
      </w:r>
      <w:r>
        <w:t>unoccupied</w:t>
      </w:r>
      <w:r w:rsidR="00E734D5">
        <w:t>’</w:t>
      </w:r>
      <w:r>
        <w:t xml:space="preserve"> frequently crossed own account.</w:t>
      </w:r>
      <w:r w:rsidRPr="00CD1CD5">
        <w:t xml:space="preserve"> All these categories were ‘cleaned’ from employer</w:t>
      </w:r>
      <w:r>
        <w:t>s</w:t>
      </w:r>
      <w:r w:rsidRPr="00CD1CD5">
        <w:t xml:space="preserve"> and own account and re</w:t>
      </w:r>
      <w:r>
        <w:t>-</w:t>
      </w:r>
      <w:r w:rsidRPr="00CD1CD5">
        <w:t xml:space="preserve">coded to worker or unoccupied. </w:t>
      </w:r>
    </w:p>
    <w:p w14:paraId="08046DA4" w14:textId="77777777" w:rsidR="001E7990" w:rsidRDefault="001E7990" w:rsidP="00DF0C65">
      <w:pPr>
        <w:spacing w:line="360" w:lineRule="auto"/>
        <w:jc w:val="both"/>
      </w:pPr>
    </w:p>
    <w:p w14:paraId="2CEED018" w14:textId="71EFB5A8" w:rsidR="001E7990" w:rsidRPr="00DF0C65" w:rsidRDefault="001E7990" w:rsidP="00DF0C65">
      <w:pPr>
        <w:spacing w:line="360" w:lineRule="auto"/>
        <w:jc w:val="both"/>
      </w:pPr>
      <w:r>
        <w:lastRenderedPageBreak/>
        <w:t>There were various stages to this cleaning: first, to re-code from employer or own account status a</w:t>
      </w:r>
      <w:r w:rsidRPr="00DF0C65">
        <w:t xml:space="preserve">ll </w:t>
      </w:r>
      <w:r>
        <w:t xml:space="preserve">students, scholars, and </w:t>
      </w:r>
      <w:r w:rsidRPr="0051302D">
        <w:t>pupil</w:t>
      </w:r>
      <w:r>
        <w:t xml:space="preserve">s, </w:t>
      </w:r>
      <w:r w:rsidRPr="00715DBE">
        <w:t xml:space="preserve">individuals under the age of fifteen, </w:t>
      </w:r>
      <w:r>
        <w:t xml:space="preserve">all </w:t>
      </w:r>
      <w:r w:rsidRPr="00DF0C65">
        <w:t>non-economically active</w:t>
      </w:r>
      <w:r>
        <w:t>, and all own means, annuitants and retired</w:t>
      </w:r>
      <w:r w:rsidRPr="00DF0C65">
        <w:t xml:space="preserve">. </w:t>
      </w:r>
      <w:r>
        <w:t xml:space="preserve">Second, all </w:t>
      </w:r>
      <w:r w:rsidRPr="00DF0C65">
        <w:t xml:space="preserve">individuals whose </w:t>
      </w:r>
      <w:r>
        <w:t>‘main’ occupation</w:t>
      </w:r>
      <w:r w:rsidRPr="00DF0C65">
        <w:t xml:space="preserve"> w</w:t>
      </w:r>
      <w:r>
        <w:t xml:space="preserve">as non-business </w:t>
      </w:r>
      <w:r w:rsidRPr="00626D0A">
        <w:t>were also re</w:t>
      </w:r>
      <w:r>
        <w:t>-coded</w:t>
      </w:r>
      <w:r w:rsidRPr="00626D0A">
        <w:t xml:space="preserve"> </w:t>
      </w:r>
      <w:r w:rsidRPr="00CD1CD5">
        <w:t>(unless another business occupation was given</w:t>
      </w:r>
      <w:r>
        <w:t>; to which they were then coded</w:t>
      </w:r>
      <w:r w:rsidRPr="00CD1CD5">
        <w:t>)</w:t>
      </w:r>
      <w:r>
        <w:t>; e.g. foreign diplomats,</w:t>
      </w:r>
      <w:r w:rsidRPr="0051302D">
        <w:t xml:space="preserve"> </w:t>
      </w:r>
      <w:r>
        <w:t>prisoners, reform school inmates, vagrants, MPs, ministers of the crown and peers; civil service officers and clerks; prison officers; police; poor law service, municipal, parish, and other local or county officers; army, militia &amp; yeomanry, navy; clergy, monks, nuns, sisters of charity, and church, chapel, and cemetery or charity officers; clerks; and nurses. Third, all definitively worker categories were re-coded, such as domestic servants</w:t>
      </w:r>
      <w:r w:rsidR="0084475B">
        <w:t>,</w:t>
      </w:r>
      <w:r>
        <w:t xml:space="preserve"> all types of labourer, farm servants, navvies</w:t>
      </w:r>
      <w:r w:rsidR="0084475B">
        <w:t>,</w:t>
      </w:r>
      <w:r>
        <w:t xml:space="preserve"> and so on. Fourth, also re-coded were all categories of those with working titles that defined an employee status, such as apprentices, journeymen</w:t>
      </w:r>
      <w:r w:rsidRPr="00DF0C65">
        <w:t xml:space="preserve">, </w:t>
      </w:r>
      <w:r>
        <w:t>assistants, attendants, mechanics, artisans, or machinists.</w:t>
      </w:r>
    </w:p>
    <w:p w14:paraId="60B2064D" w14:textId="77777777" w:rsidR="001E7990" w:rsidRDefault="001E7990" w:rsidP="00DF0C65">
      <w:pPr>
        <w:spacing w:line="360" w:lineRule="auto"/>
        <w:jc w:val="both"/>
      </w:pPr>
    </w:p>
    <w:p w14:paraId="28A8B328" w14:textId="1B8984C5" w:rsidR="001E7990" w:rsidRDefault="001E7990" w:rsidP="002726CD">
      <w:pPr>
        <w:spacing w:line="360" w:lineRule="auto"/>
        <w:jc w:val="both"/>
      </w:pPr>
      <w:r w:rsidRPr="00CD1CD5">
        <w:t>This resulted in a substantial reallocation which it is believed solved almost all of the misattribution of workers as employers or own account.</w:t>
      </w:r>
      <w:r>
        <w:t xml:space="preserve"> In all, the numbers re-coded to worker status were approximately 70,000 in 1891, 69,000 in 1901, and 113,000 in 1911. T</w:t>
      </w:r>
      <w:r w:rsidRPr="00DF0C65">
        <w:t xml:space="preserve">he </w:t>
      </w:r>
      <w:r>
        <w:t>occupational descriptors</w:t>
      </w:r>
      <w:r w:rsidRPr="00DF0C65">
        <w:t xml:space="preserve"> cleaned in </w:t>
      </w:r>
      <w:r>
        <w:t>this way</w:t>
      </w:r>
      <w:r w:rsidRPr="00DF0C65">
        <w:t xml:space="preserve"> </w:t>
      </w:r>
      <w:r>
        <w:t>generally reaffirmed the original Census Instructions to count people to their main or primary occupational status and exclude those who crossed a column or termed themselves something that was infeasible as a business, or whose business income was</w:t>
      </w:r>
      <w:r w:rsidRPr="00DF0C65">
        <w:t xml:space="preserve"> a small </w:t>
      </w:r>
      <w:r>
        <w:t xml:space="preserve">element </w:t>
      </w:r>
      <w:r w:rsidRPr="00DF0C65">
        <w:t>available as a by-product of their employment</w:t>
      </w:r>
      <w:r>
        <w:t>. A major category of the latter was the</w:t>
      </w:r>
      <w:r w:rsidRPr="00DF0C65">
        <w:t xml:space="preserve"> clergy who </w:t>
      </w:r>
      <w:r>
        <w:t xml:space="preserve">often described themselves as employers or own account, because they </w:t>
      </w:r>
      <w:r w:rsidRPr="00DF0C65">
        <w:t xml:space="preserve">took </w:t>
      </w:r>
      <w:r>
        <w:t xml:space="preserve">some </w:t>
      </w:r>
      <w:r w:rsidRPr="00DF0C65">
        <w:t>personal fees</w:t>
      </w:r>
      <w:r>
        <w:t>,</w:t>
      </w:r>
      <w:r w:rsidRPr="00DF0C65">
        <w:t xml:space="preserve"> </w:t>
      </w:r>
      <w:r>
        <w:t xml:space="preserve">even though they were office holders, or because they perceived themselves as the employer of a curate or let their position to another incumbent. </w:t>
      </w:r>
    </w:p>
    <w:p w14:paraId="2B04DC32" w14:textId="77777777" w:rsidR="00E734D5" w:rsidRDefault="00E734D5" w:rsidP="002726CD">
      <w:pPr>
        <w:spacing w:line="360" w:lineRule="auto"/>
        <w:jc w:val="both"/>
      </w:pPr>
    </w:p>
    <w:p w14:paraId="1ED85C59" w14:textId="35BC2BD6" w:rsidR="00485EF4" w:rsidRDefault="008D781A" w:rsidP="002726CD">
      <w:pPr>
        <w:spacing w:line="360" w:lineRule="auto"/>
        <w:jc w:val="both"/>
      </w:pPr>
      <w:r>
        <w:t>Other</w:t>
      </w:r>
      <w:r w:rsidR="00E734D5">
        <w:t xml:space="preserve"> decisions </w:t>
      </w:r>
      <w:r w:rsidR="0071796E">
        <w:t xml:space="preserve">on </w:t>
      </w:r>
      <w:r w:rsidR="00E734D5">
        <w:t xml:space="preserve">who were </w:t>
      </w:r>
      <w:r w:rsidR="0071796E">
        <w:t xml:space="preserve">validly </w:t>
      </w:r>
      <w:r w:rsidR="00E734D5">
        <w:t>proprietors</w:t>
      </w:r>
      <w:r w:rsidR="00DF7291">
        <w:t xml:space="preserve"> </w:t>
      </w:r>
      <w:r>
        <w:t>are detailed in (</w:t>
      </w:r>
      <w:r w:rsidR="008C4661">
        <w:t>Smith et al., 2017: Table 24</w:t>
      </w:r>
      <w:r>
        <w:t>), which gives</w:t>
      </w:r>
      <w:r w:rsidR="00DF7291">
        <w:t xml:space="preserve"> </w:t>
      </w:r>
      <w:r>
        <w:t>the</w:t>
      </w:r>
      <w:r w:rsidR="00DF7291">
        <w:t xml:space="preserve"> full definitio</w:t>
      </w:r>
      <w:r>
        <w:t>ns used</w:t>
      </w:r>
      <w:r w:rsidR="00E734D5">
        <w:t xml:space="preserve">. </w:t>
      </w:r>
      <w:r>
        <w:t>Key decisions were to regard all m</w:t>
      </w:r>
      <w:r w:rsidR="0071796E">
        <w:t xml:space="preserve">anagers, branch managers, </w:t>
      </w:r>
      <w:r w:rsidR="00485EF4">
        <w:t xml:space="preserve">and </w:t>
      </w:r>
      <w:r w:rsidR="0071796E">
        <w:t>company agents as employees</w:t>
      </w:r>
      <w:r w:rsidR="00485EF4">
        <w:t xml:space="preserve"> of larger enterprises</w:t>
      </w:r>
      <w:r w:rsidR="0071796E">
        <w:t xml:space="preserve">. </w:t>
      </w:r>
      <w:proofErr w:type="gramStart"/>
      <w:r w:rsidR="00485EF4">
        <w:t>This</w:t>
      </w:r>
      <w:r w:rsidR="00B37C47">
        <w:t xml:space="preserve"> accord</w:t>
      </w:r>
      <w:r w:rsidR="00485EF4">
        <w:t>s</w:t>
      </w:r>
      <w:proofErr w:type="gramEnd"/>
      <w:r w:rsidR="00B37C47">
        <w:t xml:space="preserve"> in almost all cases with their self-identification in their responses. </w:t>
      </w:r>
      <w:r w:rsidR="0071796E">
        <w:t>Company directors, who were identifiable in the Census in a few cases, were excluded as the focus of this paper is on non-corporate activity.</w:t>
      </w:r>
      <w:r>
        <w:rPr>
          <w:rStyle w:val="EndnoteReference"/>
        </w:rPr>
        <w:endnoteReference w:id="8"/>
      </w:r>
      <w:r w:rsidR="0071796E">
        <w:t xml:space="preserve">  Partners</w:t>
      </w:r>
      <w:r w:rsidR="00B37C47">
        <w:t xml:space="preserve"> are partially identified in the census responses, but this is a small proportion of all partners and was not explicitly required by </w:t>
      </w:r>
      <w:r w:rsidR="00A52293">
        <w:t>C</w:t>
      </w:r>
      <w:r w:rsidR="00B37C47">
        <w:t xml:space="preserve">ensus </w:t>
      </w:r>
      <w:r w:rsidR="00A52293">
        <w:t>I</w:t>
      </w:r>
      <w:r w:rsidR="00B37C47">
        <w:t>nstructions</w:t>
      </w:r>
      <w:r w:rsidR="00E11EF5">
        <w:t xml:space="preserve"> (</w:t>
      </w:r>
      <w:r w:rsidR="00666C4C">
        <w:t>Bennett, 2016</w:t>
      </w:r>
      <w:r w:rsidR="00E11EF5">
        <w:t>)</w:t>
      </w:r>
      <w:r w:rsidR="00B37C47">
        <w:t>. With a focus on proprietors this ensures that all should be captured</w:t>
      </w:r>
      <w:r w:rsidR="001F14CD">
        <w:t xml:space="preserve">; i.e. all partners are </w:t>
      </w:r>
      <w:r w:rsidR="001F14CD">
        <w:lastRenderedPageBreak/>
        <w:t>recorded, but they cannot be fully attributed to their firms</w:t>
      </w:r>
      <w:r w:rsidR="00B37C47">
        <w:t xml:space="preserve">. </w:t>
      </w:r>
      <w:proofErr w:type="gramStart"/>
      <w:r w:rsidR="001F14CD">
        <w:t>This</w:t>
      </w:r>
      <w:r w:rsidR="00B37C47">
        <w:t xml:space="preserve"> results</w:t>
      </w:r>
      <w:proofErr w:type="gramEnd"/>
      <w:r w:rsidR="00B37C47">
        <w:t xml:space="preserve"> in a lack of alignment with business numbers</w:t>
      </w:r>
      <w:r w:rsidR="00A52293">
        <w:t>, which will be smaller</w:t>
      </w:r>
      <w:r w:rsidR="004954EF">
        <w:t xml:space="preserve"> than the number of proprietors reported</w:t>
      </w:r>
      <w:r w:rsidR="00B37C47">
        <w:t>. As far as can be determined there was no trend in partner response rates since the proportion identifiable remained approximately constant over the three Census years</w:t>
      </w:r>
      <w:r w:rsidR="00A52293">
        <w:t>. N</w:t>
      </w:r>
      <w:r w:rsidR="00B37C47">
        <w:t xml:space="preserve">or </w:t>
      </w:r>
      <w:r w:rsidR="00E11EF5">
        <w:t>is</w:t>
      </w:r>
      <w:r w:rsidR="00B37C47">
        <w:t xml:space="preserve"> there any reason to believe that size of partnerships changed</w:t>
      </w:r>
      <w:r w:rsidR="00485EF4">
        <w:t xml:space="preserve"> significantly e.g. f</w:t>
      </w:r>
      <w:r w:rsidR="00B37C47">
        <w:t xml:space="preserve">or tax purposes the Inland Revenue </w:t>
      </w:r>
      <w:r w:rsidR="00D1120B">
        <w:t>assumed</w:t>
      </w:r>
      <w:r w:rsidR="00B37C47">
        <w:t xml:space="preserve"> </w:t>
      </w:r>
      <w:r w:rsidR="00D1120B">
        <w:t>a constant</w:t>
      </w:r>
      <w:r w:rsidR="00B37C47">
        <w:t xml:space="preserve"> number of partners per firm throughout the period</w:t>
      </w:r>
      <w:r w:rsidR="00B37C47" w:rsidRPr="00B37C47">
        <w:t xml:space="preserve"> </w:t>
      </w:r>
      <w:r w:rsidR="00B37C47">
        <w:t>(</w:t>
      </w:r>
      <w:r w:rsidR="00A52293" w:rsidRPr="00A52293">
        <w:t xml:space="preserve">PC, 1906; </w:t>
      </w:r>
      <w:r w:rsidR="00D1120B">
        <w:t>Stamp, 1916: 245; as also assumed by Feinstein, 1972</w:t>
      </w:r>
      <w:r w:rsidR="00B37C47" w:rsidRPr="00B37C47">
        <w:t>)</w:t>
      </w:r>
      <w:r w:rsidR="00D94B64">
        <w:t>.</w:t>
      </w:r>
      <w:r w:rsidR="00A52293">
        <w:t xml:space="preserve"> </w:t>
      </w:r>
    </w:p>
    <w:p w14:paraId="6B587A20" w14:textId="77777777" w:rsidR="00485EF4" w:rsidRDefault="00485EF4" w:rsidP="002726CD">
      <w:pPr>
        <w:spacing w:line="360" w:lineRule="auto"/>
        <w:jc w:val="both"/>
      </w:pPr>
    </w:p>
    <w:p w14:paraId="757210A4" w14:textId="66BC75A2" w:rsidR="00157569" w:rsidRPr="00157569" w:rsidRDefault="00A52293" w:rsidP="00157569">
      <w:pPr>
        <w:spacing w:line="360" w:lineRule="auto"/>
        <w:jc w:val="both"/>
      </w:pPr>
      <w:r>
        <w:t xml:space="preserve">A more complex issue </w:t>
      </w:r>
      <w:r w:rsidR="00DF7291">
        <w:t xml:space="preserve">is internal labour markets. </w:t>
      </w:r>
      <w:r w:rsidR="00DF7291" w:rsidRPr="00DF7291">
        <w:t xml:space="preserve">We </w:t>
      </w:r>
      <w:r w:rsidR="00485EF4">
        <w:t>define</w:t>
      </w:r>
      <w:r w:rsidR="00DF7291" w:rsidRPr="00DF7291">
        <w:t xml:space="preserve"> those that had to accept conditions and price</w:t>
      </w:r>
      <w:r w:rsidR="00485EF4">
        <w:t>s</w:t>
      </w:r>
      <w:r w:rsidR="00DF7291" w:rsidRPr="00DF7291">
        <w:t xml:space="preserve"> set by others as waged. </w:t>
      </w:r>
      <w:r w:rsidR="00DF7291">
        <w:t>Hence</w:t>
      </w:r>
      <w:r w:rsidR="00157569">
        <w:t>,</w:t>
      </w:r>
      <w:r w:rsidR="00DF7291">
        <w:t xml:space="preserve"> we consider</w:t>
      </w:r>
      <w:r>
        <w:t xml:space="preserve"> </w:t>
      </w:r>
      <w:r w:rsidR="00DF7291">
        <w:t xml:space="preserve">teams, gang sub-contracting, </w:t>
      </w:r>
      <w:r w:rsidR="00DF7291" w:rsidRPr="00DF7291">
        <w:t xml:space="preserve">putting out and sweating as </w:t>
      </w:r>
      <w:r w:rsidR="00485EF4">
        <w:t xml:space="preserve">generally </w:t>
      </w:r>
      <w:r w:rsidR="00DF7291" w:rsidRPr="00DF7291">
        <w:t xml:space="preserve">not sufficiently autonomous to be included as </w:t>
      </w:r>
      <w:r w:rsidR="00DF7291">
        <w:t>employers or own account</w:t>
      </w:r>
      <w:r w:rsidR="00DF7291" w:rsidRPr="00DF7291">
        <w:t xml:space="preserve">. However, we are reliant on </w:t>
      </w:r>
      <w:r w:rsidR="00157569">
        <w:t xml:space="preserve">Census </w:t>
      </w:r>
      <w:r w:rsidR="00DF7291" w:rsidRPr="00DF7291">
        <w:t>self-reporting</w:t>
      </w:r>
      <w:r w:rsidR="00DF7291">
        <w:t xml:space="preserve">, and make the assumption that individuals understood their level of autonomy when they responded (other than making mistakes or non-responses). </w:t>
      </w:r>
      <w:r w:rsidR="00157569" w:rsidRPr="00157569">
        <w:t xml:space="preserve">We use the distinction between direct and indirect control, as adopted by Pollard (1968) and </w:t>
      </w:r>
      <w:proofErr w:type="gramStart"/>
      <w:r w:rsidR="00157569" w:rsidRPr="00157569">
        <w:t>Littler</w:t>
      </w:r>
      <w:proofErr w:type="gramEnd"/>
      <w:r w:rsidR="00157569" w:rsidRPr="00157569">
        <w:t xml:space="preserve"> (1982). Littler </w:t>
      </w:r>
      <w:r w:rsidR="007458CA">
        <w:t>viewed as employers the</w:t>
      </w:r>
      <w:r w:rsidR="00157569">
        <w:t xml:space="preserve"> heads of </w:t>
      </w:r>
      <w:r w:rsidR="00157569" w:rsidRPr="00157569">
        <w:t>work-groups such as gang</w:t>
      </w:r>
      <w:r w:rsidR="00157569">
        <w:t xml:space="preserve"> leaders</w:t>
      </w:r>
      <w:r w:rsidR="00157569" w:rsidRPr="00157569">
        <w:t xml:space="preserve"> and claimed that this was important into our period in iron foundries, shipyards, the building industry, glass production, potteries, and though kinship networks in textiles such as through the cotton minder-piecer system. However, the self-reporting in the census rarely identifies these groups. For example, contrary to </w:t>
      </w:r>
      <w:proofErr w:type="gramStart"/>
      <w:r w:rsidR="00157569" w:rsidRPr="00157569">
        <w:t>Littler</w:t>
      </w:r>
      <w:proofErr w:type="gramEnd"/>
      <w:r w:rsidR="00157569" w:rsidRPr="00157569">
        <w:t xml:space="preserve"> (1982: 65-72), </w:t>
      </w:r>
      <w:r w:rsidR="009F3937">
        <w:t>t</w:t>
      </w:r>
      <w:r w:rsidR="009F3937" w:rsidRPr="009F3937">
        <w:t xml:space="preserve">hey </w:t>
      </w:r>
      <w:r w:rsidR="009F3937">
        <w:t>are not self-reported in shipyards, and</w:t>
      </w:r>
      <w:r w:rsidR="009F3937" w:rsidRPr="009F3937">
        <w:t xml:space="preserve"> </w:t>
      </w:r>
      <w:r w:rsidR="00157569" w:rsidRPr="00157569">
        <w:t xml:space="preserve">individuals such as ‘ironmasters’ were not team leaders and subcontractors </w:t>
      </w:r>
      <w:r w:rsidR="00157569" w:rsidRPr="00157569">
        <w:rPr>
          <w:i/>
        </w:rPr>
        <w:t>within</w:t>
      </w:r>
      <w:r w:rsidR="007458CA">
        <w:t xml:space="preserve"> larger businesses. In the C</w:t>
      </w:r>
      <w:r w:rsidR="00157569" w:rsidRPr="00157569">
        <w:t>ensus</w:t>
      </w:r>
      <w:r w:rsidR="007458CA">
        <w:t xml:space="preserve">, </w:t>
      </w:r>
      <w:r w:rsidR="007458CA" w:rsidRPr="007458CA">
        <w:rPr>
          <w:i/>
        </w:rPr>
        <w:t>Mineral Statistics</w:t>
      </w:r>
      <w:r w:rsidR="007458CA">
        <w:t>,</w:t>
      </w:r>
      <w:r w:rsidR="00157569" w:rsidRPr="00157569">
        <w:t xml:space="preserve"> and trade directories</w:t>
      </w:r>
      <w:r w:rsidR="000735C3">
        <w:t xml:space="preserve"> coal masters,</w:t>
      </w:r>
      <w:r w:rsidR="00157569" w:rsidRPr="00157569">
        <w:t xml:space="preserve"> ironmasters and steel masters were </w:t>
      </w:r>
      <w:r w:rsidR="000735C3">
        <w:t>almost all large scale business proprietors</w:t>
      </w:r>
      <w:r w:rsidR="00157569" w:rsidRPr="00157569">
        <w:t>.</w:t>
      </w:r>
      <w:r w:rsidR="00157569" w:rsidRPr="00157569">
        <w:rPr>
          <w:vertAlign w:val="superscript"/>
        </w:rPr>
        <w:endnoteReference w:id="9"/>
      </w:r>
      <w:r w:rsidR="00157569" w:rsidRPr="00157569">
        <w:t xml:space="preserve"> ‘Gang masters’</w:t>
      </w:r>
      <w:r w:rsidR="009F3937">
        <w:t xml:space="preserve"> in the C</w:t>
      </w:r>
      <w:r w:rsidR="00157569" w:rsidRPr="00157569">
        <w:t>ensus were almost always stable proprietors who let out horses. Hence, it appears that internal contracts are largely excluded</w:t>
      </w:r>
      <w:r w:rsidR="00157569">
        <w:t xml:space="preserve"> in C</w:t>
      </w:r>
      <w:r w:rsidR="00157569" w:rsidRPr="00157569">
        <w:t>ensus self-reporting</w:t>
      </w:r>
      <w:r w:rsidR="00A55B01">
        <w:t>, and hence are excluded here</w:t>
      </w:r>
      <w:r w:rsidR="00157569" w:rsidRPr="00157569">
        <w:t xml:space="preserve">. The exception is mainly </w:t>
      </w:r>
      <w:r w:rsidR="00143CD6">
        <w:t xml:space="preserve">in the building trades, where </w:t>
      </w:r>
      <w:r w:rsidR="007458CA">
        <w:t xml:space="preserve">we accept </w:t>
      </w:r>
      <w:r w:rsidR="00143CD6">
        <w:t xml:space="preserve">self-identification as own account as accurate, as it would be today. Also </w:t>
      </w:r>
      <w:r w:rsidR="000735C3">
        <w:t xml:space="preserve">we accept </w:t>
      </w:r>
      <w:r w:rsidR="00143CD6">
        <w:t xml:space="preserve">self-identification </w:t>
      </w:r>
      <w:r w:rsidR="00157569" w:rsidRPr="00157569">
        <w:t>in ‘putting out’ manufacture</w:t>
      </w:r>
      <w:r w:rsidR="007458CA">
        <w:t>s</w:t>
      </w:r>
      <w:r w:rsidR="00157569" w:rsidRPr="00157569">
        <w:t xml:space="preserve"> of gloves, hosiery, boots and shoes, and straw plait </w:t>
      </w:r>
      <w:r w:rsidR="000735C3">
        <w:t>and similar</w:t>
      </w:r>
      <w:r w:rsidR="00157569" w:rsidRPr="00157569">
        <w:t xml:space="preserve"> industries</w:t>
      </w:r>
      <w:r w:rsidR="000735C3">
        <w:t>. These were mostly</w:t>
      </w:r>
      <w:r w:rsidR="00157569" w:rsidRPr="00157569">
        <w:t xml:space="preserve"> highly concentrated mainly in Bedfordshire, Buckinghamshire, Northants, Leicester, and a few centres in SW England. The self-reporting as own account </w:t>
      </w:r>
      <w:r w:rsidR="000735C3">
        <w:t xml:space="preserve">or employers </w:t>
      </w:r>
      <w:r w:rsidR="00157569" w:rsidRPr="00157569">
        <w:t>in these groups and locations is relatively high, especially among females</w:t>
      </w:r>
      <w:r w:rsidR="00143CD6">
        <w:t>, which we</w:t>
      </w:r>
      <w:r w:rsidR="00157569" w:rsidRPr="00157569">
        <w:t xml:space="preserve"> </w:t>
      </w:r>
      <w:r w:rsidR="009F3937">
        <w:t>accept</w:t>
      </w:r>
      <w:r w:rsidR="00157569" w:rsidRPr="00157569">
        <w:t xml:space="preserve"> </w:t>
      </w:r>
      <w:r w:rsidR="009F3937">
        <w:t xml:space="preserve">as </w:t>
      </w:r>
      <w:r w:rsidR="00157569" w:rsidRPr="00157569">
        <w:t xml:space="preserve">accurate. </w:t>
      </w:r>
      <w:r w:rsidR="00157569">
        <w:t>They fit with the concept of</w:t>
      </w:r>
      <w:r w:rsidR="00157569" w:rsidRPr="00157569">
        <w:t xml:space="preserve"> ‘master craftsmen’ who possessed their own tools, often assembled their own raw materials, operated from their own premises, </w:t>
      </w:r>
      <w:r w:rsidR="00143CD6">
        <w:t xml:space="preserve">and sometimes </w:t>
      </w:r>
      <w:r w:rsidR="00157569" w:rsidRPr="00157569">
        <w:t>trained apprentices</w:t>
      </w:r>
      <w:r w:rsidR="00143CD6">
        <w:t xml:space="preserve"> and/or</w:t>
      </w:r>
      <w:r w:rsidR="009F3937">
        <w:t xml:space="preserve"> </w:t>
      </w:r>
      <w:r w:rsidR="00157569" w:rsidRPr="00157569">
        <w:t xml:space="preserve">managed one or more journeymen to whom they paid wages </w:t>
      </w:r>
      <w:r w:rsidR="009F3937">
        <w:t xml:space="preserve">and hence could be </w:t>
      </w:r>
      <w:r w:rsidR="009F3937">
        <w:lastRenderedPageBreak/>
        <w:t xml:space="preserve">employers </w:t>
      </w:r>
      <w:r w:rsidR="00157569" w:rsidRPr="00157569">
        <w:t>(Woodward, 1995).</w:t>
      </w:r>
      <w:r w:rsidR="001E7651">
        <w:t xml:space="preserve"> These groups are not among those that are affected by our re-allocations for over-reporting (as detailed below)</w:t>
      </w:r>
    </w:p>
    <w:p w14:paraId="40781ADD" w14:textId="77777777" w:rsidR="00DF7291" w:rsidRDefault="00DF7291" w:rsidP="002726CD">
      <w:pPr>
        <w:spacing w:line="360" w:lineRule="auto"/>
        <w:jc w:val="both"/>
      </w:pPr>
    </w:p>
    <w:p w14:paraId="406BAA88" w14:textId="77777777" w:rsidR="001E7990" w:rsidRDefault="001E7990" w:rsidP="002726CD">
      <w:pPr>
        <w:spacing w:line="360" w:lineRule="auto"/>
        <w:jc w:val="both"/>
        <w:rPr>
          <w:b/>
          <w:i/>
        </w:rPr>
      </w:pPr>
      <w:r w:rsidRPr="00CD1CD5">
        <w:rPr>
          <w:b/>
          <w:i/>
        </w:rPr>
        <w:t>Non-response bias</w:t>
      </w:r>
    </w:p>
    <w:p w14:paraId="7D79FF0A" w14:textId="77777777" w:rsidR="001E7990" w:rsidRDefault="001E7990" w:rsidP="002726CD">
      <w:pPr>
        <w:spacing w:line="360" w:lineRule="auto"/>
        <w:jc w:val="both"/>
        <w:rPr>
          <w:b/>
          <w:i/>
        </w:rPr>
      </w:pPr>
    </w:p>
    <w:p w14:paraId="1582AA71" w14:textId="0EEA74C8" w:rsidR="001E7990" w:rsidRDefault="001E7990" w:rsidP="000C7BC2">
      <w:pPr>
        <w:spacing w:line="360" w:lineRule="auto"/>
        <w:jc w:val="both"/>
      </w:pPr>
      <w:r>
        <w:t xml:space="preserve">Once the data had been cleaned, as described above, the non-responses are reduced substantially, to 4.6%, 4.8% and 5.3%, respectively, </w:t>
      </w:r>
      <w:r w:rsidRPr="00382F6E">
        <w:t>for 1891, 1901 and 1911</w:t>
      </w:r>
      <w:r>
        <w:t xml:space="preserve">. However, the remaining non-respondents were not randomly distributed; with position within household (RELA code in I-CeM) a significant element in non-response, which interacted with gender. Non-response was much </w:t>
      </w:r>
      <w:r w:rsidRPr="00382F6E">
        <w:t>higher for individuals</w:t>
      </w:r>
      <w:r>
        <w:t xml:space="preserve"> other than the</w:t>
      </w:r>
      <w:r w:rsidRPr="00382F6E">
        <w:t xml:space="preserve"> ‘head’ (the person who filled in the </w:t>
      </w:r>
      <w:r>
        <w:t xml:space="preserve">Census </w:t>
      </w:r>
      <w:r w:rsidRPr="00382F6E">
        <w:t>form), such as adult sons, daughters, oth</w:t>
      </w:r>
      <w:r>
        <w:t>er relatives, lodgers, etc. (</w:t>
      </w:r>
      <w:r w:rsidR="00261969">
        <w:t>Smith et al., 2017: Tables 15-19</w:t>
      </w:r>
      <w:r>
        <w:t>). The non-response was particularly high for female relatives who were not heads.</w:t>
      </w:r>
      <w:r w:rsidRPr="00FA7D9E">
        <w:t xml:space="preserve"> </w:t>
      </w:r>
      <w:r w:rsidRPr="00382F6E">
        <w:t>Non-response</w:t>
      </w:r>
      <w:r>
        <w:t xml:space="preserve">s were also </w:t>
      </w:r>
      <w:r w:rsidRPr="00382F6E">
        <w:t>hig</w:t>
      </w:r>
      <w:r>
        <w:t xml:space="preserve">h in sectors such as clothing and dress dealing (drapers, hosiers, haberdashers); domestic and service staff and cooks; cotton &amp; silk manufacture (including ribbon, weaving, dyeing, bleaching etc.); personal services such as washing &amp; bathing, hairdressing; professions such as </w:t>
      </w:r>
      <w:r w:rsidRPr="00FA7D9E">
        <w:t xml:space="preserve">barristers, solicitors, </w:t>
      </w:r>
      <w:r>
        <w:t xml:space="preserve">doctors, dentists, artists, performers, education; food sales (butchers, fishmongers, cheesemongers, milksellers, grocers); and woollen manufacture including carpets, blanket, flannel. Non-responses were lowest among professions following </w:t>
      </w:r>
      <w:r w:rsidRPr="003B68D4">
        <w:t>scientific pursuits</w:t>
      </w:r>
      <w:r w:rsidR="001304BC" w:rsidRPr="003B68D4">
        <w:t xml:space="preserve"> (</w:t>
      </w:r>
      <w:r w:rsidR="003B68D4">
        <w:t>‘</w:t>
      </w:r>
      <w:r w:rsidR="001304BC" w:rsidRPr="003B68D4">
        <w:t>analytical chemists</w:t>
      </w:r>
      <w:r w:rsidR="003B68D4">
        <w:t>’</w:t>
      </w:r>
      <w:r w:rsidR="001304BC" w:rsidRPr="003B68D4">
        <w:t xml:space="preserve">, ‘inventors’, </w:t>
      </w:r>
      <w:r w:rsidR="003B68D4">
        <w:t>‘</w:t>
      </w:r>
      <w:r w:rsidR="001304BC" w:rsidRPr="003B68D4">
        <w:t>botanists</w:t>
      </w:r>
      <w:r w:rsidR="003B68D4">
        <w:t>’</w:t>
      </w:r>
      <w:r w:rsidR="001304BC" w:rsidRPr="003B68D4">
        <w:t xml:space="preserve"> and </w:t>
      </w:r>
      <w:r w:rsidR="003B68D4" w:rsidRPr="003B68D4">
        <w:t>similar</w:t>
      </w:r>
      <w:r w:rsidR="001304BC" w:rsidRPr="003B68D4">
        <w:t xml:space="preserve"> occupations)</w:t>
      </w:r>
      <w:r w:rsidRPr="003B68D4">
        <w:t>;</w:t>
      </w:r>
      <w:r>
        <w:t xml:space="preserve"> ironmongers; chemists and druggists; and blacksmiths.</w:t>
      </w:r>
    </w:p>
    <w:p w14:paraId="50D16CEB" w14:textId="77777777" w:rsidR="001E7990" w:rsidRDefault="001E7990" w:rsidP="002726CD">
      <w:pPr>
        <w:spacing w:line="360" w:lineRule="auto"/>
        <w:jc w:val="both"/>
      </w:pPr>
    </w:p>
    <w:p w14:paraId="0D4C523C" w14:textId="71FA3532" w:rsidR="001E7990" w:rsidRDefault="001E7990" w:rsidP="00DF7F28">
      <w:pPr>
        <w:spacing w:line="360" w:lineRule="auto"/>
        <w:jc w:val="both"/>
        <w:rPr>
          <w:b/>
        </w:rPr>
      </w:pPr>
      <w:r>
        <w:t>The standard way to deal with non-response bias is to estimate weights which can be used to adjust actual response numbers or proportions. There are competing methods to deal with this bias: some over-represent the non-respondents using weights equal to the inverse of the response rate for each group in the sample; others randomly allocate the non-respondents to any of the possible responses</w:t>
      </w:r>
      <w:r w:rsidRPr="009E7AF6">
        <w:t xml:space="preserve"> according to their proportions in the respondent set</w:t>
      </w:r>
      <w:r>
        <w:t xml:space="preserve"> (Kish, 1967) Because it is of crucial importance to maintain the integrity of the dataset without incorporating extraneous information, the method used here is weighting derived from the individual’s characteristics that influenced non-response. The weights were calculated using a logit regression which estimates the probability of whether an individual was a respondent or not to the employment status question, using a range of independent variables to control for those features that principally correlate with the observed non-response bias in the data: gender, relationship within </w:t>
      </w:r>
      <w:proofErr w:type="gramStart"/>
      <w:r>
        <w:t>household,</w:t>
      </w:r>
      <w:proofErr w:type="gramEnd"/>
      <w:r>
        <w:t xml:space="preserve"> and occupational sector.</w:t>
      </w:r>
      <w:r>
        <w:rPr>
          <w:rStyle w:val="EndnoteReference"/>
        </w:rPr>
        <w:endnoteReference w:id="10"/>
      </w:r>
      <w:r>
        <w:t xml:space="preserve"> </w:t>
      </w:r>
      <w:proofErr w:type="gramStart"/>
      <w:r>
        <w:t xml:space="preserve">In addition, because some individuals have non-responses </w:t>
      </w:r>
      <w:r w:rsidRPr="004C27FA">
        <w:t xml:space="preserve">or </w:t>
      </w:r>
      <w:r>
        <w:t>unclear answers</w:t>
      </w:r>
      <w:r w:rsidRPr="004C27FA">
        <w:t xml:space="preserve"> to other questions (including gender or </w:t>
      </w:r>
      <w:r w:rsidRPr="004C27FA">
        <w:lastRenderedPageBreak/>
        <w:t>RELA)</w:t>
      </w:r>
      <w:r>
        <w:t>, they cannot be included in the regression estimate.</w:t>
      </w:r>
      <w:proofErr w:type="gramEnd"/>
      <w:r>
        <w:t xml:space="preserve"> These have to be built back as a second stage in order to calculate a total adjusted estimate of </w:t>
      </w:r>
      <w:r w:rsidR="006B048B">
        <w:t xml:space="preserve">proprietor </w:t>
      </w:r>
      <w:r w:rsidR="00F9579C">
        <w:t>numbers.</w:t>
      </w:r>
    </w:p>
    <w:p w14:paraId="43FB79A0" w14:textId="77777777" w:rsidR="001E7990" w:rsidRPr="005C0EA0" w:rsidRDefault="001E7990" w:rsidP="00DF7F28">
      <w:pPr>
        <w:spacing w:line="360" w:lineRule="auto"/>
        <w:jc w:val="both"/>
        <w:rPr>
          <w:b/>
        </w:rPr>
      </w:pPr>
    </w:p>
    <w:p w14:paraId="2175C0F3" w14:textId="0ED447DF" w:rsidR="001E7990" w:rsidRDefault="001E7990" w:rsidP="00DF7F28">
      <w:pPr>
        <w:spacing w:line="360" w:lineRule="auto"/>
        <w:jc w:val="both"/>
      </w:pPr>
      <w:r w:rsidRPr="00330E43">
        <w:t xml:space="preserve">The logit regression estimates are shown in Table 2. </w:t>
      </w:r>
      <w:r>
        <w:t>This</w:t>
      </w:r>
      <w:r w:rsidRPr="00330E43">
        <w:t xml:space="preserve"> reports the probability of whether </w:t>
      </w:r>
      <w:r>
        <w:t>a respondent</w:t>
      </w:r>
      <w:r w:rsidRPr="00330E43">
        <w:t xml:space="preserve"> in the same ‘non-response class’ </w:t>
      </w:r>
      <w:r>
        <w:t>should be weighted (with weight</w:t>
      </w:r>
      <w:r w:rsidRPr="00330E43">
        <w:t xml:space="preserve"> greater than one), to </w:t>
      </w:r>
      <w:r>
        <w:t xml:space="preserve">compensate for others </w:t>
      </w:r>
      <w:r w:rsidRPr="00330E43">
        <w:t xml:space="preserve">for this sub-population </w:t>
      </w:r>
      <w:r>
        <w:t>who did not</w:t>
      </w:r>
      <w:r w:rsidRPr="00330E43">
        <w:t xml:space="preserve"> respon</w:t>
      </w:r>
      <w:r>
        <w:t xml:space="preserve">d.  </w:t>
      </w:r>
      <w:r w:rsidR="0084475B">
        <w:t>For example, i</w:t>
      </w:r>
      <w:r w:rsidR="0084475B" w:rsidRPr="00330E43">
        <w:t xml:space="preserve">f there is a response rate of 0.75 the </w:t>
      </w:r>
      <w:r w:rsidR="0084475B">
        <w:t xml:space="preserve">average </w:t>
      </w:r>
      <w:r w:rsidR="0084475B" w:rsidRPr="00330E43">
        <w:t xml:space="preserve">weights for that response class should be 1/0.75, and so on. </w:t>
      </w:r>
      <w:r>
        <w:t>At the individual level, t</w:t>
      </w:r>
      <w:r w:rsidRPr="00330E43">
        <w:t xml:space="preserve">he </w:t>
      </w:r>
      <w:r w:rsidRPr="005C0EA0">
        <w:t>logit regression</w:t>
      </w:r>
      <w:r w:rsidRPr="00330E43">
        <w:t xml:space="preserve"> </w:t>
      </w:r>
      <w:r>
        <w:t xml:space="preserve">calculates the probability of being a </w:t>
      </w:r>
      <w:r w:rsidRPr="00330E43">
        <w:t xml:space="preserve">respondent. The inverse of these probabilities become the weights used for each observation. </w:t>
      </w:r>
      <w:r>
        <w:t>T</w:t>
      </w:r>
      <w:r w:rsidRPr="00330E43">
        <w:t xml:space="preserve">he weighting method </w:t>
      </w:r>
      <w:r>
        <w:t xml:space="preserve">does not assign </w:t>
      </w:r>
      <w:r w:rsidRPr="00330E43">
        <w:t xml:space="preserve">non-respondent individuals </w:t>
      </w:r>
      <w:r>
        <w:t>to</w:t>
      </w:r>
      <w:r w:rsidRPr="00330E43">
        <w:t xml:space="preserve"> response categories, but </w:t>
      </w:r>
      <w:r>
        <w:t xml:space="preserve">instead gives </w:t>
      </w:r>
      <w:r w:rsidRPr="00330E43">
        <w:t xml:space="preserve">respondents additional weight using the inverse of the response rate. </w:t>
      </w:r>
      <w:r>
        <w:t>For the use of other researchers the full set of weights is available and should be used in conjunction with the database deposit.</w:t>
      </w:r>
      <w:r>
        <w:rPr>
          <w:rStyle w:val="EndnoteReference"/>
        </w:rPr>
        <w:endnoteReference w:id="11"/>
      </w:r>
    </w:p>
    <w:p w14:paraId="5D91AB31" w14:textId="77777777" w:rsidR="001E7990" w:rsidRDefault="001E7990" w:rsidP="00AA7118">
      <w:pPr>
        <w:spacing w:line="360" w:lineRule="auto"/>
        <w:jc w:val="both"/>
        <w:rPr>
          <w:b/>
        </w:rPr>
      </w:pPr>
    </w:p>
    <w:p w14:paraId="69A7878C" w14:textId="77777777" w:rsidR="00D554BD" w:rsidRPr="00D554BD" w:rsidRDefault="00D554BD" w:rsidP="00D554BD">
      <w:pPr>
        <w:spacing w:line="360" w:lineRule="auto"/>
        <w:jc w:val="both"/>
        <w:rPr>
          <w:rFonts w:eastAsia="Calibri" w:cs="Times New Roman"/>
        </w:rPr>
      </w:pPr>
    </w:p>
    <w:tbl>
      <w:tblPr>
        <w:tblW w:w="9180" w:type="dxa"/>
        <w:tblLayout w:type="fixed"/>
        <w:tblLook w:val="04A0" w:firstRow="1" w:lastRow="0" w:firstColumn="1" w:lastColumn="0" w:noHBand="0" w:noVBand="1"/>
      </w:tblPr>
      <w:tblGrid>
        <w:gridCol w:w="3794"/>
        <w:gridCol w:w="1984"/>
        <w:gridCol w:w="1701"/>
        <w:gridCol w:w="1701"/>
      </w:tblGrid>
      <w:tr w:rsidR="00D554BD" w:rsidRPr="00D554BD" w14:paraId="2D447BAF" w14:textId="77777777" w:rsidTr="00874EE0">
        <w:trPr>
          <w:trHeight w:val="132"/>
        </w:trPr>
        <w:tc>
          <w:tcPr>
            <w:tcW w:w="3794" w:type="dxa"/>
            <w:tcBorders>
              <w:top w:val="single" w:sz="4" w:space="0" w:color="auto"/>
              <w:left w:val="nil"/>
              <w:bottom w:val="nil"/>
              <w:right w:val="nil"/>
            </w:tcBorders>
          </w:tcPr>
          <w:p w14:paraId="5B07EE15"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tcBorders>
              <w:top w:val="single" w:sz="4" w:space="0" w:color="auto"/>
              <w:left w:val="nil"/>
              <w:bottom w:val="nil"/>
              <w:right w:val="nil"/>
            </w:tcBorders>
            <w:hideMark/>
          </w:tcPr>
          <w:p w14:paraId="5A458EDE"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1891</w:t>
            </w:r>
          </w:p>
        </w:tc>
        <w:tc>
          <w:tcPr>
            <w:tcW w:w="1701" w:type="dxa"/>
            <w:tcBorders>
              <w:top w:val="single" w:sz="4" w:space="0" w:color="auto"/>
              <w:left w:val="nil"/>
              <w:bottom w:val="nil"/>
              <w:right w:val="nil"/>
            </w:tcBorders>
            <w:hideMark/>
          </w:tcPr>
          <w:p w14:paraId="3986C26D"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1901</w:t>
            </w:r>
          </w:p>
        </w:tc>
        <w:tc>
          <w:tcPr>
            <w:tcW w:w="1701" w:type="dxa"/>
            <w:tcBorders>
              <w:top w:val="single" w:sz="4" w:space="0" w:color="auto"/>
              <w:left w:val="nil"/>
              <w:bottom w:val="nil"/>
              <w:right w:val="nil"/>
            </w:tcBorders>
            <w:hideMark/>
          </w:tcPr>
          <w:p w14:paraId="01DD9908"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1911</w:t>
            </w:r>
          </w:p>
        </w:tc>
      </w:tr>
      <w:tr w:rsidR="00D554BD" w:rsidRPr="00D554BD" w14:paraId="6517609B" w14:textId="77777777" w:rsidTr="00874EE0">
        <w:tc>
          <w:tcPr>
            <w:tcW w:w="3794" w:type="dxa"/>
            <w:tcBorders>
              <w:top w:val="nil"/>
              <w:left w:val="nil"/>
              <w:bottom w:val="single" w:sz="4" w:space="0" w:color="auto"/>
              <w:right w:val="nil"/>
            </w:tcBorders>
          </w:tcPr>
          <w:p w14:paraId="3749AFC2"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tcBorders>
              <w:top w:val="nil"/>
              <w:left w:val="nil"/>
              <w:bottom w:val="single" w:sz="4" w:space="0" w:color="auto"/>
              <w:right w:val="nil"/>
            </w:tcBorders>
          </w:tcPr>
          <w:p w14:paraId="20E88563"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701" w:type="dxa"/>
            <w:tcBorders>
              <w:top w:val="nil"/>
              <w:left w:val="nil"/>
              <w:bottom w:val="single" w:sz="4" w:space="0" w:color="auto"/>
              <w:right w:val="nil"/>
            </w:tcBorders>
          </w:tcPr>
          <w:p w14:paraId="1351EDA0"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701" w:type="dxa"/>
            <w:tcBorders>
              <w:top w:val="nil"/>
              <w:left w:val="nil"/>
              <w:bottom w:val="single" w:sz="4" w:space="0" w:color="auto"/>
              <w:right w:val="nil"/>
            </w:tcBorders>
          </w:tcPr>
          <w:p w14:paraId="4915D19D"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p>
        </w:tc>
      </w:tr>
      <w:tr w:rsidR="00D554BD" w:rsidRPr="00D554BD" w14:paraId="133CE411" w14:textId="77777777" w:rsidTr="00874EE0">
        <w:tc>
          <w:tcPr>
            <w:tcW w:w="3794" w:type="dxa"/>
            <w:tcBorders>
              <w:top w:val="single" w:sz="4" w:space="0" w:color="auto"/>
              <w:left w:val="nil"/>
              <w:bottom w:val="nil"/>
              <w:right w:val="nil"/>
            </w:tcBorders>
            <w:hideMark/>
          </w:tcPr>
          <w:p w14:paraId="4CE1FBB7"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Female</w:t>
            </w:r>
          </w:p>
        </w:tc>
        <w:tc>
          <w:tcPr>
            <w:tcW w:w="1984" w:type="dxa"/>
            <w:vAlign w:val="bottom"/>
            <w:hideMark/>
          </w:tcPr>
          <w:p w14:paraId="14827A6B" w14:textId="77777777" w:rsidR="00D554BD" w:rsidRPr="00D554BD" w:rsidRDefault="00D554BD" w:rsidP="00D554BD">
            <w:pPr>
              <w:spacing w:line="256" w:lineRule="auto"/>
              <w:jc w:val="center"/>
              <w:rPr>
                <w:rFonts w:ascii="Calibri" w:eastAsia="Calibri" w:hAnsi="Calibri" w:cs="Times New Roman"/>
                <w:color w:val="000000"/>
                <w:sz w:val="22"/>
                <w:lang w:val="es-CL"/>
              </w:rPr>
            </w:pPr>
            <w:r w:rsidRPr="00D554BD">
              <w:rPr>
                <w:rFonts w:ascii="Calibri" w:eastAsia="Calibri" w:hAnsi="Calibri" w:cs="Times New Roman"/>
                <w:color w:val="000000"/>
                <w:sz w:val="22"/>
                <w:lang w:val="en-US"/>
              </w:rPr>
              <w:t>-0.636***</w:t>
            </w:r>
          </w:p>
        </w:tc>
        <w:tc>
          <w:tcPr>
            <w:tcW w:w="1701" w:type="dxa"/>
            <w:tcBorders>
              <w:top w:val="single" w:sz="4" w:space="0" w:color="auto"/>
              <w:left w:val="nil"/>
              <w:bottom w:val="nil"/>
              <w:right w:val="nil"/>
            </w:tcBorders>
            <w:vAlign w:val="bottom"/>
            <w:hideMark/>
          </w:tcPr>
          <w:p w14:paraId="6C9F13AA"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-0.0873***</w:t>
            </w:r>
          </w:p>
        </w:tc>
        <w:tc>
          <w:tcPr>
            <w:tcW w:w="1701" w:type="dxa"/>
            <w:tcBorders>
              <w:top w:val="single" w:sz="4" w:space="0" w:color="auto"/>
              <w:left w:val="nil"/>
              <w:bottom w:val="nil"/>
              <w:right w:val="nil"/>
            </w:tcBorders>
            <w:vAlign w:val="bottom"/>
            <w:hideMark/>
          </w:tcPr>
          <w:p w14:paraId="2DC254D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-0.608***</w:t>
            </w:r>
          </w:p>
        </w:tc>
      </w:tr>
      <w:tr w:rsidR="00D554BD" w:rsidRPr="00D554BD" w14:paraId="5FA90A27" w14:textId="77777777" w:rsidTr="00874EE0">
        <w:tc>
          <w:tcPr>
            <w:tcW w:w="3794" w:type="dxa"/>
          </w:tcPr>
          <w:p w14:paraId="2206299C"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176F97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(-164.16)</w:t>
            </w:r>
          </w:p>
        </w:tc>
        <w:tc>
          <w:tcPr>
            <w:tcW w:w="1701" w:type="dxa"/>
            <w:vAlign w:val="bottom"/>
            <w:hideMark/>
          </w:tcPr>
          <w:p w14:paraId="2C4C77F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(-23.78)</w:t>
            </w:r>
          </w:p>
        </w:tc>
        <w:tc>
          <w:tcPr>
            <w:tcW w:w="1701" w:type="dxa"/>
            <w:vAlign w:val="bottom"/>
            <w:hideMark/>
          </w:tcPr>
          <w:p w14:paraId="0CA2E14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(-194.99)</w:t>
            </w:r>
          </w:p>
        </w:tc>
      </w:tr>
      <w:tr w:rsidR="00D554BD" w:rsidRPr="00D554BD" w14:paraId="124BF073" w14:textId="77777777" w:rsidTr="00874EE0">
        <w:tc>
          <w:tcPr>
            <w:tcW w:w="3794" w:type="dxa"/>
            <w:hideMark/>
          </w:tcPr>
          <w:p w14:paraId="72F75E32"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CFU member</w:t>
            </w:r>
          </w:p>
        </w:tc>
        <w:tc>
          <w:tcPr>
            <w:tcW w:w="1984" w:type="dxa"/>
            <w:vAlign w:val="bottom"/>
            <w:hideMark/>
          </w:tcPr>
          <w:p w14:paraId="16E590D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0.210***</w:t>
            </w:r>
          </w:p>
        </w:tc>
        <w:tc>
          <w:tcPr>
            <w:tcW w:w="1701" w:type="dxa"/>
            <w:vAlign w:val="bottom"/>
            <w:hideMark/>
          </w:tcPr>
          <w:p w14:paraId="7FF13DB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-0.215***</w:t>
            </w:r>
          </w:p>
        </w:tc>
        <w:tc>
          <w:tcPr>
            <w:tcW w:w="1701" w:type="dxa"/>
            <w:vAlign w:val="bottom"/>
            <w:hideMark/>
          </w:tcPr>
          <w:p w14:paraId="64D9CAF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-0.0668***</w:t>
            </w:r>
          </w:p>
        </w:tc>
      </w:tr>
      <w:tr w:rsidR="00D554BD" w:rsidRPr="00D554BD" w14:paraId="6E0A09F7" w14:textId="77777777" w:rsidTr="00874EE0">
        <w:tc>
          <w:tcPr>
            <w:tcW w:w="3794" w:type="dxa"/>
          </w:tcPr>
          <w:p w14:paraId="06541E48"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41A73F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(55.96)</w:t>
            </w:r>
          </w:p>
        </w:tc>
        <w:tc>
          <w:tcPr>
            <w:tcW w:w="1701" w:type="dxa"/>
            <w:vAlign w:val="bottom"/>
            <w:hideMark/>
          </w:tcPr>
          <w:p w14:paraId="65DFB35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(-65.13)</w:t>
            </w:r>
          </w:p>
        </w:tc>
        <w:tc>
          <w:tcPr>
            <w:tcW w:w="1701" w:type="dxa"/>
            <w:vAlign w:val="bottom"/>
            <w:hideMark/>
          </w:tcPr>
          <w:p w14:paraId="51EF8D3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(-22.83)</w:t>
            </w:r>
          </w:p>
        </w:tc>
      </w:tr>
      <w:tr w:rsidR="00D554BD" w:rsidRPr="00D554BD" w14:paraId="2A6E1D70" w14:textId="77777777" w:rsidTr="00874EE0">
        <w:tc>
          <w:tcPr>
            <w:tcW w:w="3794" w:type="dxa"/>
            <w:hideMark/>
          </w:tcPr>
          <w:p w14:paraId="122D3A66"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Older generation</w:t>
            </w:r>
          </w:p>
        </w:tc>
        <w:tc>
          <w:tcPr>
            <w:tcW w:w="1984" w:type="dxa"/>
            <w:vAlign w:val="bottom"/>
            <w:hideMark/>
          </w:tcPr>
          <w:p w14:paraId="6C2623A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-0.631***</w:t>
            </w:r>
          </w:p>
        </w:tc>
        <w:tc>
          <w:tcPr>
            <w:tcW w:w="1701" w:type="dxa"/>
            <w:vAlign w:val="bottom"/>
            <w:hideMark/>
          </w:tcPr>
          <w:p w14:paraId="0E32E49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-0.169***</w:t>
            </w:r>
          </w:p>
        </w:tc>
        <w:tc>
          <w:tcPr>
            <w:tcW w:w="1701" w:type="dxa"/>
            <w:vAlign w:val="bottom"/>
            <w:hideMark/>
          </w:tcPr>
          <w:p w14:paraId="517902D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-0.716***</w:t>
            </w:r>
          </w:p>
        </w:tc>
      </w:tr>
      <w:tr w:rsidR="00D554BD" w:rsidRPr="00D554BD" w14:paraId="69D9CAF1" w14:textId="77777777" w:rsidTr="00874EE0">
        <w:tc>
          <w:tcPr>
            <w:tcW w:w="3794" w:type="dxa"/>
          </w:tcPr>
          <w:p w14:paraId="5D6C21C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1858FC8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(-43.12)</w:t>
            </w:r>
          </w:p>
        </w:tc>
        <w:tc>
          <w:tcPr>
            <w:tcW w:w="1701" w:type="dxa"/>
            <w:vAlign w:val="bottom"/>
            <w:hideMark/>
          </w:tcPr>
          <w:p w14:paraId="28DC9F1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(-9.67)</w:t>
            </w:r>
          </w:p>
        </w:tc>
        <w:tc>
          <w:tcPr>
            <w:tcW w:w="1701" w:type="dxa"/>
            <w:vAlign w:val="bottom"/>
            <w:hideMark/>
          </w:tcPr>
          <w:p w14:paraId="32CFD2E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(-55.48)</w:t>
            </w:r>
          </w:p>
        </w:tc>
      </w:tr>
      <w:tr w:rsidR="00D554BD" w:rsidRPr="00D554BD" w14:paraId="6336E7CA" w14:textId="77777777" w:rsidTr="00874EE0">
        <w:tc>
          <w:tcPr>
            <w:tcW w:w="3794" w:type="dxa"/>
            <w:hideMark/>
          </w:tcPr>
          <w:p w14:paraId="634B6B25"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Siblings</w:t>
            </w:r>
          </w:p>
        </w:tc>
        <w:tc>
          <w:tcPr>
            <w:tcW w:w="1984" w:type="dxa"/>
            <w:vAlign w:val="bottom"/>
            <w:hideMark/>
          </w:tcPr>
          <w:p w14:paraId="5F5A645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-0.0343***</w:t>
            </w:r>
          </w:p>
        </w:tc>
        <w:tc>
          <w:tcPr>
            <w:tcW w:w="1701" w:type="dxa"/>
            <w:vAlign w:val="bottom"/>
            <w:hideMark/>
          </w:tcPr>
          <w:p w14:paraId="29C8987A"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-0.254***</w:t>
            </w:r>
          </w:p>
        </w:tc>
        <w:tc>
          <w:tcPr>
            <w:tcW w:w="1701" w:type="dxa"/>
            <w:vAlign w:val="bottom"/>
            <w:hideMark/>
          </w:tcPr>
          <w:p w14:paraId="0F8E5A9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0.000279</w:t>
            </w:r>
          </w:p>
        </w:tc>
      </w:tr>
      <w:tr w:rsidR="00D554BD" w:rsidRPr="00D554BD" w14:paraId="3FC4A72D" w14:textId="77777777" w:rsidTr="00874EE0">
        <w:tc>
          <w:tcPr>
            <w:tcW w:w="3794" w:type="dxa"/>
          </w:tcPr>
          <w:p w14:paraId="4C67176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29F9E79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(-3.70)</w:t>
            </w:r>
          </w:p>
        </w:tc>
        <w:tc>
          <w:tcPr>
            <w:tcW w:w="1701" w:type="dxa"/>
            <w:vAlign w:val="bottom"/>
            <w:hideMark/>
          </w:tcPr>
          <w:p w14:paraId="7337756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(-31.43)</w:t>
            </w:r>
          </w:p>
        </w:tc>
        <w:tc>
          <w:tcPr>
            <w:tcW w:w="1701" w:type="dxa"/>
            <w:vAlign w:val="bottom"/>
            <w:hideMark/>
          </w:tcPr>
          <w:p w14:paraId="319F1A6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(0.04)</w:t>
            </w:r>
          </w:p>
        </w:tc>
      </w:tr>
      <w:tr w:rsidR="00D554BD" w:rsidRPr="00D554BD" w14:paraId="0C162813" w14:textId="77777777" w:rsidTr="00874EE0">
        <w:tc>
          <w:tcPr>
            <w:tcW w:w="3794" w:type="dxa"/>
            <w:hideMark/>
          </w:tcPr>
          <w:p w14:paraId="764E474E"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Other family</w:t>
            </w:r>
          </w:p>
        </w:tc>
        <w:tc>
          <w:tcPr>
            <w:tcW w:w="1984" w:type="dxa"/>
            <w:vAlign w:val="bottom"/>
            <w:hideMark/>
          </w:tcPr>
          <w:p w14:paraId="341272F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0.148***</w:t>
            </w:r>
          </w:p>
        </w:tc>
        <w:tc>
          <w:tcPr>
            <w:tcW w:w="1701" w:type="dxa"/>
            <w:vAlign w:val="bottom"/>
            <w:hideMark/>
          </w:tcPr>
          <w:p w14:paraId="42D27D9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-0.407***</w:t>
            </w:r>
          </w:p>
        </w:tc>
        <w:tc>
          <w:tcPr>
            <w:tcW w:w="1701" w:type="dxa"/>
            <w:vAlign w:val="bottom"/>
            <w:hideMark/>
          </w:tcPr>
          <w:p w14:paraId="202A269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-0.127***</w:t>
            </w:r>
          </w:p>
        </w:tc>
      </w:tr>
      <w:tr w:rsidR="00D554BD" w:rsidRPr="00D554BD" w14:paraId="60923E2F" w14:textId="77777777" w:rsidTr="00874EE0">
        <w:tc>
          <w:tcPr>
            <w:tcW w:w="3794" w:type="dxa"/>
          </w:tcPr>
          <w:p w14:paraId="490C1880"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7014B7CB"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(12.68)</w:t>
            </w:r>
          </w:p>
        </w:tc>
        <w:tc>
          <w:tcPr>
            <w:tcW w:w="1701" w:type="dxa"/>
            <w:vAlign w:val="bottom"/>
            <w:hideMark/>
          </w:tcPr>
          <w:p w14:paraId="65DBEA0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(-41.95)</w:t>
            </w:r>
          </w:p>
        </w:tc>
        <w:tc>
          <w:tcPr>
            <w:tcW w:w="1701" w:type="dxa"/>
            <w:vAlign w:val="bottom"/>
            <w:hideMark/>
          </w:tcPr>
          <w:p w14:paraId="40ADA4A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(-14.78)</w:t>
            </w:r>
          </w:p>
        </w:tc>
      </w:tr>
      <w:tr w:rsidR="00D554BD" w:rsidRPr="00D554BD" w14:paraId="7B44AE21" w14:textId="77777777" w:rsidTr="00874EE0">
        <w:tc>
          <w:tcPr>
            <w:tcW w:w="3794" w:type="dxa"/>
            <w:hideMark/>
          </w:tcPr>
          <w:p w14:paraId="65686EA8"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Servants</w:t>
            </w:r>
          </w:p>
        </w:tc>
        <w:tc>
          <w:tcPr>
            <w:tcW w:w="1984" w:type="dxa"/>
            <w:vAlign w:val="bottom"/>
            <w:hideMark/>
          </w:tcPr>
          <w:p w14:paraId="726A1E3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-0.0671***</w:t>
            </w:r>
          </w:p>
        </w:tc>
        <w:tc>
          <w:tcPr>
            <w:tcW w:w="1701" w:type="dxa"/>
            <w:vAlign w:val="bottom"/>
            <w:hideMark/>
          </w:tcPr>
          <w:p w14:paraId="6C15EF2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0.147***</w:t>
            </w:r>
          </w:p>
        </w:tc>
        <w:tc>
          <w:tcPr>
            <w:tcW w:w="1701" w:type="dxa"/>
            <w:vAlign w:val="bottom"/>
            <w:hideMark/>
          </w:tcPr>
          <w:p w14:paraId="2083CC6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0.928***</w:t>
            </w:r>
          </w:p>
        </w:tc>
      </w:tr>
      <w:tr w:rsidR="00D554BD" w:rsidRPr="00D554BD" w14:paraId="5E250C2B" w14:textId="77777777" w:rsidTr="00874EE0">
        <w:tc>
          <w:tcPr>
            <w:tcW w:w="3794" w:type="dxa"/>
          </w:tcPr>
          <w:p w14:paraId="14D922B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915DB1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(-7.63)</w:t>
            </w:r>
          </w:p>
        </w:tc>
        <w:tc>
          <w:tcPr>
            <w:tcW w:w="1701" w:type="dxa"/>
            <w:vAlign w:val="bottom"/>
            <w:hideMark/>
          </w:tcPr>
          <w:p w14:paraId="0681D61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(13.54)</w:t>
            </w:r>
          </w:p>
        </w:tc>
        <w:tc>
          <w:tcPr>
            <w:tcW w:w="1701" w:type="dxa"/>
            <w:vAlign w:val="bottom"/>
            <w:hideMark/>
          </w:tcPr>
          <w:p w14:paraId="3DFE418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(83.28)</w:t>
            </w:r>
          </w:p>
        </w:tc>
      </w:tr>
      <w:tr w:rsidR="00D554BD" w:rsidRPr="00D554BD" w14:paraId="0AEB897F" w14:textId="77777777" w:rsidTr="00874EE0">
        <w:tc>
          <w:tcPr>
            <w:tcW w:w="3794" w:type="dxa"/>
            <w:hideMark/>
          </w:tcPr>
          <w:p w14:paraId="4E50C0EF"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Working title</w:t>
            </w:r>
          </w:p>
        </w:tc>
        <w:tc>
          <w:tcPr>
            <w:tcW w:w="1984" w:type="dxa"/>
            <w:vAlign w:val="bottom"/>
            <w:hideMark/>
          </w:tcPr>
          <w:p w14:paraId="0B067F9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0.692***</w:t>
            </w:r>
          </w:p>
        </w:tc>
        <w:tc>
          <w:tcPr>
            <w:tcW w:w="1701" w:type="dxa"/>
            <w:vAlign w:val="bottom"/>
            <w:hideMark/>
          </w:tcPr>
          <w:p w14:paraId="1358C95A"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0.00258</w:t>
            </w:r>
          </w:p>
        </w:tc>
        <w:tc>
          <w:tcPr>
            <w:tcW w:w="1701" w:type="dxa"/>
            <w:vAlign w:val="bottom"/>
            <w:hideMark/>
          </w:tcPr>
          <w:p w14:paraId="503135D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1.490***</w:t>
            </w:r>
          </w:p>
        </w:tc>
      </w:tr>
      <w:tr w:rsidR="00D554BD" w:rsidRPr="00D554BD" w14:paraId="7F6BBB01" w14:textId="77777777" w:rsidTr="00874EE0">
        <w:tc>
          <w:tcPr>
            <w:tcW w:w="3794" w:type="dxa"/>
          </w:tcPr>
          <w:p w14:paraId="09068171"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59A0774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(35.63)</w:t>
            </w:r>
          </w:p>
        </w:tc>
        <w:tc>
          <w:tcPr>
            <w:tcW w:w="1701" w:type="dxa"/>
            <w:vAlign w:val="bottom"/>
            <w:hideMark/>
          </w:tcPr>
          <w:p w14:paraId="7C0CFDF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(0.18)</w:t>
            </w:r>
          </w:p>
        </w:tc>
        <w:tc>
          <w:tcPr>
            <w:tcW w:w="1701" w:type="dxa"/>
            <w:vAlign w:val="bottom"/>
            <w:hideMark/>
          </w:tcPr>
          <w:p w14:paraId="1976D8E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(76.65)</w:t>
            </w:r>
          </w:p>
        </w:tc>
      </w:tr>
      <w:tr w:rsidR="00D554BD" w:rsidRPr="00D554BD" w14:paraId="3D9DC59F" w14:textId="77777777" w:rsidTr="00874EE0">
        <w:tc>
          <w:tcPr>
            <w:tcW w:w="3794" w:type="dxa"/>
            <w:hideMark/>
          </w:tcPr>
          <w:p w14:paraId="62F21231"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Lodgers/boarders</w:t>
            </w:r>
          </w:p>
        </w:tc>
        <w:tc>
          <w:tcPr>
            <w:tcW w:w="1984" w:type="dxa"/>
            <w:vAlign w:val="bottom"/>
            <w:hideMark/>
          </w:tcPr>
          <w:p w14:paraId="7BB0D35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-0.0992***</w:t>
            </w:r>
          </w:p>
        </w:tc>
        <w:tc>
          <w:tcPr>
            <w:tcW w:w="1701" w:type="dxa"/>
            <w:vAlign w:val="bottom"/>
            <w:hideMark/>
          </w:tcPr>
          <w:p w14:paraId="49A7AB6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-0.311***</w:t>
            </w:r>
          </w:p>
        </w:tc>
        <w:tc>
          <w:tcPr>
            <w:tcW w:w="1701" w:type="dxa"/>
            <w:vAlign w:val="bottom"/>
            <w:hideMark/>
          </w:tcPr>
          <w:p w14:paraId="4066AA3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-0.220***</w:t>
            </w:r>
          </w:p>
        </w:tc>
      </w:tr>
      <w:tr w:rsidR="00D554BD" w:rsidRPr="00D554BD" w14:paraId="775C4F22" w14:textId="77777777" w:rsidTr="00874EE0">
        <w:tc>
          <w:tcPr>
            <w:tcW w:w="3794" w:type="dxa"/>
          </w:tcPr>
          <w:p w14:paraId="68B327F8"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3C1152A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(-17.90)</w:t>
            </w:r>
          </w:p>
        </w:tc>
        <w:tc>
          <w:tcPr>
            <w:tcW w:w="1701" w:type="dxa"/>
            <w:vAlign w:val="bottom"/>
            <w:hideMark/>
          </w:tcPr>
          <w:p w14:paraId="7F9D7ACE"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(-63.83)</w:t>
            </w:r>
          </w:p>
        </w:tc>
        <w:tc>
          <w:tcPr>
            <w:tcW w:w="1701" w:type="dxa"/>
            <w:vAlign w:val="bottom"/>
            <w:hideMark/>
          </w:tcPr>
          <w:p w14:paraId="577D275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(-49.78)</w:t>
            </w:r>
          </w:p>
        </w:tc>
      </w:tr>
      <w:tr w:rsidR="00D554BD" w:rsidRPr="00D554BD" w14:paraId="730D0441" w14:textId="77777777" w:rsidTr="00874EE0">
        <w:tc>
          <w:tcPr>
            <w:tcW w:w="3794" w:type="dxa"/>
            <w:hideMark/>
          </w:tcPr>
          <w:p w14:paraId="2B54D393"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Non-household</w:t>
            </w:r>
          </w:p>
        </w:tc>
        <w:tc>
          <w:tcPr>
            <w:tcW w:w="1984" w:type="dxa"/>
            <w:vAlign w:val="bottom"/>
            <w:hideMark/>
          </w:tcPr>
          <w:p w14:paraId="70456A9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-2.942***</w:t>
            </w:r>
          </w:p>
        </w:tc>
        <w:tc>
          <w:tcPr>
            <w:tcW w:w="1701" w:type="dxa"/>
            <w:vAlign w:val="bottom"/>
            <w:hideMark/>
          </w:tcPr>
          <w:p w14:paraId="3216376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-2.649***</w:t>
            </w:r>
          </w:p>
        </w:tc>
        <w:tc>
          <w:tcPr>
            <w:tcW w:w="1701" w:type="dxa"/>
            <w:vAlign w:val="bottom"/>
            <w:hideMark/>
          </w:tcPr>
          <w:p w14:paraId="19587F0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-2.139***</w:t>
            </w:r>
          </w:p>
        </w:tc>
      </w:tr>
      <w:tr w:rsidR="00D554BD" w:rsidRPr="00D554BD" w14:paraId="5E0A1C10" w14:textId="77777777" w:rsidTr="00874EE0">
        <w:tc>
          <w:tcPr>
            <w:tcW w:w="3794" w:type="dxa"/>
          </w:tcPr>
          <w:p w14:paraId="556928F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3E55BFE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(-460.32)</w:t>
            </w:r>
          </w:p>
        </w:tc>
        <w:tc>
          <w:tcPr>
            <w:tcW w:w="1701" w:type="dxa"/>
            <w:vAlign w:val="bottom"/>
            <w:hideMark/>
          </w:tcPr>
          <w:p w14:paraId="7AB107BE"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(-442.32)</w:t>
            </w:r>
          </w:p>
        </w:tc>
        <w:tc>
          <w:tcPr>
            <w:tcW w:w="1701" w:type="dxa"/>
            <w:vAlign w:val="bottom"/>
            <w:hideMark/>
          </w:tcPr>
          <w:p w14:paraId="7482EEA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(-393.19)</w:t>
            </w:r>
          </w:p>
        </w:tc>
      </w:tr>
      <w:tr w:rsidR="00D554BD" w:rsidRPr="00D554BD" w14:paraId="41DE7FB4" w14:textId="77777777" w:rsidTr="00874EE0">
        <w:tc>
          <w:tcPr>
            <w:tcW w:w="3794" w:type="dxa"/>
            <w:hideMark/>
          </w:tcPr>
          <w:p w14:paraId="44E36FD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Unknown</w:t>
            </w:r>
          </w:p>
        </w:tc>
        <w:tc>
          <w:tcPr>
            <w:tcW w:w="1984" w:type="dxa"/>
            <w:vAlign w:val="bottom"/>
            <w:hideMark/>
          </w:tcPr>
          <w:p w14:paraId="6446B01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-0.955***</w:t>
            </w:r>
          </w:p>
        </w:tc>
        <w:tc>
          <w:tcPr>
            <w:tcW w:w="1701" w:type="dxa"/>
            <w:vAlign w:val="bottom"/>
            <w:hideMark/>
          </w:tcPr>
          <w:p w14:paraId="06DE87E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-1.043***</w:t>
            </w:r>
          </w:p>
        </w:tc>
        <w:tc>
          <w:tcPr>
            <w:tcW w:w="1701" w:type="dxa"/>
            <w:vAlign w:val="bottom"/>
            <w:hideMark/>
          </w:tcPr>
          <w:p w14:paraId="220F593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-1.193***</w:t>
            </w:r>
          </w:p>
        </w:tc>
      </w:tr>
      <w:tr w:rsidR="00D554BD" w:rsidRPr="00D554BD" w14:paraId="3D96C7D8" w14:textId="77777777" w:rsidTr="00874EE0">
        <w:tc>
          <w:tcPr>
            <w:tcW w:w="3794" w:type="dxa"/>
          </w:tcPr>
          <w:p w14:paraId="0FD5E560"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1BCD443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(-115.77)</w:t>
            </w:r>
          </w:p>
        </w:tc>
        <w:tc>
          <w:tcPr>
            <w:tcW w:w="1701" w:type="dxa"/>
            <w:vAlign w:val="bottom"/>
            <w:hideMark/>
          </w:tcPr>
          <w:p w14:paraId="2CBE5EC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(-139.02)</w:t>
            </w:r>
          </w:p>
        </w:tc>
        <w:tc>
          <w:tcPr>
            <w:tcW w:w="1701" w:type="dxa"/>
            <w:vAlign w:val="bottom"/>
            <w:hideMark/>
          </w:tcPr>
          <w:p w14:paraId="1E47A52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(-202.85)</w:t>
            </w:r>
          </w:p>
        </w:tc>
      </w:tr>
      <w:tr w:rsidR="00D554BD" w:rsidRPr="00D554BD" w14:paraId="5364E084" w14:textId="77777777" w:rsidTr="00874EE0">
        <w:tc>
          <w:tcPr>
            <w:tcW w:w="3794" w:type="dxa"/>
            <w:hideMark/>
          </w:tcPr>
          <w:p w14:paraId="5C7D6FA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Mining and quarrying</w:t>
            </w:r>
          </w:p>
        </w:tc>
        <w:tc>
          <w:tcPr>
            <w:tcW w:w="1984" w:type="dxa"/>
            <w:vAlign w:val="bottom"/>
            <w:hideMark/>
          </w:tcPr>
          <w:p w14:paraId="5332214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-0.195***</w:t>
            </w:r>
          </w:p>
        </w:tc>
        <w:tc>
          <w:tcPr>
            <w:tcW w:w="1701" w:type="dxa"/>
            <w:vAlign w:val="bottom"/>
            <w:hideMark/>
          </w:tcPr>
          <w:p w14:paraId="4532998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-0.492***</w:t>
            </w:r>
          </w:p>
        </w:tc>
        <w:tc>
          <w:tcPr>
            <w:tcW w:w="1701" w:type="dxa"/>
            <w:vAlign w:val="bottom"/>
            <w:hideMark/>
          </w:tcPr>
          <w:p w14:paraId="41396F0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-0.949***</w:t>
            </w:r>
          </w:p>
        </w:tc>
      </w:tr>
      <w:tr w:rsidR="00D554BD" w:rsidRPr="00D554BD" w14:paraId="611015B1" w14:textId="77777777" w:rsidTr="00874EE0">
        <w:tc>
          <w:tcPr>
            <w:tcW w:w="3794" w:type="dxa"/>
          </w:tcPr>
          <w:p w14:paraId="60060FA7"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393627E"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(-24.14)</w:t>
            </w:r>
          </w:p>
        </w:tc>
        <w:tc>
          <w:tcPr>
            <w:tcW w:w="1701" w:type="dxa"/>
            <w:vAlign w:val="bottom"/>
            <w:hideMark/>
          </w:tcPr>
          <w:p w14:paraId="28365A0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(-65.93)</w:t>
            </w:r>
          </w:p>
        </w:tc>
        <w:tc>
          <w:tcPr>
            <w:tcW w:w="1701" w:type="dxa"/>
            <w:vAlign w:val="bottom"/>
            <w:hideMark/>
          </w:tcPr>
          <w:p w14:paraId="4828D21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(-170.29)</w:t>
            </w:r>
          </w:p>
        </w:tc>
      </w:tr>
      <w:tr w:rsidR="00D554BD" w:rsidRPr="00D554BD" w14:paraId="2AED80C0" w14:textId="77777777" w:rsidTr="00874EE0">
        <w:tc>
          <w:tcPr>
            <w:tcW w:w="3794" w:type="dxa"/>
            <w:hideMark/>
          </w:tcPr>
          <w:p w14:paraId="411D0BA1"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Construction</w:t>
            </w:r>
          </w:p>
        </w:tc>
        <w:tc>
          <w:tcPr>
            <w:tcW w:w="1984" w:type="dxa"/>
            <w:vAlign w:val="bottom"/>
            <w:hideMark/>
          </w:tcPr>
          <w:p w14:paraId="125401A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-0.168***</w:t>
            </w:r>
          </w:p>
        </w:tc>
        <w:tc>
          <w:tcPr>
            <w:tcW w:w="1701" w:type="dxa"/>
            <w:vAlign w:val="bottom"/>
            <w:hideMark/>
          </w:tcPr>
          <w:p w14:paraId="3BCFEED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0.203***</w:t>
            </w:r>
          </w:p>
        </w:tc>
        <w:tc>
          <w:tcPr>
            <w:tcW w:w="1701" w:type="dxa"/>
            <w:vAlign w:val="bottom"/>
            <w:hideMark/>
          </w:tcPr>
          <w:p w14:paraId="330A3DB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0.0384***</w:t>
            </w:r>
          </w:p>
        </w:tc>
      </w:tr>
      <w:tr w:rsidR="00D554BD" w:rsidRPr="00D554BD" w14:paraId="27FB7FB4" w14:textId="77777777" w:rsidTr="00874EE0">
        <w:tc>
          <w:tcPr>
            <w:tcW w:w="3794" w:type="dxa"/>
          </w:tcPr>
          <w:p w14:paraId="74710A3B"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2FA27A6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(-22.86)</w:t>
            </w:r>
          </w:p>
        </w:tc>
        <w:tc>
          <w:tcPr>
            <w:tcW w:w="1701" w:type="dxa"/>
            <w:vAlign w:val="bottom"/>
            <w:hideMark/>
          </w:tcPr>
          <w:p w14:paraId="073DF2A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(25.80)</w:t>
            </w:r>
          </w:p>
        </w:tc>
        <w:tc>
          <w:tcPr>
            <w:tcW w:w="1701" w:type="dxa"/>
            <w:vAlign w:val="bottom"/>
            <w:hideMark/>
          </w:tcPr>
          <w:p w14:paraId="6E9367A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(5.83)</w:t>
            </w:r>
          </w:p>
        </w:tc>
      </w:tr>
      <w:tr w:rsidR="00D554BD" w:rsidRPr="00D554BD" w14:paraId="22641E24" w14:textId="77777777" w:rsidTr="00874EE0">
        <w:tc>
          <w:tcPr>
            <w:tcW w:w="3794" w:type="dxa"/>
            <w:hideMark/>
          </w:tcPr>
          <w:p w14:paraId="765EEBB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Manufacturing</w:t>
            </w:r>
          </w:p>
        </w:tc>
        <w:tc>
          <w:tcPr>
            <w:tcW w:w="1984" w:type="dxa"/>
            <w:vAlign w:val="bottom"/>
            <w:hideMark/>
          </w:tcPr>
          <w:p w14:paraId="3286993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0.149***</w:t>
            </w:r>
          </w:p>
        </w:tc>
        <w:tc>
          <w:tcPr>
            <w:tcW w:w="1701" w:type="dxa"/>
            <w:vAlign w:val="bottom"/>
            <w:hideMark/>
          </w:tcPr>
          <w:p w14:paraId="70B087A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-0.0411***</w:t>
            </w:r>
          </w:p>
        </w:tc>
        <w:tc>
          <w:tcPr>
            <w:tcW w:w="1701" w:type="dxa"/>
            <w:vAlign w:val="bottom"/>
            <w:hideMark/>
          </w:tcPr>
          <w:p w14:paraId="3F51061B"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0.362***</w:t>
            </w:r>
          </w:p>
        </w:tc>
      </w:tr>
      <w:tr w:rsidR="00D554BD" w:rsidRPr="00D554BD" w14:paraId="3979EE6C" w14:textId="77777777" w:rsidTr="00874EE0">
        <w:tc>
          <w:tcPr>
            <w:tcW w:w="3794" w:type="dxa"/>
          </w:tcPr>
          <w:p w14:paraId="75E506DE"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E4570E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(25.00)</w:t>
            </w:r>
          </w:p>
        </w:tc>
        <w:tc>
          <w:tcPr>
            <w:tcW w:w="1701" w:type="dxa"/>
            <w:vAlign w:val="bottom"/>
            <w:hideMark/>
          </w:tcPr>
          <w:p w14:paraId="79092A4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(-6.62)</w:t>
            </w:r>
          </w:p>
        </w:tc>
        <w:tc>
          <w:tcPr>
            <w:tcW w:w="1701" w:type="dxa"/>
            <w:vAlign w:val="bottom"/>
            <w:hideMark/>
          </w:tcPr>
          <w:p w14:paraId="6FA8CAD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(67.70)</w:t>
            </w:r>
          </w:p>
        </w:tc>
      </w:tr>
      <w:tr w:rsidR="00D554BD" w:rsidRPr="00D554BD" w14:paraId="50290002" w14:textId="77777777" w:rsidTr="00874EE0">
        <w:tc>
          <w:tcPr>
            <w:tcW w:w="3794" w:type="dxa"/>
            <w:hideMark/>
          </w:tcPr>
          <w:p w14:paraId="15BC831F"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Maker-Dealer</w:t>
            </w:r>
          </w:p>
        </w:tc>
        <w:tc>
          <w:tcPr>
            <w:tcW w:w="1984" w:type="dxa"/>
            <w:vAlign w:val="bottom"/>
            <w:hideMark/>
          </w:tcPr>
          <w:p w14:paraId="7BFF069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-0.212***</w:t>
            </w:r>
          </w:p>
        </w:tc>
        <w:tc>
          <w:tcPr>
            <w:tcW w:w="1701" w:type="dxa"/>
            <w:vAlign w:val="bottom"/>
            <w:hideMark/>
          </w:tcPr>
          <w:p w14:paraId="01ACAFE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-0.151***</w:t>
            </w:r>
          </w:p>
        </w:tc>
        <w:tc>
          <w:tcPr>
            <w:tcW w:w="1701" w:type="dxa"/>
            <w:vAlign w:val="bottom"/>
            <w:hideMark/>
          </w:tcPr>
          <w:p w14:paraId="58E479F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0.00570</w:t>
            </w:r>
          </w:p>
        </w:tc>
      </w:tr>
      <w:tr w:rsidR="00D554BD" w:rsidRPr="00D554BD" w14:paraId="3400D123" w14:textId="77777777" w:rsidTr="00874EE0">
        <w:tc>
          <w:tcPr>
            <w:tcW w:w="3794" w:type="dxa"/>
          </w:tcPr>
          <w:p w14:paraId="4FF22B6F"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187931F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(-34.25)</w:t>
            </w:r>
          </w:p>
        </w:tc>
        <w:tc>
          <w:tcPr>
            <w:tcW w:w="1701" w:type="dxa"/>
            <w:vAlign w:val="bottom"/>
            <w:hideMark/>
          </w:tcPr>
          <w:p w14:paraId="7C7DC49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(-22.32)</w:t>
            </w:r>
          </w:p>
        </w:tc>
        <w:tc>
          <w:tcPr>
            <w:tcW w:w="1701" w:type="dxa"/>
            <w:vAlign w:val="bottom"/>
            <w:hideMark/>
          </w:tcPr>
          <w:p w14:paraId="7FECA19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(1.00)</w:t>
            </w:r>
          </w:p>
        </w:tc>
      </w:tr>
      <w:tr w:rsidR="00D554BD" w:rsidRPr="00D554BD" w14:paraId="46152686" w14:textId="77777777" w:rsidTr="00874EE0">
        <w:tc>
          <w:tcPr>
            <w:tcW w:w="3794" w:type="dxa"/>
            <w:hideMark/>
          </w:tcPr>
          <w:p w14:paraId="1E64021C"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Retail</w:t>
            </w:r>
          </w:p>
        </w:tc>
        <w:tc>
          <w:tcPr>
            <w:tcW w:w="1984" w:type="dxa"/>
            <w:vAlign w:val="bottom"/>
            <w:hideMark/>
          </w:tcPr>
          <w:p w14:paraId="7DB1B03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-0.244***</w:t>
            </w:r>
          </w:p>
        </w:tc>
        <w:tc>
          <w:tcPr>
            <w:tcW w:w="1701" w:type="dxa"/>
            <w:vAlign w:val="bottom"/>
            <w:hideMark/>
          </w:tcPr>
          <w:p w14:paraId="24C1B86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-0.507***</w:t>
            </w:r>
          </w:p>
        </w:tc>
        <w:tc>
          <w:tcPr>
            <w:tcW w:w="1701" w:type="dxa"/>
            <w:vAlign w:val="bottom"/>
            <w:hideMark/>
          </w:tcPr>
          <w:p w14:paraId="36CBDE1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0.0580***</w:t>
            </w:r>
          </w:p>
        </w:tc>
      </w:tr>
      <w:tr w:rsidR="00D554BD" w:rsidRPr="00D554BD" w14:paraId="77715D4B" w14:textId="77777777" w:rsidTr="00874EE0">
        <w:tc>
          <w:tcPr>
            <w:tcW w:w="3794" w:type="dxa"/>
          </w:tcPr>
          <w:p w14:paraId="3473C5A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5872BC3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(-23.52)</w:t>
            </w:r>
          </w:p>
        </w:tc>
        <w:tc>
          <w:tcPr>
            <w:tcW w:w="1701" w:type="dxa"/>
            <w:vAlign w:val="bottom"/>
            <w:hideMark/>
          </w:tcPr>
          <w:p w14:paraId="44AB38F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(-54.10)</w:t>
            </w:r>
          </w:p>
        </w:tc>
        <w:tc>
          <w:tcPr>
            <w:tcW w:w="1701" w:type="dxa"/>
            <w:vAlign w:val="bottom"/>
            <w:hideMark/>
          </w:tcPr>
          <w:p w14:paraId="77B50AE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(7.32)</w:t>
            </w:r>
          </w:p>
        </w:tc>
      </w:tr>
      <w:tr w:rsidR="00D554BD" w:rsidRPr="00D554BD" w14:paraId="3DB3F331" w14:textId="77777777" w:rsidTr="00874EE0">
        <w:tc>
          <w:tcPr>
            <w:tcW w:w="3794" w:type="dxa"/>
            <w:hideMark/>
          </w:tcPr>
          <w:p w14:paraId="53150ACB"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Transport</w:t>
            </w:r>
          </w:p>
        </w:tc>
        <w:tc>
          <w:tcPr>
            <w:tcW w:w="1984" w:type="dxa"/>
            <w:vAlign w:val="bottom"/>
            <w:hideMark/>
          </w:tcPr>
          <w:p w14:paraId="694BF40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-0.218***</w:t>
            </w:r>
          </w:p>
        </w:tc>
        <w:tc>
          <w:tcPr>
            <w:tcW w:w="1701" w:type="dxa"/>
            <w:vAlign w:val="bottom"/>
            <w:hideMark/>
          </w:tcPr>
          <w:p w14:paraId="21DD61B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-0.324***</w:t>
            </w:r>
          </w:p>
        </w:tc>
        <w:tc>
          <w:tcPr>
            <w:tcW w:w="1701" w:type="dxa"/>
            <w:vAlign w:val="bottom"/>
            <w:hideMark/>
          </w:tcPr>
          <w:p w14:paraId="44F9C97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-0.355***</w:t>
            </w:r>
          </w:p>
        </w:tc>
      </w:tr>
      <w:tr w:rsidR="00D554BD" w:rsidRPr="00D554BD" w14:paraId="2B90FC34" w14:textId="77777777" w:rsidTr="00874EE0">
        <w:tc>
          <w:tcPr>
            <w:tcW w:w="3794" w:type="dxa"/>
          </w:tcPr>
          <w:p w14:paraId="3B85616A"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06F6E55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(-30.89)</w:t>
            </w:r>
          </w:p>
        </w:tc>
        <w:tc>
          <w:tcPr>
            <w:tcW w:w="1701" w:type="dxa"/>
            <w:vAlign w:val="bottom"/>
            <w:hideMark/>
          </w:tcPr>
          <w:p w14:paraId="48C91F8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(-46.99)</w:t>
            </w:r>
          </w:p>
        </w:tc>
        <w:tc>
          <w:tcPr>
            <w:tcW w:w="1701" w:type="dxa"/>
            <w:vAlign w:val="bottom"/>
            <w:hideMark/>
          </w:tcPr>
          <w:p w14:paraId="66CB97F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(-61.39)</w:t>
            </w:r>
          </w:p>
        </w:tc>
      </w:tr>
      <w:tr w:rsidR="00D554BD" w:rsidRPr="00D554BD" w14:paraId="2E146B45" w14:textId="77777777" w:rsidTr="00874EE0">
        <w:tc>
          <w:tcPr>
            <w:tcW w:w="3794" w:type="dxa"/>
            <w:hideMark/>
          </w:tcPr>
          <w:p w14:paraId="74280FD5"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Professional &amp; business services</w:t>
            </w:r>
          </w:p>
        </w:tc>
        <w:tc>
          <w:tcPr>
            <w:tcW w:w="1984" w:type="dxa"/>
            <w:vAlign w:val="bottom"/>
            <w:hideMark/>
          </w:tcPr>
          <w:p w14:paraId="3FF4606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-0.224***</w:t>
            </w:r>
          </w:p>
        </w:tc>
        <w:tc>
          <w:tcPr>
            <w:tcW w:w="1701" w:type="dxa"/>
            <w:vAlign w:val="bottom"/>
            <w:hideMark/>
          </w:tcPr>
          <w:p w14:paraId="1D2248C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-0.979***</w:t>
            </w:r>
          </w:p>
        </w:tc>
        <w:tc>
          <w:tcPr>
            <w:tcW w:w="1701" w:type="dxa"/>
            <w:vAlign w:val="bottom"/>
            <w:hideMark/>
          </w:tcPr>
          <w:p w14:paraId="474E9E1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-0.0666***</w:t>
            </w:r>
          </w:p>
        </w:tc>
      </w:tr>
      <w:tr w:rsidR="00D554BD" w:rsidRPr="00D554BD" w14:paraId="571FEFF1" w14:textId="77777777" w:rsidTr="00874EE0">
        <w:tc>
          <w:tcPr>
            <w:tcW w:w="3794" w:type="dxa"/>
          </w:tcPr>
          <w:p w14:paraId="6063FA66"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768A0E1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(-25.05)</w:t>
            </w:r>
          </w:p>
        </w:tc>
        <w:tc>
          <w:tcPr>
            <w:tcW w:w="1701" w:type="dxa"/>
            <w:vAlign w:val="bottom"/>
            <w:hideMark/>
          </w:tcPr>
          <w:p w14:paraId="294A9B6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(-136.35)</w:t>
            </w:r>
          </w:p>
        </w:tc>
        <w:tc>
          <w:tcPr>
            <w:tcW w:w="1701" w:type="dxa"/>
            <w:vAlign w:val="bottom"/>
            <w:hideMark/>
          </w:tcPr>
          <w:p w14:paraId="2E38E11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(-9.96)</w:t>
            </w:r>
          </w:p>
        </w:tc>
      </w:tr>
      <w:tr w:rsidR="00D554BD" w:rsidRPr="00D554BD" w14:paraId="30231CD3" w14:textId="77777777" w:rsidTr="00874EE0">
        <w:tc>
          <w:tcPr>
            <w:tcW w:w="3794" w:type="dxa"/>
            <w:hideMark/>
          </w:tcPr>
          <w:p w14:paraId="7F44E06A"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Personal services</w:t>
            </w:r>
          </w:p>
        </w:tc>
        <w:tc>
          <w:tcPr>
            <w:tcW w:w="1984" w:type="dxa"/>
            <w:vAlign w:val="bottom"/>
            <w:hideMark/>
          </w:tcPr>
          <w:p w14:paraId="106249FB"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-0.786***</w:t>
            </w:r>
          </w:p>
        </w:tc>
        <w:tc>
          <w:tcPr>
            <w:tcW w:w="1701" w:type="dxa"/>
            <w:vAlign w:val="bottom"/>
            <w:hideMark/>
          </w:tcPr>
          <w:p w14:paraId="25BCE53F"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-1.859***</w:t>
            </w:r>
          </w:p>
        </w:tc>
        <w:tc>
          <w:tcPr>
            <w:tcW w:w="1701" w:type="dxa"/>
            <w:vAlign w:val="bottom"/>
            <w:hideMark/>
          </w:tcPr>
          <w:p w14:paraId="5AB36B2A"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-1.389***</w:t>
            </w:r>
          </w:p>
        </w:tc>
      </w:tr>
      <w:tr w:rsidR="00D554BD" w:rsidRPr="00D554BD" w14:paraId="1A995B5A" w14:textId="77777777" w:rsidTr="00874EE0">
        <w:tc>
          <w:tcPr>
            <w:tcW w:w="3794" w:type="dxa"/>
          </w:tcPr>
          <w:p w14:paraId="4E159A13"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2DC4B96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(-117.62)</w:t>
            </w:r>
          </w:p>
        </w:tc>
        <w:tc>
          <w:tcPr>
            <w:tcW w:w="1701" w:type="dxa"/>
            <w:vAlign w:val="bottom"/>
            <w:hideMark/>
          </w:tcPr>
          <w:p w14:paraId="6F0A3B0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(-286.92)</w:t>
            </w:r>
          </w:p>
        </w:tc>
        <w:tc>
          <w:tcPr>
            <w:tcW w:w="1701" w:type="dxa"/>
            <w:vAlign w:val="bottom"/>
            <w:hideMark/>
          </w:tcPr>
          <w:p w14:paraId="768655E0"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(-255.10)</w:t>
            </w:r>
          </w:p>
        </w:tc>
      </w:tr>
      <w:tr w:rsidR="00D554BD" w:rsidRPr="00D554BD" w14:paraId="7CF38A64" w14:textId="77777777" w:rsidTr="00874EE0">
        <w:tc>
          <w:tcPr>
            <w:tcW w:w="3794" w:type="dxa"/>
            <w:hideMark/>
          </w:tcPr>
          <w:p w14:paraId="0852519B"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Agric. produce processing &amp; dealing</w:t>
            </w:r>
          </w:p>
        </w:tc>
        <w:tc>
          <w:tcPr>
            <w:tcW w:w="1984" w:type="dxa"/>
            <w:vAlign w:val="bottom"/>
            <w:hideMark/>
          </w:tcPr>
          <w:p w14:paraId="59116CD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-0.179***</w:t>
            </w:r>
          </w:p>
        </w:tc>
        <w:tc>
          <w:tcPr>
            <w:tcW w:w="1701" w:type="dxa"/>
            <w:vAlign w:val="bottom"/>
            <w:hideMark/>
          </w:tcPr>
          <w:p w14:paraId="0C89638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-0.342***</w:t>
            </w:r>
          </w:p>
        </w:tc>
        <w:tc>
          <w:tcPr>
            <w:tcW w:w="1701" w:type="dxa"/>
            <w:vAlign w:val="bottom"/>
            <w:hideMark/>
          </w:tcPr>
          <w:p w14:paraId="0DBBE95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0.167***</w:t>
            </w:r>
          </w:p>
        </w:tc>
      </w:tr>
      <w:tr w:rsidR="00D554BD" w:rsidRPr="00D554BD" w14:paraId="6CE989DA" w14:textId="77777777" w:rsidTr="00874EE0">
        <w:tc>
          <w:tcPr>
            <w:tcW w:w="3794" w:type="dxa"/>
          </w:tcPr>
          <w:p w14:paraId="26110BBA"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76FB998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(-10.91)</w:t>
            </w:r>
          </w:p>
        </w:tc>
        <w:tc>
          <w:tcPr>
            <w:tcW w:w="1701" w:type="dxa"/>
            <w:vAlign w:val="bottom"/>
            <w:hideMark/>
          </w:tcPr>
          <w:p w14:paraId="2D3E1B1A"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(-21.71)</w:t>
            </w:r>
          </w:p>
        </w:tc>
        <w:tc>
          <w:tcPr>
            <w:tcW w:w="1701" w:type="dxa"/>
            <w:vAlign w:val="bottom"/>
            <w:hideMark/>
          </w:tcPr>
          <w:p w14:paraId="42A2718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(9.82)</w:t>
            </w:r>
          </w:p>
        </w:tc>
      </w:tr>
      <w:tr w:rsidR="00D554BD" w:rsidRPr="00D554BD" w14:paraId="3D675244" w14:textId="77777777" w:rsidTr="00874EE0">
        <w:tc>
          <w:tcPr>
            <w:tcW w:w="3794" w:type="dxa"/>
            <w:hideMark/>
          </w:tcPr>
          <w:p w14:paraId="565A532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Food sales</w:t>
            </w:r>
          </w:p>
        </w:tc>
        <w:tc>
          <w:tcPr>
            <w:tcW w:w="1984" w:type="dxa"/>
            <w:vAlign w:val="bottom"/>
            <w:hideMark/>
          </w:tcPr>
          <w:p w14:paraId="6235BD3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-0.486***</w:t>
            </w:r>
          </w:p>
        </w:tc>
        <w:tc>
          <w:tcPr>
            <w:tcW w:w="1701" w:type="dxa"/>
            <w:vAlign w:val="bottom"/>
            <w:hideMark/>
          </w:tcPr>
          <w:p w14:paraId="42A9A97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-0.281***</w:t>
            </w:r>
          </w:p>
        </w:tc>
        <w:tc>
          <w:tcPr>
            <w:tcW w:w="1701" w:type="dxa"/>
            <w:vAlign w:val="bottom"/>
            <w:hideMark/>
          </w:tcPr>
          <w:p w14:paraId="01D75869"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-0.229***</w:t>
            </w:r>
          </w:p>
        </w:tc>
      </w:tr>
      <w:tr w:rsidR="00D554BD" w:rsidRPr="00D554BD" w14:paraId="4DED591E" w14:textId="77777777" w:rsidTr="00874EE0">
        <w:tc>
          <w:tcPr>
            <w:tcW w:w="3794" w:type="dxa"/>
          </w:tcPr>
          <w:p w14:paraId="3FCBD54B"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09C27FE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(-66.56)</w:t>
            </w:r>
          </w:p>
        </w:tc>
        <w:tc>
          <w:tcPr>
            <w:tcW w:w="1701" w:type="dxa"/>
            <w:vAlign w:val="bottom"/>
            <w:hideMark/>
          </w:tcPr>
          <w:p w14:paraId="05B0A83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(-35.05)</w:t>
            </w:r>
          </w:p>
        </w:tc>
        <w:tc>
          <w:tcPr>
            <w:tcW w:w="1701" w:type="dxa"/>
            <w:vAlign w:val="bottom"/>
            <w:hideMark/>
          </w:tcPr>
          <w:p w14:paraId="653218C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(-33.94)</w:t>
            </w:r>
          </w:p>
        </w:tc>
      </w:tr>
      <w:tr w:rsidR="00D554BD" w:rsidRPr="00D554BD" w14:paraId="760E353B" w14:textId="77777777" w:rsidTr="00874EE0">
        <w:tc>
          <w:tcPr>
            <w:tcW w:w="3794" w:type="dxa"/>
            <w:hideMark/>
          </w:tcPr>
          <w:p w14:paraId="2580B109"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Refreshment</w:t>
            </w:r>
          </w:p>
        </w:tc>
        <w:tc>
          <w:tcPr>
            <w:tcW w:w="1984" w:type="dxa"/>
            <w:vAlign w:val="bottom"/>
            <w:hideMark/>
          </w:tcPr>
          <w:p w14:paraId="551477A4"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-1.451***</w:t>
            </w:r>
          </w:p>
        </w:tc>
        <w:tc>
          <w:tcPr>
            <w:tcW w:w="1701" w:type="dxa"/>
            <w:vAlign w:val="bottom"/>
            <w:hideMark/>
          </w:tcPr>
          <w:p w14:paraId="0D3EB27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-0.693***</w:t>
            </w:r>
          </w:p>
        </w:tc>
        <w:tc>
          <w:tcPr>
            <w:tcW w:w="1701" w:type="dxa"/>
            <w:vAlign w:val="bottom"/>
            <w:hideMark/>
          </w:tcPr>
          <w:p w14:paraId="3951113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-0.977***</w:t>
            </w:r>
          </w:p>
        </w:tc>
      </w:tr>
      <w:tr w:rsidR="00D554BD" w:rsidRPr="00D554BD" w14:paraId="6F5A2748" w14:textId="77777777" w:rsidTr="00874EE0">
        <w:tc>
          <w:tcPr>
            <w:tcW w:w="3794" w:type="dxa"/>
          </w:tcPr>
          <w:p w14:paraId="1A1D18D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94F96A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(-200.77)</w:t>
            </w:r>
          </w:p>
        </w:tc>
        <w:tc>
          <w:tcPr>
            <w:tcW w:w="1701" w:type="dxa"/>
            <w:vAlign w:val="bottom"/>
            <w:hideMark/>
          </w:tcPr>
          <w:p w14:paraId="2D53394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(-75.96)</w:t>
            </w:r>
          </w:p>
        </w:tc>
        <w:tc>
          <w:tcPr>
            <w:tcW w:w="1701" w:type="dxa"/>
            <w:vAlign w:val="bottom"/>
            <w:hideMark/>
          </w:tcPr>
          <w:p w14:paraId="6CC8D32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(-145.02)</w:t>
            </w:r>
          </w:p>
        </w:tc>
      </w:tr>
      <w:tr w:rsidR="00D554BD" w:rsidRPr="00D554BD" w14:paraId="17150F62" w14:textId="77777777" w:rsidTr="00874EE0">
        <w:tc>
          <w:tcPr>
            <w:tcW w:w="3794" w:type="dxa"/>
            <w:hideMark/>
          </w:tcPr>
          <w:p w14:paraId="70A1EF5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Finance and commerce</w:t>
            </w:r>
          </w:p>
        </w:tc>
        <w:tc>
          <w:tcPr>
            <w:tcW w:w="1984" w:type="dxa"/>
            <w:vAlign w:val="bottom"/>
            <w:hideMark/>
          </w:tcPr>
          <w:p w14:paraId="0F68A685"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-0.605***</w:t>
            </w:r>
          </w:p>
        </w:tc>
        <w:tc>
          <w:tcPr>
            <w:tcW w:w="1701" w:type="dxa"/>
            <w:vAlign w:val="bottom"/>
            <w:hideMark/>
          </w:tcPr>
          <w:p w14:paraId="3CC8E6CD"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-2.142***</w:t>
            </w:r>
          </w:p>
        </w:tc>
        <w:tc>
          <w:tcPr>
            <w:tcW w:w="1701" w:type="dxa"/>
            <w:vAlign w:val="bottom"/>
            <w:hideMark/>
          </w:tcPr>
          <w:p w14:paraId="024B1FF1"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-0.527***</w:t>
            </w:r>
          </w:p>
        </w:tc>
      </w:tr>
      <w:tr w:rsidR="00D554BD" w:rsidRPr="00D554BD" w14:paraId="06169D8A" w14:textId="77777777" w:rsidTr="00874EE0">
        <w:tc>
          <w:tcPr>
            <w:tcW w:w="3794" w:type="dxa"/>
          </w:tcPr>
          <w:p w14:paraId="1DFBEA3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vAlign w:val="bottom"/>
            <w:hideMark/>
          </w:tcPr>
          <w:p w14:paraId="6455E32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(-51.85)</w:t>
            </w:r>
          </w:p>
        </w:tc>
        <w:tc>
          <w:tcPr>
            <w:tcW w:w="1701" w:type="dxa"/>
            <w:vAlign w:val="bottom"/>
            <w:hideMark/>
          </w:tcPr>
          <w:p w14:paraId="4DF82376"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(-272.98)</w:t>
            </w:r>
          </w:p>
        </w:tc>
        <w:tc>
          <w:tcPr>
            <w:tcW w:w="1701" w:type="dxa"/>
            <w:vAlign w:val="bottom"/>
            <w:hideMark/>
          </w:tcPr>
          <w:p w14:paraId="43754CF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(-60.02)</w:t>
            </w:r>
          </w:p>
        </w:tc>
      </w:tr>
      <w:tr w:rsidR="00D554BD" w:rsidRPr="00D554BD" w14:paraId="746B2C42" w14:textId="77777777" w:rsidTr="00874EE0">
        <w:tc>
          <w:tcPr>
            <w:tcW w:w="3794" w:type="dxa"/>
            <w:hideMark/>
          </w:tcPr>
          <w:p w14:paraId="2CA669A3"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Constant</w:t>
            </w:r>
          </w:p>
        </w:tc>
        <w:tc>
          <w:tcPr>
            <w:tcW w:w="1984" w:type="dxa"/>
            <w:vAlign w:val="bottom"/>
            <w:hideMark/>
          </w:tcPr>
          <w:p w14:paraId="072F5607"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3.349***</w:t>
            </w:r>
          </w:p>
        </w:tc>
        <w:tc>
          <w:tcPr>
            <w:tcW w:w="1701" w:type="dxa"/>
            <w:vAlign w:val="bottom"/>
            <w:hideMark/>
          </w:tcPr>
          <w:p w14:paraId="3E040CC8"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3.570***</w:t>
            </w:r>
          </w:p>
        </w:tc>
        <w:tc>
          <w:tcPr>
            <w:tcW w:w="1701" w:type="dxa"/>
            <w:vAlign w:val="bottom"/>
            <w:hideMark/>
          </w:tcPr>
          <w:p w14:paraId="3C6B1E03"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3.277***</w:t>
            </w:r>
          </w:p>
        </w:tc>
      </w:tr>
      <w:tr w:rsidR="00D554BD" w:rsidRPr="00D554BD" w14:paraId="4183F0DF" w14:textId="77777777" w:rsidTr="00874EE0">
        <w:tc>
          <w:tcPr>
            <w:tcW w:w="3794" w:type="dxa"/>
            <w:tcBorders>
              <w:top w:val="nil"/>
              <w:left w:val="nil"/>
              <w:bottom w:val="single" w:sz="4" w:space="0" w:color="auto"/>
              <w:right w:val="nil"/>
            </w:tcBorders>
          </w:tcPr>
          <w:p w14:paraId="4E8DD1A4"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p>
        </w:tc>
        <w:tc>
          <w:tcPr>
            <w:tcW w:w="1984" w:type="dxa"/>
            <w:tcBorders>
              <w:top w:val="nil"/>
              <w:left w:val="nil"/>
              <w:bottom w:val="single" w:sz="4" w:space="0" w:color="auto"/>
              <w:right w:val="nil"/>
            </w:tcBorders>
            <w:vAlign w:val="bottom"/>
            <w:hideMark/>
          </w:tcPr>
          <w:p w14:paraId="31B06F8C"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(688.34)</w:t>
            </w:r>
          </w:p>
        </w:tc>
        <w:tc>
          <w:tcPr>
            <w:tcW w:w="1701" w:type="dxa"/>
            <w:tcBorders>
              <w:top w:val="nil"/>
              <w:left w:val="nil"/>
              <w:bottom w:val="single" w:sz="4" w:space="0" w:color="auto"/>
              <w:right w:val="nil"/>
            </w:tcBorders>
            <w:vAlign w:val="bottom"/>
            <w:hideMark/>
          </w:tcPr>
          <w:p w14:paraId="58B42812"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(660.31)</w:t>
            </w:r>
          </w:p>
        </w:tc>
        <w:tc>
          <w:tcPr>
            <w:tcW w:w="1701" w:type="dxa"/>
            <w:tcBorders>
              <w:top w:val="nil"/>
              <w:left w:val="nil"/>
              <w:bottom w:val="single" w:sz="4" w:space="0" w:color="auto"/>
              <w:right w:val="nil"/>
            </w:tcBorders>
            <w:vAlign w:val="bottom"/>
            <w:hideMark/>
          </w:tcPr>
          <w:p w14:paraId="12722F0E" w14:textId="77777777" w:rsidR="00D554BD" w:rsidRPr="00D554BD" w:rsidRDefault="00D554BD" w:rsidP="00D554BD">
            <w:pPr>
              <w:spacing w:line="256" w:lineRule="auto"/>
              <w:jc w:val="center"/>
              <w:rPr>
                <w:rFonts w:ascii="Calibri" w:eastAsia="Calibri" w:hAnsi="Calibri" w:cs="Times New Roman"/>
                <w:color w:val="000000"/>
                <w:sz w:val="22"/>
                <w:lang w:val="en-US"/>
              </w:rPr>
            </w:pPr>
            <w:r w:rsidRPr="00D554BD">
              <w:rPr>
                <w:rFonts w:ascii="Calibri" w:eastAsia="Calibri" w:hAnsi="Calibri" w:cs="Times New Roman"/>
                <w:color w:val="000000"/>
                <w:sz w:val="22"/>
                <w:lang w:val="en-US"/>
              </w:rPr>
              <w:t>(725.11)</w:t>
            </w:r>
          </w:p>
        </w:tc>
      </w:tr>
      <w:tr w:rsidR="00D554BD" w:rsidRPr="00D554BD" w14:paraId="34C60CB5" w14:textId="77777777" w:rsidTr="00874EE0">
        <w:tc>
          <w:tcPr>
            <w:tcW w:w="3794" w:type="dxa"/>
            <w:tcBorders>
              <w:top w:val="single" w:sz="4" w:space="0" w:color="auto"/>
              <w:left w:val="nil"/>
              <w:bottom w:val="nil"/>
              <w:right w:val="nil"/>
            </w:tcBorders>
            <w:hideMark/>
          </w:tcPr>
          <w:p w14:paraId="7DBC6B1B"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Observations N</w:t>
            </w:r>
          </w:p>
        </w:tc>
        <w:tc>
          <w:tcPr>
            <w:tcW w:w="1984" w:type="dxa"/>
            <w:tcBorders>
              <w:top w:val="single" w:sz="4" w:space="0" w:color="auto"/>
              <w:left w:val="nil"/>
              <w:bottom w:val="nil"/>
              <w:right w:val="nil"/>
            </w:tcBorders>
            <w:hideMark/>
          </w:tcPr>
          <w:p w14:paraId="4065F1AE"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Calibri" w:cs="Times New Roman"/>
                <w:szCs w:val="24"/>
                <w:lang w:val="en-US"/>
              </w:rPr>
              <w:t>9,599,809</w:t>
            </w:r>
          </w:p>
        </w:tc>
        <w:tc>
          <w:tcPr>
            <w:tcW w:w="1701" w:type="dxa"/>
            <w:tcBorders>
              <w:top w:val="single" w:sz="4" w:space="0" w:color="auto"/>
              <w:left w:val="nil"/>
              <w:bottom w:val="nil"/>
              <w:right w:val="nil"/>
            </w:tcBorders>
            <w:hideMark/>
          </w:tcPr>
          <w:p w14:paraId="21F57841"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11,304,311</w:t>
            </w:r>
          </w:p>
        </w:tc>
        <w:tc>
          <w:tcPr>
            <w:tcW w:w="1701" w:type="dxa"/>
            <w:tcBorders>
              <w:top w:val="single" w:sz="4" w:space="0" w:color="auto"/>
              <w:left w:val="nil"/>
              <w:bottom w:val="nil"/>
              <w:right w:val="nil"/>
            </w:tcBorders>
            <w:hideMark/>
          </w:tcPr>
          <w:p w14:paraId="6113197F"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13,018,038</w:t>
            </w:r>
          </w:p>
        </w:tc>
      </w:tr>
      <w:tr w:rsidR="00D554BD" w:rsidRPr="00D554BD" w14:paraId="75CABD0E" w14:textId="77777777" w:rsidTr="00874EE0">
        <w:tc>
          <w:tcPr>
            <w:tcW w:w="3794" w:type="dxa"/>
            <w:tcBorders>
              <w:top w:val="nil"/>
              <w:left w:val="nil"/>
              <w:bottom w:val="single" w:sz="4" w:space="0" w:color="auto"/>
              <w:right w:val="nil"/>
            </w:tcBorders>
            <w:hideMark/>
          </w:tcPr>
          <w:p w14:paraId="2CE240FD" w14:textId="77777777" w:rsidR="00D554BD" w:rsidRPr="00D554BD" w:rsidRDefault="00D554BD" w:rsidP="00D554BD">
            <w:pPr>
              <w:widowControl w:val="0"/>
              <w:autoSpaceDE w:val="0"/>
              <w:autoSpaceDN w:val="0"/>
              <w:adjustRightInd w:val="0"/>
              <w:spacing w:line="256" w:lineRule="auto"/>
              <w:rPr>
                <w:rFonts w:eastAsia="Times New Roman" w:cs="Times New Roman"/>
                <w:szCs w:val="24"/>
                <w:lang w:val="en-US" w:eastAsia="en-GB"/>
              </w:rPr>
            </w:pPr>
            <w:r w:rsidRPr="00D554BD">
              <w:rPr>
                <w:rFonts w:eastAsia="Times New Roman" w:cs="Times New Roman"/>
                <w:szCs w:val="24"/>
                <w:lang w:val="en-US" w:eastAsia="en-GB"/>
              </w:rPr>
              <w:t xml:space="preserve">Pseudo </w:t>
            </w:r>
            <w:r w:rsidRPr="00D554BD">
              <w:rPr>
                <w:rFonts w:eastAsia="Times New Roman" w:cs="Times New Roman"/>
                <w:i/>
                <w:iCs/>
                <w:szCs w:val="24"/>
                <w:lang w:val="en-US" w:eastAsia="en-GB"/>
              </w:rPr>
              <w:t>R</w:t>
            </w:r>
            <w:r w:rsidRPr="00D554BD">
              <w:rPr>
                <w:rFonts w:eastAsia="Times New Roman" w:cs="Times New Roman"/>
                <w:szCs w:val="24"/>
                <w:vertAlign w:val="superscript"/>
                <w:lang w:val="en-US" w:eastAsia="en-GB"/>
              </w:rPr>
              <w:t>2</w:t>
            </w:r>
          </w:p>
        </w:tc>
        <w:tc>
          <w:tcPr>
            <w:tcW w:w="1984" w:type="dxa"/>
            <w:tcBorders>
              <w:top w:val="nil"/>
              <w:left w:val="nil"/>
              <w:bottom w:val="single" w:sz="4" w:space="0" w:color="auto"/>
              <w:right w:val="nil"/>
            </w:tcBorders>
            <w:hideMark/>
          </w:tcPr>
          <w:p w14:paraId="7EE3FD74"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Calibri" w:cs="Times New Roman"/>
                <w:szCs w:val="24"/>
                <w:lang w:val="en-US"/>
              </w:rPr>
              <w:t>0.085</w:t>
            </w:r>
          </w:p>
        </w:tc>
        <w:tc>
          <w:tcPr>
            <w:tcW w:w="1701" w:type="dxa"/>
            <w:tcBorders>
              <w:top w:val="nil"/>
              <w:left w:val="nil"/>
              <w:bottom w:val="single" w:sz="4" w:space="0" w:color="auto"/>
              <w:right w:val="nil"/>
            </w:tcBorders>
            <w:hideMark/>
          </w:tcPr>
          <w:p w14:paraId="0B7F394A"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0.097</w:t>
            </w:r>
          </w:p>
        </w:tc>
        <w:tc>
          <w:tcPr>
            <w:tcW w:w="1701" w:type="dxa"/>
            <w:tcBorders>
              <w:top w:val="nil"/>
              <w:left w:val="nil"/>
              <w:bottom w:val="single" w:sz="4" w:space="0" w:color="auto"/>
              <w:right w:val="nil"/>
            </w:tcBorders>
            <w:hideMark/>
          </w:tcPr>
          <w:p w14:paraId="2AC57FF6" w14:textId="77777777" w:rsidR="00D554BD" w:rsidRPr="00D554BD" w:rsidRDefault="00D554BD" w:rsidP="00D554BD">
            <w:pPr>
              <w:widowControl w:val="0"/>
              <w:autoSpaceDE w:val="0"/>
              <w:autoSpaceDN w:val="0"/>
              <w:adjustRightInd w:val="0"/>
              <w:spacing w:line="256" w:lineRule="auto"/>
              <w:jc w:val="center"/>
              <w:rPr>
                <w:rFonts w:eastAsia="Times New Roman" w:cs="Times New Roman"/>
                <w:szCs w:val="24"/>
                <w:lang w:val="en-US" w:eastAsia="en-GB"/>
              </w:rPr>
            </w:pPr>
            <w:r w:rsidRPr="00D554BD">
              <w:rPr>
                <w:rFonts w:eastAsia="Times New Roman" w:cs="Times New Roman"/>
                <w:szCs w:val="24"/>
                <w:lang w:val="en-US" w:eastAsia="en-GB"/>
              </w:rPr>
              <w:t>0.085</w:t>
            </w:r>
          </w:p>
        </w:tc>
      </w:tr>
    </w:tbl>
    <w:p w14:paraId="7DC3C73B" w14:textId="77777777" w:rsidR="00D554BD" w:rsidRPr="00D554BD" w:rsidRDefault="00D554BD" w:rsidP="00D554BD">
      <w:pPr>
        <w:spacing w:line="360" w:lineRule="auto"/>
        <w:jc w:val="both"/>
        <w:rPr>
          <w:rFonts w:eastAsia="Calibri" w:cs="Times New Roman"/>
        </w:rPr>
      </w:pPr>
    </w:p>
    <w:p w14:paraId="5ABF1A18" w14:textId="77777777" w:rsidR="00D554BD" w:rsidRPr="00D554BD" w:rsidRDefault="00D554BD" w:rsidP="00D554BD">
      <w:pPr>
        <w:spacing w:line="360" w:lineRule="auto"/>
        <w:jc w:val="both"/>
        <w:rPr>
          <w:rFonts w:eastAsia="Times New Roman" w:cs="Times New Roman"/>
          <w:b/>
          <w:iCs/>
          <w:szCs w:val="24"/>
          <w:lang w:val="en-US" w:eastAsia="en-GB"/>
        </w:rPr>
      </w:pPr>
      <w:proofErr w:type="gramStart"/>
      <w:r w:rsidRPr="00D554BD">
        <w:rPr>
          <w:rFonts w:eastAsia="Calibri" w:cs="Times New Roman"/>
          <w:b/>
        </w:rPr>
        <w:t>Table 2.</w:t>
      </w:r>
      <w:proofErr w:type="gramEnd"/>
      <w:r w:rsidRPr="00D554BD">
        <w:rPr>
          <w:rFonts w:eastAsia="Calibri" w:cs="Times New Roman"/>
          <w:b/>
        </w:rPr>
        <w:t xml:space="preserve">  </w:t>
      </w:r>
      <w:r w:rsidRPr="00D554BD">
        <w:rPr>
          <w:rFonts w:eastAsia="Calibri" w:cs="Times New Roman"/>
        </w:rPr>
        <w:t xml:space="preserve">Estimates of the weighted logit regression 1891-1911 used to reallocate non-respondents. The estimates give the probability </w:t>
      </w:r>
      <w:r w:rsidRPr="00D554BD">
        <w:rPr>
          <w:rFonts w:eastAsia="Times New Roman" w:cs="Times New Roman"/>
          <w:iCs/>
          <w:szCs w:val="24"/>
          <w:lang w:val="en-US" w:eastAsia="en-GB"/>
        </w:rPr>
        <w:t xml:space="preserve">a response (non-blank employment status); I-CeM RELA relationship codes are simplified to nine categories (CFU is a member of the continuous family unit), working titles relate to assistants or employees of the business head, unknown are those where no RELA code is given (which includes visitors on Census night). </w:t>
      </w:r>
      <w:r w:rsidRPr="00D554BD">
        <w:rPr>
          <w:rFonts w:eastAsia="Times New Roman" w:cs="Times New Roman"/>
          <w:b/>
          <w:iCs/>
          <w:szCs w:val="24"/>
          <w:lang w:val="en-US" w:eastAsia="en-GB"/>
        </w:rPr>
        <w:t xml:space="preserve"> </w:t>
      </w:r>
      <w:r w:rsidRPr="00D554BD">
        <w:rPr>
          <w:rFonts w:eastAsia="Times New Roman" w:cs="Times New Roman"/>
          <w:iCs/>
          <w:szCs w:val="24"/>
          <w:lang w:val="en-US" w:eastAsia="en-GB"/>
        </w:rPr>
        <w:t>*** indicates that estimates are significant at the 99.9% significance level.</w:t>
      </w:r>
    </w:p>
    <w:p w14:paraId="1F4A2F82" w14:textId="4FE912F6" w:rsidR="001E7990" w:rsidRDefault="001E7990" w:rsidP="002726CD">
      <w:pPr>
        <w:spacing w:line="360" w:lineRule="auto"/>
        <w:jc w:val="both"/>
      </w:pPr>
    </w:p>
    <w:p w14:paraId="7C0D4DB0" w14:textId="40498D65" w:rsidR="001E7990" w:rsidRDefault="001E7990" w:rsidP="002B6E49">
      <w:pPr>
        <w:spacing w:before="240" w:line="360" w:lineRule="auto"/>
        <w:jc w:val="both"/>
      </w:pPr>
      <w:r>
        <w:t xml:space="preserve">Table 3 </w:t>
      </w:r>
      <w:r w:rsidR="0067712D">
        <w:t>give</w:t>
      </w:r>
      <w:r>
        <w:t xml:space="preserve">s estimates of total </w:t>
      </w:r>
      <w:r w:rsidR="00BF3344">
        <w:t>proprietor</w:t>
      </w:r>
      <w:r w:rsidR="00110D1B">
        <w:t xml:space="preserve"> </w:t>
      </w:r>
      <w:r>
        <w:t xml:space="preserve">numbers for 1901-1911 in rows </w:t>
      </w:r>
      <w:r w:rsidR="00BF3344">
        <w:t>2</w:t>
      </w:r>
      <w:r>
        <w:t xml:space="preserve"> and </w:t>
      </w:r>
      <w:r w:rsidR="00BF3344">
        <w:t>4</w:t>
      </w:r>
      <w:r>
        <w:t>, a</w:t>
      </w:r>
      <w:r w:rsidRPr="005E4745">
        <w:t>fter we</w:t>
      </w:r>
      <w:r>
        <w:t>ighting for non-response bias. For 1891 the corrections for non-response bias have to be undertaken after correction for upward bias</w:t>
      </w:r>
      <w:r w:rsidR="00BF3344">
        <w:t xml:space="preserve"> (row 7)</w:t>
      </w:r>
      <w:r>
        <w:t xml:space="preserve">, discussed later below. The estimates for 1901-11 increase estimated employer and own account numbers by 7-13%. Worker numbers are also increased, so that the estimated totally economically active is 5% higher in 1901 and 6% higher in 1911 after taking account of non-respondents. </w:t>
      </w:r>
      <w:r w:rsidR="003D665F">
        <w:t>The Table also reports upper and lower bounds for the estimates, as discussed later below.</w:t>
      </w:r>
    </w:p>
    <w:p w14:paraId="322EC4FC" w14:textId="77777777" w:rsidR="001E7990" w:rsidRDefault="001E7990" w:rsidP="002B6E49">
      <w:pPr>
        <w:spacing w:line="360" w:lineRule="auto"/>
        <w:jc w:val="both"/>
        <w:rPr>
          <w:rFonts w:cs="Times New Roman"/>
          <w:b/>
        </w:rPr>
      </w:pPr>
    </w:p>
    <w:tbl>
      <w:tblPr>
        <w:tblW w:w="13149" w:type="dxa"/>
        <w:tblLook w:val="04A0" w:firstRow="1" w:lastRow="0" w:firstColumn="1" w:lastColumn="0" w:noHBand="0" w:noVBand="1"/>
      </w:tblPr>
      <w:tblGrid>
        <w:gridCol w:w="1820"/>
        <w:gridCol w:w="1690"/>
        <w:gridCol w:w="2268"/>
        <w:gridCol w:w="2552"/>
        <w:gridCol w:w="2268"/>
        <w:gridCol w:w="2551"/>
      </w:tblGrid>
      <w:tr w:rsidR="0065509F" w:rsidRPr="0065509F" w14:paraId="56170005" w14:textId="77777777" w:rsidTr="00874EE0">
        <w:trPr>
          <w:trHeight w:val="660"/>
        </w:trPr>
        <w:tc>
          <w:tcPr>
            <w:tcW w:w="1820" w:type="dxa"/>
            <w:tcBorders>
              <w:top w:val="single" w:sz="12" w:space="0" w:color="auto"/>
              <w:left w:val="single" w:sz="8" w:space="0" w:color="auto"/>
              <w:bottom w:val="single" w:sz="12" w:space="0" w:color="auto"/>
              <w:right w:val="single" w:sz="8" w:space="0" w:color="auto"/>
            </w:tcBorders>
            <w:shd w:val="clear" w:color="auto" w:fill="auto"/>
            <w:vAlign w:val="center"/>
            <w:hideMark/>
          </w:tcPr>
          <w:p w14:paraId="2AC3F206" w14:textId="77777777" w:rsidR="0065509F" w:rsidRPr="0065509F" w:rsidRDefault="0065509F" w:rsidP="0065509F">
            <w:pPr>
              <w:rPr>
                <w:rFonts w:eastAsia="Times New Roman" w:cs="Times New Roman"/>
                <w:color w:val="000000"/>
                <w:szCs w:val="24"/>
                <w:lang w:eastAsia="en-GB"/>
              </w:rPr>
            </w:pPr>
            <w:r w:rsidRPr="0065509F">
              <w:rPr>
                <w:rFonts w:eastAsia="Times New Roman" w:cs="Times New Roman"/>
                <w:color w:val="000000"/>
                <w:szCs w:val="24"/>
                <w:lang w:eastAsia="en-GB"/>
              </w:rPr>
              <w:lastRenderedPageBreak/>
              <w:t> </w:t>
            </w:r>
          </w:p>
        </w:tc>
        <w:tc>
          <w:tcPr>
            <w:tcW w:w="1690" w:type="dxa"/>
            <w:tcBorders>
              <w:top w:val="single" w:sz="12" w:space="0" w:color="auto"/>
              <w:left w:val="nil"/>
              <w:bottom w:val="single" w:sz="12" w:space="0" w:color="auto"/>
              <w:right w:val="single" w:sz="8" w:space="0" w:color="auto"/>
            </w:tcBorders>
            <w:shd w:val="clear" w:color="auto" w:fill="auto"/>
            <w:vAlign w:val="center"/>
            <w:hideMark/>
          </w:tcPr>
          <w:p w14:paraId="3A288A79" w14:textId="77777777" w:rsidR="0065509F" w:rsidRPr="0065509F" w:rsidRDefault="0065509F" w:rsidP="0065509F">
            <w:pPr>
              <w:jc w:val="center"/>
              <w:rPr>
                <w:rFonts w:eastAsia="Times New Roman" w:cs="Times New Roman"/>
                <w:color w:val="000000"/>
                <w:szCs w:val="24"/>
                <w:lang w:eastAsia="en-GB"/>
              </w:rPr>
            </w:pPr>
            <w:r w:rsidRPr="0065509F">
              <w:rPr>
                <w:rFonts w:eastAsia="Times New Roman" w:cs="Times New Roman"/>
                <w:color w:val="000000"/>
                <w:szCs w:val="24"/>
                <w:lang w:eastAsia="en-GB"/>
              </w:rPr>
              <w:t>Employers</w:t>
            </w:r>
          </w:p>
        </w:tc>
        <w:tc>
          <w:tcPr>
            <w:tcW w:w="2268" w:type="dxa"/>
            <w:tcBorders>
              <w:top w:val="single" w:sz="12" w:space="0" w:color="auto"/>
              <w:left w:val="nil"/>
              <w:bottom w:val="single" w:sz="12" w:space="0" w:color="auto"/>
              <w:right w:val="single" w:sz="8" w:space="0" w:color="auto"/>
            </w:tcBorders>
            <w:shd w:val="clear" w:color="auto" w:fill="auto"/>
            <w:vAlign w:val="center"/>
            <w:hideMark/>
          </w:tcPr>
          <w:p w14:paraId="405529EF" w14:textId="77777777" w:rsidR="0065509F" w:rsidRPr="0065509F" w:rsidRDefault="0065509F" w:rsidP="0065509F">
            <w:pPr>
              <w:jc w:val="center"/>
              <w:rPr>
                <w:rFonts w:eastAsia="Times New Roman" w:cs="Times New Roman"/>
                <w:color w:val="000000"/>
                <w:szCs w:val="24"/>
                <w:lang w:eastAsia="en-GB"/>
              </w:rPr>
            </w:pPr>
            <w:r w:rsidRPr="0065509F">
              <w:rPr>
                <w:rFonts w:eastAsia="Times New Roman" w:cs="Times New Roman"/>
                <w:color w:val="000000"/>
                <w:szCs w:val="24"/>
                <w:lang w:eastAsia="en-GB"/>
              </w:rPr>
              <w:t>Own account</w:t>
            </w:r>
          </w:p>
        </w:tc>
        <w:tc>
          <w:tcPr>
            <w:tcW w:w="2552" w:type="dxa"/>
            <w:tcBorders>
              <w:top w:val="single" w:sz="12" w:space="0" w:color="auto"/>
              <w:left w:val="nil"/>
              <w:bottom w:val="single" w:sz="12" w:space="0" w:color="auto"/>
              <w:right w:val="single" w:sz="8" w:space="0" w:color="auto"/>
            </w:tcBorders>
            <w:shd w:val="clear" w:color="auto" w:fill="auto"/>
            <w:vAlign w:val="center"/>
            <w:hideMark/>
          </w:tcPr>
          <w:p w14:paraId="1E3697D5" w14:textId="77777777" w:rsidR="0065509F" w:rsidRPr="0065509F" w:rsidRDefault="0065509F" w:rsidP="0065509F">
            <w:pPr>
              <w:jc w:val="center"/>
              <w:rPr>
                <w:rFonts w:eastAsia="Times New Roman" w:cs="Times New Roman"/>
                <w:color w:val="000000"/>
                <w:szCs w:val="24"/>
                <w:lang w:eastAsia="en-GB"/>
              </w:rPr>
            </w:pPr>
            <w:r w:rsidRPr="0065509F">
              <w:rPr>
                <w:rFonts w:eastAsia="Times New Roman" w:cs="Times New Roman"/>
                <w:color w:val="000000"/>
                <w:szCs w:val="24"/>
                <w:lang w:eastAsia="en-GB"/>
              </w:rPr>
              <w:t>Workers</w:t>
            </w:r>
          </w:p>
        </w:tc>
        <w:tc>
          <w:tcPr>
            <w:tcW w:w="2268" w:type="dxa"/>
            <w:tcBorders>
              <w:top w:val="single" w:sz="12" w:space="0" w:color="auto"/>
              <w:left w:val="nil"/>
              <w:bottom w:val="single" w:sz="12" w:space="0" w:color="auto"/>
              <w:right w:val="single" w:sz="8" w:space="0" w:color="auto"/>
            </w:tcBorders>
            <w:shd w:val="clear" w:color="auto" w:fill="auto"/>
            <w:vAlign w:val="center"/>
            <w:hideMark/>
          </w:tcPr>
          <w:p w14:paraId="2F6B9056" w14:textId="77777777" w:rsidR="0065509F" w:rsidRPr="0065509F" w:rsidRDefault="0065509F" w:rsidP="0065509F">
            <w:pPr>
              <w:jc w:val="center"/>
              <w:rPr>
                <w:rFonts w:eastAsia="Times New Roman" w:cs="Times New Roman"/>
                <w:color w:val="000000"/>
                <w:szCs w:val="24"/>
                <w:lang w:eastAsia="en-GB"/>
              </w:rPr>
            </w:pPr>
            <w:r w:rsidRPr="0065509F">
              <w:rPr>
                <w:rFonts w:eastAsia="Times New Roman" w:cs="Times New Roman"/>
                <w:color w:val="000000"/>
                <w:szCs w:val="24"/>
                <w:lang w:eastAsia="en-GB"/>
              </w:rPr>
              <w:t xml:space="preserve">Total employers and own account </w:t>
            </w:r>
          </w:p>
        </w:tc>
        <w:tc>
          <w:tcPr>
            <w:tcW w:w="2551" w:type="dxa"/>
            <w:tcBorders>
              <w:top w:val="single" w:sz="12" w:space="0" w:color="auto"/>
              <w:left w:val="nil"/>
              <w:bottom w:val="single" w:sz="12" w:space="0" w:color="auto"/>
              <w:right w:val="single" w:sz="8" w:space="0" w:color="auto"/>
            </w:tcBorders>
            <w:shd w:val="clear" w:color="auto" w:fill="auto"/>
            <w:vAlign w:val="center"/>
            <w:hideMark/>
          </w:tcPr>
          <w:p w14:paraId="4C8CF16F" w14:textId="77777777" w:rsidR="0065509F" w:rsidRPr="0065509F" w:rsidRDefault="0065509F" w:rsidP="0065509F">
            <w:pPr>
              <w:jc w:val="center"/>
              <w:rPr>
                <w:rFonts w:eastAsia="Times New Roman" w:cs="Times New Roman"/>
                <w:color w:val="000000"/>
                <w:szCs w:val="24"/>
                <w:lang w:eastAsia="en-GB"/>
              </w:rPr>
            </w:pPr>
            <w:r w:rsidRPr="0065509F">
              <w:rPr>
                <w:rFonts w:eastAsia="Times New Roman" w:cs="Times New Roman"/>
                <w:color w:val="000000"/>
                <w:szCs w:val="24"/>
                <w:lang w:eastAsia="en-GB"/>
              </w:rPr>
              <w:t xml:space="preserve">Total all economically occupied  </w:t>
            </w:r>
          </w:p>
        </w:tc>
      </w:tr>
      <w:tr w:rsidR="0065509F" w:rsidRPr="0065509F" w14:paraId="7D75E51F" w14:textId="77777777" w:rsidTr="00874EE0">
        <w:trPr>
          <w:trHeight w:val="66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4B68B1B5" w14:textId="77777777" w:rsidR="0065509F" w:rsidRPr="0065509F" w:rsidRDefault="0065509F" w:rsidP="0065509F">
            <w:pPr>
              <w:rPr>
                <w:rFonts w:eastAsia="Times New Roman" w:cs="Times New Roman"/>
                <w:color w:val="000000"/>
                <w:szCs w:val="24"/>
                <w:lang w:eastAsia="en-GB"/>
              </w:rPr>
            </w:pPr>
            <w:r w:rsidRPr="0065509F">
              <w:rPr>
                <w:rFonts w:eastAsia="Times New Roman" w:cs="Times New Roman"/>
                <w:color w:val="000000"/>
                <w:szCs w:val="24"/>
                <w:lang w:eastAsia="en-GB"/>
              </w:rPr>
              <w:t>1911 cleaned actual (I-CeM)</w:t>
            </w:r>
          </w:p>
        </w:tc>
        <w:tc>
          <w:tcPr>
            <w:tcW w:w="1690" w:type="dxa"/>
            <w:tcBorders>
              <w:top w:val="nil"/>
              <w:left w:val="nil"/>
              <w:bottom w:val="single" w:sz="8" w:space="0" w:color="auto"/>
              <w:right w:val="single" w:sz="8" w:space="0" w:color="auto"/>
            </w:tcBorders>
            <w:shd w:val="clear" w:color="auto" w:fill="auto"/>
            <w:vAlign w:val="center"/>
            <w:hideMark/>
          </w:tcPr>
          <w:p w14:paraId="0A764A31"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682 [680-684]</w:t>
            </w:r>
          </w:p>
        </w:tc>
        <w:tc>
          <w:tcPr>
            <w:tcW w:w="2268" w:type="dxa"/>
            <w:tcBorders>
              <w:top w:val="nil"/>
              <w:left w:val="nil"/>
              <w:bottom w:val="single" w:sz="8" w:space="0" w:color="auto"/>
              <w:right w:val="single" w:sz="8" w:space="0" w:color="auto"/>
            </w:tcBorders>
            <w:shd w:val="clear" w:color="auto" w:fill="auto"/>
            <w:vAlign w:val="center"/>
            <w:hideMark/>
          </w:tcPr>
          <w:p w14:paraId="770900AE"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1,003 [1,002-1,005]</w:t>
            </w:r>
          </w:p>
        </w:tc>
        <w:tc>
          <w:tcPr>
            <w:tcW w:w="2552" w:type="dxa"/>
            <w:tcBorders>
              <w:top w:val="nil"/>
              <w:left w:val="nil"/>
              <w:bottom w:val="single" w:sz="8" w:space="0" w:color="auto"/>
              <w:right w:val="single" w:sz="8" w:space="0" w:color="auto"/>
            </w:tcBorders>
            <w:shd w:val="clear" w:color="auto" w:fill="auto"/>
            <w:vAlign w:val="center"/>
            <w:hideMark/>
          </w:tcPr>
          <w:p w14:paraId="2F6C0CF9"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13,490 [13,487-13,492]</w:t>
            </w:r>
          </w:p>
        </w:tc>
        <w:tc>
          <w:tcPr>
            <w:tcW w:w="2268" w:type="dxa"/>
            <w:tcBorders>
              <w:top w:val="nil"/>
              <w:left w:val="nil"/>
              <w:bottom w:val="single" w:sz="8" w:space="0" w:color="auto"/>
              <w:right w:val="single" w:sz="8" w:space="0" w:color="auto"/>
            </w:tcBorders>
            <w:shd w:val="clear" w:color="auto" w:fill="auto"/>
            <w:vAlign w:val="center"/>
            <w:hideMark/>
          </w:tcPr>
          <w:p w14:paraId="5F3A6660"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1,685 [1,682-1,689]</w:t>
            </w:r>
          </w:p>
        </w:tc>
        <w:tc>
          <w:tcPr>
            <w:tcW w:w="2551" w:type="dxa"/>
            <w:tcBorders>
              <w:top w:val="nil"/>
              <w:left w:val="nil"/>
              <w:bottom w:val="single" w:sz="8" w:space="0" w:color="auto"/>
              <w:right w:val="single" w:sz="8" w:space="0" w:color="auto"/>
            </w:tcBorders>
            <w:shd w:val="clear" w:color="auto" w:fill="auto"/>
            <w:vAlign w:val="center"/>
            <w:hideMark/>
          </w:tcPr>
          <w:p w14:paraId="5E765A5F"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 xml:space="preserve">15,175 [15,169-15,181] </w:t>
            </w:r>
          </w:p>
        </w:tc>
      </w:tr>
      <w:tr w:rsidR="0065509F" w:rsidRPr="0065509F" w14:paraId="4355EB7B" w14:textId="77777777" w:rsidTr="00874EE0">
        <w:trPr>
          <w:trHeight w:val="930"/>
        </w:trPr>
        <w:tc>
          <w:tcPr>
            <w:tcW w:w="1820" w:type="dxa"/>
            <w:tcBorders>
              <w:top w:val="nil"/>
              <w:left w:val="single" w:sz="8" w:space="0" w:color="auto"/>
              <w:bottom w:val="nil"/>
              <w:right w:val="single" w:sz="8" w:space="0" w:color="auto"/>
            </w:tcBorders>
            <w:shd w:val="clear" w:color="auto" w:fill="auto"/>
            <w:vAlign w:val="center"/>
            <w:hideMark/>
          </w:tcPr>
          <w:p w14:paraId="2EE3C4B5"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1911 after reweighting for non-response</w:t>
            </w:r>
          </w:p>
        </w:tc>
        <w:tc>
          <w:tcPr>
            <w:tcW w:w="1690" w:type="dxa"/>
            <w:tcBorders>
              <w:top w:val="nil"/>
              <w:left w:val="nil"/>
              <w:bottom w:val="nil"/>
              <w:right w:val="single" w:sz="8" w:space="0" w:color="auto"/>
            </w:tcBorders>
            <w:shd w:val="clear" w:color="auto" w:fill="auto"/>
            <w:vAlign w:val="center"/>
            <w:hideMark/>
          </w:tcPr>
          <w:p w14:paraId="72FE23B3"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742 [740-743]</w:t>
            </w:r>
          </w:p>
        </w:tc>
        <w:tc>
          <w:tcPr>
            <w:tcW w:w="2268" w:type="dxa"/>
            <w:tcBorders>
              <w:top w:val="nil"/>
              <w:left w:val="nil"/>
              <w:bottom w:val="nil"/>
              <w:right w:val="single" w:sz="8" w:space="0" w:color="auto"/>
            </w:tcBorders>
            <w:shd w:val="clear" w:color="auto" w:fill="auto"/>
            <w:vAlign w:val="center"/>
            <w:hideMark/>
          </w:tcPr>
          <w:p w14:paraId="1AAC82F7"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1,138 [1,132-1,144]</w:t>
            </w:r>
          </w:p>
        </w:tc>
        <w:tc>
          <w:tcPr>
            <w:tcW w:w="2552" w:type="dxa"/>
            <w:tcBorders>
              <w:top w:val="nil"/>
              <w:left w:val="nil"/>
              <w:bottom w:val="nil"/>
              <w:right w:val="single" w:sz="8" w:space="0" w:color="auto"/>
            </w:tcBorders>
            <w:shd w:val="clear" w:color="auto" w:fill="auto"/>
            <w:vAlign w:val="center"/>
            <w:hideMark/>
          </w:tcPr>
          <w:p w14:paraId="6728F7CC"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14,149 [14,146-14,151]</w:t>
            </w:r>
          </w:p>
        </w:tc>
        <w:tc>
          <w:tcPr>
            <w:tcW w:w="2268" w:type="dxa"/>
            <w:tcBorders>
              <w:top w:val="nil"/>
              <w:left w:val="nil"/>
              <w:bottom w:val="nil"/>
              <w:right w:val="single" w:sz="8" w:space="0" w:color="auto"/>
            </w:tcBorders>
            <w:shd w:val="clear" w:color="auto" w:fill="auto"/>
            <w:vAlign w:val="center"/>
            <w:hideMark/>
          </w:tcPr>
          <w:p w14:paraId="29B7448C"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1,879 [1,971-1,886]</w:t>
            </w:r>
          </w:p>
        </w:tc>
        <w:tc>
          <w:tcPr>
            <w:tcW w:w="2551" w:type="dxa"/>
            <w:tcBorders>
              <w:top w:val="nil"/>
              <w:left w:val="nil"/>
              <w:bottom w:val="nil"/>
              <w:right w:val="single" w:sz="8" w:space="0" w:color="auto"/>
            </w:tcBorders>
            <w:shd w:val="clear" w:color="auto" w:fill="auto"/>
            <w:vAlign w:val="center"/>
            <w:hideMark/>
          </w:tcPr>
          <w:p w14:paraId="76CD76DD"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16,028 [16,017-16,037]</w:t>
            </w:r>
          </w:p>
        </w:tc>
      </w:tr>
      <w:tr w:rsidR="0065509F" w:rsidRPr="0065509F" w14:paraId="1D82211E" w14:textId="77777777" w:rsidTr="00874EE0">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52379670"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 </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39932ED7"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39.5%</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5E78B403"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60.5%</w:t>
            </w:r>
          </w:p>
        </w:tc>
        <w:tc>
          <w:tcPr>
            <w:tcW w:w="2552" w:type="dxa"/>
            <w:tcBorders>
              <w:top w:val="nil"/>
              <w:left w:val="nil"/>
              <w:bottom w:val="single" w:sz="8" w:space="0" w:color="auto"/>
              <w:right w:val="single" w:sz="8" w:space="0" w:color="auto"/>
            </w:tcBorders>
            <w:shd w:val="clear" w:color="auto" w:fill="auto"/>
            <w:vAlign w:val="center"/>
            <w:hideMark/>
          </w:tcPr>
          <w:p w14:paraId="579EC2FC"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0AB2CF8"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100%</w:t>
            </w:r>
          </w:p>
        </w:tc>
        <w:tc>
          <w:tcPr>
            <w:tcW w:w="2551" w:type="dxa"/>
            <w:tcBorders>
              <w:top w:val="nil"/>
              <w:left w:val="nil"/>
              <w:bottom w:val="single" w:sz="8" w:space="0" w:color="auto"/>
              <w:right w:val="single" w:sz="8" w:space="0" w:color="auto"/>
            </w:tcBorders>
            <w:shd w:val="clear" w:color="auto" w:fill="auto"/>
            <w:vAlign w:val="center"/>
            <w:hideMark/>
          </w:tcPr>
          <w:p w14:paraId="41E8DD64"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r>
      <w:tr w:rsidR="0065509F" w:rsidRPr="0065509F" w14:paraId="14B96892" w14:textId="77777777" w:rsidTr="00874EE0">
        <w:trPr>
          <w:trHeight w:val="60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243D4E66"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1901 cleaned actual (I-CeM)</w:t>
            </w:r>
          </w:p>
        </w:tc>
        <w:tc>
          <w:tcPr>
            <w:tcW w:w="1690" w:type="dxa"/>
            <w:tcBorders>
              <w:top w:val="nil"/>
              <w:left w:val="nil"/>
              <w:bottom w:val="single" w:sz="8" w:space="0" w:color="auto"/>
              <w:right w:val="single" w:sz="8" w:space="0" w:color="auto"/>
            </w:tcBorders>
            <w:shd w:val="clear" w:color="auto" w:fill="auto"/>
            <w:vAlign w:val="center"/>
            <w:hideMark/>
          </w:tcPr>
          <w:p w14:paraId="5EF55201"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555 [553-556]</w:t>
            </w:r>
          </w:p>
        </w:tc>
        <w:tc>
          <w:tcPr>
            <w:tcW w:w="2268" w:type="dxa"/>
            <w:tcBorders>
              <w:top w:val="nil"/>
              <w:left w:val="nil"/>
              <w:bottom w:val="single" w:sz="8" w:space="0" w:color="auto"/>
              <w:right w:val="single" w:sz="8" w:space="0" w:color="auto"/>
            </w:tcBorders>
            <w:shd w:val="clear" w:color="auto" w:fill="auto"/>
            <w:vAlign w:val="center"/>
            <w:hideMark/>
          </w:tcPr>
          <w:p w14:paraId="0457DDFD"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1,140 [1,138-1,142]</w:t>
            </w:r>
          </w:p>
        </w:tc>
        <w:tc>
          <w:tcPr>
            <w:tcW w:w="2552" w:type="dxa"/>
            <w:tcBorders>
              <w:top w:val="nil"/>
              <w:left w:val="nil"/>
              <w:bottom w:val="single" w:sz="8" w:space="0" w:color="auto"/>
              <w:right w:val="single" w:sz="8" w:space="0" w:color="auto"/>
            </w:tcBorders>
            <w:shd w:val="clear" w:color="auto" w:fill="auto"/>
            <w:vAlign w:val="center"/>
            <w:hideMark/>
          </w:tcPr>
          <w:p w14:paraId="39EBDC6C"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11,470 [11,467-11,472]</w:t>
            </w:r>
          </w:p>
        </w:tc>
        <w:tc>
          <w:tcPr>
            <w:tcW w:w="2268" w:type="dxa"/>
            <w:tcBorders>
              <w:top w:val="nil"/>
              <w:left w:val="nil"/>
              <w:bottom w:val="single" w:sz="8" w:space="0" w:color="auto"/>
              <w:right w:val="single" w:sz="8" w:space="0" w:color="auto"/>
            </w:tcBorders>
            <w:shd w:val="clear" w:color="auto" w:fill="auto"/>
            <w:vAlign w:val="center"/>
            <w:hideMark/>
          </w:tcPr>
          <w:p w14:paraId="2873E6D7"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1,695 [1691-1698]</w:t>
            </w:r>
          </w:p>
        </w:tc>
        <w:tc>
          <w:tcPr>
            <w:tcW w:w="2551" w:type="dxa"/>
            <w:tcBorders>
              <w:top w:val="nil"/>
              <w:left w:val="nil"/>
              <w:bottom w:val="single" w:sz="8" w:space="0" w:color="auto"/>
              <w:right w:val="single" w:sz="8" w:space="0" w:color="auto"/>
            </w:tcBorders>
            <w:shd w:val="clear" w:color="auto" w:fill="auto"/>
            <w:vAlign w:val="center"/>
            <w:hideMark/>
          </w:tcPr>
          <w:p w14:paraId="016B8426"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13,165 [13,157-13,170]</w:t>
            </w:r>
          </w:p>
        </w:tc>
      </w:tr>
      <w:tr w:rsidR="0065509F" w:rsidRPr="0065509F" w14:paraId="63DA7AA9" w14:textId="77777777" w:rsidTr="00874EE0">
        <w:trPr>
          <w:trHeight w:val="915"/>
        </w:trPr>
        <w:tc>
          <w:tcPr>
            <w:tcW w:w="1820" w:type="dxa"/>
            <w:tcBorders>
              <w:top w:val="nil"/>
              <w:left w:val="single" w:sz="8" w:space="0" w:color="auto"/>
              <w:bottom w:val="nil"/>
              <w:right w:val="single" w:sz="8" w:space="0" w:color="auto"/>
            </w:tcBorders>
            <w:shd w:val="clear" w:color="auto" w:fill="auto"/>
            <w:vAlign w:val="center"/>
            <w:hideMark/>
          </w:tcPr>
          <w:p w14:paraId="27ED5673"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1901 after reweighting for non-response</w:t>
            </w:r>
          </w:p>
        </w:tc>
        <w:tc>
          <w:tcPr>
            <w:tcW w:w="1690" w:type="dxa"/>
            <w:tcBorders>
              <w:top w:val="nil"/>
              <w:left w:val="nil"/>
              <w:bottom w:val="nil"/>
              <w:right w:val="single" w:sz="8" w:space="0" w:color="auto"/>
            </w:tcBorders>
            <w:shd w:val="clear" w:color="auto" w:fill="auto"/>
            <w:vAlign w:val="center"/>
            <w:hideMark/>
          </w:tcPr>
          <w:p w14:paraId="571A3B9A"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593 [591-595]</w:t>
            </w:r>
          </w:p>
        </w:tc>
        <w:tc>
          <w:tcPr>
            <w:tcW w:w="2268" w:type="dxa"/>
            <w:tcBorders>
              <w:top w:val="nil"/>
              <w:left w:val="nil"/>
              <w:bottom w:val="nil"/>
              <w:right w:val="single" w:sz="8" w:space="0" w:color="auto"/>
            </w:tcBorders>
            <w:shd w:val="clear" w:color="auto" w:fill="auto"/>
            <w:vAlign w:val="center"/>
            <w:hideMark/>
          </w:tcPr>
          <w:p w14:paraId="246D5F85"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1,236 [1,234-1,238]</w:t>
            </w:r>
          </w:p>
        </w:tc>
        <w:tc>
          <w:tcPr>
            <w:tcW w:w="2552" w:type="dxa"/>
            <w:tcBorders>
              <w:top w:val="nil"/>
              <w:left w:val="nil"/>
              <w:bottom w:val="nil"/>
              <w:right w:val="single" w:sz="8" w:space="0" w:color="auto"/>
            </w:tcBorders>
            <w:shd w:val="clear" w:color="auto" w:fill="auto"/>
            <w:vAlign w:val="center"/>
            <w:hideMark/>
          </w:tcPr>
          <w:p w14:paraId="12F647F0"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11,988 [11,985-11,990]</w:t>
            </w:r>
          </w:p>
        </w:tc>
        <w:tc>
          <w:tcPr>
            <w:tcW w:w="2268" w:type="dxa"/>
            <w:tcBorders>
              <w:top w:val="nil"/>
              <w:left w:val="nil"/>
              <w:bottom w:val="nil"/>
              <w:right w:val="single" w:sz="8" w:space="0" w:color="auto"/>
            </w:tcBorders>
            <w:shd w:val="clear" w:color="auto" w:fill="auto"/>
            <w:vAlign w:val="center"/>
            <w:hideMark/>
          </w:tcPr>
          <w:p w14:paraId="0D3274C4"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1,830 [1,826-1,834]</w:t>
            </w:r>
          </w:p>
        </w:tc>
        <w:tc>
          <w:tcPr>
            <w:tcW w:w="2551" w:type="dxa"/>
            <w:tcBorders>
              <w:top w:val="nil"/>
              <w:left w:val="nil"/>
              <w:bottom w:val="nil"/>
              <w:right w:val="single" w:sz="8" w:space="0" w:color="auto"/>
            </w:tcBorders>
            <w:shd w:val="clear" w:color="auto" w:fill="auto"/>
            <w:vAlign w:val="center"/>
            <w:hideMark/>
          </w:tcPr>
          <w:p w14:paraId="63B64DFB"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13,818 [13,811-13,822]</w:t>
            </w:r>
          </w:p>
        </w:tc>
      </w:tr>
      <w:tr w:rsidR="0065509F" w:rsidRPr="0065509F" w14:paraId="0F1F22FB" w14:textId="77777777" w:rsidTr="00874EE0">
        <w:trPr>
          <w:trHeight w:val="33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4FA0957D"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 </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5E93AC0F"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32.4%</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23C9882"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67.6%</w:t>
            </w:r>
          </w:p>
        </w:tc>
        <w:tc>
          <w:tcPr>
            <w:tcW w:w="2552" w:type="dxa"/>
            <w:tcBorders>
              <w:top w:val="nil"/>
              <w:left w:val="nil"/>
              <w:bottom w:val="single" w:sz="8" w:space="0" w:color="auto"/>
              <w:right w:val="single" w:sz="8" w:space="0" w:color="auto"/>
            </w:tcBorders>
            <w:shd w:val="clear" w:color="auto" w:fill="auto"/>
            <w:vAlign w:val="center"/>
            <w:hideMark/>
          </w:tcPr>
          <w:p w14:paraId="49B3A3FE"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BA72F47"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100%</w:t>
            </w:r>
          </w:p>
        </w:tc>
        <w:tc>
          <w:tcPr>
            <w:tcW w:w="2551" w:type="dxa"/>
            <w:tcBorders>
              <w:top w:val="nil"/>
              <w:left w:val="nil"/>
              <w:bottom w:val="single" w:sz="8" w:space="0" w:color="auto"/>
              <w:right w:val="single" w:sz="8" w:space="0" w:color="auto"/>
            </w:tcBorders>
            <w:shd w:val="clear" w:color="auto" w:fill="auto"/>
            <w:vAlign w:val="center"/>
            <w:hideMark/>
          </w:tcPr>
          <w:p w14:paraId="27CD6EC4"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r>
      <w:tr w:rsidR="0065509F" w:rsidRPr="0065509F" w14:paraId="4AA7ADB0" w14:textId="77777777" w:rsidTr="00874EE0">
        <w:trPr>
          <w:trHeight w:val="645"/>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388DBF7D"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1891 cleaned actual (I-CeM)</w:t>
            </w:r>
          </w:p>
        </w:tc>
        <w:tc>
          <w:tcPr>
            <w:tcW w:w="1690" w:type="dxa"/>
            <w:tcBorders>
              <w:top w:val="nil"/>
              <w:left w:val="nil"/>
              <w:bottom w:val="single" w:sz="8" w:space="0" w:color="auto"/>
              <w:right w:val="single" w:sz="8" w:space="0" w:color="auto"/>
            </w:tcBorders>
            <w:shd w:val="clear" w:color="auto" w:fill="auto"/>
            <w:vAlign w:val="center"/>
            <w:hideMark/>
          </w:tcPr>
          <w:p w14:paraId="30F8031D"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673 [672-675]</w:t>
            </w:r>
          </w:p>
        </w:tc>
        <w:tc>
          <w:tcPr>
            <w:tcW w:w="2268" w:type="dxa"/>
            <w:tcBorders>
              <w:top w:val="nil"/>
              <w:left w:val="nil"/>
              <w:bottom w:val="single" w:sz="8" w:space="0" w:color="auto"/>
              <w:right w:val="single" w:sz="8" w:space="0" w:color="auto"/>
            </w:tcBorders>
            <w:shd w:val="clear" w:color="auto" w:fill="auto"/>
            <w:vAlign w:val="center"/>
            <w:hideMark/>
          </w:tcPr>
          <w:p w14:paraId="359C4E2C"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831 [829-833]</w:t>
            </w:r>
          </w:p>
        </w:tc>
        <w:tc>
          <w:tcPr>
            <w:tcW w:w="2552" w:type="dxa"/>
            <w:tcBorders>
              <w:top w:val="nil"/>
              <w:left w:val="nil"/>
              <w:bottom w:val="single" w:sz="8" w:space="0" w:color="auto"/>
              <w:right w:val="single" w:sz="8" w:space="0" w:color="auto"/>
            </w:tcBorders>
            <w:shd w:val="clear" w:color="auto" w:fill="auto"/>
            <w:vAlign w:val="center"/>
            <w:hideMark/>
          </w:tcPr>
          <w:p w14:paraId="486FB145"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9,946 [9,944-9,948]</w:t>
            </w:r>
          </w:p>
        </w:tc>
        <w:tc>
          <w:tcPr>
            <w:tcW w:w="2268" w:type="dxa"/>
            <w:tcBorders>
              <w:top w:val="nil"/>
              <w:left w:val="nil"/>
              <w:bottom w:val="single" w:sz="8" w:space="0" w:color="auto"/>
              <w:right w:val="single" w:sz="8" w:space="0" w:color="auto"/>
            </w:tcBorders>
            <w:shd w:val="clear" w:color="auto" w:fill="auto"/>
            <w:vAlign w:val="center"/>
            <w:hideMark/>
          </w:tcPr>
          <w:p w14:paraId="7FF0823F"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1,504 [1,501-1,508]</w:t>
            </w:r>
          </w:p>
        </w:tc>
        <w:tc>
          <w:tcPr>
            <w:tcW w:w="2551" w:type="dxa"/>
            <w:tcBorders>
              <w:top w:val="nil"/>
              <w:left w:val="nil"/>
              <w:bottom w:val="single" w:sz="8" w:space="0" w:color="auto"/>
              <w:right w:val="single" w:sz="8" w:space="0" w:color="auto"/>
            </w:tcBorders>
            <w:shd w:val="clear" w:color="auto" w:fill="auto"/>
            <w:vAlign w:val="center"/>
            <w:hideMark/>
          </w:tcPr>
          <w:p w14:paraId="48C1B774"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11,450 [11,445-11,458]</w:t>
            </w:r>
          </w:p>
        </w:tc>
      </w:tr>
      <w:tr w:rsidR="0065509F" w:rsidRPr="0065509F" w14:paraId="1011E289" w14:textId="77777777" w:rsidTr="00874EE0">
        <w:trPr>
          <w:trHeight w:val="645"/>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1DBF1CE5" w14:textId="77777777" w:rsidR="0065509F" w:rsidRPr="0065509F" w:rsidRDefault="0065509F" w:rsidP="0065509F">
            <w:pPr>
              <w:rPr>
                <w:rFonts w:eastAsia="Times New Roman" w:cs="Times New Roman"/>
                <w:color w:val="000000"/>
                <w:sz w:val="22"/>
                <w:lang w:eastAsia="en-GB"/>
              </w:rPr>
            </w:pPr>
            <w:r w:rsidRPr="0065509F">
              <w:rPr>
                <w:rFonts w:eastAsia="Times New Roman" w:cs="Times New Roman"/>
                <w:color w:val="000000"/>
                <w:sz w:val="22"/>
                <w:lang w:eastAsia="en-GB"/>
              </w:rPr>
              <w:t>1891 after correction</w:t>
            </w:r>
          </w:p>
        </w:tc>
        <w:tc>
          <w:tcPr>
            <w:tcW w:w="1690" w:type="dxa"/>
            <w:tcBorders>
              <w:top w:val="nil"/>
              <w:left w:val="nil"/>
              <w:bottom w:val="single" w:sz="8" w:space="0" w:color="auto"/>
              <w:right w:val="single" w:sz="8" w:space="0" w:color="auto"/>
            </w:tcBorders>
            <w:shd w:val="clear" w:color="auto" w:fill="auto"/>
            <w:vAlign w:val="center"/>
            <w:hideMark/>
          </w:tcPr>
          <w:p w14:paraId="47C43C81"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540 [539-542]</w:t>
            </w:r>
          </w:p>
        </w:tc>
        <w:tc>
          <w:tcPr>
            <w:tcW w:w="2268" w:type="dxa"/>
            <w:tcBorders>
              <w:top w:val="nil"/>
              <w:left w:val="nil"/>
              <w:bottom w:val="single" w:sz="8" w:space="0" w:color="auto"/>
              <w:right w:val="single" w:sz="8" w:space="0" w:color="auto"/>
            </w:tcBorders>
            <w:shd w:val="clear" w:color="auto" w:fill="auto"/>
            <w:vAlign w:val="center"/>
            <w:hideMark/>
          </w:tcPr>
          <w:p w14:paraId="4E520D5C"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963 [961-965]</w:t>
            </w:r>
          </w:p>
        </w:tc>
        <w:tc>
          <w:tcPr>
            <w:tcW w:w="2552" w:type="dxa"/>
            <w:tcBorders>
              <w:top w:val="nil"/>
              <w:left w:val="nil"/>
              <w:bottom w:val="single" w:sz="8" w:space="0" w:color="auto"/>
              <w:right w:val="single" w:sz="8" w:space="0" w:color="auto"/>
            </w:tcBorders>
            <w:shd w:val="clear" w:color="auto" w:fill="auto"/>
            <w:vAlign w:val="center"/>
            <w:hideMark/>
          </w:tcPr>
          <w:p w14:paraId="3CD75CDC"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9,946 [9,944-9,948]</w:t>
            </w:r>
          </w:p>
        </w:tc>
        <w:tc>
          <w:tcPr>
            <w:tcW w:w="2268" w:type="dxa"/>
            <w:tcBorders>
              <w:top w:val="nil"/>
              <w:left w:val="nil"/>
              <w:bottom w:val="single" w:sz="8" w:space="0" w:color="auto"/>
              <w:right w:val="single" w:sz="8" w:space="0" w:color="auto"/>
            </w:tcBorders>
            <w:shd w:val="clear" w:color="auto" w:fill="auto"/>
            <w:vAlign w:val="center"/>
            <w:hideMark/>
          </w:tcPr>
          <w:p w14:paraId="2D1246FB"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1,504 [1,501-1,508]</w:t>
            </w:r>
          </w:p>
        </w:tc>
        <w:tc>
          <w:tcPr>
            <w:tcW w:w="2551" w:type="dxa"/>
            <w:tcBorders>
              <w:top w:val="nil"/>
              <w:left w:val="nil"/>
              <w:bottom w:val="single" w:sz="8" w:space="0" w:color="auto"/>
              <w:right w:val="single" w:sz="8" w:space="0" w:color="auto"/>
            </w:tcBorders>
            <w:shd w:val="clear" w:color="auto" w:fill="auto"/>
            <w:vAlign w:val="center"/>
            <w:hideMark/>
          </w:tcPr>
          <w:p w14:paraId="3139C39B" w14:textId="77777777" w:rsidR="0065509F" w:rsidRPr="0065509F" w:rsidRDefault="0065509F" w:rsidP="0065509F">
            <w:pPr>
              <w:jc w:val="right"/>
              <w:rPr>
                <w:rFonts w:eastAsia="Times New Roman" w:cs="Times New Roman"/>
                <w:color w:val="000000"/>
                <w:szCs w:val="24"/>
                <w:lang w:eastAsia="en-GB"/>
              </w:rPr>
            </w:pPr>
            <w:r w:rsidRPr="0065509F">
              <w:rPr>
                <w:rFonts w:eastAsia="Times New Roman" w:cs="Times New Roman"/>
                <w:color w:val="000000"/>
                <w:szCs w:val="24"/>
                <w:lang w:eastAsia="en-GB"/>
              </w:rPr>
              <w:t>11,450 [11,445-11,458]</w:t>
            </w:r>
          </w:p>
        </w:tc>
      </w:tr>
      <w:tr w:rsidR="0065509F" w:rsidRPr="0065509F" w14:paraId="23EE9A5F" w14:textId="77777777" w:rsidTr="00874EE0">
        <w:trPr>
          <w:trHeight w:val="585"/>
        </w:trPr>
        <w:tc>
          <w:tcPr>
            <w:tcW w:w="1820" w:type="dxa"/>
            <w:tcBorders>
              <w:top w:val="nil"/>
              <w:left w:val="single" w:sz="8" w:space="0" w:color="auto"/>
              <w:bottom w:val="nil"/>
              <w:right w:val="single" w:sz="8" w:space="0" w:color="auto"/>
            </w:tcBorders>
            <w:shd w:val="clear" w:color="auto" w:fill="auto"/>
            <w:vAlign w:val="center"/>
            <w:hideMark/>
          </w:tcPr>
          <w:p w14:paraId="192C515A" w14:textId="77777777" w:rsidR="0065509F" w:rsidRPr="0065509F" w:rsidRDefault="0065509F" w:rsidP="0065509F">
            <w:pPr>
              <w:rPr>
                <w:rFonts w:eastAsia="Times New Roman" w:cs="Times New Roman"/>
                <w:color w:val="000000"/>
                <w:szCs w:val="24"/>
                <w:lang w:eastAsia="en-GB"/>
              </w:rPr>
            </w:pPr>
            <w:r w:rsidRPr="0065509F">
              <w:rPr>
                <w:rFonts w:eastAsia="Times New Roman" w:cs="Times New Roman"/>
                <w:color w:val="000000"/>
                <w:szCs w:val="24"/>
                <w:lang w:eastAsia="en-GB"/>
              </w:rPr>
              <w:t>1891 after correction &amp; non-response reweighting</w:t>
            </w:r>
          </w:p>
        </w:tc>
        <w:tc>
          <w:tcPr>
            <w:tcW w:w="1690" w:type="dxa"/>
            <w:tcBorders>
              <w:top w:val="nil"/>
              <w:left w:val="nil"/>
              <w:bottom w:val="nil"/>
              <w:right w:val="single" w:sz="8" w:space="0" w:color="auto"/>
            </w:tcBorders>
            <w:shd w:val="clear" w:color="auto" w:fill="auto"/>
            <w:vAlign w:val="center"/>
            <w:hideMark/>
          </w:tcPr>
          <w:p w14:paraId="5439AA48"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584 [583-586]</w:t>
            </w:r>
          </w:p>
        </w:tc>
        <w:tc>
          <w:tcPr>
            <w:tcW w:w="2268" w:type="dxa"/>
            <w:tcBorders>
              <w:top w:val="nil"/>
              <w:left w:val="nil"/>
              <w:bottom w:val="nil"/>
              <w:right w:val="single" w:sz="8" w:space="0" w:color="auto"/>
            </w:tcBorders>
            <w:shd w:val="clear" w:color="auto" w:fill="auto"/>
            <w:vAlign w:val="center"/>
            <w:hideMark/>
          </w:tcPr>
          <w:p w14:paraId="43467C06"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1,073 [1,071-1,075]</w:t>
            </w:r>
          </w:p>
        </w:tc>
        <w:tc>
          <w:tcPr>
            <w:tcW w:w="2552" w:type="dxa"/>
            <w:tcBorders>
              <w:top w:val="nil"/>
              <w:left w:val="nil"/>
              <w:bottom w:val="nil"/>
              <w:right w:val="single" w:sz="8" w:space="0" w:color="auto"/>
            </w:tcBorders>
            <w:shd w:val="clear" w:color="auto" w:fill="auto"/>
            <w:vAlign w:val="center"/>
            <w:hideMark/>
          </w:tcPr>
          <w:p w14:paraId="0210D34A"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xml:space="preserve">10,338 [10,335-10,340] </w:t>
            </w:r>
          </w:p>
        </w:tc>
        <w:tc>
          <w:tcPr>
            <w:tcW w:w="2268" w:type="dxa"/>
            <w:tcBorders>
              <w:top w:val="nil"/>
              <w:left w:val="nil"/>
              <w:bottom w:val="nil"/>
              <w:right w:val="single" w:sz="8" w:space="0" w:color="auto"/>
            </w:tcBorders>
            <w:shd w:val="clear" w:color="auto" w:fill="auto"/>
            <w:vAlign w:val="center"/>
            <w:hideMark/>
          </w:tcPr>
          <w:p w14:paraId="5A8680F1"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1,657 [1,654-1,661]</w:t>
            </w:r>
          </w:p>
        </w:tc>
        <w:tc>
          <w:tcPr>
            <w:tcW w:w="2551" w:type="dxa"/>
            <w:tcBorders>
              <w:top w:val="nil"/>
              <w:left w:val="nil"/>
              <w:bottom w:val="nil"/>
              <w:right w:val="single" w:sz="8" w:space="0" w:color="auto"/>
            </w:tcBorders>
            <w:shd w:val="clear" w:color="auto" w:fill="auto"/>
            <w:vAlign w:val="center"/>
            <w:hideMark/>
          </w:tcPr>
          <w:p w14:paraId="750D8D32"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11,995 [11,989-12,001]</w:t>
            </w:r>
          </w:p>
        </w:tc>
      </w:tr>
      <w:tr w:rsidR="0065509F" w:rsidRPr="0065509F" w14:paraId="3B68D107" w14:textId="77777777" w:rsidTr="00874EE0">
        <w:trPr>
          <w:trHeight w:val="585"/>
        </w:trPr>
        <w:tc>
          <w:tcPr>
            <w:tcW w:w="1820" w:type="dxa"/>
            <w:tcBorders>
              <w:top w:val="nil"/>
              <w:left w:val="single" w:sz="8" w:space="0" w:color="auto"/>
              <w:bottom w:val="single" w:sz="8" w:space="0" w:color="auto"/>
              <w:right w:val="nil"/>
            </w:tcBorders>
            <w:shd w:val="clear" w:color="auto" w:fill="auto"/>
            <w:vAlign w:val="center"/>
            <w:hideMark/>
          </w:tcPr>
          <w:p w14:paraId="13A4F4DF" w14:textId="77777777" w:rsidR="0065509F" w:rsidRPr="0065509F" w:rsidRDefault="0065509F" w:rsidP="0065509F">
            <w:pPr>
              <w:rPr>
                <w:rFonts w:eastAsia="Times New Roman" w:cs="Times New Roman"/>
                <w:color w:val="000000"/>
                <w:szCs w:val="24"/>
                <w:lang w:eastAsia="en-GB"/>
              </w:rPr>
            </w:pPr>
            <w:r w:rsidRPr="0065509F">
              <w:rPr>
                <w:rFonts w:eastAsia="Times New Roman" w:cs="Times New Roman"/>
                <w:color w:val="000000"/>
                <w:szCs w:val="24"/>
                <w:lang w:eastAsia="en-GB"/>
              </w:rPr>
              <w:t> </w:t>
            </w:r>
          </w:p>
        </w:tc>
        <w:tc>
          <w:tcPr>
            <w:tcW w:w="16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52D7FE"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35.2%</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173501F8"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64.8%</w:t>
            </w:r>
          </w:p>
        </w:tc>
        <w:tc>
          <w:tcPr>
            <w:tcW w:w="2552" w:type="dxa"/>
            <w:tcBorders>
              <w:top w:val="nil"/>
              <w:left w:val="nil"/>
              <w:bottom w:val="single" w:sz="8" w:space="0" w:color="auto"/>
              <w:right w:val="nil"/>
            </w:tcBorders>
            <w:shd w:val="clear" w:color="auto" w:fill="auto"/>
            <w:vAlign w:val="center"/>
            <w:hideMark/>
          </w:tcPr>
          <w:p w14:paraId="679940A3"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519A3B"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100%</w:t>
            </w:r>
          </w:p>
        </w:tc>
        <w:tc>
          <w:tcPr>
            <w:tcW w:w="2551" w:type="dxa"/>
            <w:tcBorders>
              <w:top w:val="nil"/>
              <w:left w:val="nil"/>
              <w:bottom w:val="single" w:sz="8" w:space="0" w:color="auto"/>
              <w:right w:val="single" w:sz="8" w:space="0" w:color="auto"/>
            </w:tcBorders>
            <w:shd w:val="clear" w:color="auto" w:fill="auto"/>
            <w:vAlign w:val="center"/>
            <w:hideMark/>
          </w:tcPr>
          <w:p w14:paraId="3E96D4A7" w14:textId="77777777" w:rsidR="0065509F" w:rsidRPr="0065509F" w:rsidRDefault="0065509F" w:rsidP="0065509F">
            <w:pPr>
              <w:jc w:val="right"/>
              <w:rPr>
                <w:rFonts w:eastAsia="Times New Roman" w:cs="Times New Roman"/>
                <w:b/>
                <w:bCs/>
                <w:color w:val="000000"/>
                <w:szCs w:val="24"/>
                <w:lang w:eastAsia="en-GB"/>
              </w:rPr>
            </w:pPr>
            <w:r w:rsidRPr="0065509F">
              <w:rPr>
                <w:rFonts w:eastAsia="Times New Roman" w:cs="Times New Roman"/>
                <w:b/>
                <w:bCs/>
                <w:color w:val="000000"/>
                <w:szCs w:val="24"/>
                <w:lang w:eastAsia="en-GB"/>
              </w:rPr>
              <w:t> </w:t>
            </w:r>
          </w:p>
        </w:tc>
      </w:tr>
    </w:tbl>
    <w:p w14:paraId="3CA8C6C0" w14:textId="77777777" w:rsidR="0065509F" w:rsidRDefault="0065509F" w:rsidP="0065509F">
      <w:pPr>
        <w:spacing w:after="160" w:line="360" w:lineRule="auto"/>
        <w:jc w:val="both"/>
        <w:rPr>
          <w:rFonts w:eastAsia="Calibri" w:cs="Times New Roman"/>
          <w:b/>
          <w:sz w:val="22"/>
        </w:rPr>
      </w:pPr>
    </w:p>
    <w:p w14:paraId="3F27C286" w14:textId="77777777" w:rsidR="0065509F" w:rsidRPr="0065509F" w:rsidRDefault="0065509F" w:rsidP="0065509F">
      <w:pPr>
        <w:spacing w:after="160" w:line="360" w:lineRule="auto"/>
        <w:jc w:val="both"/>
        <w:rPr>
          <w:rFonts w:eastAsia="Calibri" w:cs="Times New Roman"/>
          <w:sz w:val="22"/>
        </w:rPr>
      </w:pPr>
      <w:proofErr w:type="gramStart"/>
      <w:r w:rsidRPr="0065509F">
        <w:rPr>
          <w:rFonts w:eastAsia="Calibri" w:cs="Times New Roman"/>
          <w:b/>
          <w:sz w:val="22"/>
        </w:rPr>
        <w:t>Table 3.</w:t>
      </w:r>
      <w:proofErr w:type="gramEnd"/>
      <w:r w:rsidRPr="0065509F">
        <w:rPr>
          <w:rFonts w:eastAsia="Calibri" w:cs="Times New Roman"/>
          <w:sz w:val="22"/>
        </w:rPr>
        <w:t xml:space="preserve"> Numbers of different individuals 1891-1911 (000s) for each stage of estimation: actual (I-CeM) after cleaning (which differ from Table 1); estimates after weighting for non-response bias all years, and correction of employer misallocation bias in 1891. Bold indicates the final consistent estimates. Ranges are given in brackets between upper and lower confidence bounds.</w:t>
      </w:r>
    </w:p>
    <w:p w14:paraId="6D40CDB2" w14:textId="77777777" w:rsidR="001E7990" w:rsidRDefault="001E7990" w:rsidP="002726CD">
      <w:pPr>
        <w:spacing w:line="360" w:lineRule="auto"/>
        <w:jc w:val="both"/>
      </w:pPr>
    </w:p>
    <w:p w14:paraId="6EE660FB" w14:textId="77777777" w:rsidR="001E7990" w:rsidRDefault="001E7990" w:rsidP="002726CD">
      <w:pPr>
        <w:spacing w:line="360" w:lineRule="auto"/>
        <w:jc w:val="both"/>
      </w:pPr>
    </w:p>
    <w:p w14:paraId="172372D3" w14:textId="7BCFE625" w:rsidR="001E7990" w:rsidRPr="009B1FFC" w:rsidRDefault="001E7990" w:rsidP="002726CD">
      <w:pPr>
        <w:spacing w:line="360" w:lineRule="auto"/>
        <w:jc w:val="both"/>
        <w:rPr>
          <w:b/>
          <w:i/>
        </w:rPr>
      </w:pPr>
      <w:r>
        <w:rPr>
          <w:b/>
          <w:i/>
        </w:rPr>
        <w:t>Correction of 1891 misallocation biases</w:t>
      </w:r>
    </w:p>
    <w:p w14:paraId="45F8C305" w14:textId="16A8D57B" w:rsidR="001E7990" w:rsidRDefault="001E7990" w:rsidP="00EE7F92">
      <w:pPr>
        <w:spacing w:before="240" w:line="360" w:lineRule="auto"/>
        <w:jc w:val="both"/>
      </w:pPr>
      <w:r>
        <w:t>As noted above, an upward bias in the responses</w:t>
      </w:r>
      <w:r w:rsidRPr="007A37BB">
        <w:t xml:space="preserve"> for the status question </w:t>
      </w:r>
      <w:r>
        <w:t>in</w:t>
      </w:r>
      <w:r w:rsidRPr="007A37BB">
        <w:t xml:space="preserve"> 18</w:t>
      </w:r>
      <w:r>
        <w:t>91 tended to inflate the numbers of employers. The GRO stated this as an important issue, and comparisons of the numbers of each employment status over time in Table 1 have already indicated that it was substantial.</w:t>
      </w:r>
      <w:r w:rsidRPr="004501F1">
        <w:t xml:space="preserve"> </w:t>
      </w:r>
    </w:p>
    <w:p w14:paraId="735E83C2" w14:textId="77777777" w:rsidR="001E7990" w:rsidRDefault="001E7990" w:rsidP="002726CD">
      <w:pPr>
        <w:spacing w:line="360" w:lineRule="auto"/>
        <w:jc w:val="both"/>
      </w:pPr>
    </w:p>
    <w:p w14:paraId="0BF1ADBA" w14:textId="4ECABCF7" w:rsidR="001E7990" w:rsidRDefault="001E7990" w:rsidP="002726CD">
      <w:pPr>
        <w:spacing w:line="360" w:lineRule="auto"/>
        <w:jc w:val="both"/>
      </w:pPr>
      <w:r>
        <w:t>However, correcting misallocations is</w:t>
      </w:r>
      <w:r w:rsidRPr="004B15A0">
        <w:t xml:space="preserve"> complex. </w:t>
      </w:r>
      <w:r>
        <w:t xml:space="preserve">A comparator source of information is needed to indicate the level of true response.  </w:t>
      </w:r>
      <w:r w:rsidRPr="004B15A0">
        <w:t xml:space="preserve">No comparable data are available for the earlier </w:t>
      </w:r>
      <w:r w:rsidRPr="004B15A0">
        <w:lastRenderedPageBreak/>
        <w:t xml:space="preserve">year of 1881 as the </w:t>
      </w:r>
      <w:r>
        <w:t xml:space="preserve">Census </w:t>
      </w:r>
      <w:r w:rsidRPr="004B15A0">
        <w:t xml:space="preserve">did not include </w:t>
      </w:r>
      <w:r>
        <w:t xml:space="preserve">the employment status question; consequently the only sources available on a similar basis are for 1901 and subsequent Censuses. Clearly 1901 is preferable as the closest comparable source. The approach adopted is to use the 1901 Census as the main comparator, supplemented with any trends from 1911, and then to test possible corrections against known secondary sources for each occupation category for each of the 629 of the 797 occupation categories in I-CeM that contained employers or own account. Four methods were used: </w:t>
      </w:r>
    </w:p>
    <w:p w14:paraId="51A282F9" w14:textId="538ECD6F" w:rsidR="001E7990" w:rsidRPr="004501F1" w:rsidRDefault="001E7990" w:rsidP="004501F1">
      <w:pPr>
        <w:spacing w:line="360" w:lineRule="auto"/>
        <w:ind w:left="720"/>
        <w:jc w:val="both"/>
        <w:rPr>
          <w:b/>
        </w:rPr>
      </w:pPr>
      <w:r>
        <w:t xml:space="preserve">(1) The preferred method is a robust logit </w:t>
      </w:r>
      <w:r w:rsidRPr="00715DBE">
        <w:t xml:space="preserve">regression model based on 1901 </w:t>
      </w:r>
      <w:r>
        <w:t xml:space="preserve">Census </w:t>
      </w:r>
      <w:r w:rsidRPr="00715DBE">
        <w:t xml:space="preserve">responses </w:t>
      </w:r>
      <w:r>
        <w:t xml:space="preserve">to allocate between employer and own account </w:t>
      </w:r>
      <w:r w:rsidRPr="00715DBE">
        <w:t xml:space="preserve">taking account of the most significant explanatory </w:t>
      </w:r>
      <w:r>
        <w:t>variables</w:t>
      </w:r>
      <w:r w:rsidRPr="00715DBE">
        <w:t xml:space="preserve"> </w:t>
      </w:r>
      <w:r>
        <w:t xml:space="preserve">for employer status </w:t>
      </w:r>
      <w:r w:rsidRPr="00715DBE">
        <w:t>in 1901</w:t>
      </w:r>
      <w:r>
        <w:t>. The variables used</w:t>
      </w:r>
      <w:r w:rsidRPr="00715DBE">
        <w:t xml:space="preserve"> </w:t>
      </w:r>
      <w:r>
        <w:t xml:space="preserve">were the 629 </w:t>
      </w:r>
      <w:r w:rsidRPr="00715DBE">
        <w:t>occupation</w:t>
      </w:r>
      <w:r>
        <w:t xml:space="preserve"> categories, gender interacted with </w:t>
      </w:r>
      <w:r w:rsidRPr="00715DBE">
        <w:t>marital status</w:t>
      </w:r>
      <w:r>
        <w:t>, population density of the Registration Sub-District, number of domestic servants, and weights based on household relationship codes (RELA). These variables were determined after a range of experiments with alternatives and relate to the main sources of bias previously detected (</w:t>
      </w:r>
      <w:r w:rsidR="00261969">
        <w:t>Smith et al., 2017</w:t>
      </w:r>
      <w:r>
        <w:t xml:space="preserve">). After estimation with the 1901 data the coefficients were applied to the 1891 data </w:t>
      </w:r>
      <w:r w:rsidR="003D665F">
        <w:t>to give</w:t>
      </w:r>
      <w:r>
        <w:t xml:space="preserve"> the probability of being an employer for 1891 using 1901 coefficients. Thus, the ‘correct’ employer attribution was calculated using the 1891 independent variables values but with the estimated 1901 coefficients. This method has two outputs: (1A) which is the summation of the individual mass density to an aggregate-level: and (1B) which is the summation of the rounded numbers. (1A) is the preferred extrapolation of numbers because it has no bias. However, (1B) is the only method that identifies individuals.</w:t>
      </w:r>
    </w:p>
    <w:p w14:paraId="62877275" w14:textId="254DAD71" w:rsidR="001E7990" w:rsidRDefault="001E7990" w:rsidP="004501F1">
      <w:pPr>
        <w:spacing w:line="360" w:lineRule="auto"/>
        <w:ind w:left="720"/>
        <w:jc w:val="both"/>
      </w:pPr>
      <w:r>
        <w:t xml:space="preserve">(2) A secondary method is a simple linear extrapolation of the change in ratio between employers and own account between 1901 and 1911 applied to 1891; this is appropriate where a sector </w:t>
      </w:r>
      <w:r w:rsidR="00363851">
        <w:t>wa</w:t>
      </w:r>
      <w:r>
        <w:t>s experiencing continuous growth or decline at the same rate over the period</w:t>
      </w:r>
      <w:r w:rsidR="00363851">
        <w:t xml:space="preserve"> which method (1) could not assess</w:t>
      </w:r>
      <w:r>
        <w:t>.</w:t>
      </w:r>
      <w:r w:rsidR="00363851">
        <w:t xml:space="preserve"> It was particularly relevant to a few large-scale sectors experiencing structural change, such as farming and blacksmiths.</w:t>
      </w:r>
    </w:p>
    <w:p w14:paraId="013ED0D8" w14:textId="671EDD8C" w:rsidR="001E7990" w:rsidRDefault="001E7990" w:rsidP="004501F1">
      <w:pPr>
        <w:spacing w:line="360" w:lineRule="auto"/>
        <w:ind w:left="720"/>
        <w:jc w:val="both"/>
      </w:pPr>
      <w:r>
        <w:t xml:space="preserve">(3) A possible alternative method is the average of the ratio between employers </w:t>
      </w:r>
      <w:proofErr w:type="gramStart"/>
      <w:r>
        <w:t>and  own</w:t>
      </w:r>
      <w:proofErr w:type="gramEnd"/>
      <w:r>
        <w:t xml:space="preserve"> account for 1901 and 1911; this is most appropriate where a sector </w:t>
      </w:r>
      <w:r w:rsidR="00363851">
        <w:t>wa</w:t>
      </w:r>
      <w:r>
        <w:t>s relatively static</w:t>
      </w:r>
      <w:r w:rsidR="00DE7C8D">
        <w:t xml:space="preserve"> and</w:t>
      </w:r>
      <w:r>
        <w:t xml:space="preserve"> may be preferred because it averages out any random variation in the individual Censuses.</w:t>
      </w:r>
    </w:p>
    <w:p w14:paraId="61DE95E1" w14:textId="77777777" w:rsidR="001E7990" w:rsidRDefault="001E7990" w:rsidP="00A81094">
      <w:pPr>
        <w:spacing w:line="360" w:lineRule="auto"/>
        <w:ind w:left="720"/>
        <w:jc w:val="both"/>
      </w:pPr>
      <w:r>
        <w:t xml:space="preserve">(4) Accepting the actual Census responses in 1891; this is to be preferred where the occupational category is clear and unambiguous as to employer, own account or </w:t>
      </w:r>
      <w:r>
        <w:lastRenderedPageBreak/>
        <w:t>worker status and respondents are believed to have been accurate. Checks of this allocation were made against the same occupations in 1901 and 1911 for those occupational codes where actual responses were judged to be reliable.</w:t>
      </w:r>
    </w:p>
    <w:p w14:paraId="3328C769" w14:textId="77777777" w:rsidR="001E7990" w:rsidRDefault="001E7990" w:rsidP="002726CD">
      <w:pPr>
        <w:spacing w:line="360" w:lineRule="auto"/>
        <w:jc w:val="both"/>
      </w:pPr>
    </w:p>
    <w:p w14:paraId="3E76D0F3" w14:textId="6511F3BA" w:rsidR="001E7990" w:rsidRPr="002B6E49" w:rsidRDefault="001E7990" w:rsidP="002726CD">
      <w:pPr>
        <w:spacing w:line="360" w:lineRule="auto"/>
        <w:jc w:val="both"/>
        <w:rPr>
          <w:b/>
        </w:rPr>
      </w:pPr>
      <w:r>
        <w:t>The estimates of the logit regression (Method 1) are given in Table 4, shown for 1901. This gives the probability of the binary employment status</w:t>
      </w:r>
      <w:r w:rsidRPr="006A5C2D">
        <w:t xml:space="preserve"> variable</w:t>
      </w:r>
      <w:r>
        <w:t xml:space="preserve"> having a value of</w:t>
      </w:r>
      <w:r w:rsidRPr="006A5C2D">
        <w:t xml:space="preserve"> 1 if the individual </w:t>
      </w:r>
      <w:r>
        <w:t xml:space="preserve">was an employer, or </w:t>
      </w:r>
      <w:r w:rsidRPr="006A5C2D">
        <w:t>0 if own account</w:t>
      </w:r>
      <w:r>
        <w:t>,</w:t>
      </w:r>
      <w:r w:rsidRPr="006A5C2D">
        <w:t xml:space="preserve"> </w:t>
      </w:r>
      <w:r>
        <w:t>using</w:t>
      </w:r>
      <w:r w:rsidRPr="006A5C2D">
        <w:t xml:space="preserve"> </w:t>
      </w:r>
      <w:r>
        <w:t>estimates for</w:t>
      </w:r>
      <w:r w:rsidRPr="006A5C2D">
        <w:t xml:space="preserve"> </w:t>
      </w:r>
      <w:r>
        <w:t>629</w:t>
      </w:r>
      <w:r w:rsidRPr="006A5C2D">
        <w:t xml:space="preserve"> occupation categories, </w:t>
      </w:r>
      <w:r>
        <w:t>and covariates.</w:t>
      </w:r>
      <w:r w:rsidRPr="006A5C2D">
        <w:t xml:space="preserve"> </w:t>
      </w:r>
      <w:r w:rsidRPr="004778FA">
        <w:t xml:space="preserve">Only 5 representative occupational categories </w:t>
      </w:r>
      <w:r>
        <w:t xml:space="preserve">are </w:t>
      </w:r>
      <w:r w:rsidRPr="004778FA">
        <w:t>shown for the 629 estimated</w:t>
      </w:r>
      <w:r>
        <w:t>.</w:t>
      </w:r>
      <w:r w:rsidRPr="004778FA">
        <w:t xml:space="preserve"> </w:t>
      </w:r>
      <w:r>
        <w:t xml:space="preserve">Using these estimates, the </w:t>
      </w:r>
      <w:r w:rsidRPr="006A5C2D">
        <w:t xml:space="preserve">databases are </w:t>
      </w:r>
      <w:r>
        <w:t xml:space="preserve">then </w:t>
      </w:r>
      <w:r w:rsidRPr="006A5C2D">
        <w:t xml:space="preserve">exchanged </w:t>
      </w:r>
      <w:r>
        <w:t>so that the allocation of employer and own account</w:t>
      </w:r>
      <w:r w:rsidRPr="006A5C2D">
        <w:t xml:space="preserve"> </w:t>
      </w:r>
      <w:r>
        <w:t>status is made using 1891 data with the 1901 coefficients.</w:t>
      </w:r>
      <w:r w:rsidRPr="002543E4">
        <w:t xml:space="preserve"> </w:t>
      </w:r>
    </w:p>
    <w:p w14:paraId="3FC3C9DB" w14:textId="77777777" w:rsidR="001E7990" w:rsidRDefault="001E7990" w:rsidP="002726CD">
      <w:pPr>
        <w:spacing w:line="360" w:lineRule="auto"/>
        <w:jc w:val="both"/>
        <w:rPr>
          <w:b/>
        </w:rPr>
      </w:pPr>
    </w:p>
    <w:p w14:paraId="30A7BD7B" w14:textId="77777777" w:rsidR="0065509F" w:rsidRPr="0065509F" w:rsidRDefault="0065509F" w:rsidP="0065509F">
      <w:pPr>
        <w:spacing w:line="360" w:lineRule="auto"/>
        <w:jc w:val="both"/>
        <w:rPr>
          <w:rFonts w:eastAsia="Calibri" w:cs="Times New Roman"/>
        </w:rPr>
      </w:pPr>
    </w:p>
    <w:tbl>
      <w:tblPr>
        <w:tblW w:w="8897" w:type="dxa"/>
        <w:tblLayout w:type="fixed"/>
        <w:tblLook w:val="0000" w:firstRow="0" w:lastRow="0" w:firstColumn="0" w:lastColumn="0" w:noHBand="0" w:noVBand="0"/>
      </w:tblPr>
      <w:tblGrid>
        <w:gridCol w:w="6345"/>
        <w:gridCol w:w="2552"/>
      </w:tblGrid>
      <w:tr w:rsidR="0065509F" w:rsidRPr="0065509F" w14:paraId="65A18833" w14:textId="77777777" w:rsidTr="00874EE0">
        <w:tc>
          <w:tcPr>
            <w:tcW w:w="6345" w:type="dxa"/>
            <w:tcBorders>
              <w:top w:val="single" w:sz="4" w:space="0" w:color="auto"/>
              <w:left w:val="nil"/>
              <w:bottom w:val="nil"/>
              <w:right w:val="nil"/>
            </w:tcBorders>
          </w:tcPr>
          <w:p w14:paraId="2E1CDEF1"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 xml:space="preserve">173. Farmer, </w:t>
            </w:r>
            <w:proofErr w:type="spellStart"/>
            <w:r w:rsidRPr="0065509F">
              <w:rPr>
                <w:rFonts w:eastAsia="Calibri" w:cs="Times New Roman"/>
                <w:szCs w:val="24"/>
                <w:lang w:val="en-US"/>
              </w:rPr>
              <w:t>Grazier</w:t>
            </w:r>
            <w:proofErr w:type="spellEnd"/>
          </w:p>
        </w:tc>
        <w:tc>
          <w:tcPr>
            <w:tcW w:w="2552" w:type="dxa"/>
            <w:tcBorders>
              <w:top w:val="single" w:sz="4" w:space="0" w:color="auto"/>
              <w:left w:val="nil"/>
              <w:bottom w:val="nil"/>
              <w:right w:val="nil"/>
            </w:tcBorders>
          </w:tcPr>
          <w:p w14:paraId="24A1936D"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0.747</w:t>
            </w:r>
            <w:r w:rsidRPr="0065509F">
              <w:rPr>
                <w:rFonts w:eastAsia="Calibri" w:cs="Times New Roman"/>
                <w:szCs w:val="24"/>
                <w:vertAlign w:val="superscript"/>
                <w:lang w:val="en-US"/>
              </w:rPr>
              <w:t>***</w:t>
            </w:r>
          </w:p>
        </w:tc>
      </w:tr>
      <w:tr w:rsidR="0065509F" w:rsidRPr="0065509F" w14:paraId="5B892543" w14:textId="77777777" w:rsidTr="00874EE0">
        <w:tc>
          <w:tcPr>
            <w:tcW w:w="6345" w:type="dxa"/>
            <w:tcBorders>
              <w:top w:val="nil"/>
              <w:left w:val="nil"/>
              <w:bottom w:val="nil"/>
              <w:right w:val="nil"/>
            </w:tcBorders>
          </w:tcPr>
          <w:p w14:paraId="00F2F0EF"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0311C397"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(3.70)</w:t>
            </w:r>
          </w:p>
        </w:tc>
      </w:tr>
      <w:tr w:rsidR="0065509F" w:rsidRPr="0065509F" w14:paraId="0D6691B2" w14:textId="77777777" w:rsidTr="00874EE0">
        <w:tc>
          <w:tcPr>
            <w:tcW w:w="6345" w:type="dxa"/>
            <w:tcBorders>
              <w:top w:val="nil"/>
              <w:left w:val="nil"/>
              <w:bottom w:val="nil"/>
              <w:right w:val="nil"/>
            </w:tcBorders>
          </w:tcPr>
          <w:p w14:paraId="37676387"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241. Pig Iron Manufacture (Blast Furnace)</w:t>
            </w:r>
          </w:p>
        </w:tc>
        <w:tc>
          <w:tcPr>
            <w:tcW w:w="2552" w:type="dxa"/>
            <w:tcBorders>
              <w:top w:val="nil"/>
              <w:left w:val="nil"/>
              <w:bottom w:val="nil"/>
              <w:right w:val="nil"/>
            </w:tcBorders>
          </w:tcPr>
          <w:p w14:paraId="1461F7A8"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2.226</w:t>
            </w:r>
            <w:r w:rsidRPr="0065509F">
              <w:rPr>
                <w:rFonts w:eastAsia="Calibri" w:cs="Times New Roman"/>
                <w:szCs w:val="24"/>
                <w:vertAlign w:val="superscript"/>
                <w:lang w:val="en-US"/>
              </w:rPr>
              <w:t>***</w:t>
            </w:r>
          </w:p>
        </w:tc>
      </w:tr>
      <w:tr w:rsidR="0065509F" w:rsidRPr="0065509F" w14:paraId="56C4CA93" w14:textId="77777777" w:rsidTr="00874EE0">
        <w:tc>
          <w:tcPr>
            <w:tcW w:w="6345" w:type="dxa"/>
            <w:tcBorders>
              <w:top w:val="nil"/>
              <w:left w:val="nil"/>
              <w:bottom w:val="nil"/>
              <w:right w:val="nil"/>
            </w:tcBorders>
          </w:tcPr>
          <w:p w14:paraId="32F00CD7"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3E297045"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(6.17)</w:t>
            </w:r>
          </w:p>
        </w:tc>
      </w:tr>
      <w:tr w:rsidR="0065509F" w:rsidRPr="0065509F" w14:paraId="401D83B5" w14:textId="77777777" w:rsidTr="00874EE0">
        <w:tc>
          <w:tcPr>
            <w:tcW w:w="6345" w:type="dxa"/>
            <w:tcBorders>
              <w:top w:val="nil"/>
              <w:left w:val="nil"/>
              <w:bottom w:val="nil"/>
              <w:right w:val="nil"/>
            </w:tcBorders>
          </w:tcPr>
          <w:p w14:paraId="569C5C7E"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551. Cotton &amp; Cotton Goods Manufacture Weaving</w:t>
            </w:r>
          </w:p>
        </w:tc>
        <w:tc>
          <w:tcPr>
            <w:tcW w:w="2552" w:type="dxa"/>
            <w:tcBorders>
              <w:top w:val="nil"/>
              <w:left w:val="nil"/>
              <w:bottom w:val="nil"/>
              <w:right w:val="nil"/>
            </w:tcBorders>
          </w:tcPr>
          <w:p w14:paraId="4795279D"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1.055</w:t>
            </w:r>
            <w:r w:rsidRPr="0065509F">
              <w:rPr>
                <w:rFonts w:eastAsia="Calibri" w:cs="Times New Roman"/>
                <w:szCs w:val="24"/>
                <w:vertAlign w:val="superscript"/>
                <w:lang w:val="en-US"/>
              </w:rPr>
              <w:t>***</w:t>
            </w:r>
          </w:p>
        </w:tc>
      </w:tr>
      <w:tr w:rsidR="0065509F" w:rsidRPr="0065509F" w14:paraId="0E29D0E1" w14:textId="77777777" w:rsidTr="00874EE0">
        <w:tc>
          <w:tcPr>
            <w:tcW w:w="6345" w:type="dxa"/>
            <w:tcBorders>
              <w:top w:val="nil"/>
              <w:left w:val="nil"/>
              <w:bottom w:val="nil"/>
              <w:right w:val="nil"/>
            </w:tcBorders>
          </w:tcPr>
          <w:p w14:paraId="47529025"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4570A9AB"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(4.53)</w:t>
            </w:r>
          </w:p>
        </w:tc>
      </w:tr>
      <w:tr w:rsidR="0065509F" w:rsidRPr="0065509F" w14:paraId="33E5E05C" w14:textId="77777777" w:rsidTr="00874EE0">
        <w:tc>
          <w:tcPr>
            <w:tcW w:w="6345" w:type="dxa"/>
            <w:tcBorders>
              <w:top w:val="nil"/>
              <w:left w:val="nil"/>
              <w:bottom w:val="nil"/>
              <w:right w:val="nil"/>
            </w:tcBorders>
          </w:tcPr>
          <w:p w14:paraId="753EED59"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663. Shoe and Boot Makers (and Repairers)</w:t>
            </w:r>
          </w:p>
        </w:tc>
        <w:tc>
          <w:tcPr>
            <w:tcW w:w="2552" w:type="dxa"/>
            <w:tcBorders>
              <w:top w:val="nil"/>
              <w:left w:val="nil"/>
              <w:bottom w:val="nil"/>
              <w:right w:val="nil"/>
            </w:tcBorders>
          </w:tcPr>
          <w:p w14:paraId="0A247695"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-0.896</w:t>
            </w:r>
            <w:r w:rsidRPr="0065509F">
              <w:rPr>
                <w:rFonts w:eastAsia="Calibri" w:cs="Times New Roman"/>
                <w:szCs w:val="24"/>
                <w:vertAlign w:val="superscript"/>
                <w:lang w:val="en-US"/>
              </w:rPr>
              <w:t>***</w:t>
            </w:r>
          </w:p>
        </w:tc>
      </w:tr>
      <w:tr w:rsidR="0065509F" w:rsidRPr="0065509F" w14:paraId="10EEE170" w14:textId="77777777" w:rsidTr="00874EE0">
        <w:tc>
          <w:tcPr>
            <w:tcW w:w="6345" w:type="dxa"/>
            <w:tcBorders>
              <w:top w:val="nil"/>
              <w:left w:val="nil"/>
              <w:bottom w:val="nil"/>
              <w:right w:val="nil"/>
            </w:tcBorders>
          </w:tcPr>
          <w:p w14:paraId="14DD0609"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7E3D4E39"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(-4.43)</w:t>
            </w:r>
          </w:p>
        </w:tc>
      </w:tr>
      <w:tr w:rsidR="0065509F" w:rsidRPr="0065509F" w14:paraId="0A3BAD5B" w14:textId="77777777" w:rsidTr="00874EE0">
        <w:tc>
          <w:tcPr>
            <w:tcW w:w="6345" w:type="dxa"/>
            <w:tcBorders>
              <w:top w:val="nil"/>
              <w:left w:val="nil"/>
              <w:bottom w:val="nil"/>
              <w:right w:val="nil"/>
            </w:tcBorders>
          </w:tcPr>
          <w:p w14:paraId="374B3B90"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713. Innkeepers, Hotel Keepers, Publicans</w:t>
            </w:r>
          </w:p>
        </w:tc>
        <w:tc>
          <w:tcPr>
            <w:tcW w:w="2552" w:type="dxa"/>
            <w:tcBorders>
              <w:top w:val="nil"/>
              <w:left w:val="nil"/>
              <w:bottom w:val="nil"/>
              <w:right w:val="nil"/>
            </w:tcBorders>
          </w:tcPr>
          <w:p w14:paraId="5C38CDCA"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-1.526</w:t>
            </w:r>
            <w:r w:rsidRPr="0065509F">
              <w:rPr>
                <w:rFonts w:eastAsia="Calibri" w:cs="Times New Roman"/>
                <w:szCs w:val="24"/>
                <w:vertAlign w:val="superscript"/>
                <w:lang w:val="en-US"/>
              </w:rPr>
              <w:t>***</w:t>
            </w:r>
          </w:p>
        </w:tc>
      </w:tr>
      <w:tr w:rsidR="0065509F" w:rsidRPr="0065509F" w14:paraId="5D4F15E4" w14:textId="77777777" w:rsidTr="00874EE0">
        <w:tc>
          <w:tcPr>
            <w:tcW w:w="6345" w:type="dxa"/>
            <w:tcBorders>
              <w:top w:val="nil"/>
              <w:left w:val="nil"/>
              <w:bottom w:val="nil"/>
              <w:right w:val="nil"/>
            </w:tcBorders>
          </w:tcPr>
          <w:p w14:paraId="2E762FE9"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0718CBCC"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(-7.54)</w:t>
            </w:r>
          </w:p>
        </w:tc>
      </w:tr>
      <w:tr w:rsidR="0065509F" w:rsidRPr="0065509F" w14:paraId="2DCBE15F" w14:textId="77777777" w:rsidTr="00874EE0">
        <w:tc>
          <w:tcPr>
            <w:tcW w:w="6345" w:type="dxa"/>
            <w:tcBorders>
              <w:top w:val="nil"/>
              <w:left w:val="nil"/>
              <w:bottom w:val="nil"/>
              <w:right w:val="nil"/>
            </w:tcBorders>
          </w:tcPr>
          <w:p w14:paraId="3E07C24A"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Density RSD</w:t>
            </w:r>
          </w:p>
        </w:tc>
        <w:tc>
          <w:tcPr>
            <w:tcW w:w="2552" w:type="dxa"/>
            <w:tcBorders>
              <w:top w:val="nil"/>
              <w:left w:val="nil"/>
              <w:bottom w:val="nil"/>
              <w:right w:val="nil"/>
            </w:tcBorders>
          </w:tcPr>
          <w:p w14:paraId="4AB57164"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0.000843</w:t>
            </w:r>
            <w:r w:rsidRPr="0065509F">
              <w:rPr>
                <w:rFonts w:eastAsia="Calibri" w:cs="Times New Roman"/>
                <w:szCs w:val="24"/>
                <w:vertAlign w:val="superscript"/>
                <w:lang w:val="en-US"/>
              </w:rPr>
              <w:t>***</w:t>
            </w:r>
          </w:p>
        </w:tc>
      </w:tr>
      <w:tr w:rsidR="0065509F" w:rsidRPr="0065509F" w14:paraId="75EBBE92" w14:textId="77777777" w:rsidTr="00874EE0">
        <w:tc>
          <w:tcPr>
            <w:tcW w:w="6345" w:type="dxa"/>
            <w:tcBorders>
              <w:top w:val="nil"/>
              <w:left w:val="nil"/>
              <w:bottom w:val="nil"/>
              <w:right w:val="nil"/>
            </w:tcBorders>
          </w:tcPr>
          <w:p w14:paraId="0191BD67"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4F1BBB42"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(17.75)</w:t>
            </w:r>
          </w:p>
        </w:tc>
      </w:tr>
      <w:tr w:rsidR="0065509F" w:rsidRPr="0065509F" w14:paraId="74C96D15" w14:textId="77777777" w:rsidTr="00874EE0">
        <w:tc>
          <w:tcPr>
            <w:tcW w:w="6345" w:type="dxa"/>
            <w:tcBorders>
              <w:top w:val="nil"/>
              <w:left w:val="nil"/>
              <w:bottom w:val="nil"/>
              <w:right w:val="nil"/>
            </w:tcBorders>
          </w:tcPr>
          <w:p w14:paraId="6FFAEC69"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Male # Married</w:t>
            </w:r>
          </w:p>
        </w:tc>
        <w:tc>
          <w:tcPr>
            <w:tcW w:w="2552" w:type="dxa"/>
            <w:tcBorders>
              <w:top w:val="nil"/>
              <w:left w:val="nil"/>
              <w:bottom w:val="nil"/>
              <w:right w:val="nil"/>
            </w:tcBorders>
          </w:tcPr>
          <w:p w14:paraId="084C5E47"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0.377</w:t>
            </w:r>
            <w:r w:rsidRPr="0065509F">
              <w:rPr>
                <w:rFonts w:eastAsia="Calibri" w:cs="Times New Roman"/>
                <w:szCs w:val="24"/>
                <w:vertAlign w:val="superscript"/>
                <w:lang w:val="en-US"/>
              </w:rPr>
              <w:t>***</w:t>
            </w:r>
          </w:p>
        </w:tc>
      </w:tr>
      <w:tr w:rsidR="0065509F" w:rsidRPr="0065509F" w14:paraId="3B7BA9F8" w14:textId="77777777" w:rsidTr="00874EE0">
        <w:tc>
          <w:tcPr>
            <w:tcW w:w="6345" w:type="dxa"/>
            <w:tcBorders>
              <w:top w:val="nil"/>
              <w:left w:val="nil"/>
              <w:bottom w:val="nil"/>
              <w:right w:val="nil"/>
            </w:tcBorders>
          </w:tcPr>
          <w:p w14:paraId="6E6AADAC"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0D9580D2"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(58.76)</w:t>
            </w:r>
          </w:p>
        </w:tc>
      </w:tr>
      <w:tr w:rsidR="0065509F" w:rsidRPr="0065509F" w14:paraId="112D3191" w14:textId="77777777" w:rsidTr="00874EE0">
        <w:tc>
          <w:tcPr>
            <w:tcW w:w="6345" w:type="dxa"/>
            <w:tcBorders>
              <w:top w:val="nil"/>
              <w:left w:val="nil"/>
              <w:bottom w:val="nil"/>
              <w:right w:val="nil"/>
            </w:tcBorders>
          </w:tcPr>
          <w:p w14:paraId="123452FB"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Male # Widowed</w:t>
            </w:r>
          </w:p>
        </w:tc>
        <w:tc>
          <w:tcPr>
            <w:tcW w:w="2552" w:type="dxa"/>
            <w:tcBorders>
              <w:top w:val="nil"/>
              <w:left w:val="nil"/>
              <w:bottom w:val="nil"/>
              <w:right w:val="nil"/>
            </w:tcBorders>
          </w:tcPr>
          <w:p w14:paraId="7C603063"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0.0724</w:t>
            </w:r>
            <w:r w:rsidRPr="0065509F">
              <w:rPr>
                <w:rFonts w:eastAsia="Calibri" w:cs="Times New Roman"/>
                <w:szCs w:val="24"/>
                <w:vertAlign w:val="superscript"/>
                <w:lang w:val="en-US"/>
              </w:rPr>
              <w:t>***</w:t>
            </w:r>
          </w:p>
        </w:tc>
      </w:tr>
      <w:tr w:rsidR="0065509F" w:rsidRPr="0065509F" w14:paraId="59580AAE" w14:textId="77777777" w:rsidTr="00874EE0">
        <w:tc>
          <w:tcPr>
            <w:tcW w:w="6345" w:type="dxa"/>
            <w:tcBorders>
              <w:top w:val="nil"/>
              <w:left w:val="nil"/>
              <w:bottom w:val="nil"/>
              <w:right w:val="nil"/>
            </w:tcBorders>
          </w:tcPr>
          <w:p w14:paraId="0DD334DC"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7A9FA3B3"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(7.05)</w:t>
            </w:r>
          </w:p>
        </w:tc>
      </w:tr>
      <w:tr w:rsidR="0065509F" w:rsidRPr="0065509F" w14:paraId="1194D1DD" w14:textId="77777777" w:rsidTr="00874EE0">
        <w:tc>
          <w:tcPr>
            <w:tcW w:w="6345" w:type="dxa"/>
            <w:tcBorders>
              <w:top w:val="nil"/>
              <w:left w:val="nil"/>
              <w:bottom w:val="nil"/>
              <w:right w:val="nil"/>
            </w:tcBorders>
          </w:tcPr>
          <w:p w14:paraId="219E8A68"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Female # Single</w:t>
            </w:r>
          </w:p>
        </w:tc>
        <w:tc>
          <w:tcPr>
            <w:tcW w:w="2552" w:type="dxa"/>
            <w:tcBorders>
              <w:top w:val="nil"/>
              <w:left w:val="nil"/>
              <w:bottom w:val="nil"/>
              <w:right w:val="nil"/>
            </w:tcBorders>
          </w:tcPr>
          <w:p w14:paraId="5A307F69"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-0.799</w:t>
            </w:r>
            <w:r w:rsidRPr="0065509F">
              <w:rPr>
                <w:rFonts w:eastAsia="Calibri" w:cs="Times New Roman"/>
                <w:szCs w:val="24"/>
                <w:vertAlign w:val="superscript"/>
                <w:lang w:val="en-US"/>
              </w:rPr>
              <w:t>***</w:t>
            </w:r>
          </w:p>
        </w:tc>
      </w:tr>
      <w:tr w:rsidR="0065509F" w:rsidRPr="0065509F" w14:paraId="6D45BBD7" w14:textId="77777777" w:rsidTr="00874EE0">
        <w:tc>
          <w:tcPr>
            <w:tcW w:w="6345" w:type="dxa"/>
            <w:tcBorders>
              <w:top w:val="nil"/>
              <w:left w:val="nil"/>
              <w:bottom w:val="nil"/>
              <w:right w:val="nil"/>
            </w:tcBorders>
          </w:tcPr>
          <w:p w14:paraId="1543C249"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63812A6E"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(-62.03)</w:t>
            </w:r>
          </w:p>
        </w:tc>
      </w:tr>
      <w:tr w:rsidR="0065509F" w:rsidRPr="0065509F" w14:paraId="437DEC01" w14:textId="77777777" w:rsidTr="00874EE0">
        <w:tc>
          <w:tcPr>
            <w:tcW w:w="6345" w:type="dxa"/>
            <w:tcBorders>
              <w:top w:val="nil"/>
              <w:left w:val="nil"/>
              <w:bottom w:val="nil"/>
              <w:right w:val="nil"/>
            </w:tcBorders>
          </w:tcPr>
          <w:p w14:paraId="274406F1"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Female # Married</w:t>
            </w:r>
          </w:p>
        </w:tc>
        <w:tc>
          <w:tcPr>
            <w:tcW w:w="2552" w:type="dxa"/>
            <w:tcBorders>
              <w:top w:val="nil"/>
              <w:left w:val="nil"/>
              <w:bottom w:val="nil"/>
              <w:right w:val="nil"/>
            </w:tcBorders>
          </w:tcPr>
          <w:p w14:paraId="77CB0B50"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-0.765</w:t>
            </w:r>
            <w:r w:rsidRPr="0065509F">
              <w:rPr>
                <w:rFonts w:eastAsia="Calibri" w:cs="Times New Roman"/>
                <w:szCs w:val="24"/>
                <w:vertAlign w:val="superscript"/>
                <w:lang w:val="en-US"/>
              </w:rPr>
              <w:t>***</w:t>
            </w:r>
          </w:p>
        </w:tc>
      </w:tr>
      <w:tr w:rsidR="0065509F" w:rsidRPr="0065509F" w14:paraId="41A120B6" w14:textId="77777777" w:rsidTr="00874EE0">
        <w:tc>
          <w:tcPr>
            <w:tcW w:w="6345" w:type="dxa"/>
            <w:tcBorders>
              <w:top w:val="nil"/>
              <w:left w:val="nil"/>
              <w:bottom w:val="nil"/>
              <w:right w:val="nil"/>
            </w:tcBorders>
          </w:tcPr>
          <w:p w14:paraId="50D3CA96"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680FCFBB"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(-59.22)</w:t>
            </w:r>
          </w:p>
        </w:tc>
      </w:tr>
      <w:tr w:rsidR="0065509F" w:rsidRPr="0065509F" w14:paraId="1BA18F2F" w14:textId="77777777" w:rsidTr="00874EE0">
        <w:tc>
          <w:tcPr>
            <w:tcW w:w="6345" w:type="dxa"/>
            <w:tcBorders>
              <w:top w:val="nil"/>
              <w:left w:val="nil"/>
              <w:bottom w:val="nil"/>
              <w:right w:val="nil"/>
            </w:tcBorders>
          </w:tcPr>
          <w:p w14:paraId="5D70AF8C"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Female # Widowed</w:t>
            </w:r>
          </w:p>
        </w:tc>
        <w:tc>
          <w:tcPr>
            <w:tcW w:w="2552" w:type="dxa"/>
            <w:tcBorders>
              <w:top w:val="nil"/>
              <w:left w:val="nil"/>
              <w:bottom w:val="nil"/>
              <w:right w:val="nil"/>
            </w:tcBorders>
          </w:tcPr>
          <w:p w14:paraId="470B67FF"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-0.301</w:t>
            </w:r>
            <w:r w:rsidRPr="0065509F">
              <w:rPr>
                <w:rFonts w:eastAsia="Calibri" w:cs="Times New Roman"/>
                <w:szCs w:val="24"/>
                <w:vertAlign w:val="superscript"/>
                <w:lang w:val="en-US"/>
              </w:rPr>
              <w:t>***</w:t>
            </w:r>
          </w:p>
        </w:tc>
      </w:tr>
      <w:tr w:rsidR="0065509F" w:rsidRPr="0065509F" w14:paraId="69C05A4F" w14:textId="77777777" w:rsidTr="00874EE0">
        <w:tc>
          <w:tcPr>
            <w:tcW w:w="6345" w:type="dxa"/>
            <w:tcBorders>
              <w:top w:val="nil"/>
              <w:left w:val="nil"/>
              <w:bottom w:val="nil"/>
              <w:right w:val="nil"/>
            </w:tcBorders>
          </w:tcPr>
          <w:p w14:paraId="1FFEC6FB"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0C245AE9"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(-28.11)</w:t>
            </w:r>
          </w:p>
        </w:tc>
      </w:tr>
      <w:tr w:rsidR="0065509F" w:rsidRPr="0065509F" w14:paraId="639E9FC8" w14:textId="77777777" w:rsidTr="00874EE0">
        <w:tc>
          <w:tcPr>
            <w:tcW w:w="6345" w:type="dxa"/>
            <w:tcBorders>
              <w:top w:val="nil"/>
              <w:left w:val="nil"/>
              <w:bottom w:val="nil"/>
              <w:right w:val="nil"/>
            </w:tcBorders>
          </w:tcPr>
          <w:p w14:paraId="13557559"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Servants</w:t>
            </w:r>
          </w:p>
        </w:tc>
        <w:tc>
          <w:tcPr>
            <w:tcW w:w="2552" w:type="dxa"/>
            <w:tcBorders>
              <w:top w:val="nil"/>
              <w:left w:val="nil"/>
              <w:bottom w:val="nil"/>
              <w:right w:val="nil"/>
            </w:tcBorders>
          </w:tcPr>
          <w:p w14:paraId="50839958"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0.921</w:t>
            </w:r>
            <w:r w:rsidRPr="0065509F">
              <w:rPr>
                <w:rFonts w:eastAsia="Calibri" w:cs="Times New Roman"/>
                <w:szCs w:val="24"/>
                <w:vertAlign w:val="superscript"/>
                <w:lang w:val="en-US"/>
              </w:rPr>
              <w:t>***</w:t>
            </w:r>
          </w:p>
        </w:tc>
      </w:tr>
      <w:tr w:rsidR="0065509F" w:rsidRPr="0065509F" w14:paraId="77D52047" w14:textId="77777777" w:rsidTr="00874EE0">
        <w:tc>
          <w:tcPr>
            <w:tcW w:w="6345" w:type="dxa"/>
            <w:tcBorders>
              <w:top w:val="nil"/>
              <w:left w:val="nil"/>
              <w:bottom w:val="nil"/>
              <w:right w:val="nil"/>
            </w:tcBorders>
          </w:tcPr>
          <w:p w14:paraId="57649B30"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nil"/>
              <w:right w:val="nil"/>
            </w:tcBorders>
          </w:tcPr>
          <w:p w14:paraId="49A270FB"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(217.01)</w:t>
            </w:r>
          </w:p>
        </w:tc>
      </w:tr>
      <w:tr w:rsidR="0065509F" w:rsidRPr="0065509F" w14:paraId="7CF17C77" w14:textId="77777777" w:rsidTr="00874EE0">
        <w:tc>
          <w:tcPr>
            <w:tcW w:w="6345" w:type="dxa"/>
            <w:tcBorders>
              <w:top w:val="nil"/>
              <w:left w:val="nil"/>
              <w:bottom w:val="nil"/>
              <w:right w:val="nil"/>
            </w:tcBorders>
          </w:tcPr>
          <w:p w14:paraId="46442E7E"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Constant</w:t>
            </w:r>
          </w:p>
        </w:tc>
        <w:tc>
          <w:tcPr>
            <w:tcW w:w="2552" w:type="dxa"/>
            <w:tcBorders>
              <w:top w:val="nil"/>
              <w:left w:val="nil"/>
              <w:bottom w:val="nil"/>
              <w:right w:val="nil"/>
            </w:tcBorders>
          </w:tcPr>
          <w:p w14:paraId="40B8646D"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-0.908</w:t>
            </w:r>
            <w:r w:rsidRPr="0065509F">
              <w:rPr>
                <w:rFonts w:eastAsia="Calibri" w:cs="Times New Roman"/>
                <w:szCs w:val="24"/>
                <w:vertAlign w:val="superscript"/>
                <w:lang w:val="en-US"/>
              </w:rPr>
              <w:t>***</w:t>
            </w:r>
          </w:p>
        </w:tc>
      </w:tr>
      <w:tr w:rsidR="0065509F" w:rsidRPr="0065509F" w14:paraId="582E09CD" w14:textId="77777777" w:rsidTr="00874EE0">
        <w:tc>
          <w:tcPr>
            <w:tcW w:w="6345" w:type="dxa"/>
            <w:tcBorders>
              <w:top w:val="nil"/>
              <w:left w:val="nil"/>
              <w:bottom w:val="single" w:sz="4" w:space="0" w:color="auto"/>
              <w:right w:val="nil"/>
            </w:tcBorders>
          </w:tcPr>
          <w:p w14:paraId="5740DD63" w14:textId="77777777" w:rsidR="0065509F" w:rsidRPr="0065509F" w:rsidRDefault="0065509F" w:rsidP="0065509F">
            <w:pPr>
              <w:widowControl w:val="0"/>
              <w:autoSpaceDE w:val="0"/>
              <w:autoSpaceDN w:val="0"/>
              <w:adjustRightInd w:val="0"/>
              <w:rPr>
                <w:rFonts w:eastAsia="Calibri" w:cs="Times New Roman"/>
                <w:szCs w:val="24"/>
                <w:lang w:val="en-US"/>
              </w:rPr>
            </w:pPr>
          </w:p>
        </w:tc>
        <w:tc>
          <w:tcPr>
            <w:tcW w:w="2552" w:type="dxa"/>
            <w:tcBorders>
              <w:top w:val="nil"/>
              <w:left w:val="nil"/>
              <w:bottom w:val="single" w:sz="4" w:space="0" w:color="auto"/>
              <w:right w:val="nil"/>
            </w:tcBorders>
          </w:tcPr>
          <w:p w14:paraId="6E79F80D"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(-4.49)</w:t>
            </w:r>
          </w:p>
        </w:tc>
      </w:tr>
      <w:tr w:rsidR="0065509F" w:rsidRPr="0065509F" w14:paraId="737AE756" w14:textId="77777777" w:rsidTr="00874EE0">
        <w:tc>
          <w:tcPr>
            <w:tcW w:w="6345" w:type="dxa"/>
            <w:tcBorders>
              <w:top w:val="single" w:sz="4" w:space="0" w:color="auto"/>
              <w:left w:val="nil"/>
              <w:bottom w:val="nil"/>
              <w:right w:val="nil"/>
            </w:tcBorders>
          </w:tcPr>
          <w:p w14:paraId="793AD9B5"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Observations N</w:t>
            </w:r>
          </w:p>
        </w:tc>
        <w:tc>
          <w:tcPr>
            <w:tcW w:w="2552" w:type="dxa"/>
            <w:tcBorders>
              <w:top w:val="single" w:sz="4" w:space="0" w:color="auto"/>
              <w:left w:val="nil"/>
              <w:bottom w:val="nil"/>
              <w:right w:val="nil"/>
            </w:tcBorders>
          </w:tcPr>
          <w:p w14:paraId="61BEE598"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1,682,897</w:t>
            </w:r>
          </w:p>
        </w:tc>
      </w:tr>
      <w:tr w:rsidR="0065509F" w:rsidRPr="0065509F" w14:paraId="0ABAC739" w14:textId="77777777" w:rsidTr="00874EE0">
        <w:tc>
          <w:tcPr>
            <w:tcW w:w="6345" w:type="dxa"/>
            <w:tcBorders>
              <w:top w:val="nil"/>
              <w:left w:val="nil"/>
              <w:bottom w:val="single" w:sz="4" w:space="0" w:color="auto"/>
              <w:right w:val="nil"/>
            </w:tcBorders>
          </w:tcPr>
          <w:p w14:paraId="4D09B664" w14:textId="77777777" w:rsidR="0065509F" w:rsidRPr="0065509F" w:rsidRDefault="0065509F" w:rsidP="0065509F">
            <w:pPr>
              <w:widowControl w:val="0"/>
              <w:autoSpaceDE w:val="0"/>
              <w:autoSpaceDN w:val="0"/>
              <w:adjustRightInd w:val="0"/>
              <w:rPr>
                <w:rFonts w:eastAsia="Calibri" w:cs="Times New Roman"/>
                <w:szCs w:val="24"/>
                <w:lang w:val="en-US"/>
              </w:rPr>
            </w:pPr>
            <w:r w:rsidRPr="0065509F">
              <w:rPr>
                <w:rFonts w:eastAsia="Calibri" w:cs="Times New Roman"/>
                <w:szCs w:val="24"/>
                <w:lang w:val="en-US"/>
              </w:rPr>
              <w:t xml:space="preserve">Pseudo </w:t>
            </w:r>
            <w:r w:rsidRPr="0065509F">
              <w:rPr>
                <w:rFonts w:eastAsia="Calibri" w:cs="Times New Roman"/>
                <w:i/>
                <w:iCs/>
                <w:szCs w:val="24"/>
                <w:lang w:val="en-US"/>
              </w:rPr>
              <w:t>R</w:t>
            </w:r>
            <w:r w:rsidRPr="0065509F">
              <w:rPr>
                <w:rFonts w:eastAsia="Calibri" w:cs="Times New Roman"/>
                <w:szCs w:val="24"/>
                <w:vertAlign w:val="superscript"/>
                <w:lang w:val="en-US"/>
              </w:rPr>
              <w:t>2</w:t>
            </w:r>
          </w:p>
        </w:tc>
        <w:tc>
          <w:tcPr>
            <w:tcW w:w="2552" w:type="dxa"/>
            <w:tcBorders>
              <w:top w:val="nil"/>
              <w:left w:val="nil"/>
              <w:bottom w:val="single" w:sz="4" w:space="0" w:color="auto"/>
              <w:right w:val="nil"/>
            </w:tcBorders>
          </w:tcPr>
          <w:p w14:paraId="08A706C1" w14:textId="77777777" w:rsidR="0065509F" w:rsidRPr="0065509F" w:rsidRDefault="0065509F" w:rsidP="0065509F">
            <w:pPr>
              <w:widowControl w:val="0"/>
              <w:autoSpaceDE w:val="0"/>
              <w:autoSpaceDN w:val="0"/>
              <w:adjustRightInd w:val="0"/>
              <w:jc w:val="center"/>
              <w:rPr>
                <w:rFonts w:eastAsia="Calibri" w:cs="Times New Roman"/>
                <w:szCs w:val="24"/>
                <w:lang w:val="en-US"/>
              </w:rPr>
            </w:pPr>
            <w:r w:rsidRPr="0065509F">
              <w:rPr>
                <w:rFonts w:eastAsia="Calibri" w:cs="Times New Roman"/>
                <w:szCs w:val="24"/>
                <w:lang w:val="en-US"/>
              </w:rPr>
              <w:t>0.261</w:t>
            </w:r>
          </w:p>
        </w:tc>
      </w:tr>
    </w:tbl>
    <w:p w14:paraId="3A799685" w14:textId="77777777" w:rsidR="0065509F" w:rsidRPr="0065509F" w:rsidRDefault="0065509F" w:rsidP="0065509F">
      <w:pPr>
        <w:spacing w:line="360" w:lineRule="auto"/>
        <w:jc w:val="both"/>
        <w:rPr>
          <w:rFonts w:eastAsia="Calibri" w:cs="Times New Roman"/>
          <w:b/>
        </w:rPr>
      </w:pPr>
    </w:p>
    <w:p w14:paraId="65904AB9" w14:textId="77777777" w:rsidR="0065509F" w:rsidRPr="0065509F" w:rsidRDefault="0065509F" w:rsidP="0065509F">
      <w:pPr>
        <w:spacing w:line="360" w:lineRule="auto"/>
        <w:jc w:val="both"/>
        <w:rPr>
          <w:rFonts w:eastAsia="Calibri" w:cs="Times New Roman"/>
        </w:rPr>
      </w:pPr>
      <w:proofErr w:type="gramStart"/>
      <w:r w:rsidRPr="0065509F">
        <w:rPr>
          <w:rFonts w:eastAsia="Calibri" w:cs="Times New Roman"/>
          <w:b/>
        </w:rPr>
        <w:t>Table 4.</w:t>
      </w:r>
      <w:proofErr w:type="gramEnd"/>
      <w:r w:rsidRPr="0065509F">
        <w:rPr>
          <w:rFonts w:eastAsia="Calibri" w:cs="Times New Roman"/>
          <w:b/>
        </w:rPr>
        <w:t xml:space="preserve">  </w:t>
      </w:r>
      <w:r w:rsidRPr="0065509F">
        <w:rPr>
          <w:rFonts w:eastAsia="Calibri" w:cs="Times New Roman"/>
        </w:rPr>
        <w:t>Estimates of weighted logit regression for the probability of being an employer; 1901 individual level data used to estimate employer and own account numbers (coefficients and standard errors);</w:t>
      </w:r>
      <w:r w:rsidRPr="0065509F">
        <w:rPr>
          <w:rFonts w:eastAsia="Calibri" w:cs="Times New Roman"/>
          <w:iCs/>
          <w:szCs w:val="24"/>
          <w:lang w:val="en-US"/>
        </w:rPr>
        <w:t xml:space="preserve"> and 5 representative occupational categories with their I-CeM Occode </w:t>
      </w:r>
      <w:r w:rsidRPr="0065509F">
        <w:rPr>
          <w:rFonts w:eastAsia="Calibri" w:cs="Times New Roman"/>
          <w:iCs/>
          <w:szCs w:val="24"/>
          <w:lang w:val="en-US"/>
        </w:rPr>
        <w:lastRenderedPageBreak/>
        <w:t>identifier; (base categories male and single).  *** indicates that estimates are significant at the 99.9% significance level.</w:t>
      </w:r>
    </w:p>
    <w:p w14:paraId="3BEE82D2" w14:textId="77777777" w:rsidR="001E7990" w:rsidRDefault="001E7990" w:rsidP="002726CD">
      <w:pPr>
        <w:spacing w:line="360" w:lineRule="auto"/>
        <w:jc w:val="both"/>
      </w:pPr>
    </w:p>
    <w:p w14:paraId="6B8F9650" w14:textId="77777777" w:rsidR="0065509F" w:rsidRDefault="0065509F" w:rsidP="002726CD">
      <w:pPr>
        <w:spacing w:line="360" w:lineRule="auto"/>
        <w:jc w:val="both"/>
      </w:pPr>
    </w:p>
    <w:p w14:paraId="481D8190" w14:textId="120D9413" w:rsidR="001E7990" w:rsidRDefault="001E7990" w:rsidP="002726CD">
      <w:pPr>
        <w:spacing w:line="360" w:lineRule="auto"/>
        <w:jc w:val="both"/>
      </w:pPr>
      <w:r>
        <w:t xml:space="preserve">The first three methods provide alternative estimates of the numbers of employers that could be reassigned to own account to compensate for upward biases towards employers; the fourth method accepts the original responses unchanged. For each of the 629 occupations these estimates were compared for trends and absolute numbers against </w:t>
      </w:r>
      <w:r w:rsidRPr="00E96717">
        <w:t xml:space="preserve">the </w:t>
      </w:r>
      <w:r>
        <w:t>published</w:t>
      </w:r>
      <w:r w:rsidRPr="00E96717">
        <w:t xml:space="preserve"> </w:t>
      </w:r>
      <w:r>
        <w:t xml:space="preserve">Census </w:t>
      </w:r>
      <w:r w:rsidRPr="00E96717">
        <w:t>responses</w:t>
      </w:r>
      <w:r>
        <w:t>,</w:t>
      </w:r>
      <w:r w:rsidRPr="00E96717">
        <w:t xml:space="preserve"> </w:t>
      </w:r>
      <w:r w:rsidRPr="00B65DD1">
        <w:t>the GRO Census commentary</w:t>
      </w:r>
      <w:r>
        <w:t>,</w:t>
      </w:r>
      <w:r w:rsidRPr="00B65DD1">
        <w:t xml:space="preserve"> </w:t>
      </w:r>
      <w:r>
        <w:t>patterns known from the secondary literature, and a calculation of the ratio of workers to employers and own account to indicate a simple measure of mean firm size</w:t>
      </w:r>
      <w:r w:rsidR="00DE7C8D">
        <w:t xml:space="preserve"> (although this is a very imprecise indicator; see </w:t>
      </w:r>
      <w:r w:rsidR="00C21022">
        <w:t>comments in conclusion</w:t>
      </w:r>
      <w:r w:rsidR="00DE7C8D">
        <w:t>)</w:t>
      </w:r>
      <w:r>
        <w:t>. The actual responses were accepted where the employment status of that occupation was unambiguous (method (4) above)</w:t>
      </w:r>
      <w:r w:rsidR="00363851">
        <w:t xml:space="preserve"> as for pig iron or steel manufacturers</w:t>
      </w:r>
      <w:r>
        <w:t xml:space="preserve">, or </w:t>
      </w:r>
      <w:r w:rsidRPr="00BE3D62">
        <w:t xml:space="preserve">where the </w:t>
      </w:r>
      <w:r>
        <w:t>number</w:t>
      </w:r>
      <w:r w:rsidR="00DE7C8D">
        <w:t>s</w:t>
      </w:r>
      <w:r>
        <w:t xml:space="preserve"> in the occupational </w:t>
      </w:r>
      <w:r w:rsidRPr="00BE3D62">
        <w:t>categor</w:t>
      </w:r>
      <w:r>
        <w:t>y were to</w:t>
      </w:r>
      <w:r w:rsidRPr="00BE3D62">
        <w:t xml:space="preserve">o small to make </w:t>
      </w:r>
      <w:r w:rsidRPr="008F0BBD">
        <w:t xml:space="preserve">reliable </w:t>
      </w:r>
      <w:r w:rsidRPr="00BE3D62">
        <w:t>estimates</w:t>
      </w:r>
      <w:r w:rsidR="00363851">
        <w:t xml:space="preserve"> (such as resin m</w:t>
      </w:r>
      <w:r w:rsidR="00363851" w:rsidRPr="00363851">
        <w:t>anufacture</w:t>
      </w:r>
      <w:r w:rsidR="00363851">
        <w:t>s</w:t>
      </w:r>
      <w:r w:rsidR="001673FB">
        <w:t>,</w:t>
      </w:r>
      <w:r w:rsidR="00363851">
        <w:t xml:space="preserve"> </w:t>
      </w:r>
      <w:r w:rsidR="001673FB">
        <w:t xml:space="preserve">which had </w:t>
      </w:r>
      <w:r w:rsidR="00363851">
        <w:t>only 5 employers in 1891)</w:t>
      </w:r>
      <w:r w:rsidRPr="00BE3D62">
        <w:t>.</w:t>
      </w:r>
      <w:r>
        <w:t xml:space="preserve"> In all other cases an estimate was derived from one of the three other methods. In general method (1) was preferred since it draws on the widest range of information at the individual level. </w:t>
      </w:r>
      <w:r w:rsidR="00363851">
        <w:t xml:space="preserve">It uses the attributes of the individuals from 1901 and, assuming these remain the same, uses the attributes in 1891 to allocate status for the non-respondents. </w:t>
      </w:r>
      <w:r>
        <w:t xml:space="preserve">However, if method (1) was used in all cases the downward correction of employer numbers would be very high compared with other information sources: far greater than shown in Table 3. As a result a mix of estimation methods is preferred. In the final outcome, 430 occupation categories were corrected using the regression method (1), 11 </w:t>
      </w:r>
      <w:r w:rsidR="00DE7C8D">
        <w:t xml:space="preserve">used </w:t>
      </w:r>
      <w:r>
        <w:t xml:space="preserve">linear extrapolation method (2), </w:t>
      </w:r>
      <w:r w:rsidRPr="00A36588">
        <w:t>1</w:t>
      </w:r>
      <w:r>
        <w:t xml:space="preserve">86 </w:t>
      </w:r>
      <w:r w:rsidR="00DE7C8D">
        <w:t xml:space="preserve">used </w:t>
      </w:r>
      <w:r>
        <w:t xml:space="preserve">actual 1891 responses, and two had such fractionally low estimates of potential employers derived from any method that they were assigned wholly to own account. </w:t>
      </w:r>
      <w:r w:rsidR="00DE7C8D">
        <w:t>No</w:t>
      </w:r>
      <w:r>
        <w:t xml:space="preserve"> comparisons justified the choice of the average ratios method (3).</w:t>
      </w:r>
    </w:p>
    <w:p w14:paraId="2F0051E5" w14:textId="77777777" w:rsidR="001E7990" w:rsidRDefault="001E7990" w:rsidP="002726CD">
      <w:pPr>
        <w:spacing w:line="360" w:lineRule="auto"/>
        <w:jc w:val="both"/>
      </w:pPr>
    </w:p>
    <w:p w14:paraId="3A529D33" w14:textId="0F82FFD0" w:rsidR="001E7990" w:rsidRDefault="001E7990" w:rsidP="00A72EF0">
      <w:pPr>
        <w:spacing w:line="360" w:lineRule="auto"/>
        <w:jc w:val="both"/>
        <w:rPr>
          <w:lang w:val="en-US"/>
        </w:rPr>
      </w:pPr>
      <w:r w:rsidRPr="006E5E3D">
        <w:rPr>
          <w:lang w:val="en-US"/>
        </w:rPr>
        <w:t>Table 3 provide</w:t>
      </w:r>
      <w:r>
        <w:rPr>
          <w:lang w:val="en-US"/>
        </w:rPr>
        <w:t>s</w:t>
      </w:r>
      <w:r w:rsidRPr="006E5E3D">
        <w:rPr>
          <w:lang w:val="en-US"/>
        </w:rPr>
        <w:t xml:space="preserve"> final estimates for the 1891 counts of </w:t>
      </w:r>
      <w:r w:rsidRPr="00DD29FF">
        <w:rPr>
          <w:i/>
          <w:lang w:val="en-US"/>
        </w:rPr>
        <w:t xml:space="preserve">total </w:t>
      </w:r>
      <w:r w:rsidRPr="006E5E3D">
        <w:rPr>
          <w:lang w:val="en-US"/>
        </w:rPr>
        <w:t>numbers, after corrections for non</w:t>
      </w:r>
      <w:r>
        <w:rPr>
          <w:lang w:val="en-US"/>
        </w:rPr>
        <w:t xml:space="preserve">-response </w:t>
      </w:r>
      <w:r w:rsidRPr="006E5E3D">
        <w:rPr>
          <w:i/>
          <w:lang w:val="en-US"/>
        </w:rPr>
        <w:t>and</w:t>
      </w:r>
      <w:r>
        <w:rPr>
          <w:lang w:val="en-US"/>
        </w:rPr>
        <w:t xml:space="preserve"> 1891 misallocation biases. However, to identify the individuals who should most likely be assigned to employer status, a further step is required. </w:t>
      </w:r>
      <w:r w:rsidR="00DE7C8D">
        <w:rPr>
          <w:lang w:val="en-US"/>
        </w:rPr>
        <w:t>After</w:t>
      </w:r>
      <w:r>
        <w:rPr>
          <w:lang w:val="en-US"/>
        </w:rPr>
        <w:t xml:space="preserve"> choice of estimation methods, the </w:t>
      </w:r>
      <w:r w:rsidRPr="00B65DD1">
        <w:rPr>
          <w:i/>
          <w:lang w:val="en-US"/>
        </w:rPr>
        <w:t>actual</w:t>
      </w:r>
      <w:r>
        <w:rPr>
          <w:lang w:val="en-US"/>
        </w:rPr>
        <w:t xml:space="preserve"> individuals can be assigned using their individual characteristics from the logit regression in most cases (method (1))</w:t>
      </w:r>
      <w:r w:rsidR="00363851">
        <w:rPr>
          <w:lang w:val="en-US"/>
        </w:rPr>
        <w:t xml:space="preserve"> or</w:t>
      </w:r>
      <w:r>
        <w:rPr>
          <w:lang w:val="en-US"/>
        </w:rPr>
        <w:t xml:space="preserve"> the</w:t>
      </w:r>
      <w:r w:rsidR="00ED73BE">
        <w:rPr>
          <w:lang w:val="en-US"/>
        </w:rPr>
        <w:t>ir</w:t>
      </w:r>
      <w:r>
        <w:rPr>
          <w:lang w:val="en-US"/>
        </w:rPr>
        <w:t xml:space="preserve"> actual responses (method (4)). However, </w:t>
      </w:r>
      <w:r w:rsidR="00ED73BE">
        <w:rPr>
          <w:lang w:val="en-US"/>
        </w:rPr>
        <w:t xml:space="preserve">for the 11 cases </w:t>
      </w:r>
      <w:r>
        <w:rPr>
          <w:lang w:val="en-US"/>
        </w:rPr>
        <w:t>where method (2) is used</w:t>
      </w:r>
      <w:r w:rsidR="001673FB">
        <w:rPr>
          <w:lang w:val="en-US"/>
        </w:rPr>
        <w:t xml:space="preserve"> </w:t>
      </w:r>
      <w:r w:rsidR="00ED73BE">
        <w:rPr>
          <w:lang w:val="en-US"/>
        </w:rPr>
        <w:t>the</w:t>
      </w:r>
      <w:r>
        <w:rPr>
          <w:lang w:val="en-US"/>
        </w:rPr>
        <w:t xml:space="preserve"> logit regression still identifies individuals to reassign</w:t>
      </w:r>
      <w:r w:rsidR="00ED73BE">
        <w:rPr>
          <w:lang w:val="en-US"/>
        </w:rPr>
        <w:t xml:space="preserve">, </w:t>
      </w:r>
      <w:r w:rsidR="001673FB">
        <w:rPr>
          <w:lang w:val="en-US"/>
        </w:rPr>
        <w:t>with</w:t>
      </w:r>
      <w:r>
        <w:rPr>
          <w:lang w:val="en-US"/>
        </w:rPr>
        <w:t xml:space="preserve"> any difference between the regression estimate and the </w:t>
      </w:r>
      <w:r>
        <w:rPr>
          <w:lang w:val="en-US"/>
        </w:rPr>
        <w:lastRenderedPageBreak/>
        <w:t>linear extrapolation made up by randomly assigning individuals from own account to employer if the linear estimate was higher, or from employers to own account, if the linear estimate was smaller than the regression estimate.</w:t>
      </w:r>
      <w:r w:rsidRPr="00A72EF0">
        <w:rPr>
          <w:lang w:val="en-US"/>
        </w:rPr>
        <w:t xml:space="preserve"> </w:t>
      </w:r>
    </w:p>
    <w:p w14:paraId="0E6593A8" w14:textId="77777777" w:rsidR="001E7990" w:rsidRDefault="001E7990" w:rsidP="00A72EF0">
      <w:pPr>
        <w:spacing w:line="360" w:lineRule="auto"/>
        <w:jc w:val="both"/>
        <w:rPr>
          <w:lang w:val="en-US"/>
        </w:rPr>
      </w:pPr>
    </w:p>
    <w:p w14:paraId="69DE5D9C" w14:textId="7A80E79A" w:rsidR="001E7990" w:rsidRDefault="001E7990" w:rsidP="00A72EF0">
      <w:pPr>
        <w:spacing w:line="360" w:lineRule="auto"/>
        <w:jc w:val="both"/>
      </w:pPr>
      <w:r>
        <w:t xml:space="preserve">The final estimates for 1891 after all corrections, shown </w:t>
      </w:r>
      <w:r w:rsidRPr="00B44A48">
        <w:t xml:space="preserve">in row eight of Table 3, reassigned 132,000 individuals from employer to own account to correct for upward biases.  A further 43,000 were identified as employers after accounting </w:t>
      </w:r>
      <w:r>
        <w:t>for</w:t>
      </w:r>
      <w:r w:rsidRPr="00B44A48">
        <w:t xml:space="preserve"> non-</w:t>
      </w:r>
      <w:r>
        <w:t>response bias</w:t>
      </w:r>
      <w:r w:rsidRPr="00B44A48">
        <w:t xml:space="preserve">. </w:t>
      </w:r>
      <w:r>
        <w:t>Most</w:t>
      </w:r>
      <w:r w:rsidRPr="00B44A48">
        <w:t xml:space="preserve"> corrections </w:t>
      </w:r>
      <w:r>
        <w:t>to</w:t>
      </w:r>
      <w:r w:rsidRPr="00B44A48">
        <w:t xml:space="preserve"> 1891 derive from </w:t>
      </w:r>
      <w:r>
        <w:t>rectifying</w:t>
      </w:r>
      <w:r w:rsidRPr="00B44A48">
        <w:t xml:space="preserve"> upward bias, followed by the data cleaning </w:t>
      </w:r>
      <w:proofErr w:type="gramStart"/>
      <w:r w:rsidRPr="00B44A48">
        <w:t>stages,</w:t>
      </w:r>
      <w:proofErr w:type="gramEnd"/>
      <w:r w:rsidRPr="00B44A48">
        <w:t xml:space="preserve"> non-response bias re-weighting</w:t>
      </w:r>
      <w:r>
        <w:t xml:space="preserve"> provided the fewest alterations</w:t>
      </w:r>
      <w:r w:rsidRPr="00B44A48">
        <w:t>; whereas</w:t>
      </w:r>
      <w:r>
        <w:t xml:space="preserve"> for 1901 and 1911 data cleaning and weighting for non-respondents are more equal in effect.</w:t>
      </w:r>
    </w:p>
    <w:p w14:paraId="399FB92D" w14:textId="77777777" w:rsidR="00ED73BE" w:rsidRDefault="00ED73BE" w:rsidP="00A72EF0">
      <w:pPr>
        <w:spacing w:line="360" w:lineRule="auto"/>
        <w:jc w:val="both"/>
      </w:pPr>
    </w:p>
    <w:p w14:paraId="3F8FBC67" w14:textId="2DD13081" w:rsidR="00ED73BE" w:rsidRPr="00B063CB" w:rsidRDefault="00ED73BE" w:rsidP="00A72EF0">
      <w:pPr>
        <w:spacing w:line="360" w:lineRule="auto"/>
        <w:jc w:val="both"/>
      </w:pPr>
      <w:r>
        <w:t xml:space="preserve">The numbers given are point ‘estimates’, but </w:t>
      </w:r>
      <w:proofErr w:type="gramStart"/>
      <w:r>
        <w:t xml:space="preserve">a large proportion </w:t>
      </w:r>
      <w:r w:rsidR="00CD5EC7">
        <w:t>are</w:t>
      </w:r>
      <w:proofErr w:type="gramEnd"/>
      <w:r>
        <w:t xml:space="preserve"> the actual responses. Where the respondent replies to the question all responses are accepted as accurate. It is only non-respondents and over-estimates in 1891</w:t>
      </w:r>
      <w:r w:rsidR="00461391">
        <w:t xml:space="preserve"> that are</w:t>
      </w:r>
      <w:r>
        <w:t xml:space="preserve"> </w:t>
      </w:r>
      <w:r w:rsidR="00461391">
        <w:t>adjust</w:t>
      </w:r>
      <w:r>
        <w:t xml:space="preserve">ed. This means that ranges of the estimates that are calculated are narrow, as most of the respondents are identified precisely. </w:t>
      </w:r>
      <w:r w:rsidR="00461391">
        <w:t>In addition,</w:t>
      </w:r>
      <w:r w:rsidR="00B063CB">
        <w:t xml:space="preserve"> where individuals are estimated using method (1) the very large data size ensures </w:t>
      </w:r>
      <w:r w:rsidR="00461391">
        <w:t>small</w:t>
      </w:r>
      <w:r w:rsidR="00B063CB">
        <w:t xml:space="preserve"> standard errors. </w:t>
      </w:r>
      <w:r w:rsidR="00461391">
        <w:t>Hence c</w:t>
      </w:r>
      <w:r>
        <w:t>onfidence bounds given in Table 3 and subsequent tables show a very narrow range in all cases.</w:t>
      </w:r>
      <w:r w:rsidR="00B063CB" w:rsidRPr="00B063CB">
        <w:rPr>
          <w:vertAlign w:val="superscript"/>
        </w:rPr>
        <w:endnoteReference w:id="12"/>
      </w:r>
      <w:r>
        <w:t xml:space="preserve"> For example, in 1891 the range for workers is </w:t>
      </w:r>
      <w:r w:rsidR="00B063CB">
        <w:t xml:space="preserve">only </w:t>
      </w:r>
      <w:r>
        <w:t>0.05%</w:t>
      </w:r>
      <w:r w:rsidR="00B063CB">
        <w:t xml:space="preserve"> of the total economically active</w:t>
      </w:r>
      <w:r>
        <w:t>, for own account 0.39%, and for employers 0.52%</w:t>
      </w:r>
      <w:r w:rsidR="00CD5EC7">
        <w:t xml:space="preserve">; the estimates at the midpoints are </w:t>
      </w:r>
      <w:r w:rsidR="00CD5EC7" w:rsidRPr="00CD5EC7">
        <w:t>±</w:t>
      </w:r>
      <w:r w:rsidR="00CD5EC7">
        <w:t xml:space="preserve"> half these percentages</w:t>
      </w:r>
      <w:r>
        <w:t xml:space="preserve">. </w:t>
      </w:r>
      <w:r w:rsidR="00B063CB">
        <w:t xml:space="preserve">These differences </w:t>
      </w:r>
      <w:r w:rsidR="00CD5EC7">
        <w:t xml:space="preserve">in ranges mostly </w:t>
      </w:r>
      <w:r w:rsidR="00B063CB">
        <w:t>re</w:t>
      </w:r>
      <w:r w:rsidR="00CD5EC7">
        <w:t>flect</w:t>
      </w:r>
      <w:r w:rsidR="00B063CB">
        <w:t xml:space="preserve"> different population sizes, indicating that we have greatest confidence in identifying workers</w:t>
      </w:r>
      <w:r w:rsidR="005E0E27">
        <w:t xml:space="preserve"> and least confidence for</w:t>
      </w:r>
      <w:r w:rsidR="00B063CB">
        <w:t xml:space="preserve"> employers. </w:t>
      </w:r>
      <w:r w:rsidR="005E0E27">
        <w:t xml:space="preserve">But even for employers the range of </w:t>
      </w:r>
      <w:r w:rsidR="00461391">
        <w:t xml:space="preserve">0.5% </w:t>
      </w:r>
      <w:r w:rsidR="00CD5EC7">
        <w:t>(</w:t>
      </w:r>
      <w:r w:rsidR="00CD5EC7" w:rsidRPr="00CD5EC7">
        <w:t>±</w:t>
      </w:r>
      <w:r w:rsidR="00CD5EC7">
        <w:t xml:space="preserve"> 0.25%) </w:t>
      </w:r>
      <w:r w:rsidR="00461391">
        <w:t>is very narrow</w:t>
      </w:r>
      <w:r w:rsidR="005E0E27">
        <w:t>, a</w:t>
      </w:r>
      <w:r>
        <w:t xml:space="preserve">s to be expected from a Census </w:t>
      </w:r>
      <w:r w:rsidR="005E0E27">
        <w:t xml:space="preserve">where </w:t>
      </w:r>
      <w:r>
        <w:t xml:space="preserve">the data are generally accurate. </w:t>
      </w:r>
    </w:p>
    <w:p w14:paraId="12BA11C0" w14:textId="77777777" w:rsidR="001E7990" w:rsidRDefault="001E7990" w:rsidP="00862A02">
      <w:pPr>
        <w:spacing w:line="360" w:lineRule="auto"/>
        <w:jc w:val="both"/>
      </w:pPr>
    </w:p>
    <w:p w14:paraId="0747B1B2" w14:textId="77777777" w:rsidR="001E7990" w:rsidRPr="0094292F" w:rsidRDefault="001E7990" w:rsidP="00862A02">
      <w:pPr>
        <w:spacing w:line="360" w:lineRule="auto"/>
        <w:jc w:val="both"/>
        <w:rPr>
          <w:b/>
          <w:i/>
        </w:rPr>
      </w:pPr>
      <w:r w:rsidRPr="0094292F">
        <w:rPr>
          <w:b/>
          <w:i/>
        </w:rPr>
        <w:t>Overview of corrections 1891-1911</w:t>
      </w:r>
    </w:p>
    <w:p w14:paraId="64789CF4" w14:textId="77777777" w:rsidR="001E7990" w:rsidRDefault="001E7990" w:rsidP="00862A02">
      <w:pPr>
        <w:spacing w:line="360" w:lineRule="auto"/>
        <w:jc w:val="both"/>
      </w:pPr>
    </w:p>
    <w:p w14:paraId="022A2BB0" w14:textId="2F9C777A" w:rsidR="001E7990" w:rsidRDefault="001E7990" w:rsidP="00862A02">
      <w:pPr>
        <w:spacing w:line="360" w:lineRule="auto"/>
        <w:jc w:val="both"/>
      </w:pPr>
      <w:r>
        <w:t xml:space="preserve">Table 3 summarises the estimates of </w:t>
      </w:r>
      <w:r w:rsidR="006B048B">
        <w:t xml:space="preserve">proprietor </w:t>
      </w:r>
      <w:r>
        <w:t>numbers after all corrections to the census responses. The penultimate column can be compared with the estimates of total proprietors in the published Census and raw I-CeM data</w:t>
      </w:r>
      <w:r w:rsidR="00B8508D">
        <w:t xml:space="preserve"> (Table 1)</w:t>
      </w:r>
      <w:r>
        <w:t xml:space="preserve">. Imposing the sort of corrections that modern Censuses would apply to published tables increases the number of proprietors by about 200,000 for each year. For the other columns, Table 3 also indicates that the dip in employer numbers for 1901, shown in both published tables and I-CeM, did not actually occur: its appearance was an artefact of the upward bias of the 1891 published figures.  However, Table 3 confirms that a true peak </w:t>
      </w:r>
      <w:r w:rsidRPr="008E3759">
        <w:t xml:space="preserve">of own account numbers </w:t>
      </w:r>
      <w:r>
        <w:t xml:space="preserve">occurred in 1901, with a </w:t>
      </w:r>
      <w:r>
        <w:lastRenderedPageBreak/>
        <w:t xml:space="preserve">decline beginning thereafter; though this is less marked than in the published or I-CeM data. </w:t>
      </w:r>
      <w:r w:rsidRPr="008E3759">
        <w:t>Th</w:t>
      </w:r>
      <w:r>
        <w:t>e new estimates indicate</w:t>
      </w:r>
      <w:r w:rsidRPr="008E3759">
        <w:t xml:space="preserve"> the unreliability of the published Census Report tables even for what </w:t>
      </w:r>
      <w:r>
        <w:t>they reported</w:t>
      </w:r>
      <w:r w:rsidRPr="008E3759">
        <w:t xml:space="preserve"> and the need to use the alterative estimates given here.</w:t>
      </w:r>
      <w:r>
        <w:t xml:space="preserve"> </w:t>
      </w:r>
    </w:p>
    <w:p w14:paraId="7B058A7A" w14:textId="77777777" w:rsidR="00B8508D" w:rsidRDefault="00B8508D" w:rsidP="00862A02">
      <w:pPr>
        <w:spacing w:line="360" w:lineRule="auto"/>
        <w:jc w:val="both"/>
      </w:pPr>
    </w:p>
    <w:p w14:paraId="3CCDE072" w14:textId="244B9F2C" w:rsidR="005E12A0" w:rsidRDefault="00B8508D" w:rsidP="005E12A0">
      <w:pPr>
        <w:spacing w:line="360" w:lineRule="auto"/>
        <w:jc w:val="both"/>
      </w:pPr>
      <w:r>
        <w:t xml:space="preserve">The peak in numbers </w:t>
      </w:r>
      <w:r w:rsidR="005E12A0">
        <w:t xml:space="preserve">in 1901 </w:t>
      </w:r>
      <w:r>
        <w:t xml:space="preserve">is </w:t>
      </w:r>
      <w:r w:rsidR="009E22D0">
        <w:t xml:space="preserve">not quite </w:t>
      </w:r>
      <w:r>
        <w:t xml:space="preserve">reflected in a peak in </w:t>
      </w:r>
      <w:r w:rsidR="005E12A0">
        <w:t xml:space="preserve">the </w:t>
      </w:r>
      <w:r w:rsidR="00CD5EC7" w:rsidRPr="0000572D">
        <w:rPr>
          <w:i/>
        </w:rPr>
        <w:t>rate</w:t>
      </w:r>
      <w:r w:rsidR="005E12A0" w:rsidRPr="0000572D">
        <w:rPr>
          <w:i/>
        </w:rPr>
        <w:t xml:space="preserve"> </w:t>
      </w:r>
      <w:r w:rsidR="005E12A0">
        <w:t>of total non-corporate entrepreneurship. As shown in Table 5, proprietors reached a high point of 13</w:t>
      </w:r>
      <w:r w:rsidR="009E22D0">
        <w:t>.8</w:t>
      </w:r>
      <w:r w:rsidR="005E12A0">
        <w:t xml:space="preserve">% of the working population in </w:t>
      </w:r>
      <w:r w:rsidR="009E22D0">
        <w:t>1891</w:t>
      </w:r>
      <w:r w:rsidR="005E12A0">
        <w:t xml:space="preserve">, before beginning to fall back. This reduction was the </w:t>
      </w:r>
      <w:r w:rsidR="009E22D0">
        <w:t xml:space="preserve">mainly </w:t>
      </w:r>
      <w:r w:rsidR="005E12A0">
        <w:t xml:space="preserve">result of decreases in own account, since employer proportions of the population </w:t>
      </w:r>
      <w:r w:rsidR="009E22D0">
        <w:t>declined only slightly by</w:t>
      </w:r>
      <w:r w:rsidR="005E12A0">
        <w:t xml:space="preserve"> 1911. The pattern of non-corporate </w:t>
      </w:r>
      <w:r w:rsidR="006B048B" w:rsidRPr="006B048B">
        <w:t>propri</w:t>
      </w:r>
      <w:r w:rsidR="006B048B">
        <w:t xml:space="preserve">etor </w:t>
      </w:r>
      <w:r w:rsidR="005E12A0">
        <w:t xml:space="preserve">numbers also reflects total business numbers, since corporate numbers were still </w:t>
      </w:r>
      <w:r w:rsidR="0000572D">
        <w:t xml:space="preserve">very </w:t>
      </w:r>
      <w:r w:rsidR="005E12A0">
        <w:t>small even by 1911</w:t>
      </w:r>
      <w:r w:rsidR="00332E7B">
        <w:t xml:space="preserve">. </w:t>
      </w:r>
      <w:r w:rsidR="0000572D">
        <w:t xml:space="preserve">Even </w:t>
      </w:r>
      <w:r w:rsidR="00332E7B">
        <w:t xml:space="preserve">though </w:t>
      </w:r>
      <w:r w:rsidR="0000572D">
        <w:t xml:space="preserve">corporate </w:t>
      </w:r>
      <w:r w:rsidR="00332E7B">
        <w:t>number</w:t>
      </w:r>
      <w:r w:rsidR="0000572D">
        <w:t>s</w:t>
      </w:r>
      <w:r w:rsidR="00332E7B">
        <w:t xml:space="preserve"> had been growing</w:t>
      </w:r>
      <w:r w:rsidR="0000572D">
        <w:t xml:space="preserve"> rapidly</w:t>
      </w:r>
      <w:r w:rsidR="00332E7B">
        <w:t>, they represent</w:t>
      </w:r>
      <w:r w:rsidR="00E3240C">
        <w:t>ed</w:t>
      </w:r>
      <w:r w:rsidR="00332E7B">
        <w:t xml:space="preserve"> only</w:t>
      </w:r>
      <w:r w:rsidR="00E3240C">
        <w:t xml:space="preserve"> </w:t>
      </w:r>
      <w:r w:rsidR="0000572D">
        <w:t>about 2</w:t>
      </w:r>
      <w:r w:rsidR="00E3240C" w:rsidRPr="00E3240C">
        <w:t xml:space="preserve">% </w:t>
      </w:r>
      <w:r w:rsidR="0000572D">
        <w:t>of the total business population in 1911. There was a beginning of</w:t>
      </w:r>
      <w:r w:rsidR="00E3240C">
        <w:t xml:space="preserve"> </w:t>
      </w:r>
      <w:r w:rsidR="0000572D">
        <w:t>increasing</w:t>
      </w:r>
      <w:r w:rsidR="00E3240C">
        <w:t xml:space="preserve"> corporate numerical influence</w:t>
      </w:r>
      <w:r w:rsidR="0000572D">
        <w:t>, but the main impact of business changes for the period</w:t>
      </w:r>
      <w:r w:rsidR="00E3240C">
        <w:t xml:space="preserve"> </w:t>
      </w:r>
      <w:r w:rsidR="0000572D">
        <w:t xml:space="preserve">was </w:t>
      </w:r>
      <w:r w:rsidR="00E3240C">
        <w:t>the diminution of own account</w:t>
      </w:r>
      <w:r w:rsidR="0000572D">
        <w:t>. The interrelation with corporate growth may account</w:t>
      </w:r>
      <w:r w:rsidR="00E3240C">
        <w:t xml:space="preserve"> </w:t>
      </w:r>
      <w:r w:rsidR="0000572D">
        <w:t>for the</w:t>
      </w:r>
      <w:r w:rsidR="00CD5EC7">
        <w:t xml:space="preserve"> shift of sole traders into waged employment</w:t>
      </w:r>
      <w:r w:rsidR="00E3240C">
        <w:t xml:space="preserve">, but </w:t>
      </w:r>
      <w:r w:rsidR="0000572D">
        <w:t>overall</w:t>
      </w:r>
      <w:r w:rsidR="00E3240C">
        <w:t xml:space="preserve"> </w:t>
      </w:r>
      <w:r w:rsidR="0000572D">
        <w:t>the main implications from the data are</w:t>
      </w:r>
      <w:r w:rsidR="00E3240C">
        <w:t xml:space="preserve"> the continued and growing significance of non-co</w:t>
      </w:r>
      <w:r w:rsidR="0032744B">
        <w:t>rporate</w:t>
      </w:r>
      <w:r w:rsidR="00E3240C">
        <w:t xml:space="preserve"> employers up to World War 1. </w:t>
      </w:r>
      <w:r w:rsidR="0032744B">
        <w:t xml:space="preserve">However, </w:t>
      </w:r>
      <w:r w:rsidR="00E3240C">
        <w:t xml:space="preserve">the trends in level of output or profits </w:t>
      </w:r>
      <w:r w:rsidR="0032744B">
        <w:t>were</w:t>
      </w:r>
      <w:r w:rsidR="00E3240C">
        <w:t xml:space="preserve"> very different. Feinstein’s </w:t>
      </w:r>
      <w:r w:rsidR="00172D63">
        <w:t xml:space="preserve">(1972) </w:t>
      </w:r>
      <w:r w:rsidR="00E3240C">
        <w:t>estimates</w:t>
      </w:r>
      <w:r w:rsidR="0000572D">
        <w:t xml:space="preserve"> indicate</w:t>
      </w:r>
      <w:r w:rsidR="00172D63">
        <w:t xml:space="preserve"> that</w:t>
      </w:r>
      <w:r w:rsidR="0000572D">
        <w:t>,</w:t>
      </w:r>
      <w:r w:rsidR="00172D63">
        <w:t xml:space="preserve"> whilst </w:t>
      </w:r>
      <w:r w:rsidR="0000572D">
        <w:t xml:space="preserve">we show </w:t>
      </w:r>
      <w:r w:rsidR="00172D63">
        <w:t xml:space="preserve">non-corporate employer numbers continued to grow until 1911, the corporate sector was </w:t>
      </w:r>
      <w:r w:rsidR="0032744B">
        <w:t>moving to</w:t>
      </w:r>
      <w:r w:rsidR="00CD5EC7">
        <w:t>wards dominating</w:t>
      </w:r>
      <w:r w:rsidR="0032744B">
        <w:t xml:space="preserve"> total output</w:t>
      </w:r>
      <w:r w:rsidR="00172D63">
        <w:t>.</w:t>
      </w:r>
      <w:r w:rsidR="00172D63">
        <w:rPr>
          <w:rStyle w:val="EndnoteReference"/>
        </w:rPr>
        <w:endnoteReference w:id="13"/>
      </w:r>
      <w:r w:rsidR="00AB6C3F">
        <w:t xml:space="preserve"> The continued growth of the non-corporate sector but with a lower share of total output indicates growing competitive pressures which in the period was mainly reflected in reduced own account numbers; this in turn also reflects increases wages that made own account less attractive compared to employee status. That general trend has been previously well known, but our estimates now date its onset definitely to the period after 1901.</w:t>
      </w:r>
    </w:p>
    <w:p w14:paraId="7B05B512" w14:textId="77777777" w:rsidR="005E12A0" w:rsidRPr="005E12A0" w:rsidRDefault="005E12A0" w:rsidP="005E12A0">
      <w:pPr>
        <w:spacing w:line="360" w:lineRule="auto"/>
        <w:jc w:val="both"/>
      </w:pPr>
    </w:p>
    <w:p w14:paraId="17F63BD7" w14:textId="77777777" w:rsidR="0065509F" w:rsidRPr="0065509F" w:rsidRDefault="0065509F" w:rsidP="0065509F">
      <w:pPr>
        <w:spacing w:line="360" w:lineRule="auto"/>
        <w:jc w:val="both"/>
        <w:rPr>
          <w:rFonts w:eastAsia="Calibri" w:cs="Times New Roman"/>
        </w:rPr>
      </w:pPr>
    </w:p>
    <w:tbl>
      <w:tblPr>
        <w:tblStyle w:val="TableGrid2"/>
        <w:tblW w:w="0" w:type="auto"/>
        <w:tblLook w:val="04A0" w:firstRow="1" w:lastRow="0" w:firstColumn="1" w:lastColumn="0" w:noHBand="0" w:noVBand="1"/>
      </w:tblPr>
      <w:tblGrid>
        <w:gridCol w:w="960"/>
        <w:gridCol w:w="1256"/>
        <w:gridCol w:w="1578"/>
        <w:gridCol w:w="1843"/>
      </w:tblGrid>
      <w:tr w:rsidR="0065509F" w:rsidRPr="0065509F" w14:paraId="5054CB68" w14:textId="77777777" w:rsidTr="00874EE0">
        <w:trPr>
          <w:trHeight w:val="300"/>
        </w:trPr>
        <w:tc>
          <w:tcPr>
            <w:tcW w:w="960" w:type="dxa"/>
            <w:noWrap/>
            <w:hideMark/>
          </w:tcPr>
          <w:p w14:paraId="5C62551C" w14:textId="77777777" w:rsidR="0065509F" w:rsidRPr="0065509F" w:rsidRDefault="0065509F" w:rsidP="0065509F">
            <w:pPr>
              <w:spacing w:line="360" w:lineRule="auto"/>
              <w:jc w:val="both"/>
              <w:rPr>
                <w:rFonts w:eastAsia="Calibri" w:cs="Times New Roman"/>
              </w:rPr>
            </w:pPr>
          </w:p>
        </w:tc>
        <w:tc>
          <w:tcPr>
            <w:tcW w:w="1256" w:type="dxa"/>
          </w:tcPr>
          <w:p w14:paraId="4368013E" w14:textId="77777777" w:rsidR="0065509F" w:rsidRPr="0065509F" w:rsidRDefault="0065509F" w:rsidP="0065509F">
            <w:pPr>
              <w:spacing w:line="360" w:lineRule="auto"/>
              <w:jc w:val="both"/>
              <w:rPr>
                <w:rFonts w:eastAsia="Calibri" w:cs="Times New Roman"/>
              </w:rPr>
            </w:pPr>
            <w:r w:rsidRPr="0065509F">
              <w:rPr>
                <w:rFonts w:eastAsia="Calibri" w:cs="Times New Roman"/>
              </w:rPr>
              <w:t>Employers</w:t>
            </w:r>
          </w:p>
        </w:tc>
        <w:tc>
          <w:tcPr>
            <w:tcW w:w="1578" w:type="dxa"/>
            <w:noWrap/>
            <w:hideMark/>
          </w:tcPr>
          <w:p w14:paraId="08047AD9" w14:textId="77777777" w:rsidR="0065509F" w:rsidRPr="0065509F" w:rsidRDefault="0065509F" w:rsidP="0065509F">
            <w:pPr>
              <w:spacing w:line="360" w:lineRule="auto"/>
              <w:jc w:val="both"/>
              <w:rPr>
                <w:rFonts w:eastAsia="Calibri" w:cs="Times New Roman"/>
              </w:rPr>
            </w:pPr>
            <w:r w:rsidRPr="0065509F">
              <w:rPr>
                <w:rFonts w:eastAsia="Calibri" w:cs="Times New Roman"/>
              </w:rPr>
              <w:t>Own account</w:t>
            </w:r>
          </w:p>
        </w:tc>
        <w:tc>
          <w:tcPr>
            <w:tcW w:w="1843" w:type="dxa"/>
            <w:noWrap/>
            <w:hideMark/>
          </w:tcPr>
          <w:p w14:paraId="2EE989B6" w14:textId="77777777" w:rsidR="0065509F" w:rsidRPr="0065509F" w:rsidRDefault="0065509F" w:rsidP="0065509F">
            <w:pPr>
              <w:spacing w:line="360" w:lineRule="auto"/>
              <w:jc w:val="both"/>
              <w:rPr>
                <w:rFonts w:eastAsia="Calibri" w:cs="Times New Roman"/>
              </w:rPr>
            </w:pPr>
            <w:r w:rsidRPr="0065509F">
              <w:rPr>
                <w:rFonts w:eastAsia="Calibri" w:cs="Times New Roman"/>
              </w:rPr>
              <w:t>All proprietors</w:t>
            </w:r>
          </w:p>
        </w:tc>
      </w:tr>
      <w:tr w:rsidR="0065509F" w:rsidRPr="0065509F" w14:paraId="7766B8B9" w14:textId="77777777" w:rsidTr="00874EE0">
        <w:trPr>
          <w:trHeight w:val="300"/>
        </w:trPr>
        <w:tc>
          <w:tcPr>
            <w:tcW w:w="960" w:type="dxa"/>
            <w:noWrap/>
            <w:hideMark/>
          </w:tcPr>
          <w:p w14:paraId="600C28C6" w14:textId="77777777" w:rsidR="0065509F" w:rsidRPr="0065509F" w:rsidRDefault="0065509F" w:rsidP="0065509F">
            <w:pPr>
              <w:spacing w:line="360" w:lineRule="auto"/>
              <w:jc w:val="right"/>
              <w:rPr>
                <w:rFonts w:eastAsia="Calibri" w:cs="Times New Roman"/>
              </w:rPr>
            </w:pPr>
            <w:r w:rsidRPr="0065509F">
              <w:rPr>
                <w:rFonts w:eastAsia="Calibri" w:cs="Times New Roman"/>
              </w:rPr>
              <w:t>1891</w:t>
            </w:r>
          </w:p>
        </w:tc>
        <w:tc>
          <w:tcPr>
            <w:tcW w:w="1256" w:type="dxa"/>
          </w:tcPr>
          <w:p w14:paraId="4D852585" w14:textId="77777777" w:rsidR="0065509F" w:rsidRPr="0065509F" w:rsidRDefault="0065509F" w:rsidP="0065509F">
            <w:pPr>
              <w:spacing w:line="360" w:lineRule="auto"/>
              <w:jc w:val="right"/>
              <w:rPr>
                <w:rFonts w:eastAsia="Calibri" w:cs="Times New Roman"/>
              </w:rPr>
            </w:pPr>
            <w:r w:rsidRPr="0065509F">
              <w:rPr>
                <w:rFonts w:eastAsia="Calibri" w:cs="Times New Roman"/>
              </w:rPr>
              <w:t>4.9</w:t>
            </w:r>
          </w:p>
        </w:tc>
        <w:tc>
          <w:tcPr>
            <w:tcW w:w="1578" w:type="dxa"/>
            <w:noWrap/>
            <w:hideMark/>
          </w:tcPr>
          <w:p w14:paraId="07FD473F" w14:textId="77777777" w:rsidR="0065509F" w:rsidRPr="0065509F" w:rsidRDefault="0065509F" w:rsidP="0065509F">
            <w:pPr>
              <w:spacing w:line="360" w:lineRule="auto"/>
              <w:jc w:val="right"/>
              <w:rPr>
                <w:rFonts w:eastAsia="Calibri" w:cs="Times New Roman"/>
              </w:rPr>
            </w:pPr>
            <w:r w:rsidRPr="0065509F">
              <w:rPr>
                <w:rFonts w:eastAsia="Calibri" w:cs="Times New Roman"/>
              </w:rPr>
              <w:t>8.9</w:t>
            </w:r>
          </w:p>
        </w:tc>
        <w:tc>
          <w:tcPr>
            <w:tcW w:w="1843" w:type="dxa"/>
            <w:noWrap/>
            <w:hideMark/>
          </w:tcPr>
          <w:p w14:paraId="1AA2ECE4" w14:textId="77777777" w:rsidR="0065509F" w:rsidRPr="0065509F" w:rsidRDefault="0065509F" w:rsidP="0065509F">
            <w:pPr>
              <w:spacing w:line="360" w:lineRule="auto"/>
              <w:jc w:val="right"/>
              <w:rPr>
                <w:rFonts w:eastAsia="Calibri" w:cs="Times New Roman"/>
              </w:rPr>
            </w:pPr>
            <w:r w:rsidRPr="0065509F">
              <w:rPr>
                <w:rFonts w:eastAsia="Calibri" w:cs="Times New Roman"/>
              </w:rPr>
              <w:t>13.8</w:t>
            </w:r>
          </w:p>
        </w:tc>
      </w:tr>
      <w:tr w:rsidR="0065509F" w:rsidRPr="0065509F" w14:paraId="41DC333B" w14:textId="77777777" w:rsidTr="00874EE0">
        <w:trPr>
          <w:trHeight w:val="300"/>
        </w:trPr>
        <w:tc>
          <w:tcPr>
            <w:tcW w:w="960" w:type="dxa"/>
            <w:noWrap/>
            <w:hideMark/>
          </w:tcPr>
          <w:p w14:paraId="3AC97F81" w14:textId="77777777" w:rsidR="0065509F" w:rsidRPr="0065509F" w:rsidRDefault="0065509F" w:rsidP="0065509F">
            <w:pPr>
              <w:spacing w:line="360" w:lineRule="auto"/>
              <w:jc w:val="right"/>
              <w:rPr>
                <w:rFonts w:eastAsia="Calibri" w:cs="Times New Roman"/>
              </w:rPr>
            </w:pPr>
            <w:r w:rsidRPr="0065509F">
              <w:rPr>
                <w:rFonts w:eastAsia="Calibri" w:cs="Times New Roman"/>
              </w:rPr>
              <w:t>1901</w:t>
            </w:r>
          </w:p>
        </w:tc>
        <w:tc>
          <w:tcPr>
            <w:tcW w:w="1256" w:type="dxa"/>
          </w:tcPr>
          <w:p w14:paraId="5F2D39B9" w14:textId="77777777" w:rsidR="0065509F" w:rsidRPr="0065509F" w:rsidRDefault="0065509F" w:rsidP="0065509F">
            <w:pPr>
              <w:spacing w:line="360" w:lineRule="auto"/>
              <w:jc w:val="right"/>
              <w:rPr>
                <w:rFonts w:eastAsia="Calibri" w:cs="Times New Roman"/>
              </w:rPr>
            </w:pPr>
            <w:r w:rsidRPr="0065509F">
              <w:rPr>
                <w:rFonts w:eastAsia="Calibri" w:cs="Times New Roman"/>
              </w:rPr>
              <w:t>4.3</w:t>
            </w:r>
          </w:p>
        </w:tc>
        <w:tc>
          <w:tcPr>
            <w:tcW w:w="1578" w:type="dxa"/>
            <w:noWrap/>
            <w:hideMark/>
          </w:tcPr>
          <w:p w14:paraId="650C6172" w14:textId="77777777" w:rsidR="0065509F" w:rsidRPr="0065509F" w:rsidRDefault="0065509F" w:rsidP="0065509F">
            <w:pPr>
              <w:spacing w:line="360" w:lineRule="auto"/>
              <w:jc w:val="right"/>
              <w:rPr>
                <w:rFonts w:eastAsia="Calibri" w:cs="Times New Roman"/>
              </w:rPr>
            </w:pPr>
            <w:r w:rsidRPr="0065509F">
              <w:rPr>
                <w:rFonts w:eastAsia="Calibri" w:cs="Times New Roman"/>
              </w:rPr>
              <w:t>9.1</w:t>
            </w:r>
          </w:p>
        </w:tc>
        <w:tc>
          <w:tcPr>
            <w:tcW w:w="1843" w:type="dxa"/>
            <w:noWrap/>
            <w:hideMark/>
          </w:tcPr>
          <w:p w14:paraId="27033A31" w14:textId="77777777" w:rsidR="0065509F" w:rsidRPr="0065509F" w:rsidRDefault="0065509F" w:rsidP="0065509F">
            <w:pPr>
              <w:spacing w:line="360" w:lineRule="auto"/>
              <w:jc w:val="right"/>
              <w:rPr>
                <w:rFonts w:eastAsia="Calibri" w:cs="Times New Roman"/>
              </w:rPr>
            </w:pPr>
            <w:r w:rsidRPr="0065509F">
              <w:rPr>
                <w:rFonts w:eastAsia="Calibri" w:cs="Times New Roman"/>
              </w:rPr>
              <w:t>13.2</w:t>
            </w:r>
          </w:p>
        </w:tc>
      </w:tr>
      <w:tr w:rsidR="0065509F" w:rsidRPr="0065509F" w14:paraId="45F2A731" w14:textId="77777777" w:rsidTr="00874EE0">
        <w:trPr>
          <w:trHeight w:val="300"/>
        </w:trPr>
        <w:tc>
          <w:tcPr>
            <w:tcW w:w="960" w:type="dxa"/>
            <w:noWrap/>
            <w:hideMark/>
          </w:tcPr>
          <w:p w14:paraId="37A63893" w14:textId="77777777" w:rsidR="0065509F" w:rsidRPr="0065509F" w:rsidRDefault="0065509F" w:rsidP="0065509F">
            <w:pPr>
              <w:spacing w:line="360" w:lineRule="auto"/>
              <w:jc w:val="right"/>
              <w:rPr>
                <w:rFonts w:eastAsia="Calibri" w:cs="Times New Roman"/>
              </w:rPr>
            </w:pPr>
            <w:r w:rsidRPr="0065509F">
              <w:rPr>
                <w:rFonts w:eastAsia="Calibri" w:cs="Times New Roman"/>
              </w:rPr>
              <w:t>1911</w:t>
            </w:r>
          </w:p>
        </w:tc>
        <w:tc>
          <w:tcPr>
            <w:tcW w:w="1256" w:type="dxa"/>
          </w:tcPr>
          <w:p w14:paraId="7ED52695" w14:textId="77777777" w:rsidR="0065509F" w:rsidRPr="0065509F" w:rsidRDefault="0065509F" w:rsidP="0065509F">
            <w:pPr>
              <w:spacing w:line="360" w:lineRule="auto"/>
              <w:jc w:val="right"/>
              <w:rPr>
                <w:rFonts w:eastAsia="Calibri" w:cs="Times New Roman"/>
              </w:rPr>
            </w:pPr>
            <w:r w:rsidRPr="0065509F">
              <w:rPr>
                <w:rFonts w:eastAsia="Calibri" w:cs="Times New Roman"/>
              </w:rPr>
              <w:t>4.7</w:t>
            </w:r>
          </w:p>
        </w:tc>
        <w:tc>
          <w:tcPr>
            <w:tcW w:w="1578" w:type="dxa"/>
            <w:noWrap/>
            <w:hideMark/>
          </w:tcPr>
          <w:p w14:paraId="52361166" w14:textId="77777777" w:rsidR="0065509F" w:rsidRPr="0065509F" w:rsidRDefault="0065509F" w:rsidP="0065509F">
            <w:pPr>
              <w:spacing w:line="360" w:lineRule="auto"/>
              <w:jc w:val="right"/>
              <w:rPr>
                <w:rFonts w:eastAsia="Calibri" w:cs="Times New Roman"/>
              </w:rPr>
            </w:pPr>
            <w:r w:rsidRPr="0065509F">
              <w:rPr>
                <w:rFonts w:eastAsia="Calibri" w:cs="Times New Roman"/>
              </w:rPr>
              <w:t>7.2</w:t>
            </w:r>
          </w:p>
        </w:tc>
        <w:tc>
          <w:tcPr>
            <w:tcW w:w="1843" w:type="dxa"/>
            <w:noWrap/>
            <w:hideMark/>
          </w:tcPr>
          <w:p w14:paraId="7F4645DA" w14:textId="77777777" w:rsidR="0065509F" w:rsidRPr="0065509F" w:rsidRDefault="0065509F" w:rsidP="0065509F">
            <w:pPr>
              <w:spacing w:line="360" w:lineRule="auto"/>
              <w:jc w:val="right"/>
              <w:rPr>
                <w:rFonts w:eastAsia="Calibri" w:cs="Times New Roman"/>
              </w:rPr>
            </w:pPr>
            <w:r w:rsidRPr="0065509F">
              <w:rPr>
                <w:rFonts w:eastAsia="Calibri" w:cs="Times New Roman"/>
              </w:rPr>
              <w:t>11.8</w:t>
            </w:r>
          </w:p>
        </w:tc>
      </w:tr>
    </w:tbl>
    <w:p w14:paraId="0904EB54" w14:textId="77777777" w:rsidR="0065509F" w:rsidRPr="0065509F" w:rsidRDefault="0065509F" w:rsidP="0065509F">
      <w:pPr>
        <w:spacing w:line="360" w:lineRule="auto"/>
        <w:jc w:val="both"/>
        <w:rPr>
          <w:rFonts w:eastAsia="Calibri" w:cs="Times New Roman"/>
        </w:rPr>
      </w:pPr>
    </w:p>
    <w:p w14:paraId="1CC4B7E8" w14:textId="77777777" w:rsidR="0065509F" w:rsidRPr="0065509F" w:rsidRDefault="0065509F" w:rsidP="0065509F">
      <w:pPr>
        <w:spacing w:line="360" w:lineRule="auto"/>
        <w:jc w:val="both"/>
        <w:rPr>
          <w:rFonts w:eastAsia="Calibri" w:cs="Times New Roman"/>
        </w:rPr>
      </w:pPr>
      <w:proofErr w:type="gramStart"/>
      <w:r w:rsidRPr="0065509F">
        <w:rPr>
          <w:rFonts w:eastAsia="Calibri" w:cs="Times New Roman"/>
          <w:b/>
        </w:rPr>
        <w:t>Table 5.</w:t>
      </w:r>
      <w:proofErr w:type="gramEnd"/>
      <w:r w:rsidRPr="0065509F">
        <w:rPr>
          <w:rFonts w:eastAsia="Calibri" w:cs="Times New Roman"/>
        </w:rPr>
        <w:t xml:space="preserve">  </w:t>
      </w:r>
      <w:proofErr w:type="gramStart"/>
      <w:r w:rsidRPr="0065509F">
        <w:rPr>
          <w:rFonts w:eastAsia="Calibri" w:cs="Times New Roman"/>
        </w:rPr>
        <w:t>Business proprietors as a percentage of the total economically active population 1891-1911.</w:t>
      </w:r>
      <w:proofErr w:type="gramEnd"/>
    </w:p>
    <w:p w14:paraId="4720EC18" w14:textId="77777777" w:rsidR="005E12A0" w:rsidRDefault="005E12A0" w:rsidP="00862A02">
      <w:pPr>
        <w:spacing w:line="360" w:lineRule="auto"/>
        <w:jc w:val="both"/>
      </w:pPr>
    </w:p>
    <w:p w14:paraId="550E323A" w14:textId="77777777" w:rsidR="005E12A0" w:rsidRDefault="005E12A0" w:rsidP="00862A02">
      <w:pPr>
        <w:spacing w:line="360" w:lineRule="auto"/>
        <w:jc w:val="both"/>
      </w:pPr>
    </w:p>
    <w:p w14:paraId="30151182" w14:textId="76796B40" w:rsidR="001E7990" w:rsidRDefault="001E7990" w:rsidP="00862A02">
      <w:pPr>
        <w:spacing w:line="360" w:lineRule="auto"/>
        <w:jc w:val="both"/>
      </w:pPr>
      <w:r>
        <w:t xml:space="preserve">Going beyond the aggregate numbers, the corrections </w:t>
      </w:r>
      <w:r w:rsidR="0032744B">
        <w:t xml:space="preserve">we have made to the Census </w:t>
      </w:r>
      <w:r>
        <w:t xml:space="preserve">for each occupational category are mostly small, with </w:t>
      </w:r>
      <w:proofErr w:type="gramStart"/>
      <w:r>
        <w:t>a</w:t>
      </w:r>
      <w:proofErr w:type="gramEnd"/>
      <w:r>
        <w:t xml:space="preserve"> </w:t>
      </w:r>
      <w:r w:rsidR="0032744B">
        <w:t xml:space="preserve">only </w:t>
      </w:r>
      <w:r>
        <w:t xml:space="preserve">few categories accounting for most reassignments. Within the 629 occupations containing employers and own account, the largest 37 that contain 1,000 or more employers reassigned, account for 80% of the corrections; within these the largest five categories account for 41%, the largest 10 for 53%, and the largest 20 for 67% of reassignments. It is important to evaluate these main categories in more detail to assess the quality of the estimates by occupation. </w:t>
      </w:r>
    </w:p>
    <w:p w14:paraId="334D8464" w14:textId="77777777" w:rsidR="001E7990" w:rsidRDefault="001E7990" w:rsidP="00862A02">
      <w:pPr>
        <w:spacing w:line="360" w:lineRule="auto"/>
        <w:jc w:val="both"/>
      </w:pPr>
    </w:p>
    <w:p w14:paraId="3FDCB3D7" w14:textId="489FF601" w:rsidR="001E7990" w:rsidRDefault="001E7990" w:rsidP="00862A02">
      <w:pPr>
        <w:spacing w:line="360" w:lineRule="auto"/>
        <w:jc w:val="both"/>
      </w:pPr>
      <w:r>
        <w:t xml:space="preserve">The largest sector is farming, where 30,000 </w:t>
      </w:r>
      <w:r w:rsidR="004B0AE1">
        <w:t>were</w:t>
      </w:r>
      <w:r>
        <w:t xml:space="preserve"> reassigned from employer to own account (15% of all reassignments).</w:t>
      </w:r>
      <w:r w:rsidRPr="00862A02">
        <w:t xml:space="preserve"> </w:t>
      </w:r>
      <w:r>
        <w:t>Comparison over time in the number of farmers and their employment status was recognised by GRO as complex because of changes in early Censuses to how the contributions of wives and farmer’s children were counted (</w:t>
      </w:r>
      <w:r w:rsidRPr="00A815CA">
        <w:t>Hatton and Bailey, 2001; Higgs, 2005</w:t>
      </w:r>
      <w:r>
        <w:t xml:space="preserve">: 63-8). The GRO made a special tabulation in 1911 that sought to construct a continuous time series of farm employment on a standardised basis (PP, 1911). This provides a guide to real trends which indicates that there was a small </w:t>
      </w:r>
      <w:r w:rsidRPr="00184EC4">
        <w:rPr>
          <w:i/>
        </w:rPr>
        <w:t>increase</w:t>
      </w:r>
      <w:r>
        <w:t xml:space="preserve"> of total farmers (employers, own account and workers) over 1891-1901 (GRO did not breakout the categories separately). In comparison, the original raw Census count of farm employers </w:t>
      </w:r>
      <w:r w:rsidRPr="00861203">
        <w:t>showed a</w:t>
      </w:r>
      <w:r>
        <w:t xml:space="preserve"> large</w:t>
      </w:r>
      <w:r w:rsidRPr="00861203">
        <w:t xml:space="preserve"> </w:t>
      </w:r>
      <w:r w:rsidRPr="00861203">
        <w:rPr>
          <w:i/>
        </w:rPr>
        <w:t>decline</w:t>
      </w:r>
      <w:r>
        <w:t>.</w:t>
      </w:r>
      <w:r w:rsidRPr="00861203">
        <w:t xml:space="preserve"> </w:t>
      </w:r>
      <w:r>
        <w:t xml:space="preserve"> Our estimates indicate that the correct picture was a continuous increase in farm employers and own account 1891-1911, but an important relative decline of own account. Additional confirmation of this trend is provided by the GRO partial Census publication of farm employers for 1871 for 17 ‘representative counties’.</w:t>
      </w:r>
      <w:r w:rsidRPr="00B97320">
        <w:t xml:space="preserve"> </w:t>
      </w:r>
      <w:r>
        <w:t>W</w:t>
      </w:r>
      <w:r w:rsidRPr="00B97320">
        <w:t xml:space="preserve">hen scaled up </w:t>
      </w:r>
      <w:r>
        <w:t xml:space="preserve">this indicates that </w:t>
      </w:r>
      <w:r w:rsidRPr="00B97320">
        <w:t xml:space="preserve">for the whole of England and Wales farm employers were about </w:t>
      </w:r>
      <w:r>
        <w:t>102,511 in 1871 (PP 1871)</w:t>
      </w:r>
      <w:r w:rsidRPr="00B97320">
        <w:t>.</w:t>
      </w:r>
      <w:r>
        <w:rPr>
          <w:rStyle w:val="EndnoteReference"/>
        </w:rPr>
        <w:endnoteReference w:id="14"/>
      </w:r>
      <w:r>
        <w:t xml:space="preserve"> Although some consolidation of own account farming occurred after this time, it is implausible that employer numbers increased by 55% to the 1891 raw Census figure over the intervening 20 years at a time when agricultural employment fell by 16%. Our reassignment also fits with previous accounts of late nineteenth-century agriculture in which it has been argued that farmers decreased the size of their workforces and land holdings in response to falling prices and rising wages, after the 1873 agricultural depression</w:t>
      </w:r>
      <w:r w:rsidRPr="00EF5143">
        <w:t xml:space="preserve"> </w:t>
      </w:r>
      <w:r>
        <w:t>(</w:t>
      </w:r>
      <w:r w:rsidRPr="00EF5143">
        <w:t>Grigg</w:t>
      </w:r>
      <w:r>
        <w:t xml:space="preserve">, </w:t>
      </w:r>
      <w:r w:rsidRPr="00EF5143">
        <w:t>1987</w:t>
      </w:r>
      <w:r>
        <w:t>;</w:t>
      </w:r>
      <w:r w:rsidRPr="00EF5143">
        <w:t xml:space="preserve"> Afton and</w:t>
      </w:r>
      <w:r>
        <w:t xml:space="preserve"> Turner</w:t>
      </w:r>
      <w:r w:rsidRPr="00EF5143">
        <w:t>, 2000</w:t>
      </w:r>
      <w:r>
        <w:t>;</w:t>
      </w:r>
      <w:r w:rsidRPr="00EF5143">
        <w:t xml:space="preserve"> Daunton, </w:t>
      </w:r>
      <w:r>
        <w:t>2007:</w:t>
      </w:r>
      <w:r w:rsidRPr="00EF5143">
        <w:t xml:space="preserve"> 47</w:t>
      </w:r>
      <w:r w:rsidR="005A663A">
        <w:t xml:space="preserve">; </w:t>
      </w:r>
      <w:r w:rsidR="004F79BA">
        <w:t>Montebruno et al., 2018</w:t>
      </w:r>
      <w:r>
        <w:t>).</w:t>
      </w:r>
    </w:p>
    <w:p w14:paraId="10EC0BD6" w14:textId="77777777" w:rsidR="001E7990" w:rsidRDefault="001E7990" w:rsidP="00862A02">
      <w:pPr>
        <w:spacing w:line="360" w:lineRule="auto"/>
        <w:jc w:val="both"/>
      </w:pPr>
    </w:p>
    <w:p w14:paraId="4A8EC438" w14:textId="350A7759" w:rsidR="001E7990" w:rsidRDefault="001E7990" w:rsidP="00862A02">
      <w:pPr>
        <w:spacing w:line="360" w:lineRule="auto"/>
        <w:jc w:val="both"/>
      </w:pPr>
      <w:r w:rsidRPr="0065432C">
        <w:t xml:space="preserve">The second largest </w:t>
      </w:r>
      <w:r>
        <w:t xml:space="preserve">group </w:t>
      </w:r>
      <w:r w:rsidRPr="0065432C">
        <w:t>is</w:t>
      </w:r>
      <w:r>
        <w:t xml:space="preserve"> innkeepers, where 18,000 are reassigned. In 1891, 32,515 returned themselves as employers compared with 14,461 in 1901, a highly unlikely shift. There is complexity here because of the unknown extent to which family members were </w:t>
      </w:r>
      <w:r>
        <w:lastRenderedPageBreak/>
        <w:t xml:space="preserve">involved in businesses and might have been perceived by respondents as </w:t>
      </w:r>
      <w:proofErr w:type="gramStart"/>
      <w:r>
        <w:t>employees.</w:t>
      </w:r>
      <w:proofErr w:type="gramEnd"/>
      <w:r>
        <w:t xml:space="preserve"> The logit regression suggests that the true number of employers was 13,974, which is in line with a linear extrapolation from 1901-11 and bears a similar ratio to the total population change. With this correction innkeepers</w:t>
      </w:r>
      <w:r w:rsidRPr="009A6942">
        <w:t xml:space="preserve"> were</w:t>
      </w:r>
      <w:r>
        <w:t xml:space="preserve"> 0.1% of the economically active in 1891 and 0.1% in 1901 compared to the unlikely 1891 figure of 2.6% without correction. The measurement base is not comparable, but the ratio of publicans’ excise licenses to the economically active in 1891 was 5.4%, and 4.8% in 1901, which proportionally shows a similar trend (IR, 1892: xiii-xv; 1902: 48-9). Our estimates also fit with the acknowledged decline the number and profitability of public houses across the nineteenth century and the gradual emergence of tied pubs run by managers rather than tenants (</w:t>
      </w:r>
      <w:r w:rsidRPr="000954A1">
        <w:t xml:space="preserve">Jennings, </w:t>
      </w:r>
      <w:r>
        <w:t>2016:</w:t>
      </w:r>
      <w:r w:rsidRPr="000954A1">
        <w:t xml:space="preserve"> 48-9, 53; </w:t>
      </w:r>
      <w:r>
        <w:t>Knox, 1958).</w:t>
      </w:r>
      <w:r w:rsidRPr="009C5A2B">
        <w:t xml:space="preserve"> </w:t>
      </w:r>
      <w:r>
        <w:t xml:space="preserve"> </w:t>
      </w:r>
    </w:p>
    <w:p w14:paraId="620A6A04" w14:textId="77777777" w:rsidR="001E7990" w:rsidRDefault="001E7990" w:rsidP="00862A02">
      <w:pPr>
        <w:spacing w:line="360" w:lineRule="auto"/>
        <w:jc w:val="both"/>
      </w:pPr>
    </w:p>
    <w:p w14:paraId="4491F4D8" w14:textId="729E2486" w:rsidR="001E7990" w:rsidRPr="00136502" w:rsidRDefault="001E7990" w:rsidP="00862A02">
      <w:pPr>
        <w:spacing w:line="360" w:lineRule="auto"/>
        <w:jc w:val="both"/>
      </w:pPr>
      <w:r>
        <w:t>The third largest reassignment was of grocers and tea dealers (12,000), and</w:t>
      </w:r>
      <w:r w:rsidRPr="00753060">
        <w:t xml:space="preserve"> </w:t>
      </w:r>
      <w:r>
        <w:t>the f</w:t>
      </w:r>
      <w:r w:rsidRPr="00753060">
        <w:t xml:space="preserve">ifth largest butchers </w:t>
      </w:r>
      <w:r>
        <w:t>(</w:t>
      </w:r>
      <w:r w:rsidRPr="00753060">
        <w:t>7,000</w:t>
      </w:r>
      <w:r>
        <w:t>). These</w:t>
      </w:r>
      <w:r w:rsidRPr="00753060">
        <w:t xml:space="preserve"> </w:t>
      </w:r>
      <w:r>
        <w:t>were the two largest retailers affected</w:t>
      </w:r>
      <w:r w:rsidR="005A663A">
        <w:t>;</w:t>
      </w:r>
      <w:r>
        <w:t xml:space="preserve"> again the extent of family employment is unknown. The logit regression correction estimates grocers as 0.1% of the economically active population and butchers 0.14%, in line with the 1901 ratios of 0.1% and 0.12%, and in contrast to the implausibly high uncorrected 1891 figures of </w:t>
      </w:r>
      <w:r w:rsidRPr="00E8169B">
        <w:t>0.15% and 0.23%</w:t>
      </w:r>
      <w:r>
        <w:t>. There wa</w:t>
      </w:r>
      <w:r w:rsidRPr="00136502">
        <w:t xml:space="preserve">s a periodic </w:t>
      </w:r>
      <w:r w:rsidRPr="005B333D">
        <w:rPr>
          <w:i/>
        </w:rPr>
        <w:t>Directory of Grocery, Oil and Colour Trades</w:t>
      </w:r>
      <w:r w:rsidRPr="005B333D">
        <w:t xml:space="preserve"> </w:t>
      </w:r>
      <w:r>
        <w:t>from 1877</w:t>
      </w:r>
      <w:r w:rsidRPr="00136502">
        <w:t xml:space="preserve"> onwards</w:t>
      </w:r>
      <w:r>
        <w:t xml:space="preserve"> (but nothing for butchers)</w:t>
      </w:r>
      <w:r w:rsidRPr="00136502">
        <w:t xml:space="preserve">. </w:t>
      </w:r>
      <w:r>
        <w:t>This</w:t>
      </w:r>
      <w:r w:rsidRPr="00136502">
        <w:t xml:space="preserve"> offers </w:t>
      </w:r>
      <w:r>
        <w:t>a guide to trends, although this is only available at a general level as it combined</w:t>
      </w:r>
      <w:r w:rsidRPr="00136502">
        <w:t xml:space="preserve"> grocers (employers and own account)</w:t>
      </w:r>
      <w:r>
        <w:t xml:space="preserve"> with many other trades</w:t>
      </w:r>
      <w:r w:rsidRPr="00136502">
        <w:t xml:space="preserve">. Nevertheless, the </w:t>
      </w:r>
      <w:r>
        <w:t xml:space="preserve">total given </w:t>
      </w:r>
      <w:r w:rsidRPr="00136502">
        <w:t xml:space="preserve">is a useful indicator of </w:t>
      </w:r>
      <w:r>
        <w:t>general</w:t>
      </w:r>
      <w:r w:rsidRPr="00136502">
        <w:t xml:space="preserve"> trends, which indicate</w:t>
      </w:r>
      <w:r w:rsidR="005A663A">
        <w:t>s</w:t>
      </w:r>
      <w:r w:rsidRPr="00136502">
        <w:t xml:space="preserve"> a rapid increase in numbers after the abolition of tea and coffee excise licenses in 1870: ‘reduction of licenses … has given large impetus to the sale’ of coffee and tea, and hen</w:t>
      </w:r>
      <w:r>
        <w:t xml:space="preserve">ce to ‘an expansion of grocers’ (Kelly, 1877, v.). </w:t>
      </w:r>
      <w:r w:rsidRPr="00136502">
        <w:t>The successive directory listings continue</w:t>
      </w:r>
      <w:r>
        <w:t>d</w:t>
      </w:r>
      <w:r w:rsidRPr="00136502">
        <w:t xml:space="preserve"> to increase in size with no indication of </w:t>
      </w:r>
      <w:r w:rsidR="00E43151">
        <w:t>the</w:t>
      </w:r>
      <w:r w:rsidR="00E43151" w:rsidRPr="00136502">
        <w:t xml:space="preserve"> </w:t>
      </w:r>
      <w:r w:rsidRPr="00136502">
        <w:t>reduction 1891-190</w:t>
      </w:r>
      <w:r>
        <w:t>5 shown in the uncorrected Census. Whilst there is no comparable directory for butchers their trend can be expected to have been similar. The late nineteenth century witnessed a growth in demand for meat which allowed butchery to remain profitable by shifting away from butchers who slaughtered animals towards butchers as just retailers (</w:t>
      </w:r>
      <w:r w:rsidRPr="000954A1">
        <w:t xml:space="preserve">Winstanley, </w:t>
      </w:r>
      <w:r>
        <w:t>1983:</w:t>
      </w:r>
      <w:r w:rsidRPr="000954A1">
        <w:t xml:space="preserve"> 140-45; </w:t>
      </w:r>
      <w:proofErr w:type="spellStart"/>
      <w:r w:rsidRPr="000954A1">
        <w:t>Perren</w:t>
      </w:r>
      <w:proofErr w:type="spellEnd"/>
      <w:r w:rsidRPr="000954A1">
        <w:t xml:space="preserve">, </w:t>
      </w:r>
      <w:r>
        <w:t>2006:</w:t>
      </w:r>
      <w:r w:rsidRPr="000954A1">
        <w:t xml:space="preserve"> 3</w:t>
      </w:r>
      <w:r>
        <w:t xml:space="preserve">). </w:t>
      </w:r>
      <w:r w:rsidRPr="00136502">
        <w:t xml:space="preserve">Our estimates of a small increase </w:t>
      </w:r>
      <w:r>
        <w:t xml:space="preserve">in these two sectors </w:t>
      </w:r>
      <w:r w:rsidRPr="00136502">
        <w:t>between 1891 and 1</w:t>
      </w:r>
      <w:r>
        <w:t>90</w:t>
      </w:r>
      <w:r w:rsidRPr="00136502">
        <w:t>1</w:t>
      </w:r>
      <w:r>
        <w:t xml:space="preserve"> thus fit with other sources</w:t>
      </w:r>
      <w:r w:rsidRPr="00136502">
        <w:t>.</w:t>
      </w:r>
    </w:p>
    <w:p w14:paraId="2E6AD0B2" w14:textId="77777777" w:rsidR="001E7990" w:rsidRDefault="001E7990" w:rsidP="00862A02">
      <w:pPr>
        <w:spacing w:line="360" w:lineRule="auto"/>
        <w:jc w:val="both"/>
      </w:pPr>
    </w:p>
    <w:p w14:paraId="52D5086A" w14:textId="778D9301" w:rsidR="001E7990" w:rsidRDefault="001E7990" w:rsidP="00862A02">
      <w:pPr>
        <w:spacing w:line="360" w:lineRule="auto"/>
        <w:jc w:val="both"/>
      </w:pPr>
      <w:r>
        <w:t xml:space="preserve">The fourth largest reassignment, of 10,500 dressmakers, draws in </w:t>
      </w:r>
      <w:proofErr w:type="gramStart"/>
      <w:r>
        <w:t>a large proportion who were</w:t>
      </w:r>
      <w:proofErr w:type="gramEnd"/>
      <w:r>
        <w:t xml:space="preserve"> home-based proprietors, predominantly female. The 1891 Census return of 19,911 dressmakers is almost twice the 1901 return of 10,212. After correction using the logit regression, dressmakers were 0.08% of the economically active population, compared to the </w:t>
      </w:r>
      <w:r>
        <w:lastRenderedPageBreak/>
        <w:t xml:space="preserve">initial figure of 0.16% and similar to the figure of 0.07% for 1901. The womenswear industry in nineteenth-century England was, broadly, stable. Working-class women tended to make their own clothes, buying supplies from drapers; dressmakers, meanwhile, generally catered for middle-class women. While there was a growing demand for ready-made clothing, little was produced in Britain; instead, ready-made women’s clothing was mostly imported from Germany. It was only in the twentieth century that British production of ready-made womenswear took off </w:t>
      </w:r>
      <w:r w:rsidR="00E43151">
        <w:t>at greater</w:t>
      </w:r>
      <w:r>
        <w:t xml:space="preserve"> scale (</w:t>
      </w:r>
      <w:proofErr w:type="spellStart"/>
      <w:r>
        <w:t>Kershen</w:t>
      </w:r>
      <w:proofErr w:type="spellEnd"/>
      <w:r>
        <w:t>, 1997:</w:t>
      </w:r>
      <w:r w:rsidRPr="00226D39">
        <w:t xml:space="preserve"> 39-41; </w:t>
      </w:r>
      <w:proofErr w:type="spellStart"/>
      <w:r>
        <w:t>Jeffreys</w:t>
      </w:r>
      <w:proofErr w:type="spellEnd"/>
      <w:r>
        <w:t xml:space="preserve">, </w:t>
      </w:r>
      <w:r w:rsidRPr="00226D39">
        <w:t>1954</w:t>
      </w:r>
      <w:r>
        <w:t xml:space="preserve">: 321-3). Consequently our estimates confirm the slow increase </w:t>
      </w:r>
      <w:r w:rsidR="00E43151">
        <w:t xml:space="preserve">of </w:t>
      </w:r>
      <w:r>
        <w:t xml:space="preserve">employers in dressmaking between 1891 and 1901. </w:t>
      </w:r>
    </w:p>
    <w:p w14:paraId="51B0BCD9" w14:textId="77777777" w:rsidR="001E7990" w:rsidRDefault="001E7990" w:rsidP="00862A02">
      <w:pPr>
        <w:spacing w:line="360" w:lineRule="auto"/>
        <w:jc w:val="both"/>
      </w:pPr>
    </w:p>
    <w:p w14:paraId="0449B1B8" w14:textId="71AD3752" w:rsidR="001E7990" w:rsidRDefault="001E7990" w:rsidP="00862A02">
      <w:pPr>
        <w:spacing w:line="360" w:lineRule="auto"/>
        <w:jc w:val="both"/>
      </w:pPr>
      <w:r>
        <w:t>The next largest reassignments of over 5,000 employers to own account were shoe and boot makers, then laundry services, and then blacksmiths; over 3,000 were reassigned for lodging houses, bakers, greengrocers, and biscuit and confectionary dealers. In all these cases our logit regression</w:t>
      </w:r>
      <w:r w:rsidR="00E43151">
        <w:t>s</w:t>
      </w:r>
      <w:r>
        <w:t xml:space="preserve"> indicate</w:t>
      </w:r>
      <w:r w:rsidRPr="005B333D">
        <w:t xml:space="preserve"> small increase</w:t>
      </w:r>
      <w:r>
        <w:t>s</w:t>
      </w:r>
      <w:r w:rsidRPr="005B333D">
        <w:t xml:space="preserve"> 1891-1901</w:t>
      </w:r>
      <w:r>
        <w:t xml:space="preserve"> compared to the rapid decreases in employers shown by the raw Census numbers. Several of these are in line with the estimates for grocers; the </w:t>
      </w:r>
      <w:r w:rsidRPr="005B333D">
        <w:rPr>
          <w:i/>
        </w:rPr>
        <w:t>Directory of Grocery, Oil and Colour Trades</w:t>
      </w:r>
      <w:r>
        <w:t xml:space="preserve"> covered confectionery, fruit, and Italian warehouse trades (pasta, jams, oil, etc.), and again indicated an upward not downward trend in numbers of employers and own account combined.  For lodging houses there is evidence from the Inhabited House Duty, which was extended to these in the 1890s. Inland Revenue </w:t>
      </w:r>
      <w:r w:rsidRPr="0025630B">
        <w:rPr>
          <w:i/>
        </w:rPr>
        <w:t>Reports</w:t>
      </w:r>
      <w:r>
        <w:t xml:space="preserve"> (IR,</w:t>
      </w:r>
      <w:r w:rsidRPr="00226D39">
        <w:t xml:space="preserve"> 1892</w:t>
      </w:r>
      <w:r>
        <w:t>: 27;</w:t>
      </w:r>
      <w:r w:rsidRPr="00226D39">
        <w:t xml:space="preserve"> 1912</w:t>
      </w:r>
      <w:r>
        <w:t xml:space="preserve">: 75) indicate that numbers increased rapidly over the period, rather than declining rapidly as the uncorrected Census suggested, albeit the actual numbers are not comparable as the Duty included a wide range of other types of establishment, such as hotels, which are categorised elsewhere in I-CeM. </w:t>
      </w:r>
    </w:p>
    <w:p w14:paraId="1A338E01" w14:textId="77777777" w:rsidR="001E7990" w:rsidRDefault="001E7990" w:rsidP="00862A02">
      <w:pPr>
        <w:spacing w:line="360" w:lineRule="auto"/>
        <w:jc w:val="both"/>
      </w:pPr>
    </w:p>
    <w:p w14:paraId="46DB6BA5" w14:textId="377982BC" w:rsidR="001E7990" w:rsidRPr="0065432C" w:rsidRDefault="001E7990" w:rsidP="00862A02">
      <w:pPr>
        <w:spacing w:line="360" w:lineRule="auto"/>
        <w:jc w:val="both"/>
      </w:pPr>
      <w:r>
        <w:t xml:space="preserve">The next 25 occupations, which had reassignments of over 1,000, were almost all retail dealers or maker-dealers. There were, however, a few professional occupations in this group (physicians, solicitors, and auctioneers), some agricultural occupations (cow keepers, and market gardeners), and some building trades (builders, carpenters, and painters). Various directory comparisons for these and the rest of the 629 </w:t>
      </w:r>
      <w:r w:rsidRPr="004D51D8">
        <w:t xml:space="preserve">occupations </w:t>
      </w:r>
      <w:r>
        <w:t>estimated were made,</w:t>
      </w:r>
      <w:r>
        <w:rPr>
          <w:rStyle w:val="EndnoteReference"/>
        </w:rPr>
        <w:endnoteReference w:id="15"/>
      </w:r>
      <w:r>
        <w:t xml:space="preserve"> which again indicate upward trends similar to those for grocery, excise licenses, and Inhabited House duties, and hence support the scale of corrections estimated. Indeed, if anything, our corrections perhaps leave too many employers in the tabulations for 1891 which may actually be own account. But on balance, the estimates are probably the best that can be created with the information that now is available. It is to be noted that the sector preponderance of </w:t>
      </w:r>
      <w:r>
        <w:lastRenderedPageBreak/>
        <w:t>misidentified employers claimed by GRO quoted earlier is thus not supported by this analysis.</w:t>
      </w:r>
      <w:r w:rsidRPr="00343304">
        <w:t xml:space="preserve"> </w:t>
      </w:r>
      <w:r>
        <w:t>Whilst ‘builders and provision dealers’ fit the GRO claim quoted earlier,</w:t>
      </w:r>
      <w:r w:rsidRPr="00343304">
        <w:t xml:space="preserve"> </w:t>
      </w:r>
      <w:r>
        <w:t>‘</w:t>
      </w:r>
      <w:r w:rsidRPr="00343304">
        <w:t>coal dealers, road contractors, dealers in hemp, &amp;c., dealers in cane, rush, &amp;c</w:t>
      </w:r>
      <w:r>
        <w:t xml:space="preserve">’ do not match the GRO claim, as only small corrections are estimated for these sectors. </w:t>
      </w:r>
    </w:p>
    <w:p w14:paraId="6ABD6404" w14:textId="77777777" w:rsidR="001E7990" w:rsidRPr="0065432C" w:rsidRDefault="001E7990" w:rsidP="002726CD">
      <w:pPr>
        <w:spacing w:line="360" w:lineRule="auto"/>
        <w:jc w:val="both"/>
      </w:pPr>
    </w:p>
    <w:p w14:paraId="7EB2EDCD" w14:textId="77777777" w:rsidR="001E7990" w:rsidRPr="0065432C" w:rsidRDefault="001E7990" w:rsidP="002726CD">
      <w:pPr>
        <w:spacing w:line="360" w:lineRule="auto"/>
        <w:jc w:val="both"/>
      </w:pPr>
    </w:p>
    <w:p w14:paraId="3159D772" w14:textId="6432E90A" w:rsidR="001E7990" w:rsidRDefault="001E7990" w:rsidP="002726CD">
      <w:pPr>
        <w:spacing w:line="360" w:lineRule="auto"/>
        <w:jc w:val="both"/>
        <w:rPr>
          <w:b/>
        </w:rPr>
      </w:pPr>
      <w:r>
        <w:rPr>
          <w:b/>
        </w:rPr>
        <w:t>Estimates of proprietor</w:t>
      </w:r>
      <w:r w:rsidRPr="009A1434">
        <w:rPr>
          <w:b/>
        </w:rPr>
        <w:t xml:space="preserve"> numbers</w:t>
      </w:r>
      <w:r>
        <w:rPr>
          <w:b/>
        </w:rPr>
        <w:t xml:space="preserve"> 1891-1911</w:t>
      </w:r>
    </w:p>
    <w:p w14:paraId="5EAB018F" w14:textId="77777777" w:rsidR="001E7990" w:rsidRDefault="001E7990" w:rsidP="002726CD">
      <w:pPr>
        <w:spacing w:line="360" w:lineRule="auto"/>
        <w:jc w:val="both"/>
      </w:pPr>
    </w:p>
    <w:p w14:paraId="32A655AE" w14:textId="1988D577" w:rsidR="001E7990" w:rsidRDefault="001E7990" w:rsidP="00D2039C">
      <w:pPr>
        <w:spacing w:line="360" w:lineRule="auto"/>
        <w:jc w:val="both"/>
      </w:pPr>
      <w:r>
        <w:t>The pur</w:t>
      </w:r>
      <w:r w:rsidRPr="00977879">
        <w:t>pose</w:t>
      </w:r>
      <w:r>
        <w:t xml:space="preserve"> of this paper is</w:t>
      </w:r>
      <w:r w:rsidRPr="00977879">
        <w:t xml:space="preserve"> to </w:t>
      </w:r>
      <w:r>
        <w:t>establish reliable estimates of</w:t>
      </w:r>
      <w:r w:rsidR="00D73D67">
        <w:t xml:space="preserve"> the</w:t>
      </w:r>
      <w:r>
        <w:t xml:space="preserve"> number of business proprietors</w:t>
      </w:r>
      <w:r w:rsidRPr="00977879">
        <w:t xml:space="preserve"> over 1891-1911. These estimates are </w:t>
      </w:r>
      <w:r>
        <w:t xml:space="preserve">for aggregates, but are also </w:t>
      </w:r>
      <w:r w:rsidRPr="00977879">
        <w:t>available for every individual for each sector</w:t>
      </w:r>
      <w:r>
        <w:t xml:space="preserve">. From these estimates it is possible to begin assessing the implications for the business history of this period. </w:t>
      </w:r>
    </w:p>
    <w:p w14:paraId="3822C3C8" w14:textId="77777777" w:rsidR="001E7990" w:rsidRDefault="001E7990" w:rsidP="00D2039C">
      <w:pPr>
        <w:spacing w:line="360" w:lineRule="auto"/>
        <w:jc w:val="both"/>
      </w:pPr>
    </w:p>
    <w:p w14:paraId="0B7328F9" w14:textId="18EB8617" w:rsidR="001E7990" w:rsidRPr="008D1653" w:rsidRDefault="001E7990" w:rsidP="00D2039C">
      <w:pPr>
        <w:spacing w:line="360" w:lineRule="auto"/>
        <w:jc w:val="both"/>
        <w:rPr>
          <w:b/>
          <w:i/>
        </w:rPr>
      </w:pPr>
      <w:r w:rsidRPr="008D1653">
        <w:rPr>
          <w:b/>
          <w:i/>
        </w:rPr>
        <w:t>Aggregate sectors</w:t>
      </w:r>
    </w:p>
    <w:p w14:paraId="28BD9112" w14:textId="77777777" w:rsidR="001E7990" w:rsidRDefault="001E7990" w:rsidP="00D2039C">
      <w:pPr>
        <w:spacing w:line="360" w:lineRule="auto"/>
        <w:jc w:val="both"/>
      </w:pPr>
    </w:p>
    <w:p w14:paraId="6167C049" w14:textId="073A0917" w:rsidR="001E7990" w:rsidRPr="00977879" w:rsidRDefault="001E7990" w:rsidP="00D2039C">
      <w:pPr>
        <w:spacing w:line="360" w:lineRule="auto"/>
        <w:jc w:val="both"/>
      </w:pPr>
      <w:r>
        <w:t xml:space="preserve">Tables </w:t>
      </w:r>
      <w:r w:rsidR="008D22DB">
        <w:t>6</w:t>
      </w:r>
      <w:r>
        <w:t xml:space="preserve"> and </w:t>
      </w:r>
      <w:r w:rsidR="005B4996">
        <w:t>7</w:t>
      </w:r>
      <w:r>
        <w:t xml:space="preserve"> summarise the evolution, by sectors and gender, of employer and own account numbers. The sector classification used </w:t>
      </w:r>
      <w:r w:rsidRPr="008D1653">
        <w:t xml:space="preserve">translates the Census occupational codes into </w:t>
      </w:r>
      <w:r>
        <w:t xml:space="preserve">13 </w:t>
      </w:r>
      <w:r w:rsidRPr="008D1653">
        <w:t>business sectors</w:t>
      </w:r>
      <w:r>
        <w:t>. This</w:t>
      </w:r>
      <w:r w:rsidRPr="008D1653">
        <w:t xml:space="preserve"> </w:t>
      </w:r>
      <w:r>
        <w:t xml:space="preserve">is an aggregation of the I-CeM occupational codes that contained business proprietors. </w:t>
      </w:r>
      <w:r w:rsidRPr="00D2039C">
        <w:t xml:space="preserve"> </w:t>
      </w:r>
      <w:r>
        <w:t xml:space="preserve">As noted by </w:t>
      </w:r>
      <w:r w:rsidRPr="00D2039C">
        <w:t>Charles Booth</w:t>
      </w:r>
      <w:r>
        <w:t xml:space="preserve"> in 1886,</w:t>
      </w:r>
      <w:r w:rsidRPr="00D2039C">
        <w:t xml:space="preserve"> </w:t>
      </w:r>
      <w:r>
        <w:t>the C</w:t>
      </w:r>
      <w:r w:rsidRPr="00D2039C">
        <w:t xml:space="preserve">ensus </w:t>
      </w:r>
      <w:r>
        <w:t xml:space="preserve">codes did not identify </w:t>
      </w:r>
      <w:r w:rsidRPr="00D2039C">
        <w:t xml:space="preserve">the relative size of different branches of industry, </w:t>
      </w:r>
      <w:r>
        <w:t>but instead the types of occupation of people across all industries (Booth, 1886)</w:t>
      </w:r>
      <w:r w:rsidRPr="00D2039C">
        <w:t xml:space="preserve">. </w:t>
      </w:r>
      <w:r w:rsidR="00893745">
        <w:t xml:space="preserve">Hence, for example, a blacksmith would be recorded in the same way whether they had a small independent rural workshop or worked </w:t>
      </w:r>
      <w:r w:rsidR="004E351B">
        <w:t xml:space="preserve">as employees </w:t>
      </w:r>
      <w:r w:rsidR="00893745">
        <w:t xml:space="preserve">in a shipyard or cotton mill. Occupational categories cut across industries. </w:t>
      </w:r>
      <w:r>
        <w:t>T</w:t>
      </w:r>
      <w:r w:rsidRPr="00D2039C">
        <w:t xml:space="preserve">he GRO did not </w:t>
      </w:r>
      <w:r>
        <w:t xml:space="preserve">introduce an industry coding until 1911, which was even then </w:t>
      </w:r>
      <w:r w:rsidR="00893745">
        <w:t xml:space="preserve">too </w:t>
      </w:r>
      <w:r w:rsidR="00E43151">
        <w:t>imperfect</w:t>
      </w:r>
      <w:r w:rsidR="00893745">
        <w:t xml:space="preserve"> to be of much use here</w:t>
      </w:r>
      <w:r>
        <w:t xml:space="preserve">. The industry aggregation </w:t>
      </w:r>
      <w:r w:rsidR="00893745">
        <w:t xml:space="preserve">we have </w:t>
      </w:r>
      <w:r>
        <w:t>used is a modification of Booth’s classification as suggested by Armstrong (1972),</w:t>
      </w:r>
      <w:r w:rsidRPr="00D2039C">
        <w:t xml:space="preserve"> </w:t>
      </w:r>
      <w:r>
        <w:t>but at a more aggregate level and with a stronger focus on differentiating sectors with complex structures, notably those characterised by maker-dealers (</w:t>
      </w:r>
      <w:r w:rsidR="00261969">
        <w:t>Bennett et al., 2017a</w:t>
      </w:r>
      <w:r>
        <w:t xml:space="preserve">). The aggregation circumvents </w:t>
      </w:r>
      <w:r w:rsidR="00893745">
        <w:t xml:space="preserve">most of </w:t>
      </w:r>
      <w:r>
        <w:t>the deficienc</w:t>
      </w:r>
      <w:r w:rsidR="00893745">
        <w:t>ies</w:t>
      </w:r>
      <w:r>
        <w:t xml:space="preserve"> of Census categories </w:t>
      </w:r>
      <w:r w:rsidR="00893745">
        <w:t xml:space="preserve">such as blacksmiths, and generalised Census classifications </w:t>
      </w:r>
      <w:r>
        <w:t>such as ‘manufacturer’</w:t>
      </w:r>
      <w:r w:rsidR="003B68D4">
        <w:t>,</w:t>
      </w:r>
      <w:r>
        <w:t xml:space="preserve"> which </w:t>
      </w:r>
      <w:r w:rsidR="00893745">
        <w:t>cannot be</w:t>
      </w:r>
      <w:r>
        <w:t xml:space="preserve"> allocate</w:t>
      </w:r>
      <w:r w:rsidR="00893745">
        <w:t>d</w:t>
      </w:r>
      <w:r>
        <w:t xml:space="preserve"> to detailed </w:t>
      </w:r>
      <w:r w:rsidR="00893745">
        <w:t>industrial sectors</w:t>
      </w:r>
      <w:r>
        <w:t>.</w:t>
      </w:r>
      <w:r w:rsidR="004E351B">
        <w:t xml:space="preserve"> However, we acknowledge that this is imperfect and a simplification of a complex structure.</w:t>
      </w:r>
    </w:p>
    <w:p w14:paraId="64489B97" w14:textId="77777777" w:rsidR="001E7990" w:rsidRDefault="001E7990" w:rsidP="002726CD">
      <w:pPr>
        <w:spacing w:line="360" w:lineRule="auto"/>
        <w:jc w:val="both"/>
        <w:rPr>
          <w:b/>
        </w:rPr>
      </w:pPr>
    </w:p>
    <w:p w14:paraId="5085DF59" w14:textId="67E66F5F" w:rsidR="001E7990" w:rsidRDefault="001E7990" w:rsidP="009E7AF6">
      <w:pPr>
        <w:spacing w:line="360" w:lineRule="auto"/>
        <w:jc w:val="both"/>
      </w:pPr>
      <w:r>
        <w:t xml:space="preserve">For employers, in all but five sectors, there was continuous growth of male employer numbers; it was particularly rapid in </w:t>
      </w:r>
      <w:r w:rsidRPr="008D1653">
        <w:t>retail</w:t>
      </w:r>
      <w:r>
        <w:t>,</w:t>
      </w:r>
      <w:r w:rsidRPr="008D1653">
        <w:t xml:space="preserve"> </w:t>
      </w:r>
      <w:r>
        <w:t xml:space="preserve">professions (law, accountancy etc.), personal </w:t>
      </w:r>
      <w:r>
        <w:lastRenderedPageBreak/>
        <w:t>services (laundry, hairdressing), and mining, where employer numbers all gr</w:t>
      </w:r>
      <w:r w:rsidR="00E43151">
        <w:t>e</w:t>
      </w:r>
      <w:r>
        <w:t xml:space="preserve">w by over 50%.  Importantly, despite the emerging and increasingly dominant role of incorporated enterprises in manufacturing and transport, this only partially affected non-corporate </w:t>
      </w:r>
      <w:proofErr w:type="gramStart"/>
      <w:r w:rsidR="006B048B">
        <w:t xml:space="preserve">proprietor </w:t>
      </w:r>
      <w:r>
        <w:t xml:space="preserve"> numbers</w:t>
      </w:r>
      <w:proofErr w:type="gramEnd"/>
      <w:r>
        <w:t xml:space="preserve"> which experienced steady growth in both sectors. For females, growth was even more spectacular: over 100% increases in </w:t>
      </w:r>
      <w:r w:rsidRPr="008D1653">
        <w:t xml:space="preserve">refreshment, </w:t>
      </w:r>
      <w:r>
        <w:t xml:space="preserve">transport, professions (mainly as school proprietors), commerce, and mining, though the absolute numbers were often very small. An important element was also the 95% increase of female employers in </w:t>
      </w:r>
      <w:r w:rsidR="00E43151">
        <w:t>farming, although from a very low base</w:t>
      </w:r>
      <w:r>
        <w:t xml:space="preserve">. </w:t>
      </w:r>
      <w:r w:rsidR="00A96E14">
        <w:t>As noted above, t</w:t>
      </w:r>
      <w:r w:rsidR="006F1AE8">
        <w:t xml:space="preserve">hese estimates of female-headed businesses revise previous estimates of female employer participation markedly upwards and also counter most of the previous criticisms of the Census as a source for female proprietorship. </w:t>
      </w:r>
      <w:r>
        <w:t xml:space="preserve">In contrast, male farming employers fell in number 1891-1901, and then grew 1901-11. There was a similar dip in male food sales, refreshments, and agricultural produce. </w:t>
      </w:r>
      <w:r w:rsidRPr="0009426B">
        <w:t xml:space="preserve">Some of these changes may result from the South African War, which has been noted as reducing numbers in some </w:t>
      </w:r>
      <w:r>
        <w:t xml:space="preserve">worker </w:t>
      </w:r>
      <w:r w:rsidRPr="0009426B">
        <w:t>categories in 1901</w:t>
      </w:r>
      <w:r>
        <w:t>.</w:t>
      </w:r>
      <w:r>
        <w:rPr>
          <w:rStyle w:val="EndnoteReference"/>
        </w:rPr>
        <w:endnoteReference w:id="16"/>
      </w:r>
      <w:r>
        <w:t xml:space="preserve">  Female employers also experienced a dip in 1901 for personal services, refreshments, maker-dealing, manufacturing, agricultural produce, and food sales.</w:t>
      </w:r>
      <w:r w:rsidRPr="0071160E">
        <w:t xml:space="preserve"> </w:t>
      </w:r>
      <w:r>
        <w:t>Maker-dealers showed small declines 1891-1901 before rising again in 1911. These changes combined to cause a decline in the total number of female employers between 1891 and 1901.</w:t>
      </w:r>
    </w:p>
    <w:p w14:paraId="3AD63DF6" w14:textId="77777777" w:rsidR="001E7990" w:rsidRDefault="001E7990" w:rsidP="009E7AF6">
      <w:pPr>
        <w:spacing w:line="360" w:lineRule="auto"/>
        <w:jc w:val="both"/>
      </w:pPr>
    </w:p>
    <w:p w14:paraId="4813DE08" w14:textId="587B6429" w:rsidR="001E7990" w:rsidRPr="005200AE" w:rsidRDefault="001E7990" w:rsidP="009E7AF6">
      <w:pPr>
        <w:spacing w:line="360" w:lineRule="auto"/>
        <w:jc w:val="both"/>
      </w:pPr>
      <w:r>
        <w:t>These shifts</w:t>
      </w:r>
      <w:r w:rsidRPr="0071160E">
        <w:t xml:space="preserve"> in </w:t>
      </w:r>
      <w:r>
        <w:t>sector evolution</w:t>
      </w:r>
      <w:r w:rsidRPr="0071160E">
        <w:t xml:space="preserve"> have not been fully observed in previous literature. Whilst the period was generally o</w:t>
      </w:r>
      <w:r>
        <w:t xml:space="preserve">ne of buoyant economic activity which provided opportunities for proprietors in many sectors, there were also consolidations underway that limited the potential for smaller businesses. In </w:t>
      </w:r>
      <w:r w:rsidR="00A96E14">
        <w:t xml:space="preserve">the </w:t>
      </w:r>
      <w:r>
        <w:t>agricultural produce industry this took the form of a shift to large-scale milling and other food processing; in manufacturing, traditional maker-dealer industries, finance and commerce</w:t>
      </w:r>
      <w:r w:rsidR="003722F9">
        <w:t>,</w:t>
      </w:r>
      <w:r>
        <w:t xml:space="preserve"> larger and corporate enterprises were beginning to make major inroads. For farming (immune at this time from pressures from incorporation), male employer numbers grew modestly, while female employers nearly doubled. This, and the often related activities of quarrying and transport, appears to suggest a start of shifts in proprietorship towards women as men pursued other opportunities in the waged sector, reflecting a growing gender division of labour in the management of farms</w:t>
      </w:r>
      <w:r w:rsidR="003722F9">
        <w:t>, as also identified by (</w:t>
      </w:r>
      <w:r w:rsidR="00261969">
        <w:t>Montebruno et al., 2018</w:t>
      </w:r>
      <w:r w:rsidR="003722F9">
        <w:t xml:space="preserve">). </w:t>
      </w:r>
      <w:r>
        <w:t xml:space="preserve">It is striking that this change was developing before World War I, which has been previously argued as the main watershed that accelerated female involvement </w:t>
      </w:r>
      <w:r w:rsidRPr="00EE5B9B">
        <w:t xml:space="preserve">(Gail, 1989: </w:t>
      </w:r>
      <w:proofErr w:type="spellStart"/>
      <w:r w:rsidRPr="00EE5B9B">
        <w:t>Braybon</w:t>
      </w:r>
      <w:proofErr w:type="spellEnd"/>
      <w:r w:rsidRPr="00EE5B9B">
        <w:t xml:space="preserve">, 1989; </w:t>
      </w:r>
      <w:proofErr w:type="spellStart"/>
      <w:r w:rsidRPr="00EE5B9B">
        <w:t>Grayzel</w:t>
      </w:r>
      <w:proofErr w:type="spellEnd"/>
      <w:r w:rsidRPr="00EE5B9B">
        <w:t>, 2002).</w:t>
      </w:r>
      <w:r>
        <w:t xml:space="preserve"> Indeed, female business</w:t>
      </w:r>
      <w:r w:rsidRPr="005E12C4">
        <w:t xml:space="preserve"> involvement before as well as during the war was lauded by </w:t>
      </w:r>
      <w:r>
        <w:t>De Beck</w:t>
      </w:r>
      <w:r w:rsidRPr="005E12C4">
        <w:t xml:space="preserve"> </w:t>
      </w:r>
      <w:r>
        <w:t xml:space="preserve">(1916). </w:t>
      </w:r>
    </w:p>
    <w:p w14:paraId="2EDBDC5D" w14:textId="77777777" w:rsidR="0065509F" w:rsidRDefault="0065509F" w:rsidP="002726CD">
      <w:pPr>
        <w:spacing w:line="360" w:lineRule="auto"/>
        <w:jc w:val="both"/>
        <w:rPr>
          <w:b/>
        </w:rPr>
        <w:sectPr w:rsidR="0065509F" w:rsidSect="0001457C">
          <w:headerReference w:type="default" r:id="rId9"/>
          <w:footerReference w:type="default" r:id="rId10"/>
          <w:endnotePr>
            <w:numFmt w:val="decimal"/>
          </w:endnotePr>
          <w:pgSz w:w="11906" w:h="16838"/>
          <w:pgMar w:top="1134" w:right="1418" w:bottom="1191" w:left="1418" w:header="709" w:footer="709" w:gutter="0"/>
          <w:cols w:space="708"/>
          <w:docGrid w:linePitch="360"/>
        </w:sectPr>
      </w:pPr>
    </w:p>
    <w:p w14:paraId="246E99D3" w14:textId="4751F975" w:rsidR="001E7990" w:rsidRDefault="001E7990" w:rsidP="002726CD">
      <w:pPr>
        <w:spacing w:line="360" w:lineRule="auto"/>
        <w:jc w:val="both"/>
        <w:rPr>
          <w:b/>
        </w:rPr>
      </w:pPr>
    </w:p>
    <w:tbl>
      <w:tblPr>
        <w:tblW w:w="0" w:type="auto"/>
        <w:tblInd w:w="-30" w:type="dxa"/>
        <w:tblLayout w:type="fixed"/>
        <w:tblCellMar>
          <w:left w:w="28" w:type="dxa"/>
          <w:right w:w="28" w:type="dxa"/>
        </w:tblCellMar>
        <w:tblLook w:val="0000" w:firstRow="0" w:lastRow="0" w:firstColumn="0" w:lastColumn="0" w:noHBand="0" w:noVBand="0"/>
      </w:tblPr>
      <w:tblGrid>
        <w:gridCol w:w="4272"/>
        <w:gridCol w:w="1024"/>
        <w:gridCol w:w="1024"/>
        <w:gridCol w:w="1024"/>
        <w:gridCol w:w="1024"/>
        <w:gridCol w:w="1024"/>
        <w:gridCol w:w="1024"/>
        <w:gridCol w:w="1024"/>
        <w:gridCol w:w="1024"/>
        <w:gridCol w:w="1024"/>
      </w:tblGrid>
      <w:tr w:rsidR="0065509F" w:rsidRPr="0065509F" w14:paraId="681D83A2" w14:textId="77777777" w:rsidTr="00874EE0">
        <w:trPr>
          <w:trHeight w:val="316"/>
        </w:trPr>
        <w:tc>
          <w:tcPr>
            <w:tcW w:w="4272" w:type="dxa"/>
            <w:tcBorders>
              <w:top w:val="single" w:sz="12" w:space="0" w:color="auto"/>
              <w:left w:val="nil"/>
              <w:bottom w:val="nil"/>
              <w:right w:val="nil"/>
            </w:tcBorders>
          </w:tcPr>
          <w:p w14:paraId="43A1B3FA" w14:textId="77777777" w:rsidR="0065509F" w:rsidRPr="0065509F" w:rsidRDefault="0065509F" w:rsidP="0065509F">
            <w:pPr>
              <w:autoSpaceDE w:val="0"/>
              <w:autoSpaceDN w:val="0"/>
              <w:adjustRightInd w:val="0"/>
              <w:jc w:val="center"/>
              <w:rPr>
                <w:rFonts w:eastAsia="Calibri" w:cs="Times New Roman"/>
                <w:b/>
                <w:bCs/>
                <w:color w:val="000000"/>
                <w:szCs w:val="24"/>
              </w:rPr>
            </w:pPr>
            <w:r w:rsidRPr="0065509F">
              <w:rPr>
                <w:rFonts w:eastAsia="Calibri" w:cs="Times New Roman"/>
                <w:b/>
                <w:bCs/>
                <w:color w:val="000000"/>
                <w:szCs w:val="24"/>
              </w:rPr>
              <w:t>Sector</w:t>
            </w:r>
          </w:p>
        </w:tc>
        <w:tc>
          <w:tcPr>
            <w:tcW w:w="1024" w:type="dxa"/>
            <w:tcBorders>
              <w:top w:val="single" w:sz="12" w:space="0" w:color="auto"/>
              <w:left w:val="nil"/>
              <w:bottom w:val="single" w:sz="12" w:space="0" w:color="auto"/>
              <w:right w:val="nil"/>
            </w:tcBorders>
          </w:tcPr>
          <w:p w14:paraId="2D824FA5" w14:textId="77777777" w:rsidR="0065509F" w:rsidRPr="0065509F" w:rsidRDefault="0065509F" w:rsidP="0065509F">
            <w:pPr>
              <w:autoSpaceDE w:val="0"/>
              <w:autoSpaceDN w:val="0"/>
              <w:adjustRightInd w:val="0"/>
              <w:jc w:val="right"/>
              <w:rPr>
                <w:rFonts w:ascii="Calibri" w:eastAsia="Calibri" w:hAnsi="Calibri" w:cs="Calibri"/>
                <w:color w:val="000000"/>
                <w:sz w:val="22"/>
              </w:rPr>
            </w:pPr>
          </w:p>
        </w:tc>
        <w:tc>
          <w:tcPr>
            <w:tcW w:w="1024" w:type="dxa"/>
            <w:tcBorders>
              <w:top w:val="single" w:sz="12" w:space="0" w:color="auto"/>
              <w:left w:val="nil"/>
              <w:bottom w:val="single" w:sz="12" w:space="0" w:color="auto"/>
              <w:right w:val="nil"/>
            </w:tcBorders>
          </w:tcPr>
          <w:p w14:paraId="7B362DE7"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1891</w:t>
            </w:r>
          </w:p>
        </w:tc>
        <w:tc>
          <w:tcPr>
            <w:tcW w:w="1024" w:type="dxa"/>
            <w:tcBorders>
              <w:top w:val="single" w:sz="12" w:space="0" w:color="auto"/>
              <w:left w:val="nil"/>
              <w:bottom w:val="single" w:sz="12" w:space="0" w:color="auto"/>
              <w:right w:val="single" w:sz="12" w:space="0" w:color="auto"/>
            </w:tcBorders>
          </w:tcPr>
          <w:p w14:paraId="688BE343"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99A745B"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156E99EF"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1901</w:t>
            </w:r>
          </w:p>
        </w:tc>
        <w:tc>
          <w:tcPr>
            <w:tcW w:w="1024" w:type="dxa"/>
            <w:tcBorders>
              <w:top w:val="single" w:sz="12" w:space="0" w:color="auto"/>
              <w:left w:val="nil"/>
              <w:bottom w:val="single" w:sz="12" w:space="0" w:color="auto"/>
              <w:right w:val="single" w:sz="12" w:space="0" w:color="auto"/>
            </w:tcBorders>
          </w:tcPr>
          <w:p w14:paraId="4F14154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08037A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61E2ED3C"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1911</w:t>
            </w:r>
          </w:p>
        </w:tc>
        <w:tc>
          <w:tcPr>
            <w:tcW w:w="1024" w:type="dxa"/>
            <w:tcBorders>
              <w:top w:val="single" w:sz="12" w:space="0" w:color="auto"/>
              <w:left w:val="nil"/>
              <w:bottom w:val="single" w:sz="12" w:space="0" w:color="auto"/>
              <w:right w:val="nil"/>
            </w:tcBorders>
          </w:tcPr>
          <w:p w14:paraId="59B3F727"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r>
      <w:tr w:rsidR="0065509F" w:rsidRPr="0065509F" w14:paraId="08C80875" w14:textId="77777777" w:rsidTr="00874EE0">
        <w:trPr>
          <w:trHeight w:val="316"/>
        </w:trPr>
        <w:tc>
          <w:tcPr>
            <w:tcW w:w="4272" w:type="dxa"/>
            <w:tcBorders>
              <w:top w:val="single" w:sz="12" w:space="0" w:color="auto"/>
              <w:left w:val="nil"/>
              <w:bottom w:val="nil"/>
              <w:right w:val="nil"/>
            </w:tcBorders>
          </w:tcPr>
          <w:p w14:paraId="4F4FD057" w14:textId="77777777" w:rsidR="0065509F" w:rsidRPr="0065509F" w:rsidRDefault="0065509F" w:rsidP="0065509F">
            <w:pPr>
              <w:autoSpaceDE w:val="0"/>
              <w:autoSpaceDN w:val="0"/>
              <w:adjustRightInd w:val="0"/>
              <w:jc w:val="center"/>
              <w:rPr>
                <w:rFonts w:eastAsia="Calibri" w:cs="Times New Roman"/>
                <w:b/>
                <w:bCs/>
                <w:color w:val="000000"/>
                <w:szCs w:val="24"/>
              </w:rPr>
            </w:pPr>
          </w:p>
        </w:tc>
        <w:tc>
          <w:tcPr>
            <w:tcW w:w="1024" w:type="dxa"/>
            <w:tcBorders>
              <w:top w:val="single" w:sz="12" w:space="0" w:color="auto"/>
              <w:left w:val="nil"/>
              <w:bottom w:val="single" w:sz="12" w:space="0" w:color="auto"/>
              <w:right w:val="nil"/>
            </w:tcBorders>
          </w:tcPr>
          <w:p w14:paraId="43F8886D" w14:textId="77777777" w:rsidR="0065509F" w:rsidRPr="0065509F" w:rsidRDefault="0065509F" w:rsidP="0065509F">
            <w:pPr>
              <w:autoSpaceDE w:val="0"/>
              <w:autoSpaceDN w:val="0"/>
              <w:adjustRightInd w:val="0"/>
              <w:jc w:val="right"/>
              <w:rPr>
                <w:rFonts w:ascii="Calibri" w:eastAsia="Calibri" w:hAnsi="Calibri" w:cs="Calibri"/>
                <w:color w:val="000000"/>
                <w:sz w:val="22"/>
              </w:rPr>
            </w:pPr>
          </w:p>
        </w:tc>
        <w:tc>
          <w:tcPr>
            <w:tcW w:w="1024" w:type="dxa"/>
            <w:tcBorders>
              <w:top w:val="single" w:sz="12" w:space="0" w:color="auto"/>
              <w:left w:val="nil"/>
              <w:bottom w:val="single" w:sz="12" w:space="0" w:color="auto"/>
              <w:right w:val="nil"/>
            </w:tcBorders>
          </w:tcPr>
          <w:p w14:paraId="309689E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1A342CC5"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EA6459A"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2BC8FC17"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MALE</w:t>
            </w:r>
          </w:p>
        </w:tc>
        <w:tc>
          <w:tcPr>
            <w:tcW w:w="1024" w:type="dxa"/>
            <w:tcBorders>
              <w:top w:val="single" w:sz="12" w:space="0" w:color="auto"/>
              <w:left w:val="nil"/>
              <w:bottom w:val="single" w:sz="12" w:space="0" w:color="auto"/>
              <w:right w:val="nil"/>
            </w:tcBorders>
          </w:tcPr>
          <w:p w14:paraId="587BBB59"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1DCF19A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2D16F63A"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64F0E682"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r>
      <w:tr w:rsidR="0065509F" w:rsidRPr="0065509F" w14:paraId="12CBC60D" w14:textId="77777777" w:rsidTr="00874EE0">
        <w:trPr>
          <w:trHeight w:val="288"/>
        </w:trPr>
        <w:tc>
          <w:tcPr>
            <w:tcW w:w="4272" w:type="dxa"/>
            <w:tcBorders>
              <w:top w:val="nil"/>
              <w:left w:val="nil"/>
              <w:bottom w:val="nil"/>
              <w:right w:val="nil"/>
            </w:tcBorders>
          </w:tcPr>
          <w:p w14:paraId="7CF93450" w14:textId="77777777" w:rsidR="0065509F" w:rsidRPr="0065509F" w:rsidRDefault="0065509F" w:rsidP="0065509F">
            <w:pPr>
              <w:autoSpaceDE w:val="0"/>
              <w:autoSpaceDN w:val="0"/>
              <w:adjustRightInd w:val="0"/>
              <w:jc w:val="center"/>
              <w:rPr>
                <w:rFonts w:eastAsia="Calibri" w:cs="Times New Roman"/>
                <w:b/>
                <w:bCs/>
                <w:color w:val="000000"/>
                <w:szCs w:val="24"/>
              </w:rPr>
            </w:pPr>
          </w:p>
        </w:tc>
        <w:tc>
          <w:tcPr>
            <w:tcW w:w="1024" w:type="dxa"/>
            <w:tcBorders>
              <w:top w:val="nil"/>
              <w:left w:val="nil"/>
              <w:bottom w:val="nil"/>
              <w:right w:val="nil"/>
            </w:tcBorders>
          </w:tcPr>
          <w:p w14:paraId="7F58C9A9"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0C3D481E"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260453C8"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c>
          <w:tcPr>
            <w:tcW w:w="1024" w:type="dxa"/>
            <w:tcBorders>
              <w:top w:val="nil"/>
              <w:left w:val="nil"/>
              <w:bottom w:val="nil"/>
              <w:right w:val="nil"/>
            </w:tcBorders>
          </w:tcPr>
          <w:p w14:paraId="0F0EF1EE"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4B63FBDF"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55C26DA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c>
          <w:tcPr>
            <w:tcW w:w="1024" w:type="dxa"/>
            <w:tcBorders>
              <w:top w:val="nil"/>
              <w:left w:val="nil"/>
              <w:bottom w:val="nil"/>
              <w:right w:val="nil"/>
            </w:tcBorders>
          </w:tcPr>
          <w:p w14:paraId="1EF4AE9B"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2BDB201D"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106BCE08"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r>
      <w:tr w:rsidR="0065509F" w:rsidRPr="0065509F" w14:paraId="6DEC6D71" w14:textId="77777777" w:rsidTr="00874EE0">
        <w:trPr>
          <w:trHeight w:val="288"/>
        </w:trPr>
        <w:tc>
          <w:tcPr>
            <w:tcW w:w="4272" w:type="dxa"/>
            <w:tcBorders>
              <w:top w:val="single" w:sz="12" w:space="0" w:color="auto"/>
              <w:left w:val="nil"/>
              <w:bottom w:val="nil"/>
              <w:right w:val="nil"/>
            </w:tcBorders>
          </w:tcPr>
          <w:p w14:paraId="2E799C97"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Farming/estate work</w:t>
            </w:r>
          </w:p>
        </w:tc>
        <w:tc>
          <w:tcPr>
            <w:tcW w:w="1024" w:type="dxa"/>
            <w:tcBorders>
              <w:top w:val="single" w:sz="12" w:space="0" w:color="auto"/>
              <w:left w:val="nil"/>
              <w:bottom w:val="nil"/>
              <w:right w:val="nil"/>
            </w:tcBorders>
          </w:tcPr>
          <w:p w14:paraId="0A792BB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145,652</w:t>
            </w:r>
          </w:p>
        </w:tc>
        <w:tc>
          <w:tcPr>
            <w:tcW w:w="1024" w:type="dxa"/>
            <w:tcBorders>
              <w:top w:val="single" w:sz="12" w:space="0" w:color="auto"/>
              <w:left w:val="nil"/>
              <w:bottom w:val="nil"/>
              <w:right w:val="nil"/>
            </w:tcBorders>
          </w:tcPr>
          <w:p w14:paraId="658EE3A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144,982</w:t>
            </w:r>
          </w:p>
        </w:tc>
        <w:tc>
          <w:tcPr>
            <w:tcW w:w="1024" w:type="dxa"/>
            <w:tcBorders>
              <w:top w:val="single" w:sz="12" w:space="0" w:color="auto"/>
              <w:left w:val="nil"/>
              <w:bottom w:val="nil"/>
              <w:right w:val="single" w:sz="12" w:space="0" w:color="auto"/>
            </w:tcBorders>
          </w:tcPr>
          <w:p w14:paraId="35C10F4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146,322</w:t>
            </w:r>
          </w:p>
        </w:tc>
        <w:tc>
          <w:tcPr>
            <w:tcW w:w="1024" w:type="dxa"/>
            <w:tcBorders>
              <w:top w:val="single" w:sz="12" w:space="0" w:color="auto"/>
              <w:left w:val="nil"/>
              <w:bottom w:val="nil"/>
              <w:right w:val="nil"/>
            </w:tcBorders>
          </w:tcPr>
          <w:p w14:paraId="4A750AA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136,276</w:t>
            </w:r>
          </w:p>
        </w:tc>
        <w:tc>
          <w:tcPr>
            <w:tcW w:w="1024" w:type="dxa"/>
            <w:tcBorders>
              <w:top w:val="single" w:sz="12" w:space="0" w:color="auto"/>
              <w:left w:val="nil"/>
              <w:bottom w:val="nil"/>
              <w:right w:val="nil"/>
            </w:tcBorders>
          </w:tcPr>
          <w:p w14:paraId="0726E1B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135,629</w:t>
            </w:r>
          </w:p>
        </w:tc>
        <w:tc>
          <w:tcPr>
            <w:tcW w:w="1024" w:type="dxa"/>
            <w:tcBorders>
              <w:top w:val="single" w:sz="12" w:space="0" w:color="auto"/>
              <w:left w:val="nil"/>
              <w:bottom w:val="nil"/>
              <w:right w:val="single" w:sz="12" w:space="0" w:color="auto"/>
            </w:tcBorders>
          </w:tcPr>
          <w:p w14:paraId="79AF028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136,923</w:t>
            </w:r>
          </w:p>
        </w:tc>
        <w:tc>
          <w:tcPr>
            <w:tcW w:w="1024" w:type="dxa"/>
            <w:tcBorders>
              <w:top w:val="single" w:sz="12" w:space="0" w:color="auto"/>
              <w:left w:val="nil"/>
              <w:bottom w:val="nil"/>
              <w:right w:val="nil"/>
            </w:tcBorders>
          </w:tcPr>
          <w:p w14:paraId="4A00B9F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154,654</w:t>
            </w:r>
          </w:p>
        </w:tc>
        <w:tc>
          <w:tcPr>
            <w:tcW w:w="1024" w:type="dxa"/>
            <w:tcBorders>
              <w:top w:val="single" w:sz="12" w:space="0" w:color="auto"/>
              <w:left w:val="nil"/>
              <w:bottom w:val="nil"/>
              <w:right w:val="nil"/>
            </w:tcBorders>
          </w:tcPr>
          <w:p w14:paraId="18EB89D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153,954</w:t>
            </w:r>
          </w:p>
        </w:tc>
        <w:tc>
          <w:tcPr>
            <w:tcW w:w="1024" w:type="dxa"/>
            <w:tcBorders>
              <w:top w:val="single" w:sz="12" w:space="0" w:color="auto"/>
              <w:left w:val="nil"/>
              <w:bottom w:val="nil"/>
              <w:right w:val="nil"/>
            </w:tcBorders>
          </w:tcPr>
          <w:p w14:paraId="1F146ED4"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155,353</w:t>
            </w:r>
          </w:p>
        </w:tc>
      </w:tr>
      <w:tr w:rsidR="0065509F" w:rsidRPr="0065509F" w14:paraId="0CA5CABC" w14:textId="77777777" w:rsidTr="00874EE0">
        <w:trPr>
          <w:trHeight w:val="300"/>
        </w:trPr>
        <w:tc>
          <w:tcPr>
            <w:tcW w:w="4272" w:type="dxa"/>
            <w:tcBorders>
              <w:top w:val="nil"/>
              <w:left w:val="nil"/>
              <w:bottom w:val="nil"/>
              <w:right w:val="nil"/>
            </w:tcBorders>
          </w:tcPr>
          <w:p w14:paraId="222F6B42"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Mining and quarrying</w:t>
            </w:r>
          </w:p>
        </w:tc>
        <w:tc>
          <w:tcPr>
            <w:tcW w:w="1024" w:type="dxa"/>
            <w:tcBorders>
              <w:top w:val="nil"/>
              <w:left w:val="nil"/>
              <w:bottom w:val="nil"/>
              <w:right w:val="nil"/>
            </w:tcBorders>
          </w:tcPr>
          <w:p w14:paraId="1032895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5,083</w:t>
            </w:r>
          </w:p>
        </w:tc>
        <w:tc>
          <w:tcPr>
            <w:tcW w:w="1024" w:type="dxa"/>
            <w:tcBorders>
              <w:top w:val="nil"/>
              <w:left w:val="nil"/>
              <w:bottom w:val="nil"/>
              <w:right w:val="nil"/>
            </w:tcBorders>
          </w:tcPr>
          <w:p w14:paraId="7DCB713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4,940</w:t>
            </w:r>
          </w:p>
        </w:tc>
        <w:tc>
          <w:tcPr>
            <w:tcW w:w="1024" w:type="dxa"/>
            <w:tcBorders>
              <w:top w:val="nil"/>
              <w:left w:val="nil"/>
              <w:bottom w:val="nil"/>
              <w:right w:val="single" w:sz="12" w:space="0" w:color="auto"/>
            </w:tcBorders>
          </w:tcPr>
          <w:p w14:paraId="00C36E6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5,226</w:t>
            </w:r>
          </w:p>
        </w:tc>
        <w:tc>
          <w:tcPr>
            <w:tcW w:w="1024" w:type="dxa"/>
            <w:tcBorders>
              <w:top w:val="nil"/>
              <w:left w:val="nil"/>
              <w:bottom w:val="nil"/>
              <w:right w:val="nil"/>
            </w:tcBorders>
          </w:tcPr>
          <w:p w14:paraId="646F1F0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5,908</w:t>
            </w:r>
          </w:p>
        </w:tc>
        <w:tc>
          <w:tcPr>
            <w:tcW w:w="1024" w:type="dxa"/>
            <w:tcBorders>
              <w:top w:val="nil"/>
              <w:left w:val="nil"/>
              <w:bottom w:val="nil"/>
              <w:right w:val="nil"/>
            </w:tcBorders>
          </w:tcPr>
          <w:p w14:paraId="1606904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5,752</w:t>
            </w:r>
          </w:p>
        </w:tc>
        <w:tc>
          <w:tcPr>
            <w:tcW w:w="1024" w:type="dxa"/>
            <w:tcBorders>
              <w:top w:val="nil"/>
              <w:left w:val="nil"/>
              <w:bottom w:val="nil"/>
              <w:right w:val="single" w:sz="12" w:space="0" w:color="auto"/>
            </w:tcBorders>
          </w:tcPr>
          <w:p w14:paraId="14D9202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6,064</w:t>
            </w:r>
          </w:p>
        </w:tc>
        <w:tc>
          <w:tcPr>
            <w:tcW w:w="1024" w:type="dxa"/>
            <w:tcBorders>
              <w:top w:val="nil"/>
              <w:left w:val="nil"/>
              <w:bottom w:val="nil"/>
              <w:right w:val="nil"/>
            </w:tcBorders>
          </w:tcPr>
          <w:p w14:paraId="68B41CE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7,435</w:t>
            </w:r>
          </w:p>
        </w:tc>
        <w:tc>
          <w:tcPr>
            <w:tcW w:w="1024" w:type="dxa"/>
            <w:tcBorders>
              <w:top w:val="nil"/>
              <w:left w:val="nil"/>
              <w:bottom w:val="nil"/>
              <w:right w:val="nil"/>
            </w:tcBorders>
          </w:tcPr>
          <w:p w14:paraId="60C60A2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7,260</w:t>
            </w:r>
          </w:p>
        </w:tc>
        <w:tc>
          <w:tcPr>
            <w:tcW w:w="1024" w:type="dxa"/>
            <w:tcBorders>
              <w:top w:val="nil"/>
              <w:left w:val="nil"/>
              <w:bottom w:val="nil"/>
              <w:right w:val="nil"/>
            </w:tcBorders>
          </w:tcPr>
          <w:p w14:paraId="28818A5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7,610</w:t>
            </w:r>
          </w:p>
        </w:tc>
      </w:tr>
      <w:tr w:rsidR="0065509F" w:rsidRPr="0065509F" w14:paraId="1A848F33" w14:textId="77777777" w:rsidTr="00874EE0">
        <w:trPr>
          <w:trHeight w:val="300"/>
        </w:trPr>
        <w:tc>
          <w:tcPr>
            <w:tcW w:w="4272" w:type="dxa"/>
            <w:tcBorders>
              <w:top w:val="nil"/>
              <w:left w:val="nil"/>
              <w:bottom w:val="nil"/>
              <w:right w:val="nil"/>
            </w:tcBorders>
          </w:tcPr>
          <w:p w14:paraId="4F5F4392"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Construction</w:t>
            </w:r>
          </w:p>
        </w:tc>
        <w:tc>
          <w:tcPr>
            <w:tcW w:w="1024" w:type="dxa"/>
            <w:tcBorders>
              <w:top w:val="nil"/>
              <w:left w:val="nil"/>
              <w:bottom w:val="nil"/>
              <w:right w:val="nil"/>
            </w:tcBorders>
          </w:tcPr>
          <w:p w14:paraId="14B01780"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59,252</w:t>
            </w:r>
          </w:p>
        </w:tc>
        <w:tc>
          <w:tcPr>
            <w:tcW w:w="1024" w:type="dxa"/>
            <w:tcBorders>
              <w:top w:val="nil"/>
              <w:left w:val="nil"/>
              <w:bottom w:val="nil"/>
              <w:right w:val="nil"/>
            </w:tcBorders>
          </w:tcPr>
          <w:p w14:paraId="42824CB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58,793</w:t>
            </w:r>
          </w:p>
        </w:tc>
        <w:tc>
          <w:tcPr>
            <w:tcW w:w="1024" w:type="dxa"/>
            <w:tcBorders>
              <w:top w:val="nil"/>
              <w:left w:val="nil"/>
              <w:bottom w:val="nil"/>
              <w:right w:val="single" w:sz="12" w:space="0" w:color="auto"/>
            </w:tcBorders>
          </w:tcPr>
          <w:p w14:paraId="1BC5B95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59,711</w:t>
            </w:r>
          </w:p>
        </w:tc>
        <w:tc>
          <w:tcPr>
            <w:tcW w:w="1024" w:type="dxa"/>
            <w:tcBorders>
              <w:top w:val="nil"/>
              <w:left w:val="nil"/>
              <w:bottom w:val="nil"/>
              <w:right w:val="nil"/>
            </w:tcBorders>
          </w:tcPr>
          <w:p w14:paraId="0B63DC3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64,342</w:t>
            </w:r>
          </w:p>
        </w:tc>
        <w:tc>
          <w:tcPr>
            <w:tcW w:w="1024" w:type="dxa"/>
            <w:tcBorders>
              <w:top w:val="nil"/>
              <w:left w:val="nil"/>
              <w:bottom w:val="nil"/>
              <w:right w:val="nil"/>
            </w:tcBorders>
          </w:tcPr>
          <w:p w14:paraId="11038711"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63,871</w:t>
            </w:r>
          </w:p>
        </w:tc>
        <w:tc>
          <w:tcPr>
            <w:tcW w:w="1024" w:type="dxa"/>
            <w:tcBorders>
              <w:top w:val="nil"/>
              <w:left w:val="nil"/>
              <w:bottom w:val="nil"/>
              <w:right w:val="single" w:sz="12" w:space="0" w:color="auto"/>
            </w:tcBorders>
          </w:tcPr>
          <w:p w14:paraId="4F61584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64,813</w:t>
            </w:r>
          </w:p>
        </w:tc>
        <w:tc>
          <w:tcPr>
            <w:tcW w:w="1024" w:type="dxa"/>
            <w:tcBorders>
              <w:top w:val="nil"/>
              <w:left w:val="nil"/>
              <w:bottom w:val="nil"/>
              <w:right w:val="nil"/>
            </w:tcBorders>
          </w:tcPr>
          <w:p w14:paraId="6484E2C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71,993</w:t>
            </w:r>
          </w:p>
        </w:tc>
        <w:tc>
          <w:tcPr>
            <w:tcW w:w="1024" w:type="dxa"/>
            <w:tcBorders>
              <w:top w:val="nil"/>
              <w:left w:val="nil"/>
              <w:bottom w:val="nil"/>
              <w:right w:val="nil"/>
            </w:tcBorders>
          </w:tcPr>
          <w:p w14:paraId="58FDBD1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71,490</w:t>
            </w:r>
          </w:p>
        </w:tc>
        <w:tc>
          <w:tcPr>
            <w:tcW w:w="1024" w:type="dxa"/>
            <w:tcBorders>
              <w:top w:val="nil"/>
              <w:left w:val="nil"/>
              <w:bottom w:val="nil"/>
              <w:right w:val="nil"/>
            </w:tcBorders>
          </w:tcPr>
          <w:p w14:paraId="194C2DC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72,497</w:t>
            </w:r>
          </w:p>
        </w:tc>
      </w:tr>
      <w:tr w:rsidR="0065509F" w:rsidRPr="0065509F" w14:paraId="071C7DE3" w14:textId="77777777" w:rsidTr="00874EE0">
        <w:trPr>
          <w:trHeight w:val="300"/>
        </w:trPr>
        <w:tc>
          <w:tcPr>
            <w:tcW w:w="4272" w:type="dxa"/>
            <w:tcBorders>
              <w:top w:val="nil"/>
              <w:left w:val="nil"/>
              <w:bottom w:val="nil"/>
              <w:right w:val="nil"/>
            </w:tcBorders>
          </w:tcPr>
          <w:p w14:paraId="6A764694"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Manufacturing</w:t>
            </w:r>
          </w:p>
        </w:tc>
        <w:tc>
          <w:tcPr>
            <w:tcW w:w="1024" w:type="dxa"/>
            <w:tcBorders>
              <w:top w:val="nil"/>
              <w:left w:val="nil"/>
              <w:bottom w:val="nil"/>
              <w:right w:val="nil"/>
            </w:tcBorders>
          </w:tcPr>
          <w:p w14:paraId="567E9EA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65,839</w:t>
            </w:r>
          </w:p>
        </w:tc>
        <w:tc>
          <w:tcPr>
            <w:tcW w:w="1024" w:type="dxa"/>
            <w:tcBorders>
              <w:top w:val="nil"/>
              <w:left w:val="nil"/>
              <w:bottom w:val="nil"/>
              <w:right w:val="nil"/>
            </w:tcBorders>
          </w:tcPr>
          <w:p w14:paraId="5299C61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65,360</w:t>
            </w:r>
          </w:p>
        </w:tc>
        <w:tc>
          <w:tcPr>
            <w:tcW w:w="1024" w:type="dxa"/>
            <w:tcBorders>
              <w:top w:val="nil"/>
              <w:left w:val="nil"/>
              <w:bottom w:val="nil"/>
              <w:right w:val="single" w:sz="12" w:space="0" w:color="auto"/>
            </w:tcBorders>
          </w:tcPr>
          <w:p w14:paraId="7051FEA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66,318</w:t>
            </w:r>
          </w:p>
        </w:tc>
        <w:tc>
          <w:tcPr>
            <w:tcW w:w="1024" w:type="dxa"/>
            <w:tcBorders>
              <w:top w:val="nil"/>
              <w:left w:val="nil"/>
              <w:bottom w:val="nil"/>
              <w:right w:val="nil"/>
            </w:tcBorders>
          </w:tcPr>
          <w:p w14:paraId="14A34EB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65,579</w:t>
            </w:r>
          </w:p>
        </w:tc>
        <w:tc>
          <w:tcPr>
            <w:tcW w:w="1024" w:type="dxa"/>
            <w:tcBorders>
              <w:top w:val="nil"/>
              <w:left w:val="nil"/>
              <w:bottom w:val="nil"/>
              <w:right w:val="nil"/>
            </w:tcBorders>
          </w:tcPr>
          <w:p w14:paraId="5810B57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65,102</w:t>
            </w:r>
          </w:p>
        </w:tc>
        <w:tc>
          <w:tcPr>
            <w:tcW w:w="1024" w:type="dxa"/>
            <w:tcBorders>
              <w:top w:val="nil"/>
              <w:left w:val="nil"/>
              <w:bottom w:val="nil"/>
              <w:right w:val="single" w:sz="12" w:space="0" w:color="auto"/>
            </w:tcBorders>
          </w:tcPr>
          <w:p w14:paraId="140DE23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66,056</w:t>
            </w:r>
          </w:p>
        </w:tc>
        <w:tc>
          <w:tcPr>
            <w:tcW w:w="1024" w:type="dxa"/>
            <w:tcBorders>
              <w:top w:val="nil"/>
              <w:left w:val="nil"/>
              <w:bottom w:val="nil"/>
              <w:right w:val="nil"/>
            </w:tcBorders>
          </w:tcPr>
          <w:p w14:paraId="73ACC90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77,365</w:t>
            </w:r>
          </w:p>
        </w:tc>
        <w:tc>
          <w:tcPr>
            <w:tcW w:w="1024" w:type="dxa"/>
            <w:tcBorders>
              <w:top w:val="nil"/>
              <w:left w:val="nil"/>
              <w:bottom w:val="nil"/>
              <w:right w:val="nil"/>
            </w:tcBorders>
          </w:tcPr>
          <w:p w14:paraId="46A8D1F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76,845</w:t>
            </w:r>
          </w:p>
        </w:tc>
        <w:tc>
          <w:tcPr>
            <w:tcW w:w="1024" w:type="dxa"/>
            <w:tcBorders>
              <w:top w:val="nil"/>
              <w:left w:val="nil"/>
              <w:bottom w:val="nil"/>
              <w:right w:val="nil"/>
            </w:tcBorders>
          </w:tcPr>
          <w:p w14:paraId="558C6C1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77,885</w:t>
            </w:r>
          </w:p>
        </w:tc>
      </w:tr>
      <w:tr w:rsidR="0065509F" w:rsidRPr="0065509F" w14:paraId="4E573BD5" w14:textId="77777777" w:rsidTr="00874EE0">
        <w:trPr>
          <w:trHeight w:val="300"/>
        </w:trPr>
        <w:tc>
          <w:tcPr>
            <w:tcW w:w="4272" w:type="dxa"/>
            <w:tcBorders>
              <w:top w:val="nil"/>
              <w:left w:val="nil"/>
              <w:bottom w:val="nil"/>
              <w:right w:val="nil"/>
            </w:tcBorders>
          </w:tcPr>
          <w:p w14:paraId="6B162FC6"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Maker-dealer</w:t>
            </w:r>
          </w:p>
        </w:tc>
        <w:tc>
          <w:tcPr>
            <w:tcW w:w="1024" w:type="dxa"/>
            <w:tcBorders>
              <w:top w:val="nil"/>
              <w:left w:val="nil"/>
              <w:bottom w:val="nil"/>
              <w:right w:val="nil"/>
            </w:tcBorders>
          </w:tcPr>
          <w:p w14:paraId="4D33B59E"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71,477</w:t>
            </w:r>
          </w:p>
        </w:tc>
        <w:tc>
          <w:tcPr>
            <w:tcW w:w="1024" w:type="dxa"/>
            <w:tcBorders>
              <w:top w:val="nil"/>
              <w:left w:val="nil"/>
              <w:bottom w:val="nil"/>
              <w:right w:val="nil"/>
            </w:tcBorders>
          </w:tcPr>
          <w:p w14:paraId="53CB3D7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70,981</w:t>
            </w:r>
          </w:p>
        </w:tc>
        <w:tc>
          <w:tcPr>
            <w:tcW w:w="1024" w:type="dxa"/>
            <w:tcBorders>
              <w:top w:val="nil"/>
              <w:left w:val="nil"/>
              <w:bottom w:val="nil"/>
              <w:right w:val="single" w:sz="12" w:space="0" w:color="auto"/>
            </w:tcBorders>
          </w:tcPr>
          <w:p w14:paraId="3701307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71,974</w:t>
            </w:r>
          </w:p>
        </w:tc>
        <w:tc>
          <w:tcPr>
            <w:tcW w:w="1024" w:type="dxa"/>
            <w:tcBorders>
              <w:top w:val="nil"/>
              <w:left w:val="nil"/>
              <w:bottom w:val="nil"/>
              <w:right w:val="nil"/>
            </w:tcBorders>
          </w:tcPr>
          <w:p w14:paraId="43ACBD8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75,003</w:t>
            </w:r>
          </w:p>
        </w:tc>
        <w:tc>
          <w:tcPr>
            <w:tcW w:w="1024" w:type="dxa"/>
            <w:tcBorders>
              <w:top w:val="nil"/>
              <w:left w:val="nil"/>
              <w:bottom w:val="nil"/>
              <w:right w:val="nil"/>
            </w:tcBorders>
          </w:tcPr>
          <w:p w14:paraId="54EF2F9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74,499</w:t>
            </w:r>
          </w:p>
        </w:tc>
        <w:tc>
          <w:tcPr>
            <w:tcW w:w="1024" w:type="dxa"/>
            <w:tcBorders>
              <w:top w:val="nil"/>
              <w:left w:val="nil"/>
              <w:bottom w:val="nil"/>
              <w:right w:val="single" w:sz="12" w:space="0" w:color="auto"/>
            </w:tcBorders>
          </w:tcPr>
          <w:p w14:paraId="7701AE5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75,506</w:t>
            </w:r>
          </w:p>
        </w:tc>
        <w:tc>
          <w:tcPr>
            <w:tcW w:w="1024" w:type="dxa"/>
            <w:tcBorders>
              <w:top w:val="nil"/>
              <w:left w:val="nil"/>
              <w:bottom w:val="nil"/>
              <w:right w:val="nil"/>
            </w:tcBorders>
          </w:tcPr>
          <w:p w14:paraId="168AFEF4"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88,371</w:t>
            </w:r>
          </w:p>
        </w:tc>
        <w:tc>
          <w:tcPr>
            <w:tcW w:w="1024" w:type="dxa"/>
            <w:tcBorders>
              <w:top w:val="nil"/>
              <w:left w:val="nil"/>
              <w:bottom w:val="nil"/>
              <w:right w:val="nil"/>
            </w:tcBorders>
          </w:tcPr>
          <w:p w14:paraId="6D63901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87,822</w:t>
            </w:r>
          </w:p>
        </w:tc>
        <w:tc>
          <w:tcPr>
            <w:tcW w:w="1024" w:type="dxa"/>
            <w:tcBorders>
              <w:top w:val="nil"/>
              <w:left w:val="nil"/>
              <w:bottom w:val="nil"/>
              <w:right w:val="nil"/>
            </w:tcBorders>
          </w:tcPr>
          <w:p w14:paraId="1F9C683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88,919</w:t>
            </w:r>
          </w:p>
        </w:tc>
      </w:tr>
      <w:tr w:rsidR="0065509F" w:rsidRPr="0065509F" w14:paraId="236EDBE2" w14:textId="77777777" w:rsidTr="00874EE0">
        <w:trPr>
          <w:trHeight w:val="300"/>
        </w:trPr>
        <w:tc>
          <w:tcPr>
            <w:tcW w:w="4272" w:type="dxa"/>
            <w:tcBorders>
              <w:top w:val="nil"/>
              <w:left w:val="nil"/>
              <w:bottom w:val="nil"/>
              <w:right w:val="nil"/>
            </w:tcBorders>
          </w:tcPr>
          <w:p w14:paraId="039F2E27"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Retail</w:t>
            </w:r>
          </w:p>
        </w:tc>
        <w:tc>
          <w:tcPr>
            <w:tcW w:w="1024" w:type="dxa"/>
            <w:tcBorders>
              <w:top w:val="nil"/>
              <w:left w:val="nil"/>
              <w:bottom w:val="nil"/>
              <w:right w:val="nil"/>
            </w:tcBorders>
          </w:tcPr>
          <w:p w14:paraId="0CBA447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23,606</w:t>
            </w:r>
          </w:p>
        </w:tc>
        <w:tc>
          <w:tcPr>
            <w:tcW w:w="1024" w:type="dxa"/>
            <w:tcBorders>
              <w:top w:val="nil"/>
              <w:left w:val="nil"/>
              <w:bottom w:val="nil"/>
              <w:right w:val="nil"/>
            </w:tcBorders>
          </w:tcPr>
          <w:p w14:paraId="60E263B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23,305</w:t>
            </w:r>
          </w:p>
        </w:tc>
        <w:tc>
          <w:tcPr>
            <w:tcW w:w="1024" w:type="dxa"/>
            <w:tcBorders>
              <w:top w:val="nil"/>
              <w:left w:val="nil"/>
              <w:bottom w:val="nil"/>
              <w:right w:val="single" w:sz="12" w:space="0" w:color="auto"/>
            </w:tcBorders>
          </w:tcPr>
          <w:p w14:paraId="6817A04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23,908</w:t>
            </w:r>
          </w:p>
        </w:tc>
        <w:tc>
          <w:tcPr>
            <w:tcW w:w="1024" w:type="dxa"/>
            <w:tcBorders>
              <w:top w:val="nil"/>
              <w:left w:val="nil"/>
              <w:bottom w:val="nil"/>
              <w:right w:val="nil"/>
            </w:tcBorders>
          </w:tcPr>
          <w:p w14:paraId="6D6C538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26,907</w:t>
            </w:r>
          </w:p>
        </w:tc>
        <w:tc>
          <w:tcPr>
            <w:tcW w:w="1024" w:type="dxa"/>
            <w:tcBorders>
              <w:top w:val="nil"/>
              <w:left w:val="nil"/>
              <w:bottom w:val="nil"/>
              <w:right w:val="nil"/>
            </w:tcBorders>
          </w:tcPr>
          <w:p w14:paraId="6FCD416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26,588</w:t>
            </w:r>
          </w:p>
        </w:tc>
        <w:tc>
          <w:tcPr>
            <w:tcW w:w="1024" w:type="dxa"/>
            <w:tcBorders>
              <w:top w:val="nil"/>
              <w:left w:val="nil"/>
              <w:bottom w:val="nil"/>
              <w:right w:val="single" w:sz="12" w:space="0" w:color="auto"/>
            </w:tcBorders>
          </w:tcPr>
          <w:p w14:paraId="3053D54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27,226</w:t>
            </w:r>
          </w:p>
        </w:tc>
        <w:tc>
          <w:tcPr>
            <w:tcW w:w="1024" w:type="dxa"/>
            <w:tcBorders>
              <w:top w:val="nil"/>
              <w:left w:val="nil"/>
              <w:bottom w:val="nil"/>
              <w:right w:val="nil"/>
            </w:tcBorders>
          </w:tcPr>
          <w:p w14:paraId="1B29E72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36,029</w:t>
            </w:r>
          </w:p>
        </w:tc>
        <w:tc>
          <w:tcPr>
            <w:tcW w:w="1024" w:type="dxa"/>
            <w:tcBorders>
              <w:top w:val="nil"/>
              <w:left w:val="nil"/>
              <w:bottom w:val="nil"/>
              <w:right w:val="nil"/>
            </w:tcBorders>
          </w:tcPr>
          <w:p w14:paraId="31966FC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35,660</w:t>
            </w:r>
          </w:p>
        </w:tc>
        <w:tc>
          <w:tcPr>
            <w:tcW w:w="1024" w:type="dxa"/>
            <w:tcBorders>
              <w:top w:val="nil"/>
              <w:left w:val="nil"/>
              <w:bottom w:val="nil"/>
              <w:right w:val="nil"/>
            </w:tcBorders>
          </w:tcPr>
          <w:p w14:paraId="734B1B9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36,399</w:t>
            </w:r>
          </w:p>
        </w:tc>
      </w:tr>
      <w:tr w:rsidR="0065509F" w:rsidRPr="0065509F" w14:paraId="19D3349A" w14:textId="77777777" w:rsidTr="00874EE0">
        <w:trPr>
          <w:trHeight w:val="300"/>
        </w:trPr>
        <w:tc>
          <w:tcPr>
            <w:tcW w:w="4272" w:type="dxa"/>
            <w:tcBorders>
              <w:top w:val="nil"/>
              <w:left w:val="nil"/>
              <w:bottom w:val="nil"/>
              <w:right w:val="nil"/>
            </w:tcBorders>
          </w:tcPr>
          <w:p w14:paraId="6EF6272B"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Transport</w:t>
            </w:r>
          </w:p>
        </w:tc>
        <w:tc>
          <w:tcPr>
            <w:tcW w:w="1024" w:type="dxa"/>
            <w:tcBorders>
              <w:top w:val="nil"/>
              <w:left w:val="nil"/>
              <w:bottom w:val="nil"/>
              <w:right w:val="nil"/>
            </w:tcBorders>
          </w:tcPr>
          <w:p w14:paraId="7449940E"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12,235</w:t>
            </w:r>
          </w:p>
        </w:tc>
        <w:tc>
          <w:tcPr>
            <w:tcW w:w="1024" w:type="dxa"/>
            <w:tcBorders>
              <w:top w:val="nil"/>
              <w:left w:val="nil"/>
              <w:bottom w:val="nil"/>
              <w:right w:val="nil"/>
            </w:tcBorders>
          </w:tcPr>
          <w:p w14:paraId="45C1CB9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12,010</w:t>
            </w:r>
          </w:p>
        </w:tc>
        <w:tc>
          <w:tcPr>
            <w:tcW w:w="1024" w:type="dxa"/>
            <w:tcBorders>
              <w:top w:val="nil"/>
              <w:left w:val="nil"/>
              <w:bottom w:val="nil"/>
              <w:right w:val="single" w:sz="12" w:space="0" w:color="auto"/>
            </w:tcBorders>
          </w:tcPr>
          <w:p w14:paraId="36ACD02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12,459</w:t>
            </w:r>
          </w:p>
        </w:tc>
        <w:tc>
          <w:tcPr>
            <w:tcW w:w="1024" w:type="dxa"/>
            <w:tcBorders>
              <w:top w:val="nil"/>
              <w:left w:val="nil"/>
              <w:bottom w:val="nil"/>
              <w:right w:val="nil"/>
            </w:tcBorders>
          </w:tcPr>
          <w:p w14:paraId="1EBA2FA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12,819</w:t>
            </w:r>
          </w:p>
        </w:tc>
        <w:tc>
          <w:tcPr>
            <w:tcW w:w="1024" w:type="dxa"/>
            <w:tcBorders>
              <w:top w:val="nil"/>
              <w:left w:val="nil"/>
              <w:bottom w:val="nil"/>
              <w:right w:val="nil"/>
            </w:tcBorders>
          </w:tcPr>
          <w:p w14:paraId="67C2D81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12,592</w:t>
            </w:r>
          </w:p>
        </w:tc>
        <w:tc>
          <w:tcPr>
            <w:tcW w:w="1024" w:type="dxa"/>
            <w:tcBorders>
              <w:top w:val="nil"/>
              <w:left w:val="nil"/>
              <w:bottom w:val="nil"/>
              <w:right w:val="single" w:sz="12" w:space="0" w:color="auto"/>
            </w:tcBorders>
          </w:tcPr>
          <w:p w14:paraId="38E8833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13,046</w:t>
            </w:r>
          </w:p>
        </w:tc>
        <w:tc>
          <w:tcPr>
            <w:tcW w:w="1024" w:type="dxa"/>
            <w:tcBorders>
              <w:top w:val="nil"/>
              <w:left w:val="nil"/>
              <w:bottom w:val="nil"/>
              <w:right w:val="nil"/>
            </w:tcBorders>
          </w:tcPr>
          <w:p w14:paraId="4AFF53F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16,364</w:t>
            </w:r>
          </w:p>
        </w:tc>
        <w:tc>
          <w:tcPr>
            <w:tcW w:w="1024" w:type="dxa"/>
            <w:tcBorders>
              <w:top w:val="nil"/>
              <w:left w:val="nil"/>
              <w:bottom w:val="nil"/>
              <w:right w:val="nil"/>
            </w:tcBorders>
          </w:tcPr>
          <w:p w14:paraId="4044E2E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16,104</w:t>
            </w:r>
          </w:p>
        </w:tc>
        <w:tc>
          <w:tcPr>
            <w:tcW w:w="1024" w:type="dxa"/>
            <w:tcBorders>
              <w:top w:val="nil"/>
              <w:left w:val="nil"/>
              <w:bottom w:val="nil"/>
              <w:right w:val="nil"/>
            </w:tcBorders>
          </w:tcPr>
          <w:p w14:paraId="2DC280C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16,623</w:t>
            </w:r>
          </w:p>
        </w:tc>
      </w:tr>
      <w:tr w:rsidR="0065509F" w:rsidRPr="0065509F" w14:paraId="7B376DDA" w14:textId="77777777" w:rsidTr="00874EE0">
        <w:trPr>
          <w:trHeight w:val="300"/>
        </w:trPr>
        <w:tc>
          <w:tcPr>
            <w:tcW w:w="4272" w:type="dxa"/>
            <w:tcBorders>
              <w:top w:val="nil"/>
              <w:left w:val="nil"/>
              <w:bottom w:val="nil"/>
              <w:right w:val="nil"/>
            </w:tcBorders>
          </w:tcPr>
          <w:p w14:paraId="5695B769"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Professional &amp; business services</w:t>
            </w:r>
          </w:p>
        </w:tc>
        <w:tc>
          <w:tcPr>
            <w:tcW w:w="1024" w:type="dxa"/>
            <w:tcBorders>
              <w:top w:val="nil"/>
              <w:left w:val="nil"/>
              <w:bottom w:val="nil"/>
              <w:right w:val="nil"/>
            </w:tcBorders>
          </w:tcPr>
          <w:p w14:paraId="48AA0B3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21,343</w:t>
            </w:r>
          </w:p>
        </w:tc>
        <w:tc>
          <w:tcPr>
            <w:tcW w:w="1024" w:type="dxa"/>
            <w:tcBorders>
              <w:top w:val="nil"/>
              <w:left w:val="nil"/>
              <w:bottom w:val="nil"/>
              <w:right w:val="nil"/>
            </w:tcBorders>
          </w:tcPr>
          <w:p w14:paraId="3E7D0F2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21,026</w:t>
            </w:r>
          </w:p>
        </w:tc>
        <w:tc>
          <w:tcPr>
            <w:tcW w:w="1024" w:type="dxa"/>
            <w:tcBorders>
              <w:top w:val="nil"/>
              <w:left w:val="nil"/>
              <w:bottom w:val="nil"/>
              <w:right w:val="single" w:sz="12" w:space="0" w:color="auto"/>
            </w:tcBorders>
          </w:tcPr>
          <w:p w14:paraId="5EBC152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21,660</w:t>
            </w:r>
          </w:p>
        </w:tc>
        <w:tc>
          <w:tcPr>
            <w:tcW w:w="1024" w:type="dxa"/>
            <w:tcBorders>
              <w:top w:val="nil"/>
              <w:left w:val="nil"/>
              <w:bottom w:val="nil"/>
              <w:right w:val="nil"/>
            </w:tcBorders>
          </w:tcPr>
          <w:p w14:paraId="708450E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25,336</w:t>
            </w:r>
          </w:p>
        </w:tc>
        <w:tc>
          <w:tcPr>
            <w:tcW w:w="1024" w:type="dxa"/>
            <w:tcBorders>
              <w:top w:val="nil"/>
              <w:left w:val="nil"/>
              <w:bottom w:val="nil"/>
              <w:right w:val="nil"/>
            </w:tcBorders>
          </w:tcPr>
          <w:p w14:paraId="1F20C90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24,956</w:t>
            </w:r>
          </w:p>
        </w:tc>
        <w:tc>
          <w:tcPr>
            <w:tcW w:w="1024" w:type="dxa"/>
            <w:tcBorders>
              <w:top w:val="nil"/>
              <w:left w:val="nil"/>
              <w:bottom w:val="nil"/>
              <w:right w:val="single" w:sz="12" w:space="0" w:color="auto"/>
            </w:tcBorders>
          </w:tcPr>
          <w:p w14:paraId="47CC9EA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25,716</w:t>
            </w:r>
          </w:p>
        </w:tc>
        <w:tc>
          <w:tcPr>
            <w:tcW w:w="1024" w:type="dxa"/>
            <w:tcBorders>
              <w:top w:val="nil"/>
              <w:left w:val="nil"/>
              <w:bottom w:val="nil"/>
              <w:right w:val="nil"/>
            </w:tcBorders>
          </w:tcPr>
          <w:p w14:paraId="0FEF64B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35,377</w:t>
            </w:r>
          </w:p>
        </w:tc>
        <w:tc>
          <w:tcPr>
            <w:tcW w:w="1024" w:type="dxa"/>
            <w:tcBorders>
              <w:top w:val="nil"/>
              <w:left w:val="nil"/>
              <w:bottom w:val="nil"/>
              <w:right w:val="nil"/>
            </w:tcBorders>
          </w:tcPr>
          <w:p w14:paraId="6DF726C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34,963</w:t>
            </w:r>
          </w:p>
        </w:tc>
        <w:tc>
          <w:tcPr>
            <w:tcW w:w="1024" w:type="dxa"/>
            <w:tcBorders>
              <w:top w:val="nil"/>
              <w:left w:val="nil"/>
              <w:bottom w:val="nil"/>
              <w:right w:val="nil"/>
            </w:tcBorders>
          </w:tcPr>
          <w:p w14:paraId="3D9794E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35,792</w:t>
            </w:r>
          </w:p>
        </w:tc>
      </w:tr>
      <w:tr w:rsidR="0065509F" w:rsidRPr="0065509F" w14:paraId="442748DB" w14:textId="77777777" w:rsidTr="00874EE0">
        <w:trPr>
          <w:trHeight w:val="300"/>
        </w:trPr>
        <w:tc>
          <w:tcPr>
            <w:tcW w:w="4272" w:type="dxa"/>
            <w:tcBorders>
              <w:top w:val="nil"/>
              <w:left w:val="nil"/>
              <w:bottom w:val="nil"/>
              <w:right w:val="nil"/>
            </w:tcBorders>
          </w:tcPr>
          <w:p w14:paraId="187E368A"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Personal services</w:t>
            </w:r>
          </w:p>
        </w:tc>
        <w:tc>
          <w:tcPr>
            <w:tcW w:w="1024" w:type="dxa"/>
            <w:tcBorders>
              <w:top w:val="nil"/>
              <w:left w:val="nil"/>
              <w:bottom w:val="nil"/>
              <w:right w:val="nil"/>
            </w:tcBorders>
          </w:tcPr>
          <w:p w14:paraId="3CFF06C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11,336</w:t>
            </w:r>
          </w:p>
        </w:tc>
        <w:tc>
          <w:tcPr>
            <w:tcW w:w="1024" w:type="dxa"/>
            <w:tcBorders>
              <w:top w:val="nil"/>
              <w:left w:val="nil"/>
              <w:bottom w:val="nil"/>
              <w:right w:val="nil"/>
            </w:tcBorders>
          </w:tcPr>
          <w:p w14:paraId="1EB4C8EE"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11,114</w:t>
            </w:r>
          </w:p>
        </w:tc>
        <w:tc>
          <w:tcPr>
            <w:tcW w:w="1024" w:type="dxa"/>
            <w:tcBorders>
              <w:top w:val="nil"/>
              <w:left w:val="nil"/>
              <w:bottom w:val="nil"/>
              <w:right w:val="single" w:sz="12" w:space="0" w:color="auto"/>
            </w:tcBorders>
          </w:tcPr>
          <w:p w14:paraId="188D1FD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11,558</w:t>
            </w:r>
          </w:p>
        </w:tc>
        <w:tc>
          <w:tcPr>
            <w:tcW w:w="1024" w:type="dxa"/>
            <w:tcBorders>
              <w:top w:val="nil"/>
              <w:left w:val="nil"/>
              <w:bottom w:val="nil"/>
              <w:right w:val="nil"/>
            </w:tcBorders>
          </w:tcPr>
          <w:p w14:paraId="790C2D1C"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14,606</w:t>
            </w:r>
          </w:p>
        </w:tc>
        <w:tc>
          <w:tcPr>
            <w:tcW w:w="1024" w:type="dxa"/>
            <w:tcBorders>
              <w:top w:val="nil"/>
              <w:left w:val="nil"/>
              <w:bottom w:val="nil"/>
              <w:right w:val="nil"/>
            </w:tcBorders>
          </w:tcPr>
          <w:p w14:paraId="632B847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14,344</w:t>
            </w:r>
          </w:p>
        </w:tc>
        <w:tc>
          <w:tcPr>
            <w:tcW w:w="1024" w:type="dxa"/>
            <w:tcBorders>
              <w:top w:val="nil"/>
              <w:left w:val="nil"/>
              <w:bottom w:val="nil"/>
              <w:right w:val="single" w:sz="12" w:space="0" w:color="auto"/>
            </w:tcBorders>
          </w:tcPr>
          <w:p w14:paraId="17863F8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14,867</w:t>
            </w:r>
          </w:p>
        </w:tc>
        <w:tc>
          <w:tcPr>
            <w:tcW w:w="1024" w:type="dxa"/>
            <w:tcBorders>
              <w:top w:val="nil"/>
              <w:left w:val="nil"/>
              <w:bottom w:val="nil"/>
              <w:right w:val="nil"/>
            </w:tcBorders>
          </w:tcPr>
          <w:p w14:paraId="143FAD2E"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22,236</w:t>
            </w:r>
          </w:p>
        </w:tc>
        <w:tc>
          <w:tcPr>
            <w:tcW w:w="1024" w:type="dxa"/>
            <w:tcBorders>
              <w:top w:val="nil"/>
              <w:left w:val="nil"/>
              <w:bottom w:val="nil"/>
              <w:right w:val="nil"/>
            </w:tcBorders>
          </w:tcPr>
          <w:p w14:paraId="69E38BB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21,923</w:t>
            </w:r>
          </w:p>
        </w:tc>
        <w:tc>
          <w:tcPr>
            <w:tcW w:w="1024" w:type="dxa"/>
            <w:tcBorders>
              <w:top w:val="nil"/>
              <w:left w:val="nil"/>
              <w:bottom w:val="nil"/>
              <w:right w:val="nil"/>
            </w:tcBorders>
          </w:tcPr>
          <w:p w14:paraId="5973A254"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22,548</w:t>
            </w:r>
          </w:p>
        </w:tc>
      </w:tr>
      <w:tr w:rsidR="0065509F" w:rsidRPr="0065509F" w14:paraId="7144B30C" w14:textId="77777777" w:rsidTr="00874EE0">
        <w:trPr>
          <w:trHeight w:val="300"/>
        </w:trPr>
        <w:tc>
          <w:tcPr>
            <w:tcW w:w="4272" w:type="dxa"/>
            <w:tcBorders>
              <w:top w:val="nil"/>
              <w:left w:val="nil"/>
              <w:bottom w:val="nil"/>
              <w:right w:val="nil"/>
            </w:tcBorders>
          </w:tcPr>
          <w:p w14:paraId="3222D951"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Agric. produce processing &amp; dealing</w:t>
            </w:r>
          </w:p>
        </w:tc>
        <w:tc>
          <w:tcPr>
            <w:tcW w:w="1024" w:type="dxa"/>
            <w:tcBorders>
              <w:top w:val="nil"/>
              <w:left w:val="nil"/>
              <w:bottom w:val="nil"/>
              <w:right w:val="nil"/>
            </w:tcBorders>
          </w:tcPr>
          <w:p w14:paraId="7DF7D78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13,056</w:t>
            </w:r>
          </w:p>
        </w:tc>
        <w:tc>
          <w:tcPr>
            <w:tcW w:w="1024" w:type="dxa"/>
            <w:tcBorders>
              <w:top w:val="nil"/>
              <w:left w:val="nil"/>
              <w:bottom w:val="nil"/>
              <w:right w:val="nil"/>
            </w:tcBorders>
          </w:tcPr>
          <w:p w14:paraId="2813835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12,830</w:t>
            </w:r>
          </w:p>
        </w:tc>
        <w:tc>
          <w:tcPr>
            <w:tcW w:w="1024" w:type="dxa"/>
            <w:tcBorders>
              <w:top w:val="nil"/>
              <w:left w:val="nil"/>
              <w:bottom w:val="nil"/>
              <w:right w:val="single" w:sz="12" w:space="0" w:color="auto"/>
            </w:tcBorders>
          </w:tcPr>
          <w:p w14:paraId="0FA1CC9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13,282</w:t>
            </w:r>
          </w:p>
        </w:tc>
        <w:tc>
          <w:tcPr>
            <w:tcW w:w="1024" w:type="dxa"/>
            <w:tcBorders>
              <w:top w:val="nil"/>
              <w:left w:val="nil"/>
              <w:bottom w:val="nil"/>
              <w:right w:val="nil"/>
            </w:tcBorders>
          </w:tcPr>
          <w:p w14:paraId="4D33651F"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11,425</w:t>
            </w:r>
          </w:p>
        </w:tc>
        <w:tc>
          <w:tcPr>
            <w:tcW w:w="1024" w:type="dxa"/>
            <w:tcBorders>
              <w:top w:val="nil"/>
              <w:left w:val="nil"/>
              <w:bottom w:val="nil"/>
              <w:right w:val="nil"/>
            </w:tcBorders>
          </w:tcPr>
          <w:p w14:paraId="47BB380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11,214</w:t>
            </w:r>
          </w:p>
        </w:tc>
        <w:tc>
          <w:tcPr>
            <w:tcW w:w="1024" w:type="dxa"/>
            <w:tcBorders>
              <w:top w:val="nil"/>
              <w:left w:val="nil"/>
              <w:bottom w:val="nil"/>
              <w:right w:val="single" w:sz="12" w:space="0" w:color="auto"/>
            </w:tcBorders>
          </w:tcPr>
          <w:p w14:paraId="7461D96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11,636</w:t>
            </w:r>
          </w:p>
        </w:tc>
        <w:tc>
          <w:tcPr>
            <w:tcW w:w="1024" w:type="dxa"/>
            <w:tcBorders>
              <w:top w:val="nil"/>
              <w:left w:val="nil"/>
              <w:bottom w:val="nil"/>
              <w:right w:val="nil"/>
            </w:tcBorders>
          </w:tcPr>
          <w:p w14:paraId="68DE5BB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11,544</w:t>
            </w:r>
          </w:p>
        </w:tc>
        <w:tc>
          <w:tcPr>
            <w:tcW w:w="1024" w:type="dxa"/>
            <w:tcBorders>
              <w:top w:val="nil"/>
              <w:left w:val="nil"/>
              <w:bottom w:val="nil"/>
              <w:right w:val="nil"/>
            </w:tcBorders>
          </w:tcPr>
          <w:p w14:paraId="3570B1A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11,331</w:t>
            </w:r>
          </w:p>
        </w:tc>
        <w:tc>
          <w:tcPr>
            <w:tcW w:w="1024" w:type="dxa"/>
            <w:tcBorders>
              <w:top w:val="nil"/>
              <w:left w:val="nil"/>
              <w:bottom w:val="nil"/>
              <w:right w:val="nil"/>
            </w:tcBorders>
          </w:tcPr>
          <w:p w14:paraId="3F5D16E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11,756</w:t>
            </w:r>
          </w:p>
        </w:tc>
      </w:tr>
      <w:tr w:rsidR="0065509F" w:rsidRPr="0065509F" w14:paraId="304E69A9" w14:textId="77777777" w:rsidTr="00874EE0">
        <w:trPr>
          <w:trHeight w:val="300"/>
        </w:trPr>
        <w:tc>
          <w:tcPr>
            <w:tcW w:w="4272" w:type="dxa"/>
            <w:tcBorders>
              <w:top w:val="nil"/>
              <w:left w:val="nil"/>
              <w:bottom w:val="nil"/>
              <w:right w:val="nil"/>
            </w:tcBorders>
          </w:tcPr>
          <w:p w14:paraId="7395BB5B"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Food sales</w:t>
            </w:r>
          </w:p>
        </w:tc>
        <w:tc>
          <w:tcPr>
            <w:tcW w:w="1024" w:type="dxa"/>
            <w:tcBorders>
              <w:top w:val="nil"/>
              <w:left w:val="nil"/>
              <w:bottom w:val="nil"/>
              <w:right w:val="nil"/>
            </w:tcBorders>
          </w:tcPr>
          <w:p w14:paraId="524196C1"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50,552</w:t>
            </w:r>
          </w:p>
        </w:tc>
        <w:tc>
          <w:tcPr>
            <w:tcW w:w="1024" w:type="dxa"/>
            <w:tcBorders>
              <w:top w:val="nil"/>
              <w:left w:val="nil"/>
              <w:bottom w:val="nil"/>
              <w:right w:val="nil"/>
            </w:tcBorders>
          </w:tcPr>
          <w:p w14:paraId="39415E54"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50,124</w:t>
            </w:r>
          </w:p>
        </w:tc>
        <w:tc>
          <w:tcPr>
            <w:tcW w:w="1024" w:type="dxa"/>
            <w:tcBorders>
              <w:top w:val="nil"/>
              <w:left w:val="nil"/>
              <w:bottom w:val="nil"/>
              <w:right w:val="single" w:sz="12" w:space="0" w:color="auto"/>
            </w:tcBorders>
          </w:tcPr>
          <w:p w14:paraId="1BCC8BC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50,980</w:t>
            </w:r>
          </w:p>
        </w:tc>
        <w:tc>
          <w:tcPr>
            <w:tcW w:w="1024" w:type="dxa"/>
            <w:tcBorders>
              <w:top w:val="nil"/>
              <w:left w:val="nil"/>
              <w:bottom w:val="nil"/>
              <w:right w:val="nil"/>
            </w:tcBorders>
          </w:tcPr>
          <w:p w14:paraId="111BA4F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56,562</w:t>
            </w:r>
          </w:p>
        </w:tc>
        <w:tc>
          <w:tcPr>
            <w:tcW w:w="1024" w:type="dxa"/>
            <w:tcBorders>
              <w:top w:val="nil"/>
              <w:left w:val="nil"/>
              <w:bottom w:val="nil"/>
              <w:right w:val="nil"/>
            </w:tcBorders>
          </w:tcPr>
          <w:p w14:paraId="6C9476B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56,118</w:t>
            </w:r>
          </w:p>
        </w:tc>
        <w:tc>
          <w:tcPr>
            <w:tcW w:w="1024" w:type="dxa"/>
            <w:tcBorders>
              <w:top w:val="nil"/>
              <w:left w:val="nil"/>
              <w:bottom w:val="nil"/>
              <w:right w:val="single" w:sz="12" w:space="0" w:color="auto"/>
            </w:tcBorders>
          </w:tcPr>
          <w:p w14:paraId="169C16CA"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57,007</w:t>
            </w:r>
          </w:p>
        </w:tc>
        <w:tc>
          <w:tcPr>
            <w:tcW w:w="1024" w:type="dxa"/>
            <w:tcBorders>
              <w:top w:val="nil"/>
              <w:left w:val="nil"/>
              <w:bottom w:val="nil"/>
              <w:right w:val="nil"/>
            </w:tcBorders>
          </w:tcPr>
          <w:p w14:paraId="7D230D0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73,348</w:t>
            </w:r>
          </w:p>
        </w:tc>
        <w:tc>
          <w:tcPr>
            <w:tcW w:w="1024" w:type="dxa"/>
            <w:tcBorders>
              <w:top w:val="nil"/>
              <w:left w:val="nil"/>
              <w:bottom w:val="nil"/>
              <w:right w:val="nil"/>
            </w:tcBorders>
          </w:tcPr>
          <w:p w14:paraId="44B80150"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72,842</w:t>
            </w:r>
          </w:p>
        </w:tc>
        <w:tc>
          <w:tcPr>
            <w:tcW w:w="1024" w:type="dxa"/>
            <w:tcBorders>
              <w:top w:val="nil"/>
              <w:left w:val="nil"/>
              <w:bottom w:val="nil"/>
              <w:right w:val="nil"/>
            </w:tcBorders>
          </w:tcPr>
          <w:p w14:paraId="62173B6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73,853</w:t>
            </w:r>
          </w:p>
        </w:tc>
      </w:tr>
      <w:tr w:rsidR="0065509F" w:rsidRPr="0065509F" w14:paraId="116607FC" w14:textId="77777777" w:rsidTr="00874EE0">
        <w:trPr>
          <w:trHeight w:val="300"/>
        </w:trPr>
        <w:tc>
          <w:tcPr>
            <w:tcW w:w="4272" w:type="dxa"/>
            <w:tcBorders>
              <w:top w:val="nil"/>
              <w:left w:val="nil"/>
              <w:bottom w:val="nil"/>
              <w:right w:val="nil"/>
            </w:tcBorders>
          </w:tcPr>
          <w:p w14:paraId="4B383550"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Refreshment</w:t>
            </w:r>
          </w:p>
        </w:tc>
        <w:tc>
          <w:tcPr>
            <w:tcW w:w="1024" w:type="dxa"/>
            <w:tcBorders>
              <w:top w:val="nil"/>
              <w:left w:val="nil"/>
              <w:bottom w:val="nil"/>
              <w:right w:val="nil"/>
            </w:tcBorders>
          </w:tcPr>
          <w:p w14:paraId="46620B6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20,211</w:t>
            </w:r>
          </w:p>
        </w:tc>
        <w:tc>
          <w:tcPr>
            <w:tcW w:w="1024" w:type="dxa"/>
            <w:tcBorders>
              <w:top w:val="nil"/>
              <w:left w:val="nil"/>
              <w:bottom w:val="nil"/>
              <w:right w:val="nil"/>
            </w:tcBorders>
          </w:tcPr>
          <w:p w14:paraId="3A5BC030"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19,920</w:t>
            </w:r>
          </w:p>
        </w:tc>
        <w:tc>
          <w:tcPr>
            <w:tcW w:w="1024" w:type="dxa"/>
            <w:tcBorders>
              <w:top w:val="nil"/>
              <w:left w:val="nil"/>
              <w:bottom w:val="nil"/>
              <w:right w:val="single" w:sz="12" w:space="0" w:color="auto"/>
            </w:tcBorders>
          </w:tcPr>
          <w:p w14:paraId="6CE8C880"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20,501</w:t>
            </w:r>
          </w:p>
        </w:tc>
        <w:tc>
          <w:tcPr>
            <w:tcW w:w="1024" w:type="dxa"/>
            <w:tcBorders>
              <w:top w:val="nil"/>
              <w:left w:val="nil"/>
              <w:bottom w:val="nil"/>
              <w:right w:val="nil"/>
            </w:tcBorders>
          </w:tcPr>
          <w:p w14:paraId="3960D940"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19,055</w:t>
            </w:r>
          </w:p>
        </w:tc>
        <w:tc>
          <w:tcPr>
            <w:tcW w:w="1024" w:type="dxa"/>
            <w:tcBorders>
              <w:top w:val="nil"/>
              <w:left w:val="nil"/>
              <w:bottom w:val="nil"/>
              <w:right w:val="nil"/>
            </w:tcBorders>
          </w:tcPr>
          <w:p w14:paraId="537B44B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18,784</w:t>
            </w:r>
          </w:p>
        </w:tc>
        <w:tc>
          <w:tcPr>
            <w:tcW w:w="1024" w:type="dxa"/>
            <w:tcBorders>
              <w:top w:val="nil"/>
              <w:left w:val="nil"/>
              <w:bottom w:val="nil"/>
              <w:right w:val="single" w:sz="12" w:space="0" w:color="auto"/>
            </w:tcBorders>
          </w:tcPr>
          <w:p w14:paraId="3B08F45B"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19,327</w:t>
            </w:r>
          </w:p>
        </w:tc>
        <w:tc>
          <w:tcPr>
            <w:tcW w:w="1024" w:type="dxa"/>
            <w:tcBorders>
              <w:top w:val="nil"/>
              <w:left w:val="nil"/>
              <w:bottom w:val="nil"/>
              <w:right w:val="nil"/>
            </w:tcBorders>
          </w:tcPr>
          <w:p w14:paraId="61931DE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30,150</w:t>
            </w:r>
          </w:p>
        </w:tc>
        <w:tc>
          <w:tcPr>
            <w:tcW w:w="1024" w:type="dxa"/>
            <w:tcBorders>
              <w:top w:val="nil"/>
              <w:left w:val="nil"/>
              <w:bottom w:val="nil"/>
              <w:right w:val="nil"/>
            </w:tcBorders>
          </w:tcPr>
          <w:p w14:paraId="63EEEE6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29,791</w:t>
            </w:r>
          </w:p>
        </w:tc>
        <w:tc>
          <w:tcPr>
            <w:tcW w:w="1024" w:type="dxa"/>
            <w:tcBorders>
              <w:top w:val="nil"/>
              <w:left w:val="nil"/>
              <w:bottom w:val="nil"/>
              <w:right w:val="nil"/>
            </w:tcBorders>
          </w:tcPr>
          <w:p w14:paraId="603CA3D5"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30,510</w:t>
            </w:r>
          </w:p>
        </w:tc>
      </w:tr>
      <w:tr w:rsidR="0065509F" w:rsidRPr="0065509F" w14:paraId="6540BCFE" w14:textId="77777777" w:rsidTr="00874EE0">
        <w:trPr>
          <w:trHeight w:val="316"/>
        </w:trPr>
        <w:tc>
          <w:tcPr>
            <w:tcW w:w="4272" w:type="dxa"/>
            <w:tcBorders>
              <w:top w:val="nil"/>
              <w:left w:val="nil"/>
              <w:bottom w:val="single" w:sz="12" w:space="0" w:color="auto"/>
              <w:right w:val="nil"/>
            </w:tcBorders>
          </w:tcPr>
          <w:p w14:paraId="124D0DB7"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Finance and commerce</w:t>
            </w:r>
          </w:p>
        </w:tc>
        <w:tc>
          <w:tcPr>
            <w:tcW w:w="1024" w:type="dxa"/>
            <w:tcBorders>
              <w:top w:val="nil"/>
              <w:left w:val="nil"/>
              <w:bottom w:val="single" w:sz="12" w:space="0" w:color="auto"/>
              <w:right w:val="nil"/>
            </w:tcBorders>
          </w:tcPr>
          <w:p w14:paraId="3113DDAE"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13,667</w:t>
            </w:r>
          </w:p>
        </w:tc>
        <w:tc>
          <w:tcPr>
            <w:tcW w:w="1024" w:type="dxa"/>
            <w:tcBorders>
              <w:top w:val="nil"/>
              <w:left w:val="nil"/>
              <w:bottom w:val="single" w:sz="12" w:space="0" w:color="auto"/>
              <w:right w:val="nil"/>
            </w:tcBorders>
          </w:tcPr>
          <w:p w14:paraId="622C1887"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13,426</w:t>
            </w:r>
          </w:p>
        </w:tc>
        <w:tc>
          <w:tcPr>
            <w:tcW w:w="1024" w:type="dxa"/>
            <w:tcBorders>
              <w:top w:val="nil"/>
              <w:left w:val="nil"/>
              <w:bottom w:val="single" w:sz="12" w:space="0" w:color="auto"/>
              <w:right w:val="single" w:sz="12" w:space="0" w:color="auto"/>
            </w:tcBorders>
          </w:tcPr>
          <w:p w14:paraId="50B5D559"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13,908</w:t>
            </w:r>
          </w:p>
        </w:tc>
        <w:tc>
          <w:tcPr>
            <w:tcW w:w="1024" w:type="dxa"/>
            <w:tcBorders>
              <w:top w:val="nil"/>
              <w:left w:val="nil"/>
              <w:bottom w:val="single" w:sz="12" w:space="0" w:color="auto"/>
              <w:right w:val="nil"/>
            </w:tcBorders>
          </w:tcPr>
          <w:p w14:paraId="6AC69D28"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13,796</w:t>
            </w:r>
          </w:p>
        </w:tc>
        <w:tc>
          <w:tcPr>
            <w:tcW w:w="1024" w:type="dxa"/>
            <w:tcBorders>
              <w:top w:val="nil"/>
              <w:left w:val="nil"/>
              <w:bottom w:val="single" w:sz="12" w:space="0" w:color="auto"/>
              <w:right w:val="nil"/>
            </w:tcBorders>
          </w:tcPr>
          <w:p w14:paraId="608801F6"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13,545</w:t>
            </w:r>
          </w:p>
        </w:tc>
        <w:tc>
          <w:tcPr>
            <w:tcW w:w="1024" w:type="dxa"/>
            <w:tcBorders>
              <w:top w:val="nil"/>
              <w:left w:val="nil"/>
              <w:bottom w:val="single" w:sz="12" w:space="0" w:color="auto"/>
              <w:right w:val="single" w:sz="12" w:space="0" w:color="auto"/>
            </w:tcBorders>
          </w:tcPr>
          <w:p w14:paraId="5CC03313"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14,047</w:t>
            </w:r>
          </w:p>
        </w:tc>
        <w:tc>
          <w:tcPr>
            <w:tcW w:w="1024" w:type="dxa"/>
            <w:tcBorders>
              <w:top w:val="nil"/>
              <w:left w:val="nil"/>
              <w:bottom w:val="single" w:sz="12" w:space="0" w:color="auto"/>
              <w:right w:val="nil"/>
            </w:tcBorders>
          </w:tcPr>
          <w:p w14:paraId="547451A4"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16,775</w:t>
            </w:r>
          </w:p>
        </w:tc>
        <w:tc>
          <w:tcPr>
            <w:tcW w:w="1024" w:type="dxa"/>
            <w:tcBorders>
              <w:top w:val="nil"/>
              <w:left w:val="nil"/>
              <w:bottom w:val="single" w:sz="12" w:space="0" w:color="auto"/>
              <w:right w:val="nil"/>
            </w:tcBorders>
          </w:tcPr>
          <w:p w14:paraId="0D6CF672"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16,508</w:t>
            </w:r>
          </w:p>
        </w:tc>
        <w:tc>
          <w:tcPr>
            <w:tcW w:w="1024" w:type="dxa"/>
            <w:tcBorders>
              <w:top w:val="nil"/>
              <w:left w:val="nil"/>
              <w:bottom w:val="single" w:sz="12" w:space="0" w:color="auto"/>
              <w:right w:val="nil"/>
            </w:tcBorders>
          </w:tcPr>
          <w:p w14:paraId="28371C2D" w14:textId="77777777" w:rsidR="0065509F" w:rsidRPr="0065509F" w:rsidRDefault="0065509F" w:rsidP="0065509F">
            <w:pPr>
              <w:autoSpaceDE w:val="0"/>
              <w:autoSpaceDN w:val="0"/>
              <w:adjustRightInd w:val="0"/>
              <w:jc w:val="center"/>
              <w:rPr>
                <w:rFonts w:ascii="Calibri" w:eastAsia="Calibri" w:hAnsi="Calibri" w:cs="Calibri"/>
                <w:color w:val="000000"/>
                <w:sz w:val="22"/>
              </w:rPr>
            </w:pPr>
            <w:r w:rsidRPr="0065509F">
              <w:rPr>
                <w:rFonts w:ascii="Calibri" w:eastAsia="Calibri" w:hAnsi="Calibri" w:cs="Calibri"/>
                <w:color w:val="000000"/>
                <w:sz w:val="22"/>
              </w:rPr>
              <w:t>17,043</w:t>
            </w:r>
          </w:p>
        </w:tc>
      </w:tr>
      <w:tr w:rsidR="0065509F" w:rsidRPr="0065509F" w14:paraId="01D13FE8" w14:textId="77777777" w:rsidTr="00874EE0">
        <w:trPr>
          <w:trHeight w:val="316"/>
        </w:trPr>
        <w:tc>
          <w:tcPr>
            <w:tcW w:w="4272" w:type="dxa"/>
            <w:tcBorders>
              <w:top w:val="single" w:sz="12" w:space="0" w:color="auto"/>
              <w:left w:val="nil"/>
              <w:bottom w:val="single" w:sz="12" w:space="0" w:color="auto"/>
              <w:right w:val="nil"/>
            </w:tcBorders>
          </w:tcPr>
          <w:p w14:paraId="7F9F4385" w14:textId="77777777" w:rsidR="0065509F" w:rsidRPr="0065509F" w:rsidRDefault="0065509F" w:rsidP="0065509F">
            <w:pPr>
              <w:autoSpaceDE w:val="0"/>
              <w:autoSpaceDN w:val="0"/>
              <w:adjustRightInd w:val="0"/>
              <w:rPr>
                <w:rFonts w:eastAsia="Calibri" w:cs="Times New Roman"/>
                <w:b/>
                <w:bCs/>
                <w:color w:val="000000"/>
                <w:szCs w:val="24"/>
              </w:rPr>
            </w:pPr>
            <w:r w:rsidRPr="0065509F">
              <w:rPr>
                <w:rFonts w:eastAsia="Calibri" w:cs="Times New Roman"/>
                <w:b/>
                <w:bCs/>
                <w:color w:val="000000"/>
                <w:szCs w:val="24"/>
              </w:rPr>
              <w:t>Total</w:t>
            </w:r>
          </w:p>
        </w:tc>
        <w:tc>
          <w:tcPr>
            <w:tcW w:w="1024" w:type="dxa"/>
            <w:tcBorders>
              <w:top w:val="single" w:sz="12" w:space="0" w:color="auto"/>
              <w:left w:val="nil"/>
              <w:bottom w:val="single" w:sz="12" w:space="0" w:color="auto"/>
              <w:right w:val="nil"/>
            </w:tcBorders>
          </w:tcPr>
          <w:p w14:paraId="1BEE510F"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513,309</w:t>
            </w:r>
          </w:p>
        </w:tc>
        <w:tc>
          <w:tcPr>
            <w:tcW w:w="1024" w:type="dxa"/>
            <w:tcBorders>
              <w:top w:val="single" w:sz="12" w:space="0" w:color="auto"/>
              <w:left w:val="nil"/>
              <w:bottom w:val="single" w:sz="12" w:space="0" w:color="auto"/>
              <w:right w:val="nil"/>
            </w:tcBorders>
          </w:tcPr>
          <w:p w14:paraId="20A87D26"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7AD5E654"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7AF2285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527,613</w:t>
            </w:r>
          </w:p>
        </w:tc>
        <w:tc>
          <w:tcPr>
            <w:tcW w:w="1024" w:type="dxa"/>
            <w:tcBorders>
              <w:top w:val="single" w:sz="12" w:space="0" w:color="auto"/>
              <w:left w:val="nil"/>
              <w:bottom w:val="single" w:sz="12" w:space="0" w:color="auto"/>
              <w:right w:val="nil"/>
            </w:tcBorders>
          </w:tcPr>
          <w:p w14:paraId="37017262"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4D8DF40A"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9D806B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641,657</w:t>
            </w:r>
          </w:p>
        </w:tc>
        <w:tc>
          <w:tcPr>
            <w:tcW w:w="1024" w:type="dxa"/>
            <w:tcBorders>
              <w:top w:val="single" w:sz="12" w:space="0" w:color="auto"/>
              <w:left w:val="nil"/>
              <w:bottom w:val="single" w:sz="12" w:space="0" w:color="auto"/>
              <w:right w:val="nil"/>
            </w:tcBorders>
          </w:tcPr>
          <w:p w14:paraId="4F856CB9"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4CA8C66E" w14:textId="77777777" w:rsidR="0065509F" w:rsidRPr="0065509F" w:rsidRDefault="0065509F" w:rsidP="0065509F">
            <w:pPr>
              <w:autoSpaceDE w:val="0"/>
              <w:autoSpaceDN w:val="0"/>
              <w:adjustRightInd w:val="0"/>
              <w:jc w:val="center"/>
              <w:rPr>
                <w:rFonts w:ascii="Calibri" w:eastAsia="Calibri" w:hAnsi="Calibri" w:cs="Calibri"/>
                <w:color w:val="000000"/>
                <w:sz w:val="22"/>
              </w:rPr>
            </w:pPr>
          </w:p>
        </w:tc>
      </w:tr>
      <w:tr w:rsidR="0065509F" w:rsidRPr="0065509F" w14:paraId="2E8A8315" w14:textId="77777777" w:rsidTr="00874EE0">
        <w:trPr>
          <w:trHeight w:val="316"/>
        </w:trPr>
        <w:tc>
          <w:tcPr>
            <w:tcW w:w="4272" w:type="dxa"/>
            <w:tcBorders>
              <w:top w:val="single" w:sz="12" w:space="0" w:color="auto"/>
              <w:left w:val="nil"/>
              <w:bottom w:val="nil"/>
              <w:right w:val="nil"/>
            </w:tcBorders>
          </w:tcPr>
          <w:p w14:paraId="538D67DE" w14:textId="77777777" w:rsidR="0065509F" w:rsidRPr="0065509F" w:rsidRDefault="0065509F" w:rsidP="0065509F">
            <w:pPr>
              <w:autoSpaceDE w:val="0"/>
              <w:autoSpaceDN w:val="0"/>
              <w:adjustRightInd w:val="0"/>
              <w:jc w:val="center"/>
              <w:rPr>
                <w:rFonts w:eastAsia="Calibri" w:cs="Times New Roman"/>
                <w:b/>
                <w:bCs/>
                <w:color w:val="000000"/>
                <w:szCs w:val="24"/>
              </w:rPr>
            </w:pPr>
          </w:p>
        </w:tc>
        <w:tc>
          <w:tcPr>
            <w:tcW w:w="1024" w:type="dxa"/>
            <w:tcBorders>
              <w:top w:val="single" w:sz="12" w:space="0" w:color="auto"/>
              <w:left w:val="nil"/>
              <w:bottom w:val="single" w:sz="12" w:space="0" w:color="auto"/>
              <w:right w:val="nil"/>
            </w:tcBorders>
          </w:tcPr>
          <w:p w14:paraId="72D69F84" w14:textId="77777777" w:rsidR="0065509F" w:rsidRPr="0065509F" w:rsidRDefault="0065509F" w:rsidP="0065509F">
            <w:pPr>
              <w:autoSpaceDE w:val="0"/>
              <w:autoSpaceDN w:val="0"/>
              <w:adjustRightInd w:val="0"/>
              <w:jc w:val="right"/>
              <w:rPr>
                <w:rFonts w:ascii="Calibri" w:eastAsia="Calibri" w:hAnsi="Calibri" w:cs="Calibri"/>
                <w:color w:val="000000"/>
                <w:sz w:val="22"/>
              </w:rPr>
            </w:pPr>
          </w:p>
        </w:tc>
        <w:tc>
          <w:tcPr>
            <w:tcW w:w="1024" w:type="dxa"/>
            <w:tcBorders>
              <w:top w:val="single" w:sz="12" w:space="0" w:color="auto"/>
              <w:left w:val="nil"/>
              <w:bottom w:val="single" w:sz="12" w:space="0" w:color="auto"/>
              <w:right w:val="nil"/>
            </w:tcBorders>
          </w:tcPr>
          <w:p w14:paraId="2EB2831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115ADD4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65E68AF5"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86DC75F"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FEMALE</w:t>
            </w:r>
          </w:p>
        </w:tc>
        <w:tc>
          <w:tcPr>
            <w:tcW w:w="1024" w:type="dxa"/>
            <w:tcBorders>
              <w:top w:val="single" w:sz="12" w:space="0" w:color="auto"/>
              <w:left w:val="nil"/>
              <w:bottom w:val="single" w:sz="12" w:space="0" w:color="auto"/>
              <w:right w:val="nil"/>
            </w:tcBorders>
          </w:tcPr>
          <w:p w14:paraId="068676B6"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6F84C682"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53C0516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13FEBC4D"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
        </w:tc>
      </w:tr>
      <w:tr w:rsidR="0065509F" w:rsidRPr="0065509F" w14:paraId="6ACE1A34" w14:textId="77777777" w:rsidTr="00874EE0">
        <w:trPr>
          <w:trHeight w:val="316"/>
        </w:trPr>
        <w:tc>
          <w:tcPr>
            <w:tcW w:w="4272" w:type="dxa"/>
            <w:tcBorders>
              <w:top w:val="nil"/>
              <w:left w:val="nil"/>
              <w:bottom w:val="nil"/>
              <w:right w:val="nil"/>
            </w:tcBorders>
          </w:tcPr>
          <w:p w14:paraId="12D37D72" w14:textId="77777777" w:rsidR="0065509F" w:rsidRPr="0065509F" w:rsidRDefault="0065509F" w:rsidP="0065509F">
            <w:pPr>
              <w:autoSpaceDE w:val="0"/>
              <w:autoSpaceDN w:val="0"/>
              <w:adjustRightInd w:val="0"/>
              <w:jc w:val="center"/>
              <w:rPr>
                <w:rFonts w:eastAsia="Calibri" w:cs="Times New Roman"/>
                <w:b/>
                <w:bCs/>
                <w:color w:val="000000"/>
                <w:szCs w:val="24"/>
              </w:rPr>
            </w:pPr>
          </w:p>
        </w:tc>
        <w:tc>
          <w:tcPr>
            <w:tcW w:w="1024" w:type="dxa"/>
            <w:tcBorders>
              <w:top w:val="nil"/>
              <w:left w:val="nil"/>
              <w:bottom w:val="nil"/>
              <w:right w:val="nil"/>
            </w:tcBorders>
          </w:tcPr>
          <w:p w14:paraId="56803676"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0FB6219D"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59344838"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c>
          <w:tcPr>
            <w:tcW w:w="1024" w:type="dxa"/>
            <w:tcBorders>
              <w:top w:val="nil"/>
              <w:left w:val="nil"/>
              <w:bottom w:val="nil"/>
              <w:right w:val="nil"/>
            </w:tcBorders>
          </w:tcPr>
          <w:p w14:paraId="45C3716C"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75E31758"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24038661"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c>
          <w:tcPr>
            <w:tcW w:w="1024" w:type="dxa"/>
            <w:tcBorders>
              <w:top w:val="nil"/>
              <w:left w:val="nil"/>
              <w:bottom w:val="nil"/>
              <w:right w:val="nil"/>
            </w:tcBorders>
          </w:tcPr>
          <w:p w14:paraId="3646F102"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Point</w:t>
            </w:r>
          </w:p>
        </w:tc>
        <w:tc>
          <w:tcPr>
            <w:tcW w:w="1024" w:type="dxa"/>
            <w:tcBorders>
              <w:top w:val="nil"/>
              <w:left w:val="nil"/>
              <w:bottom w:val="nil"/>
              <w:right w:val="nil"/>
            </w:tcBorders>
          </w:tcPr>
          <w:p w14:paraId="5A98B54A"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r w:rsidRPr="0065509F">
              <w:rPr>
                <w:rFonts w:ascii="Calibri" w:eastAsia="Calibri" w:hAnsi="Calibri" w:cs="Calibri"/>
                <w:b/>
                <w:bCs/>
                <w:color w:val="000000"/>
                <w:sz w:val="22"/>
              </w:rPr>
              <w:t>lb</w:t>
            </w:r>
          </w:p>
        </w:tc>
        <w:tc>
          <w:tcPr>
            <w:tcW w:w="1024" w:type="dxa"/>
            <w:tcBorders>
              <w:top w:val="nil"/>
              <w:left w:val="nil"/>
              <w:bottom w:val="nil"/>
              <w:right w:val="nil"/>
            </w:tcBorders>
          </w:tcPr>
          <w:p w14:paraId="2F6FB060" w14:textId="77777777" w:rsidR="0065509F" w:rsidRPr="0065509F" w:rsidRDefault="0065509F" w:rsidP="0065509F">
            <w:pPr>
              <w:autoSpaceDE w:val="0"/>
              <w:autoSpaceDN w:val="0"/>
              <w:adjustRightInd w:val="0"/>
              <w:jc w:val="center"/>
              <w:rPr>
                <w:rFonts w:ascii="Calibri" w:eastAsia="Calibri" w:hAnsi="Calibri" w:cs="Calibri"/>
                <w:b/>
                <w:bCs/>
                <w:color w:val="000000"/>
                <w:sz w:val="22"/>
              </w:rPr>
            </w:pPr>
            <w:proofErr w:type="spellStart"/>
            <w:r w:rsidRPr="0065509F">
              <w:rPr>
                <w:rFonts w:ascii="Calibri" w:eastAsia="Calibri" w:hAnsi="Calibri" w:cs="Calibri"/>
                <w:b/>
                <w:bCs/>
                <w:color w:val="000000"/>
                <w:sz w:val="22"/>
              </w:rPr>
              <w:t>ub</w:t>
            </w:r>
            <w:proofErr w:type="spellEnd"/>
          </w:p>
        </w:tc>
      </w:tr>
      <w:tr w:rsidR="0065509F" w:rsidRPr="0065509F" w14:paraId="488C98A1" w14:textId="77777777" w:rsidTr="00874EE0">
        <w:trPr>
          <w:trHeight w:val="300"/>
        </w:trPr>
        <w:tc>
          <w:tcPr>
            <w:tcW w:w="4272" w:type="dxa"/>
            <w:tcBorders>
              <w:top w:val="single" w:sz="12" w:space="0" w:color="auto"/>
              <w:left w:val="nil"/>
              <w:bottom w:val="nil"/>
              <w:right w:val="nil"/>
            </w:tcBorders>
          </w:tcPr>
          <w:p w14:paraId="7FD03A18"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Farming/estate work</w:t>
            </w:r>
          </w:p>
        </w:tc>
        <w:tc>
          <w:tcPr>
            <w:tcW w:w="1024" w:type="dxa"/>
            <w:tcBorders>
              <w:top w:val="single" w:sz="12" w:space="0" w:color="auto"/>
              <w:left w:val="nil"/>
              <w:bottom w:val="nil"/>
              <w:right w:val="nil"/>
            </w:tcBorders>
          </w:tcPr>
          <w:p w14:paraId="725198A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7,543</w:t>
            </w:r>
          </w:p>
        </w:tc>
        <w:tc>
          <w:tcPr>
            <w:tcW w:w="1024" w:type="dxa"/>
            <w:tcBorders>
              <w:top w:val="single" w:sz="12" w:space="0" w:color="auto"/>
              <w:left w:val="nil"/>
              <w:bottom w:val="nil"/>
              <w:right w:val="nil"/>
            </w:tcBorders>
          </w:tcPr>
          <w:p w14:paraId="3F59910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7,365</w:t>
            </w:r>
          </w:p>
        </w:tc>
        <w:tc>
          <w:tcPr>
            <w:tcW w:w="1024" w:type="dxa"/>
            <w:tcBorders>
              <w:top w:val="single" w:sz="12" w:space="0" w:color="auto"/>
              <w:left w:val="nil"/>
              <w:bottom w:val="nil"/>
              <w:right w:val="single" w:sz="12" w:space="0" w:color="auto"/>
            </w:tcBorders>
          </w:tcPr>
          <w:p w14:paraId="6A1DEEC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7,721</w:t>
            </w:r>
          </w:p>
        </w:tc>
        <w:tc>
          <w:tcPr>
            <w:tcW w:w="1024" w:type="dxa"/>
            <w:tcBorders>
              <w:top w:val="single" w:sz="12" w:space="0" w:color="auto"/>
              <w:left w:val="nil"/>
              <w:bottom w:val="nil"/>
              <w:right w:val="nil"/>
            </w:tcBorders>
          </w:tcPr>
          <w:p w14:paraId="195ECA8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13,269</w:t>
            </w:r>
          </w:p>
        </w:tc>
        <w:tc>
          <w:tcPr>
            <w:tcW w:w="1024" w:type="dxa"/>
            <w:tcBorders>
              <w:top w:val="single" w:sz="12" w:space="0" w:color="auto"/>
              <w:left w:val="nil"/>
              <w:bottom w:val="nil"/>
              <w:right w:val="nil"/>
            </w:tcBorders>
          </w:tcPr>
          <w:p w14:paraId="648B416D"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13,051</w:t>
            </w:r>
          </w:p>
        </w:tc>
        <w:tc>
          <w:tcPr>
            <w:tcW w:w="1024" w:type="dxa"/>
            <w:tcBorders>
              <w:top w:val="single" w:sz="12" w:space="0" w:color="auto"/>
              <w:left w:val="nil"/>
              <w:bottom w:val="nil"/>
              <w:right w:val="single" w:sz="12" w:space="0" w:color="auto"/>
            </w:tcBorders>
          </w:tcPr>
          <w:p w14:paraId="4D59E3E4"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13,487</w:t>
            </w:r>
          </w:p>
        </w:tc>
        <w:tc>
          <w:tcPr>
            <w:tcW w:w="1024" w:type="dxa"/>
            <w:tcBorders>
              <w:top w:val="single" w:sz="12" w:space="0" w:color="auto"/>
              <w:left w:val="nil"/>
              <w:bottom w:val="nil"/>
              <w:right w:val="nil"/>
            </w:tcBorders>
          </w:tcPr>
          <w:p w14:paraId="0C886DE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14,720</w:t>
            </w:r>
          </w:p>
        </w:tc>
        <w:tc>
          <w:tcPr>
            <w:tcW w:w="1024" w:type="dxa"/>
            <w:tcBorders>
              <w:top w:val="single" w:sz="12" w:space="0" w:color="auto"/>
              <w:left w:val="nil"/>
              <w:bottom w:val="nil"/>
              <w:right w:val="nil"/>
            </w:tcBorders>
          </w:tcPr>
          <w:p w14:paraId="68EC389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14,473</w:t>
            </w:r>
          </w:p>
        </w:tc>
        <w:tc>
          <w:tcPr>
            <w:tcW w:w="1024" w:type="dxa"/>
            <w:tcBorders>
              <w:top w:val="single" w:sz="12" w:space="0" w:color="auto"/>
              <w:left w:val="nil"/>
              <w:bottom w:val="nil"/>
              <w:right w:val="nil"/>
            </w:tcBorders>
          </w:tcPr>
          <w:p w14:paraId="4943C941"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14,966</w:t>
            </w:r>
          </w:p>
        </w:tc>
      </w:tr>
      <w:tr w:rsidR="0065509F" w:rsidRPr="0065509F" w14:paraId="2226D8F0" w14:textId="77777777" w:rsidTr="00874EE0">
        <w:trPr>
          <w:trHeight w:val="300"/>
        </w:trPr>
        <w:tc>
          <w:tcPr>
            <w:tcW w:w="4272" w:type="dxa"/>
            <w:tcBorders>
              <w:top w:val="nil"/>
              <w:left w:val="nil"/>
              <w:bottom w:val="nil"/>
              <w:right w:val="nil"/>
            </w:tcBorders>
          </w:tcPr>
          <w:p w14:paraId="54C84668"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Mining and quarrying</w:t>
            </w:r>
          </w:p>
        </w:tc>
        <w:tc>
          <w:tcPr>
            <w:tcW w:w="1024" w:type="dxa"/>
            <w:tcBorders>
              <w:top w:val="nil"/>
              <w:left w:val="nil"/>
              <w:bottom w:val="nil"/>
              <w:right w:val="nil"/>
            </w:tcBorders>
          </w:tcPr>
          <w:p w14:paraId="2241EF8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155</w:t>
            </w:r>
          </w:p>
        </w:tc>
        <w:tc>
          <w:tcPr>
            <w:tcW w:w="1024" w:type="dxa"/>
            <w:tcBorders>
              <w:top w:val="nil"/>
              <w:left w:val="nil"/>
              <w:bottom w:val="nil"/>
              <w:right w:val="nil"/>
            </w:tcBorders>
          </w:tcPr>
          <w:p w14:paraId="568EEF8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128</w:t>
            </w:r>
          </w:p>
        </w:tc>
        <w:tc>
          <w:tcPr>
            <w:tcW w:w="1024" w:type="dxa"/>
            <w:tcBorders>
              <w:top w:val="nil"/>
              <w:left w:val="nil"/>
              <w:bottom w:val="nil"/>
              <w:right w:val="single" w:sz="12" w:space="0" w:color="auto"/>
            </w:tcBorders>
          </w:tcPr>
          <w:p w14:paraId="4487CD9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181</w:t>
            </w:r>
          </w:p>
        </w:tc>
        <w:tc>
          <w:tcPr>
            <w:tcW w:w="1024" w:type="dxa"/>
            <w:tcBorders>
              <w:top w:val="nil"/>
              <w:left w:val="nil"/>
              <w:bottom w:val="nil"/>
              <w:right w:val="nil"/>
            </w:tcBorders>
          </w:tcPr>
          <w:p w14:paraId="28E6A82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190</w:t>
            </w:r>
          </w:p>
        </w:tc>
        <w:tc>
          <w:tcPr>
            <w:tcW w:w="1024" w:type="dxa"/>
            <w:tcBorders>
              <w:top w:val="nil"/>
              <w:left w:val="nil"/>
              <w:bottom w:val="nil"/>
              <w:right w:val="nil"/>
            </w:tcBorders>
          </w:tcPr>
          <w:p w14:paraId="33CE47B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161</w:t>
            </w:r>
          </w:p>
        </w:tc>
        <w:tc>
          <w:tcPr>
            <w:tcW w:w="1024" w:type="dxa"/>
            <w:tcBorders>
              <w:top w:val="nil"/>
              <w:left w:val="nil"/>
              <w:bottom w:val="nil"/>
              <w:right w:val="single" w:sz="12" w:space="0" w:color="auto"/>
            </w:tcBorders>
          </w:tcPr>
          <w:p w14:paraId="0BA15BD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220</w:t>
            </w:r>
          </w:p>
        </w:tc>
        <w:tc>
          <w:tcPr>
            <w:tcW w:w="1024" w:type="dxa"/>
            <w:tcBorders>
              <w:top w:val="nil"/>
              <w:left w:val="nil"/>
              <w:bottom w:val="nil"/>
              <w:right w:val="nil"/>
            </w:tcBorders>
          </w:tcPr>
          <w:p w14:paraId="484D41B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352</w:t>
            </w:r>
          </w:p>
        </w:tc>
        <w:tc>
          <w:tcPr>
            <w:tcW w:w="1024" w:type="dxa"/>
            <w:tcBorders>
              <w:top w:val="nil"/>
              <w:left w:val="nil"/>
              <w:bottom w:val="nil"/>
              <w:right w:val="nil"/>
            </w:tcBorders>
          </w:tcPr>
          <w:p w14:paraId="56DDDD1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306</w:t>
            </w:r>
          </w:p>
        </w:tc>
        <w:tc>
          <w:tcPr>
            <w:tcW w:w="1024" w:type="dxa"/>
            <w:tcBorders>
              <w:top w:val="nil"/>
              <w:left w:val="nil"/>
              <w:bottom w:val="nil"/>
              <w:right w:val="nil"/>
            </w:tcBorders>
          </w:tcPr>
          <w:p w14:paraId="1876D71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399</w:t>
            </w:r>
          </w:p>
        </w:tc>
      </w:tr>
      <w:tr w:rsidR="0065509F" w:rsidRPr="0065509F" w14:paraId="7C500640" w14:textId="77777777" w:rsidTr="00874EE0">
        <w:trPr>
          <w:trHeight w:val="300"/>
        </w:trPr>
        <w:tc>
          <w:tcPr>
            <w:tcW w:w="4272" w:type="dxa"/>
            <w:tcBorders>
              <w:top w:val="nil"/>
              <w:left w:val="nil"/>
              <w:bottom w:val="nil"/>
              <w:right w:val="nil"/>
            </w:tcBorders>
          </w:tcPr>
          <w:p w14:paraId="475D3685"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Construction</w:t>
            </w:r>
          </w:p>
        </w:tc>
        <w:tc>
          <w:tcPr>
            <w:tcW w:w="1024" w:type="dxa"/>
            <w:tcBorders>
              <w:top w:val="nil"/>
              <w:left w:val="nil"/>
              <w:bottom w:val="nil"/>
              <w:right w:val="nil"/>
            </w:tcBorders>
          </w:tcPr>
          <w:p w14:paraId="5E01632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680</w:t>
            </w:r>
          </w:p>
        </w:tc>
        <w:tc>
          <w:tcPr>
            <w:tcW w:w="1024" w:type="dxa"/>
            <w:tcBorders>
              <w:top w:val="nil"/>
              <w:left w:val="nil"/>
              <w:bottom w:val="nil"/>
              <w:right w:val="nil"/>
            </w:tcBorders>
          </w:tcPr>
          <w:p w14:paraId="7645E36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621</w:t>
            </w:r>
          </w:p>
        </w:tc>
        <w:tc>
          <w:tcPr>
            <w:tcW w:w="1024" w:type="dxa"/>
            <w:tcBorders>
              <w:top w:val="nil"/>
              <w:left w:val="nil"/>
              <w:bottom w:val="nil"/>
              <w:right w:val="single" w:sz="12" w:space="0" w:color="auto"/>
            </w:tcBorders>
          </w:tcPr>
          <w:p w14:paraId="7230BEA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739</w:t>
            </w:r>
          </w:p>
        </w:tc>
        <w:tc>
          <w:tcPr>
            <w:tcW w:w="1024" w:type="dxa"/>
            <w:tcBorders>
              <w:top w:val="nil"/>
              <w:left w:val="nil"/>
              <w:bottom w:val="nil"/>
              <w:right w:val="nil"/>
            </w:tcBorders>
          </w:tcPr>
          <w:p w14:paraId="530EF25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939</w:t>
            </w:r>
          </w:p>
        </w:tc>
        <w:tc>
          <w:tcPr>
            <w:tcW w:w="1024" w:type="dxa"/>
            <w:tcBorders>
              <w:top w:val="nil"/>
              <w:left w:val="nil"/>
              <w:bottom w:val="nil"/>
              <w:right w:val="nil"/>
            </w:tcBorders>
          </w:tcPr>
          <w:p w14:paraId="7F74068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874</w:t>
            </w:r>
          </w:p>
        </w:tc>
        <w:tc>
          <w:tcPr>
            <w:tcW w:w="1024" w:type="dxa"/>
            <w:tcBorders>
              <w:top w:val="nil"/>
              <w:left w:val="nil"/>
              <w:bottom w:val="nil"/>
              <w:right w:val="single" w:sz="12" w:space="0" w:color="auto"/>
            </w:tcBorders>
          </w:tcPr>
          <w:p w14:paraId="212BBD8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1,003</w:t>
            </w:r>
          </w:p>
        </w:tc>
        <w:tc>
          <w:tcPr>
            <w:tcW w:w="1024" w:type="dxa"/>
            <w:tcBorders>
              <w:top w:val="nil"/>
              <w:left w:val="nil"/>
              <w:bottom w:val="nil"/>
              <w:right w:val="nil"/>
            </w:tcBorders>
          </w:tcPr>
          <w:p w14:paraId="2613361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1,327</w:t>
            </w:r>
          </w:p>
        </w:tc>
        <w:tc>
          <w:tcPr>
            <w:tcW w:w="1024" w:type="dxa"/>
            <w:tcBorders>
              <w:top w:val="nil"/>
              <w:left w:val="nil"/>
              <w:bottom w:val="nil"/>
              <w:right w:val="nil"/>
            </w:tcBorders>
          </w:tcPr>
          <w:p w14:paraId="4A0E095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1,230</w:t>
            </w:r>
          </w:p>
        </w:tc>
        <w:tc>
          <w:tcPr>
            <w:tcW w:w="1024" w:type="dxa"/>
            <w:tcBorders>
              <w:top w:val="nil"/>
              <w:left w:val="nil"/>
              <w:bottom w:val="nil"/>
              <w:right w:val="nil"/>
            </w:tcBorders>
          </w:tcPr>
          <w:p w14:paraId="1788F5F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1,424</w:t>
            </w:r>
          </w:p>
        </w:tc>
      </w:tr>
      <w:tr w:rsidR="0065509F" w:rsidRPr="0065509F" w14:paraId="38DA79B6" w14:textId="77777777" w:rsidTr="00874EE0">
        <w:trPr>
          <w:trHeight w:val="300"/>
        </w:trPr>
        <w:tc>
          <w:tcPr>
            <w:tcW w:w="4272" w:type="dxa"/>
            <w:tcBorders>
              <w:top w:val="nil"/>
              <w:left w:val="nil"/>
              <w:bottom w:val="nil"/>
              <w:right w:val="nil"/>
            </w:tcBorders>
          </w:tcPr>
          <w:p w14:paraId="250CAE14"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Manufacturing</w:t>
            </w:r>
          </w:p>
        </w:tc>
        <w:tc>
          <w:tcPr>
            <w:tcW w:w="1024" w:type="dxa"/>
            <w:tcBorders>
              <w:top w:val="nil"/>
              <w:left w:val="nil"/>
              <w:bottom w:val="nil"/>
              <w:right w:val="nil"/>
            </w:tcBorders>
          </w:tcPr>
          <w:p w14:paraId="727EED3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4,319</w:t>
            </w:r>
          </w:p>
        </w:tc>
        <w:tc>
          <w:tcPr>
            <w:tcW w:w="1024" w:type="dxa"/>
            <w:tcBorders>
              <w:top w:val="nil"/>
              <w:left w:val="nil"/>
              <w:bottom w:val="nil"/>
              <w:right w:val="nil"/>
            </w:tcBorders>
          </w:tcPr>
          <w:p w14:paraId="0A600AF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4,181</w:t>
            </w:r>
          </w:p>
        </w:tc>
        <w:tc>
          <w:tcPr>
            <w:tcW w:w="1024" w:type="dxa"/>
            <w:tcBorders>
              <w:top w:val="nil"/>
              <w:left w:val="nil"/>
              <w:bottom w:val="nil"/>
              <w:right w:val="single" w:sz="12" w:space="0" w:color="auto"/>
            </w:tcBorders>
          </w:tcPr>
          <w:p w14:paraId="219061A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4,457</w:t>
            </w:r>
          </w:p>
        </w:tc>
        <w:tc>
          <w:tcPr>
            <w:tcW w:w="1024" w:type="dxa"/>
            <w:tcBorders>
              <w:top w:val="nil"/>
              <w:left w:val="nil"/>
              <w:bottom w:val="nil"/>
              <w:right w:val="nil"/>
            </w:tcBorders>
          </w:tcPr>
          <w:p w14:paraId="3AFEC33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3,314</w:t>
            </w:r>
          </w:p>
        </w:tc>
        <w:tc>
          <w:tcPr>
            <w:tcW w:w="1024" w:type="dxa"/>
            <w:tcBorders>
              <w:top w:val="nil"/>
              <w:left w:val="nil"/>
              <w:bottom w:val="nil"/>
              <w:right w:val="nil"/>
            </w:tcBorders>
          </w:tcPr>
          <w:p w14:paraId="5A9411B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3,197</w:t>
            </w:r>
          </w:p>
        </w:tc>
        <w:tc>
          <w:tcPr>
            <w:tcW w:w="1024" w:type="dxa"/>
            <w:tcBorders>
              <w:top w:val="nil"/>
              <w:left w:val="nil"/>
              <w:bottom w:val="nil"/>
              <w:right w:val="single" w:sz="12" w:space="0" w:color="auto"/>
            </w:tcBorders>
          </w:tcPr>
          <w:p w14:paraId="7D7943B1"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3,432</w:t>
            </w:r>
          </w:p>
        </w:tc>
        <w:tc>
          <w:tcPr>
            <w:tcW w:w="1024" w:type="dxa"/>
            <w:tcBorders>
              <w:top w:val="nil"/>
              <w:left w:val="nil"/>
              <w:bottom w:val="nil"/>
              <w:right w:val="nil"/>
            </w:tcBorders>
          </w:tcPr>
          <w:p w14:paraId="3026DAC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7,698</w:t>
            </w:r>
          </w:p>
        </w:tc>
        <w:tc>
          <w:tcPr>
            <w:tcW w:w="1024" w:type="dxa"/>
            <w:tcBorders>
              <w:top w:val="nil"/>
              <w:left w:val="nil"/>
              <w:bottom w:val="nil"/>
              <w:right w:val="nil"/>
            </w:tcBorders>
          </w:tcPr>
          <w:p w14:paraId="5DA4F444"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7,518</w:t>
            </w:r>
          </w:p>
        </w:tc>
        <w:tc>
          <w:tcPr>
            <w:tcW w:w="1024" w:type="dxa"/>
            <w:tcBorders>
              <w:top w:val="nil"/>
              <w:left w:val="nil"/>
              <w:bottom w:val="nil"/>
              <w:right w:val="nil"/>
            </w:tcBorders>
          </w:tcPr>
          <w:p w14:paraId="1C3BAFF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7,879</w:t>
            </w:r>
          </w:p>
        </w:tc>
      </w:tr>
      <w:tr w:rsidR="0065509F" w:rsidRPr="0065509F" w14:paraId="72B63617" w14:textId="77777777" w:rsidTr="00874EE0">
        <w:trPr>
          <w:trHeight w:val="300"/>
        </w:trPr>
        <w:tc>
          <w:tcPr>
            <w:tcW w:w="4272" w:type="dxa"/>
            <w:tcBorders>
              <w:top w:val="nil"/>
              <w:left w:val="nil"/>
              <w:bottom w:val="nil"/>
              <w:right w:val="nil"/>
            </w:tcBorders>
          </w:tcPr>
          <w:p w14:paraId="307C12EF"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Maker-dealer</w:t>
            </w:r>
          </w:p>
        </w:tc>
        <w:tc>
          <w:tcPr>
            <w:tcW w:w="1024" w:type="dxa"/>
            <w:tcBorders>
              <w:top w:val="nil"/>
              <w:left w:val="nil"/>
              <w:bottom w:val="nil"/>
              <w:right w:val="nil"/>
            </w:tcBorders>
          </w:tcPr>
          <w:p w14:paraId="22EF302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20,500</w:t>
            </w:r>
          </w:p>
        </w:tc>
        <w:tc>
          <w:tcPr>
            <w:tcW w:w="1024" w:type="dxa"/>
            <w:tcBorders>
              <w:top w:val="nil"/>
              <w:left w:val="nil"/>
              <w:bottom w:val="nil"/>
              <w:right w:val="nil"/>
            </w:tcBorders>
          </w:tcPr>
          <w:p w14:paraId="4D17B73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20,257</w:t>
            </w:r>
          </w:p>
        </w:tc>
        <w:tc>
          <w:tcPr>
            <w:tcW w:w="1024" w:type="dxa"/>
            <w:tcBorders>
              <w:top w:val="nil"/>
              <w:left w:val="nil"/>
              <w:bottom w:val="nil"/>
              <w:right w:val="single" w:sz="12" w:space="0" w:color="auto"/>
            </w:tcBorders>
          </w:tcPr>
          <w:p w14:paraId="21DB96EA"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20,743</w:t>
            </w:r>
          </w:p>
        </w:tc>
        <w:tc>
          <w:tcPr>
            <w:tcW w:w="1024" w:type="dxa"/>
            <w:tcBorders>
              <w:top w:val="nil"/>
              <w:left w:val="nil"/>
              <w:bottom w:val="nil"/>
              <w:right w:val="nil"/>
            </w:tcBorders>
          </w:tcPr>
          <w:p w14:paraId="003946C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18,722</w:t>
            </w:r>
          </w:p>
        </w:tc>
        <w:tc>
          <w:tcPr>
            <w:tcW w:w="1024" w:type="dxa"/>
            <w:tcBorders>
              <w:top w:val="nil"/>
              <w:left w:val="nil"/>
              <w:bottom w:val="nil"/>
              <w:right w:val="nil"/>
            </w:tcBorders>
          </w:tcPr>
          <w:p w14:paraId="305C395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18,497</w:t>
            </w:r>
          </w:p>
        </w:tc>
        <w:tc>
          <w:tcPr>
            <w:tcW w:w="1024" w:type="dxa"/>
            <w:tcBorders>
              <w:top w:val="nil"/>
              <w:left w:val="nil"/>
              <w:bottom w:val="nil"/>
              <w:right w:val="single" w:sz="12" w:space="0" w:color="auto"/>
            </w:tcBorders>
          </w:tcPr>
          <w:p w14:paraId="5D10E00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18,947</w:t>
            </w:r>
          </w:p>
        </w:tc>
        <w:tc>
          <w:tcPr>
            <w:tcW w:w="1024" w:type="dxa"/>
            <w:tcBorders>
              <w:top w:val="nil"/>
              <w:left w:val="nil"/>
              <w:bottom w:val="nil"/>
              <w:right w:val="nil"/>
            </w:tcBorders>
          </w:tcPr>
          <w:p w14:paraId="6B6E51F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24,000</w:t>
            </w:r>
          </w:p>
        </w:tc>
        <w:tc>
          <w:tcPr>
            <w:tcW w:w="1024" w:type="dxa"/>
            <w:tcBorders>
              <w:top w:val="nil"/>
              <w:left w:val="nil"/>
              <w:bottom w:val="nil"/>
              <w:right w:val="nil"/>
            </w:tcBorders>
          </w:tcPr>
          <w:p w14:paraId="024B552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23,730</w:t>
            </w:r>
          </w:p>
        </w:tc>
        <w:tc>
          <w:tcPr>
            <w:tcW w:w="1024" w:type="dxa"/>
            <w:tcBorders>
              <w:top w:val="nil"/>
              <w:left w:val="nil"/>
              <w:bottom w:val="nil"/>
              <w:right w:val="nil"/>
            </w:tcBorders>
          </w:tcPr>
          <w:p w14:paraId="1F0DE27A"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24,270</w:t>
            </w:r>
          </w:p>
        </w:tc>
      </w:tr>
      <w:tr w:rsidR="0065509F" w:rsidRPr="0065509F" w14:paraId="6FC72C5A" w14:textId="77777777" w:rsidTr="00874EE0">
        <w:trPr>
          <w:trHeight w:val="300"/>
        </w:trPr>
        <w:tc>
          <w:tcPr>
            <w:tcW w:w="4272" w:type="dxa"/>
            <w:tcBorders>
              <w:top w:val="nil"/>
              <w:left w:val="nil"/>
              <w:bottom w:val="nil"/>
              <w:right w:val="nil"/>
            </w:tcBorders>
          </w:tcPr>
          <w:p w14:paraId="5346040B"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Retail</w:t>
            </w:r>
          </w:p>
        </w:tc>
        <w:tc>
          <w:tcPr>
            <w:tcW w:w="1024" w:type="dxa"/>
            <w:tcBorders>
              <w:top w:val="nil"/>
              <w:left w:val="nil"/>
              <w:bottom w:val="nil"/>
              <w:right w:val="nil"/>
            </w:tcBorders>
          </w:tcPr>
          <w:p w14:paraId="4016053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3,280</w:t>
            </w:r>
          </w:p>
        </w:tc>
        <w:tc>
          <w:tcPr>
            <w:tcW w:w="1024" w:type="dxa"/>
            <w:tcBorders>
              <w:top w:val="nil"/>
              <w:left w:val="nil"/>
              <w:bottom w:val="nil"/>
              <w:right w:val="nil"/>
            </w:tcBorders>
          </w:tcPr>
          <w:p w14:paraId="27D30C6A"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3,164</w:t>
            </w:r>
          </w:p>
        </w:tc>
        <w:tc>
          <w:tcPr>
            <w:tcW w:w="1024" w:type="dxa"/>
            <w:tcBorders>
              <w:top w:val="nil"/>
              <w:left w:val="nil"/>
              <w:bottom w:val="nil"/>
              <w:right w:val="single" w:sz="12" w:space="0" w:color="auto"/>
            </w:tcBorders>
          </w:tcPr>
          <w:p w14:paraId="668FF48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3,395</w:t>
            </w:r>
          </w:p>
        </w:tc>
        <w:tc>
          <w:tcPr>
            <w:tcW w:w="1024" w:type="dxa"/>
            <w:tcBorders>
              <w:top w:val="nil"/>
              <w:left w:val="nil"/>
              <w:bottom w:val="nil"/>
              <w:right w:val="nil"/>
            </w:tcBorders>
          </w:tcPr>
          <w:p w14:paraId="3BA4DDD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2,822</w:t>
            </w:r>
          </w:p>
        </w:tc>
        <w:tc>
          <w:tcPr>
            <w:tcW w:w="1024" w:type="dxa"/>
            <w:tcBorders>
              <w:top w:val="nil"/>
              <w:left w:val="nil"/>
              <w:bottom w:val="nil"/>
              <w:right w:val="nil"/>
            </w:tcBorders>
          </w:tcPr>
          <w:p w14:paraId="3EDEA804"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2,717</w:t>
            </w:r>
          </w:p>
        </w:tc>
        <w:tc>
          <w:tcPr>
            <w:tcW w:w="1024" w:type="dxa"/>
            <w:tcBorders>
              <w:top w:val="nil"/>
              <w:left w:val="nil"/>
              <w:bottom w:val="nil"/>
              <w:right w:val="single" w:sz="12" w:space="0" w:color="auto"/>
            </w:tcBorders>
          </w:tcPr>
          <w:p w14:paraId="7EE07C6A"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2,927</w:t>
            </w:r>
          </w:p>
        </w:tc>
        <w:tc>
          <w:tcPr>
            <w:tcW w:w="1024" w:type="dxa"/>
            <w:tcBorders>
              <w:top w:val="nil"/>
              <w:left w:val="nil"/>
              <w:bottom w:val="nil"/>
              <w:right w:val="nil"/>
            </w:tcBorders>
          </w:tcPr>
          <w:p w14:paraId="0511DBF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5,713</w:t>
            </w:r>
          </w:p>
        </w:tc>
        <w:tc>
          <w:tcPr>
            <w:tcW w:w="1024" w:type="dxa"/>
            <w:tcBorders>
              <w:top w:val="nil"/>
              <w:left w:val="nil"/>
              <w:bottom w:val="nil"/>
              <w:right w:val="nil"/>
            </w:tcBorders>
          </w:tcPr>
          <w:p w14:paraId="1930EE3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5,561</w:t>
            </w:r>
          </w:p>
        </w:tc>
        <w:tc>
          <w:tcPr>
            <w:tcW w:w="1024" w:type="dxa"/>
            <w:tcBorders>
              <w:top w:val="nil"/>
              <w:left w:val="nil"/>
              <w:bottom w:val="nil"/>
              <w:right w:val="nil"/>
            </w:tcBorders>
          </w:tcPr>
          <w:p w14:paraId="052ECEF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5,864</w:t>
            </w:r>
          </w:p>
        </w:tc>
      </w:tr>
      <w:tr w:rsidR="0065509F" w:rsidRPr="0065509F" w14:paraId="279A9169" w14:textId="77777777" w:rsidTr="00874EE0">
        <w:trPr>
          <w:trHeight w:val="300"/>
        </w:trPr>
        <w:tc>
          <w:tcPr>
            <w:tcW w:w="4272" w:type="dxa"/>
            <w:tcBorders>
              <w:top w:val="nil"/>
              <w:left w:val="nil"/>
              <w:bottom w:val="nil"/>
              <w:right w:val="nil"/>
            </w:tcBorders>
          </w:tcPr>
          <w:p w14:paraId="46FD693D"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Transport</w:t>
            </w:r>
          </w:p>
        </w:tc>
        <w:tc>
          <w:tcPr>
            <w:tcW w:w="1024" w:type="dxa"/>
            <w:tcBorders>
              <w:top w:val="nil"/>
              <w:left w:val="nil"/>
              <w:bottom w:val="nil"/>
              <w:right w:val="nil"/>
            </w:tcBorders>
          </w:tcPr>
          <w:p w14:paraId="02BB1C6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351</w:t>
            </w:r>
          </w:p>
        </w:tc>
        <w:tc>
          <w:tcPr>
            <w:tcW w:w="1024" w:type="dxa"/>
            <w:tcBorders>
              <w:top w:val="nil"/>
              <w:left w:val="nil"/>
              <w:bottom w:val="nil"/>
              <w:right w:val="nil"/>
            </w:tcBorders>
          </w:tcPr>
          <w:p w14:paraId="5F3D940D"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310</w:t>
            </w:r>
          </w:p>
        </w:tc>
        <w:tc>
          <w:tcPr>
            <w:tcW w:w="1024" w:type="dxa"/>
            <w:tcBorders>
              <w:top w:val="nil"/>
              <w:left w:val="nil"/>
              <w:bottom w:val="nil"/>
              <w:right w:val="single" w:sz="12" w:space="0" w:color="auto"/>
            </w:tcBorders>
          </w:tcPr>
          <w:p w14:paraId="5865A17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391</w:t>
            </w:r>
          </w:p>
        </w:tc>
        <w:tc>
          <w:tcPr>
            <w:tcW w:w="1024" w:type="dxa"/>
            <w:tcBorders>
              <w:top w:val="nil"/>
              <w:left w:val="nil"/>
              <w:bottom w:val="nil"/>
              <w:right w:val="nil"/>
            </w:tcBorders>
          </w:tcPr>
          <w:p w14:paraId="4DF16FC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663</w:t>
            </w:r>
          </w:p>
        </w:tc>
        <w:tc>
          <w:tcPr>
            <w:tcW w:w="1024" w:type="dxa"/>
            <w:tcBorders>
              <w:top w:val="nil"/>
              <w:left w:val="nil"/>
              <w:bottom w:val="nil"/>
              <w:right w:val="nil"/>
            </w:tcBorders>
          </w:tcPr>
          <w:p w14:paraId="4259518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610</w:t>
            </w:r>
          </w:p>
        </w:tc>
        <w:tc>
          <w:tcPr>
            <w:tcW w:w="1024" w:type="dxa"/>
            <w:tcBorders>
              <w:top w:val="nil"/>
              <w:left w:val="nil"/>
              <w:bottom w:val="nil"/>
              <w:right w:val="single" w:sz="12" w:space="0" w:color="auto"/>
            </w:tcBorders>
          </w:tcPr>
          <w:p w14:paraId="779958A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716</w:t>
            </w:r>
          </w:p>
        </w:tc>
        <w:tc>
          <w:tcPr>
            <w:tcW w:w="1024" w:type="dxa"/>
            <w:tcBorders>
              <w:top w:val="nil"/>
              <w:left w:val="nil"/>
              <w:bottom w:val="nil"/>
              <w:right w:val="nil"/>
            </w:tcBorders>
          </w:tcPr>
          <w:p w14:paraId="50EB93E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831</w:t>
            </w:r>
          </w:p>
        </w:tc>
        <w:tc>
          <w:tcPr>
            <w:tcW w:w="1024" w:type="dxa"/>
            <w:tcBorders>
              <w:top w:val="nil"/>
              <w:left w:val="nil"/>
              <w:bottom w:val="nil"/>
              <w:right w:val="nil"/>
            </w:tcBorders>
          </w:tcPr>
          <w:p w14:paraId="7895E174"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767</w:t>
            </w:r>
          </w:p>
        </w:tc>
        <w:tc>
          <w:tcPr>
            <w:tcW w:w="1024" w:type="dxa"/>
            <w:tcBorders>
              <w:top w:val="nil"/>
              <w:left w:val="nil"/>
              <w:bottom w:val="nil"/>
              <w:right w:val="nil"/>
            </w:tcBorders>
          </w:tcPr>
          <w:p w14:paraId="28F7057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896</w:t>
            </w:r>
          </w:p>
        </w:tc>
      </w:tr>
      <w:tr w:rsidR="0065509F" w:rsidRPr="0065509F" w14:paraId="38A3FCE1" w14:textId="77777777" w:rsidTr="00874EE0">
        <w:trPr>
          <w:trHeight w:val="300"/>
        </w:trPr>
        <w:tc>
          <w:tcPr>
            <w:tcW w:w="4272" w:type="dxa"/>
            <w:tcBorders>
              <w:top w:val="nil"/>
              <w:left w:val="nil"/>
              <w:bottom w:val="nil"/>
              <w:right w:val="nil"/>
            </w:tcBorders>
          </w:tcPr>
          <w:p w14:paraId="6FC92C6D"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Professional &amp; business services</w:t>
            </w:r>
          </w:p>
        </w:tc>
        <w:tc>
          <w:tcPr>
            <w:tcW w:w="1024" w:type="dxa"/>
            <w:tcBorders>
              <w:top w:val="nil"/>
              <w:left w:val="nil"/>
              <w:bottom w:val="nil"/>
              <w:right w:val="nil"/>
            </w:tcBorders>
          </w:tcPr>
          <w:p w14:paraId="13BA562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261</w:t>
            </w:r>
          </w:p>
        </w:tc>
        <w:tc>
          <w:tcPr>
            <w:tcW w:w="1024" w:type="dxa"/>
            <w:tcBorders>
              <w:top w:val="nil"/>
              <w:left w:val="nil"/>
              <w:bottom w:val="nil"/>
              <w:right w:val="nil"/>
            </w:tcBorders>
          </w:tcPr>
          <w:p w14:paraId="6E87AFB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222</w:t>
            </w:r>
          </w:p>
        </w:tc>
        <w:tc>
          <w:tcPr>
            <w:tcW w:w="1024" w:type="dxa"/>
            <w:tcBorders>
              <w:top w:val="nil"/>
              <w:left w:val="nil"/>
              <w:bottom w:val="nil"/>
              <w:right w:val="single" w:sz="12" w:space="0" w:color="auto"/>
            </w:tcBorders>
          </w:tcPr>
          <w:p w14:paraId="666CFD5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300</w:t>
            </w:r>
          </w:p>
        </w:tc>
        <w:tc>
          <w:tcPr>
            <w:tcW w:w="1024" w:type="dxa"/>
            <w:tcBorders>
              <w:top w:val="nil"/>
              <w:left w:val="nil"/>
              <w:bottom w:val="nil"/>
              <w:right w:val="nil"/>
            </w:tcBorders>
          </w:tcPr>
          <w:p w14:paraId="7E40924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259</w:t>
            </w:r>
          </w:p>
        </w:tc>
        <w:tc>
          <w:tcPr>
            <w:tcW w:w="1024" w:type="dxa"/>
            <w:tcBorders>
              <w:top w:val="nil"/>
              <w:left w:val="nil"/>
              <w:bottom w:val="nil"/>
              <w:right w:val="nil"/>
            </w:tcBorders>
          </w:tcPr>
          <w:p w14:paraId="0E37ADA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219</w:t>
            </w:r>
          </w:p>
        </w:tc>
        <w:tc>
          <w:tcPr>
            <w:tcW w:w="1024" w:type="dxa"/>
            <w:tcBorders>
              <w:top w:val="nil"/>
              <w:left w:val="nil"/>
              <w:bottom w:val="nil"/>
              <w:right w:val="single" w:sz="12" w:space="0" w:color="auto"/>
            </w:tcBorders>
          </w:tcPr>
          <w:p w14:paraId="090E3BE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298</w:t>
            </w:r>
          </w:p>
        </w:tc>
        <w:tc>
          <w:tcPr>
            <w:tcW w:w="1024" w:type="dxa"/>
            <w:tcBorders>
              <w:top w:val="nil"/>
              <w:left w:val="nil"/>
              <w:bottom w:val="nil"/>
              <w:right w:val="nil"/>
            </w:tcBorders>
          </w:tcPr>
          <w:p w14:paraId="021C20E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879</w:t>
            </w:r>
          </w:p>
        </w:tc>
        <w:tc>
          <w:tcPr>
            <w:tcW w:w="1024" w:type="dxa"/>
            <w:tcBorders>
              <w:top w:val="nil"/>
              <w:left w:val="nil"/>
              <w:bottom w:val="nil"/>
              <w:right w:val="nil"/>
            </w:tcBorders>
          </w:tcPr>
          <w:p w14:paraId="0C25E7B4"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810</w:t>
            </w:r>
          </w:p>
        </w:tc>
        <w:tc>
          <w:tcPr>
            <w:tcW w:w="1024" w:type="dxa"/>
            <w:tcBorders>
              <w:top w:val="nil"/>
              <w:left w:val="nil"/>
              <w:bottom w:val="nil"/>
              <w:right w:val="nil"/>
            </w:tcBorders>
          </w:tcPr>
          <w:p w14:paraId="25368BF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947</w:t>
            </w:r>
          </w:p>
        </w:tc>
      </w:tr>
      <w:tr w:rsidR="0065509F" w:rsidRPr="0065509F" w14:paraId="719D285A" w14:textId="77777777" w:rsidTr="00874EE0">
        <w:trPr>
          <w:trHeight w:val="300"/>
        </w:trPr>
        <w:tc>
          <w:tcPr>
            <w:tcW w:w="4272" w:type="dxa"/>
            <w:tcBorders>
              <w:top w:val="nil"/>
              <w:left w:val="nil"/>
              <w:bottom w:val="nil"/>
              <w:right w:val="nil"/>
            </w:tcBorders>
          </w:tcPr>
          <w:p w14:paraId="062907E4"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lastRenderedPageBreak/>
              <w:t>Personal services</w:t>
            </w:r>
          </w:p>
        </w:tc>
        <w:tc>
          <w:tcPr>
            <w:tcW w:w="1024" w:type="dxa"/>
            <w:tcBorders>
              <w:top w:val="nil"/>
              <w:left w:val="nil"/>
              <w:bottom w:val="nil"/>
              <w:right w:val="nil"/>
            </w:tcBorders>
          </w:tcPr>
          <w:p w14:paraId="6F205DD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12,774</w:t>
            </w:r>
          </w:p>
        </w:tc>
        <w:tc>
          <w:tcPr>
            <w:tcW w:w="1024" w:type="dxa"/>
            <w:tcBorders>
              <w:top w:val="nil"/>
              <w:left w:val="nil"/>
              <w:bottom w:val="nil"/>
              <w:right w:val="nil"/>
            </w:tcBorders>
          </w:tcPr>
          <w:p w14:paraId="47BCDAC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12,559</w:t>
            </w:r>
          </w:p>
        </w:tc>
        <w:tc>
          <w:tcPr>
            <w:tcW w:w="1024" w:type="dxa"/>
            <w:tcBorders>
              <w:top w:val="nil"/>
              <w:left w:val="nil"/>
              <w:bottom w:val="nil"/>
              <w:right w:val="single" w:sz="12" w:space="0" w:color="auto"/>
            </w:tcBorders>
          </w:tcPr>
          <w:p w14:paraId="332287E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12,990</w:t>
            </w:r>
          </w:p>
        </w:tc>
        <w:tc>
          <w:tcPr>
            <w:tcW w:w="1024" w:type="dxa"/>
            <w:tcBorders>
              <w:top w:val="nil"/>
              <w:left w:val="nil"/>
              <w:bottom w:val="nil"/>
              <w:right w:val="nil"/>
            </w:tcBorders>
          </w:tcPr>
          <w:p w14:paraId="4EC52AF8"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9,490</w:t>
            </w:r>
          </w:p>
        </w:tc>
        <w:tc>
          <w:tcPr>
            <w:tcW w:w="1024" w:type="dxa"/>
            <w:tcBorders>
              <w:top w:val="nil"/>
              <w:left w:val="nil"/>
              <w:bottom w:val="nil"/>
              <w:right w:val="nil"/>
            </w:tcBorders>
          </w:tcPr>
          <w:p w14:paraId="7D0E5BC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9,281</w:t>
            </w:r>
          </w:p>
        </w:tc>
        <w:tc>
          <w:tcPr>
            <w:tcW w:w="1024" w:type="dxa"/>
            <w:tcBorders>
              <w:top w:val="nil"/>
              <w:left w:val="nil"/>
              <w:bottom w:val="nil"/>
              <w:right w:val="single" w:sz="12" w:space="0" w:color="auto"/>
            </w:tcBorders>
          </w:tcPr>
          <w:p w14:paraId="2AE50DB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9,699</w:t>
            </w:r>
          </w:p>
        </w:tc>
        <w:tc>
          <w:tcPr>
            <w:tcW w:w="1024" w:type="dxa"/>
            <w:tcBorders>
              <w:top w:val="nil"/>
              <w:left w:val="nil"/>
              <w:bottom w:val="nil"/>
              <w:right w:val="nil"/>
            </w:tcBorders>
          </w:tcPr>
          <w:p w14:paraId="304CB0C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11,346</w:t>
            </w:r>
          </w:p>
        </w:tc>
        <w:tc>
          <w:tcPr>
            <w:tcW w:w="1024" w:type="dxa"/>
            <w:tcBorders>
              <w:top w:val="nil"/>
              <w:left w:val="nil"/>
              <w:bottom w:val="nil"/>
              <w:right w:val="nil"/>
            </w:tcBorders>
          </w:tcPr>
          <w:p w14:paraId="09258C3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11,113</w:t>
            </w:r>
          </w:p>
        </w:tc>
        <w:tc>
          <w:tcPr>
            <w:tcW w:w="1024" w:type="dxa"/>
            <w:tcBorders>
              <w:top w:val="nil"/>
              <w:left w:val="nil"/>
              <w:bottom w:val="nil"/>
              <w:right w:val="nil"/>
            </w:tcBorders>
          </w:tcPr>
          <w:p w14:paraId="00810B5A"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11,580</w:t>
            </w:r>
          </w:p>
        </w:tc>
      </w:tr>
      <w:tr w:rsidR="0065509F" w:rsidRPr="0065509F" w14:paraId="514B25E5" w14:textId="77777777" w:rsidTr="00874EE0">
        <w:trPr>
          <w:trHeight w:val="300"/>
        </w:trPr>
        <w:tc>
          <w:tcPr>
            <w:tcW w:w="4272" w:type="dxa"/>
            <w:tcBorders>
              <w:top w:val="nil"/>
              <w:left w:val="nil"/>
              <w:bottom w:val="nil"/>
              <w:right w:val="nil"/>
            </w:tcBorders>
          </w:tcPr>
          <w:p w14:paraId="3521E86D"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Agric. produce processing &amp; dealing</w:t>
            </w:r>
          </w:p>
        </w:tc>
        <w:tc>
          <w:tcPr>
            <w:tcW w:w="1024" w:type="dxa"/>
            <w:tcBorders>
              <w:top w:val="nil"/>
              <w:left w:val="nil"/>
              <w:bottom w:val="nil"/>
              <w:right w:val="nil"/>
            </w:tcBorders>
          </w:tcPr>
          <w:p w14:paraId="70DE79FB"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545</w:t>
            </w:r>
          </w:p>
        </w:tc>
        <w:tc>
          <w:tcPr>
            <w:tcW w:w="1024" w:type="dxa"/>
            <w:tcBorders>
              <w:top w:val="nil"/>
              <w:left w:val="nil"/>
              <w:bottom w:val="nil"/>
              <w:right w:val="nil"/>
            </w:tcBorders>
          </w:tcPr>
          <w:p w14:paraId="21FA90F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497</w:t>
            </w:r>
          </w:p>
        </w:tc>
        <w:tc>
          <w:tcPr>
            <w:tcW w:w="1024" w:type="dxa"/>
            <w:tcBorders>
              <w:top w:val="nil"/>
              <w:left w:val="nil"/>
              <w:bottom w:val="nil"/>
              <w:right w:val="single" w:sz="12" w:space="0" w:color="auto"/>
            </w:tcBorders>
          </w:tcPr>
          <w:p w14:paraId="2498141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593</w:t>
            </w:r>
          </w:p>
        </w:tc>
        <w:tc>
          <w:tcPr>
            <w:tcW w:w="1024" w:type="dxa"/>
            <w:tcBorders>
              <w:top w:val="nil"/>
              <w:left w:val="nil"/>
              <w:bottom w:val="nil"/>
              <w:right w:val="nil"/>
            </w:tcBorders>
          </w:tcPr>
          <w:p w14:paraId="7947B7AE"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507</w:t>
            </w:r>
          </w:p>
        </w:tc>
        <w:tc>
          <w:tcPr>
            <w:tcW w:w="1024" w:type="dxa"/>
            <w:tcBorders>
              <w:top w:val="nil"/>
              <w:left w:val="nil"/>
              <w:bottom w:val="nil"/>
              <w:right w:val="nil"/>
            </w:tcBorders>
          </w:tcPr>
          <w:p w14:paraId="4F5E7BAE"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461</w:t>
            </w:r>
          </w:p>
        </w:tc>
        <w:tc>
          <w:tcPr>
            <w:tcW w:w="1024" w:type="dxa"/>
            <w:tcBorders>
              <w:top w:val="nil"/>
              <w:left w:val="nil"/>
              <w:bottom w:val="nil"/>
              <w:right w:val="single" w:sz="12" w:space="0" w:color="auto"/>
            </w:tcBorders>
          </w:tcPr>
          <w:p w14:paraId="76BBAA9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553</w:t>
            </w:r>
          </w:p>
        </w:tc>
        <w:tc>
          <w:tcPr>
            <w:tcW w:w="1024" w:type="dxa"/>
            <w:tcBorders>
              <w:top w:val="nil"/>
              <w:left w:val="nil"/>
              <w:bottom w:val="nil"/>
              <w:right w:val="nil"/>
            </w:tcBorders>
          </w:tcPr>
          <w:p w14:paraId="188C174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634</w:t>
            </w:r>
          </w:p>
        </w:tc>
        <w:tc>
          <w:tcPr>
            <w:tcW w:w="1024" w:type="dxa"/>
            <w:tcBorders>
              <w:top w:val="nil"/>
              <w:left w:val="nil"/>
              <w:bottom w:val="nil"/>
              <w:right w:val="nil"/>
            </w:tcBorders>
          </w:tcPr>
          <w:p w14:paraId="5166EADE"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581</w:t>
            </w:r>
          </w:p>
        </w:tc>
        <w:tc>
          <w:tcPr>
            <w:tcW w:w="1024" w:type="dxa"/>
            <w:tcBorders>
              <w:top w:val="nil"/>
              <w:left w:val="nil"/>
              <w:bottom w:val="nil"/>
              <w:right w:val="nil"/>
            </w:tcBorders>
          </w:tcPr>
          <w:p w14:paraId="744D373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688</w:t>
            </w:r>
          </w:p>
        </w:tc>
      </w:tr>
      <w:tr w:rsidR="0065509F" w:rsidRPr="0065509F" w14:paraId="04347583" w14:textId="77777777" w:rsidTr="00874EE0">
        <w:trPr>
          <w:trHeight w:val="300"/>
        </w:trPr>
        <w:tc>
          <w:tcPr>
            <w:tcW w:w="4272" w:type="dxa"/>
            <w:tcBorders>
              <w:top w:val="nil"/>
              <w:left w:val="nil"/>
              <w:bottom w:val="nil"/>
              <w:right w:val="nil"/>
            </w:tcBorders>
          </w:tcPr>
          <w:p w14:paraId="4AF9ACF7"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Food sales</w:t>
            </w:r>
          </w:p>
        </w:tc>
        <w:tc>
          <w:tcPr>
            <w:tcW w:w="1024" w:type="dxa"/>
            <w:tcBorders>
              <w:top w:val="nil"/>
              <w:left w:val="nil"/>
              <w:bottom w:val="nil"/>
              <w:right w:val="nil"/>
            </w:tcBorders>
          </w:tcPr>
          <w:p w14:paraId="676D535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11,494</w:t>
            </w:r>
          </w:p>
        </w:tc>
        <w:tc>
          <w:tcPr>
            <w:tcW w:w="1024" w:type="dxa"/>
            <w:tcBorders>
              <w:top w:val="nil"/>
              <w:left w:val="nil"/>
              <w:bottom w:val="nil"/>
              <w:right w:val="nil"/>
            </w:tcBorders>
          </w:tcPr>
          <w:p w14:paraId="68237271"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11,290</w:t>
            </w:r>
          </w:p>
        </w:tc>
        <w:tc>
          <w:tcPr>
            <w:tcW w:w="1024" w:type="dxa"/>
            <w:tcBorders>
              <w:top w:val="nil"/>
              <w:left w:val="nil"/>
              <w:bottom w:val="nil"/>
              <w:right w:val="single" w:sz="12" w:space="0" w:color="auto"/>
            </w:tcBorders>
          </w:tcPr>
          <w:p w14:paraId="32EA559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11,697</w:t>
            </w:r>
          </w:p>
        </w:tc>
        <w:tc>
          <w:tcPr>
            <w:tcW w:w="1024" w:type="dxa"/>
            <w:tcBorders>
              <w:top w:val="nil"/>
              <w:left w:val="nil"/>
              <w:bottom w:val="nil"/>
              <w:right w:val="nil"/>
            </w:tcBorders>
          </w:tcPr>
          <w:p w14:paraId="62E20A9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6,631</w:t>
            </w:r>
          </w:p>
        </w:tc>
        <w:tc>
          <w:tcPr>
            <w:tcW w:w="1024" w:type="dxa"/>
            <w:tcBorders>
              <w:top w:val="nil"/>
              <w:left w:val="nil"/>
              <w:bottom w:val="nil"/>
              <w:right w:val="nil"/>
            </w:tcBorders>
          </w:tcPr>
          <w:p w14:paraId="14BE594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6,478</w:t>
            </w:r>
          </w:p>
        </w:tc>
        <w:tc>
          <w:tcPr>
            <w:tcW w:w="1024" w:type="dxa"/>
            <w:tcBorders>
              <w:top w:val="nil"/>
              <w:left w:val="nil"/>
              <w:bottom w:val="nil"/>
              <w:right w:val="single" w:sz="12" w:space="0" w:color="auto"/>
            </w:tcBorders>
          </w:tcPr>
          <w:p w14:paraId="657367E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6,785</w:t>
            </w:r>
          </w:p>
        </w:tc>
        <w:tc>
          <w:tcPr>
            <w:tcW w:w="1024" w:type="dxa"/>
            <w:tcBorders>
              <w:top w:val="nil"/>
              <w:left w:val="nil"/>
              <w:bottom w:val="nil"/>
              <w:right w:val="nil"/>
            </w:tcBorders>
          </w:tcPr>
          <w:p w14:paraId="17671AB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9,499</w:t>
            </w:r>
          </w:p>
        </w:tc>
        <w:tc>
          <w:tcPr>
            <w:tcW w:w="1024" w:type="dxa"/>
            <w:tcBorders>
              <w:top w:val="nil"/>
              <w:left w:val="nil"/>
              <w:bottom w:val="nil"/>
              <w:right w:val="nil"/>
            </w:tcBorders>
          </w:tcPr>
          <w:p w14:paraId="697783C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9,308</w:t>
            </w:r>
          </w:p>
        </w:tc>
        <w:tc>
          <w:tcPr>
            <w:tcW w:w="1024" w:type="dxa"/>
            <w:tcBorders>
              <w:top w:val="nil"/>
              <w:left w:val="nil"/>
              <w:bottom w:val="nil"/>
              <w:right w:val="nil"/>
            </w:tcBorders>
          </w:tcPr>
          <w:p w14:paraId="2906C80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9,690</w:t>
            </w:r>
          </w:p>
        </w:tc>
      </w:tr>
      <w:tr w:rsidR="0065509F" w:rsidRPr="0065509F" w14:paraId="6DE9DDD9" w14:textId="77777777" w:rsidTr="00874EE0">
        <w:trPr>
          <w:trHeight w:val="300"/>
        </w:trPr>
        <w:tc>
          <w:tcPr>
            <w:tcW w:w="4272" w:type="dxa"/>
            <w:tcBorders>
              <w:top w:val="nil"/>
              <w:left w:val="nil"/>
              <w:bottom w:val="nil"/>
              <w:right w:val="nil"/>
            </w:tcBorders>
          </w:tcPr>
          <w:p w14:paraId="6B8CC235"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Refreshment</w:t>
            </w:r>
          </w:p>
        </w:tc>
        <w:tc>
          <w:tcPr>
            <w:tcW w:w="1024" w:type="dxa"/>
            <w:tcBorders>
              <w:top w:val="nil"/>
              <w:left w:val="nil"/>
              <w:bottom w:val="nil"/>
              <w:right w:val="nil"/>
            </w:tcBorders>
          </w:tcPr>
          <w:p w14:paraId="12035E1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5,323</w:t>
            </w:r>
          </w:p>
        </w:tc>
        <w:tc>
          <w:tcPr>
            <w:tcW w:w="1024" w:type="dxa"/>
            <w:tcBorders>
              <w:top w:val="nil"/>
              <w:left w:val="nil"/>
              <w:bottom w:val="nil"/>
              <w:right w:val="nil"/>
            </w:tcBorders>
          </w:tcPr>
          <w:p w14:paraId="263E904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5,158</w:t>
            </w:r>
          </w:p>
        </w:tc>
        <w:tc>
          <w:tcPr>
            <w:tcW w:w="1024" w:type="dxa"/>
            <w:tcBorders>
              <w:top w:val="nil"/>
              <w:left w:val="nil"/>
              <w:bottom w:val="nil"/>
              <w:right w:val="single" w:sz="12" w:space="0" w:color="auto"/>
            </w:tcBorders>
          </w:tcPr>
          <w:p w14:paraId="49318C1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5,488</w:t>
            </w:r>
          </w:p>
        </w:tc>
        <w:tc>
          <w:tcPr>
            <w:tcW w:w="1024" w:type="dxa"/>
            <w:tcBorders>
              <w:top w:val="nil"/>
              <w:left w:val="nil"/>
              <w:bottom w:val="nil"/>
              <w:right w:val="nil"/>
            </w:tcBorders>
          </w:tcPr>
          <w:p w14:paraId="0CD762B0"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4,605</w:t>
            </w:r>
          </w:p>
        </w:tc>
        <w:tc>
          <w:tcPr>
            <w:tcW w:w="1024" w:type="dxa"/>
            <w:tcBorders>
              <w:top w:val="nil"/>
              <w:left w:val="nil"/>
              <w:bottom w:val="nil"/>
              <w:right w:val="nil"/>
            </w:tcBorders>
          </w:tcPr>
          <w:p w14:paraId="3DF1ACBD"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4,469</w:t>
            </w:r>
          </w:p>
        </w:tc>
        <w:tc>
          <w:tcPr>
            <w:tcW w:w="1024" w:type="dxa"/>
            <w:tcBorders>
              <w:top w:val="nil"/>
              <w:left w:val="nil"/>
              <w:bottom w:val="nil"/>
              <w:right w:val="single" w:sz="12" w:space="0" w:color="auto"/>
            </w:tcBorders>
          </w:tcPr>
          <w:p w14:paraId="7B7CAE57"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4,742</w:t>
            </w:r>
          </w:p>
        </w:tc>
        <w:tc>
          <w:tcPr>
            <w:tcW w:w="1024" w:type="dxa"/>
            <w:tcBorders>
              <w:top w:val="nil"/>
              <w:left w:val="nil"/>
              <w:bottom w:val="nil"/>
              <w:right w:val="nil"/>
            </w:tcBorders>
          </w:tcPr>
          <w:p w14:paraId="79393E1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22,537</w:t>
            </w:r>
          </w:p>
        </w:tc>
        <w:tc>
          <w:tcPr>
            <w:tcW w:w="1024" w:type="dxa"/>
            <w:tcBorders>
              <w:top w:val="nil"/>
              <w:left w:val="nil"/>
              <w:bottom w:val="nil"/>
              <w:right w:val="nil"/>
            </w:tcBorders>
          </w:tcPr>
          <w:p w14:paraId="240F9CD9"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22,208</w:t>
            </w:r>
          </w:p>
        </w:tc>
        <w:tc>
          <w:tcPr>
            <w:tcW w:w="1024" w:type="dxa"/>
            <w:tcBorders>
              <w:top w:val="nil"/>
              <w:left w:val="nil"/>
              <w:bottom w:val="nil"/>
              <w:right w:val="nil"/>
            </w:tcBorders>
          </w:tcPr>
          <w:p w14:paraId="0600F5FF"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22,866</w:t>
            </w:r>
          </w:p>
        </w:tc>
      </w:tr>
      <w:tr w:rsidR="0065509F" w:rsidRPr="0065509F" w14:paraId="27ABFEAD" w14:textId="77777777" w:rsidTr="00874EE0">
        <w:trPr>
          <w:trHeight w:val="316"/>
        </w:trPr>
        <w:tc>
          <w:tcPr>
            <w:tcW w:w="4272" w:type="dxa"/>
            <w:tcBorders>
              <w:top w:val="nil"/>
              <w:left w:val="nil"/>
              <w:bottom w:val="single" w:sz="12" w:space="0" w:color="auto"/>
              <w:right w:val="nil"/>
            </w:tcBorders>
          </w:tcPr>
          <w:p w14:paraId="3FF0C019" w14:textId="77777777" w:rsidR="0065509F" w:rsidRPr="0065509F" w:rsidRDefault="0065509F" w:rsidP="0065509F">
            <w:pPr>
              <w:autoSpaceDE w:val="0"/>
              <w:autoSpaceDN w:val="0"/>
              <w:adjustRightInd w:val="0"/>
              <w:rPr>
                <w:rFonts w:eastAsia="Calibri" w:cs="Times New Roman"/>
                <w:color w:val="000000"/>
                <w:szCs w:val="24"/>
              </w:rPr>
            </w:pPr>
            <w:r w:rsidRPr="0065509F">
              <w:rPr>
                <w:rFonts w:eastAsia="Calibri" w:cs="Times New Roman"/>
                <w:color w:val="000000"/>
                <w:szCs w:val="24"/>
              </w:rPr>
              <w:t>Finance and commerce</w:t>
            </w:r>
          </w:p>
        </w:tc>
        <w:tc>
          <w:tcPr>
            <w:tcW w:w="1024" w:type="dxa"/>
            <w:tcBorders>
              <w:top w:val="nil"/>
              <w:left w:val="nil"/>
              <w:bottom w:val="single" w:sz="12" w:space="0" w:color="auto"/>
              <w:right w:val="nil"/>
            </w:tcBorders>
          </w:tcPr>
          <w:p w14:paraId="1206591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137</w:t>
            </w:r>
          </w:p>
        </w:tc>
        <w:tc>
          <w:tcPr>
            <w:tcW w:w="1024" w:type="dxa"/>
            <w:tcBorders>
              <w:top w:val="nil"/>
              <w:left w:val="nil"/>
              <w:bottom w:val="single" w:sz="12" w:space="0" w:color="auto"/>
              <w:right w:val="nil"/>
            </w:tcBorders>
          </w:tcPr>
          <w:p w14:paraId="1893E726"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112</w:t>
            </w:r>
          </w:p>
        </w:tc>
        <w:tc>
          <w:tcPr>
            <w:tcW w:w="1024" w:type="dxa"/>
            <w:tcBorders>
              <w:top w:val="nil"/>
              <w:left w:val="nil"/>
              <w:bottom w:val="single" w:sz="12" w:space="0" w:color="auto"/>
              <w:right w:val="single" w:sz="12" w:space="0" w:color="auto"/>
            </w:tcBorders>
          </w:tcPr>
          <w:p w14:paraId="7D176DF3"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162</w:t>
            </w:r>
          </w:p>
        </w:tc>
        <w:tc>
          <w:tcPr>
            <w:tcW w:w="1024" w:type="dxa"/>
            <w:tcBorders>
              <w:top w:val="nil"/>
              <w:left w:val="nil"/>
              <w:bottom w:val="single" w:sz="12" w:space="0" w:color="auto"/>
              <w:right w:val="nil"/>
            </w:tcBorders>
          </w:tcPr>
          <w:p w14:paraId="06E1F89E"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200</w:t>
            </w:r>
          </w:p>
        </w:tc>
        <w:tc>
          <w:tcPr>
            <w:tcW w:w="1024" w:type="dxa"/>
            <w:tcBorders>
              <w:top w:val="nil"/>
              <w:left w:val="nil"/>
              <w:bottom w:val="single" w:sz="12" w:space="0" w:color="auto"/>
              <w:right w:val="nil"/>
            </w:tcBorders>
          </w:tcPr>
          <w:p w14:paraId="260B8A4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168</w:t>
            </w:r>
          </w:p>
        </w:tc>
        <w:tc>
          <w:tcPr>
            <w:tcW w:w="1024" w:type="dxa"/>
            <w:tcBorders>
              <w:top w:val="nil"/>
              <w:left w:val="nil"/>
              <w:bottom w:val="single" w:sz="12" w:space="0" w:color="auto"/>
              <w:right w:val="single" w:sz="12" w:space="0" w:color="auto"/>
            </w:tcBorders>
          </w:tcPr>
          <w:p w14:paraId="23C3DD0C"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231</w:t>
            </w:r>
          </w:p>
        </w:tc>
        <w:tc>
          <w:tcPr>
            <w:tcW w:w="1024" w:type="dxa"/>
            <w:tcBorders>
              <w:top w:val="nil"/>
              <w:left w:val="nil"/>
              <w:bottom w:val="single" w:sz="12" w:space="0" w:color="auto"/>
              <w:right w:val="nil"/>
            </w:tcBorders>
          </w:tcPr>
          <w:p w14:paraId="2C03CB62"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470</w:t>
            </w:r>
          </w:p>
        </w:tc>
        <w:tc>
          <w:tcPr>
            <w:tcW w:w="1024" w:type="dxa"/>
            <w:tcBorders>
              <w:top w:val="nil"/>
              <w:left w:val="nil"/>
              <w:bottom w:val="single" w:sz="12" w:space="0" w:color="auto"/>
              <w:right w:val="nil"/>
            </w:tcBorders>
          </w:tcPr>
          <w:p w14:paraId="289E4705"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415</w:t>
            </w:r>
          </w:p>
        </w:tc>
        <w:tc>
          <w:tcPr>
            <w:tcW w:w="1024" w:type="dxa"/>
            <w:tcBorders>
              <w:top w:val="nil"/>
              <w:left w:val="nil"/>
              <w:bottom w:val="single" w:sz="12" w:space="0" w:color="auto"/>
              <w:right w:val="nil"/>
            </w:tcBorders>
          </w:tcPr>
          <w:p w14:paraId="5B174B2E" w14:textId="77777777" w:rsidR="0065509F" w:rsidRPr="0065509F" w:rsidRDefault="0065509F" w:rsidP="0065509F">
            <w:pPr>
              <w:autoSpaceDE w:val="0"/>
              <w:autoSpaceDN w:val="0"/>
              <w:adjustRightInd w:val="0"/>
              <w:jc w:val="right"/>
              <w:rPr>
                <w:rFonts w:ascii="Calibri" w:eastAsia="Calibri" w:hAnsi="Calibri" w:cs="Calibri"/>
                <w:color w:val="000000"/>
                <w:sz w:val="22"/>
              </w:rPr>
            </w:pPr>
            <w:r w:rsidRPr="0065509F">
              <w:rPr>
                <w:rFonts w:ascii="Calibri" w:eastAsia="Calibri" w:hAnsi="Calibri" w:cs="Calibri"/>
                <w:color w:val="000000"/>
                <w:sz w:val="22"/>
              </w:rPr>
              <w:t>526</w:t>
            </w:r>
          </w:p>
        </w:tc>
      </w:tr>
      <w:tr w:rsidR="0065509F" w:rsidRPr="0065509F" w14:paraId="06E17746" w14:textId="77777777" w:rsidTr="00874EE0">
        <w:trPr>
          <w:trHeight w:val="316"/>
        </w:trPr>
        <w:tc>
          <w:tcPr>
            <w:tcW w:w="4272" w:type="dxa"/>
            <w:tcBorders>
              <w:top w:val="single" w:sz="12" w:space="0" w:color="auto"/>
              <w:left w:val="nil"/>
              <w:bottom w:val="single" w:sz="12" w:space="0" w:color="auto"/>
              <w:right w:val="nil"/>
            </w:tcBorders>
          </w:tcPr>
          <w:p w14:paraId="0C55F9F5" w14:textId="77777777" w:rsidR="0065509F" w:rsidRPr="0065509F" w:rsidRDefault="0065509F" w:rsidP="0065509F">
            <w:pPr>
              <w:autoSpaceDE w:val="0"/>
              <w:autoSpaceDN w:val="0"/>
              <w:adjustRightInd w:val="0"/>
              <w:rPr>
                <w:rFonts w:eastAsia="Calibri" w:cs="Times New Roman"/>
                <w:b/>
                <w:bCs/>
                <w:color w:val="000000"/>
                <w:szCs w:val="24"/>
              </w:rPr>
            </w:pPr>
            <w:r w:rsidRPr="0065509F">
              <w:rPr>
                <w:rFonts w:eastAsia="Calibri" w:cs="Times New Roman"/>
                <w:b/>
                <w:bCs/>
                <w:color w:val="000000"/>
                <w:szCs w:val="24"/>
              </w:rPr>
              <w:t>Total</w:t>
            </w:r>
          </w:p>
        </w:tc>
        <w:tc>
          <w:tcPr>
            <w:tcW w:w="1024" w:type="dxa"/>
            <w:tcBorders>
              <w:top w:val="single" w:sz="12" w:space="0" w:color="auto"/>
              <w:left w:val="nil"/>
              <w:bottom w:val="single" w:sz="12" w:space="0" w:color="auto"/>
              <w:right w:val="nil"/>
            </w:tcBorders>
          </w:tcPr>
          <w:p w14:paraId="5962EDF1"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r w:rsidRPr="0065509F">
              <w:rPr>
                <w:rFonts w:ascii="Calibri" w:eastAsia="Calibri" w:hAnsi="Calibri" w:cs="Calibri"/>
                <w:b/>
                <w:bCs/>
                <w:color w:val="000000"/>
                <w:sz w:val="22"/>
              </w:rPr>
              <w:t>67,361</w:t>
            </w:r>
          </w:p>
        </w:tc>
        <w:tc>
          <w:tcPr>
            <w:tcW w:w="1024" w:type="dxa"/>
            <w:tcBorders>
              <w:top w:val="single" w:sz="12" w:space="0" w:color="auto"/>
              <w:left w:val="nil"/>
              <w:bottom w:val="single" w:sz="12" w:space="0" w:color="auto"/>
              <w:right w:val="nil"/>
            </w:tcBorders>
          </w:tcPr>
          <w:p w14:paraId="434F0A65"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4A4EA859"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469D2823"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r w:rsidRPr="0065509F">
              <w:rPr>
                <w:rFonts w:ascii="Calibri" w:eastAsia="Calibri" w:hAnsi="Calibri" w:cs="Calibri"/>
                <w:b/>
                <w:bCs/>
                <w:color w:val="000000"/>
                <w:sz w:val="22"/>
              </w:rPr>
              <w:t>61,613</w:t>
            </w:r>
          </w:p>
        </w:tc>
        <w:tc>
          <w:tcPr>
            <w:tcW w:w="1024" w:type="dxa"/>
            <w:tcBorders>
              <w:top w:val="single" w:sz="12" w:space="0" w:color="auto"/>
              <w:left w:val="nil"/>
              <w:bottom w:val="single" w:sz="12" w:space="0" w:color="auto"/>
              <w:right w:val="nil"/>
            </w:tcBorders>
          </w:tcPr>
          <w:p w14:paraId="16199D56"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6FB59ED1"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259AA912"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r w:rsidRPr="0065509F">
              <w:rPr>
                <w:rFonts w:ascii="Calibri" w:eastAsia="Calibri" w:hAnsi="Calibri" w:cs="Calibri"/>
                <w:b/>
                <w:bCs/>
                <w:color w:val="000000"/>
                <w:sz w:val="22"/>
              </w:rPr>
              <w:t>100,015</w:t>
            </w:r>
          </w:p>
        </w:tc>
        <w:tc>
          <w:tcPr>
            <w:tcW w:w="1024" w:type="dxa"/>
            <w:tcBorders>
              <w:top w:val="single" w:sz="12" w:space="0" w:color="auto"/>
              <w:left w:val="nil"/>
              <w:bottom w:val="single" w:sz="12" w:space="0" w:color="auto"/>
              <w:right w:val="nil"/>
            </w:tcBorders>
          </w:tcPr>
          <w:p w14:paraId="3954D5CE" w14:textId="77777777" w:rsidR="0065509F" w:rsidRPr="0065509F" w:rsidRDefault="0065509F" w:rsidP="0065509F">
            <w:pPr>
              <w:autoSpaceDE w:val="0"/>
              <w:autoSpaceDN w:val="0"/>
              <w:adjustRightInd w:val="0"/>
              <w:jc w:val="right"/>
              <w:rPr>
                <w:rFonts w:ascii="Calibri" w:eastAsia="Calibri" w:hAnsi="Calibri" w:cs="Calibri"/>
                <w:b/>
                <w:bCs/>
                <w:color w:val="000000"/>
                <w:sz w:val="22"/>
              </w:rPr>
            </w:pPr>
          </w:p>
        </w:tc>
        <w:tc>
          <w:tcPr>
            <w:tcW w:w="1024" w:type="dxa"/>
            <w:tcBorders>
              <w:top w:val="single" w:sz="12" w:space="0" w:color="auto"/>
              <w:left w:val="nil"/>
              <w:bottom w:val="single" w:sz="12" w:space="0" w:color="auto"/>
              <w:right w:val="nil"/>
            </w:tcBorders>
          </w:tcPr>
          <w:p w14:paraId="069B1782" w14:textId="77777777" w:rsidR="0065509F" w:rsidRPr="0065509F" w:rsidRDefault="0065509F" w:rsidP="0065509F">
            <w:pPr>
              <w:autoSpaceDE w:val="0"/>
              <w:autoSpaceDN w:val="0"/>
              <w:adjustRightInd w:val="0"/>
              <w:jc w:val="right"/>
              <w:rPr>
                <w:rFonts w:ascii="Calibri" w:eastAsia="Calibri" w:hAnsi="Calibri" w:cs="Calibri"/>
                <w:color w:val="000000"/>
                <w:sz w:val="22"/>
              </w:rPr>
            </w:pPr>
          </w:p>
        </w:tc>
      </w:tr>
    </w:tbl>
    <w:p w14:paraId="0935CE1A" w14:textId="77777777" w:rsidR="0065509F" w:rsidRDefault="0065509F" w:rsidP="0065509F">
      <w:pPr>
        <w:spacing w:after="160" w:line="360" w:lineRule="auto"/>
        <w:jc w:val="both"/>
        <w:rPr>
          <w:rFonts w:ascii="Calibri" w:eastAsia="Calibri" w:hAnsi="Calibri" w:cs="Times New Roman"/>
          <w:b/>
          <w:sz w:val="22"/>
        </w:rPr>
      </w:pPr>
    </w:p>
    <w:p w14:paraId="12A96FE1" w14:textId="77777777" w:rsidR="0065509F" w:rsidRPr="0065509F" w:rsidRDefault="0065509F" w:rsidP="0065509F">
      <w:pPr>
        <w:spacing w:after="160" w:line="360" w:lineRule="auto"/>
        <w:jc w:val="both"/>
        <w:rPr>
          <w:rFonts w:eastAsia="Calibri" w:cs="Times New Roman"/>
          <w:sz w:val="22"/>
        </w:rPr>
      </w:pPr>
      <w:proofErr w:type="gramStart"/>
      <w:r w:rsidRPr="0065509F">
        <w:rPr>
          <w:rFonts w:eastAsia="Calibri" w:cs="Times New Roman"/>
          <w:b/>
          <w:sz w:val="22"/>
        </w:rPr>
        <w:t>Table 6.</w:t>
      </w:r>
      <w:proofErr w:type="gramEnd"/>
      <w:r w:rsidRPr="0065509F">
        <w:rPr>
          <w:rFonts w:eastAsia="Calibri" w:cs="Times New Roman"/>
          <w:sz w:val="22"/>
        </w:rPr>
        <w:t xml:space="preserve"> Evolution of employer numbers by gender for main aggregate sectors. Ranges are given between upper (</w:t>
      </w:r>
      <w:proofErr w:type="spellStart"/>
      <w:r w:rsidRPr="0065509F">
        <w:rPr>
          <w:rFonts w:eastAsia="Calibri" w:cs="Times New Roman"/>
          <w:sz w:val="22"/>
        </w:rPr>
        <w:t>ub</w:t>
      </w:r>
      <w:proofErr w:type="spellEnd"/>
      <w:r w:rsidRPr="0065509F">
        <w:rPr>
          <w:rFonts w:eastAsia="Calibri" w:cs="Times New Roman"/>
          <w:sz w:val="22"/>
        </w:rPr>
        <w:t>) and lower confidence bounds (lb).</w:t>
      </w:r>
    </w:p>
    <w:p w14:paraId="32D3A8B8" w14:textId="77777777" w:rsidR="001E7990" w:rsidRDefault="001E7990" w:rsidP="002726CD">
      <w:pPr>
        <w:spacing w:line="360" w:lineRule="auto"/>
        <w:jc w:val="both"/>
      </w:pPr>
    </w:p>
    <w:p w14:paraId="01187160" w14:textId="77777777" w:rsidR="0065509F" w:rsidRDefault="0065509F" w:rsidP="002726CD">
      <w:pPr>
        <w:spacing w:line="360" w:lineRule="auto"/>
        <w:jc w:val="both"/>
        <w:sectPr w:rsidR="0065509F" w:rsidSect="0065509F">
          <w:endnotePr>
            <w:numFmt w:val="decimal"/>
          </w:endnotePr>
          <w:pgSz w:w="16838" w:h="11906" w:orient="landscape"/>
          <w:pgMar w:top="1418" w:right="1134" w:bottom="1418" w:left="1191" w:header="709" w:footer="709" w:gutter="0"/>
          <w:cols w:space="708"/>
          <w:docGrid w:linePitch="360"/>
        </w:sectPr>
      </w:pPr>
    </w:p>
    <w:p w14:paraId="7CFC57C2" w14:textId="5DA43F2C" w:rsidR="001E7990" w:rsidRDefault="001E7990" w:rsidP="002726CD">
      <w:pPr>
        <w:spacing w:line="360" w:lineRule="auto"/>
        <w:jc w:val="both"/>
      </w:pPr>
      <w:r w:rsidRPr="00083338">
        <w:lastRenderedPageBreak/>
        <w:t>For</w:t>
      </w:r>
      <w:r>
        <w:t xml:space="preserve"> the</w:t>
      </w:r>
      <w:r w:rsidRPr="00083338">
        <w:t xml:space="preserve"> </w:t>
      </w:r>
      <w:r>
        <w:t>own account</w:t>
      </w:r>
      <w:r w:rsidRPr="00083338">
        <w:t>, sector developments</w:t>
      </w:r>
      <w:r>
        <w:t>,</w:t>
      </w:r>
      <w:r w:rsidRPr="00083338">
        <w:t xml:space="preserve"> sh</w:t>
      </w:r>
      <w:r>
        <w:t xml:space="preserve">own in Table </w:t>
      </w:r>
      <w:r w:rsidR="005B4996">
        <w:t>7</w:t>
      </w:r>
      <w:r>
        <w:t xml:space="preserve">, mirrored many of the changes for employers. The 1901 peak of own account for males </w:t>
      </w:r>
      <w:r w:rsidRPr="000B3127">
        <w:t>occur</w:t>
      </w:r>
      <w:r>
        <w:t>red</w:t>
      </w:r>
      <w:r w:rsidRPr="000B3127">
        <w:t xml:space="preserve"> </w:t>
      </w:r>
      <w:r>
        <w:t xml:space="preserve">in most sectors (farming, manufacturing, maker-dealers, transport, agricultural processing, food sales, refreshment, and finance and commerce). These indicate a turning point in the fortunes for self-employment in sectors that were beginning to develop as large employer industries, in most cases (manufacturing, transport and agricultural processing) as </w:t>
      </w:r>
      <w:proofErr w:type="gramStart"/>
      <w:r>
        <w:t>either partnerships and</w:t>
      </w:r>
      <w:proofErr w:type="gramEnd"/>
      <w:r>
        <w:t xml:space="preserve"> large proprietorships, or through incorporation. In contrast continuous growth </w:t>
      </w:r>
      <w:r w:rsidR="003722F9">
        <w:t xml:space="preserve">of own account </w:t>
      </w:r>
      <w:r>
        <w:t xml:space="preserve">was most rapid in construction, retail, professions, and personal services where sole traders remained viable. For women, growth was rapid in retail, and less rapid in construction, manufacturing, professions, food sales, refreshment, and finance. Self-employment for females declined rapidly in farming, maker-dealing, personal service, and agricultural produce; </w:t>
      </w:r>
      <w:r w:rsidRPr="001A562F">
        <w:t>and for</w:t>
      </w:r>
      <w:r>
        <w:t xml:space="preserve"> food sales declined in 1911 after rising 1891-1901. </w:t>
      </w:r>
      <w:r w:rsidR="006F1AE8">
        <w:t>But even after these declines female business participation as own account is radically higher than previous</w:t>
      </w:r>
      <w:r w:rsidR="00C21022">
        <w:t>ly</w:t>
      </w:r>
      <w:r w:rsidR="006F1AE8">
        <w:t xml:space="preserve"> estimated.</w:t>
      </w:r>
    </w:p>
    <w:p w14:paraId="77BFA12A" w14:textId="77777777" w:rsidR="001E7990" w:rsidRDefault="001E7990" w:rsidP="002726CD">
      <w:pPr>
        <w:spacing w:line="360" w:lineRule="auto"/>
        <w:jc w:val="both"/>
      </w:pPr>
    </w:p>
    <w:p w14:paraId="0D96B37C" w14:textId="4FFD7B5D" w:rsidR="001E7990" w:rsidRDefault="001E7990" w:rsidP="002726CD">
      <w:pPr>
        <w:spacing w:line="360" w:lineRule="auto"/>
        <w:jc w:val="both"/>
      </w:pPr>
      <w:r>
        <w:t>Between 1901 and 1911 a shift appears occurred for both men and women in farming from own account to employer status</w:t>
      </w:r>
      <w:r w:rsidR="003722F9">
        <w:t>. This was a significant reversal of earlier trends.</w:t>
      </w:r>
      <w:r>
        <w:t xml:space="preserve"> </w:t>
      </w:r>
      <w:r w:rsidR="003722F9">
        <w:t>A similar shift occurred</w:t>
      </w:r>
      <w:r>
        <w:t xml:space="preserve"> for both genders in personal services and refreshment</w:t>
      </w:r>
      <w:r w:rsidR="003722F9">
        <w:t>, and</w:t>
      </w:r>
      <w:r>
        <w:t xml:space="preserve"> to a lesser extent for females in maker-dealing. But the most notable relative shift </w:t>
      </w:r>
      <w:r w:rsidRPr="00101372">
        <w:t xml:space="preserve">for women </w:t>
      </w:r>
      <w:r>
        <w:t xml:space="preserve">involving the greatest numbers was </w:t>
      </w:r>
      <w:r w:rsidRPr="00101372">
        <w:t xml:space="preserve">in refreshments </w:t>
      </w:r>
      <w:r>
        <w:t xml:space="preserve">where growth of employer numbers was twice the decline in own account: an already strongly feminised sector began to see an important shift towards larger scale </w:t>
      </w:r>
      <w:r w:rsidR="003722F9">
        <w:t xml:space="preserve">female-headed </w:t>
      </w:r>
      <w:r>
        <w:t>businesses that employed others, rather than individuals trading on a small scale often from the home. This has been previously observed previously, but only in a more limited way (</w:t>
      </w:r>
      <w:r w:rsidRPr="005E12C4">
        <w:t>Crossick</w:t>
      </w:r>
      <w:r>
        <w:t>, 1984).</w:t>
      </w:r>
    </w:p>
    <w:p w14:paraId="35BF411A" w14:textId="77777777" w:rsidR="00B8454C" w:rsidRDefault="00B8454C" w:rsidP="00B52D67">
      <w:pPr>
        <w:spacing w:line="360" w:lineRule="auto"/>
        <w:jc w:val="both"/>
        <w:rPr>
          <w:b/>
        </w:rPr>
        <w:sectPr w:rsidR="00B8454C" w:rsidSect="0001457C">
          <w:endnotePr>
            <w:numFmt w:val="decimal"/>
          </w:endnotePr>
          <w:pgSz w:w="11906" w:h="16838"/>
          <w:pgMar w:top="1134" w:right="1418" w:bottom="1191" w:left="1418" w:header="709" w:footer="709" w:gutter="0"/>
          <w:cols w:space="708"/>
          <w:docGrid w:linePitch="360"/>
        </w:sectPr>
      </w:pPr>
    </w:p>
    <w:p w14:paraId="1F498082" w14:textId="51188BFD" w:rsidR="001E7990" w:rsidRDefault="001E7990" w:rsidP="00B52D67">
      <w:pPr>
        <w:spacing w:line="360" w:lineRule="auto"/>
        <w:jc w:val="both"/>
        <w:rPr>
          <w:b/>
        </w:rPr>
      </w:pPr>
    </w:p>
    <w:p w14:paraId="0AC0A4E5" w14:textId="77777777" w:rsidR="00B8454C" w:rsidRPr="00B8454C" w:rsidRDefault="00B8454C" w:rsidP="00B8454C">
      <w:pPr>
        <w:spacing w:after="160" w:line="360" w:lineRule="auto"/>
        <w:jc w:val="both"/>
        <w:rPr>
          <w:rFonts w:ascii="Calibri" w:eastAsia="Calibri" w:hAnsi="Calibri" w:cs="Times New Roman"/>
          <w:sz w:val="22"/>
        </w:rPr>
      </w:pPr>
    </w:p>
    <w:tbl>
      <w:tblPr>
        <w:tblW w:w="13140" w:type="dxa"/>
        <w:tblCellMar>
          <w:left w:w="28" w:type="dxa"/>
          <w:right w:w="28" w:type="dxa"/>
        </w:tblCellMar>
        <w:tblLook w:val="04A0" w:firstRow="1" w:lastRow="0" w:firstColumn="1" w:lastColumn="0" w:noHBand="0" w:noVBand="1"/>
      </w:tblPr>
      <w:tblGrid>
        <w:gridCol w:w="4678"/>
        <w:gridCol w:w="782"/>
        <w:gridCol w:w="960"/>
        <w:gridCol w:w="960"/>
        <w:gridCol w:w="960"/>
        <w:gridCol w:w="960"/>
        <w:gridCol w:w="960"/>
        <w:gridCol w:w="960"/>
        <w:gridCol w:w="960"/>
        <w:gridCol w:w="960"/>
      </w:tblGrid>
      <w:tr w:rsidR="00B8454C" w:rsidRPr="00B8454C" w14:paraId="521DDE3B" w14:textId="77777777" w:rsidTr="00874EE0">
        <w:trPr>
          <w:trHeight w:val="330"/>
        </w:trPr>
        <w:tc>
          <w:tcPr>
            <w:tcW w:w="4678" w:type="dxa"/>
            <w:tcBorders>
              <w:top w:val="single" w:sz="8" w:space="0" w:color="auto"/>
              <w:left w:val="nil"/>
              <w:bottom w:val="nil"/>
              <w:right w:val="nil"/>
            </w:tcBorders>
            <w:shd w:val="clear" w:color="auto" w:fill="auto"/>
            <w:vAlign w:val="center"/>
            <w:hideMark/>
          </w:tcPr>
          <w:p w14:paraId="1B828B55" w14:textId="77777777" w:rsidR="00B8454C" w:rsidRPr="00B8454C" w:rsidRDefault="00B8454C" w:rsidP="00B8454C">
            <w:pPr>
              <w:jc w:val="center"/>
              <w:rPr>
                <w:rFonts w:eastAsia="Times New Roman" w:cs="Times New Roman"/>
                <w:b/>
                <w:bCs/>
                <w:color w:val="000000"/>
                <w:szCs w:val="24"/>
                <w:lang w:eastAsia="en-GB"/>
              </w:rPr>
            </w:pPr>
            <w:r w:rsidRPr="00B8454C">
              <w:rPr>
                <w:rFonts w:eastAsia="Times New Roman" w:cs="Times New Roman"/>
                <w:b/>
                <w:bCs/>
                <w:color w:val="000000"/>
                <w:szCs w:val="24"/>
                <w:lang w:eastAsia="en-GB"/>
              </w:rPr>
              <w:t>Sector</w:t>
            </w:r>
          </w:p>
        </w:tc>
        <w:tc>
          <w:tcPr>
            <w:tcW w:w="782" w:type="dxa"/>
            <w:tcBorders>
              <w:top w:val="single" w:sz="8" w:space="0" w:color="auto"/>
              <w:left w:val="nil"/>
              <w:bottom w:val="single" w:sz="8" w:space="0" w:color="auto"/>
              <w:right w:val="nil"/>
            </w:tcBorders>
            <w:shd w:val="clear" w:color="auto" w:fill="auto"/>
            <w:noWrap/>
            <w:vAlign w:val="bottom"/>
            <w:hideMark/>
          </w:tcPr>
          <w:p w14:paraId="7A2800CF" w14:textId="77777777" w:rsidR="00B8454C" w:rsidRPr="00B8454C" w:rsidRDefault="00B8454C" w:rsidP="00B8454C">
            <w:pP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6BB40998"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1891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4E10AEB"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786CDF91"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03C9A3C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1901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99DDF7D"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6893AD74"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04721C54"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1911</w:t>
            </w:r>
          </w:p>
        </w:tc>
        <w:tc>
          <w:tcPr>
            <w:tcW w:w="960" w:type="dxa"/>
            <w:tcBorders>
              <w:top w:val="single" w:sz="8" w:space="0" w:color="auto"/>
              <w:left w:val="nil"/>
              <w:bottom w:val="single" w:sz="8" w:space="0" w:color="auto"/>
              <w:right w:val="nil"/>
            </w:tcBorders>
            <w:shd w:val="clear" w:color="auto" w:fill="auto"/>
            <w:noWrap/>
            <w:vAlign w:val="bottom"/>
            <w:hideMark/>
          </w:tcPr>
          <w:p w14:paraId="28B5662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r>
      <w:tr w:rsidR="00B8454C" w:rsidRPr="00B8454C" w14:paraId="39DC11F6" w14:textId="77777777" w:rsidTr="00874EE0">
        <w:trPr>
          <w:trHeight w:val="330"/>
        </w:trPr>
        <w:tc>
          <w:tcPr>
            <w:tcW w:w="4678" w:type="dxa"/>
            <w:tcBorders>
              <w:top w:val="single" w:sz="8" w:space="0" w:color="auto"/>
              <w:left w:val="nil"/>
              <w:bottom w:val="nil"/>
              <w:right w:val="nil"/>
            </w:tcBorders>
            <w:shd w:val="clear" w:color="auto" w:fill="auto"/>
            <w:vAlign w:val="center"/>
            <w:hideMark/>
          </w:tcPr>
          <w:p w14:paraId="5EE3705F" w14:textId="77777777" w:rsidR="00B8454C" w:rsidRPr="00B8454C" w:rsidRDefault="00B8454C" w:rsidP="00B8454C">
            <w:pPr>
              <w:jc w:val="center"/>
              <w:rPr>
                <w:rFonts w:eastAsia="Times New Roman" w:cs="Times New Roman"/>
                <w:b/>
                <w:bCs/>
                <w:color w:val="000000"/>
                <w:szCs w:val="24"/>
                <w:lang w:eastAsia="en-GB"/>
              </w:rPr>
            </w:pPr>
            <w:r w:rsidRPr="00B8454C">
              <w:rPr>
                <w:rFonts w:eastAsia="Times New Roman" w:cs="Times New Roman"/>
                <w:b/>
                <w:bCs/>
                <w:color w:val="000000"/>
                <w:szCs w:val="24"/>
                <w:lang w:eastAsia="en-GB"/>
              </w:rPr>
              <w:t> </w:t>
            </w:r>
          </w:p>
        </w:tc>
        <w:tc>
          <w:tcPr>
            <w:tcW w:w="782" w:type="dxa"/>
            <w:tcBorders>
              <w:top w:val="nil"/>
              <w:left w:val="nil"/>
              <w:bottom w:val="single" w:sz="8" w:space="0" w:color="auto"/>
              <w:right w:val="nil"/>
            </w:tcBorders>
            <w:shd w:val="clear" w:color="auto" w:fill="auto"/>
            <w:noWrap/>
            <w:vAlign w:val="bottom"/>
            <w:hideMark/>
          </w:tcPr>
          <w:p w14:paraId="565ADEC7" w14:textId="77777777" w:rsidR="00B8454C" w:rsidRPr="00B8454C" w:rsidRDefault="00B8454C" w:rsidP="00B8454C">
            <w:pP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77215234"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545B93E5"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58458D89"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7F539656"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MALE</w:t>
            </w:r>
          </w:p>
        </w:tc>
        <w:tc>
          <w:tcPr>
            <w:tcW w:w="960" w:type="dxa"/>
            <w:tcBorders>
              <w:top w:val="nil"/>
              <w:left w:val="nil"/>
              <w:bottom w:val="single" w:sz="8" w:space="0" w:color="auto"/>
              <w:right w:val="nil"/>
            </w:tcBorders>
            <w:shd w:val="clear" w:color="auto" w:fill="auto"/>
            <w:noWrap/>
            <w:vAlign w:val="bottom"/>
            <w:hideMark/>
          </w:tcPr>
          <w:p w14:paraId="44BB4BB7"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605489AA"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263224F6"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6CC0C1EA"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r>
      <w:tr w:rsidR="00B8454C" w:rsidRPr="00B8454C" w14:paraId="742DE1B3" w14:textId="77777777" w:rsidTr="00874EE0">
        <w:trPr>
          <w:trHeight w:val="300"/>
        </w:trPr>
        <w:tc>
          <w:tcPr>
            <w:tcW w:w="4678" w:type="dxa"/>
            <w:tcBorders>
              <w:top w:val="nil"/>
              <w:left w:val="nil"/>
              <w:bottom w:val="nil"/>
              <w:right w:val="nil"/>
            </w:tcBorders>
            <w:shd w:val="clear" w:color="auto" w:fill="auto"/>
            <w:vAlign w:val="center"/>
            <w:hideMark/>
          </w:tcPr>
          <w:p w14:paraId="4AA9F032" w14:textId="77777777" w:rsidR="00B8454C" w:rsidRPr="00B8454C" w:rsidRDefault="00B8454C" w:rsidP="00B8454C">
            <w:pPr>
              <w:jc w:val="center"/>
              <w:rPr>
                <w:rFonts w:ascii="Calibri" w:eastAsia="Times New Roman" w:hAnsi="Calibri" w:cs="Times New Roman"/>
                <w:b/>
                <w:bCs/>
                <w:color w:val="000000"/>
                <w:sz w:val="22"/>
                <w:lang w:eastAsia="en-GB"/>
              </w:rPr>
            </w:pPr>
          </w:p>
        </w:tc>
        <w:tc>
          <w:tcPr>
            <w:tcW w:w="782" w:type="dxa"/>
            <w:tcBorders>
              <w:top w:val="nil"/>
              <w:left w:val="nil"/>
              <w:bottom w:val="nil"/>
              <w:right w:val="nil"/>
            </w:tcBorders>
            <w:shd w:val="clear" w:color="auto" w:fill="auto"/>
            <w:noWrap/>
            <w:vAlign w:val="bottom"/>
            <w:hideMark/>
          </w:tcPr>
          <w:p w14:paraId="7470823B"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1B4109F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29293928"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c>
          <w:tcPr>
            <w:tcW w:w="960" w:type="dxa"/>
            <w:tcBorders>
              <w:top w:val="nil"/>
              <w:left w:val="nil"/>
              <w:bottom w:val="nil"/>
              <w:right w:val="nil"/>
            </w:tcBorders>
            <w:shd w:val="clear" w:color="auto" w:fill="auto"/>
            <w:noWrap/>
            <w:vAlign w:val="bottom"/>
            <w:hideMark/>
          </w:tcPr>
          <w:p w14:paraId="2D826BE1"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7F7160FD"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3BA2CA56"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c>
          <w:tcPr>
            <w:tcW w:w="960" w:type="dxa"/>
            <w:tcBorders>
              <w:top w:val="nil"/>
              <w:left w:val="nil"/>
              <w:bottom w:val="nil"/>
              <w:right w:val="nil"/>
            </w:tcBorders>
            <w:shd w:val="clear" w:color="auto" w:fill="auto"/>
            <w:noWrap/>
            <w:vAlign w:val="bottom"/>
            <w:hideMark/>
          </w:tcPr>
          <w:p w14:paraId="6F392BF7"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7F58A40E"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069A9AB6"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r>
      <w:tr w:rsidR="00B8454C" w:rsidRPr="00B8454C" w14:paraId="1FA7B39D" w14:textId="77777777" w:rsidTr="00874EE0">
        <w:trPr>
          <w:trHeight w:val="300"/>
        </w:trPr>
        <w:tc>
          <w:tcPr>
            <w:tcW w:w="4678" w:type="dxa"/>
            <w:tcBorders>
              <w:top w:val="single" w:sz="8" w:space="0" w:color="auto"/>
              <w:left w:val="nil"/>
              <w:bottom w:val="nil"/>
              <w:right w:val="nil"/>
            </w:tcBorders>
            <w:shd w:val="clear" w:color="auto" w:fill="auto"/>
            <w:noWrap/>
            <w:vAlign w:val="center"/>
            <w:hideMark/>
          </w:tcPr>
          <w:p w14:paraId="1F3888F7"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Farming/estate work</w:t>
            </w:r>
          </w:p>
        </w:tc>
        <w:tc>
          <w:tcPr>
            <w:tcW w:w="782" w:type="dxa"/>
            <w:tcBorders>
              <w:top w:val="single" w:sz="8" w:space="0" w:color="auto"/>
              <w:left w:val="nil"/>
              <w:bottom w:val="nil"/>
              <w:right w:val="nil"/>
            </w:tcBorders>
            <w:shd w:val="clear" w:color="auto" w:fill="auto"/>
            <w:noWrap/>
            <w:vAlign w:val="bottom"/>
            <w:hideMark/>
          </w:tcPr>
          <w:p w14:paraId="56EB25C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94,154</w:t>
            </w:r>
          </w:p>
        </w:tc>
        <w:tc>
          <w:tcPr>
            <w:tcW w:w="960" w:type="dxa"/>
            <w:tcBorders>
              <w:top w:val="single" w:sz="8" w:space="0" w:color="auto"/>
              <w:left w:val="nil"/>
              <w:bottom w:val="nil"/>
              <w:right w:val="nil"/>
            </w:tcBorders>
            <w:shd w:val="clear" w:color="auto" w:fill="auto"/>
            <w:noWrap/>
            <w:vAlign w:val="bottom"/>
            <w:hideMark/>
          </w:tcPr>
          <w:p w14:paraId="1615FA8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93,567</w:t>
            </w:r>
          </w:p>
        </w:tc>
        <w:tc>
          <w:tcPr>
            <w:tcW w:w="960" w:type="dxa"/>
            <w:tcBorders>
              <w:top w:val="single" w:sz="8" w:space="0" w:color="auto"/>
              <w:left w:val="nil"/>
              <w:bottom w:val="nil"/>
              <w:right w:val="single" w:sz="8" w:space="0" w:color="auto"/>
            </w:tcBorders>
            <w:shd w:val="clear" w:color="auto" w:fill="auto"/>
            <w:noWrap/>
            <w:vAlign w:val="bottom"/>
            <w:hideMark/>
          </w:tcPr>
          <w:p w14:paraId="643994D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94,742</w:t>
            </w:r>
          </w:p>
        </w:tc>
        <w:tc>
          <w:tcPr>
            <w:tcW w:w="960" w:type="dxa"/>
            <w:tcBorders>
              <w:top w:val="single" w:sz="8" w:space="0" w:color="auto"/>
              <w:left w:val="nil"/>
              <w:bottom w:val="nil"/>
              <w:right w:val="nil"/>
            </w:tcBorders>
            <w:shd w:val="clear" w:color="auto" w:fill="auto"/>
            <w:noWrap/>
            <w:vAlign w:val="bottom"/>
            <w:hideMark/>
          </w:tcPr>
          <w:p w14:paraId="1010D17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112,296</w:t>
            </w:r>
          </w:p>
        </w:tc>
        <w:tc>
          <w:tcPr>
            <w:tcW w:w="960" w:type="dxa"/>
            <w:tcBorders>
              <w:top w:val="single" w:sz="8" w:space="0" w:color="auto"/>
              <w:left w:val="nil"/>
              <w:bottom w:val="nil"/>
              <w:right w:val="nil"/>
            </w:tcBorders>
            <w:shd w:val="clear" w:color="auto" w:fill="auto"/>
            <w:noWrap/>
            <w:vAlign w:val="bottom"/>
            <w:hideMark/>
          </w:tcPr>
          <w:p w14:paraId="7041247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111,669</w:t>
            </w:r>
          </w:p>
        </w:tc>
        <w:tc>
          <w:tcPr>
            <w:tcW w:w="960" w:type="dxa"/>
            <w:tcBorders>
              <w:top w:val="single" w:sz="8" w:space="0" w:color="auto"/>
              <w:left w:val="nil"/>
              <w:bottom w:val="nil"/>
              <w:right w:val="single" w:sz="8" w:space="0" w:color="auto"/>
            </w:tcBorders>
            <w:shd w:val="clear" w:color="auto" w:fill="auto"/>
            <w:noWrap/>
            <w:vAlign w:val="bottom"/>
            <w:hideMark/>
          </w:tcPr>
          <w:p w14:paraId="0E1FC4D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112,924</w:t>
            </w:r>
          </w:p>
        </w:tc>
        <w:tc>
          <w:tcPr>
            <w:tcW w:w="960" w:type="dxa"/>
            <w:tcBorders>
              <w:top w:val="single" w:sz="8" w:space="0" w:color="auto"/>
              <w:left w:val="nil"/>
              <w:bottom w:val="nil"/>
              <w:right w:val="nil"/>
            </w:tcBorders>
            <w:shd w:val="clear" w:color="auto" w:fill="auto"/>
            <w:noWrap/>
            <w:vAlign w:val="bottom"/>
            <w:hideMark/>
          </w:tcPr>
          <w:p w14:paraId="73CF3229"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111,962</w:t>
            </w:r>
          </w:p>
        </w:tc>
        <w:tc>
          <w:tcPr>
            <w:tcW w:w="960" w:type="dxa"/>
            <w:tcBorders>
              <w:top w:val="single" w:sz="8" w:space="0" w:color="auto"/>
              <w:left w:val="nil"/>
              <w:bottom w:val="nil"/>
              <w:right w:val="nil"/>
            </w:tcBorders>
            <w:shd w:val="clear" w:color="auto" w:fill="auto"/>
            <w:noWrap/>
            <w:vAlign w:val="bottom"/>
            <w:hideMark/>
          </w:tcPr>
          <w:p w14:paraId="6EC448B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111,329</w:t>
            </w:r>
          </w:p>
        </w:tc>
        <w:tc>
          <w:tcPr>
            <w:tcW w:w="960" w:type="dxa"/>
            <w:tcBorders>
              <w:top w:val="single" w:sz="8" w:space="0" w:color="auto"/>
              <w:left w:val="nil"/>
              <w:bottom w:val="nil"/>
              <w:right w:val="nil"/>
            </w:tcBorders>
            <w:shd w:val="clear" w:color="auto" w:fill="auto"/>
            <w:noWrap/>
            <w:vAlign w:val="bottom"/>
            <w:hideMark/>
          </w:tcPr>
          <w:p w14:paraId="7B26EEE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112,596</w:t>
            </w:r>
          </w:p>
        </w:tc>
      </w:tr>
      <w:tr w:rsidR="00B8454C" w:rsidRPr="00B8454C" w14:paraId="7FBA1CCA" w14:textId="77777777" w:rsidTr="00874EE0">
        <w:trPr>
          <w:trHeight w:val="315"/>
        </w:trPr>
        <w:tc>
          <w:tcPr>
            <w:tcW w:w="4678" w:type="dxa"/>
            <w:tcBorders>
              <w:top w:val="nil"/>
              <w:left w:val="nil"/>
              <w:bottom w:val="nil"/>
              <w:right w:val="nil"/>
            </w:tcBorders>
            <w:shd w:val="clear" w:color="auto" w:fill="auto"/>
            <w:noWrap/>
            <w:vAlign w:val="center"/>
            <w:hideMark/>
          </w:tcPr>
          <w:p w14:paraId="7FA26194"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Mining and quarrying</w:t>
            </w:r>
          </w:p>
        </w:tc>
        <w:tc>
          <w:tcPr>
            <w:tcW w:w="782" w:type="dxa"/>
            <w:tcBorders>
              <w:top w:val="nil"/>
              <w:left w:val="nil"/>
              <w:bottom w:val="nil"/>
              <w:right w:val="nil"/>
            </w:tcBorders>
            <w:shd w:val="clear" w:color="auto" w:fill="auto"/>
            <w:noWrap/>
            <w:vAlign w:val="bottom"/>
            <w:hideMark/>
          </w:tcPr>
          <w:p w14:paraId="138658E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3,066</w:t>
            </w:r>
          </w:p>
        </w:tc>
        <w:tc>
          <w:tcPr>
            <w:tcW w:w="960" w:type="dxa"/>
            <w:tcBorders>
              <w:top w:val="nil"/>
              <w:left w:val="nil"/>
              <w:bottom w:val="nil"/>
              <w:right w:val="nil"/>
            </w:tcBorders>
            <w:shd w:val="clear" w:color="auto" w:fill="auto"/>
            <w:noWrap/>
            <w:vAlign w:val="bottom"/>
            <w:hideMark/>
          </w:tcPr>
          <w:p w14:paraId="240DBD1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2,955</w:t>
            </w:r>
          </w:p>
        </w:tc>
        <w:tc>
          <w:tcPr>
            <w:tcW w:w="960" w:type="dxa"/>
            <w:tcBorders>
              <w:top w:val="nil"/>
              <w:left w:val="nil"/>
              <w:bottom w:val="nil"/>
              <w:right w:val="single" w:sz="8" w:space="0" w:color="auto"/>
            </w:tcBorders>
            <w:shd w:val="clear" w:color="auto" w:fill="auto"/>
            <w:noWrap/>
            <w:vAlign w:val="bottom"/>
            <w:hideMark/>
          </w:tcPr>
          <w:p w14:paraId="3E1BB1A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3,177</w:t>
            </w:r>
          </w:p>
        </w:tc>
        <w:tc>
          <w:tcPr>
            <w:tcW w:w="960" w:type="dxa"/>
            <w:tcBorders>
              <w:top w:val="nil"/>
              <w:left w:val="nil"/>
              <w:bottom w:val="nil"/>
              <w:right w:val="nil"/>
            </w:tcBorders>
            <w:shd w:val="clear" w:color="auto" w:fill="auto"/>
            <w:noWrap/>
            <w:vAlign w:val="bottom"/>
            <w:hideMark/>
          </w:tcPr>
          <w:p w14:paraId="477C655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4,260</w:t>
            </w:r>
          </w:p>
        </w:tc>
        <w:tc>
          <w:tcPr>
            <w:tcW w:w="960" w:type="dxa"/>
            <w:tcBorders>
              <w:top w:val="nil"/>
              <w:left w:val="nil"/>
              <w:bottom w:val="nil"/>
              <w:right w:val="nil"/>
            </w:tcBorders>
            <w:shd w:val="clear" w:color="auto" w:fill="auto"/>
            <w:noWrap/>
            <w:vAlign w:val="bottom"/>
            <w:hideMark/>
          </w:tcPr>
          <w:p w14:paraId="0A494BA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4,126</w:t>
            </w:r>
          </w:p>
        </w:tc>
        <w:tc>
          <w:tcPr>
            <w:tcW w:w="960" w:type="dxa"/>
            <w:tcBorders>
              <w:top w:val="nil"/>
              <w:left w:val="nil"/>
              <w:bottom w:val="nil"/>
              <w:right w:val="single" w:sz="8" w:space="0" w:color="auto"/>
            </w:tcBorders>
            <w:shd w:val="clear" w:color="auto" w:fill="auto"/>
            <w:noWrap/>
            <w:vAlign w:val="bottom"/>
            <w:hideMark/>
          </w:tcPr>
          <w:p w14:paraId="38E7CEE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4,393</w:t>
            </w:r>
          </w:p>
        </w:tc>
        <w:tc>
          <w:tcPr>
            <w:tcW w:w="960" w:type="dxa"/>
            <w:tcBorders>
              <w:top w:val="nil"/>
              <w:left w:val="nil"/>
              <w:bottom w:val="nil"/>
              <w:right w:val="nil"/>
            </w:tcBorders>
            <w:shd w:val="clear" w:color="auto" w:fill="auto"/>
            <w:noWrap/>
            <w:vAlign w:val="bottom"/>
            <w:hideMark/>
          </w:tcPr>
          <w:p w14:paraId="2FF89B0E"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4,560</w:t>
            </w:r>
          </w:p>
        </w:tc>
        <w:tc>
          <w:tcPr>
            <w:tcW w:w="960" w:type="dxa"/>
            <w:tcBorders>
              <w:top w:val="nil"/>
              <w:left w:val="nil"/>
              <w:bottom w:val="nil"/>
              <w:right w:val="nil"/>
            </w:tcBorders>
            <w:shd w:val="clear" w:color="auto" w:fill="auto"/>
            <w:noWrap/>
            <w:vAlign w:val="bottom"/>
            <w:hideMark/>
          </w:tcPr>
          <w:p w14:paraId="6F61319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4,421</w:t>
            </w:r>
          </w:p>
        </w:tc>
        <w:tc>
          <w:tcPr>
            <w:tcW w:w="960" w:type="dxa"/>
            <w:tcBorders>
              <w:top w:val="nil"/>
              <w:left w:val="nil"/>
              <w:bottom w:val="nil"/>
              <w:right w:val="nil"/>
            </w:tcBorders>
            <w:shd w:val="clear" w:color="auto" w:fill="auto"/>
            <w:noWrap/>
            <w:vAlign w:val="bottom"/>
            <w:hideMark/>
          </w:tcPr>
          <w:p w14:paraId="7EB84EF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4,699</w:t>
            </w:r>
          </w:p>
        </w:tc>
      </w:tr>
      <w:tr w:rsidR="00B8454C" w:rsidRPr="00B8454C" w14:paraId="4594EC55" w14:textId="77777777" w:rsidTr="00874EE0">
        <w:trPr>
          <w:trHeight w:val="315"/>
        </w:trPr>
        <w:tc>
          <w:tcPr>
            <w:tcW w:w="4678" w:type="dxa"/>
            <w:tcBorders>
              <w:top w:val="nil"/>
              <w:left w:val="nil"/>
              <w:bottom w:val="nil"/>
              <w:right w:val="nil"/>
            </w:tcBorders>
            <w:shd w:val="clear" w:color="auto" w:fill="auto"/>
            <w:noWrap/>
            <w:vAlign w:val="center"/>
            <w:hideMark/>
          </w:tcPr>
          <w:p w14:paraId="21EF611A"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Construction</w:t>
            </w:r>
          </w:p>
        </w:tc>
        <w:tc>
          <w:tcPr>
            <w:tcW w:w="782" w:type="dxa"/>
            <w:tcBorders>
              <w:top w:val="nil"/>
              <w:left w:val="nil"/>
              <w:bottom w:val="nil"/>
              <w:right w:val="nil"/>
            </w:tcBorders>
            <w:shd w:val="clear" w:color="auto" w:fill="auto"/>
            <w:noWrap/>
            <w:vAlign w:val="bottom"/>
            <w:hideMark/>
          </w:tcPr>
          <w:p w14:paraId="776CF5B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49,646</w:t>
            </w:r>
          </w:p>
        </w:tc>
        <w:tc>
          <w:tcPr>
            <w:tcW w:w="960" w:type="dxa"/>
            <w:tcBorders>
              <w:top w:val="nil"/>
              <w:left w:val="nil"/>
              <w:bottom w:val="nil"/>
              <w:right w:val="nil"/>
            </w:tcBorders>
            <w:shd w:val="clear" w:color="auto" w:fill="auto"/>
            <w:noWrap/>
            <w:vAlign w:val="bottom"/>
            <w:hideMark/>
          </w:tcPr>
          <w:p w14:paraId="2A1A599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49,216</w:t>
            </w:r>
          </w:p>
        </w:tc>
        <w:tc>
          <w:tcPr>
            <w:tcW w:w="960" w:type="dxa"/>
            <w:tcBorders>
              <w:top w:val="nil"/>
              <w:left w:val="nil"/>
              <w:bottom w:val="nil"/>
              <w:right w:val="single" w:sz="8" w:space="0" w:color="auto"/>
            </w:tcBorders>
            <w:shd w:val="clear" w:color="auto" w:fill="auto"/>
            <w:noWrap/>
            <w:vAlign w:val="bottom"/>
            <w:hideMark/>
          </w:tcPr>
          <w:p w14:paraId="4FEB20F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50,076</w:t>
            </w:r>
          </w:p>
        </w:tc>
        <w:tc>
          <w:tcPr>
            <w:tcW w:w="960" w:type="dxa"/>
            <w:tcBorders>
              <w:top w:val="nil"/>
              <w:left w:val="nil"/>
              <w:bottom w:val="nil"/>
              <w:right w:val="nil"/>
            </w:tcBorders>
            <w:shd w:val="clear" w:color="auto" w:fill="auto"/>
            <w:noWrap/>
            <w:vAlign w:val="bottom"/>
            <w:hideMark/>
          </w:tcPr>
          <w:p w14:paraId="0A5C5EE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59,007</w:t>
            </w:r>
          </w:p>
        </w:tc>
        <w:tc>
          <w:tcPr>
            <w:tcW w:w="960" w:type="dxa"/>
            <w:tcBorders>
              <w:top w:val="nil"/>
              <w:left w:val="nil"/>
              <w:bottom w:val="nil"/>
              <w:right w:val="nil"/>
            </w:tcBorders>
            <w:shd w:val="clear" w:color="auto" w:fill="auto"/>
            <w:noWrap/>
            <w:vAlign w:val="bottom"/>
            <w:hideMark/>
          </w:tcPr>
          <w:p w14:paraId="14B2709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58,543</w:t>
            </w:r>
          </w:p>
        </w:tc>
        <w:tc>
          <w:tcPr>
            <w:tcW w:w="960" w:type="dxa"/>
            <w:tcBorders>
              <w:top w:val="nil"/>
              <w:left w:val="nil"/>
              <w:bottom w:val="nil"/>
              <w:right w:val="single" w:sz="8" w:space="0" w:color="auto"/>
            </w:tcBorders>
            <w:shd w:val="clear" w:color="auto" w:fill="auto"/>
            <w:noWrap/>
            <w:vAlign w:val="bottom"/>
            <w:hideMark/>
          </w:tcPr>
          <w:p w14:paraId="1C96C13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59,471</w:t>
            </w:r>
          </w:p>
        </w:tc>
        <w:tc>
          <w:tcPr>
            <w:tcW w:w="960" w:type="dxa"/>
            <w:tcBorders>
              <w:top w:val="nil"/>
              <w:left w:val="nil"/>
              <w:bottom w:val="nil"/>
              <w:right w:val="nil"/>
            </w:tcBorders>
            <w:shd w:val="clear" w:color="auto" w:fill="auto"/>
            <w:noWrap/>
            <w:vAlign w:val="bottom"/>
            <w:hideMark/>
          </w:tcPr>
          <w:p w14:paraId="5E7F9C8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63,182</w:t>
            </w:r>
          </w:p>
        </w:tc>
        <w:tc>
          <w:tcPr>
            <w:tcW w:w="960" w:type="dxa"/>
            <w:tcBorders>
              <w:top w:val="nil"/>
              <w:left w:val="nil"/>
              <w:bottom w:val="nil"/>
              <w:right w:val="nil"/>
            </w:tcBorders>
            <w:shd w:val="clear" w:color="auto" w:fill="auto"/>
            <w:noWrap/>
            <w:vAlign w:val="bottom"/>
            <w:hideMark/>
          </w:tcPr>
          <w:p w14:paraId="60A47AF9"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62,702</w:t>
            </w:r>
          </w:p>
        </w:tc>
        <w:tc>
          <w:tcPr>
            <w:tcW w:w="960" w:type="dxa"/>
            <w:tcBorders>
              <w:top w:val="nil"/>
              <w:left w:val="nil"/>
              <w:bottom w:val="nil"/>
              <w:right w:val="nil"/>
            </w:tcBorders>
            <w:shd w:val="clear" w:color="auto" w:fill="auto"/>
            <w:noWrap/>
            <w:vAlign w:val="bottom"/>
            <w:hideMark/>
          </w:tcPr>
          <w:p w14:paraId="210E887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63,662</w:t>
            </w:r>
          </w:p>
        </w:tc>
      </w:tr>
      <w:tr w:rsidR="00B8454C" w:rsidRPr="00B8454C" w14:paraId="5F1A76E8" w14:textId="77777777" w:rsidTr="00874EE0">
        <w:trPr>
          <w:trHeight w:val="315"/>
        </w:trPr>
        <w:tc>
          <w:tcPr>
            <w:tcW w:w="4678" w:type="dxa"/>
            <w:tcBorders>
              <w:top w:val="nil"/>
              <w:left w:val="nil"/>
              <w:bottom w:val="nil"/>
              <w:right w:val="nil"/>
            </w:tcBorders>
            <w:shd w:val="clear" w:color="auto" w:fill="auto"/>
            <w:noWrap/>
            <w:vAlign w:val="center"/>
            <w:hideMark/>
          </w:tcPr>
          <w:p w14:paraId="7D3B42D4"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Manufacturing</w:t>
            </w:r>
          </w:p>
        </w:tc>
        <w:tc>
          <w:tcPr>
            <w:tcW w:w="782" w:type="dxa"/>
            <w:tcBorders>
              <w:top w:val="nil"/>
              <w:left w:val="nil"/>
              <w:bottom w:val="nil"/>
              <w:right w:val="nil"/>
            </w:tcBorders>
            <w:shd w:val="clear" w:color="auto" w:fill="auto"/>
            <w:noWrap/>
            <w:vAlign w:val="bottom"/>
            <w:hideMark/>
          </w:tcPr>
          <w:p w14:paraId="657FC9EE"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47,859</w:t>
            </w:r>
          </w:p>
        </w:tc>
        <w:tc>
          <w:tcPr>
            <w:tcW w:w="960" w:type="dxa"/>
            <w:tcBorders>
              <w:top w:val="nil"/>
              <w:left w:val="nil"/>
              <w:bottom w:val="nil"/>
              <w:right w:val="nil"/>
            </w:tcBorders>
            <w:shd w:val="clear" w:color="auto" w:fill="auto"/>
            <w:noWrap/>
            <w:vAlign w:val="bottom"/>
            <w:hideMark/>
          </w:tcPr>
          <w:p w14:paraId="7272A6A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47,435</w:t>
            </w:r>
          </w:p>
        </w:tc>
        <w:tc>
          <w:tcPr>
            <w:tcW w:w="960" w:type="dxa"/>
            <w:tcBorders>
              <w:top w:val="nil"/>
              <w:left w:val="nil"/>
              <w:bottom w:val="nil"/>
              <w:right w:val="single" w:sz="8" w:space="0" w:color="auto"/>
            </w:tcBorders>
            <w:shd w:val="clear" w:color="auto" w:fill="auto"/>
            <w:noWrap/>
            <w:vAlign w:val="bottom"/>
            <w:hideMark/>
          </w:tcPr>
          <w:p w14:paraId="3370EDF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48,282</w:t>
            </w:r>
          </w:p>
        </w:tc>
        <w:tc>
          <w:tcPr>
            <w:tcW w:w="960" w:type="dxa"/>
            <w:tcBorders>
              <w:top w:val="nil"/>
              <w:left w:val="nil"/>
              <w:bottom w:val="nil"/>
              <w:right w:val="nil"/>
            </w:tcBorders>
            <w:shd w:val="clear" w:color="auto" w:fill="auto"/>
            <w:noWrap/>
            <w:vAlign w:val="bottom"/>
            <w:hideMark/>
          </w:tcPr>
          <w:p w14:paraId="0E6558A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54,144</w:t>
            </w:r>
          </w:p>
        </w:tc>
        <w:tc>
          <w:tcPr>
            <w:tcW w:w="960" w:type="dxa"/>
            <w:tcBorders>
              <w:top w:val="nil"/>
              <w:left w:val="nil"/>
              <w:bottom w:val="nil"/>
              <w:right w:val="nil"/>
            </w:tcBorders>
            <w:shd w:val="clear" w:color="auto" w:fill="auto"/>
            <w:noWrap/>
            <w:vAlign w:val="bottom"/>
            <w:hideMark/>
          </w:tcPr>
          <w:p w14:paraId="6105A15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53,695</w:t>
            </w:r>
          </w:p>
        </w:tc>
        <w:tc>
          <w:tcPr>
            <w:tcW w:w="960" w:type="dxa"/>
            <w:tcBorders>
              <w:top w:val="nil"/>
              <w:left w:val="nil"/>
              <w:bottom w:val="nil"/>
              <w:right w:val="single" w:sz="8" w:space="0" w:color="auto"/>
            </w:tcBorders>
            <w:shd w:val="clear" w:color="auto" w:fill="auto"/>
            <w:noWrap/>
            <w:vAlign w:val="bottom"/>
            <w:hideMark/>
          </w:tcPr>
          <w:p w14:paraId="300AFDF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54,594</w:t>
            </w:r>
          </w:p>
        </w:tc>
        <w:tc>
          <w:tcPr>
            <w:tcW w:w="960" w:type="dxa"/>
            <w:tcBorders>
              <w:top w:val="nil"/>
              <w:left w:val="nil"/>
              <w:bottom w:val="nil"/>
              <w:right w:val="nil"/>
            </w:tcBorders>
            <w:shd w:val="clear" w:color="auto" w:fill="auto"/>
            <w:noWrap/>
            <w:vAlign w:val="bottom"/>
            <w:hideMark/>
          </w:tcPr>
          <w:p w14:paraId="30BEB10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52,103</w:t>
            </w:r>
          </w:p>
        </w:tc>
        <w:tc>
          <w:tcPr>
            <w:tcW w:w="960" w:type="dxa"/>
            <w:tcBorders>
              <w:top w:val="nil"/>
              <w:left w:val="nil"/>
              <w:bottom w:val="nil"/>
              <w:right w:val="nil"/>
            </w:tcBorders>
            <w:shd w:val="clear" w:color="auto" w:fill="auto"/>
            <w:noWrap/>
            <w:vAlign w:val="bottom"/>
            <w:hideMark/>
          </w:tcPr>
          <w:p w14:paraId="1E99EC0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51,632</w:t>
            </w:r>
          </w:p>
        </w:tc>
        <w:tc>
          <w:tcPr>
            <w:tcW w:w="960" w:type="dxa"/>
            <w:tcBorders>
              <w:top w:val="nil"/>
              <w:left w:val="nil"/>
              <w:bottom w:val="nil"/>
              <w:right w:val="nil"/>
            </w:tcBorders>
            <w:shd w:val="clear" w:color="auto" w:fill="auto"/>
            <w:noWrap/>
            <w:vAlign w:val="bottom"/>
            <w:hideMark/>
          </w:tcPr>
          <w:p w14:paraId="1201836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52,574</w:t>
            </w:r>
          </w:p>
        </w:tc>
      </w:tr>
      <w:tr w:rsidR="00B8454C" w:rsidRPr="00B8454C" w14:paraId="08C14D8C" w14:textId="77777777" w:rsidTr="00874EE0">
        <w:trPr>
          <w:trHeight w:val="315"/>
        </w:trPr>
        <w:tc>
          <w:tcPr>
            <w:tcW w:w="4678" w:type="dxa"/>
            <w:tcBorders>
              <w:top w:val="nil"/>
              <w:left w:val="nil"/>
              <w:bottom w:val="nil"/>
              <w:right w:val="nil"/>
            </w:tcBorders>
            <w:shd w:val="clear" w:color="auto" w:fill="auto"/>
            <w:noWrap/>
            <w:vAlign w:val="center"/>
            <w:hideMark/>
          </w:tcPr>
          <w:p w14:paraId="15508B7C"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Maker-dealer</w:t>
            </w:r>
          </w:p>
        </w:tc>
        <w:tc>
          <w:tcPr>
            <w:tcW w:w="782" w:type="dxa"/>
            <w:tcBorders>
              <w:top w:val="nil"/>
              <w:left w:val="nil"/>
              <w:bottom w:val="nil"/>
              <w:right w:val="nil"/>
            </w:tcBorders>
            <w:shd w:val="clear" w:color="auto" w:fill="auto"/>
            <w:noWrap/>
            <w:vAlign w:val="bottom"/>
            <w:hideMark/>
          </w:tcPr>
          <w:p w14:paraId="4E03C86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111,127</w:t>
            </w:r>
          </w:p>
        </w:tc>
        <w:tc>
          <w:tcPr>
            <w:tcW w:w="960" w:type="dxa"/>
            <w:tcBorders>
              <w:top w:val="nil"/>
              <w:left w:val="nil"/>
              <w:bottom w:val="nil"/>
              <w:right w:val="nil"/>
            </w:tcBorders>
            <w:shd w:val="clear" w:color="auto" w:fill="auto"/>
            <w:noWrap/>
            <w:vAlign w:val="bottom"/>
            <w:hideMark/>
          </w:tcPr>
          <w:p w14:paraId="022CAFCE"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110,517</w:t>
            </w:r>
          </w:p>
        </w:tc>
        <w:tc>
          <w:tcPr>
            <w:tcW w:w="960" w:type="dxa"/>
            <w:tcBorders>
              <w:top w:val="nil"/>
              <w:left w:val="nil"/>
              <w:bottom w:val="nil"/>
              <w:right w:val="single" w:sz="8" w:space="0" w:color="auto"/>
            </w:tcBorders>
            <w:shd w:val="clear" w:color="auto" w:fill="auto"/>
            <w:noWrap/>
            <w:vAlign w:val="bottom"/>
            <w:hideMark/>
          </w:tcPr>
          <w:p w14:paraId="076119C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111,736</w:t>
            </w:r>
          </w:p>
        </w:tc>
        <w:tc>
          <w:tcPr>
            <w:tcW w:w="960" w:type="dxa"/>
            <w:tcBorders>
              <w:top w:val="nil"/>
              <w:left w:val="nil"/>
              <w:bottom w:val="nil"/>
              <w:right w:val="nil"/>
            </w:tcBorders>
            <w:shd w:val="clear" w:color="auto" w:fill="auto"/>
            <w:noWrap/>
            <w:vAlign w:val="bottom"/>
            <w:hideMark/>
          </w:tcPr>
          <w:p w14:paraId="332693A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120,969</w:t>
            </w:r>
          </w:p>
        </w:tc>
        <w:tc>
          <w:tcPr>
            <w:tcW w:w="960" w:type="dxa"/>
            <w:tcBorders>
              <w:top w:val="nil"/>
              <w:left w:val="nil"/>
              <w:bottom w:val="nil"/>
              <w:right w:val="nil"/>
            </w:tcBorders>
            <w:shd w:val="clear" w:color="auto" w:fill="auto"/>
            <w:noWrap/>
            <w:vAlign w:val="bottom"/>
            <w:hideMark/>
          </w:tcPr>
          <w:p w14:paraId="69FB4C8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120,336</w:t>
            </w:r>
          </w:p>
        </w:tc>
        <w:tc>
          <w:tcPr>
            <w:tcW w:w="960" w:type="dxa"/>
            <w:tcBorders>
              <w:top w:val="nil"/>
              <w:left w:val="nil"/>
              <w:bottom w:val="nil"/>
              <w:right w:val="single" w:sz="8" w:space="0" w:color="auto"/>
            </w:tcBorders>
            <w:shd w:val="clear" w:color="auto" w:fill="auto"/>
            <w:noWrap/>
            <w:vAlign w:val="bottom"/>
            <w:hideMark/>
          </w:tcPr>
          <w:p w14:paraId="68B3534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121,602</w:t>
            </w:r>
          </w:p>
        </w:tc>
        <w:tc>
          <w:tcPr>
            <w:tcW w:w="960" w:type="dxa"/>
            <w:tcBorders>
              <w:top w:val="nil"/>
              <w:left w:val="nil"/>
              <w:bottom w:val="nil"/>
              <w:right w:val="nil"/>
            </w:tcBorders>
            <w:shd w:val="clear" w:color="auto" w:fill="auto"/>
            <w:noWrap/>
            <w:vAlign w:val="bottom"/>
            <w:hideMark/>
          </w:tcPr>
          <w:p w14:paraId="428DF15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107,764</w:t>
            </w:r>
          </w:p>
        </w:tc>
        <w:tc>
          <w:tcPr>
            <w:tcW w:w="960" w:type="dxa"/>
            <w:tcBorders>
              <w:top w:val="nil"/>
              <w:left w:val="nil"/>
              <w:bottom w:val="nil"/>
              <w:right w:val="nil"/>
            </w:tcBorders>
            <w:shd w:val="clear" w:color="auto" w:fill="auto"/>
            <w:noWrap/>
            <w:vAlign w:val="bottom"/>
            <w:hideMark/>
          </w:tcPr>
          <w:p w14:paraId="5A70020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107,160</w:t>
            </w:r>
          </w:p>
        </w:tc>
        <w:tc>
          <w:tcPr>
            <w:tcW w:w="960" w:type="dxa"/>
            <w:tcBorders>
              <w:top w:val="nil"/>
              <w:left w:val="nil"/>
              <w:bottom w:val="nil"/>
              <w:right w:val="nil"/>
            </w:tcBorders>
            <w:shd w:val="clear" w:color="auto" w:fill="auto"/>
            <w:noWrap/>
            <w:vAlign w:val="bottom"/>
            <w:hideMark/>
          </w:tcPr>
          <w:p w14:paraId="160995B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108,368</w:t>
            </w:r>
          </w:p>
        </w:tc>
      </w:tr>
      <w:tr w:rsidR="00B8454C" w:rsidRPr="00B8454C" w14:paraId="12D4F4EF" w14:textId="77777777" w:rsidTr="00874EE0">
        <w:trPr>
          <w:trHeight w:val="315"/>
        </w:trPr>
        <w:tc>
          <w:tcPr>
            <w:tcW w:w="4678" w:type="dxa"/>
            <w:tcBorders>
              <w:top w:val="nil"/>
              <w:left w:val="nil"/>
              <w:bottom w:val="nil"/>
              <w:right w:val="nil"/>
            </w:tcBorders>
            <w:shd w:val="clear" w:color="auto" w:fill="auto"/>
            <w:noWrap/>
            <w:vAlign w:val="center"/>
            <w:hideMark/>
          </w:tcPr>
          <w:p w14:paraId="7AC8B2F2"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Retail</w:t>
            </w:r>
          </w:p>
        </w:tc>
        <w:tc>
          <w:tcPr>
            <w:tcW w:w="782" w:type="dxa"/>
            <w:tcBorders>
              <w:top w:val="nil"/>
              <w:left w:val="nil"/>
              <w:bottom w:val="nil"/>
              <w:right w:val="nil"/>
            </w:tcBorders>
            <w:shd w:val="clear" w:color="auto" w:fill="auto"/>
            <w:noWrap/>
            <w:vAlign w:val="bottom"/>
            <w:hideMark/>
          </w:tcPr>
          <w:p w14:paraId="0085EBD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43,167</w:t>
            </w:r>
          </w:p>
        </w:tc>
        <w:tc>
          <w:tcPr>
            <w:tcW w:w="960" w:type="dxa"/>
            <w:tcBorders>
              <w:top w:val="nil"/>
              <w:left w:val="nil"/>
              <w:bottom w:val="nil"/>
              <w:right w:val="nil"/>
            </w:tcBorders>
            <w:shd w:val="clear" w:color="auto" w:fill="auto"/>
            <w:noWrap/>
            <w:vAlign w:val="bottom"/>
            <w:hideMark/>
          </w:tcPr>
          <w:p w14:paraId="2CB68A8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42,760</w:t>
            </w:r>
          </w:p>
        </w:tc>
        <w:tc>
          <w:tcPr>
            <w:tcW w:w="960" w:type="dxa"/>
            <w:tcBorders>
              <w:top w:val="nil"/>
              <w:left w:val="nil"/>
              <w:bottom w:val="nil"/>
              <w:right w:val="single" w:sz="8" w:space="0" w:color="auto"/>
            </w:tcBorders>
            <w:shd w:val="clear" w:color="auto" w:fill="auto"/>
            <w:noWrap/>
            <w:vAlign w:val="bottom"/>
            <w:hideMark/>
          </w:tcPr>
          <w:p w14:paraId="71ED1F9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43,574</w:t>
            </w:r>
          </w:p>
        </w:tc>
        <w:tc>
          <w:tcPr>
            <w:tcW w:w="960" w:type="dxa"/>
            <w:tcBorders>
              <w:top w:val="nil"/>
              <w:left w:val="nil"/>
              <w:bottom w:val="nil"/>
              <w:right w:val="nil"/>
            </w:tcBorders>
            <w:shd w:val="clear" w:color="auto" w:fill="auto"/>
            <w:noWrap/>
            <w:vAlign w:val="bottom"/>
            <w:hideMark/>
          </w:tcPr>
          <w:p w14:paraId="30E1617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51,590</w:t>
            </w:r>
          </w:p>
        </w:tc>
        <w:tc>
          <w:tcPr>
            <w:tcW w:w="960" w:type="dxa"/>
            <w:tcBorders>
              <w:top w:val="nil"/>
              <w:left w:val="nil"/>
              <w:bottom w:val="nil"/>
              <w:right w:val="nil"/>
            </w:tcBorders>
            <w:shd w:val="clear" w:color="auto" w:fill="auto"/>
            <w:noWrap/>
            <w:vAlign w:val="bottom"/>
            <w:hideMark/>
          </w:tcPr>
          <w:p w14:paraId="5166169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51,151</w:t>
            </w:r>
          </w:p>
        </w:tc>
        <w:tc>
          <w:tcPr>
            <w:tcW w:w="960" w:type="dxa"/>
            <w:tcBorders>
              <w:top w:val="nil"/>
              <w:left w:val="nil"/>
              <w:bottom w:val="nil"/>
              <w:right w:val="single" w:sz="8" w:space="0" w:color="auto"/>
            </w:tcBorders>
            <w:shd w:val="clear" w:color="auto" w:fill="auto"/>
            <w:noWrap/>
            <w:vAlign w:val="bottom"/>
            <w:hideMark/>
          </w:tcPr>
          <w:p w14:paraId="547D3CF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52,029</w:t>
            </w:r>
          </w:p>
        </w:tc>
        <w:tc>
          <w:tcPr>
            <w:tcW w:w="960" w:type="dxa"/>
            <w:tcBorders>
              <w:top w:val="nil"/>
              <w:left w:val="nil"/>
              <w:bottom w:val="nil"/>
              <w:right w:val="nil"/>
            </w:tcBorders>
            <w:shd w:val="clear" w:color="auto" w:fill="auto"/>
            <w:noWrap/>
            <w:vAlign w:val="bottom"/>
            <w:hideMark/>
          </w:tcPr>
          <w:p w14:paraId="63991D68"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61,884</w:t>
            </w:r>
          </w:p>
        </w:tc>
        <w:tc>
          <w:tcPr>
            <w:tcW w:w="960" w:type="dxa"/>
            <w:tcBorders>
              <w:top w:val="nil"/>
              <w:left w:val="nil"/>
              <w:bottom w:val="nil"/>
              <w:right w:val="nil"/>
            </w:tcBorders>
            <w:shd w:val="clear" w:color="auto" w:fill="auto"/>
            <w:noWrap/>
            <w:vAlign w:val="bottom"/>
            <w:hideMark/>
          </w:tcPr>
          <w:p w14:paraId="040A0FC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61,404</w:t>
            </w:r>
          </w:p>
        </w:tc>
        <w:tc>
          <w:tcPr>
            <w:tcW w:w="960" w:type="dxa"/>
            <w:tcBorders>
              <w:top w:val="nil"/>
              <w:left w:val="nil"/>
              <w:bottom w:val="nil"/>
              <w:right w:val="nil"/>
            </w:tcBorders>
            <w:shd w:val="clear" w:color="auto" w:fill="auto"/>
            <w:noWrap/>
            <w:vAlign w:val="bottom"/>
            <w:hideMark/>
          </w:tcPr>
          <w:p w14:paraId="110BF57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62,364</w:t>
            </w:r>
          </w:p>
        </w:tc>
      </w:tr>
      <w:tr w:rsidR="00B8454C" w:rsidRPr="00B8454C" w14:paraId="317D76BA" w14:textId="77777777" w:rsidTr="00874EE0">
        <w:trPr>
          <w:trHeight w:val="315"/>
        </w:trPr>
        <w:tc>
          <w:tcPr>
            <w:tcW w:w="4678" w:type="dxa"/>
            <w:tcBorders>
              <w:top w:val="nil"/>
              <w:left w:val="nil"/>
              <w:bottom w:val="nil"/>
              <w:right w:val="nil"/>
            </w:tcBorders>
            <w:shd w:val="clear" w:color="auto" w:fill="auto"/>
            <w:noWrap/>
            <w:vAlign w:val="center"/>
            <w:hideMark/>
          </w:tcPr>
          <w:p w14:paraId="0EC51D5D"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Transport</w:t>
            </w:r>
          </w:p>
        </w:tc>
        <w:tc>
          <w:tcPr>
            <w:tcW w:w="782" w:type="dxa"/>
            <w:tcBorders>
              <w:top w:val="nil"/>
              <w:left w:val="nil"/>
              <w:bottom w:val="nil"/>
              <w:right w:val="nil"/>
            </w:tcBorders>
            <w:shd w:val="clear" w:color="auto" w:fill="auto"/>
            <w:noWrap/>
            <w:vAlign w:val="bottom"/>
            <w:hideMark/>
          </w:tcPr>
          <w:p w14:paraId="3B04368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25,249</w:t>
            </w:r>
          </w:p>
        </w:tc>
        <w:tc>
          <w:tcPr>
            <w:tcW w:w="960" w:type="dxa"/>
            <w:tcBorders>
              <w:top w:val="nil"/>
              <w:left w:val="nil"/>
              <w:bottom w:val="nil"/>
              <w:right w:val="nil"/>
            </w:tcBorders>
            <w:shd w:val="clear" w:color="auto" w:fill="auto"/>
            <w:noWrap/>
            <w:vAlign w:val="bottom"/>
            <w:hideMark/>
          </w:tcPr>
          <w:p w14:paraId="2BACA64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24,928</w:t>
            </w:r>
          </w:p>
        </w:tc>
        <w:tc>
          <w:tcPr>
            <w:tcW w:w="960" w:type="dxa"/>
            <w:tcBorders>
              <w:top w:val="nil"/>
              <w:left w:val="nil"/>
              <w:bottom w:val="nil"/>
              <w:right w:val="single" w:sz="8" w:space="0" w:color="auto"/>
            </w:tcBorders>
            <w:shd w:val="clear" w:color="auto" w:fill="auto"/>
            <w:noWrap/>
            <w:vAlign w:val="bottom"/>
            <w:hideMark/>
          </w:tcPr>
          <w:p w14:paraId="19746F81"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25,570</w:t>
            </w:r>
          </w:p>
        </w:tc>
        <w:tc>
          <w:tcPr>
            <w:tcW w:w="960" w:type="dxa"/>
            <w:tcBorders>
              <w:top w:val="nil"/>
              <w:left w:val="nil"/>
              <w:bottom w:val="nil"/>
              <w:right w:val="nil"/>
            </w:tcBorders>
            <w:shd w:val="clear" w:color="auto" w:fill="auto"/>
            <w:noWrap/>
            <w:vAlign w:val="bottom"/>
            <w:hideMark/>
          </w:tcPr>
          <w:p w14:paraId="22E65CB1"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28,903</w:t>
            </w:r>
          </w:p>
        </w:tc>
        <w:tc>
          <w:tcPr>
            <w:tcW w:w="960" w:type="dxa"/>
            <w:tcBorders>
              <w:top w:val="nil"/>
              <w:left w:val="nil"/>
              <w:bottom w:val="nil"/>
              <w:right w:val="nil"/>
            </w:tcBorders>
            <w:shd w:val="clear" w:color="auto" w:fill="auto"/>
            <w:noWrap/>
            <w:vAlign w:val="bottom"/>
            <w:hideMark/>
          </w:tcPr>
          <w:p w14:paraId="7A7EA7F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28,563</w:t>
            </w:r>
          </w:p>
        </w:tc>
        <w:tc>
          <w:tcPr>
            <w:tcW w:w="960" w:type="dxa"/>
            <w:tcBorders>
              <w:top w:val="nil"/>
              <w:left w:val="nil"/>
              <w:bottom w:val="nil"/>
              <w:right w:val="single" w:sz="8" w:space="0" w:color="auto"/>
            </w:tcBorders>
            <w:shd w:val="clear" w:color="auto" w:fill="auto"/>
            <w:noWrap/>
            <w:vAlign w:val="bottom"/>
            <w:hideMark/>
          </w:tcPr>
          <w:p w14:paraId="67FDF13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29,242</w:t>
            </w:r>
          </w:p>
        </w:tc>
        <w:tc>
          <w:tcPr>
            <w:tcW w:w="960" w:type="dxa"/>
            <w:tcBorders>
              <w:top w:val="nil"/>
              <w:left w:val="nil"/>
              <w:bottom w:val="nil"/>
              <w:right w:val="nil"/>
            </w:tcBorders>
            <w:shd w:val="clear" w:color="auto" w:fill="auto"/>
            <w:noWrap/>
            <w:vAlign w:val="bottom"/>
            <w:hideMark/>
          </w:tcPr>
          <w:p w14:paraId="141BA00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24,019</w:t>
            </w:r>
          </w:p>
        </w:tc>
        <w:tc>
          <w:tcPr>
            <w:tcW w:w="960" w:type="dxa"/>
            <w:tcBorders>
              <w:top w:val="nil"/>
              <w:left w:val="nil"/>
              <w:bottom w:val="nil"/>
              <w:right w:val="nil"/>
            </w:tcBorders>
            <w:shd w:val="clear" w:color="auto" w:fill="auto"/>
            <w:noWrap/>
            <w:vAlign w:val="bottom"/>
            <w:hideMark/>
          </w:tcPr>
          <w:p w14:paraId="02D6E63E"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23,705</w:t>
            </w:r>
          </w:p>
        </w:tc>
        <w:tc>
          <w:tcPr>
            <w:tcW w:w="960" w:type="dxa"/>
            <w:tcBorders>
              <w:top w:val="nil"/>
              <w:left w:val="nil"/>
              <w:bottom w:val="nil"/>
              <w:right w:val="nil"/>
            </w:tcBorders>
            <w:shd w:val="clear" w:color="auto" w:fill="auto"/>
            <w:noWrap/>
            <w:vAlign w:val="bottom"/>
            <w:hideMark/>
          </w:tcPr>
          <w:p w14:paraId="094B86C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24,333</w:t>
            </w:r>
          </w:p>
        </w:tc>
      </w:tr>
      <w:tr w:rsidR="00B8454C" w:rsidRPr="00B8454C" w14:paraId="72677CC7" w14:textId="77777777" w:rsidTr="00874EE0">
        <w:trPr>
          <w:trHeight w:val="315"/>
        </w:trPr>
        <w:tc>
          <w:tcPr>
            <w:tcW w:w="4678" w:type="dxa"/>
            <w:tcBorders>
              <w:top w:val="nil"/>
              <w:left w:val="nil"/>
              <w:bottom w:val="nil"/>
              <w:right w:val="nil"/>
            </w:tcBorders>
            <w:shd w:val="clear" w:color="auto" w:fill="auto"/>
            <w:noWrap/>
            <w:vAlign w:val="center"/>
            <w:hideMark/>
          </w:tcPr>
          <w:p w14:paraId="35409B86"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Professional &amp; business services</w:t>
            </w:r>
          </w:p>
        </w:tc>
        <w:tc>
          <w:tcPr>
            <w:tcW w:w="782" w:type="dxa"/>
            <w:tcBorders>
              <w:top w:val="nil"/>
              <w:left w:val="nil"/>
              <w:bottom w:val="nil"/>
              <w:right w:val="nil"/>
            </w:tcBorders>
            <w:shd w:val="clear" w:color="auto" w:fill="auto"/>
            <w:noWrap/>
            <w:vAlign w:val="bottom"/>
            <w:hideMark/>
          </w:tcPr>
          <w:p w14:paraId="0A9B25B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23,664</w:t>
            </w:r>
          </w:p>
        </w:tc>
        <w:tc>
          <w:tcPr>
            <w:tcW w:w="960" w:type="dxa"/>
            <w:tcBorders>
              <w:top w:val="nil"/>
              <w:left w:val="nil"/>
              <w:bottom w:val="nil"/>
              <w:right w:val="nil"/>
            </w:tcBorders>
            <w:shd w:val="clear" w:color="auto" w:fill="auto"/>
            <w:noWrap/>
            <w:vAlign w:val="bottom"/>
            <w:hideMark/>
          </w:tcPr>
          <w:p w14:paraId="7D03420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23,328</w:t>
            </w:r>
          </w:p>
        </w:tc>
        <w:tc>
          <w:tcPr>
            <w:tcW w:w="960" w:type="dxa"/>
            <w:tcBorders>
              <w:top w:val="nil"/>
              <w:left w:val="nil"/>
              <w:bottom w:val="nil"/>
              <w:right w:val="single" w:sz="8" w:space="0" w:color="auto"/>
            </w:tcBorders>
            <w:shd w:val="clear" w:color="auto" w:fill="auto"/>
            <w:noWrap/>
            <w:vAlign w:val="bottom"/>
            <w:hideMark/>
          </w:tcPr>
          <w:p w14:paraId="0109B70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23,999</w:t>
            </w:r>
          </w:p>
        </w:tc>
        <w:tc>
          <w:tcPr>
            <w:tcW w:w="960" w:type="dxa"/>
            <w:tcBorders>
              <w:top w:val="nil"/>
              <w:left w:val="nil"/>
              <w:bottom w:val="nil"/>
              <w:right w:val="nil"/>
            </w:tcBorders>
            <w:shd w:val="clear" w:color="auto" w:fill="auto"/>
            <w:noWrap/>
            <w:vAlign w:val="bottom"/>
            <w:hideMark/>
          </w:tcPr>
          <w:p w14:paraId="6CBEDED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32,680</w:t>
            </w:r>
          </w:p>
        </w:tc>
        <w:tc>
          <w:tcPr>
            <w:tcW w:w="960" w:type="dxa"/>
            <w:tcBorders>
              <w:top w:val="nil"/>
              <w:left w:val="nil"/>
              <w:bottom w:val="nil"/>
              <w:right w:val="nil"/>
            </w:tcBorders>
            <w:shd w:val="clear" w:color="auto" w:fill="auto"/>
            <w:noWrap/>
            <w:vAlign w:val="bottom"/>
            <w:hideMark/>
          </w:tcPr>
          <w:p w14:paraId="71785F8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32,249</w:t>
            </w:r>
          </w:p>
        </w:tc>
        <w:tc>
          <w:tcPr>
            <w:tcW w:w="960" w:type="dxa"/>
            <w:tcBorders>
              <w:top w:val="nil"/>
              <w:left w:val="nil"/>
              <w:bottom w:val="nil"/>
              <w:right w:val="single" w:sz="8" w:space="0" w:color="auto"/>
            </w:tcBorders>
            <w:shd w:val="clear" w:color="auto" w:fill="auto"/>
            <w:noWrap/>
            <w:vAlign w:val="bottom"/>
            <w:hideMark/>
          </w:tcPr>
          <w:p w14:paraId="31F6DAD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33,112</w:t>
            </w:r>
          </w:p>
        </w:tc>
        <w:tc>
          <w:tcPr>
            <w:tcW w:w="960" w:type="dxa"/>
            <w:tcBorders>
              <w:top w:val="nil"/>
              <w:left w:val="nil"/>
              <w:bottom w:val="nil"/>
              <w:right w:val="nil"/>
            </w:tcBorders>
            <w:shd w:val="clear" w:color="auto" w:fill="auto"/>
            <w:noWrap/>
            <w:vAlign w:val="bottom"/>
            <w:hideMark/>
          </w:tcPr>
          <w:p w14:paraId="66359D7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33,645</w:t>
            </w:r>
          </w:p>
        </w:tc>
        <w:tc>
          <w:tcPr>
            <w:tcW w:w="960" w:type="dxa"/>
            <w:tcBorders>
              <w:top w:val="nil"/>
              <w:left w:val="nil"/>
              <w:bottom w:val="nil"/>
              <w:right w:val="nil"/>
            </w:tcBorders>
            <w:shd w:val="clear" w:color="auto" w:fill="auto"/>
            <w:noWrap/>
            <w:vAlign w:val="bottom"/>
            <w:hideMark/>
          </w:tcPr>
          <w:p w14:paraId="31E64BF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33,236</w:t>
            </w:r>
          </w:p>
        </w:tc>
        <w:tc>
          <w:tcPr>
            <w:tcW w:w="960" w:type="dxa"/>
            <w:tcBorders>
              <w:top w:val="nil"/>
              <w:left w:val="nil"/>
              <w:bottom w:val="nil"/>
              <w:right w:val="nil"/>
            </w:tcBorders>
            <w:shd w:val="clear" w:color="auto" w:fill="auto"/>
            <w:noWrap/>
            <w:vAlign w:val="bottom"/>
            <w:hideMark/>
          </w:tcPr>
          <w:p w14:paraId="6AFC76D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34,053</w:t>
            </w:r>
          </w:p>
        </w:tc>
      </w:tr>
      <w:tr w:rsidR="00B8454C" w:rsidRPr="00B8454C" w14:paraId="64F26D87" w14:textId="77777777" w:rsidTr="00874EE0">
        <w:trPr>
          <w:trHeight w:val="315"/>
        </w:trPr>
        <w:tc>
          <w:tcPr>
            <w:tcW w:w="4678" w:type="dxa"/>
            <w:tcBorders>
              <w:top w:val="nil"/>
              <w:left w:val="nil"/>
              <w:bottom w:val="nil"/>
              <w:right w:val="nil"/>
            </w:tcBorders>
            <w:shd w:val="clear" w:color="auto" w:fill="auto"/>
            <w:noWrap/>
            <w:vAlign w:val="center"/>
            <w:hideMark/>
          </w:tcPr>
          <w:p w14:paraId="072ACF83"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Personal services</w:t>
            </w:r>
          </w:p>
        </w:tc>
        <w:tc>
          <w:tcPr>
            <w:tcW w:w="782" w:type="dxa"/>
            <w:tcBorders>
              <w:top w:val="nil"/>
              <w:left w:val="nil"/>
              <w:bottom w:val="nil"/>
              <w:right w:val="nil"/>
            </w:tcBorders>
            <w:shd w:val="clear" w:color="auto" w:fill="auto"/>
            <w:noWrap/>
            <w:vAlign w:val="bottom"/>
            <w:hideMark/>
          </w:tcPr>
          <w:p w14:paraId="106799C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48,980</w:t>
            </w:r>
          </w:p>
        </w:tc>
        <w:tc>
          <w:tcPr>
            <w:tcW w:w="960" w:type="dxa"/>
            <w:tcBorders>
              <w:top w:val="nil"/>
              <w:left w:val="nil"/>
              <w:bottom w:val="nil"/>
              <w:right w:val="nil"/>
            </w:tcBorders>
            <w:shd w:val="clear" w:color="auto" w:fill="auto"/>
            <w:noWrap/>
            <w:vAlign w:val="bottom"/>
            <w:hideMark/>
          </w:tcPr>
          <w:p w14:paraId="7182275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48,519</w:t>
            </w:r>
          </w:p>
        </w:tc>
        <w:tc>
          <w:tcPr>
            <w:tcW w:w="960" w:type="dxa"/>
            <w:tcBorders>
              <w:top w:val="nil"/>
              <w:left w:val="nil"/>
              <w:bottom w:val="nil"/>
              <w:right w:val="single" w:sz="8" w:space="0" w:color="auto"/>
            </w:tcBorders>
            <w:shd w:val="clear" w:color="auto" w:fill="auto"/>
            <w:noWrap/>
            <w:vAlign w:val="bottom"/>
            <w:hideMark/>
          </w:tcPr>
          <w:p w14:paraId="292B8D6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49,441</w:t>
            </w:r>
          </w:p>
        </w:tc>
        <w:tc>
          <w:tcPr>
            <w:tcW w:w="960" w:type="dxa"/>
            <w:tcBorders>
              <w:top w:val="nil"/>
              <w:left w:val="nil"/>
              <w:bottom w:val="nil"/>
              <w:right w:val="nil"/>
            </w:tcBorders>
            <w:shd w:val="clear" w:color="auto" w:fill="auto"/>
            <w:noWrap/>
            <w:vAlign w:val="bottom"/>
            <w:hideMark/>
          </w:tcPr>
          <w:p w14:paraId="06DD1BD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63,640</w:t>
            </w:r>
          </w:p>
        </w:tc>
        <w:tc>
          <w:tcPr>
            <w:tcW w:w="960" w:type="dxa"/>
            <w:tcBorders>
              <w:top w:val="nil"/>
              <w:left w:val="nil"/>
              <w:bottom w:val="nil"/>
              <w:right w:val="nil"/>
            </w:tcBorders>
            <w:shd w:val="clear" w:color="auto" w:fill="auto"/>
            <w:noWrap/>
            <w:vAlign w:val="bottom"/>
            <w:hideMark/>
          </w:tcPr>
          <w:p w14:paraId="6B82A68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63,083</w:t>
            </w:r>
          </w:p>
        </w:tc>
        <w:tc>
          <w:tcPr>
            <w:tcW w:w="960" w:type="dxa"/>
            <w:tcBorders>
              <w:top w:val="nil"/>
              <w:left w:val="nil"/>
              <w:bottom w:val="nil"/>
              <w:right w:val="single" w:sz="8" w:space="0" w:color="auto"/>
            </w:tcBorders>
            <w:shd w:val="clear" w:color="auto" w:fill="auto"/>
            <w:noWrap/>
            <w:vAlign w:val="bottom"/>
            <w:hideMark/>
          </w:tcPr>
          <w:p w14:paraId="0E3B808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64,198</w:t>
            </w:r>
          </w:p>
        </w:tc>
        <w:tc>
          <w:tcPr>
            <w:tcW w:w="960" w:type="dxa"/>
            <w:tcBorders>
              <w:top w:val="nil"/>
              <w:left w:val="nil"/>
              <w:bottom w:val="nil"/>
              <w:right w:val="nil"/>
            </w:tcBorders>
            <w:shd w:val="clear" w:color="auto" w:fill="auto"/>
            <w:noWrap/>
            <w:vAlign w:val="bottom"/>
            <w:hideMark/>
          </w:tcPr>
          <w:p w14:paraId="1BBF96A3"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67,134</w:t>
            </w:r>
          </w:p>
        </w:tc>
        <w:tc>
          <w:tcPr>
            <w:tcW w:w="960" w:type="dxa"/>
            <w:tcBorders>
              <w:top w:val="nil"/>
              <w:left w:val="nil"/>
              <w:bottom w:val="nil"/>
              <w:right w:val="nil"/>
            </w:tcBorders>
            <w:shd w:val="clear" w:color="auto" w:fill="auto"/>
            <w:noWrap/>
            <w:vAlign w:val="bottom"/>
            <w:hideMark/>
          </w:tcPr>
          <w:p w14:paraId="2002B6E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66,571</w:t>
            </w:r>
          </w:p>
        </w:tc>
        <w:tc>
          <w:tcPr>
            <w:tcW w:w="960" w:type="dxa"/>
            <w:tcBorders>
              <w:top w:val="nil"/>
              <w:left w:val="nil"/>
              <w:bottom w:val="nil"/>
              <w:right w:val="nil"/>
            </w:tcBorders>
            <w:shd w:val="clear" w:color="auto" w:fill="auto"/>
            <w:noWrap/>
            <w:vAlign w:val="bottom"/>
            <w:hideMark/>
          </w:tcPr>
          <w:p w14:paraId="232F343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67,697</w:t>
            </w:r>
          </w:p>
        </w:tc>
      </w:tr>
      <w:tr w:rsidR="00B8454C" w:rsidRPr="00B8454C" w14:paraId="1F0B6636" w14:textId="77777777" w:rsidTr="00874EE0">
        <w:trPr>
          <w:trHeight w:val="315"/>
        </w:trPr>
        <w:tc>
          <w:tcPr>
            <w:tcW w:w="4678" w:type="dxa"/>
            <w:tcBorders>
              <w:top w:val="nil"/>
              <w:left w:val="nil"/>
              <w:bottom w:val="nil"/>
              <w:right w:val="nil"/>
            </w:tcBorders>
            <w:shd w:val="clear" w:color="auto" w:fill="auto"/>
            <w:noWrap/>
            <w:vAlign w:val="center"/>
            <w:hideMark/>
          </w:tcPr>
          <w:p w14:paraId="4360CE8D"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Agric. produce processing &amp; dealing</w:t>
            </w:r>
          </w:p>
        </w:tc>
        <w:tc>
          <w:tcPr>
            <w:tcW w:w="782" w:type="dxa"/>
            <w:tcBorders>
              <w:top w:val="nil"/>
              <w:left w:val="nil"/>
              <w:bottom w:val="nil"/>
              <w:right w:val="nil"/>
            </w:tcBorders>
            <w:shd w:val="clear" w:color="auto" w:fill="auto"/>
            <w:noWrap/>
            <w:vAlign w:val="bottom"/>
            <w:hideMark/>
          </w:tcPr>
          <w:p w14:paraId="73E0D06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6,910</w:t>
            </w:r>
          </w:p>
        </w:tc>
        <w:tc>
          <w:tcPr>
            <w:tcW w:w="960" w:type="dxa"/>
            <w:tcBorders>
              <w:top w:val="nil"/>
              <w:left w:val="nil"/>
              <w:bottom w:val="nil"/>
              <w:right w:val="nil"/>
            </w:tcBorders>
            <w:shd w:val="clear" w:color="auto" w:fill="auto"/>
            <w:noWrap/>
            <w:vAlign w:val="bottom"/>
            <w:hideMark/>
          </w:tcPr>
          <w:p w14:paraId="12A745A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6,743</w:t>
            </w:r>
          </w:p>
        </w:tc>
        <w:tc>
          <w:tcPr>
            <w:tcW w:w="960" w:type="dxa"/>
            <w:tcBorders>
              <w:top w:val="nil"/>
              <w:left w:val="nil"/>
              <w:bottom w:val="nil"/>
              <w:right w:val="single" w:sz="8" w:space="0" w:color="auto"/>
            </w:tcBorders>
            <w:shd w:val="clear" w:color="auto" w:fill="auto"/>
            <w:noWrap/>
            <w:vAlign w:val="bottom"/>
            <w:hideMark/>
          </w:tcPr>
          <w:p w14:paraId="3627C97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7,076</w:t>
            </w:r>
          </w:p>
        </w:tc>
        <w:tc>
          <w:tcPr>
            <w:tcW w:w="960" w:type="dxa"/>
            <w:tcBorders>
              <w:top w:val="nil"/>
              <w:left w:val="nil"/>
              <w:bottom w:val="nil"/>
              <w:right w:val="nil"/>
            </w:tcBorders>
            <w:shd w:val="clear" w:color="auto" w:fill="auto"/>
            <w:noWrap/>
            <w:vAlign w:val="bottom"/>
            <w:hideMark/>
          </w:tcPr>
          <w:p w14:paraId="2F69DEF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8,801</w:t>
            </w:r>
          </w:p>
        </w:tc>
        <w:tc>
          <w:tcPr>
            <w:tcW w:w="960" w:type="dxa"/>
            <w:tcBorders>
              <w:top w:val="nil"/>
              <w:left w:val="nil"/>
              <w:bottom w:val="nil"/>
              <w:right w:val="nil"/>
            </w:tcBorders>
            <w:shd w:val="clear" w:color="auto" w:fill="auto"/>
            <w:noWrap/>
            <w:vAlign w:val="bottom"/>
            <w:hideMark/>
          </w:tcPr>
          <w:p w14:paraId="0B9B445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8,615</w:t>
            </w:r>
          </w:p>
        </w:tc>
        <w:tc>
          <w:tcPr>
            <w:tcW w:w="960" w:type="dxa"/>
            <w:tcBorders>
              <w:top w:val="nil"/>
              <w:left w:val="nil"/>
              <w:bottom w:val="nil"/>
              <w:right w:val="single" w:sz="8" w:space="0" w:color="auto"/>
            </w:tcBorders>
            <w:shd w:val="clear" w:color="auto" w:fill="auto"/>
            <w:noWrap/>
            <w:vAlign w:val="bottom"/>
            <w:hideMark/>
          </w:tcPr>
          <w:p w14:paraId="5E9936D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8,987</w:t>
            </w:r>
          </w:p>
        </w:tc>
        <w:tc>
          <w:tcPr>
            <w:tcW w:w="960" w:type="dxa"/>
            <w:tcBorders>
              <w:top w:val="nil"/>
              <w:left w:val="nil"/>
              <w:bottom w:val="nil"/>
              <w:right w:val="nil"/>
            </w:tcBorders>
            <w:shd w:val="clear" w:color="auto" w:fill="auto"/>
            <w:noWrap/>
            <w:vAlign w:val="bottom"/>
            <w:hideMark/>
          </w:tcPr>
          <w:p w14:paraId="36DA88C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8,440</w:t>
            </w:r>
          </w:p>
        </w:tc>
        <w:tc>
          <w:tcPr>
            <w:tcW w:w="960" w:type="dxa"/>
            <w:tcBorders>
              <w:top w:val="nil"/>
              <w:left w:val="nil"/>
              <w:bottom w:val="nil"/>
              <w:right w:val="nil"/>
            </w:tcBorders>
            <w:shd w:val="clear" w:color="auto" w:fill="auto"/>
            <w:noWrap/>
            <w:vAlign w:val="bottom"/>
            <w:hideMark/>
          </w:tcPr>
          <w:p w14:paraId="78BE725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8,257</w:t>
            </w:r>
          </w:p>
        </w:tc>
        <w:tc>
          <w:tcPr>
            <w:tcW w:w="960" w:type="dxa"/>
            <w:tcBorders>
              <w:top w:val="nil"/>
              <w:left w:val="nil"/>
              <w:bottom w:val="nil"/>
              <w:right w:val="nil"/>
            </w:tcBorders>
            <w:shd w:val="clear" w:color="auto" w:fill="auto"/>
            <w:noWrap/>
            <w:vAlign w:val="bottom"/>
            <w:hideMark/>
          </w:tcPr>
          <w:p w14:paraId="3D346B7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8,622</w:t>
            </w:r>
          </w:p>
        </w:tc>
      </w:tr>
      <w:tr w:rsidR="00B8454C" w:rsidRPr="00B8454C" w14:paraId="16E2952B" w14:textId="77777777" w:rsidTr="00874EE0">
        <w:trPr>
          <w:trHeight w:val="315"/>
        </w:trPr>
        <w:tc>
          <w:tcPr>
            <w:tcW w:w="4678" w:type="dxa"/>
            <w:tcBorders>
              <w:top w:val="nil"/>
              <w:left w:val="nil"/>
              <w:bottom w:val="nil"/>
              <w:right w:val="nil"/>
            </w:tcBorders>
            <w:shd w:val="clear" w:color="auto" w:fill="auto"/>
            <w:noWrap/>
            <w:vAlign w:val="center"/>
            <w:hideMark/>
          </w:tcPr>
          <w:p w14:paraId="135CDF04"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Food sales</w:t>
            </w:r>
          </w:p>
        </w:tc>
        <w:tc>
          <w:tcPr>
            <w:tcW w:w="782" w:type="dxa"/>
            <w:tcBorders>
              <w:top w:val="nil"/>
              <w:left w:val="nil"/>
              <w:bottom w:val="nil"/>
              <w:right w:val="nil"/>
            </w:tcBorders>
            <w:shd w:val="clear" w:color="auto" w:fill="auto"/>
            <w:noWrap/>
            <w:vAlign w:val="bottom"/>
            <w:hideMark/>
          </w:tcPr>
          <w:p w14:paraId="6CE4552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133,020</w:t>
            </w:r>
          </w:p>
        </w:tc>
        <w:tc>
          <w:tcPr>
            <w:tcW w:w="960" w:type="dxa"/>
            <w:tcBorders>
              <w:top w:val="nil"/>
              <w:left w:val="nil"/>
              <w:bottom w:val="nil"/>
              <w:right w:val="nil"/>
            </w:tcBorders>
            <w:shd w:val="clear" w:color="auto" w:fill="auto"/>
            <w:noWrap/>
            <w:vAlign w:val="bottom"/>
            <w:hideMark/>
          </w:tcPr>
          <w:p w14:paraId="0EA4661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132,357</w:t>
            </w:r>
          </w:p>
        </w:tc>
        <w:tc>
          <w:tcPr>
            <w:tcW w:w="960" w:type="dxa"/>
            <w:tcBorders>
              <w:top w:val="nil"/>
              <w:left w:val="nil"/>
              <w:bottom w:val="nil"/>
              <w:right w:val="single" w:sz="8" w:space="0" w:color="auto"/>
            </w:tcBorders>
            <w:shd w:val="clear" w:color="auto" w:fill="auto"/>
            <w:noWrap/>
            <w:vAlign w:val="bottom"/>
            <w:hideMark/>
          </w:tcPr>
          <w:p w14:paraId="53ECF916"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133,682</w:t>
            </w:r>
          </w:p>
        </w:tc>
        <w:tc>
          <w:tcPr>
            <w:tcW w:w="960" w:type="dxa"/>
            <w:tcBorders>
              <w:top w:val="nil"/>
              <w:left w:val="nil"/>
              <w:bottom w:val="nil"/>
              <w:right w:val="nil"/>
            </w:tcBorders>
            <w:shd w:val="clear" w:color="auto" w:fill="auto"/>
            <w:noWrap/>
            <w:vAlign w:val="bottom"/>
            <w:hideMark/>
          </w:tcPr>
          <w:p w14:paraId="451CA971"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145,995</w:t>
            </w:r>
          </w:p>
        </w:tc>
        <w:tc>
          <w:tcPr>
            <w:tcW w:w="960" w:type="dxa"/>
            <w:tcBorders>
              <w:top w:val="nil"/>
              <w:left w:val="nil"/>
              <w:bottom w:val="nil"/>
              <w:right w:val="nil"/>
            </w:tcBorders>
            <w:shd w:val="clear" w:color="auto" w:fill="auto"/>
            <w:noWrap/>
            <w:vAlign w:val="bottom"/>
            <w:hideMark/>
          </w:tcPr>
          <w:p w14:paraId="779D35D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145,313</w:t>
            </w:r>
          </w:p>
        </w:tc>
        <w:tc>
          <w:tcPr>
            <w:tcW w:w="960" w:type="dxa"/>
            <w:tcBorders>
              <w:top w:val="nil"/>
              <w:left w:val="nil"/>
              <w:bottom w:val="nil"/>
              <w:right w:val="single" w:sz="8" w:space="0" w:color="auto"/>
            </w:tcBorders>
            <w:shd w:val="clear" w:color="auto" w:fill="auto"/>
            <w:noWrap/>
            <w:vAlign w:val="bottom"/>
            <w:hideMark/>
          </w:tcPr>
          <w:p w14:paraId="652707CA"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146,676</w:t>
            </w:r>
          </w:p>
        </w:tc>
        <w:tc>
          <w:tcPr>
            <w:tcW w:w="960" w:type="dxa"/>
            <w:tcBorders>
              <w:top w:val="nil"/>
              <w:left w:val="nil"/>
              <w:bottom w:val="nil"/>
              <w:right w:val="nil"/>
            </w:tcBorders>
            <w:shd w:val="clear" w:color="auto" w:fill="auto"/>
            <w:noWrap/>
            <w:vAlign w:val="bottom"/>
            <w:hideMark/>
          </w:tcPr>
          <w:p w14:paraId="2562C14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139,688</w:t>
            </w:r>
          </w:p>
        </w:tc>
        <w:tc>
          <w:tcPr>
            <w:tcW w:w="960" w:type="dxa"/>
            <w:tcBorders>
              <w:top w:val="nil"/>
              <w:left w:val="nil"/>
              <w:bottom w:val="nil"/>
              <w:right w:val="nil"/>
            </w:tcBorders>
            <w:shd w:val="clear" w:color="auto" w:fill="auto"/>
            <w:noWrap/>
            <w:vAlign w:val="bottom"/>
            <w:hideMark/>
          </w:tcPr>
          <w:p w14:paraId="589E768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139,004</w:t>
            </w:r>
          </w:p>
        </w:tc>
        <w:tc>
          <w:tcPr>
            <w:tcW w:w="960" w:type="dxa"/>
            <w:tcBorders>
              <w:top w:val="nil"/>
              <w:left w:val="nil"/>
              <w:bottom w:val="nil"/>
              <w:right w:val="nil"/>
            </w:tcBorders>
            <w:shd w:val="clear" w:color="auto" w:fill="auto"/>
            <w:noWrap/>
            <w:vAlign w:val="bottom"/>
            <w:hideMark/>
          </w:tcPr>
          <w:p w14:paraId="5236AEF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140,372</w:t>
            </w:r>
          </w:p>
        </w:tc>
      </w:tr>
      <w:tr w:rsidR="00B8454C" w:rsidRPr="00B8454C" w14:paraId="46F2BF38" w14:textId="77777777" w:rsidTr="00874EE0">
        <w:trPr>
          <w:trHeight w:val="315"/>
        </w:trPr>
        <w:tc>
          <w:tcPr>
            <w:tcW w:w="4678" w:type="dxa"/>
            <w:tcBorders>
              <w:top w:val="nil"/>
              <w:left w:val="nil"/>
              <w:bottom w:val="nil"/>
              <w:right w:val="nil"/>
            </w:tcBorders>
            <w:shd w:val="clear" w:color="auto" w:fill="auto"/>
            <w:noWrap/>
            <w:vAlign w:val="center"/>
            <w:hideMark/>
          </w:tcPr>
          <w:p w14:paraId="0D8153E3"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Refreshment</w:t>
            </w:r>
          </w:p>
        </w:tc>
        <w:tc>
          <w:tcPr>
            <w:tcW w:w="782" w:type="dxa"/>
            <w:tcBorders>
              <w:top w:val="nil"/>
              <w:left w:val="nil"/>
              <w:bottom w:val="nil"/>
              <w:right w:val="nil"/>
            </w:tcBorders>
            <w:shd w:val="clear" w:color="auto" w:fill="auto"/>
            <w:noWrap/>
            <w:vAlign w:val="bottom"/>
            <w:hideMark/>
          </w:tcPr>
          <w:p w14:paraId="357BE6F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51,413</w:t>
            </w:r>
          </w:p>
        </w:tc>
        <w:tc>
          <w:tcPr>
            <w:tcW w:w="960" w:type="dxa"/>
            <w:tcBorders>
              <w:top w:val="nil"/>
              <w:left w:val="nil"/>
              <w:bottom w:val="nil"/>
              <w:right w:val="nil"/>
            </w:tcBorders>
            <w:shd w:val="clear" w:color="auto" w:fill="auto"/>
            <w:noWrap/>
            <w:vAlign w:val="bottom"/>
            <w:hideMark/>
          </w:tcPr>
          <w:p w14:paraId="6D58276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50,951</w:t>
            </w:r>
          </w:p>
        </w:tc>
        <w:tc>
          <w:tcPr>
            <w:tcW w:w="960" w:type="dxa"/>
            <w:tcBorders>
              <w:top w:val="nil"/>
              <w:left w:val="nil"/>
              <w:bottom w:val="nil"/>
              <w:right w:val="single" w:sz="8" w:space="0" w:color="auto"/>
            </w:tcBorders>
            <w:shd w:val="clear" w:color="auto" w:fill="auto"/>
            <w:noWrap/>
            <w:vAlign w:val="bottom"/>
            <w:hideMark/>
          </w:tcPr>
          <w:p w14:paraId="69EBC765"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51,876</w:t>
            </w:r>
          </w:p>
        </w:tc>
        <w:tc>
          <w:tcPr>
            <w:tcW w:w="960" w:type="dxa"/>
            <w:tcBorders>
              <w:top w:val="nil"/>
              <w:left w:val="nil"/>
              <w:bottom w:val="nil"/>
              <w:right w:val="nil"/>
            </w:tcBorders>
            <w:shd w:val="clear" w:color="auto" w:fill="auto"/>
            <w:noWrap/>
            <w:vAlign w:val="bottom"/>
            <w:hideMark/>
          </w:tcPr>
          <w:p w14:paraId="154D640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59,757</w:t>
            </w:r>
          </w:p>
        </w:tc>
        <w:tc>
          <w:tcPr>
            <w:tcW w:w="960" w:type="dxa"/>
            <w:tcBorders>
              <w:top w:val="nil"/>
              <w:left w:val="nil"/>
              <w:bottom w:val="nil"/>
              <w:right w:val="nil"/>
            </w:tcBorders>
            <w:shd w:val="clear" w:color="auto" w:fill="auto"/>
            <w:noWrap/>
            <w:vAlign w:val="bottom"/>
            <w:hideMark/>
          </w:tcPr>
          <w:p w14:paraId="55024CEF"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59,286</w:t>
            </w:r>
          </w:p>
        </w:tc>
        <w:tc>
          <w:tcPr>
            <w:tcW w:w="960" w:type="dxa"/>
            <w:tcBorders>
              <w:top w:val="nil"/>
              <w:left w:val="nil"/>
              <w:bottom w:val="nil"/>
              <w:right w:val="single" w:sz="8" w:space="0" w:color="auto"/>
            </w:tcBorders>
            <w:shd w:val="clear" w:color="auto" w:fill="auto"/>
            <w:noWrap/>
            <w:vAlign w:val="bottom"/>
            <w:hideMark/>
          </w:tcPr>
          <w:p w14:paraId="544E4D1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60,227</w:t>
            </w:r>
          </w:p>
        </w:tc>
        <w:tc>
          <w:tcPr>
            <w:tcW w:w="960" w:type="dxa"/>
            <w:tcBorders>
              <w:top w:val="nil"/>
              <w:left w:val="nil"/>
              <w:bottom w:val="nil"/>
              <w:right w:val="nil"/>
            </w:tcBorders>
            <w:shd w:val="clear" w:color="auto" w:fill="auto"/>
            <w:noWrap/>
            <w:vAlign w:val="bottom"/>
            <w:hideMark/>
          </w:tcPr>
          <w:p w14:paraId="5AF0EE4E"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46,967</w:t>
            </w:r>
          </w:p>
        </w:tc>
        <w:tc>
          <w:tcPr>
            <w:tcW w:w="960" w:type="dxa"/>
            <w:tcBorders>
              <w:top w:val="nil"/>
              <w:left w:val="nil"/>
              <w:bottom w:val="nil"/>
              <w:right w:val="nil"/>
            </w:tcBorders>
            <w:shd w:val="clear" w:color="auto" w:fill="auto"/>
            <w:noWrap/>
            <w:vAlign w:val="bottom"/>
            <w:hideMark/>
          </w:tcPr>
          <w:p w14:paraId="67F31CF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46,520</w:t>
            </w:r>
          </w:p>
        </w:tc>
        <w:tc>
          <w:tcPr>
            <w:tcW w:w="960" w:type="dxa"/>
            <w:tcBorders>
              <w:top w:val="nil"/>
              <w:left w:val="nil"/>
              <w:bottom w:val="nil"/>
              <w:right w:val="nil"/>
            </w:tcBorders>
            <w:shd w:val="clear" w:color="auto" w:fill="auto"/>
            <w:noWrap/>
            <w:vAlign w:val="bottom"/>
            <w:hideMark/>
          </w:tcPr>
          <w:p w14:paraId="74AA5E5B"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47,413</w:t>
            </w:r>
          </w:p>
        </w:tc>
      </w:tr>
      <w:tr w:rsidR="00B8454C" w:rsidRPr="00B8454C" w14:paraId="46BCFB87" w14:textId="77777777" w:rsidTr="00874EE0">
        <w:trPr>
          <w:trHeight w:val="330"/>
        </w:trPr>
        <w:tc>
          <w:tcPr>
            <w:tcW w:w="4678" w:type="dxa"/>
            <w:tcBorders>
              <w:top w:val="nil"/>
              <w:left w:val="nil"/>
              <w:bottom w:val="single" w:sz="8" w:space="0" w:color="auto"/>
              <w:right w:val="nil"/>
            </w:tcBorders>
            <w:shd w:val="clear" w:color="auto" w:fill="auto"/>
            <w:noWrap/>
            <w:vAlign w:val="center"/>
            <w:hideMark/>
          </w:tcPr>
          <w:p w14:paraId="699EB26A"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Finance and commerce</w:t>
            </w:r>
          </w:p>
        </w:tc>
        <w:tc>
          <w:tcPr>
            <w:tcW w:w="782" w:type="dxa"/>
            <w:tcBorders>
              <w:top w:val="nil"/>
              <w:left w:val="nil"/>
              <w:bottom w:val="single" w:sz="8" w:space="0" w:color="auto"/>
              <w:right w:val="nil"/>
            </w:tcBorders>
            <w:shd w:val="clear" w:color="auto" w:fill="auto"/>
            <w:noWrap/>
            <w:vAlign w:val="bottom"/>
            <w:hideMark/>
          </w:tcPr>
          <w:p w14:paraId="082F7C01"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13,257</w:t>
            </w:r>
          </w:p>
        </w:tc>
        <w:tc>
          <w:tcPr>
            <w:tcW w:w="960" w:type="dxa"/>
            <w:tcBorders>
              <w:top w:val="nil"/>
              <w:left w:val="nil"/>
              <w:bottom w:val="single" w:sz="8" w:space="0" w:color="auto"/>
              <w:right w:val="nil"/>
            </w:tcBorders>
            <w:shd w:val="clear" w:color="auto" w:fill="auto"/>
            <w:noWrap/>
            <w:vAlign w:val="bottom"/>
            <w:hideMark/>
          </w:tcPr>
          <w:p w14:paraId="20B4F0A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13,017</w:t>
            </w:r>
          </w:p>
        </w:tc>
        <w:tc>
          <w:tcPr>
            <w:tcW w:w="960" w:type="dxa"/>
            <w:tcBorders>
              <w:top w:val="nil"/>
              <w:left w:val="nil"/>
              <w:bottom w:val="single" w:sz="8" w:space="0" w:color="auto"/>
              <w:right w:val="single" w:sz="8" w:space="0" w:color="auto"/>
            </w:tcBorders>
            <w:shd w:val="clear" w:color="auto" w:fill="auto"/>
            <w:noWrap/>
            <w:vAlign w:val="bottom"/>
            <w:hideMark/>
          </w:tcPr>
          <w:p w14:paraId="58802827"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13,497</w:t>
            </w:r>
          </w:p>
        </w:tc>
        <w:tc>
          <w:tcPr>
            <w:tcW w:w="960" w:type="dxa"/>
            <w:tcBorders>
              <w:top w:val="nil"/>
              <w:left w:val="nil"/>
              <w:bottom w:val="single" w:sz="8" w:space="0" w:color="auto"/>
              <w:right w:val="nil"/>
            </w:tcBorders>
            <w:shd w:val="clear" w:color="auto" w:fill="auto"/>
            <w:noWrap/>
            <w:vAlign w:val="bottom"/>
            <w:hideMark/>
          </w:tcPr>
          <w:p w14:paraId="47914DF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16,857</w:t>
            </w:r>
          </w:p>
        </w:tc>
        <w:tc>
          <w:tcPr>
            <w:tcW w:w="960" w:type="dxa"/>
            <w:tcBorders>
              <w:top w:val="nil"/>
              <w:left w:val="nil"/>
              <w:bottom w:val="single" w:sz="8" w:space="0" w:color="auto"/>
              <w:right w:val="nil"/>
            </w:tcBorders>
            <w:shd w:val="clear" w:color="auto" w:fill="auto"/>
            <w:noWrap/>
            <w:vAlign w:val="bottom"/>
            <w:hideMark/>
          </w:tcPr>
          <w:p w14:paraId="2C67CE00"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16,578</w:t>
            </w:r>
          </w:p>
        </w:tc>
        <w:tc>
          <w:tcPr>
            <w:tcW w:w="960" w:type="dxa"/>
            <w:tcBorders>
              <w:top w:val="nil"/>
              <w:left w:val="nil"/>
              <w:bottom w:val="single" w:sz="8" w:space="0" w:color="auto"/>
              <w:right w:val="single" w:sz="8" w:space="0" w:color="auto"/>
            </w:tcBorders>
            <w:shd w:val="clear" w:color="auto" w:fill="auto"/>
            <w:noWrap/>
            <w:vAlign w:val="bottom"/>
            <w:hideMark/>
          </w:tcPr>
          <w:p w14:paraId="2556995D"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17,137</w:t>
            </w:r>
          </w:p>
        </w:tc>
        <w:tc>
          <w:tcPr>
            <w:tcW w:w="960" w:type="dxa"/>
            <w:tcBorders>
              <w:top w:val="nil"/>
              <w:left w:val="nil"/>
              <w:bottom w:val="single" w:sz="8" w:space="0" w:color="auto"/>
              <w:right w:val="nil"/>
            </w:tcBorders>
            <w:shd w:val="clear" w:color="auto" w:fill="auto"/>
            <w:noWrap/>
            <w:vAlign w:val="bottom"/>
            <w:hideMark/>
          </w:tcPr>
          <w:p w14:paraId="06464394"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14,325</w:t>
            </w:r>
          </w:p>
        </w:tc>
        <w:tc>
          <w:tcPr>
            <w:tcW w:w="960" w:type="dxa"/>
            <w:tcBorders>
              <w:top w:val="nil"/>
              <w:left w:val="nil"/>
              <w:bottom w:val="single" w:sz="8" w:space="0" w:color="auto"/>
              <w:right w:val="nil"/>
            </w:tcBorders>
            <w:shd w:val="clear" w:color="auto" w:fill="auto"/>
            <w:noWrap/>
            <w:vAlign w:val="bottom"/>
            <w:hideMark/>
          </w:tcPr>
          <w:p w14:paraId="509B407C"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14,075</w:t>
            </w:r>
          </w:p>
        </w:tc>
        <w:tc>
          <w:tcPr>
            <w:tcW w:w="960" w:type="dxa"/>
            <w:tcBorders>
              <w:top w:val="nil"/>
              <w:left w:val="nil"/>
              <w:bottom w:val="single" w:sz="8" w:space="0" w:color="auto"/>
              <w:right w:val="nil"/>
            </w:tcBorders>
            <w:shd w:val="clear" w:color="auto" w:fill="auto"/>
            <w:noWrap/>
            <w:vAlign w:val="bottom"/>
            <w:hideMark/>
          </w:tcPr>
          <w:p w14:paraId="6F05A5F8"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14,576</w:t>
            </w:r>
          </w:p>
        </w:tc>
      </w:tr>
      <w:tr w:rsidR="00B8454C" w:rsidRPr="00B8454C" w14:paraId="0B3453D3" w14:textId="77777777" w:rsidTr="00874EE0">
        <w:trPr>
          <w:trHeight w:val="330"/>
        </w:trPr>
        <w:tc>
          <w:tcPr>
            <w:tcW w:w="4678" w:type="dxa"/>
            <w:tcBorders>
              <w:top w:val="nil"/>
              <w:left w:val="nil"/>
              <w:bottom w:val="single" w:sz="8" w:space="0" w:color="auto"/>
              <w:right w:val="nil"/>
            </w:tcBorders>
            <w:shd w:val="clear" w:color="auto" w:fill="auto"/>
            <w:noWrap/>
            <w:vAlign w:val="center"/>
            <w:hideMark/>
          </w:tcPr>
          <w:p w14:paraId="5B0A3B30" w14:textId="77777777" w:rsidR="00B8454C" w:rsidRPr="00B8454C" w:rsidRDefault="00B8454C" w:rsidP="00B8454C">
            <w:pPr>
              <w:rPr>
                <w:rFonts w:eastAsia="Times New Roman" w:cs="Times New Roman"/>
                <w:b/>
                <w:bCs/>
                <w:color w:val="000000"/>
                <w:szCs w:val="24"/>
                <w:lang w:eastAsia="en-GB"/>
              </w:rPr>
            </w:pPr>
            <w:r w:rsidRPr="00B8454C">
              <w:rPr>
                <w:rFonts w:eastAsia="Times New Roman" w:cs="Times New Roman"/>
                <w:b/>
                <w:bCs/>
                <w:color w:val="000000"/>
                <w:szCs w:val="24"/>
                <w:lang w:eastAsia="en-GB"/>
              </w:rPr>
              <w:t>Total</w:t>
            </w:r>
          </w:p>
        </w:tc>
        <w:tc>
          <w:tcPr>
            <w:tcW w:w="782" w:type="dxa"/>
            <w:tcBorders>
              <w:top w:val="nil"/>
              <w:left w:val="nil"/>
              <w:bottom w:val="single" w:sz="8" w:space="0" w:color="auto"/>
              <w:right w:val="nil"/>
            </w:tcBorders>
            <w:shd w:val="clear" w:color="auto" w:fill="auto"/>
            <w:noWrap/>
            <w:vAlign w:val="bottom"/>
            <w:hideMark/>
          </w:tcPr>
          <w:p w14:paraId="328D95C7"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651,512</w:t>
            </w:r>
          </w:p>
        </w:tc>
        <w:tc>
          <w:tcPr>
            <w:tcW w:w="960" w:type="dxa"/>
            <w:tcBorders>
              <w:top w:val="nil"/>
              <w:left w:val="nil"/>
              <w:bottom w:val="single" w:sz="8" w:space="0" w:color="auto"/>
              <w:right w:val="nil"/>
            </w:tcBorders>
            <w:shd w:val="clear" w:color="auto" w:fill="auto"/>
            <w:noWrap/>
            <w:vAlign w:val="bottom"/>
            <w:hideMark/>
          </w:tcPr>
          <w:p w14:paraId="7CB7B800"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2F1AC77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31641167"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758,899</w:t>
            </w:r>
          </w:p>
        </w:tc>
        <w:tc>
          <w:tcPr>
            <w:tcW w:w="960" w:type="dxa"/>
            <w:tcBorders>
              <w:top w:val="nil"/>
              <w:left w:val="nil"/>
              <w:bottom w:val="single" w:sz="8" w:space="0" w:color="auto"/>
              <w:right w:val="nil"/>
            </w:tcBorders>
            <w:shd w:val="clear" w:color="auto" w:fill="auto"/>
            <w:noWrap/>
            <w:vAlign w:val="bottom"/>
            <w:hideMark/>
          </w:tcPr>
          <w:p w14:paraId="66FC7415"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7DFE3765"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1CA021DE"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735,673</w:t>
            </w:r>
          </w:p>
        </w:tc>
        <w:tc>
          <w:tcPr>
            <w:tcW w:w="960" w:type="dxa"/>
            <w:tcBorders>
              <w:top w:val="nil"/>
              <w:left w:val="nil"/>
              <w:bottom w:val="single" w:sz="8" w:space="0" w:color="auto"/>
              <w:right w:val="nil"/>
            </w:tcBorders>
            <w:shd w:val="clear" w:color="auto" w:fill="auto"/>
            <w:noWrap/>
            <w:vAlign w:val="bottom"/>
            <w:hideMark/>
          </w:tcPr>
          <w:p w14:paraId="46400502"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210D02E2" w14:textId="77777777" w:rsidR="00B8454C" w:rsidRPr="00B8454C" w:rsidRDefault="00B8454C" w:rsidP="00B8454C">
            <w:pPr>
              <w:jc w:val="cente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 </w:t>
            </w:r>
          </w:p>
        </w:tc>
      </w:tr>
      <w:tr w:rsidR="00B8454C" w:rsidRPr="00B8454C" w14:paraId="3F65D270" w14:textId="77777777" w:rsidTr="00874EE0">
        <w:trPr>
          <w:trHeight w:val="330"/>
        </w:trPr>
        <w:tc>
          <w:tcPr>
            <w:tcW w:w="4678" w:type="dxa"/>
            <w:tcBorders>
              <w:top w:val="nil"/>
              <w:left w:val="nil"/>
              <w:bottom w:val="nil"/>
              <w:right w:val="nil"/>
            </w:tcBorders>
            <w:shd w:val="clear" w:color="auto" w:fill="auto"/>
            <w:vAlign w:val="center"/>
            <w:hideMark/>
          </w:tcPr>
          <w:p w14:paraId="71807035" w14:textId="77777777" w:rsidR="00B8454C" w:rsidRPr="00B8454C" w:rsidRDefault="00B8454C" w:rsidP="00B8454C">
            <w:pPr>
              <w:jc w:val="center"/>
              <w:rPr>
                <w:rFonts w:eastAsia="Times New Roman" w:cs="Times New Roman"/>
                <w:b/>
                <w:bCs/>
                <w:color w:val="000000"/>
                <w:szCs w:val="24"/>
                <w:lang w:eastAsia="en-GB"/>
              </w:rPr>
            </w:pPr>
            <w:r w:rsidRPr="00B8454C">
              <w:rPr>
                <w:rFonts w:eastAsia="Times New Roman" w:cs="Times New Roman"/>
                <w:b/>
                <w:bCs/>
                <w:color w:val="000000"/>
                <w:szCs w:val="24"/>
                <w:lang w:eastAsia="en-GB"/>
              </w:rPr>
              <w:t> </w:t>
            </w:r>
          </w:p>
        </w:tc>
        <w:tc>
          <w:tcPr>
            <w:tcW w:w="782" w:type="dxa"/>
            <w:tcBorders>
              <w:top w:val="nil"/>
              <w:left w:val="nil"/>
              <w:bottom w:val="single" w:sz="8" w:space="0" w:color="auto"/>
              <w:right w:val="nil"/>
            </w:tcBorders>
            <w:shd w:val="clear" w:color="auto" w:fill="auto"/>
            <w:noWrap/>
            <w:vAlign w:val="bottom"/>
            <w:hideMark/>
          </w:tcPr>
          <w:p w14:paraId="675DA80C" w14:textId="77777777" w:rsidR="00B8454C" w:rsidRPr="00B8454C" w:rsidRDefault="00B8454C" w:rsidP="00B8454C">
            <w:pPr>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0F04CBE0"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460DF8FC"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2115C69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5B718AE4"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FEMALE</w:t>
            </w:r>
          </w:p>
        </w:tc>
        <w:tc>
          <w:tcPr>
            <w:tcW w:w="960" w:type="dxa"/>
            <w:tcBorders>
              <w:top w:val="nil"/>
              <w:left w:val="nil"/>
              <w:bottom w:val="single" w:sz="8" w:space="0" w:color="auto"/>
              <w:right w:val="nil"/>
            </w:tcBorders>
            <w:shd w:val="clear" w:color="auto" w:fill="auto"/>
            <w:noWrap/>
            <w:vAlign w:val="bottom"/>
            <w:hideMark/>
          </w:tcPr>
          <w:p w14:paraId="2DEA3175"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0C782D2C"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7969B863"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67D3B223"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r>
      <w:tr w:rsidR="00B8454C" w:rsidRPr="00B8454C" w14:paraId="1CAFF323" w14:textId="77777777" w:rsidTr="00874EE0">
        <w:trPr>
          <w:trHeight w:val="330"/>
        </w:trPr>
        <w:tc>
          <w:tcPr>
            <w:tcW w:w="4678" w:type="dxa"/>
            <w:tcBorders>
              <w:top w:val="nil"/>
              <w:left w:val="nil"/>
              <w:bottom w:val="nil"/>
              <w:right w:val="nil"/>
            </w:tcBorders>
            <w:shd w:val="clear" w:color="auto" w:fill="auto"/>
            <w:vAlign w:val="center"/>
            <w:hideMark/>
          </w:tcPr>
          <w:p w14:paraId="4046F7D7" w14:textId="77777777" w:rsidR="00B8454C" w:rsidRPr="00B8454C" w:rsidRDefault="00B8454C" w:rsidP="00B8454C">
            <w:pPr>
              <w:jc w:val="center"/>
              <w:rPr>
                <w:rFonts w:ascii="Calibri" w:eastAsia="Times New Roman" w:hAnsi="Calibri" w:cs="Times New Roman"/>
                <w:b/>
                <w:bCs/>
                <w:color w:val="000000"/>
                <w:sz w:val="22"/>
                <w:lang w:eastAsia="en-GB"/>
              </w:rPr>
            </w:pPr>
          </w:p>
        </w:tc>
        <w:tc>
          <w:tcPr>
            <w:tcW w:w="782" w:type="dxa"/>
            <w:tcBorders>
              <w:top w:val="nil"/>
              <w:left w:val="nil"/>
              <w:bottom w:val="nil"/>
              <w:right w:val="nil"/>
            </w:tcBorders>
            <w:shd w:val="clear" w:color="auto" w:fill="auto"/>
            <w:noWrap/>
            <w:vAlign w:val="bottom"/>
            <w:hideMark/>
          </w:tcPr>
          <w:p w14:paraId="7D9ED52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5165635C"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39A1A0DB"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c>
          <w:tcPr>
            <w:tcW w:w="960" w:type="dxa"/>
            <w:tcBorders>
              <w:top w:val="nil"/>
              <w:left w:val="nil"/>
              <w:bottom w:val="nil"/>
              <w:right w:val="nil"/>
            </w:tcBorders>
            <w:shd w:val="clear" w:color="auto" w:fill="auto"/>
            <w:noWrap/>
            <w:vAlign w:val="bottom"/>
            <w:hideMark/>
          </w:tcPr>
          <w:p w14:paraId="08A4C2A2"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33CB88DC"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224E28C1"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c>
          <w:tcPr>
            <w:tcW w:w="960" w:type="dxa"/>
            <w:tcBorders>
              <w:top w:val="nil"/>
              <w:left w:val="nil"/>
              <w:bottom w:val="nil"/>
              <w:right w:val="nil"/>
            </w:tcBorders>
            <w:shd w:val="clear" w:color="auto" w:fill="auto"/>
            <w:noWrap/>
            <w:vAlign w:val="bottom"/>
            <w:hideMark/>
          </w:tcPr>
          <w:p w14:paraId="2B7E3CDF"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Point</w:t>
            </w:r>
          </w:p>
        </w:tc>
        <w:tc>
          <w:tcPr>
            <w:tcW w:w="960" w:type="dxa"/>
            <w:tcBorders>
              <w:top w:val="nil"/>
              <w:left w:val="nil"/>
              <w:bottom w:val="nil"/>
              <w:right w:val="nil"/>
            </w:tcBorders>
            <w:shd w:val="clear" w:color="auto" w:fill="auto"/>
            <w:noWrap/>
            <w:vAlign w:val="bottom"/>
            <w:hideMark/>
          </w:tcPr>
          <w:p w14:paraId="24F1F8CD" w14:textId="77777777" w:rsidR="00B8454C" w:rsidRPr="00B8454C" w:rsidRDefault="00B8454C" w:rsidP="00B8454C">
            <w:pPr>
              <w:jc w:val="center"/>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lb</w:t>
            </w:r>
          </w:p>
        </w:tc>
        <w:tc>
          <w:tcPr>
            <w:tcW w:w="960" w:type="dxa"/>
            <w:tcBorders>
              <w:top w:val="nil"/>
              <w:left w:val="nil"/>
              <w:bottom w:val="nil"/>
              <w:right w:val="nil"/>
            </w:tcBorders>
            <w:shd w:val="clear" w:color="auto" w:fill="auto"/>
            <w:noWrap/>
            <w:vAlign w:val="bottom"/>
            <w:hideMark/>
          </w:tcPr>
          <w:p w14:paraId="71E29661" w14:textId="77777777" w:rsidR="00B8454C" w:rsidRPr="00B8454C" w:rsidRDefault="00B8454C" w:rsidP="00B8454C">
            <w:pPr>
              <w:jc w:val="center"/>
              <w:rPr>
                <w:rFonts w:ascii="Calibri" w:eastAsia="Times New Roman" w:hAnsi="Calibri" w:cs="Times New Roman"/>
                <w:b/>
                <w:bCs/>
                <w:color w:val="000000"/>
                <w:sz w:val="22"/>
                <w:lang w:eastAsia="en-GB"/>
              </w:rPr>
            </w:pPr>
            <w:proofErr w:type="spellStart"/>
            <w:r w:rsidRPr="00B8454C">
              <w:rPr>
                <w:rFonts w:ascii="Calibri" w:eastAsia="Times New Roman" w:hAnsi="Calibri" w:cs="Times New Roman"/>
                <w:b/>
                <w:bCs/>
                <w:color w:val="000000"/>
                <w:sz w:val="22"/>
                <w:lang w:eastAsia="en-GB"/>
              </w:rPr>
              <w:t>ub</w:t>
            </w:r>
            <w:proofErr w:type="spellEnd"/>
          </w:p>
        </w:tc>
      </w:tr>
      <w:tr w:rsidR="00B8454C" w:rsidRPr="00B8454C" w14:paraId="190A4494" w14:textId="77777777" w:rsidTr="00874EE0">
        <w:trPr>
          <w:trHeight w:val="315"/>
        </w:trPr>
        <w:tc>
          <w:tcPr>
            <w:tcW w:w="4678" w:type="dxa"/>
            <w:tcBorders>
              <w:top w:val="single" w:sz="8" w:space="0" w:color="auto"/>
              <w:left w:val="nil"/>
              <w:bottom w:val="nil"/>
              <w:right w:val="nil"/>
            </w:tcBorders>
            <w:shd w:val="clear" w:color="auto" w:fill="auto"/>
            <w:noWrap/>
            <w:vAlign w:val="center"/>
            <w:hideMark/>
          </w:tcPr>
          <w:p w14:paraId="250F4EC6"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Farming/estate work</w:t>
            </w:r>
          </w:p>
        </w:tc>
        <w:tc>
          <w:tcPr>
            <w:tcW w:w="782" w:type="dxa"/>
            <w:tcBorders>
              <w:top w:val="single" w:sz="8" w:space="0" w:color="auto"/>
              <w:left w:val="nil"/>
              <w:bottom w:val="nil"/>
              <w:right w:val="nil"/>
            </w:tcBorders>
            <w:shd w:val="clear" w:color="auto" w:fill="auto"/>
            <w:noWrap/>
            <w:vAlign w:val="bottom"/>
            <w:hideMark/>
          </w:tcPr>
          <w:p w14:paraId="574DB93A"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15,448</w:t>
            </w:r>
          </w:p>
        </w:tc>
        <w:tc>
          <w:tcPr>
            <w:tcW w:w="960" w:type="dxa"/>
            <w:tcBorders>
              <w:top w:val="single" w:sz="8" w:space="0" w:color="auto"/>
              <w:left w:val="nil"/>
              <w:bottom w:val="nil"/>
              <w:right w:val="nil"/>
            </w:tcBorders>
            <w:shd w:val="clear" w:color="auto" w:fill="auto"/>
            <w:noWrap/>
            <w:vAlign w:val="bottom"/>
            <w:hideMark/>
          </w:tcPr>
          <w:p w14:paraId="5BC7C1D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15,181</w:t>
            </w:r>
          </w:p>
        </w:tc>
        <w:tc>
          <w:tcPr>
            <w:tcW w:w="960" w:type="dxa"/>
            <w:tcBorders>
              <w:top w:val="single" w:sz="8" w:space="0" w:color="auto"/>
              <w:left w:val="nil"/>
              <w:bottom w:val="nil"/>
              <w:right w:val="single" w:sz="8" w:space="0" w:color="auto"/>
            </w:tcBorders>
            <w:shd w:val="clear" w:color="auto" w:fill="auto"/>
            <w:noWrap/>
            <w:vAlign w:val="bottom"/>
            <w:hideMark/>
          </w:tcPr>
          <w:p w14:paraId="1964DBF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15,715</w:t>
            </w:r>
          </w:p>
        </w:tc>
        <w:tc>
          <w:tcPr>
            <w:tcW w:w="960" w:type="dxa"/>
            <w:tcBorders>
              <w:top w:val="single" w:sz="8" w:space="0" w:color="auto"/>
              <w:left w:val="nil"/>
              <w:bottom w:val="nil"/>
              <w:right w:val="nil"/>
            </w:tcBorders>
            <w:shd w:val="clear" w:color="auto" w:fill="auto"/>
            <w:noWrap/>
            <w:vAlign w:val="bottom"/>
            <w:hideMark/>
          </w:tcPr>
          <w:p w14:paraId="4D5700F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9,445</w:t>
            </w:r>
          </w:p>
        </w:tc>
        <w:tc>
          <w:tcPr>
            <w:tcW w:w="960" w:type="dxa"/>
            <w:tcBorders>
              <w:top w:val="single" w:sz="8" w:space="0" w:color="auto"/>
              <w:left w:val="nil"/>
              <w:bottom w:val="nil"/>
              <w:right w:val="nil"/>
            </w:tcBorders>
            <w:shd w:val="clear" w:color="auto" w:fill="auto"/>
            <w:noWrap/>
            <w:vAlign w:val="bottom"/>
            <w:hideMark/>
          </w:tcPr>
          <w:p w14:paraId="1DCD286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9,240</w:t>
            </w:r>
          </w:p>
        </w:tc>
        <w:tc>
          <w:tcPr>
            <w:tcW w:w="960" w:type="dxa"/>
            <w:tcBorders>
              <w:top w:val="single" w:sz="8" w:space="0" w:color="auto"/>
              <w:left w:val="nil"/>
              <w:bottom w:val="nil"/>
              <w:right w:val="single" w:sz="8" w:space="0" w:color="auto"/>
            </w:tcBorders>
            <w:shd w:val="clear" w:color="auto" w:fill="auto"/>
            <w:noWrap/>
            <w:vAlign w:val="bottom"/>
            <w:hideMark/>
          </w:tcPr>
          <w:p w14:paraId="62949A8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9,650</w:t>
            </w:r>
          </w:p>
        </w:tc>
        <w:tc>
          <w:tcPr>
            <w:tcW w:w="960" w:type="dxa"/>
            <w:tcBorders>
              <w:top w:val="single" w:sz="8" w:space="0" w:color="auto"/>
              <w:left w:val="nil"/>
              <w:bottom w:val="nil"/>
              <w:right w:val="nil"/>
            </w:tcBorders>
            <w:shd w:val="clear" w:color="auto" w:fill="auto"/>
            <w:noWrap/>
            <w:vAlign w:val="bottom"/>
            <w:hideMark/>
          </w:tcPr>
          <w:p w14:paraId="79F8874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8,564</w:t>
            </w:r>
          </w:p>
        </w:tc>
        <w:tc>
          <w:tcPr>
            <w:tcW w:w="960" w:type="dxa"/>
            <w:tcBorders>
              <w:top w:val="single" w:sz="8" w:space="0" w:color="auto"/>
              <w:left w:val="nil"/>
              <w:bottom w:val="nil"/>
              <w:right w:val="nil"/>
            </w:tcBorders>
            <w:shd w:val="clear" w:color="auto" w:fill="auto"/>
            <w:noWrap/>
            <w:vAlign w:val="bottom"/>
            <w:hideMark/>
          </w:tcPr>
          <w:p w14:paraId="4E6A9A0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8,358</w:t>
            </w:r>
          </w:p>
        </w:tc>
        <w:tc>
          <w:tcPr>
            <w:tcW w:w="960" w:type="dxa"/>
            <w:tcBorders>
              <w:top w:val="single" w:sz="8" w:space="0" w:color="auto"/>
              <w:left w:val="nil"/>
              <w:bottom w:val="nil"/>
              <w:right w:val="nil"/>
            </w:tcBorders>
            <w:shd w:val="clear" w:color="auto" w:fill="auto"/>
            <w:noWrap/>
            <w:vAlign w:val="bottom"/>
            <w:hideMark/>
          </w:tcPr>
          <w:p w14:paraId="6AA3629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8,770</w:t>
            </w:r>
          </w:p>
        </w:tc>
      </w:tr>
      <w:tr w:rsidR="00B8454C" w:rsidRPr="00B8454C" w14:paraId="58FFA0CF" w14:textId="77777777" w:rsidTr="00874EE0">
        <w:trPr>
          <w:trHeight w:val="315"/>
        </w:trPr>
        <w:tc>
          <w:tcPr>
            <w:tcW w:w="4678" w:type="dxa"/>
            <w:tcBorders>
              <w:top w:val="nil"/>
              <w:left w:val="nil"/>
              <w:bottom w:val="nil"/>
              <w:right w:val="nil"/>
            </w:tcBorders>
            <w:shd w:val="clear" w:color="auto" w:fill="auto"/>
            <w:noWrap/>
            <w:vAlign w:val="center"/>
            <w:hideMark/>
          </w:tcPr>
          <w:p w14:paraId="39F58FB3"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Mining and quarrying</w:t>
            </w:r>
          </w:p>
        </w:tc>
        <w:tc>
          <w:tcPr>
            <w:tcW w:w="782" w:type="dxa"/>
            <w:tcBorders>
              <w:top w:val="nil"/>
              <w:left w:val="nil"/>
              <w:bottom w:val="nil"/>
              <w:right w:val="nil"/>
            </w:tcBorders>
            <w:shd w:val="clear" w:color="auto" w:fill="auto"/>
            <w:noWrap/>
            <w:vAlign w:val="bottom"/>
            <w:hideMark/>
          </w:tcPr>
          <w:p w14:paraId="1C9686C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240</w:t>
            </w:r>
          </w:p>
        </w:tc>
        <w:tc>
          <w:tcPr>
            <w:tcW w:w="960" w:type="dxa"/>
            <w:tcBorders>
              <w:top w:val="nil"/>
              <w:left w:val="nil"/>
              <w:bottom w:val="nil"/>
              <w:right w:val="nil"/>
            </w:tcBorders>
            <w:shd w:val="clear" w:color="auto" w:fill="auto"/>
            <w:noWrap/>
            <w:vAlign w:val="bottom"/>
            <w:hideMark/>
          </w:tcPr>
          <w:p w14:paraId="55BCE4A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205</w:t>
            </w:r>
          </w:p>
        </w:tc>
        <w:tc>
          <w:tcPr>
            <w:tcW w:w="960" w:type="dxa"/>
            <w:tcBorders>
              <w:top w:val="nil"/>
              <w:left w:val="nil"/>
              <w:bottom w:val="nil"/>
              <w:right w:val="single" w:sz="8" w:space="0" w:color="auto"/>
            </w:tcBorders>
            <w:shd w:val="clear" w:color="auto" w:fill="auto"/>
            <w:noWrap/>
            <w:vAlign w:val="bottom"/>
            <w:hideMark/>
          </w:tcPr>
          <w:p w14:paraId="4A9C66C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274</w:t>
            </w:r>
          </w:p>
        </w:tc>
        <w:tc>
          <w:tcPr>
            <w:tcW w:w="960" w:type="dxa"/>
            <w:tcBorders>
              <w:top w:val="nil"/>
              <w:left w:val="nil"/>
              <w:bottom w:val="nil"/>
              <w:right w:val="nil"/>
            </w:tcBorders>
            <w:shd w:val="clear" w:color="auto" w:fill="auto"/>
            <w:noWrap/>
            <w:vAlign w:val="bottom"/>
            <w:hideMark/>
          </w:tcPr>
          <w:p w14:paraId="6D20D70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191</w:t>
            </w:r>
          </w:p>
        </w:tc>
        <w:tc>
          <w:tcPr>
            <w:tcW w:w="960" w:type="dxa"/>
            <w:tcBorders>
              <w:top w:val="nil"/>
              <w:left w:val="nil"/>
              <w:bottom w:val="nil"/>
              <w:right w:val="nil"/>
            </w:tcBorders>
            <w:shd w:val="clear" w:color="auto" w:fill="auto"/>
            <w:noWrap/>
            <w:vAlign w:val="bottom"/>
            <w:hideMark/>
          </w:tcPr>
          <w:p w14:paraId="1FE5505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161</w:t>
            </w:r>
          </w:p>
        </w:tc>
        <w:tc>
          <w:tcPr>
            <w:tcW w:w="960" w:type="dxa"/>
            <w:tcBorders>
              <w:top w:val="nil"/>
              <w:left w:val="nil"/>
              <w:bottom w:val="nil"/>
              <w:right w:val="single" w:sz="8" w:space="0" w:color="auto"/>
            </w:tcBorders>
            <w:shd w:val="clear" w:color="auto" w:fill="auto"/>
            <w:noWrap/>
            <w:vAlign w:val="bottom"/>
            <w:hideMark/>
          </w:tcPr>
          <w:p w14:paraId="3B476FD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221</w:t>
            </w:r>
          </w:p>
        </w:tc>
        <w:tc>
          <w:tcPr>
            <w:tcW w:w="960" w:type="dxa"/>
            <w:tcBorders>
              <w:top w:val="nil"/>
              <w:left w:val="nil"/>
              <w:bottom w:val="nil"/>
              <w:right w:val="nil"/>
            </w:tcBorders>
            <w:shd w:val="clear" w:color="auto" w:fill="auto"/>
            <w:noWrap/>
            <w:vAlign w:val="bottom"/>
            <w:hideMark/>
          </w:tcPr>
          <w:p w14:paraId="3E9B912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423</w:t>
            </w:r>
          </w:p>
        </w:tc>
        <w:tc>
          <w:tcPr>
            <w:tcW w:w="960" w:type="dxa"/>
            <w:tcBorders>
              <w:top w:val="nil"/>
              <w:left w:val="nil"/>
              <w:bottom w:val="nil"/>
              <w:right w:val="nil"/>
            </w:tcBorders>
            <w:shd w:val="clear" w:color="auto" w:fill="auto"/>
            <w:noWrap/>
            <w:vAlign w:val="bottom"/>
            <w:hideMark/>
          </w:tcPr>
          <w:p w14:paraId="711D836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368</w:t>
            </w:r>
          </w:p>
        </w:tc>
        <w:tc>
          <w:tcPr>
            <w:tcW w:w="960" w:type="dxa"/>
            <w:tcBorders>
              <w:top w:val="nil"/>
              <w:left w:val="nil"/>
              <w:bottom w:val="nil"/>
              <w:right w:val="nil"/>
            </w:tcBorders>
            <w:shd w:val="clear" w:color="auto" w:fill="auto"/>
            <w:noWrap/>
            <w:vAlign w:val="bottom"/>
            <w:hideMark/>
          </w:tcPr>
          <w:p w14:paraId="1445E8C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479</w:t>
            </w:r>
          </w:p>
        </w:tc>
      </w:tr>
      <w:tr w:rsidR="00B8454C" w:rsidRPr="00B8454C" w14:paraId="458A4977" w14:textId="77777777" w:rsidTr="00874EE0">
        <w:trPr>
          <w:trHeight w:val="315"/>
        </w:trPr>
        <w:tc>
          <w:tcPr>
            <w:tcW w:w="4678" w:type="dxa"/>
            <w:tcBorders>
              <w:top w:val="nil"/>
              <w:left w:val="nil"/>
              <w:bottom w:val="nil"/>
              <w:right w:val="nil"/>
            </w:tcBorders>
            <w:shd w:val="clear" w:color="auto" w:fill="auto"/>
            <w:noWrap/>
            <w:vAlign w:val="center"/>
            <w:hideMark/>
          </w:tcPr>
          <w:p w14:paraId="61C91DD5"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Construction</w:t>
            </w:r>
          </w:p>
        </w:tc>
        <w:tc>
          <w:tcPr>
            <w:tcW w:w="782" w:type="dxa"/>
            <w:tcBorders>
              <w:top w:val="nil"/>
              <w:left w:val="nil"/>
              <w:bottom w:val="nil"/>
              <w:right w:val="nil"/>
            </w:tcBorders>
            <w:shd w:val="clear" w:color="auto" w:fill="auto"/>
            <w:noWrap/>
            <w:vAlign w:val="bottom"/>
            <w:hideMark/>
          </w:tcPr>
          <w:p w14:paraId="7B8A5F2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1,038</w:t>
            </w:r>
          </w:p>
        </w:tc>
        <w:tc>
          <w:tcPr>
            <w:tcW w:w="960" w:type="dxa"/>
            <w:tcBorders>
              <w:top w:val="nil"/>
              <w:left w:val="nil"/>
              <w:bottom w:val="nil"/>
              <w:right w:val="nil"/>
            </w:tcBorders>
            <w:shd w:val="clear" w:color="auto" w:fill="auto"/>
            <w:noWrap/>
            <w:vAlign w:val="bottom"/>
            <w:hideMark/>
          </w:tcPr>
          <w:p w14:paraId="06712EC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965</w:t>
            </w:r>
          </w:p>
        </w:tc>
        <w:tc>
          <w:tcPr>
            <w:tcW w:w="960" w:type="dxa"/>
            <w:tcBorders>
              <w:top w:val="nil"/>
              <w:left w:val="nil"/>
              <w:bottom w:val="nil"/>
              <w:right w:val="single" w:sz="8" w:space="0" w:color="auto"/>
            </w:tcBorders>
            <w:shd w:val="clear" w:color="auto" w:fill="auto"/>
            <w:noWrap/>
            <w:vAlign w:val="bottom"/>
            <w:hideMark/>
          </w:tcPr>
          <w:p w14:paraId="3F1CCA2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1,112</w:t>
            </w:r>
          </w:p>
        </w:tc>
        <w:tc>
          <w:tcPr>
            <w:tcW w:w="960" w:type="dxa"/>
            <w:tcBorders>
              <w:top w:val="nil"/>
              <w:left w:val="nil"/>
              <w:bottom w:val="nil"/>
              <w:right w:val="nil"/>
            </w:tcBorders>
            <w:shd w:val="clear" w:color="auto" w:fill="auto"/>
            <w:noWrap/>
            <w:vAlign w:val="bottom"/>
            <w:hideMark/>
          </w:tcPr>
          <w:p w14:paraId="4E83508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886</w:t>
            </w:r>
          </w:p>
        </w:tc>
        <w:tc>
          <w:tcPr>
            <w:tcW w:w="960" w:type="dxa"/>
            <w:tcBorders>
              <w:top w:val="nil"/>
              <w:left w:val="nil"/>
              <w:bottom w:val="nil"/>
              <w:right w:val="nil"/>
            </w:tcBorders>
            <w:shd w:val="clear" w:color="auto" w:fill="auto"/>
            <w:noWrap/>
            <w:vAlign w:val="bottom"/>
            <w:hideMark/>
          </w:tcPr>
          <w:p w14:paraId="1EB4D3D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822</w:t>
            </w:r>
          </w:p>
        </w:tc>
        <w:tc>
          <w:tcPr>
            <w:tcW w:w="960" w:type="dxa"/>
            <w:tcBorders>
              <w:top w:val="nil"/>
              <w:left w:val="nil"/>
              <w:bottom w:val="nil"/>
              <w:right w:val="single" w:sz="8" w:space="0" w:color="auto"/>
            </w:tcBorders>
            <w:shd w:val="clear" w:color="auto" w:fill="auto"/>
            <w:noWrap/>
            <w:vAlign w:val="bottom"/>
            <w:hideMark/>
          </w:tcPr>
          <w:p w14:paraId="1A2E8FB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950</w:t>
            </w:r>
          </w:p>
        </w:tc>
        <w:tc>
          <w:tcPr>
            <w:tcW w:w="960" w:type="dxa"/>
            <w:tcBorders>
              <w:top w:val="nil"/>
              <w:left w:val="nil"/>
              <w:bottom w:val="nil"/>
              <w:right w:val="nil"/>
            </w:tcBorders>
            <w:shd w:val="clear" w:color="auto" w:fill="auto"/>
            <w:noWrap/>
            <w:vAlign w:val="bottom"/>
            <w:hideMark/>
          </w:tcPr>
          <w:p w14:paraId="074BCEA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2,003</w:t>
            </w:r>
          </w:p>
        </w:tc>
        <w:tc>
          <w:tcPr>
            <w:tcW w:w="960" w:type="dxa"/>
            <w:tcBorders>
              <w:top w:val="nil"/>
              <w:left w:val="nil"/>
              <w:bottom w:val="nil"/>
              <w:right w:val="nil"/>
            </w:tcBorders>
            <w:shd w:val="clear" w:color="auto" w:fill="auto"/>
            <w:noWrap/>
            <w:vAlign w:val="bottom"/>
            <w:hideMark/>
          </w:tcPr>
          <w:p w14:paraId="024288A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1,815</w:t>
            </w:r>
          </w:p>
        </w:tc>
        <w:tc>
          <w:tcPr>
            <w:tcW w:w="960" w:type="dxa"/>
            <w:tcBorders>
              <w:top w:val="nil"/>
              <w:left w:val="nil"/>
              <w:bottom w:val="nil"/>
              <w:right w:val="nil"/>
            </w:tcBorders>
            <w:shd w:val="clear" w:color="auto" w:fill="auto"/>
            <w:noWrap/>
            <w:vAlign w:val="bottom"/>
            <w:hideMark/>
          </w:tcPr>
          <w:p w14:paraId="4D8013F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2,191</w:t>
            </w:r>
          </w:p>
        </w:tc>
      </w:tr>
      <w:tr w:rsidR="00B8454C" w:rsidRPr="00B8454C" w14:paraId="06F0CAE3" w14:textId="77777777" w:rsidTr="00874EE0">
        <w:trPr>
          <w:trHeight w:val="315"/>
        </w:trPr>
        <w:tc>
          <w:tcPr>
            <w:tcW w:w="4678" w:type="dxa"/>
            <w:tcBorders>
              <w:top w:val="nil"/>
              <w:left w:val="nil"/>
              <w:bottom w:val="nil"/>
              <w:right w:val="nil"/>
            </w:tcBorders>
            <w:shd w:val="clear" w:color="auto" w:fill="auto"/>
            <w:noWrap/>
            <w:vAlign w:val="center"/>
            <w:hideMark/>
          </w:tcPr>
          <w:p w14:paraId="65313232"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Manufacturing</w:t>
            </w:r>
          </w:p>
        </w:tc>
        <w:tc>
          <w:tcPr>
            <w:tcW w:w="782" w:type="dxa"/>
            <w:tcBorders>
              <w:top w:val="nil"/>
              <w:left w:val="nil"/>
              <w:bottom w:val="nil"/>
              <w:right w:val="nil"/>
            </w:tcBorders>
            <w:shd w:val="clear" w:color="auto" w:fill="auto"/>
            <w:noWrap/>
            <w:vAlign w:val="bottom"/>
            <w:hideMark/>
          </w:tcPr>
          <w:p w14:paraId="2B5F8B7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14,491</w:t>
            </w:r>
          </w:p>
        </w:tc>
        <w:tc>
          <w:tcPr>
            <w:tcW w:w="960" w:type="dxa"/>
            <w:tcBorders>
              <w:top w:val="nil"/>
              <w:left w:val="nil"/>
              <w:bottom w:val="nil"/>
              <w:right w:val="nil"/>
            </w:tcBorders>
            <w:shd w:val="clear" w:color="auto" w:fill="auto"/>
            <w:noWrap/>
            <w:vAlign w:val="bottom"/>
            <w:hideMark/>
          </w:tcPr>
          <w:p w14:paraId="0B7561B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14,235</w:t>
            </w:r>
          </w:p>
        </w:tc>
        <w:tc>
          <w:tcPr>
            <w:tcW w:w="960" w:type="dxa"/>
            <w:tcBorders>
              <w:top w:val="nil"/>
              <w:left w:val="nil"/>
              <w:bottom w:val="nil"/>
              <w:right w:val="single" w:sz="8" w:space="0" w:color="auto"/>
            </w:tcBorders>
            <w:shd w:val="clear" w:color="auto" w:fill="auto"/>
            <w:noWrap/>
            <w:vAlign w:val="bottom"/>
            <w:hideMark/>
          </w:tcPr>
          <w:p w14:paraId="31337AE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14,747</w:t>
            </w:r>
          </w:p>
        </w:tc>
        <w:tc>
          <w:tcPr>
            <w:tcW w:w="960" w:type="dxa"/>
            <w:tcBorders>
              <w:top w:val="nil"/>
              <w:left w:val="nil"/>
              <w:bottom w:val="nil"/>
              <w:right w:val="nil"/>
            </w:tcBorders>
            <w:shd w:val="clear" w:color="auto" w:fill="auto"/>
            <w:noWrap/>
            <w:vAlign w:val="bottom"/>
            <w:hideMark/>
          </w:tcPr>
          <w:p w14:paraId="1EFE072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13,155</w:t>
            </w:r>
          </w:p>
        </w:tc>
        <w:tc>
          <w:tcPr>
            <w:tcW w:w="960" w:type="dxa"/>
            <w:tcBorders>
              <w:top w:val="nil"/>
              <w:left w:val="nil"/>
              <w:bottom w:val="nil"/>
              <w:right w:val="nil"/>
            </w:tcBorders>
            <w:shd w:val="clear" w:color="auto" w:fill="auto"/>
            <w:noWrap/>
            <w:vAlign w:val="bottom"/>
            <w:hideMark/>
          </w:tcPr>
          <w:p w14:paraId="1265D90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12,921</w:t>
            </w:r>
          </w:p>
        </w:tc>
        <w:tc>
          <w:tcPr>
            <w:tcW w:w="960" w:type="dxa"/>
            <w:tcBorders>
              <w:top w:val="nil"/>
              <w:left w:val="nil"/>
              <w:bottom w:val="nil"/>
              <w:right w:val="single" w:sz="8" w:space="0" w:color="auto"/>
            </w:tcBorders>
            <w:shd w:val="clear" w:color="auto" w:fill="auto"/>
            <w:noWrap/>
            <w:vAlign w:val="bottom"/>
            <w:hideMark/>
          </w:tcPr>
          <w:p w14:paraId="6842FA2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13,389</w:t>
            </w:r>
          </w:p>
        </w:tc>
        <w:tc>
          <w:tcPr>
            <w:tcW w:w="960" w:type="dxa"/>
            <w:tcBorders>
              <w:top w:val="nil"/>
              <w:left w:val="nil"/>
              <w:bottom w:val="nil"/>
              <w:right w:val="nil"/>
            </w:tcBorders>
            <w:shd w:val="clear" w:color="auto" w:fill="auto"/>
            <w:noWrap/>
            <w:vAlign w:val="bottom"/>
            <w:hideMark/>
          </w:tcPr>
          <w:p w14:paraId="6C831DC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16,352</w:t>
            </w:r>
          </w:p>
        </w:tc>
        <w:tc>
          <w:tcPr>
            <w:tcW w:w="960" w:type="dxa"/>
            <w:tcBorders>
              <w:top w:val="nil"/>
              <w:left w:val="nil"/>
              <w:bottom w:val="nil"/>
              <w:right w:val="nil"/>
            </w:tcBorders>
            <w:shd w:val="clear" w:color="auto" w:fill="auto"/>
            <w:noWrap/>
            <w:vAlign w:val="bottom"/>
            <w:hideMark/>
          </w:tcPr>
          <w:p w14:paraId="7D1B42C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15,924</w:t>
            </w:r>
          </w:p>
        </w:tc>
        <w:tc>
          <w:tcPr>
            <w:tcW w:w="960" w:type="dxa"/>
            <w:tcBorders>
              <w:top w:val="nil"/>
              <w:left w:val="nil"/>
              <w:bottom w:val="nil"/>
              <w:right w:val="nil"/>
            </w:tcBorders>
            <w:shd w:val="clear" w:color="auto" w:fill="auto"/>
            <w:noWrap/>
            <w:vAlign w:val="bottom"/>
            <w:hideMark/>
          </w:tcPr>
          <w:p w14:paraId="19DE79B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16,780</w:t>
            </w:r>
          </w:p>
        </w:tc>
      </w:tr>
      <w:tr w:rsidR="00B8454C" w:rsidRPr="00B8454C" w14:paraId="4634F817" w14:textId="77777777" w:rsidTr="00874EE0">
        <w:trPr>
          <w:trHeight w:val="315"/>
        </w:trPr>
        <w:tc>
          <w:tcPr>
            <w:tcW w:w="4678" w:type="dxa"/>
            <w:tcBorders>
              <w:top w:val="nil"/>
              <w:left w:val="nil"/>
              <w:bottom w:val="nil"/>
              <w:right w:val="nil"/>
            </w:tcBorders>
            <w:shd w:val="clear" w:color="auto" w:fill="auto"/>
            <w:noWrap/>
            <w:vAlign w:val="center"/>
            <w:hideMark/>
          </w:tcPr>
          <w:p w14:paraId="5EA412AC"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Maker-dealer</w:t>
            </w:r>
          </w:p>
        </w:tc>
        <w:tc>
          <w:tcPr>
            <w:tcW w:w="782" w:type="dxa"/>
            <w:tcBorders>
              <w:top w:val="nil"/>
              <w:left w:val="nil"/>
              <w:bottom w:val="nil"/>
              <w:right w:val="nil"/>
            </w:tcBorders>
            <w:shd w:val="clear" w:color="auto" w:fill="auto"/>
            <w:noWrap/>
            <w:vAlign w:val="bottom"/>
            <w:hideMark/>
          </w:tcPr>
          <w:p w14:paraId="576D30C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186,534</w:t>
            </w:r>
          </w:p>
        </w:tc>
        <w:tc>
          <w:tcPr>
            <w:tcW w:w="960" w:type="dxa"/>
            <w:tcBorders>
              <w:top w:val="nil"/>
              <w:left w:val="nil"/>
              <w:bottom w:val="nil"/>
              <w:right w:val="nil"/>
            </w:tcBorders>
            <w:shd w:val="clear" w:color="auto" w:fill="auto"/>
            <w:noWrap/>
            <w:vAlign w:val="bottom"/>
            <w:hideMark/>
          </w:tcPr>
          <w:p w14:paraId="12F4B8B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185,885</w:t>
            </w:r>
          </w:p>
        </w:tc>
        <w:tc>
          <w:tcPr>
            <w:tcW w:w="960" w:type="dxa"/>
            <w:tcBorders>
              <w:top w:val="nil"/>
              <w:left w:val="nil"/>
              <w:bottom w:val="nil"/>
              <w:right w:val="single" w:sz="8" w:space="0" w:color="auto"/>
            </w:tcBorders>
            <w:shd w:val="clear" w:color="auto" w:fill="auto"/>
            <w:noWrap/>
            <w:vAlign w:val="bottom"/>
            <w:hideMark/>
          </w:tcPr>
          <w:p w14:paraId="515EA1A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187,182</w:t>
            </w:r>
          </w:p>
        </w:tc>
        <w:tc>
          <w:tcPr>
            <w:tcW w:w="960" w:type="dxa"/>
            <w:tcBorders>
              <w:top w:val="nil"/>
              <w:left w:val="nil"/>
              <w:bottom w:val="nil"/>
              <w:right w:val="nil"/>
            </w:tcBorders>
            <w:shd w:val="clear" w:color="auto" w:fill="auto"/>
            <w:noWrap/>
            <w:vAlign w:val="bottom"/>
            <w:hideMark/>
          </w:tcPr>
          <w:p w14:paraId="366BD8A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206,375</w:t>
            </w:r>
          </w:p>
        </w:tc>
        <w:tc>
          <w:tcPr>
            <w:tcW w:w="960" w:type="dxa"/>
            <w:tcBorders>
              <w:top w:val="nil"/>
              <w:left w:val="nil"/>
              <w:bottom w:val="nil"/>
              <w:right w:val="nil"/>
            </w:tcBorders>
            <w:shd w:val="clear" w:color="auto" w:fill="auto"/>
            <w:noWrap/>
            <w:vAlign w:val="bottom"/>
            <w:hideMark/>
          </w:tcPr>
          <w:p w14:paraId="62639B31"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205,710</w:t>
            </w:r>
          </w:p>
        </w:tc>
        <w:tc>
          <w:tcPr>
            <w:tcW w:w="960" w:type="dxa"/>
            <w:tcBorders>
              <w:top w:val="nil"/>
              <w:left w:val="nil"/>
              <w:bottom w:val="nil"/>
              <w:right w:val="single" w:sz="8" w:space="0" w:color="auto"/>
            </w:tcBorders>
            <w:shd w:val="clear" w:color="auto" w:fill="auto"/>
            <w:noWrap/>
            <w:vAlign w:val="bottom"/>
            <w:hideMark/>
          </w:tcPr>
          <w:p w14:paraId="224591C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207,040</w:t>
            </w:r>
          </w:p>
        </w:tc>
        <w:tc>
          <w:tcPr>
            <w:tcW w:w="960" w:type="dxa"/>
            <w:tcBorders>
              <w:top w:val="nil"/>
              <w:left w:val="nil"/>
              <w:bottom w:val="nil"/>
              <w:right w:val="nil"/>
            </w:tcBorders>
            <w:shd w:val="clear" w:color="auto" w:fill="auto"/>
            <w:noWrap/>
            <w:vAlign w:val="bottom"/>
            <w:hideMark/>
          </w:tcPr>
          <w:p w14:paraId="61F727A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165,011</w:t>
            </w:r>
          </w:p>
        </w:tc>
        <w:tc>
          <w:tcPr>
            <w:tcW w:w="960" w:type="dxa"/>
            <w:tcBorders>
              <w:top w:val="nil"/>
              <w:left w:val="nil"/>
              <w:bottom w:val="nil"/>
              <w:right w:val="nil"/>
            </w:tcBorders>
            <w:shd w:val="clear" w:color="auto" w:fill="auto"/>
            <w:noWrap/>
            <w:vAlign w:val="bottom"/>
            <w:hideMark/>
          </w:tcPr>
          <w:p w14:paraId="61B85A9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164,384</w:t>
            </w:r>
          </w:p>
        </w:tc>
        <w:tc>
          <w:tcPr>
            <w:tcW w:w="960" w:type="dxa"/>
            <w:tcBorders>
              <w:top w:val="nil"/>
              <w:left w:val="nil"/>
              <w:bottom w:val="nil"/>
              <w:right w:val="nil"/>
            </w:tcBorders>
            <w:shd w:val="clear" w:color="auto" w:fill="auto"/>
            <w:noWrap/>
            <w:vAlign w:val="bottom"/>
            <w:hideMark/>
          </w:tcPr>
          <w:p w14:paraId="78789D3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165,638</w:t>
            </w:r>
          </w:p>
        </w:tc>
      </w:tr>
      <w:tr w:rsidR="00B8454C" w:rsidRPr="00B8454C" w14:paraId="1C2A3EE3" w14:textId="77777777" w:rsidTr="00874EE0">
        <w:trPr>
          <w:trHeight w:val="315"/>
        </w:trPr>
        <w:tc>
          <w:tcPr>
            <w:tcW w:w="4678" w:type="dxa"/>
            <w:tcBorders>
              <w:top w:val="nil"/>
              <w:left w:val="nil"/>
              <w:bottom w:val="nil"/>
              <w:right w:val="nil"/>
            </w:tcBorders>
            <w:shd w:val="clear" w:color="auto" w:fill="auto"/>
            <w:noWrap/>
            <w:vAlign w:val="center"/>
            <w:hideMark/>
          </w:tcPr>
          <w:p w14:paraId="791E5668"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lastRenderedPageBreak/>
              <w:t>Retail</w:t>
            </w:r>
          </w:p>
        </w:tc>
        <w:tc>
          <w:tcPr>
            <w:tcW w:w="782" w:type="dxa"/>
            <w:tcBorders>
              <w:top w:val="nil"/>
              <w:left w:val="nil"/>
              <w:bottom w:val="nil"/>
              <w:right w:val="nil"/>
            </w:tcBorders>
            <w:shd w:val="clear" w:color="auto" w:fill="auto"/>
            <w:noWrap/>
            <w:vAlign w:val="bottom"/>
            <w:hideMark/>
          </w:tcPr>
          <w:p w14:paraId="1BE5BBA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16,871</w:t>
            </w:r>
          </w:p>
        </w:tc>
        <w:tc>
          <w:tcPr>
            <w:tcW w:w="960" w:type="dxa"/>
            <w:tcBorders>
              <w:top w:val="nil"/>
              <w:left w:val="nil"/>
              <w:bottom w:val="nil"/>
              <w:right w:val="nil"/>
            </w:tcBorders>
            <w:shd w:val="clear" w:color="auto" w:fill="auto"/>
            <w:noWrap/>
            <w:vAlign w:val="bottom"/>
            <w:hideMark/>
          </w:tcPr>
          <w:p w14:paraId="575C066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16,606</w:t>
            </w:r>
          </w:p>
        </w:tc>
        <w:tc>
          <w:tcPr>
            <w:tcW w:w="960" w:type="dxa"/>
            <w:tcBorders>
              <w:top w:val="nil"/>
              <w:left w:val="nil"/>
              <w:bottom w:val="nil"/>
              <w:right w:val="single" w:sz="8" w:space="0" w:color="auto"/>
            </w:tcBorders>
            <w:shd w:val="clear" w:color="auto" w:fill="auto"/>
            <w:noWrap/>
            <w:vAlign w:val="bottom"/>
            <w:hideMark/>
          </w:tcPr>
          <w:p w14:paraId="006E5B0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17,136</w:t>
            </w:r>
          </w:p>
        </w:tc>
        <w:tc>
          <w:tcPr>
            <w:tcW w:w="960" w:type="dxa"/>
            <w:tcBorders>
              <w:top w:val="nil"/>
              <w:left w:val="nil"/>
              <w:bottom w:val="nil"/>
              <w:right w:val="nil"/>
            </w:tcBorders>
            <w:shd w:val="clear" w:color="auto" w:fill="auto"/>
            <w:noWrap/>
            <w:vAlign w:val="bottom"/>
            <w:hideMark/>
          </w:tcPr>
          <w:p w14:paraId="24A6416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21,120</w:t>
            </w:r>
          </w:p>
        </w:tc>
        <w:tc>
          <w:tcPr>
            <w:tcW w:w="960" w:type="dxa"/>
            <w:tcBorders>
              <w:top w:val="nil"/>
              <w:left w:val="nil"/>
              <w:bottom w:val="nil"/>
              <w:right w:val="nil"/>
            </w:tcBorders>
            <w:shd w:val="clear" w:color="auto" w:fill="auto"/>
            <w:noWrap/>
            <w:vAlign w:val="bottom"/>
            <w:hideMark/>
          </w:tcPr>
          <w:p w14:paraId="1927F8E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20,831</w:t>
            </w:r>
          </w:p>
        </w:tc>
        <w:tc>
          <w:tcPr>
            <w:tcW w:w="960" w:type="dxa"/>
            <w:tcBorders>
              <w:top w:val="nil"/>
              <w:left w:val="nil"/>
              <w:bottom w:val="nil"/>
              <w:right w:val="single" w:sz="8" w:space="0" w:color="auto"/>
            </w:tcBorders>
            <w:shd w:val="clear" w:color="auto" w:fill="auto"/>
            <w:noWrap/>
            <w:vAlign w:val="bottom"/>
            <w:hideMark/>
          </w:tcPr>
          <w:p w14:paraId="2D850EF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21,408</w:t>
            </w:r>
          </w:p>
        </w:tc>
        <w:tc>
          <w:tcPr>
            <w:tcW w:w="960" w:type="dxa"/>
            <w:tcBorders>
              <w:top w:val="nil"/>
              <w:left w:val="nil"/>
              <w:bottom w:val="nil"/>
              <w:right w:val="nil"/>
            </w:tcBorders>
            <w:shd w:val="clear" w:color="auto" w:fill="auto"/>
            <w:noWrap/>
            <w:vAlign w:val="bottom"/>
            <w:hideMark/>
          </w:tcPr>
          <w:p w14:paraId="649B4B9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29,246</w:t>
            </w:r>
          </w:p>
        </w:tc>
        <w:tc>
          <w:tcPr>
            <w:tcW w:w="960" w:type="dxa"/>
            <w:tcBorders>
              <w:top w:val="nil"/>
              <w:left w:val="nil"/>
              <w:bottom w:val="nil"/>
              <w:right w:val="nil"/>
            </w:tcBorders>
            <w:shd w:val="clear" w:color="auto" w:fill="auto"/>
            <w:noWrap/>
            <w:vAlign w:val="bottom"/>
            <w:hideMark/>
          </w:tcPr>
          <w:p w14:paraId="34B0CB9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28,906</w:t>
            </w:r>
          </w:p>
        </w:tc>
        <w:tc>
          <w:tcPr>
            <w:tcW w:w="960" w:type="dxa"/>
            <w:tcBorders>
              <w:top w:val="nil"/>
              <w:left w:val="nil"/>
              <w:bottom w:val="nil"/>
              <w:right w:val="nil"/>
            </w:tcBorders>
            <w:shd w:val="clear" w:color="auto" w:fill="auto"/>
            <w:noWrap/>
            <w:vAlign w:val="bottom"/>
            <w:hideMark/>
          </w:tcPr>
          <w:p w14:paraId="7D7F6A9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29,587</w:t>
            </w:r>
          </w:p>
        </w:tc>
      </w:tr>
      <w:tr w:rsidR="00B8454C" w:rsidRPr="00B8454C" w14:paraId="6CE85FB4" w14:textId="77777777" w:rsidTr="00874EE0">
        <w:trPr>
          <w:trHeight w:val="315"/>
        </w:trPr>
        <w:tc>
          <w:tcPr>
            <w:tcW w:w="4678" w:type="dxa"/>
            <w:tcBorders>
              <w:top w:val="nil"/>
              <w:left w:val="nil"/>
              <w:bottom w:val="nil"/>
              <w:right w:val="nil"/>
            </w:tcBorders>
            <w:shd w:val="clear" w:color="auto" w:fill="auto"/>
            <w:noWrap/>
            <w:vAlign w:val="center"/>
            <w:hideMark/>
          </w:tcPr>
          <w:p w14:paraId="1BBB5E50"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Transport</w:t>
            </w:r>
          </w:p>
        </w:tc>
        <w:tc>
          <w:tcPr>
            <w:tcW w:w="782" w:type="dxa"/>
            <w:tcBorders>
              <w:top w:val="nil"/>
              <w:left w:val="nil"/>
              <w:bottom w:val="nil"/>
              <w:right w:val="nil"/>
            </w:tcBorders>
            <w:shd w:val="clear" w:color="auto" w:fill="auto"/>
            <w:noWrap/>
            <w:vAlign w:val="bottom"/>
            <w:hideMark/>
          </w:tcPr>
          <w:p w14:paraId="7E1DE05A"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916</w:t>
            </w:r>
          </w:p>
        </w:tc>
        <w:tc>
          <w:tcPr>
            <w:tcW w:w="960" w:type="dxa"/>
            <w:tcBorders>
              <w:top w:val="nil"/>
              <w:left w:val="nil"/>
              <w:bottom w:val="nil"/>
              <w:right w:val="nil"/>
            </w:tcBorders>
            <w:shd w:val="clear" w:color="auto" w:fill="auto"/>
            <w:noWrap/>
            <w:vAlign w:val="bottom"/>
            <w:hideMark/>
          </w:tcPr>
          <w:p w14:paraId="5B34CCD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849</w:t>
            </w:r>
          </w:p>
        </w:tc>
        <w:tc>
          <w:tcPr>
            <w:tcW w:w="960" w:type="dxa"/>
            <w:tcBorders>
              <w:top w:val="nil"/>
              <w:left w:val="nil"/>
              <w:bottom w:val="nil"/>
              <w:right w:val="single" w:sz="8" w:space="0" w:color="auto"/>
            </w:tcBorders>
            <w:shd w:val="clear" w:color="auto" w:fill="auto"/>
            <w:noWrap/>
            <w:vAlign w:val="bottom"/>
            <w:hideMark/>
          </w:tcPr>
          <w:p w14:paraId="13A410F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982</w:t>
            </w:r>
          </w:p>
        </w:tc>
        <w:tc>
          <w:tcPr>
            <w:tcW w:w="960" w:type="dxa"/>
            <w:tcBorders>
              <w:top w:val="nil"/>
              <w:left w:val="nil"/>
              <w:bottom w:val="nil"/>
              <w:right w:val="nil"/>
            </w:tcBorders>
            <w:shd w:val="clear" w:color="auto" w:fill="auto"/>
            <w:noWrap/>
            <w:vAlign w:val="bottom"/>
            <w:hideMark/>
          </w:tcPr>
          <w:p w14:paraId="182C26B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536</w:t>
            </w:r>
          </w:p>
        </w:tc>
        <w:tc>
          <w:tcPr>
            <w:tcW w:w="960" w:type="dxa"/>
            <w:tcBorders>
              <w:top w:val="nil"/>
              <w:left w:val="nil"/>
              <w:bottom w:val="nil"/>
              <w:right w:val="nil"/>
            </w:tcBorders>
            <w:shd w:val="clear" w:color="auto" w:fill="auto"/>
            <w:noWrap/>
            <w:vAlign w:val="bottom"/>
            <w:hideMark/>
          </w:tcPr>
          <w:p w14:paraId="70D69A9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487</w:t>
            </w:r>
          </w:p>
        </w:tc>
        <w:tc>
          <w:tcPr>
            <w:tcW w:w="960" w:type="dxa"/>
            <w:tcBorders>
              <w:top w:val="nil"/>
              <w:left w:val="nil"/>
              <w:bottom w:val="nil"/>
              <w:right w:val="single" w:sz="8" w:space="0" w:color="auto"/>
            </w:tcBorders>
            <w:shd w:val="clear" w:color="auto" w:fill="auto"/>
            <w:noWrap/>
            <w:vAlign w:val="bottom"/>
            <w:hideMark/>
          </w:tcPr>
          <w:p w14:paraId="73F577B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585</w:t>
            </w:r>
          </w:p>
        </w:tc>
        <w:tc>
          <w:tcPr>
            <w:tcW w:w="960" w:type="dxa"/>
            <w:tcBorders>
              <w:top w:val="nil"/>
              <w:left w:val="nil"/>
              <w:bottom w:val="nil"/>
              <w:right w:val="nil"/>
            </w:tcBorders>
            <w:shd w:val="clear" w:color="auto" w:fill="auto"/>
            <w:noWrap/>
            <w:vAlign w:val="bottom"/>
            <w:hideMark/>
          </w:tcPr>
          <w:p w14:paraId="2AFE477A"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587</w:t>
            </w:r>
          </w:p>
        </w:tc>
        <w:tc>
          <w:tcPr>
            <w:tcW w:w="960" w:type="dxa"/>
            <w:tcBorders>
              <w:top w:val="nil"/>
              <w:left w:val="nil"/>
              <w:bottom w:val="nil"/>
              <w:right w:val="nil"/>
            </w:tcBorders>
            <w:shd w:val="clear" w:color="auto" w:fill="auto"/>
            <w:noWrap/>
            <w:vAlign w:val="bottom"/>
            <w:hideMark/>
          </w:tcPr>
          <w:p w14:paraId="7808DC5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531</w:t>
            </w:r>
          </w:p>
        </w:tc>
        <w:tc>
          <w:tcPr>
            <w:tcW w:w="960" w:type="dxa"/>
            <w:tcBorders>
              <w:top w:val="nil"/>
              <w:left w:val="nil"/>
              <w:bottom w:val="nil"/>
              <w:right w:val="nil"/>
            </w:tcBorders>
            <w:shd w:val="clear" w:color="auto" w:fill="auto"/>
            <w:noWrap/>
            <w:vAlign w:val="bottom"/>
            <w:hideMark/>
          </w:tcPr>
          <w:p w14:paraId="06FB2C8A"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644</w:t>
            </w:r>
          </w:p>
        </w:tc>
      </w:tr>
      <w:tr w:rsidR="00B8454C" w:rsidRPr="00B8454C" w14:paraId="1918DAFC" w14:textId="77777777" w:rsidTr="00874EE0">
        <w:trPr>
          <w:trHeight w:val="315"/>
        </w:trPr>
        <w:tc>
          <w:tcPr>
            <w:tcW w:w="4678" w:type="dxa"/>
            <w:tcBorders>
              <w:top w:val="nil"/>
              <w:left w:val="nil"/>
              <w:bottom w:val="nil"/>
              <w:right w:val="nil"/>
            </w:tcBorders>
            <w:shd w:val="clear" w:color="auto" w:fill="auto"/>
            <w:noWrap/>
            <w:vAlign w:val="center"/>
            <w:hideMark/>
          </w:tcPr>
          <w:p w14:paraId="29AC77B9"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Professional &amp; business services</w:t>
            </w:r>
          </w:p>
        </w:tc>
        <w:tc>
          <w:tcPr>
            <w:tcW w:w="782" w:type="dxa"/>
            <w:tcBorders>
              <w:top w:val="nil"/>
              <w:left w:val="nil"/>
              <w:bottom w:val="nil"/>
              <w:right w:val="nil"/>
            </w:tcBorders>
            <w:shd w:val="clear" w:color="auto" w:fill="auto"/>
            <w:noWrap/>
            <w:vAlign w:val="bottom"/>
            <w:hideMark/>
          </w:tcPr>
          <w:p w14:paraId="5879CD7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903</w:t>
            </w:r>
          </w:p>
        </w:tc>
        <w:tc>
          <w:tcPr>
            <w:tcW w:w="960" w:type="dxa"/>
            <w:tcBorders>
              <w:top w:val="nil"/>
              <w:left w:val="nil"/>
              <w:bottom w:val="nil"/>
              <w:right w:val="nil"/>
            </w:tcBorders>
            <w:shd w:val="clear" w:color="auto" w:fill="auto"/>
            <w:noWrap/>
            <w:vAlign w:val="bottom"/>
            <w:hideMark/>
          </w:tcPr>
          <w:p w14:paraId="53CB7511"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829</w:t>
            </w:r>
          </w:p>
        </w:tc>
        <w:tc>
          <w:tcPr>
            <w:tcW w:w="960" w:type="dxa"/>
            <w:tcBorders>
              <w:top w:val="nil"/>
              <w:left w:val="nil"/>
              <w:bottom w:val="nil"/>
              <w:right w:val="single" w:sz="8" w:space="0" w:color="auto"/>
            </w:tcBorders>
            <w:shd w:val="clear" w:color="auto" w:fill="auto"/>
            <w:noWrap/>
            <w:vAlign w:val="bottom"/>
            <w:hideMark/>
          </w:tcPr>
          <w:p w14:paraId="3F56E12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977</w:t>
            </w:r>
          </w:p>
        </w:tc>
        <w:tc>
          <w:tcPr>
            <w:tcW w:w="960" w:type="dxa"/>
            <w:tcBorders>
              <w:top w:val="nil"/>
              <w:left w:val="nil"/>
              <w:bottom w:val="nil"/>
              <w:right w:val="nil"/>
            </w:tcBorders>
            <w:shd w:val="clear" w:color="auto" w:fill="auto"/>
            <w:noWrap/>
            <w:vAlign w:val="bottom"/>
            <w:hideMark/>
          </w:tcPr>
          <w:p w14:paraId="0309203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1,320</w:t>
            </w:r>
          </w:p>
        </w:tc>
        <w:tc>
          <w:tcPr>
            <w:tcW w:w="960" w:type="dxa"/>
            <w:tcBorders>
              <w:top w:val="nil"/>
              <w:left w:val="nil"/>
              <w:bottom w:val="nil"/>
              <w:right w:val="nil"/>
            </w:tcBorders>
            <w:shd w:val="clear" w:color="auto" w:fill="auto"/>
            <w:noWrap/>
            <w:vAlign w:val="bottom"/>
            <w:hideMark/>
          </w:tcPr>
          <w:p w14:paraId="10259F8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1,224</w:t>
            </w:r>
          </w:p>
        </w:tc>
        <w:tc>
          <w:tcPr>
            <w:tcW w:w="960" w:type="dxa"/>
            <w:tcBorders>
              <w:top w:val="nil"/>
              <w:left w:val="nil"/>
              <w:bottom w:val="nil"/>
              <w:right w:val="single" w:sz="8" w:space="0" w:color="auto"/>
            </w:tcBorders>
            <w:shd w:val="clear" w:color="auto" w:fill="auto"/>
            <w:noWrap/>
            <w:vAlign w:val="bottom"/>
            <w:hideMark/>
          </w:tcPr>
          <w:p w14:paraId="0E666ED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1,415</w:t>
            </w:r>
          </w:p>
        </w:tc>
        <w:tc>
          <w:tcPr>
            <w:tcW w:w="960" w:type="dxa"/>
            <w:tcBorders>
              <w:top w:val="nil"/>
              <w:left w:val="nil"/>
              <w:bottom w:val="nil"/>
              <w:right w:val="nil"/>
            </w:tcBorders>
            <w:shd w:val="clear" w:color="auto" w:fill="auto"/>
            <w:noWrap/>
            <w:vAlign w:val="bottom"/>
            <w:hideMark/>
          </w:tcPr>
          <w:p w14:paraId="0AB7FD3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2,646</w:t>
            </w:r>
          </w:p>
        </w:tc>
        <w:tc>
          <w:tcPr>
            <w:tcW w:w="960" w:type="dxa"/>
            <w:tcBorders>
              <w:top w:val="nil"/>
              <w:left w:val="nil"/>
              <w:bottom w:val="nil"/>
              <w:right w:val="nil"/>
            </w:tcBorders>
            <w:shd w:val="clear" w:color="auto" w:fill="auto"/>
            <w:noWrap/>
            <w:vAlign w:val="bottom"/>
            <w:hideMark/>
          </w:tcPr>
          <w:p w14:paraId="4F78D94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2,525</w:t>
            </w:r>
          </w:p>
        </w:tc>
        <w:tc>
          <w:tcPr>
            <w:tcW w:w="960" w:type="dxa"/>
            <w:tcBorders>
              <w:top w:val="nil"/>
              <w:left w:val="nil"/>
              <w:bottom w:val="nil"/>
              <w:right w:val="nil"/>
            </w:tcBorders>
            <w:shd w:val="clear" w:color="auto" w:fill="auto"/>
            <w:noWrap/>
            <w:vAlign w:val="bottom"/>
            <w:hideMark/>
          </w:tcPr>
          <w:p w14:paraId="6A35480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2,767</w:t>
            </w:r>
          </w:p>
        </w:tc>
      </w:tr>
      <w:tr w:rsidR="00B8454C" w:rsidRPr="00B8454C" w14:paraId="704FE225" w14:textId="77777777" w:rsidTr="00874EE0">
        <w:trPr>
          <w:trHeight w:val="315"/>
        </w:trPr>
        <w:tc>
          <w:tcPr>
            <w:tcW w:w="4678" w:type="dxa"/>
            <w:tcBorders>
              <w:top w:val="nil"/>
              <w:left w:val="nil"/>
              <w:bottom w:val="nil"/>
              <w:right w:val="nil"/>
            </w:tcBorders>
            <w:shd w:val="clear" w:color="auto" w:fill="auto"/>
            <w:noWrap/>
            <w:vAlign w:val="center"/>
            <w:hideMark/>
          </w:tcPr>
          <w:p w14:paraId="6995AFFD"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Personal services</w:t>
            </w:r>
          </w:p>
        </w:tc>
        <w:tc>
          <w:tcPr>
            <w:tcW w:w="782" w:type="dxa"/>
            <w:tcBorders>
              <w:top w:val="nil"/>
              <w:left w:val="nil"/>
              <w:bottom w:val="nil"/>
              <w:right w:val="nil"/>
            </w:tcBorders>
            <w:shd w:val="clear" w:color="auto" w:fill="auto"/>
            <w:noWrap/>
            <w:vAlign w:val="bottom"/>
            <w:hideMark/>
          </w:tcPr>
          <w:p w14:paraId="2E8D70D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83,832</w:t>
            </w:r>
          </w:p>
        </w:tc>
        <w:tc>
          <w:tcPr>
            <w:tcW w:w="960" w:type="dxa"/>
            <w:tcBorders>
              <w:top w:val="nil"/>
              <w:left w:val="nil"/>
              <w:bottom w:val="nil"/>
              <w:right w:val="nil"/>
            </w:tcBorders>
            <w:shd w:val="clear" w:color="auto" w:fill="auto"/>
            <w:noWrap/>
            <w:vAlign w:val="bottom"/>
            <w:hideMark/>
          </w:tcPr>
          <w:p w14:paraId="032E286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83,271</w:t>
            </w:r>
          </w:p>
        </w:tc>
        <w:tc>
          <w:tcPr>
            <w:tcW w:w="960" w:type="dxa"/>
            <w:tcBorders>
              <w:top w:val="nil"/>
              <w:left w:val="nil"/>
              <w:bottom w:val="nil"/>
              <w:right w:val="single" w:sz="8" w:space="0" w:color="auto"/>
            </w:tcBorders>
            <w:shd w:val="clear" w:color="auto" w:fill="auto"/>
            <w:noWrap/>
            <w:vAlign w:val="bottom"/>
            <w:hideMark/>
          </w:tcPr>
          <w:p w14:paraId="1CD15B9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84,392</w:t>
            </w:r>
          </w:p>
        </w:tc>
        <w:tc>
          <w:tcPr>
            <w:tcW w:w="960" w:type="dxa"/>
            <w:tcBorders>
              <w:top w:val="nil"/>
              <w:left w:val="nil"/>
              <w:bottom w:val="nil"/>
              <w:right w:val="nil"/>
            </w:tcBorders>
            <w:shd w:val="clear" w:color="auto" w:fill="auto"/>
            <w:noWrap/>
            <w:vAlign w:val="bottom"/>
            <w:hideMark/>
          </w:tcPr>
          <w:p w14:paraId="26B2F3E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93,543</w:t>
            </w:r>
          </w:p>
        </w:tc>
        <w:tc>
          <w:tcPr>
            <w:tcW w:w="960" w:type="dxa"/>
            <w:tcBorders>
              <w:top w:val="nil"/>
              <w:left w:val="nil"/>
              <w:bottom w:val="nil"/>
              <w:right w:val="nil"/>
            </w:tcBorders>
            <w:shd w:val="clear" w:color="auto" w:fill="auto"/>
            <w:noWrap/>
            <w:vAlign w:val="bottom"/>
            <w:hideMark/>
          </w:tcPr>
          <w:p w14:paraId="3A443CD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92,923</w:t>
            </w:r>
          </w:p>
        </w:tc>
        <w:tc>
          <w:tcPr>
            <w:tcW w:w="960" w:type="dxa"/>
            <w:tcBorders>
              <w:top w:val="nil"/>
              <w:left w:val="nil"/>
              <w:bottom w:val="nil"/>
              <w:right w:val="single" w:sz="8" w:space="0" w:color="auto"/>
            </w:tcBorders>
            <w:shd w:val="clear" w:color="auto" w:fill="auto"/>
            <w:noWrap/>
            <w:vAlign w:val="bottom"/>
            <w:hideMark/>
          </w:tcPr>
          <w:p w14:paraId="66DFB07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94,163</w:t>
            </w:r>
          </w:p>
        </w:tc>
        <w:tc>
          <w:tcPr>
            <w:tcW w:w="960" w:type="dxa"/>
            <w:tcBorders>
              <w:top w:val="nil"/>
              <w:left w:val="nil"/>
              <w:bottom w:val="nil"/>
              <w:right w:val="nil"/>
            </w:tcBorders>
            <w:shd w:val="clear" w:color="auto" w:fill="auto"/>
            <w:noWrap/>
            <w:vAlign w:val="bottom"/>
            <w:hideMark/>
          </w:tcPr>
          <w:p w14:paraId="2E82B32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69,908</w:t>
            </w:r>
          </w:p>
        </w:tc>
        <w:tc>
          <w:tcPr>
            <w:tcW w:w="960" w:type="dxa"/>
            <w:tcBorders>
              <w:top w:val="nil"/>
              <w:left w:val="nil"/>
              <w:bottom w:val="nil"/>
              <w:right w:val="nil"/>
            </w:tcBorders>
            <w:shd w:val="clear" w:color="auto" w:fill="auto"/>
            <w:noWrap/>
            <w:vAlign w:val="bottom"/>
            <w:hideMark/>
          </w:tcPr>
          <w:p w14:paraId="6720CAA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69,312</w:t>
            </w:r>
          </w:p>
        </w:tc>
        <w:tc>
          <w:tcPr>
            <w:tcW w:w="960" w:type="dxa"/>
            <w:tcBorders>
              <w:top w:val="nil"/>
              <w:left w:val="nil"/>
              <w:bottom w:val="nil"/>
              <w:right w:val="nil"/>
            </w:tcBorders>
            <w:shd w:val="clear" w:color="auto" w:fill="auto"/>
            <w:noWrap/>
            <w:vAlign w:val="bottom"/>
            <w:hideMark/>
          </w:tcPr>
          <w:p w14:paraId="700AFB1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70,504</w:t>
            </w:r>
          </w:p>
        </w:tc>
      </w:tr>
      <w:tr w:rsidR="00B8454C" w:rsidRPr="00B8454C" w14:paraId="0DD37535" w14:textId="77777777" w:rsidTr="00874EE0">
        <w:trPr>
          <w:trHeight w:val="315"/>
        </w:trPr>
        <w:tc>
          <w:tcPr>
            <w:tcW w:w="4678" w:type="dxa"/>
            <w:tcBorders>
              <w:top w:val="nil"/>
              <w:left w:val="nil"/>
              <w:bottom w:val="nil"/>
              <w:right w:val="nil"/>
            </w:tcBorders>
            <w:shd w:val="clear" w:color="auto" w:fill="auto"/>
            <w:noWrap/>
            <w:vAlign w:val="center"/>
            <w:hideMark/>
          </w:tcPr>
          <w:p w14:paraId="43A38D38"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Agric. produce processing &amp; dealing</w:t>
            </w:r>
          </w:p>
        </w:tc>
        <w:tc>
          <w:tcPr>
            <w:tcW w:w="782" w:type="dxa"/>
            <w:tcBorders>
              <w:top w:val="nil"/>
              <w:left w:val="nil"/>
              <w:bottom w:val="nil"/>
              <w:right w:val="nil"/>
            </w:tcBorders>
            <w:shd w:val="clear" w:color="auto" w:fill="auto"/>
            <w:noWrap/>
            <w:vAlign w:val="bottom"/>
            <w:hideMark/>
          </w:tcPr>
          <w:p w14:paraId="746D66D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1,487</w:t>
            </w:r>
          </w:p>
        </w:tc>
        <w:tc>
          <w:tcPr>
            <w:tcW w:w="960" w:type="dxa"/>
            <w:tcBorders>
              <w:top w:val="nil"/>
              <w:left w:val="nil"/>
              <w:bottom w:val="nil"/>
              <w:right w:val="nil"/>
            </w:tcBorders>
            <w:shd w:val="clear" w:color="auto" w:fill="auto"/>
            <w:noWrap/>
            <w:vAlign w:val="bottom"/>
            <w:hideMark/>
          </w:tcPr>
          <w:p w14:paraId="240F73F1"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1,407</w:t>
            </w:r>
          </w:p>
        </w:tc>
        <w:tc>
          <w:tcPr>
            <w:tcW w:w="960" w:type="dxa"/>
            <w:tcBorders>
              <w:top w:val="nil"/>
              <w:left w:val="nil"/>
              <w:bottom w:val="nil"/>
              <w:right w:val="single" w:sz="8" w:space="0" w:color="auto"/>
            </w:tcBorders>
            <w:shd w:val="clear" w:color="auto" w:fill="auto"/>
            <w:noWrap/>
            <w:vAlign w:val="bottom"/>
            <w:hideMark/>
          </w:tcPr>
          <w:p w14:paraId="7FDFA79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1,567</w:t>
            </w:r>
          </w:p>
        </w:tc>
        <w:tc>
          <w:tcPr>
            <w:tcW w:w="960" w:type="dxa"/>
            <w:tcBorders>
              <w:top w:val="nil"/>
              <w:left w:val="nil"/>
              <w:bottom w:val="nil"/>
              <w:right w:val="nil"/>
            </w:tcBorders>
            <w:shd w:val="clear" w:color="auto" w:fill="auto"/>
            <w:noWrap/>
            <w:vAlign w:val="bottom"/>
            <w:hideMark/>
          </w:tcPr>
          <w:p w14:paraId="422DFB51"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1,257</w:t>
            </w:r>
          </w:p>
        </w:tc>
        <w:tc>
          <w:tcPr>
            <w:tcW w:w="960" w:type="dxa"/>
            <w:tcBorders>
              <w:top w:val="nil"/>
              <w:left w:val="nil"/>
              <w:bottom w:val="nil"/>
              <w:right w:val="nil"/>
            </w:tcBorders>
            <w:shd w:val="clear" w:color="auto" w:fill="auto"/>
            <w:noWrap/>
            <w:vAlign w:val="bottom"/>
            <w:hideMark/>
          </w:tcPr>
          <w:p w14:paraId="790F1EC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1,185</w:t>
            </w:r>
          </w:p>
        </w:tc>
        <w:tc>
          <w:tcPr>
            <w:tcW w:w="960" w:type="dxa"/>
            <w:tcBorders>
              <w:top w:val="nil"/>
              <w:left w:val="nil"/>
              <w:bottom w:val="nil"/>
              <w:right w:val="single" w:sz="8" w:space="0" w:color="auto"/>
            </w:tcBorders>
            <w:shd w:val="clear" w:color="auto" w:fill="auto"/>
            <w:noWrap/>
            <w:vAlign w:val="bottom"/>
            <w:hideMark/>
          </w:tcPr>
          <w:p w14:paraId="541C95A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1,329</w:t>
            </w:r>
          </w:p>
        </w:tc>
        <w:tc>
          <w:tcPr>
            <w:tcW w:w="960" w:type="dxa"/>
            <w:tcBorders>
              <w:top w:val="nil"/>
              <w:left w:val="nil"/>
              <w:bottom w:val="nil"/>
              <w:right w:val="nil"/>
            </w:tcBorders>
            <w:shd w:val="clear" w:color="auto" w:fill="auto"/>
            <w:noWrap/>
            <w:vAlign w:val="bottom"/>
            <w:hideMark/>
          </w:tcPr>
          <w:p w14:paraId="67A60E1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1,378</w:t>
            </w:r>
          </w:p>
        </w:tc>
        <w:tc>
          <w:tcPr>
            <w:tcW w:w="960" w:type="dxa"/>
            <w:tcBorders>
              <w:top w:val="nil"/>
              <w:left w:val="nil"/>
              <w:bottom w:val="nil"/>
              <w:right w:val="nil"/>
            </w:tcBorders>
            <w:shd w:val="clear" w:color="auto" w:fill="auto"/>
            <w:noWrap/>
            <w:vAlign w:val="bottom"/>
            <w:hideMark/>
          </w:tcPr>
          <w:p w14:paraId="6877942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1,298</w:t>
            </w:r>
          </w:p>
        </w:tc>
        <w:tc>
          <w:tcPr>
            <w:tcW w:w="960" w:type="dxa"/>
            <w:tcBorders>
              <w:top w:val="nil"/>
              <w:left w:val="nil"/>
              <w:bottom w:val="nil"/>
              <w:right w:val="nil"/>
            </w:tcBorders>
            <w:shd w:val="clear" w:color="auto" w:fill="auto"/>
            <w:noWrap/>
            <w:vAlign w:val="bottom"/>
            <w:hideMark/>
          </w:tcPr>
          <w:p w14:paraId="4E7C339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1,458</w:t>
            </w:r>
          </w:p>
        </w:tc>
      </w:tr>
      <w:tr w:rsidR="00B8454C" w:rsidRPr="00B8454C" w14:paraId="7965A966" w14:textId="77777777" w:rsidTr="00874EE0">
        <w:trPr>
          <w:trHeight w:val="315"/>
        </w:trPr>
        <w:tc>
          <w:tcPr>
            <w:tcW w:w="4678" w:type="dxa"/>
            <w:tcBorders>
              <w:top w:val="nil"/>
              <w:left w:val="nil"/>
              <w:bottom w:val="nil"/>
              <w:right w:val="nil"/>
            </w:tcBorders>
            <w:shd w:val="clear" w:color="auto" w:fill="auto"/>
            <w:noWrap/>
            <w:vAlign w:val="center"/>
            <w:hideMark/>
          </w:tcPr>
          <w:p w14:paraId="04442DD3"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Food sales</w:t>
            </w:r>
          </w:p>
        </w:tc>
        <w:tc>
          <w:tcPr>
            <w:tcW w:w="782" w:type="dxa"/>
            <w:tcBorders>
              <w:top w:val="nil"/>
              <w:left w:val="nil"/>
              <w:bottom w:val="nil"/>
              <w:right w:val="nil"/>
            </w:tcBorders>
            <w:shd w:val="clear" w:color="auto" w:fill="auto"/>
            <w:noWrap/>
            <w:vAlign w:val="bottom"/>
            <w:hideMark/>
          </w:tcPr>
          <w:p w14:paraId="469EBAA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51,365</w:t>
            </w:r>
          </w:p>
        </w:tc>
        <w:tc>
          <w:tcPr>
            <w:tcW w:w="960" w:type="dxa"/>
            <w:tcBorders>
              <w:top w:val="nil"/>
              <w:left w:val="nil"/>
              <w:bottom w:val="nil"/>
              <w:right w:val="nil"/>
            </w:tcBorders>
            <w:shd w:val="clear" w:color="auto" w:fill="auto"/>
            <w:noWrap/>
            <w:vAlign w:val="bottom"/>
            <w:hideMark/>
          </w:tcPr>
          <w:p w14:paraId="526AE7E4"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50,906</w:t>
            </w:r>
          </w:p>
        </w:tc>
        <w:tc>
          <w:tcPr>
            <w:tcW w:w="960" w:type="dxa"/>
            <w:tcBorders>
              <w:top w:val="nil"/>
              <w:left w:val="nil"/>
              <w:bottom w:val="nil"/>
              <w:right w:val="single" w:sz="8" w:space="0" w:color="auto"/>
            </w:tcBorders>
            <w:shd w:val="clear" w:color="auto" w:fill="auto"/>
            <w:noWrap/>
            <w:vAlign w:val="bottom"/>
            <w:hideMark/>
          </w:tcPr>
          <w:p w14:paraId="6A4EE62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51,825</w:t>
            </w:r>
          </w:p>
        </w:tc>
        <w:tc>
          <w:tcPr>
            <w:tcW w:w="960" w:type="dxa"/>
            <w:tcBorders>
              <w:top w:val="nil"/>
              <w:left w:val="nil"/>
              <w:bottom w:val="nil"/>
              <w:right w:val="nil"/>
            </w:tcBorders>
            <w:shd w:val="clear" w:color="auto" w:fill="auto"/>
            <w:noWrap/>
            <w:vAlign w:val="bottom"/>
            <w:hideMark/>
          </w:tcPr>
          <w:p w14:paraId="6FE0353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68,595</w:t>
            </w:r>
          </w:p>
        </w:tc>
        <w:tc>
          <w:tcPr>
            <w:tcW w:w="960" w:type="dxa"/>
            <w:tcBorders>
              <w:top w:val="nil"/>
              <w:left w:val="nil"/>
              <w:bottom w:val="nil"/>
              <w:right w:val="nil"/>
            </w:tcBorders>
            <w:shd w:val="clear" w:color="auto" w:fill="auto"/>
            <w:noWrap/>
            <w:vAlign w:val="bottom"/>
            <w:hideMark/>
          </w:tcPr>
          <w:p w14:paraId="0766710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68,104</w:t>
            </w:r>
          </w:p>
        </w:tc>
        <w:tc>
          <w:tcPr>
            <w:tcW w:w="960" w:type="dxa"/>
            <w:tcBorders>
              <w:top w:val="nil"/>
              <w:left w:val="nil"/>
              <w:bottom w:val="nil"/>
              <w:right w:val="single" w:sz="8" w:space="0" w:color="auto"/>
            </w:tcBorders>
            <w:shd w:val="clear" w:color="auto" w:fill="auto"/>
            <w:noWrap/>
            <w:vAlign w:val="bottom"/>
            <w:hideMark/>
          </w:tcPr>
          <w:p w14:paraId="000AB85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69,085</w:t>
            </w:r>
          </w:p>
        </w:tc>
        <w:tc>
          <w:tcPr>
            <w:tcW w:w="960" w:type="dxa"/>
            <w:tcBorders>
              <w:top w:val="nil"/>
              <w:left w:val="nil"/>
              <w:bottom w:val="nil"/>
              <w:right w:val="nil"/>
            </w:tcBorders>
            <w:shd w:val="clear" w:color="auto" w:fill="auto"/>
            <w:noWrap/>
            <w:vAlign w:val="bottom"/>
            <w:hideMark/>
          </w:tcPr>
          <w:p w14:paraId="364EAE2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51,853</w:t>
            </w:r>
          </w:p>
        </w:tc>
        <w:tc>
          <w:tcPr>
            <w:tcW w:w="960" w:type="dxa"/>
            <w:tcBorders>
              <w:top w:val="nil"/>
              <w:left w:val="nil"/>
              <w:bottom w:val="nil"/>
              <w:right w:val="nil"/>
            </w:tcBorders>
            <w:shd w:val="clear" w:color="auto" w:fill="auto"/>
            <w:noWrap/>
            <w:vAlign w:val="bottom"/>
            <w:hideMark/>
          </w:tcPr>
          <w:p w14:paraId="037D0CF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51,397</w:t>
            </w:r>
          </w:p>
        </w:tc>
        <w:tc>
          <w:tcPr>
            <w:tcW w:w="960" w:type="dxa"/>
            <w:tcBorders>
              <w:top w:val="nil"/>
              <w:left w:val="nil"/>
              <w:bottom w:val="nil"/>
              <w:right w:val="nil"/>
            </w:tcBorders>
            <w:shd w:val="clear" w:color="auto" w:fill="auto"/>
            <w:noWrap/>
            <w:vAlign w:val="bottom"/>
            <w:hideMark/>
          </w:tcPr>
          <w:p w14:paraId="6F67BA5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52,309</w:t>
            </w:r>
          </w:p>
        </w:tc>
      </w:tr>
      <w:tr w:rsidR="00B8454C" w:rsidRPr="00B8454C" w14:paraId="05E64E49" w14:textId="77777777" w:rsidTr="00874EE0">
        <w:trPr>
          <w:trHeight w:val="315"/>
        </w:trPr>
        <w:tc>
          <w:tcPr>
            <w:tcW w:w="4678" w:type="dxa"/>
            <w:tcBorders>
              <w:top w:val="nil"/>
              <w:left w:val="nil"/>
              <w:bottom w:val="nil"/>
              <w:right w:val="nil"/>
            </w:tcBorders>
            <w:shd w:val="clear" w:color="auto" w:fill="auto"/>
            <w:noWrap/>
            <w:vAlign w:val="center"/>
            <w:hideMark/>
          </w:tcPr>
          <w:p w14:paraId="4C2094A2"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Refreshment</w:t>
            </w:r>
          </w:p>
        </w:tc>
        <w:tc>
          <w:tcPr>
            <w:tcW w:w="782" w:type="dxa"/>
            <w:tcBorders>
              <w:top w:val="nil"/>
              <w:left w:val="nil"/>
              <w:bottom w:val="nil"/>
              <w:right w:val="nil"/>
            </w:tcBorders>
            <w:shd w:val="clear" w:color="auto" w:fill="auto"/>
            <w:noWrap/>
            <w:vAlign w:val="bottom"/>
            <w:hideMark/>
          </w:tcPr>
          <w:p w14:paraId="18F2D7F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40,936</w:t>
            </w:r>
          </w:p>
        </w:tc>
        <w:tc>
          <w:tcPr>
            <w:tcW w:w="960" w:type="dxa"/>
            <w:tcBorders>
              <w:top w:val="nil"/>
              <w:left w:val="nil"/>
              <w:bottom w:val="nil"/>
              <w:right w:val="nil"/>
            </w:tcBorders>
            <w:shd w:val="clear" w:color="auto" w:fill="auto"/>
            <w:noWrap/>
            <w:vAlign w:val="bottom"/>
            <w:hideMark/>
          </w:tcPr>
          <w:p w14:paraId="375381F5"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40,432</w:t>
            </w:r>
          </w:p>
        </w:tc>
        <w:tc>
          <w:tcPr>
            <w:tcW w:w="960" w:type="dxa"/>
            <w:tcBorders>
              <w:top w:val="nil"/>
              <w:left w:val="nil"/>
              <w:bottom w:val="nil"/>
              <w:right w:val="single" w:sz="8" w:space="0" w:color="auto"/>
            </w:tcBorders>
            <w:shd w:val="clear" w:color="auto" w:fill="auto"/>
            <w:noWrap/>
            <w:vAlign w:val="bottom"/>
            <w:hideMark/>
          </w:tcPr>
          <w:p w14:paraId="19AD777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41,440</w:t>
            </w:r>
          </w:p>
        </w:tc>
        <w:tc>
          <w:tcPr>
            <w:tcW w:w="960" w:type="dxa"/>
            <w:tcBorders>
              <w:top w:val="nil"/>
              <w:left w:val="nil"/>
              <w:bottom w:val="nil"/>
              <w:right w:val="nil"/>
            </w:tcBorders>
            <w:shd w:val="clear" w:color="auto" w:fill="auto"/>
            <w:noWrap/>
            <w:vAlign w:val="bottom"/>
            <w:hideMark/>
          </w:tcPr>
          <w:p w14:paraId="2ECBB89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52,138</w:t>
            </w:r>
          </w:p>
        </w:tc>
        <w:tc>
          <w:tcPr>
            <w:tcW w:w="960" w:type="dxa"/>
            <w:tcBorders>
              <w:top w:val="nil"/>
              <w:left w:val="nil"/>
              <w:bottom w:val="nil"/>
              <w:right w:val="nil"/>
            </w:tcBorders>
            <w:shd w:val="clear" w:color="auto" w:fill="auto"/>
            <w:noWrap/>
            <w:vAlign w:val="bottom"/>
            <w:hideMark/>
          </w:tcPr>
          <w:p w14:paraId="58753579"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51,671</w:t>
            </w:r>
          </w:p>
        </w:tc>
        <w:tc>
          <w:tcPr>
            <w:tcW w:w="960" w:type="dxa"/>
            <w:tcBorders>
              <w:top w:val="nil"/>
              <w:left w:val="nil"/>
              <w:bottom w:val="nil"/>
              <w:right w:val="single" w:sz="8" w:space="0" w:color="auto"/>
            </w:tcBorders>
            <w:shd w:val="clear" w:color="auto" w:fill="auto"/>
            <w:noWrap/>
            <w:vAlign w:val="bottom"/>
            <w:hideMark/>
          </w:tcPr>
          <w:p w14:paraId="23913AC6"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52,605</w:t>
            </w:r>
          </w:p>
        </w:tc>
        <w:tc>
          <w:tcPr>
            <w:tcW w:w="960" w:type="dxa"/>
            <w:tcBorders>
              <w:top w:val="nil"/>
              <w:left w:val="nil"/>
              <w:bottom w:val="nil"/>
              <w:right w:val="nil"/>
            </w:tcBorders>
            <w:shd w:val="clear" w:color="auto" w:fill="auto"/>
            <w:noWrap/>
            <w:vAlign w:val="bottom"/>
            <w:hideMark/>
          </w:tcPr>
          <w:p w14:paraId="15889347"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49,075</w:t>
            </w:r>
          </w:p>
        </w:tc>
        <w:tc>
          <w:tcPr>
            <w:tcW w:w="960" w:type="dxa"/>
            <w:tcBorders>
              <w:top w:val="nil"/>
              <w:left w:val="nil"/>
              <w:bottom w:val="nil"/>
              <w:right w:val="nil"/>
            </w:tcBorders>
            <w:shd w:val="clear" w:color="auto" w:fill="auto"/>
            <w:noWrap/>
            <w:vAlign w:val="bottom"/>
            <w:hideMark/>
          </w:tcPr>
          <w:p w14:paraId="3386BA0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48,560</w:t>
            </w:r>
          </w:p>
        </w:tc>
        <w:tc>
          <w:tcPr>
            <w:tcW w:w="960" w:type="dxa"/>
            <w:tcBorders>
              <w:top w:val="nil"/>
              <w:left w:val="nil"/>
              <w:bottom w:val="nil"/>
              <w:right w:val="nil"/>
            </w:tcBorders>
            <w:shd w:val="clear" w:color="auto" w:fill="auto"/>
            <w:noWrap/>
            <w:vAlign w:val="bottom"/>
            <w:hideMark/>
          </w:tcPr>
          <w:p w14:paraId="529A561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49,591</w:t>
            </w:r>
          </w:p>
        </w:tc>
      </w:tr>
      <w:tr w:rsidR="00B8454C" w:rsidRPr="00B8454C" w14:paraId="12C6B578" w14:textId="77777777" w:rsidTr="00874EE0">
        <w:trPr>
          <w:trHeight w:val="330"/>
        </w:trPr>
        <w:tc>
          <w:tcPr>
            <w:tcW w:w="4678" w:type="dxa"/>
            <w:tcBorders>
              <w:top w:val="nil"/>
              <w:left w:val="nil"/>
              <w:bottom w:val="single" w:sz="8" w:space="0" w:color="auto"/>
              <w:right w:val="nil"/>
            </w:tcBorders>
            <w:shd w:val="clear" w:color="auto" w:fill="auto"/>
            <w:noWrap/>
            <w:vAlign w:val="center"/>
            <w:hideMark/>
          </w:tcPr>
          <w:p w14:paraId="6F55FF63" w14:textId="77777777" w:rsidR="00B8454C" w:rsidRPr="00B8454C" w:rsidRDefault="00B8454C" w:rsidP="00B8454C">
            <w:pPr>
              <w:rPr>
                <w:rFonts w:eastAsia="Times New Roman" w:cs="Times New Roman"/>
                <w:color w:val="000000"/>
                <w:szCs w:val="24"/>
                <w:lang w:eastAsia="en-GB"/>
              </w:rPr>
            </w:pPr>
            <w:r w:rsidRPr="00B8454C">
              <w:rPr>
                <w:rFonts w:eastAsia="Times New Roman" w:cs="Times New Roman"/>
                <w:color w:val="000000"/>
                <w:szCs w:val="24"/>
                <w:lang w:eastAsia="en-GB"/>
              </w:rPr>
              <w:t>Finance and commerce</w:t>
            </w:r>
          </w:p>
        </w:tc>
        <w:tc>
          <w:tcPr>
            <w:tcW w:w="782" w:type="dxa"/>
            <w:tcBorders>
              <w:top w:val="nil"/>
              <w:left w:val="nil"/>
              <w:bottom w:val="single" w:sz="8" w:space="0" w:color="auto"/>
              <w:right w:val="nil"/>
            </w:tcBorders>
            <w:shd w:val="clear" w:color="auto" w:fill="auto"/>
            <w:noWrap/>
            <w:vAlign w:val="bottom"/>
            <w:hideMark/>
          </w:tcPr>
          <w:p w14:paraId="513373FF"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543</w:t>
            </w:r>
          </w:p>
        </w:tc>
        <w:tc>
          <w:tcPr>
            <w:tcW w:w="960" w:type="dxa"/>
            <w:tcBorders>
              <w:top w:val="nil"/>
              <w:left w:val="nil"/>
              <w:bottom w:val="single" w:sz="8" w:space="0" w:color="auto"/>
              <w:right w:val="nil"/>
            </w:tcBorders>
            <w:shd w:val="clear" w:color="auto" w:fill="auto"/>
            <w:noWrap/>
            <w:vAlign w:val="bottom"/>
            <w:hideMark/>
          </w:tcPr>
          <w:p w14:paraId="3DF5E15E"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492</w:t>
            </w:r>
          </w:p>
        </w:tc>
        <w:tc>
          <w:tcPr>
            <w:tcW w:w="960" w:type="dxa"/>
            <w:tcBorders>
              <w:top w:val="nil"/>
              <w:left w:val="nil"/>
              <w:bottom w:val="single" w:sz="8" w:space="0" w:color="auto"/>
              <w:right w:val="single" w:sz="8" w:space="0" w:color="auto"/>
            </w:tcBorders>
            <w:shd w:val="clear" w:color="auto" w:fill="auto"/>
            <w:noWrap/>
            <w:vAlign w:val="bottom"/>
            <w:hideMark/>
          </w:tcPr>
          <w:p w14:paraId="1CD3A3EC"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593</w:t>
            </w:r>
          </w:p>
        </w:tc>
        <w:tc>
          <w:tcPr>
            <w:tcW w:w="960" w:type="dxa"/>
            <w:tcBorders>
              <w:top w:val="nil"/>
              <w:left w:val="nil"/>
              <w:bottom w:val="single" w:sz="8" w:space="0" w:color="auto"/>
              <w:right w:val="nil"/>
            </w:tcBorders>
            <w:shd w:val="clear" w:color="auto" w:fill="auto"/>
            <w:noWrap/>
            <w:vAlign w:val="bottom"/>
            <w:hideMark/>
          </w:tcPr>
          <w:p w14:paraId="7E44673A"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661</w:t>
            </w:r>
          </w:p>
        </w:tc>
        <w:tc>
          <w:tcPr>
            <w:tcW w:w="960" w:type="dxa"/>
            <w:tcBorders>
              <w:top w:val="nil"/>
              <w:left w:val="nil"/>
              <w:bottom w:val="single" w:sz="8" w:space="0" w:color="auto"/>
              <w:right w:val="nil"/>
            </w:tcBorders>
            <w:shd w:val="clear" w:color="auto" w:fill="auto"/>
            <w:noWrap/>
            <w:vAlign w:val="bottom"/>
            <w:hideMark/>
          </w:tcPr>
          <w:p w14:paraId="21391BC0"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604</w:t>
            </w:r>
          </w:p>
        </w:tc>
        <w:tc>
          <w:tcPr>
            <w:tcW w:w="960" w:type="dxa"/>
            <w:tcBorders>
              <w:top w:val="nil"/>
              <w:left w:val="nil"/>
              <w:bottom w:val="single" w:sz="8" w:space="0" w:color="auto"/>
              <w:right w:val="single" w:sz="8" w:space="0" w:color="auto"/>
            </w:tcBorders>
            <w:shd w:val="clear" w:color="auto" w:fill="auto"/>
            <w:noWrap/>
            <w:vAlign w:val="bottom"/>
            <w:hideMark/>
          </w:tcPr>
          <w:p w14:paraId="26EA5C02"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718</w:t>
            </w:r>
          </w:p>
        </w:tc>
        <w:tc>
          <w:tcPr>
            <w:tcW w:w="960" w:type="dxa"/>
            <w:tcBorders>
              <w:top w:val="nil"/>
              <w:left w:val="nil"/>
              <w:bottom w:val="single" w:sz="8" w:space="0" w:color="auto"/>
              <w:right w:val="nil"/>
            </w:tcBorders>
            <w:shd w:val="clear" w:color="auto" w:fill="auto"/>
            <w:noWrap/>
            <w:vAlign w:val="bottom"/>
            <w:hideMark/>
          </w:tcPr>
          <w:p w14:paraId="07D8889B"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870</w:t>
            </w:r>
          </w:p>
        </w:tc>
        <w:tc>
          <w:tcPr>
            <w:tcW w:w="960" w:type="dxa"/>
            <w:tcBorders>
              <w:top w:val="nil"/>
              <w:left w:val="nil"/>
              <w:bottom w:val="single" w:sz="8" w:space="0" w:color="auto"/>
              <w:right w:val="nil"/>
            </w:tcBorders>
            <w:shd w:val="clear" w:color="auto" w:fill="auto"/>
            <w:noWrap/>
            <w:vAlign w:val="bottom"/>
            <w:hideMark/>
          </w:tcPr>
          <w:p w14:paraId="18FD478D"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801</w:t>
            </w:r>
          </w:p>
        </w:tc>
        <w:tc>
          <w:tcPr>
            <w:tcW w:w="960" w:type="dxa"/>
            <w:tcBorders>
              <w:top w:val="nil"/>
              <w:left w:val="nil"/>
              <w:bottom w:val="single" w:sz="8" w:space="0" w:color="auto"/>
              <w:right w:val="nil"/>
            </w:tcBorders>
            <w:shd w:val="clear" w:color="auto" w:fill="auto"/>
            <w:noWrap/>
            <w:vAlign w:val="bottom"/>
            <w:hideMark/>
          </w:tcPr>
          <w:p w14:paraId="47AEAA43"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940</w:t>
            </w:r>
          </w:p>
        </w:tc>
      </w:tr>
      <w:tr w:rsidR="00B8454C" w:rsidRPr="00B8454C" w14:paraId="566C2E0F" w14:textId="77777777" w:rsidTr="00874EE0">
        <w:trPr>
          <w:trHeight w:val="330"/>
        </w:trPr>
        <w:tc>
          <w:tcPr>
            <w:tcW w:w="4678" w:type="dxa"/>
            <w:tcBorders>
              <w:top w:val="nil"/>
              <w:left w:val="nil"/>
              <w:bottom w:val="single" w:sz="8" w:space="0" w:color="auto"/>
              <w:right w:val="nil"/>
            </w:tcBorders>
            <w:shd w:val="clear" w:color="auto" w:fill="auto"/>
            <w:noWrap/>
            <w:vAlign w:val="center"/>
            <w:hideMark/>
          </w:tcPr>
          <w:p w14:paraId="6C2C69FF" w14:textId="77777777" w:rsidR="00B8454C" w:rsidRPr="00B8454C" w:rsidRDefault="00B8454C" w:rsidP="00B8454C">
            <w:pPr>
              <w:rPr>
                <w:rFonts w:eastAsia="Times New Roman" w:cs="Times New Roman"/>
                <w:b/>
                <w:bCs/>
                <w:color w:val="000000"/>
                <w:szCs w:val="24"/>
                <w:lang w:eastAsia="en-GB"/>
              </w:rPr>
            </w:pPr>
            <w:r w:rsidRPr="00B8454C">
              <w:rPr>
                <w:rFonts w:eastAsia="Times New Roman" w:cs="Times New Roman"/>
                <w:b/>
                <w:bCs/>
                <w:color w:val="000000"/>
                <w:szCs w:val="24"/>
                <w:lang w:eastAsia="en-GB"/>
              </w:rPr>
              <w:t>Total</w:t>
            </w:r>
          </w:p>
        </w:tc>
        <w:tc>
          <w:tcPr>
            <w:tcW w:w="782" w:type="dxa"/>
            <w:tcBorders>
              <w:top w:val="nil"/>
              <w:left w:val="nil"/>
              <w:bottom w:val="single" w:sz="8" w:space="0" w:color="auto"/>
              <w:right w:val="nil"/>
            </w:tcBorders>
            <w:shd w:val="clear" w:color="auto" w:fill="auto"/>
            <w:noWrap/>
            <w:vAlign w:val="bottom"/>
            <w:hideMark/>
          </w:tcPr>
          <w:p w14:paraId="7EEB5EAF"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414,604</w:t>
            </w:r>
          </w:p>
        </w:tc>
        <w:tc>
          <w:tcPr>
            <w:tcW w:w="960" w:type="dxa"/>
            <w:tcBorders>
              <w:top w:val="nil"/>
              <w:left w:val="nil"/>
              <w:bottom w:val="single" w:sz="8" w:space="0" w:color="auto"/>
              <w:right w:val="nil"/>
            </w:tcBorders>
            <w:shd w:val="clear" w:color="auto" w:fill="auto"/>
            <w:noWrap/>
            <w:vAlign w:val="bottom"/>
            <w:hideMark/>
          </w:tcPr>
          <w:p w14:paraId="269C53F1"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564CFB79"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62583044"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469,221</w:t>
            </w:r>
          </w:p>
        </w:tc>
        <w:tc>
          <w:tcPr>
            <w:tcW w:w="960" w:type="dxa"/>
            <w:tcBorders>
              <w:top w:val="nil"/>
              <w:left w:val="nil"/>
              <w:bottom w:val="single" w:sz="8" w:space="0" w:color="auto"/>
              <w:right w:val="nil"/>
            </w:tcBorders>
            <w:shd w:val="clear" w:color="auto" w:fill="auto"/>
            <w:noWrap/>
            <w:vAlign w:val="bottom"/>
            <w:hideMark/>
          </w:tcPr>
          <w:p w14:paraId="6C407C57"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00EEF511"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6A3C5089"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397,919</w:t>
            </w:r>
          </w:p>
        </w:tc>
        <w:tc>
          <w:tcPr>
            <w:tcW w:w="960" w:type="dxa"/>
            <w:tcBorders>
              <w:top w:val="nil"/>
              <w:left w:val="nil"/>
              <w:bottom w:val="single" w:sz="8" w:space="0" w:color="auto"/>
              <w:right w:val="nil"/>
            </w:tcBorders>
            <w:shd w:val="clear" w:color="auto" w:fill="auto"/>
            <w:noWrap/>
            <w:vAlign w:val="bottom"/>
            <w:hideMark/>
          </w:tcPr>
          <w:p w14:paraId="26EA7CED" w14:textId="77777777" w:rsidR="00B8454C" w:rsidRPr="00B8454C" w:rsidRDefault="00B8454C" w:rsidP="00B8454C">
            <w:pPr>
              <w:jc w:val="right"/>
              <w:rPr>
                <w:rFonts w:ascii="Calibri" w:eastAsia="Times New Roman" w:hAnsi="Calibri" w:cs="Times New Roman"/>
                <w:b/>
                <w:bCs/>
                <w:color w:val="000000"/>
                <w:sz w:val="22"/>
                <w:lang w:eastAsia="en-GB"/>
              </w:rPr>
            </w:pPr>
            <w:r w:rsidRPr="00B8454C">
              <w:rPr>
                <w:rFonts w:ascii="Calibri" w:eastAsia="Times New Roman" w:hAnsi="Calibri" w:cs="Times New Roman"/>
                <w:b/>
                <w:bCs/>
                <w:color w:val="000000"/>
                <w:sz w:val="22"/>
                <w:lang w:eastAsia="en-GB"/>
              </w:rPr>
              <w:t> </w:t>
            </w:r>
          </w:p>
        </w:tc>
        <w:tc>
          <w:tcPr>
            <w:tcW w:w="960" w:type="dxa"/>
            <w:tcBorders>
              <w:top w:val="nil"/>
              <w:left w:val="nil"/>
              <w:bottom w:val="single" w:sz="8" w:space="0" w:color="auto"/>
              <w:right w:val="nil"/>
            </w:tcBorders>
            <w:shd w:val="clear" w:color="auto" w:fill="auto"/>
            <w:noWrap/>
            <w:vAlign w:val="bottom"/>
            <w:hideMark/>
          </w:tcPr>
          <w:p w14:paraId="0CC75748" w14:textId="77777777" w:rsidR="00B8454C" w:rsidRPr="00B8454C" w:rsidRDefault="00B8454C" w:rsidP="00B8454C">
            <w:pPr>
              <w:jc w:val="right"/>
              <w:rPr>
                <w:rFonts w:ascii="Calibri" w:eastAsia="Times New Roman" w:hAnsi="Calibri" w:cs="Times New Roman"/>
                <w:color w:val="000000"/>
                <w:sz w:val="22"/>
                <w:lang w:eastAsia="en-GB"/>
              </w:rPr>
            </w:pPr>
            <w:r w:rsidRPr="00B8454C">
              <w:rPr>
                <w:rFonts w:ascii="Calibri" w:eastAsia="Times New Roman" w:hAnsi="Calibri" w:cs="Times New Roman"/>
                <w:color w:val="000000"/>
                <w:sz w:val="22"/>
                <w:lang w:eastAsia="en-GB"/>
              </w:rPr>
              <w:t> </w:t>
            </w:r>
          </w:p>
        </w:tc>
      </w:tr>
    </w:tbl>
    <w:p w14:paraId="3C6BCACD" w14:textId="77777777" w:rsidR="00B8454C" w:rsidRPr="00B8454C" w:rsidRDefault="00B8454C" w:rsidP="00B8454C">
      <w:pPr>
        <w:spacing w:after="200" w:line="276" w:lineRule="auto"/>
        <w:rPr>
          <w:rFonts w:eastAsia="Calibri" w:cs="Times New Roman"/>
          <w:b/>
          <w:sz w:val="22"/>
        </w:rPr>
      </w:pPr>
    </w:p>
    <w:p w14:paraId="0F2FEB8A" w14:textId="77777777" w:rsidR="00B8454C" w:rsidRPr="00B8454C" w:rsidRDefault="00B8454C" w:rsidP="00B8454C">
      <w:pPr>
        <w:spacing w:after="200" w:line="276" w:lineRule="auto"/>
        <w:rPr>
          <w:rFonts w:eastAsia="Calibri" w:cs="Times New Roman"/>
          <w:sz w:val="22"/>
        </w:rPr>
      </w:pPr>
      <w:proofErr w:type="gramStart"/>
      <w:r w:rsidRPr="00B8454C">
        <w:rPr>
          <w:rFonts w:eastAsia="Calibri" w:cs="Times New Roman"/>
          <w:b/>
          <w:sz w:val="22"/>
        </w:rPr>
        <w:t>Table 7</w:t>
      </w:r>
      <w:r w:rsidRPr="00B8454C">
        <w:rPr>
          <w:rFonts w:eastAsia="Calibri" w:cs="Times New Roman"/>
          <w:sz w:val="22"/>
        </w:rPr>
        <w:t>.</w:t>
      </w:r>
      <w:proofErr w:type="gramEnd"/>
      <w:r w:rsidRPr="00B8454C">
        <w:rPr>
          <w:rFonts w:eastAsia="Calibri" w:cs="Times New Roman"/>
          <w:sz w:val="22"/>
        </w:rPr>
        <w:t xml:space="preserve"> Evolution of own account numbers by gender for main aggregate sectors, with upper </w:t>
      </w:r>
      <w:proofErr w:type="spellStart"/>
      <w:proofErr w:type="gramStart"/>
      <w:r w:rsidRPr="00B8454C">
        <w:rPr>
          <w:rFonts w:eastAsia="Calibri" w:cs="Times New Roman"/>
          <w:sz w:val="22"/>
        </w:rPr>
        <w:t>an</w:t>
      </w:r>
      <w:proofErr w:type="spellEnd"/>
      <w:proofErr w:type="gramEnd"/>
      <w:r w:rsidRPr="00B8454C">
        <w:rPr>
          <w:rFonts w:eastAsia="Calibri" w:cs="Times New Roman"/>
          <w:sz w:val="22"/>
        </w:rPr>
        <w:t xml:space="preserve"> lower confidence bounds.</w:t>
      </w:r>
    </w:p>
    <w:p w14:paraId="20DBA0A1" w14:textId="77777777" w:rsidR="001E7990" w:rsidRPr="00B52D67" w:rsidRDefault="001E7990" w:rsidP="00B52D67">
      <w:pPr>
        <w:spacing w:line="360" w:lineRule="auto"/>
        <w:jc w:val="both"/>
      </w:pPr>
    </w:p>
    <w:p w14:paraId="507A9C07" w14:textId="77777777" w:rsidR="00B8454C" w:rsidRDefault="00B8454C" w:rsidP="00B52D67">
      <w:pPr>
        <w:spacing w:line="360" w:lineRule="auto"/>
        <w:jc w:val="both"/>
        <w:sectPr w:rsidR="00B8454C" w:rsidSect="00B8454C">
          <w:endnotePr>
            <w:numFmt w:val="decimal"/>
          </w:endnotePr>
          <w:pgSz w:w="16838" w:h="11906" w:orient="landscape"/>
          <w:pgMar w:top="1418" w:right="1191" w:bottom="1418" w:left="1134" w:header="709" w:footer="709" w:gutter="0"/>
          <w:cols w:space="708"/>
          <w:docGrid w:linePitch="360"/>
        </w:sectPr>
      </w:pPr>
    </w:p>
    <w:p w14:paraId="532A97C0" w14:textId="05315445" w:rsidR="001E7990" w:rsidRDefault="001E7990" w:rsidP="00B52D67">
      <w:pPr>
        <w:spacing w:line="360" w:lineRule="auto"/>
        <w:jc w:val="both"/>
      </w:pPr>
      <w:r>
        <w:lastRenderedPageBreak/>
        <w:t xml:space="preserve">An important contrast of evolution by status and gender is also evident by comparing the general trends between the Tables. The aggregate estimates show a steady increase in employer numbers and in the total of all business proprietors, but a rise and then decline of own account. The sector distribution of this trend can now be interpreted from Tables </w:t>
      </w:r>
      <w:r w:rsidR="008D22DB">
        <w:t>6</w:t>
      </w:r>
      <w:r>
        <w:t xml:space="preserve"> and </w:t>
      </w:r>
      <w:r w:rsidR="008D22DB">
        <w:t>7</w:t>
      </w:r>
      <w:r>
        <w:t>. The rise and then decline</w:t>
      </w:r>
      <w:r w:rsidRPr="00AE3EA2">
        <w:t xml:space="preserve"> </w:t>
      </w:r>
      <w:r>
        <w:t xml:space="preserve">of </w:t>
      </w:r>
      <w:r w:rsidRPr="00AE3EA2">
        <w:t>own account</w:t>
      </w:r>
      <w:r>
        <w:t xml:space="preserve"> is most striking for male farming, food sales and refreshment, and to a numerically lesser extent in manufacturing, transport, and finance. </w:t>
      </w:r>
      <w:r w:rsidR="003722F9">
        <w:t>This</w:t>
      </w:r>
      <w:r>
        <w:t xml:space="preserve"> is echoed in female </w:t>
      </w:r>
      <w:r w:rsidR="00E841E6">
        <w:t>own account</w:t>
      </w:r>
      <w:r>
        <w:t xml:space="preserve"> in only four sectors:</w:t>
      </w:r>
      <w:r w:rsidRPr="00101372">
        <w:t xml:space="preserve"> maker-dealing, p</w:t>
      </w:r>
      <w:r>
        <w:t>ersonal services, f</w:t>
      </w:r>
      <w:r w:rsidRPr="00101372">
        <w:t>ood sales and refreshment</w:t>
      </w:r>
      <w:r>
        <w:t xml:space="preserve">; of these, the decline for females </w:t>
      </w:r>
      <w:r w:rsidR="003722F9">
        <w:t xml:space="preserve">1901-11 </w:t>
      </w:r>
      <w:r>
        <w:t xml:space="preserve">in maker-dealing and personal services is numerically largest, accounting for 58,000 </w:t>
      </w:r>
      <w:r w:rsidR="00E841E6">
        <w:t>own account</w:t>
      </w:r>
      <w:r>
        <w:t xml:space="preserve">. The upward trend over 1891-1901 </w:t>
      </w:r>
      <w:r w:rsidR="003722F9">
        <w:t>was</w:t>
      </w:r>
      <w:r>
        <w:t xml:space="preserve"> a continuation of previous expansion of </w:t>
      </w:r>
      <w:r w:rsidR="00E841E6">
        <w:t>own account</w:t>
      </w:r>
      <w:r w:rsidR="003722F9">
        <w:t>, as</w:t>
      </w:r>
      <w:r>
        <w:t xml:space="preserve"> confirmed from the earlier Censuses </w:t>
      </w:r>
      <w:r w:rsidR="003722F9">
        <w:t>(</w:t>
      </w:r>
      <w:r w:rsidR="00190D21">
        <w:t>Bennett et al., 201</w:t>
      </w:r>
      <w:r w:rsidR="004F79BA">
        <w:t>8</w:t>
      </w:r>
      <w:r w:rsidR="003722F9">
        <w:t>)</w:t>
      </w:r>
      <w:r>
        <w:t xml:space="preserve">. </w:t>
      </w:r>
    </w:p>
    <w:p w14:paraId="0DDBE3A0" w14:textId="77777777" w:rsidR="001E7990" w:rsidRDefault="001E7990" w:rsidP="00B52D67">
      <w:pPr>
        <w:spacing w:line="360" w:lineRule="auto"/>
        <w:jc w:val="both"/>
      </w:pPr>
    </w:p>
    <w:p w14:paraId="24AE12C3" w14:textId="346A397D" w:rsidR="001E7990" w:rsidRDefault="001E7990" w:rsidP="00B52D67">
      <w:pPr>
        <w:spacing w:line="360" w:lineRule="auto"/>
        <w:jc w:val="both"/>
      </w:pPr>
      <w:r>
        <w:t>The 1901 Census date thus appears to have marked a turning point in the development of self-employment, with a previous period of long-term growth going into reverse. But this was particularly a phenomenon for own</w:t>
      </w:r>
      <w:r w:rsidR="00A96E14">
        <w:t>-</w:t>
      </w:r>
      <w:r>
        <w:t>account women, where absolute numbers of females were lower in 1911 than they had been in 1891. Conversely, aggregate male own account decreased by a lesser amount 1901-11, and remained in 1911 well above 1891 levels; with sector shifts seeing large declines in maker-dealing and smaller declines in other sectors, offset by some large increases especially in retail. For employers, in contrast, female numbers began to become more significant, experiencing generally more rapid growth than men, especially in maker-dealing</w:t>
      </w:r>
      <w:r w:rsidR="00BE0DCF">
        <w:t>,</w:t>
      </w:r>
      <w:r>
        <w:t xml:space="preserve"> personal services and refreshment </w:t>
      </w:r>
      <w:r w:rsidR="00BE0DCF">
        <w:t xml:space="preserve">where </w:t>
      </w:r>
      <w:r>
        <w:t xml:space="preserve">female business proprietors were increasingly prominent. </w:t>
      </w:r>
      <w:r w:rsidRPr="00947A07">
        <w:t>However, male employers remained the majority in almost all sectors</w:t>
      </w:r>
      <w:r>
        <w:t xml:space="preserve">. This turning point for </w:t>
      </w:r>
      <w:r w:rsidR="00E841E6">
        <w:t>own account</w:t>
      </w:r>
      <w:r>
        <w:t xml:space="preserve"> and female participation has not attracted previous commentary for this period and </w:t>
      </w:r>
      <w:r w:rsidR="00BE0DCF">
        <w:t xml:space="preserve">is the subject of </w:t>
      </w:r>
      <w:r>
        <w:t>further investigation</w:t>
      </w:r>
      <w:r w:rsidR="00B90ED3">
        <w:t xml:space="preserve"> by the authors elsewhere</w:t>
      </w:r>
      <w:r>
        <w:t>.</w:t>
      </w:r>
    </w:p>
    <w:p w14:paraId="45128740" w14:textId="77777777" w:rsidR="001E7990" w:rsidRDefault="001E7990" w:rsidP="00B52D67">
      <w:pPr>
        <w:spacing w:line="360" w:lineRule="auto"/>
        <w:jc w:val="both"/>
      </w:pPr>
    </w:p>
    <w:p w14:paraId="5C6FE20F" w14:textId="01DDB0F3" w:rsidR="001E7990" w:rsidRPr="00947A07" w:rsidRDefault="001E7990" w:rsidP="00B52D67">
      <w:pPr>
        <w:spacing w:line="360" w:lineRule="auto"/>
        <w:jc w:val="both"/>
        <w:rPr>
          <w:b/>
          <w:i/>
        </w:rPr>
      </w:pPr>
      <w:r w:rsidRPr="00947A07">
        <w:rPr>
          <w:b/>
          <w:i/>
        </w:rPr>
        <w:t xml:space="preserve">Detailed </w:t>
      </w:r>
      <w:r>
        <w:rPr>
          <w:b/>
          <w:i/>
        </w:rPr>
        <w:t xml:space="preserve">sub-sector </w:t>
      </w:r>
      <w:r w:rsidRPr="00947A07">
        <w:rPr>
          <w:b/>
          <w:i/>
        </w:rPr>
        <w:t>change</w:t>
      </w:r>
    </w:p>
    <w:p w14:paraId="4B40305E" w14:textId="77777777" w:rsidR="001E7990" w:rsidRDefault="001E7990" w:rsidP="00B52D67">
      <w:pPr>
        <w:spacing w:line="360" w:lineRule="auto"/>
        <w:jc w:val="both"/>
      </w:pPr>
    </w:p>
    <w:p w14:paraId="72DB75DE" w14:textId="67709A8E" w:rsidR="001E7990" w:rsidRDefault="001E7990" w:rsidP="00B52D67">
      <w:pPr>
        <w:spacing w:line="360" w:lineRule="auto"/>
        <w:jc w:val="both"/>
      </w:pPr>
      <w:r>
        <w:t xml:space="preserve">It is important also to assess sub-sectors. These give greater detail to interpretation, but also allow more direct comparison with secondary sources (which are usually for specific occupations). The ten most frequent employer and own account sub-sectors for the 629 occupations are assessed in Tables </w:t>
      </w:r>
      <w:r w:rsidR="005B4996">
        <w:t>8</w:t>
      </w:r>
      <w:r>
        <w:t>-1</w:t>
      </w:r>
      <w:r w:rsidR="005B4996">
        <w:t>1</w:t>
      </w:r>
      <w:r>
        <w:t xml:space="preserve">. For male employers (Table </w:t>
      </w:r>
      <w:r w:rsidR="005B4996">
        <w:t>8</w:t>
      </w:r>
      <w:r>
        <w:t xml:space="preserve">) the main sub-sectors remained almost identical over time, though with minor shifts in ranks. Farming was always by far the single largest category, followed by building. Retail sub-sectors (grocers, butchers </w:t>
      </w:r>
      <w:r>
        <w:lastRenderedPageBreak/>
        <w:t xml:space="preserve">and drapers), innkeeping, maker-dealers such as tailors, shoe makers and bakers, and building trades were the dominant other groups. The professions, through solicitors, appear for the first time in the top ten in 1911. For own account (Table </w:t>
      </w:r>
      <w:r w:rsidR="005B4996">
        <w:t>9</w:t>
      </w:r>
      <w:r>
        <w:t>) the sub-sectors were similar. Farmers were still the largest group, though increasingly less dominant than for employers. Maker-dealers, retail and innkeeping remain the other main groups, though there was a different balance from employers: towards greengrocers, general shopkeepers and hawkers/costermongers. Physicians and market gardeners were common sources of own account not evident in the top 10 of employers. Builders do not appear in the top ten, and the building trades are also less prominent than among employers.</w:t>
      </w:r>
    </w:p>
    <w:p w14:paraId="43D6EC59" w14:textId="77777777" w:rsidR="00F37F6D" w:rsidRDefault="00F37F6D" w:rsidP="00B52D67">
      <w:pPr>
        <w:spacing w:line="360" w:lineRule="auto"/>
        <w:jc w:val="both"/>
        <w:rPr>
          <w:rFonts w:cs="Times New Roman"/>
          <w:b/>
          <w:szCs w:val="24"/>
        </w:rPr>
        <w:sectPr w:rsidR="00F37F6D" w:rsidSect="0001457C">
          <w:endnotePr>
            <w:numFmt w:val="decimal"/>
          </w:endnotePr>
          <w:pgSz w:w="11906" w:h="16838"/>
          <w:pgMar w:top="1134" w:right="1418" w:bottom="1191" w:left="1418" w:header="709" w:footer="709" w:gutter="0"/>
          <w:cols w:space="708"/>
          <w:docGrid w:linePitch="360"/>
        </w:sectPr>
      </w:pPr>
    </w:p>
    <w:p w14:paraId="5FD5306F" w14:textId="77777777" w:rsidR="00F37F6D" w:rsidRPr="00F37F6D" w:rsidRDefault="00F37F6D" w:rsidP="00F37F6D">
      <w:pPr>
        <w:spacing w:after="160" w:line="360" w:lineRule="auto"/>
        <w:jc w:val="both"/>
        <w:rPr>
          <w:rFonts w:ascii="Calibri" w:eastAsia="Calibri" w:hAnsi="Calibri" w:cs="Times New Roman"/>
          <w:sz w:val="22"/>
        </w:rPr>
      </w:pPr>
    </w:p>
    <w:tbl>
      <w:tblPr>
        <w:tblW w:w="13436" w:type="dxa"/>
        <w:tblInd w:w="-10" w:type="dxa"/>
        <w:tblLook w:val="04A0" w:firstRow="1" w:lastRow="0" w:firstColumn="1" w:lastColumn="0" w:noHBand="0" w:noVBand="1"/>
      </w:tblPr>
      <w:tblGrid>
        <w:gridCol w:w="3600"/>
        <w:gridCol w:w="996"/>
        <w:gridCol w:w="996"/>
        <w:gridCol w:w="996"/>
        <w:gridCol w:w="3860"/>
        <w:gridCol w:w="996"/>
        <w:gridCol w:w="996"/>
        <w:gridCol w:w="996"/>
      </w:tblGrid>
      <w:tr w:rsidR="00F37F6D" w:rsidRPr="00F37F6D" w14:paraId="013843E7" w14:textId="77777777" w:rsidTr="00874EE0">
        <w:trPr>
          <w:trHeight w:val="330"/>
        </w:trPr>
        <w:tc>
          <w:tcPr>
            <w:tcW w:w="65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B00A4A"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1891</w:t>
            </w:r>
          </w:p>
        </w:tc>
        <w:tc>
          <w:tcPr>
            <w:tcW w:w="6848" w:type="dxa"/>
            <w:gridSpan w:val="4"/>
            <w:tcBorders>
              <w:top w:val="single" w:sz="8" w:space="0" w:color="auto"/>
              <w:left w:val="nil"/>
              <w:bottom w:val="single" w:sz="8" w:space="0" w:color="auto"/>
              <w:right w:val="single" w:sz="8" w:space="0" w:color="000000"/>
            </w:tcBorders>
            <w:shd w:val="clear" w:color="auto" w:fill="auto"/>
            <w:vAlign w:val="center"/>
            <w:hideMark/>
          </w:tcPr>
          <w:p w14:paraId="4C8764F1"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1901</w:t>
            </w:r>
          </w:p>
        </w:tc>
      </w:tr>
      <w:tr w:rsidR="00F37F6D" w:rsidRPr="00F37F6D" w14:paraId="159BBF81"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69199EE"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7ACB3552"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60C98BBD"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2F02C2BA"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c>
          <w:tcPr>
            <w:tcW w:w="3860" w:type="dxa"/>
            <w:tcBorders>
              <w:top w:val="nil"/>
              <w:left w:val="nil"/>
              <w:bottom w:val="single" w:sz="8" w:space="0" w:color="auto"/>
              <w:right w:val="single" w:sz="8" w:space="0" w:color="auto"/>
            </w:tcBorders>
            <w:shd w:val="clear" w:color="auto" w:fill="auto"/>
            <w:vAlign w:val="center"/>
            <w:hideMark/>
          </w:tcPr>
          <w:p w14:paraId="17F53715"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354EEE7B"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301FB3F6"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4B479E96"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r>
      <w:tr w:rsidR="00F37F6D" w:rsidRPr="00F37F6D" w14:paraId="66FCB8C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30E77A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996" w:type="dxa"/>
            <w:tcBorders>
              <w:top w:val="nil"/>
              <w:left w:val="nil"/>
              <w:bottom w:val="single" w:sz="8" w:space="0" w:color="auto"/>
              <w:right w:val="single" w:sz="8" w:space="0" w:color="auto"/>
            </w:tcBorders>
            <w:shd w:val="clear" w:color="auto" w:fill="auto"/>
            <w:noWrap/>
            <w:vAlign w:val="center"/>
            <w:hideMark/>
          </w:tcPr>
          <w:p w14:paraId="2D10251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133,471</w:t>
            </w:r>
          </w:p>
        </w:tc>
        <w:tc>
          <w:tcPr>
            <w:tcW w:w="996" w:type="dxa"/>
            <w:tcBorders>
              <w:top w:val="nil"/>
              <w:left w:val="nil"/>
              <w:bottom w:val="single" w:sz="8" w:space="0" w:color="auto"/>
              <w:right w:val="single" w:sz="8" w:space="0" w:color="auto"/>
            </w:tcBorders>
            <w:shd w:val="clear" w:color="auto" w:fill="auto"/>
            <w:noWrap/>
            <w:vAlign w:val="center"/>
            <w:hideMark/>
          </w:tcPr>
          <w:p w14:paraId="5F6AE54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132,962</w:t>
            </w:r>
          </w:p>
        </w:tc>
        <w:tc>
          <w:tcPr>
            <w:tcW w:w="996" w:type="dxa"/>
            <w:tcBorders>
              <w:top w:val="nil"/>
              <w:left w:val="nil"/>
              <w:bottom w:val="single" w:sz="8" w:space="0" w:color="auto"/>
              <w:right w:val="single" w:sz="8" w:space="0" w:color="auto"/>
            </w:tcBorders>
            <w:shd w:val="clear" w:color="auto" w:fill="auto"/>
            <w:noWrap/>
            <w:vAlign w:val="center"/>
            <w:hideMark/>
          </w:tcPr>
          <w:p w14:paraId="22E9AD8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133,980</w:t>
            </w:r>
          </w:p>
        </w:tc>
        <w:tc>
          <w:tcPr>
            <w:tcW w:w="3860" w:type="dxa"/>
            <w:tcBorders>
              <w:top w:val="nil"/>
              <w:left w:val="nil"/>
              <w:bottom w:val="single" w:sz="8" w:space="0" w:color="auto"/>
              <w:right w:val="single" w:sz="8" w:space="0" w:color="auto"/>
            </w:tcBorders>
            <w:shd w:val="clear" w:color="auto" w:fill="auto"/>
            <w:noWrap/>
            <w:vAlign w:val="center"/>
            <w:hideMark/>
          </w:tcPr>
          <w:p w14:paraId="79B3EA3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996" w:type="dxa"/>
            <w:tcBorders>
              <w:top w:val="nil"/>
              <w:left w:val="nil"/>
              <w:bottom w:val="single" w:sz="8" w:space="0" w:color="auto"/>
              <w:right w:val="single" w:sz="8" w:space="0" w:color="auto"/>
            </w:tcBorders>
            <w:shd w:val="clear" w:color="auto" w:fill="auto"/>
            <w:noWrap/>
            <w:vAlign w:val="center"/>
            <w:hideMark/>
          </w:tcPr>
          <w:p w14:paraId="062E153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122,540</w:t>
            </w:r>
          </w:p>
        </w:tc>
        <w:tc>
          <w:tcPr>
            <w:tcW w:w="996" w:type="dxa"/>
            <w:tcBorders>
              <w:top w:val="nil"/>
              <w:left w:val="nil"/>
              <w:bottom w:val="single" w:sz="8" w:space="0" w:color="auto"/>
              <w:right w:val="single" w:sz="8" w:space="0" w:color="auto"/>
            </w:tcBorders>
            <w:shd w:val="clear" w:color="auto" w:fill="auto"/>
            <w:noWrap/>
            <w:vAlign w:val="center"/>
            <w:hideMark/>
          </w:tcPr>
          <w:p w14:paraId="30F04D3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122,044</w:t>
            </w:r>
          </w:p>
        </w:tc>
        <w:tc>
          <w:tcPr>
            <w:tcW w:w="996" w:type="dxa"/>
            <w:tcBorders>
              <w:top w:val="nil"/>
              <w:left w:val="nil"/>
              <w:bottom w:val="single" w:sz="8" w:space="0" w:color="auto"/>
              <w:right w:val="single" w:sz="8" w:space="0" w:color="auto"/>
            </w:tcBorders>
            <w:shd w:val="clear" w:color="auto" w:fill="auto"/>
            <w:noWrap/>
            <w:vAlign w:val="center"/>
            <w:hideMark/>
          </w:tcPr>
          <w:p w14:paraId="0DCF5BA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123,037</w:t>
            </w:r>
          </w:p>
        </w:tc>
      </w:tr>
      <w:tr w:rsidR="00F37F6D" w:rsidRPr="00F37F6D" w14:paraId="3EFE025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8490488"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Builders</w:t>
            </w:r>
          </w:p>
        </w:tc>
        <w:tc>
          <w:tcPr>
            <w:tcW w:w="996" w:type="dxa"/>
            <w:tcBorders>
              <w:top w:val="nil"/>
              <w:left w:val="nil"/>
              <w:bottom w:val="single" w:sz="8" w:space="0" w:color="auto"/>
              <w:right w:val="single" w:sz="8" w:space="0" w:color="auto"/>
            </w:tcBorders>
            <w:shd w:val="clear" w:color="auto" w:fill="auto"/>
            <w:noWrap/>
            <w:vAlign w:val="center"/>
            <w:hideMark/>
          </w:tcPr>
          <w:p w14:paraId="743F9A4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17,321</w:t>
            </w:r>
          </w:p>
        </w:tc>
        <w:tc>
          <w:tcPr>
            <w:tcW w:w="996" w:type="dxa"/>
            <w:tcBorders>
              <w:top w:val="nil"/>
              <w:left w:val="nil"/>
              <w:bottom w:val="single" w:sz="8" w:space="0" w:color="auto"/>
              <w:right w:val="single" w:sz="8" w:space="0" w:color="auto"/>
            </w:tcBorders>
            <w:shd w:val="clear" w:color="auto" w:fill="auto"/>
            <w:noWrap/>
            <w:vAlign w:val="center"/>
            <w:hideMark/>
          </w:tcPr>
          <w:p w14:paraId="470DF9C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17,068</w:t>
            </w:r>
          </w:p>
        </w:tc>
        <w:tc>
          <w:tcPr>
            <w:tcW w:w="996" w:type="dxa"/>
            <w:tcBorders>
              <w:top w:val="nil"/>
              <w:left w:val="nil"/>
              <w:bottom w:val="single" w:sz="8" w:space="0" w:color="auto"/>
              <w:right w:val="single" w:sz="8" w:space="0" w:color="auto"/>
            </w:tcBorders>
            <w:shd w:val="clear" w:color="auto" w:fill="auto"/>
            <w:noWrap/>
            <w:vAlign w:val="center"/>
            <w:hideMark/>
          </w:tcPr>
          <w:p w14:paraId="7E33D71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17,574</w:t>
            </w:r>
          </w:p>
        </w:tc>
        <w:tc>
          <w:tcPr>
            <w:tcW w:w="3860" w:type="dxa"/>
            <w:tcBorders>
              <w:top w:val="nil"/>
              <w:left w:val="nil"/>
              <w:bottom w:val="single" w:sz="8" w:space="0" w:color="auto"/>
              <w:right w:val="single" w:sz="8" w:space="0" w:color="auto"/>
            </w:tcBorders>
            <w:shd w:val="clear" w:color="auto" w:fill="auto"/>
            <w:noWrap/>
            <w:vAlign w:val="center"/>
            <w:hideMark/>
          </w:tcPr>
          <w:p w14:paraId="25CFE6C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Builders</w:t>
            </w:r>
          </w:p>
        </w:tc>
        <w:tc>
          <w:tcPr>
            <w:tcW w:w="996" w:type="dxa"/>
            <w:tcBorders>
              <w:top w:val="nil"/>
              <w:left w:val="nil"/>
              <w:bottom w:val="single" w:sz="8" w:space="0" w:color="auto"/>
              <w:right w:val="single" w:sz="8" w:space="0" w:color="auto"/>
            </w:tcBorders>
            <w:shd w:val="clear" w:color="auto" w:fill="auto"/>
            <w:noWrap/>
            <w:vAlign w:val="center"/>
            <w:hideMark/>
          </w:tcPr>
          <w:p w14:paraId="33D5FEB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20,632</w:t>
            </w:r>
          </w:p>
        </w:tc>
        <w:tc>
          <w:tcPr>
            <w:tcW w:w="996" w:type="dxa"/>
            <w:tcBorders>
              <w:top w:val="nil"/>
              <w:left w:val="nil"/>
              <w:bottom w:val="single" w:sz="8" w:space="0" w:color="auto"/>
              <w:right w:val="single" w:sz="8" w:space="0" w:color="auto"/>
            </w:tcBorders>
            <w:shd w:val="clear" w:color="auto" w:fill="auto"/>
            <w:noWrap/>
            <w:vAlign w:val="center"/>
            <w:hideMark/>
          </w:tcPr>
          <w:p w14:paraId="339AA8A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20,360</w:t>
            </w:r>
          </w:p>
        </w:tc>
        <w:tc>
          <w:tcPr>
            <w:tcW w:w="996" w:type="dxa"/>
            <w:tcBorders>
              <w:top w:val="nil"/>
              <w:left w:val="nil"/>
              <w:bottom w:val="single" w:sz="8" w:space="0" w:color="auto"/>
              <w:right w:val="single" w:sz="8" w:space="0" w:color="auto"/>
            </w:tcBorders>
            <w:shd w:val="clear" w:color="auto" w:fill="auto"/>
            <w:noWrap/>
            <w:vAlign w:val="center"/>
            <w:hideMark/>
          </w:tcPr>
          <w:p w14:paraId="4F45ACA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20,904</w:t>
            </w:r>
          </w:p>
        </w:tc>
      </w:tr>
      <w:tr w:rsidR="00F37F6D" w:rsidRPr="00F37F6D" w14:paraId="03731C0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1ABFAB4"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2DBD88F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13,599</w:t>
            </w:r>
          </w:p>
        </w:tc>
        <w:tc>
          <w:tcPr>
            <w:tcW w:w="996" w:type="dxa"/>
            <w:tcBorders>
              <w:top w:val="nil"/>
              <w:left w:val="nil"/>
              <w:bottom w:val="single" w:sz="8" w:space="0" w:color="auto"/>
              <w:right w:val="single" w:sz="8" w:space="0" w:color="auto"/>
            </w:tcBorders>
            <w:shd w:val="clear" w:color="auto" w:fill="auto"/>
            <w:noWrap/>
            <w:vAlign w:val="center"/>
            <w:hideMark/>
          </w:tcPr>
          <w:p w14:paraId="5B3CEAD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13,372</w:t>
            </w:r>
          </w:p>
        </w:tc>
        <w:tc>
          <w:tcPr>
            <w:tcW w:w="996" w:type="dxa"/>
            <w:tcBorders>
              <w:top w:val="nil"/>
              <w:left w:val="nil"/>
              <w:bottom w:val="single" w:sz="8" w:space="0" w:color="auto"/>
              <w:right w:val="single" w:sz="8" w:space="0" w:color="auto"/>
            </w:tcBorders>
            <w:shd w:val="clear" w:color="auto" w:fill="auto"/>
            <w:noWrap/>
            <w:vAlign w:val="center"/>
            <w:hideMark/>
          </w:tcPr>
          <w:p w14:paraId="4B0AE66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13,825</w:t>
            </w:r>
          </w:p>
        </w:tc>
        <w:tc>
          <w:tcPr>
            <w:tcW w:w="3860" w:type="dxa"/>
            <w:tcBorders>
              <w:top w:val="nil"/>
              <w:left w:val="nil"/>
              <w:bottom w:val="single" w:sz="8" w:space="0" w:color="auto"/>
              <w:right w:val="single" w:sz="8" w:space="0" w:color="auto"/>
            </w:tcBorders>
            <w:shd w:val="clear" w:color="auto" w:fill="auto"/>
            <w:noWrap/>
            <w:vAlign w:val="center"/>
            <w:hideMark/>
          </w:tcPr>
          <w:p w14:paraId="7C36714E"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4FA5C6C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16,064</w:t>
            </w:r>
          </w:p>
        </w:tc>
        <w:tc>
          <w:tcPr>
            <w:tcW w:w="996" w:type="dxa"/>
            <w:tcBorders>
              <w:top w:val="nil"/>
              <w:left w:val="nil"/>
              <w:bottom w:val="single" w:sz="8" w:space="0" w:color="auto"/>
              <w:right w:val="single" w:sz="8" w:space="0" w:color="auto"/>
            </w:tcBorders>
            <w:shd w:val="clear" w:color="auto" w:fill="auto"/>
            <w:noWrap/>
            <w:vAlign w:val="center"/>
            <w:hideMark/>
          </w:tcPr>
          <w:p w14:paraId="25C6B90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15,821</w:t>
            </w:r>
          </w:p>
        </w:tc>
        <w:tc>
          <w:tcPr>
            <w:tcW w:w="996" w:type="dxa"/>
            <w:tcBorders>
              <w:top w:val="nil"/>
              <w:left w:val="nil"/>
              <w:bottom w:val="single" w:sz="8" w:space="0" w:color="auto"/>
              <w:right w:val="single" w:sz="8" w:space="0" w:color="auto"/>
            </w:tcBorders>
            <w:shd w:val="clear" w:color="auto" w:fill="auto"/>
            <w:noWrap/>
            <w:vAlign w:val="center"/>
            <w:hideMark/>
          </w:tcPr>
          <w:p w14:paraId="53B5E08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16,307</w:t>
            </w:r>
          </w:p>
        </w:tc>
      </w:tr>
      <w:tr w:rsidR="00F37F6D" w:rsidRPr="00F37F6D" w14:paraId="4A325B8C"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206AD27"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996" w:type="dxa"/>
            <w:tcBorders>
              <w:top w:val="nil"/>
              <w:left w:val="nil"/>
              <w:bottom w:val="single" w:sz="8" w:space="0" w:color="auto"/>
              <w:right w:val="single" w:sz="8" w:space="0" w:color="auto"/>
            </w:tcBorders>
            <w:shd w:val="clear" w:color="auto" w:fill="auto"/>
            <w:noWrap/>
            <w:vAlign w:val="center"/>
            <w:hideMark/>
          </w:tcPr>
          <w:p w14:paraId="052D99F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13,427</w:t>
            </w:r>
          </w:p>
        </w:tc>
        <w:tc>
          <w:tcPr>
            <w:tcW w:w="996" w:type="dxa"/>
            <w:tcBorders>
              <w:top w:val="nil"/>
              <w:left w:val="nil"/>
              <w:bottom w:val="single" w:sz="8" w:space="0" w:color="auto"/>
              <w:right w:val="single" w:sz="8" w:space="0" w:color="auto"/>
            </w:tcBorders>
            <w:shd w:val="clear" w:color="auto" w:fill="auto"/>
            <w:noWrap/>
            <w:vAlign w:val="center"/>
            <w:hideMark/>
          </w:tcPr>
          <w:p w14:paraId="4179839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13,191</w:t>
            </w:r>
          </w:p>
        </w:tc>
        <w:tc>
          <w:tcPr>
            <w:tcW w:w="996" w:type="dxa"/>
            <w:tcBorders>
              <w:top w:val="nil"/>
              <w:left w:val="nil"/>
              <w:bottom w:val="single" w:sz="8" w:space="0" w:color="auto"/>
              <w:right w:val="single" w:sz="8" w:space="0" w:color="auto"/>
            </w:tcBorders>
            <w:shd w:val="clear" w:color="auto" w:fill="auto"/>
            <w:noWrap/>
            <w:vAlign w:val="center"/>
            <w:hideMark/>
          </w:tcPr>
          <w:p w14:paraId="6DBAC57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13,664</w:t>
            </w:r>
          </w:p>
        </w:tc>
        <w:tc>
          <w:tcPr>
            <w:tcW w:w="3860" w:type="dxa"/>
            <w:tcBorders>
              <w:top w:val="nil"/>
              <w:left w:val="nil"/>
              <w:bottom w:val="single" w:sz="8" w:space="0" w:color="auto"/>
              <w:right w:val="single" w:sz="8" w:space="0" w:color="auto"/>
            </w:tcBorders>
            <w:shd w:val="clear" w:color="auto" w:fill="auto"/>
            <w:noWrap/>
            <w:vAlign w:val="center"/>
            <w:hideMark/>
          </w:tcPr>
          <w:p w14:paraId="31359516"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Meat Salesmen</w:t>
            </w:r>
          </w:p>
        </w:tc>
        <w:tc>
          <w:tcPr>
            <w:tcW w:w="996" w:type="dxa"/>
            <w:tcBorders>
              <w:top w:val="nil"/>
              <w:left w:val="nil"/>
              <w:bottom w:val="single" w:sz="8" w:space="0" w:color="auto"/>
              <w:right w:val="single" w:sz="8" w:space="0" w:color="auto"/>
            </w:tcBorders>
            <w:shd w:val="clear" w:color="auto" w:fill="auto"/>
            <w:noWrap/>
            <w:vAlign w:val="center"/>
            <w:hideMark/>
          </w:tcPr>
          <w:p w14:paraId="6FA52B6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11,814</w:t>
            </w:r>
          </w:p>
        </w:tc>
        <w:tc>
          <w:tcPr>
            <w:tcW w:w="996" w:type="dxa"/>
            <w:tcBorders>
              <w:top w:val="nil"/>
              <w:left w:val="nil"/>
              <w:bottom w:val="single" w:sz="8" w:space="0" w:color="auto"/>
              <w:right w:val="single" w:sz="8" w:space="0" w:color="auto"/>
            </w:tcBorders>
            <w:shd w:val="clear" w:color="auto" w:fill="auto"/>
            <w:noWrap/>
            <w:vAlign w:val="center"/>
            <w:hideMark/>
          </w:tcPr>
          <w:p w14:paraId="2E7F1A6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11,604</w:t>
            </w:r>
          </w:p>
        </w:tc>
        <w:tc>
          <w:tcPr>
            <w:tcW w:w="996" w:type="dxa"/>
            <w:tcBorders>
              <w:top w:val="nil"/>
              <w:left w:val="nil"/>
              <w:bottom w:val="single" w:sz="8" w:space="0" w:color="auto"/>
              <w:right w:val="single" w:sz="8" w:space="0" w:color="auto"/>
            </w:tcBorders>
            <w:shd w:val="clear" w:color="auto" w:fill="auto"/>
            <w:noWrap/>
            <w:vAlign w:val="center"/>
            <w:hideMark/>
          </w:tcPr>
          <w:p w14:paraId="5D24072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12,023</w:t>
            </w:r>
          </w:p>
        </w:tc>
      </w:tr>
      <w:tr w:rsidR="00F37F6D" w:rsidRPr="00F37F6D" w14:paraId="3AB59AE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8EEEC8B"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Meat Salesmen</w:t>
            </w:r>
          </w:p>
        </w:tc>
        <w:tc>
          <w:tcPr>
            <w:tcW w:w="996" w:type="dxa"/>
            <w:tcBorders>
              <w:top w:val="nil"/>
              <w:left w:val="nil"/>
              <w:bottom w:val="single" w:sz="8" w:space="0" w:color="auto"/>
              <w:right w:val="single" w:sz="8" w:space="0" w:color="auto"/>
            </w:tcBorders>
            <w:shd w:val="clear" w:color="auto" w:fill="auto"/>
            <w:noWrap/>
            <w:vAlign w:val="center"/>
            <w:hideMark/>
          </w:tcPr>
          <w:p w14:paraId="50F54C7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12,338</w:t>
            </w:r>
          </w:p>
        </w:tc>
        <w:tc>
          <w:tcPr>
            <w:tcW w:w="996" w:type="dxa"/>
            <w:tcBorders>
              <w:top w:val="nil"/>
              <w:left w:val="nil"/>
              <w:bottom w:val="single" w:sz="8" w:space="0" w:color="auto"/>
              <w:right w:val="single" w:sz="8" w:space="0" w:color="auto"/>
            </w:tcBorders>
            <w:shd w:val="clear" w:color="auto" w:fill="auto"/>
            <w:noWrap/>
            <w:vAlign w:val="center"/>
            <w:hideMark/>
          </w:tcPr>
          <w:p w14:paraId="6D824A8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12,120</w:t>
            </w:r>
          </w:p>
        </w:tc>
        <w:tc>
          <w:tcPr>
            <w:tcW w:w="996" w:type="dxa"/>
            <w:tcBorders>
              <w:top w:val="nil"/>
              <w:left w:val="nil"/>
              <w:bottom w:val="single" w:sz="8" w:space="0" w:color="auto"/>
              <w:right w:val="single" w:sz="8" w:space="0" w:color="auto"/>
            </w:tcBorders>
            <w:shd w:val="clear" w:color="auto" w:fill="auto"/>
            <w:noWrap/>
            <w:vAlign w:val="center"/>
            <w:hideMark/>
          </w:tcPr>
          <w:p w14:paraId="3A717E0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12,555</w:t>
            </w:r>
          </w:p>
        </w:tc>
        <w:tc>
          <w:tcPr>
            <w:tcW w:w="3860" w:type="dxa"/>
            <w:tcBorders>
              <w:top w:val="nil"/>
              <w:left w:val="nil"/>
              <w:bottom w:val="single" w:sz="8" w:space="0" w:color="auto"/>
              <w:right w:val="single" w:sz="8" w:space="0" w:color="auto"/>
            </w:tcBorders>
            <w:shd w:val="clear" w:color="auto" w:fill="auto"/>
            <w:noWrap/>
            <w:vAlign w:val="center"/>
            <w:hideMark/>
          </w:tcPr>
          <w:p w14:paraId="2EFC7E87"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Tailors</w:t>
            </w:r>
          </w:p>
        </w:tc>
        <w:tc>
          <w:tcPr>
            <w:tcW w:w="996" w:type="dxa"/>
            <w:tcBorders>
              <w:top w:val="nil"/>
              <w:left w:val="nil"/>
              <w:bottom w:val="single" w:sz="8" w:space="0" w:color="auto"/>
              <w:right w:val="single" w:sz="8" w:space="0" w:color="auto"/>
            </w:tcBorders>
            <w:shd w:val="clear" w:color="auto" w:fill="auto"/>
            <w:noWrap/>
            <w:vAlign w:val="center"/>
            <w:hideMark/>
          </w:tcPr>
          <w:p w14:paraId="278ECC6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11,718</w:t>
            </w:r>
          </w:p>
        </w:tc>
        <w:tc>
          <w:tcPr>
            <w:tcW w:w="996" w:type="dxa"/>
            <w:tcBorders>
              <w:top w:val="nil"/>
              <w:left w:val="nil"/>
              <w:bottom w:val="single" w:sz="8" w:space="0" w:color="auto"/>
              <w:right w:val="single" w:sz="8" w:space="0" w:color="auto"/>
            </w:tcBorders>
            <w:shd w:val="clear" w:color="auto" w:fill="auto"/>
            <w:noWrap/>
            <w:vAlign w:val="center"/>
            <w:hideMark/>
          </w:tcPr>
          <w:p w14:paraId="2C451AB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11,510</w:t>
            </w:r>
          </w:p>
        </w:tc>
        <w:tc>
          <w:tcPr>
            <w:tcW w:w="996" w:type="dxa"/>
            <w:tcBorders>
              <w:top w:val="nil"/>
              <w:left w:val="nil"/>
              <w:bottom w:val="single" w:sz="8" w:space="0" w:color="auto"/>
              <w:right w:val="single" w:sz="8" w:space="0" w:color="auto"/>
            </w:tcBorders>
            <w:shd w:val="clear" w:color="auto" w:fill="auto"/>
            <w:noWrap/>
            <w:vAlign w:val="center"/>
            <w:hideMark/>
          </w:tcPr>
          <w:p w14:paraId="721F6D6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11,927</w:t>
            </w:r>
          </w:p>
        </w:tc>
      </w:tr>
      <w:tr w:rsidR="00F37F6D" w:rsidRPr="00F37F6D" w14:paraId="4DB7A4E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4039110"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Tailors</w:t>
            </w:r>
          </w:p>
        </w:tc>
        <w:tc>
          <w:tcPr>
            <w:tcW w:w="996" w:type="dxa"/>
            <w:tcBorders>
              <w:top w:val="nil"/>
              <w:left w:val="nil"/>
              <w:bottom w:val="single" w:sz="8" w:space="0" w:color="auto"/>
              <w:right w:val="single" w:sz="8" w:space="0" w:color="auto"/>
            </w:tcBorders>
            <w:shd w:val="clear" w:color="auto" w:fill="auto"/>
            <w:noWrap/>
            <w:vAlign w:val="center"/>
            <w:hideMark/>
          </w:tcPr>
          <w:p w14:paraId="77E0FF2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11,192</w:t>
            </w:r>
          </w:p>
        </w:tc>
        <w:tc>
          <w:tcPr>
            <w:tcW w:w="996" w:type="dxa"/>
            <w:tcBorders>
              <w:top w:val="nil"/>
              <w:left w:val="nil"/>
              <w:bottom w:val="single" w:sz="8" w:space="0" w:color="auto"/>
              <w:right w:val="single" w:sz="8" w:space="0" w:color="auto"/>
            </w:tcBorders>
            <w:shd w:val="clear" w:color="auto" w:fill="auto"/>
            <w:noWrap/>
            <w:vAlign w:val="center"/>
            <w:hideMark/>
          </w:tcPr>
          <w:p w14:paraId="0DA9946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10,984</w:t>
            </w:r>
          </w:p>
        </w:tc>
        <w:tc>
          <w:tcPr>
            <w:tcW w:w="996" w:type="dxa"/>
            <w:tcBorders>
              <w:top w:val="nil"/>
              <w:left w:val="nil"/>
              <w:bottom w:val="single" w:sz="8" w:space="0" w:color="auto"/>
              <w:right w:val="single" w:sz="8" w:space="0" w:color="auto"/>
            </w:tcBorders>
            <w:shd w:val="clear" w:color="auto" w:fill="auto"/>
            <w:noWrap/>
            <w:vAlign w:val="center"/>
            <w:hideMark/>
          </w:tcPr>
          <w:p w14:paraId="3DAED21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11,400</w:t>
            </w:r>
          </w:p>
        </w:tc>
        <w:tc>
          <w:tcPr>
            <w:tcW w:w="3860" w:type="dxa"/>
            <w:tcBorders>
              <w:top w:val="nil"/>
              <w:left w:val="nil"/>
              <w:bottom w:val="single" w:sz="8" w:space="0" w:color="auto"/>
              <w:right w:val="single" w:sz="8" w:space="0" w:color="auto"/>
            </w:tcBorders>
            <w:shd w:val="clear" w:color="auto" w:fill="auto"/>
            <w:noWrap/>
            <w:vAlign w:val="center"/>
            <w:hideMark/>
          </w:tcPr>
          <w:p w14:paraId="76BD94D0"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996" w:type="dxa"/>
            <w:tcBorders>
              <w:top w:val="nil"/>
              <w:left w:val="nil"/>
              <w:bottom w:val="single" w:sz="8" w:space="0" w:color="auto"/>
              <w:right w:val="single" w:sz="8" w:space="0" w:color="auto"/>
            </w:tcBorders>
            <w:shd w:val="clear" w:color="auto" w:fill="auto"/>
            <w:noWrap/>
            <w:vAlign w:val="center"/>
            <w:hideMark/>
          </w:tcPr>
          <w:p w14:paraId="6202EA1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11,697</w:t>
            </w:r>
          </w:p>
        </w:tc>
        <w:tc>
          <w:tcPr>
            <w:tcW w:w="996" w:type="dxa"/>
            <w:tcBorders>
              <w:top w:val="nil"/>
              <w:left w:val="nil"/>
              <w:bottom w:val="single" w:sz="8" w:space="0" w:color="auto"/>
              <w:right w:val="single" w:sz="8" w:space="0" w:color="auto"/>
            </w:tcBorders>
            <w:shd w:val="clear" w:color="auto" w:fill="auto"/>
            <w:noWrap/>
            <w:vAlign w:val="center"/>
            <w:hideMark/>
          </w:tcPr>
          <w:p w14:paraId="24DA8DC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11,486</w:t>
            </w:r>
          </w:p>
        </w:tc>
        <w:tc>
          <w:tcPr>
            <w:tcW w:w="996" w:type="dxa"/>
            <w:tcBorders>
              <w:top w:val="nil"/>
              <w:left w:val="nil"/>
              <w:bottom w:val="single" w:sz="8" w:space="0" w:color="auto"/>
              <w:right w:val="single" w:sz="8" w:space="0" w:color="auto"/>
            </w:tcBorders>
            <w:shd w:val="clear" w:color="auto" w:fill="auto"/>
            <w:noWrap/>
            <w:vAlign w:val="center"/>
            <w:hideMark/>
          </w:tcPr>
          <w:p w14:paraId="6F7DF1F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11,908</w:t>
            </w:r>
          </w:p>
        </w:tc>
      </w:tr>
      <w:tr w:rsidR="00F37F6D" w:rsidRPr="00F37F6D" w14:paraId="399EE5A1"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93E49F3"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Shoe and Boot Makers </w:t>
            </w:r>
          </w:p>
        </w:tc>
        <w:tc>
          <w:tcPr>
            <w:tcW w:w="996" w:type="dxa"/>
            <w:tcBorders>
              <w:top w:val="nil"/>
              <w:left w:val="nil"/>
              <w:bottom w:val="single" w:sz="8" w:space="0" w:color="auto"/>
              <w:right w:val="single" w:sz="8" w:space="0" w:color="auto"/>
            </w:tcBorders>
            <w:shd w:val="clear" w:color="auto" w:fill="auto"/>
            <w:noWrap/>
            <w:vAlign w:val="center"/>
            <w:hideMark/>
          </w:tcPr>
          <w:p w14:paraId="05A7B7D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10,766</w:t>
            </w:r>
          </w:p>
        </w:tc>
        <w:tc>
          <w:tcPr>
            <w:tcW w:w="996" w:type="dxa"/>
            <w:tcBorders>
              <w:top w:val="nil"/>
              <w:left w:val="nil"/>
              <w:bottom w:val="single" w:sz="8" w:space="0" w:color="auto"/>
              <w:right w:val="single" w:sz="8" w:space="0" w:color="auto"/>
            </w:tcBorders>
            <w:shd w:val="clear" w:color="auto" w:fill="auto"/>
            <w:noWrap/>
            <w:vAlign w:val="center"/>
            <w:hideMark/>
          </w:tcPr>
          <w:p w14:paraId="0E43537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10,562</w:t>
            </w:r>
          </w:p>
        </w:tc>
        <w:tc>
          <w:tcPr>
            <w:tcW w:w="996" w:type="dxa"/>
            <w:tcBorders>
              <w:top w:val="nil"/>
              <w:left w:val="nil"/>
              <w:bottom w:val="single" w:sz="8" w:space="0" w:color="auto"/>
              <w:right w:val="single" w:sz="8" w:space="0" w:color="auto"/>
            </w:tcBorders>
            <w:shd w:val="clear" w:color="auto" w:fill="auto"/>
            <w:noWrap/>
            <w:vAlign w:val="center"/>
            <w:hideMark/>
          </w:tcPr>
          <w:p w14:paraId="47E50EA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10,969</w:t>
            </w:r>
          </w:p>
        </w:tc>
        <w:tc>
          <w:tcPr>
            <w:tcW w:w="3860" w:type="dxa"/>
            <w:tcBorders>
              <w:top w:val="nil"/>
              <w:left w:val="nil"/>
              <w:bottom w:val="single" w:sz="8" w:space="0" w:color="auto"/>
              <w:right w:val="single" w:sz="8" w:space="0" w:color="auto"/>
            </w:tcBorders>
            <w:shd w:val="clear" w:color="auto" w:fill="auto"/>
            <w:noWrap/>
            <w:vAlign w:val="center"/>
            <w:hideMark/>
          </w:tcPr>
          <w:p w14:paraId="39713A59"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Drapers, Linen Drapers, Mercers</w:t>
            </w:r>
          </w:p>
        </w:tc>
        <w:tc>
          <w:tcPr>
            <w:tcW w:w="996" w:type="dxa"/>
            <w:tcBorders>
              <w:top w:val="nil"/>
              <w:left w:val="nil"/>
              <w:bottom w:val="single" w:sz="8" w:space="0" w:color="auto"/>
              <w:right w:val="single" w:sz="8" w:space="0" w:color="auto"/>
            </w:tcBorders>
            <w:shd w:val="clear" w:color="auto" w:fill="auto"/>
            <w:noWrap/>
            <w:vAlign w:val="center"/>
            <w:hideMark/>
          </w:tcPr>
          <w:p w14:paraId="47D83BF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9,860</w:t>
            </w:r>
          </w:p>
        </w:tc>
        <w:tc>
          <w:tcPr>
            <w:tcW w:w="996" w:type="dxa"/>
            <w:tcBorders>
              <w:top w:val="nil"/>
              <w:left w:val="nil"/>
              <w:bottom w:val="single" w:sz="8" w:space="0" w:color="auto"/>
              <w:right w:val="single" w:sz="8" w:space="0" w:color="auto"/>
            </w:tcBorders>
            <w:shd w:val="clear" w:color="auto" w:fill="auto"/>
            <w:noWrap/>
            <w:vAlign w:val="center"/>
            <w:hideMark/>
          </w:tcPr>
          <w:p w14:paraId="4D80CE6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9,666</w:t>
            </w:r>
          </w:p>
        </w:tc>
        <w:tc>
          <w:tcPr>
            <w:tcW w:w="996" w:type="dxa"/>
            <w:tcBorders>
              <w:top w:val="nil"/>
              <w:left w:val="nil"/>
              <w:bottom w:val="single" w:sz="8" w:space="0" w:color="auto"/>
              <w:right w:val="single" w:sz="8" w:space="0" w:color="auto"/>
            </w:tcBorders>
            <w:shd w:val="clear" w:color="auto" w:fill="auto"/>
            <w:noWrap/>
            <w:vAlign w:val="center"/>
            <w:hideMark/>
          </w:tcPr>
          <w:p w14:paraId="617AA87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10,054</w:t>
            </w:r>
          </w:p>
        </w:tc>
      </w:tr>
      <w:tr w:rsidR="00F37F6D" w:rsidRPr="00F37F6D" w14:paraId="45B5878B"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FDC34FF"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Carpenter, Joiner</w:t>
            </w:r>
          </w:p>
        </w:tc>
        <w:tc>
          <w:tcPr>
            <w:tcW w:w="996" w:type="dxa"/>
            <w:tcBorders>
              <w:top w:val="nil"/>
              <w:left w:val="nil"/>
              <w:bottom w:val="single" w:sz="8" w:space="0" w:color="auto"/>
              <w:right w:val="single" w:sz="8" w:space="0" w:color="auto"/>
            </w:tcBorders>
            <w:shd w:val="clear" w:color="auto" w:fill="auto"/>
            <w:noWrap/>
            <w:vAlign w:val="center"/>
            <w:hideMark/>
          </w:tcPr>
          <w:p w14:paraId="5DE9D68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10,319</w:t>
            </w:r>
          </w:p>
        </w:tc>
        <w:tc>
          <w:tcPr>
            <w:tcW w:w="996" w:type="dxa"/>
            <w:tcBorders>
              <w:top w:val="nil"/>
              <w:left w:val="nil"/>
              <w:bottom w:val="single" w:sz="8" w:space="0" w:color="auto"/>
              <w:right w:val="single" w:sz="8" w:space="0" w:color="auto"/>
            </w:tcBorders>
            <w:shd w:val="clear" w:color="auto" w:fill="auto"/>
            <w:noWrap/>
            <w:vAlign w:val="center"/>
            <w:hideMark/>
          </w:tcPr>
          <w:p w14:paraId="6ED6F1B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10,120</w:t>
            </w:r>
          </w:p>
        </w:tc>
        <w:tc>
          <w:tcPr>
            <w:tcW w:w="996" w:type="dxa"/>
            <w:tcBorders>
              <w:top w:val="nil"/>
              <w:left w:val="nil"/>
              <w:bottom w:val="single" w:sz="8" w:space="0" w:color="auto"/>
              <w:right w:val="single" w:sz="8" w:space="0" w:color="auto"/>
            </w:tcBorders>
            <w:shd w:val="clear" w:color="auto" w:fill="auto"/>
            <w:noWrap/>
            <w:vAlign w:val="center"/>
            <w:hideMark/>
          </w:tcPr>
          <w:p w14:paraId="47041E6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10,519</w:t>
            </w:r>
          </w:p>
        </w:tc>
        <w:tc>
          <w:tcPr>
            <w:tcW w:w="3860" w:type="dxa"/>
            <w:tcBorders>
              <w:top w:val="nil"/>
              <w:left w:val="nil"/>
              <w:bottom w:val="single" w:sz="8" w:space="0" w:color="auto"/>
              <w:right w:val="single" w:sz="8" w:space="0" w:color="auto"/>
            </w:tcBorders>
            <w:shd w:val="clear" w:color="auto" w:fill="auto"/>
            <w:noWrap/>
            <w:vAlign w:val="center"/>
            <w:hideMark/>
          </w:tcPr>
          <w:p w14:paraId="040F00F5"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Bakers</w:t>
            </w:r>
          </w:p>
        </w:tc>
        <w:tc>
          <w:tcPr>
            <w:tcW w:w="996" w:type="dxa"/>
            <w:tcBorders>
              <w:top w:val="nil"/>
              <w:left w:val="nil"/>
              <w:bottom w:val="single" w:sz="8" w:space="0" w:color="auto"/>
              <w:right w:val="single" w:sz="8" w:space="0" w:color="auto"/>
            </w:tcBorders>
            <w:shd w:val="clear" w:color="auto" w:fill="auto"/>
            <w:noWrap/>
            <w:vAlign w:val="center"/>
            <w:hideMark/>
          </w:tcPr>
          <w:p w14:paraId="4EA4589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9,731</w:t>
            </w:r>
          </w:p>
        </w:tc>
        <w:tc>
          <w:tcPr>
            <w:tcW w:w="996" w:type="dxa"/>
            <w:tcBorders>
              <w:top w:val="nil"/>
              <w:left w:val="nil"/>
              <w:bottom w:val="single" w:sz="8" w:space="0" w:color="auto"/>
              <w:right w:val="single" w:sz="8" w:space="0" w:color="auto"/>
            </w:tcBorders>
            <w:shd w:val="clear" w:color="auto" w:fill="auto"/>
            <w:noWrap/>
            <w:vAlign w:val="center"/>
            <w:hideMark/>
          </w:tcPr>
          <w:p w14:paraId="11E6C14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9,540</w:t>
            </w:r>
          </w:p>
        </w:tc>
        <w:tc>
          <w:tcPr>
            <w:tcW w:w="996" w:type="dxa"/>
            <w:tcBorders>
              <w:top w:val="nil"/>
              <w:left w:val="nil"/>
              <w:bottom w:val="single" w:sz="8" w:space="0" w:color="auto"/>
              <w:right w:val="single" w:sz="8" w:space="0" w:color="auto"/>
            </w:tcBorders>
            <w:shd w:val="clear" w:color="auto" w:fill="auto"/>
            <w:noWrap/>
            <w:vAlign w:val="center"/>
            <w:hideMark/>
          </w:tcPr>
          <w:p w14:paraId="5C911A9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9,923</w:t>
            </w:r>
          </w:p>
        </w:tc>
      </w:tr>
      <w:tr w:rsidR="00F37F6D" w:rsidRPr="00F37F6D" w14:paraId="0756D39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01DA8E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Drapers Linen Drapers Mercers</w:t>
            </w:r>
          </w:p>
        </w:tc>
        <w:tc>
          <w:tcPr>
            <w:tcW w:w="996" w:type="dxa"/>
            <w:tcBorders>
              <w:top w:val="nil"/>
              <w:left w:val="nil"/>
              <w:bottom w:val="single" w:sz="8" w:space="0" w:color="auto"/>
              <w:right w:val="single" w:sz="8" w:space="0" w:color="auto"/>
            </w:tcBorders>
            <w:shd w:val="clear" w:color="auto" w:fill="auto"/>
            <w:noWrap/>
            <w:vAlign w:val="center"/>
            <w:hideMark/>
          </w:tcPr>
          <w:p w14:paraId="6CE6663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9,567</w:t>
            </w:r>
          </w:p>
        </w:tc>
        <w:tc>
          <w:tcPr>
            <w:tcW w:w="996" w:type="dxa"/>
            <w:tcBorders>
              <w:top w:val="nil"/>
              <w:left w:val="nil"/>
              <w:bottom w:val="single" w:sz="8" w:space="0" w:color="auto"/>
              <w:right w:val="single" w:sz="8" w:space="0" w:color="auto"/>
            </w:tcBorders>
            <w:shd w:val="clear" w:color="auto" w:fill="auto"/>
            <w:noWrap/>
            <w:vAlign w:val="center"/>
            <w:hideMark/>
          </w:tcPr>
          <w:p w14:paraId="5DECF95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9,376</w:t>
            </w:r>
          </w:p>
        </w:tc>
        <w:tc>
          <w:tcPr>
            <w:tcW w:w="996" w:type="dxa"/>
            <w:tcBorders>
              <w:top w:val="nil"/>
              <w:left w:val="nil"/>
              <w:bottom w:val="single" w:sz="8" w:space="0" w:color="auto"/>
              <w:right w:val="single" w:sz="8" w:space="0" w:color="auto"/>
            </w:tcBorders>
            <w:shd w:val="clear" w:color="auto" w:fill="auto"/>
            <w:noWrap/>
            <w:vAlign w:val="center"/>
            <w:hideMark/>
          </w:tcPr>
          <w:p w14:paraId="67266E0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9,758</w:t>
            </w:r>
          </w:p>
        </w:tc>
        <w:tc>
          <w:tcPr>
            <w:tcW w:w="3860" w:type="dxa"/>
            <w:tcBorders>
              <w:top w:val="nil"/>
              <w:left w:val="nil"/>
              <w:bottom w:val="single" w:sz="8" w:space="0" w:color="auto"/>
              <w:right w:val="single" w:sz="8" w:space="0" w:color="auto"/>
            </w:tcBorders>
            <w:shd w:val="clear" w:color="auto" w:fill="auto"/>
            <w:noWrap/>
            <w:vAlign w:val="center"/>
            <w:hideMark/>
          </w:tcPr>
          <w:p w14:paraId="4857B9D7"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Carpenters, Joiners</w:t>
            </w:r>
          </w:p>
        </w:tc>
        <w:tc>
          <w:tcPr>
            <w:tcW w:w="996" w:type="dxa"/>
            <w:tcBorders>
              <w:top w:val="nil"/>
              <w:left w:val="nil"/>
              <w:bottom w:val="single" w:sz="8" w:space="0" w:color="auto"/>
              <w:right w:val="single" w:sz="8" w:space="0" w:color="auto"/>
            </w:tcBorders>
            <w:shd w:val="clear" w:color="auto" w:fill="auto"/>
            <w:noWrap/>
            <w:vAlign w:val="center"/>
            <w:hideMark/>
          </w:tcPr>
          <w:p w14:paraId="688148E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9,465</w:t>
            </w:r>
          </w:p>
        </w:tc>
        <w:tc>
          <w:tcPr>
            <w:tcW w:w="996" w:type="dxa"/>
            <w:tcBorders>
              <w:top w:val="nil"/>
              <w:left w:val="nil"/>
              <w:bottom w:val="single" w:sz="8" w:space="0" w:color="auto"/>
              <w:right w:val="single" w:sz="8" w:space="0" w:color="auto"/>
            </w:tcBorders>
            <w:shd w:val="clear" w:color="auto" w:fill="auto"/>
            <w:noWrap/>
            <w:vAlign w:val="center"/>
            <w:hideMark/>
          </w:tcPr>
          <w:p w14:paraId="42D6403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9,276</w:t>
            </w:r>
          </w:p>
        </w:tc>
        <w:tc>
          <w:tcPr>
            <w:tcW w:w="996" w:type="dxa"/>
            <w:tcBorders>
              <w:top w:val="nil"/>
              <w:left w:val="nil"/>
              <w:bottom w:val="single" w:sz="8" w:space="0" w:color="auto"/>
              <w:right w:val="single" w:sz="8" w:space="0" w:color="auto"/>
            </w:tcBorders>
            <w:shd w:val="clear" w:color="auto" w:fill="auto"/>
            <w:noWrap/>
            <w:vAlign w:val="center"/>
            <w:hideMark/>
          </w:tcPr>
          <w:p w14:paraId="306AAC0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9,653</w:t>
            </w:r>
          </w:p>
        </w:tc>
      </w:tr>
      <w:tr w:rsidR="00F37F6D" w:rsidRPr="00F37F6D" w14:paraId="09C070E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90077D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Bakers</w:t>
            </w:r>
          </w:p>
        </w:tc>
        <w:tc>
          <w:tcPr>
            <w:tcW w:w="996" w:type="dxa"/>
            <w:tcBorders>
              <w:top w:val="nil"/>
              <w:left w:val="nil"/>
              <w:bottom w:val="single" w:sz="8" w:space="0" w:color="auto"/>
              <w:right w:val="single" w:sz="8" w:space="0" w:color="auto"/>
            </w:tcBorders>
            <w:shd w:val="clear" w:color="auto" w:fill="auto"/>
            <w:noWrap/>
            <w:vAlign w:val="center"/>
            <w:hideMark/>
          </w:tcPr>
          <w:p w14:paraId="1203269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8,910</w:t>
            </w:r>
          </w:p>
        </w:tc>
        <w:tc>
          <w:tcPr>
            <w:tcW w:w="996" w:type="dxa"/>
            <w:tcBorders>
              <w:top w:val="nil"/>
              <w:left w:val="nil"/>
              <w:bottom w:val="single" w:sz="8" w:space="0" w:color="auto"/>
              <w:right w:val="single" w:sz="8" w:space="0" w:color="auto"/>
            </w:tcBorders>
            <w:shd w:val="clear" w:color="auto" w:fill="auto"/>
            <w:noWrap/>
            <w:vAlign w:val="center"/>
            <w:hideMark/>
          </w:tcPr>
          <w:p w14:paraId="1DED19E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8,724</w:t>
            </w:r>
          </w:p>
        </w:tc>
        <w:tc>
          <w:tcPr>
            <w:tcW w:w="996" w:type="dxa"/>
            <w:tcBorders>
              <w:top w:val="nil"/>
              <w:left w:val="nil"/>
              <w:bottom w:val="single" w:sz="8" w:space="0" w:color="auto"/>
              <w:right w:val="single" w:sz="8" w:space="0" w:color="auto"/>
            </w:tcBorders>
            <w:shd w:val="clear" w:color="auto" w:fill="auto"/>
            <w:noWrap/>
            <w:vAlign w:val="center"/>
            <w:hideMark/>
          </w:tcPr>
          <w:p w14:paraId="2C073D4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9,095</w:t>
            </w:r>
          </w:p>
        </w:tc>
        <w:tc>
          <w:tcPr>
            <w:tcW w:w="3860" w:type="dxa"/>
            <w:tcBorders>
              <w:top w:val="nil"/>
              <w:left w:val="nil"/>
              <w:bottom w:val="single" w:sz="8" w:space="0" w:color="auto"/>
              <w:right w:val="single" w:sz="8" w:space="0" w:color="auto"/>
            </w:tcBorders>
            <w:shd w:val="clear" w:color="auto" w:fill="auto"/>
            <w:noWrap/>
            <w:vAlign w:val="center"/>
            <w:hideMark/>
          </w:tcPr>
          <w:p w14:paraId="2CC5E95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Painters, Distemperers, Decorators</w:t>
            </w:r>
          </w:p>
        </w:tc>
        <w:tc>
          <w:tcPr>
            <w:tcW w:w="996" w:type="dxa"/>
            <w:tcBorders>
              <w:top w:val="nil"/>
              <w:left w:val="nil"/>
              <w:bottom w:val="single" w:sz="8" w:space="0" w:color="auto"/>
              <w:right w:val="single" w:sz="8" w:space="0" w:color="auto"/>
            </w:tcBorders>
            <w:shd w:val="clear" w:color="auto" w:fill="auto"/>
            <w:noWrap/>
            <w:vAlign w:val="center"/>
            <w:hideMark/>
          </w:tcPr>
          <w:p w14:paraId="3F966D3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9,388</w:t>
            </w:r>
          </w:p>
        </w:tc>
        <w:tc>
          <w:tcPr>
            <w:tcW w:w="996" w:type="dxa"/>
            <w:tcBorders>
              <w:top w:val="nil"/>
              <w:left w:val="nil"/>
              <w:bottom w:val="single" w:sz="8" w:space="0" w:color="auto"/>
              <w:right w:val="single" w:sz="8" w:space="0" w:color="auto"/>
            </w:tcBorders>
            <w:shd w:val="clear" w:color="auto" w:fill="auto"/>
            <w:noWrap/>
            <w:vAlign w:val="center"/>
            <w:hideMark/>
          </w:tcPr>
          <w:p w14:paraId="08E8244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9,200</w:t>
            </w:r>
          </w:p>
        </w:tc>
        <w:tc>
          <w:tcPr>
            <w:tcW w:w="996" w:type="dxa"/>
            <w:tcBorders>
              <w:top w:val="nil"/>
              <w:left w:val="nil"/>
              <w:bottom w:val="single" w:sz="8" w:space="0" w:color="auto"/>
              <w:right w:val="single" w:sz="8" w:space="0" w:color="auto"/>
            </w:tcBorders>
            <w:shd w:val="clear" w:color="auto" w:fill="auto"/>
            <w:noWrap/>
            <w:vAlign w:val="center"/>
            <w:hideMark/>
          </w:tcPr>
          <w:p w14:paraId="4CC3AC9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9,576</w:t>
            </w:r>
          </w:p>
        </w:tc>
      </w:tr>
    </w:tbl>
    <w:p w14:paraId="36B70350" w14:textId="77777777" w:rsidR="00F37F6D" w:rsidRPr="00F37F6D" w:rsidRDefault="00F37F6D" w:rsidP="00F37F6D">
      <w:pPr>
        <w:spacing w:after="160" w:line="259" w:lineRule="auto"/>
        <w:rPr>
          <w:rFonts w:ascii="Calibri" w:eastAsia="Calibri" w:hAnsi="Calibri" w:cs="Times New Roman"/>
          <w:b/>
          <w:sz w:val="22"/>
        </w:rPr>
      </w:pPr>
    </w:p>
    <w:tbl>
      <w:tblPr>
        <w:tblW w:w="6588" w:type="dxa"/>
        <w:tblInd w:w="-10" w:type="dxa"/>
        <w:tblLook w:val="04A0" w:firstRow="1" w:lastRow="0" w:firstColumn="1" w:lastColumn="0" w:noHBand="0" w:noVBand="1"/>
      </w:tblPr>
      <w:tblGrid>
        <w:gridCol w:w="3600"/>
        <w:gridCol w:w="996"/>
        <w:gridCol w:w="996"/>
        <w:gridCol w:w="996"/>
      </w:tblGrid>
      <w:tr w:rsidR="00F37F6D" w:rsidRPr="00F37F6D" w14:paraId="71FB92EF" w14:textId="77777777" w:rsidTr="00874EE0">
        <w:trPr>
          <w:trHeight w:val="330"/>
        </w:trPr>
        <w:tc>
          <w:tcPr>
            <w:tcW w:w="65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606E7E9"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1911</w:t>
            </w:r>
          </w:p>
        </w:tc>
      </w:tr>
      <w:tr w:rsidR="00F37F6D" w:rsidRPr="00F37F6D" w14:paraId="3D9F37A7"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B40CAFE"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5FB848F7"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3BD40BA4"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50CF593C"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r>
      <w:tr w:rsidR="00F37F6D" w:rsidRPr="00F37F6D" w14:paraId="1B02672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026C7E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996" w:type="dxa"/>
            <w:tcBorders>
              <w:top w:val="nil"/>
              <w:left w:val="nil"/>
              <w:bottom w:val="single" w:sz="8" w:space="0" w:color="auto"/>
              <w:right w:val="single" w:sz="8" w:space="0" w:color="auto"/>
            </w:tcBorders>
            <w:shd w:val="clear" w:color="auto" w:fill="auto"/>
            <w:noWrap/>
            <w:vAlign w:val="center"/>
            <w:hideMark/>
          </w:tcPr>
          <w:p w14:paraId="0ACEBDC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137,733</w:t>
            </w:r>
          </w:p>
        </w:tc>
        <w:tc>
          <w:tcPr>
            <w:tcW w:w="996" w:type="dxa"/>
            <w:tcBorders>
              <w:top w:val="nil"/>
              <w:left w:val="nil"/>
              <w:bottom w:val="single" w:sz="8" w:space="0" w:color="auto"/>
              <w:right w:val="single" w:sz="8" w:space="0" w:color="auto"/>
            </w:tcBorders>
            <w:shd w:val="clear" w:color="auto" w:fill="auto"/>
            <w:noWrap/>
            <w:vAlign w:val="center"/>
            <w:hideMark/>
          </w:tcPr>
          <w:p w14:paraId="3853809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137,198</w:t>
            </w:r>
          </w:p>
        </w:tc>
        <w:tc>
          <w:tcPr>
            <w:tcW w:w="996" w:type="dxa"/>
            <w:tcBorders>
              <w:top w:val="nil"/>
              <w:left w:val="nil"/>
              <w:bottom w:val="single" w:sz="8" w:space="0" w:color="auto"/>
              <w:right w:val="single" w:sz="8" w:space="0" w:color="auto"/>
            </w:tcBorders>
            <w:shd w:val="clear" w:color="auto" w:fill="auto"/>
            <w:noWrap/>
            <w:vAlign w:val="center"/>
            <w:hideMark/>
          </w:tcPr>
          <w:p w14:paraId="7679000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138,268</w:t>
            </w:r>
          </w:p>
        </w:tc>
      </w:tr>
      <w:tr w:rsidR="00F37F6D" w:rsidRPr="00F37F6D" w14:paraId="493045F7"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63C2AF2"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Builders</w:t>
            </w:r>
          </w:p>
        </w:tc>
        <w:tc>
          <w:tcPr>
            <w:tcW w:w="996" w:type="dxa"/>
            <w:tcBorders>
              <w:top w:val="nil"/>
              <w:left w:val="nil"/>
              <w:bottom w:val="single" w:sz="8" w:space="0" w:color="auto"/>
              <w:right w:val="single" w:sz="8" w:space="0" w:color="auto"/>
            </w:tcBorders>
            <w:shd w:val="clear" w:color="auto" w:fill="auto"/>
            <w:noWrap/>
            <w:vAlign w:val="center"/>
            <w:hideMark/>
          </w:tcPr>
          <w:p w14:paraId="0D484F5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22,794</w:t>
            </w:r>
          </w:p>
        </w:tc>
        <w:tc>
          <w:tcPr>
            <w:tcW w:w="996" w:type="dxa"/>
            <w:tcBorders>
              <w:top w:val="nil"/>
              <w:left w:val="nil"/>
              <w:bottom w:val="single" w:sz="8" w:space="0" w:color="auto"/>
              <w:right w:val="single" w:sz="8" w:space="0" w:color="auto"/>
            </w:tcBorders>
            <w:shd w:val="clear" w:color="auto" w:fill="auto"/>
            <w:noWrap/>
            <w:vAlign w:val="center"/>
            <w:hideMark/>
          </w:tcPr>
          <w:p w14:paraId="2A18BD1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22,506</w:t>
            </w:r>
          </w:p>
        </w:tc>
        <w:tc>
          <w:tcPr>
            <w:tcW w:w="996" w:type="dxa"/>
            <w:tcBorders>
              <w:top w:val="nil"/>
              <w:left w:val="nil"/>
              <w:bottom w:val="single" w:sz="8" w:space="0" w:color="auto"/>
              <w:right w:val="single" w:sz="8" w:space="0" w:color="auto"/>
            </w:tcBorders>
            <w:shd w:val="clear" w:color="auto" w:fill="auto"/>
            <w:noWrap/>
            <w:vAlign w:val="center"/>
            <w:hideMark/>
          </w:tcPr>
          <w:p w14:paraId="121BA25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23,081</w:t>
            </w:r>
          </w:p>
        </w:tc>
      </w:tr>
      <w:tr w:rsidR="00F37F6D" w:rsidRPr="00F37F6D" w14:paraId="2AFFFED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BF8E474"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996" w:type="dxa"/>
            <w:tcBorders>
              <w:top w:val="nil"/>
              <w:left w:val="nil"/>
              <w:bottom w:val="single" w:sz="8" w:space="0" w:color="auto"/>
              <w:right w:val="single" w:sz="8" w:space="0" w:color="auto"/>
            </w:tcBorders>
            <w:shd w:val="clear" w:color="auto" w:fill="auto"/>
            <w:noWrap/>
            <w:vAlign w:val="center"/>
            <w:hideMark/>
          </w:tcPr>
          <w:p w14:paraId="76611A2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18,946</w:t>
            </w:r>
          </w:p>
        </w:tc>
        <w:tc>
          <w:tcPr>
            <w:tcW w:w="996" w:type="dxa"/>
            <w:tcBorders>
              <w:top w:val="nil"/>
              <w:left w:val="nil"/>
              <w:bottom w:val="single" w:sz="8" w:space="0" w:color="auto"/>
              <w:right w:val="single" w:sz="8" w:space="0" w:color="auto"/>
            </w:tcBorders>
            <w:shd w:val="clear" w:color="auto" w:fill="auto"/>
            <w:noWrap/>
            <w:vAlign w:val="center"/>
            <w:hideMark/>
          </w:tcPr>
          <w:p w14:paraId="0635D04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18,661</w:t>
            </w:r>
          </w:p>
        </w:tc>
        <w:tc>
          <w:tcPr>
            <w:tcW w:w="996" w:type="dxa"/>
            <w:tcBorders>
              <w:top w:val="nil"/>
              <w:left w:val="nil"/>
              <w:bottom w:val="single" w:sz="8" w:space="0" w:color="auto"/>
              <w:right w:val="single" w:sz="8" w:space="0" w:color="auto"/>
            </w:tcBorders>
            <w:shd w:val="clear" w:color="auto" w:fill="auto"/>
            <w:noWrap/>
            <w:vAlign w:val="center"/>
            <w:hideMark/>
          </w:tcPr>
          <w:p w14:paraId="5983A93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19,230</w:t>
            </w:r>
          </w:p>
        </w:tc>
      </w:tr>
      <w:tr w:rsidR="00F37F6D" w:rsidRPr="00F37F6D" w14:paraId="21582E1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9DF9595"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517A400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18,593</w:t>
            </w:r>
          </w:p>
        </w:tc>
        <w:tc>
          <w:tcPr>
            <w:tcW w:w="996" w:type="dxa"/>
            <w:tcBorders>
              <w:top w:val="nil"/>
              <w:left w:val="nil"/>
              <w:bottom w:val="single" w:sz="8" w:space="0" w:color="auto"/>
              <w:right w:val="single" w:sz="8" w:space="0" w:color="auto"/>
            </w:tcBorders>
            <w:shd w:val="clear" w:color="auto" w:fill="auto"/>
            <w:noWrap/>
            <w:vAlign w:val="center"/>
            <w:hideMark/>
          </w:tcPr>
          <w:p w14:paraId="59F84B8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18,332</w:t>
            </w:r>
          </w:p>
        </w:tc>
        <w:tc>
          <w:tcPr>
            <w:tcW w:w="996" w:type="dxa"/>
            <w:tcBorders>
              <w:top w:val="nil"/>
              <w:left w:val="nil"/>
              <w:bottom w:val="single" w:sz="8" w:space="0" w:color="auto"/>
              <w:right w:val="single" w:sz="8" w:space="0" w:color="auto"/>
            </w:tcBorders>
            <w:shd w:val="clear" w:color="auto" w:fill="auto"/>
            <w:noWrap/>
            <w:vAlign w:val="center"/>
            <w:hideMark/>
          </w:tcPr>
          <w:p w14:paraId="2575555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18,853</w:t>
            </w:r>
          </w:p>
        </w:tc>
      </w:tr>
      <w:tr w:rsidR="00F37F6D" w:rsidRPr="00F37F6D" w14:paraId="6A9ECC7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EED24B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Meat Salesmen</w:t>
            </w:r>
          </w:p>
        </w:tc>
        <w:tc>
          <w:tcPr>
            <w:tcW w:w="996" w:type="dxa"/>
            <w:tcBorders>
              <w:top w:val="nil"/>
              <w:left w:val="nil"/>
              <w:bottom w:val="single" w:sz="8" w:space="0" w:color="auto"/>
              <w:right w:val="single" w:sz="8" w:space="0" w:color="auto"/>
            </w:tcBorders>
            <w:shd w:val="clear" w:color="auto" w:fill="auto"/>
            <w:noWrap/>
            <w:vAlign w:val="center"/>
            <w:hideMark/>
          </w:tcPr>
          <w:p w14:paraId="7AA72E3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16,397</w:t>
            </w:r>
          </w:p>
        </w:tc>
        <w:tc>
          <w:tcPr>
            <w:tcW w:w="996" w:type="dxa"/>
            <w:tcBorders>
              <w:top w:val="nil"/>
              <w:left w:val="nil"/>
              <w:bottom w:val="single" w:sz="8" w:space="0" w:color="auto"/>
              <w:right w:val="single" w:sz="8" w:space="0" w:color="auto"/>
            </w:tcBorders>
            <w:shd w:val="clear" w:color="auto" w:fill="auto"/>
            <w:noWrap/>
            <w:vAlign w:val="center"/>
            <w:hideMark/>
          </w:tcPr>
          <w:p w14:paraId="7AA4DFB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16,150</w:t>
            </w:r>
          </w:p>
        </w:tc>
        <w:tc>
          <w:tcPr>
            <w:tcW w:w="996" w:type="dxa"/>
            <w:tcBorders>
              <w:top w:val="nil"/>
              <w:left w:val="nil"/>
              <w:bottom w:val="single" w:sz="8" w:space="0" w:color="auto"/>
              <w:right w:val="single" w:sz="8" w:space="0" w:color="auto"/>
            </w:tcBorders>
            <w:shd w:val="clear" w:color="auto" w:fill="auto"/>
            <w:noWrap/>
            <w:vAlign w:val="center"/>
            <w:hideMark/>
          </w:tcPr>
          <w:p w14:paraId="2227C43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16,643</w:t>
            </w:r>
          </w:p>
        </w:tc>
      </w:tr>
      <w:tr w:rsidR="00F37F6D" w:rsidRPr="00F37F6D" w14:paraId="222B1179"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915E4D0"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Tailors</w:t>
            </w:r>
          </w:p>
        </w:tc>
        <w:tc>
          <w:tcPr>
            <w:tcW w:w="996" w:type="dxa"/>
            <w:tcBorders>
              <w:top w:val="nil"/>
              <w:left w:val="nil"/>
              <w:bottom w:val="single" w:sz="8" w:space="0" w:color="auto"/>
              <w:right w:val="single" w:sz="8" w:space="0" w:color="auto"/>
            </w:tcBorders>
            <w:shd w:val="clear" w:color="auto" w:fill="auto"/>
            <w:noWrap/>
            <w:vAlign w:val="center"/>
            <w:hideMark/>
          </w:tcPr>
          <w:p w14:paraId="07F7F0A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13,352</w:t>
            </w:r>
          </w:p>
        </w:tc>
        <w:tc>
          <w:tcPr>
            <w:tcW w:w="996" w:type="dxa"/>
            <w:tcBorders>
              <w:top w:val="nil"/>
              <w:left w:val="nil"/>
              <w:bottom w:val="single" w:sz="8" w:space="0" w:color="auto"/>
              <w:right w:val="single" w:sz="8" w:space="0" w:color="auto"/>
            </w:tcBorders>
            <w:shd w:val="clear" w:color="auto" w:fill="auto"/>
            <w:noWrap/>
            <w:vAlign w:val="center"/>
            <w:hideMark/>
          </w:tcPr>
          <w:p w14:paraId="4DD72E0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13,126</w:t>
            </w:r>
          </w:p>
        </w:tc>
        <w:tc>
          <w:tcPr>
            <w:tcW w:w="996" w:type="dxa"/>
            <w:tcBorders>
              <w:top w:val="nil"/>
              <w:left w:val="nil"/>
              <w:bottom w:val="single" w:sz="8" w:space="0" w:color="auto"/>
              <w:right w:val="single" w:sz="8" w:space="0" w:color="auto"/>
            </w:tcBorders>
            <w:shd w:val="clear" w:color="auto" w:fill="auto"/>
            <w:noWrap/>
            <w:vAlign w:val="center"/>
            <w:hideMark/>
          </w:tcPr>
          <w:p w14:paraId="530C83D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13,577</w:t>
            </w:r>
          </w:p>
        </w:tc>
      </w:tr>
      <w:tr w:rsidR="00F37F6D" w:rsidRPr="00F37F6D" w14:paraId="1EA6AB8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94A092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Painters, Distemperers, Decorators </w:t>
            </w:r>
          </w:p>
        </w:tc>
        <w:tc>
          <w:tcPr>
            <w:tcW w:w="996" w:type="dxa"/>
            <w:tcBorders>
              <w:top w:val="nil"/>
              <w:left w:val="nil"/>
              <w:bottom w:val="single" w:sz="8" w:space="0" w:color="auto"/>
              <w:right w:val="single" w:sz="8" w:space="0" w:color="auto"/>
            </w:tcBorders>
            <w:shd w:val="clear" w:color="auto" w:fill="auto"/>
            <w:noWrap/>
            <w:vAlign w:val="center"/>
            <w:hideMark/>
          </w:tcPr>
          <w:p w14:paraId="584EE25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12,735</w:t>
            </w:r>
          </w:p>
        </w:tc>
        <w:tc>
          <w:tcPr>
            <w:tcW w:w="996" w:type="dxa"/>
            <w:tcBorders>
              <w:top w:val="nil"/>
              <w:left w:val="nil"/>
              <w:bottom w:val="single" w:sz="8" w:space="0" w:color="auto"/>
              <w:right w:val="single" w:sz="8" w:space="0" w:color="auto"/>
            </w:tcBorders>
            <w:shd w:val="clear" w:color="auto" w:fill="auto"/>
            <w:noWrap/>
            <w:vAlign w:val="center"/>
            <w:hideMark/>
          </w:tcPr>
          <w:p w14:paraId="654EA32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12,516</w:t>
            </w:r>
          </w:p>
        </w:tc>
        <w:tc>
          <w:tcPr>
            <w:tcW w:w="996" w:type="dxa"/>
            <w:tcBorders>
              <w:top w:val="nil"/>
              <w:left w:val="nil"/>
              <w:bottom w:val="single" w:sz="8" w:space="0" w:color="auto"/>
              <w:right w:val="single" w:sz="8" w:space="0" w:color="auto"/>
            </w:tcBorders>
            <w:shd w:val="clear" w:color="auto" w:fill="auto"/>
            <w:noWrap/>
            <w:vAlign w:val="center"/>
            <w:hideMark/>
          </w:tcPr>
          <w:p w14:paraId="14D7320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12,954</w:t>
            </w:r>
          </w:p>
        </w:tc>
      </w:tr>
      <w:tr w:rsidR="00F37F6D" w:rsidRPr="00F37F6D" w14:paraId="3744B98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B0F3F58"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lastRenderedPageBreak/>
              <w:t>Bakers (Dealers)</w:t>
            </w:r>
          </w:p>
        </w:tc>
        <w:tc>
          <w:tcPr>
            <w:tcW w:w="996" w:type="dxa"/>
            <w:tcBorders>
              <w:top w:val="nil"/>
              <w:left w:val="nil"/>
              <w:bottom w:val="single" w:sz="8" w:space="0" w:color="auto"/>
              <w:right w:val="single" w:sz="8" w:space="0" w:color="auto"/>
            </w:tcBorders>
            <w:shd w:val="clear" w:color="auto" w:fill="auto"/>
            <w:noWrap/>
            <w:vAlign w:val="center"/>
            <w:hideMark/>
          </w:tcPr>
          <w:p w14:paraId="12FE02F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12,544</w:t>
            </w:r>
          </w:p>
        </w:tc>
        <w:tc>
          <w:tcPr>
            <w:tcW w:w="996" w:type="dxa"/>
            <w:tcBorders>
              <w:top w:val="nil"/>
              <w:left w:val="nil"/>
              <w:bottom w:val="single" w:sz="8" w:space="0" w:color="auto"/>
              <w:right w:val="single" w:sz="8" w:space="0" w:color="auto"/>
            </w:tcBorders>
            <w:shd w:val="clear" w:color="auto" w:fill="auto"/>
            <w:noWrap/>
            <w:vAlign w:val="center"/>
            <w:hideMark/>
          </w:tcPr>
          <w:p w14:paraId="35C56CA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12,328</w:t>
            </w:r>
          </w:p>
        </w:tc>
        <w:tc>
          <w:tcPr>
            <w:tcW w:w="996" w:type="dxa"/>
            <w:tcBorders>
              <w:top w:val="nil"/>
              <w:left w:val="nil"/>
              <w:bottom w:val="single" w:sz="8" w:space="0" w:color="auto"/>
              <w:right w:val="single" w:sz="8" w:space="0" w:color="auto"/>
            </w:tcBorders>
            <w:shd w:val="clear" w:color="auto" w:fill="auto"/>
            <w:noWrap/>
            <w:vAlign w:val="center"/>
            <w:hideMark/>
          </w:tcPr>
          <w:p w14:paraId="71E69DE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12,760</w:t>
            </w:r>
          </w:p>
        </w:tc>
      </w:tr>
      <w:tr w:rsidR="00F37F6D" w:rsidRPr="00F37F6D" w14:paraId="019C931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28F423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Solicitors</w:t>
            </w:r>
          </w:p>
        </w:tc>
        <w:tc>
          <w:tcPr>
            <w:tcW w:w="996" w:type="dxa"/>
            <w:tcBorders>
              <w:top w:val="nil"/>
              <w:left w:val="nil"/>
              <w:bottom w:val="single" w:sz="8" w:space="0" w:color="auto"/>
              <w:right w:val="single" w:sz="8" w:space="0" w:color="auto"/>
            </w:tcBorders>
            <w:shd w:val="clear" w:color="auto" w:fill="auto"/>
            <w:noWrap/>
            <w:vAlign w:val="center"/>
            <w:hideMark/>
          </w:tcPr>
          <w:p w14:paraId="2CEB483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10,848</w:t>
            </w:r>
          </w:p>
        </w:tc>
        <w:tc>
          <w:tcPr>
            <w:tcW w:w="996" w:type="dxa"/>
            <w:tcBorders>
              <w:top w:val="nil"/>
              <w:left w:val="nil"/>
              <w:bottom w:val="single" w:sz="8" w:space="0" w:color="auto"/>
              <w:right w:val="single" w:sz="8" w:space="0" w:color="auto"/>
            </w:tcBorders>
            <w:shd w:val="clear" w:color="auto" w:fill="auto"/>
            <w:noWrap/>
            <w:vAlign w:val="center"/>
            <w:hideMark/>
          </w:tcPr>
          <w:p w14:paraId="593D32F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10,608</w:t>
            </w:r>
          </w:p>
        </w:tc>
        <w:tc>
          <w:tcPr>
            <w:tcW w:w="996" w:type="dxa"/>
            <w:tcBorders>
              <w:top w:val="nil"/>
              <w:left w:val="nil"/>
              <w:bottom w:val="single" w:sz="8" w:space="0" w:color="auto"/>
              <w:right w:val="single" w:sz="8" w:space="0" w:color="auto"/>
            </w:tcBorders>
            <w:shd w:val="clear" w:color="auto" w:fill="auto"/>
            <w:noWrap/>
            <w:vAlign w:val="center"/>
            <w:hideMark/>
          </w:tcPr>
          <w:p w14:paraId="1BD97CF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11,088</w:t>
            </w:r>
          </w:p>
        </w:tc>
      </w:tr>
      <w:tr w:rsidR="00F37F6D" w:rsidRPr="00F37F6D" w14:paraId="29ABB49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EC2732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Shoe, Boot Makers </w:t>
            </w:r>
          </w:p>
        </w:tc>
        <w:tc>
          <w:tcPr>
            <w:tcW w:w="996" w:type="dxa"/>
            <w:tcBorders>
              <w:top w:val="nil"/>
              <w:left w:val="nil"/>
              <w:bottom w:val="single" w:sz="8" w:space="0" w:color="auto"/>
              <w:right w:val="single" w:sz="8" w:space="0" w:color="auto"/>
            </w:tcBorders>
            <w:shd w:val="clear" w:color="auto" w:fill="auto"/>
            <w:noWrap/>
            <w:vAlign w:val="center"/>
            <w:hideMark/>
          </w:tcPr>
          <w:p w14:paraId="34C95F3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10,187</w:t>
            </w:r>
          </w:p>
        </w:tc>
        <w:tc>
          <w:tcPr>
            <w:tcW w:w="996" w:type="dxa"/>
            <w:tcBorders>
              <w:top w:val="nil"/>
              <w:left w:val="nil"/>
              <w:bottom w:val="single" w:sz="8" w:space="0" w:color="auto"/>
              <w:right w:val="single" w:sz="8" w:space="0" w:color="auto"/>
            </w:tcBorders>
            <w:shd w:val="clear" w:color="auto" w:fill="auto"/>
            <w:noWrap/>
            <w:vAlign w:val="center"/>
            <w:hideMark/>
          </w:tcPr>
          <w:p w14:paraId="2C5591B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9,989</w:t>
            </w:r>
          </w:p>
        </w:tc>
        <w:tc>
          <w:tcPr>
            <w:tcW w:w="996" w:type="dxa"/>
            <w:tcBorders>
              <w:top w:val="nil"/>
              <w:left w:val="nil"/>
              <w:bottom w:val="single" w:sz="8" w:space="0" w:color="auto"/>
              <w:right w:val="single" w:sz="8" w:space="0" w:color="auto"/>
            </w:tcBorders>
            <w:shd w:val="clear" w:color="auto" w:fill="auto"/>
            <w:noWrap/>
            <w:vAlign w:val="center"/>
            <w:hideMark/>
          </w:tcPr>
          <w:p w14:paraId="69C4458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10,385</w:t>
            </w:r>
          </w:p>
        </w:tc>
      </w:tr>
    </w:tbl>
    <w:p w14:paraId="03B2BAA4" w14:textId="77777777" w:rsidR="00F37F6D" w:rsidRDefault="00F37F6D" w:rsidP="00F37F6D">
      <w:pPr>
        <w:spacing w:after="200" w:line="276" w:lineRule="auto"/>
        <w:rPr>
          <w:rFonts w:ascii="Calibri" w:eastAsia="Calibri" w:hAnsi="Calibri" w:cs="Times New Roman"/>
          <w:b/>
          <w:sz w:val="22"/>
          <w:szCs w:val="24"/>
        </w:rPr>
      </w:pPr>
    </w:p>
    <w:p w14:paraId="3B3BE451" w14:textId="77777777" w:rsidR="00F37F6D" w:rsidRPr="00F37F6D" w:rsidRDefault="00F37F6D" w:rsidP="00F37F6D">
      <w:pPr>
        <w:spacing w:after="200" w:line="276" w:lineRule="auto"/>
        <w:rPr>
          <w:rFonts w:eastAsia="Calibri" w:cs="Times New Roman"/>
          <w:szCs w:val="24"/>
        </w:rPr>
      </w:pPr>
      <w:proofErr w:type="gramStart"/>
      <w:r w:rsidRPr="00F37F6D">
        <w:rPr>
          <w:rFonts w:eastAsia="Calibri" w:cs="Times New Roman"/>
          <w:b/>
          <w:szCs w:val="24"/>
        </w:rPr>
        <w:t>Table 8</w:t>
      </w:r>
      <w:r w:rsidRPr="00F37F6D">
        <w:rPr>
          <w:rFonts w:eastAsia="Calibri" w:cs="Times New Roman"/>
          <w:szCs w:val="24"/>
        </w:rPr>
        <w:t>.</w:t>
      </w:r>
      <w:proofErr w:type="gramEnd"/>
      <w:r w:rsidRPr="00F37F6D">
        <w:rPr>
          <w:rFonts w:eastAsia="Calibri" w:cs="Times New Roman"/>
          <w:szCs w:val="24"/>
        </w:rPr>
        <w:t xml:space="preserve"> </w:t>
      </w:r>
      <w:proofErr w:type="gramStart"/>
      <w:r w:rsidRPr="00F37F6D">
        <w:rPr>
          <w:rFonts w:eastAsia="Calibri" w:cs="Times New Roman"/>
          <w:szCs w:val="24"/>
        </w:rPr>
        <w:t>Evolution of male employer numbers with confidence bounds for the 10 most frequently occurring male sectors.</w:t>
      </w:r>
      <w:proofErr w:type="gramEnd"/>
    </w:p>
    <w:p w14:paraId="4184C171" w14:textId="77777777" w:rsidR="001E7990" w:rsidRPr="009E7AF6" w:rsidRDefault="001E7990" w:rsidP="00B52D67">
      <w:pPr>
        <w:spacing w:line="360" w:lineRule="auto"/>
        <w:jc w:val="both"/>
        <w:rPr>
          <w:rFonts w:cs="Times New Roman"/>
          <w:szCs w:val="24"/>
        </w:rPr>
      </w:pPr>
    </w:p>
    <w:p w14:paraId="5ACC047E" w14:textId="77777777" w:rsidR="00F37F6D" w:rsidRDefault="00F37F6D" w:rsidP="009E7AF6">
      <w:pPr>
        <w:spacing w:line="360" w:lineRule="auto"/>
        <w:jc w:val="both"/>
        <w:rPr>
          <w:rFonts w:cs="Times New Roman"/>
          <w:b/>
          <w:szCs w:val="24"/>
        </w:rPr>
      </w:pPr>
    </w:p>
    <w:p w14:paraId="5AC4B806" w14:textId="77777777" w:rsidR="00F37F6D" w:rsidRDefault="00F37F6D" w:rsidP="009E7AF6">
      <w:pPr>
        <w:spacing w:line="360" w:lineRule="auto"/>
        <w:jc w:val="both"/>
        <w:rPr>
          <w:rFonts w:cs="Times New Roman"/>
          <w:b/>
          <w:szCs w:val="24"/>
        </w:rPr>
      </w:pPr>
    </w:p>
    <w:p w14:paraId="33D7E8B2" w14:textId="77777777" w:rsidR="00F37F6D" w:rsidRPr="00F37F6D" w:rsidRDefault="00F37F6D" w:rsidP="00F37F6D">
      <w:pPr>
        <w:spacing w:after="160" w:line="360" w:lineRule="auto"/>
        <w:jc w:val="both"/>
        <w:rPr>
          <w:rFonts w:ascii="Calibri" w:eastAsia="Calibri" w:hAnsi="Calibri" w:cs="Times New Roman"/>
          <w:sz w:val="22"/>
          <w:szCs w:val="24"/>
        </w:rPr>
      </w:pPr>
    </w:p>
    <w:tbl>
      <w:tblPr>
        <w:tblW w:w="13000" w:type="dxa"/>
        <w:tblInd w:w="-10" w:type="dxa"/>
        <w:tblLook w:val="04A0" w:firstRow="1" w:lastRow="0" w:firstColumn="1" w:lastColumn="0" w:noHBand="0" w:noVBand="1"/>
      </w:tblPr>
      <w:tblGrid>
        <w:gridCol w:w="3600"/>
        <w:gridCol w:w="880"/>
        <w:gridCol w:w="880"/>
        <w:gridCol w:w="880"/>
        <w:gridCol w:w="3860"/>
        <w:gridCol w:w="980"/>
        <w:gridCol w:w="960"/>
        <w:gridCol w:w="960"/>
      </w:tblGrid>
      <w:tr w:rsidR="00F37F6D" w:rsidRPr="00F37F6D" w14:paraId="224A46E6" w14:textId="77777777" w:rsidTr="00874EE0">
        <w:trPr>
          <w:trHeight w:val="330"/>
        </w:trPr>
        <w:tc>
          <w:tcPr>
            <w:tcW w:w="6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06BB8B"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1891</w:t>
            </w:r>
          </w:p>
        </w:tc>
        <w:tc>
          <w:tcPr>
            <w:tcW w:w="6760" w:type="dxa"/>
            <w:gridSpan w:val="4"/>
            <w:tcBorders>
              <w:top w:val="single" w:sz="8" w:space="0" w:color="auto"/>
              <w:left w:val="nil"/>
              <w:bottom w:val="single" w:sz="8" w:space="0" w:color="auto"/>
              <w:right w:val="single" w:sz="8" w:space="0" w:color="000000"/>
            </w:tcBorders>
            <w:shd w:val="clear" w:color="auto" w:fill="auto"/>
            <w:vAlign w:val="center"/>
            <w:hideMark/>
          </w:tcPr>
          <w:p w14:paraId="0655BD42"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1901</w:t>
            </w:r>
          </w:p>
        </w:tc>
      </w:tr>
      <w:tr w:rsidR="00F37F6D" w:rsidRPr="00F37F6D" w14:paraId="0F43E40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68EA8B1"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880" w:type="dxa"/>
            <w:tcBorders>
              <w:top w:val="nil"/>
              <w:left w:val="nil"/>
              <w:bottom w:val="single" w:sz="8" w:space="0" w:color="auto"/>
              <w:right w:val="single" w:sz="8" w:space="0" w:color="auto"/>
            </w:tcBorders>
            <w:shd w:val="clear" w:color="auto" w:fill="auto"/>
            <w:vAlign w:val="center"/>
            <w:hideMark/>
          </w:tcPr>
          <w:p w14:paraId="79EA5E8C"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880" w:type="dxa"/>
            <w:tcBorders>
              <w:top w:val="nil"/>
              <w:left w:val="nil"/>
              <w:bottom w:val="single" w:sz="8" w:space="0" w:color="auto"/>
              <w:right w:val="single" w:sz="8" w:space="0" w:color="auto"/>
            </w:tcBorders>
            <w:shd w:val="clear" w:color="auto" w:fill="auto"/>
            <w:vAlign w:val="center"/>
            <w:hideMark/>
          </w:tcPr>
          <w:p w14:paraId="2F3A0F4E"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880" w:type="dxa"/>
            <w:tcBorders>
              <w:top w:val="nil"/>
              <w:left w:val="nil"/>
              <w:bottom w:val="single" w:sz="8" w:space="0" w:color="auto"/>
              <w:right w:val="single" w:sz="8" w:space="0" w:color="auto"/>
            </w:tcBorders>
            <w:shd w:val="clear" w:color="auto" w:fill="auto"/>
            <w:vAlign w:val="center"/>
            <w:hideMark/>
          </w:tcPr>
          <w:p w14:paraId="6169F348"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c>
          <w:tcPr>
            <w:tcW w:w="3860" w:type="dxa"/>
            <w:tcBorders>
              <w:top w:val="nil"/>
              <w:left w:val="nil"/>
              <w:bottom w:val="single" w:sz="8" w:space="0" w:color="auto"/>
              <w:right w:val="single" w:sz="8" w:space="0" w:color="auto"/>
            </w:tcBorders>
            <w:shd w:val="clear" w:color="auto" w:fill="auto"/>
            <w:vAlign w:val="center"/>
            <w:hideMark/>
          </w:tcPr>
          <w:p w14:paraId="38A70A17"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980" w:type="dxa"/>
            <w:tcBorders>
              <w:top w:val="nil"/>
              <w:left w:val="nil"/>
              <w:bottom w:val="single" w:sz="8" w:space="0" w:color="auto"/>
              <w:right w:val="single" w:sz="8" w:space="0" w:color="auto"/>
            </w:tcBorders>
            <w:shd w:val="clear" w:color="auto" w:fill="auto"/>
            <w:vAlign w:val="center"/>
            <w:hideMark/>
          </w:tcPr>
          <w:p w14:paraId="7B3AF4A3"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960" w:type="dxa"/>
            <w:tcBorders>
              <w:top w:val="nil"/>
              <w:left w:val="nil"/>
              <w:bottom w:val="single" w:sz="8" w:space="0" w:color="auto"/>
              <w:right w:val="single" w:sz="8" w:space="0" w:color="auto"/>
            </w:tcBorders>
            <w:shd w:val="clear" w:color="auto" w:fill="auto"/>
            <w:vAlign w:val="center"/>
            <w:hideMark/>
          </w:tcPr>
          <w:p w14:paraId="1FC7FAB7"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960" w:type="dxa"/>
            <w:tcBorders>
              <w:top w:val="nil"/>
              <w:left w:val="nil"/>
              <w:bottom w:val="single" w:sz="8" w:space="0" w:color="auto"/>
              <w:right w:val="single" w:sz="8" w:space="0" w:color="auto"/>
            </w:tcBorders>
            <w:shd w:val="clear" w:color="auto" w:fill="auto"/>
            <w:vAlign w:val="center"/>
            <w:hideMark/>
          </w:tcPr>
          <w:p w14:paraId="55EA0EBA"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r>
      <w:tr w:rsidR="00F37F6D" w:rsidRPr="00F37F6D" w14:paraId="470CE9E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A8F3D4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880" w:type="dxa"/>
            <w:tcBorders>
              <w:top w:val="nil"/>
              <w:left w:val="nil"/>
              <w:bottom w:val="single" w:sz="8" w:space="0" w:color="auto"/>
              <w:right w:val="single" w:sz="8" w:space="0" w:color="auto"/>
            </w:tcBorders>
            <w:shd w:val="clear" w:color="auto" w:fill="auto"/>
            <w:noWrap/>
            <w:vAlign w:val="center"/>
            <w:hideMark/>
          </w:tcPr>
          <w:p w14:paraId="242DAB4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54,909</w:t>
            </w:r>
          </w:p>
        </w:tc>
        <w:tc>
          <w:tcPr>
            <w:tcW w:w="880" w:type="dxa"/>
            <w:tcBorders>
              <w:top w:val="nil"/>
              <w:left w:val="nil"/>
              <w:bottom w:val="single" w:sz="8" w:space="0" w:color="auto"/>
              <w:right w:val="single" w:sz="8" w:space="0" w:color="auto"/>
            </w:tcBorders>
            <w:shd w:val="clear" w:color="auto" w:fill="auto"/>
            <w:noWrap/>
            <w:vAlign w:val="center"/>
            <w:hideMark/>
          </w:tcPr>
          <w:p w14:paraId="070F786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54,473</w:t>
            </w:r>
          </w:p>
        </w:tc>
        <w:tc>
          <w:tcPr>
            <w:tcW w:w="880" w:type="dxa"/>
            <w:tcBorders>
              <w:top w:val="nil"/>
              <w:left w:val="nil"/>
              <w:bottom w:val="single" w:sz="8" w:space="0" w:color="auto"/>
              <w:right w:val="single" w:sz="8" w:space="0" w:color="auto"/>
            </w:tcBorders>
            <w:shd w:val="clear" w:color="auto" w:fill="auto"/>
            <w:noWrap/>
            <w:vAlign w:val="center"/>
            <w:hideMark/>
          </w:tcPr>
          <w:p w14:paraId="778B3CE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55,345</w:t>
            </w:r>
          </w:p>
        </w:tc>
        <w:tc>
          <w:tcPr>
            <w:tcW w:w="3860" w:type="dxa"/>
            <w:tcBorders>
              <w:top w:val="nil"/>
              <w:left w:val="nil"/>
              <w:bottom w:val="single" w:sz="8" w:space="0" w:color="auto"/>
              <w:right w:val="single" w:sz="8" w:space="0" w:color="auto"/>
            </w:tcBorders>
            <w:shd w:val="clear" w:color="auto" w:fill="auto"/>
            <w:noWrap/>
            <w:vAlign w:val="center"/>
            <w:hideMark/>
          </w:tcPr>
          <w:p w14:paraId="33ABF47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980" w:type="dxa"/>
            <w:tcBorders>
              <w:top w:val="nil"/>
              <w:left w:val="nil"/>
              <w:bottom w:val="single" w:sz="8" w:space="0" w:color="auto"/>
              <w:right w:val="single" w:sz="8" w:space="0" w:color="auto"/>
            </w:tcBorders>
            <w:shd w:val="clear" w:color="auto" w:fill="auto"/>
            <w:noWrap/>
            <w:vAlign w:val="center"/>
            <w:hideMark/>
          </w:tcPr>
          <w:p w14:paraId="66CF040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66,166</w:t>
            </w:r>
          </w:p>
        </w:tc>
        <w:tc>
          <w:tcPr>
            <w:tcW w:w="960" w:type="dxa"/>
            <w:tcBorders>
              <w:top w:val="nil"/>
              <w:left w:val="nil"/>
              <w:bottom w:val="single" w:sz="8" w:space="0" w:color="auto"/>
              <w:right w:val="single" w:sz="8" w:space="0" w:color="auto"/>
            </w:tcBorders>
            <w:shd w:val="clear" w:color="auto" w:fill="auto"/>
            <w:noWrap/>
            <w:vAlign w:val="center"/>
            <w:hideMark/>
          </w:tcPr>
          <w:p w14:paraId="2EDB39B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65,704</w:t>
            </w:r>
          </w:p>
        </w:tc>
        <w:tc>
          <w:tcPr>
            <w:tcW w:w="960" w:type="dxa"/>
            <w:tcBorders>
              <w:top w:val="nil"/>
              <w:left w:val="nil"/>
              <w:bottom w:val="single" w:sz="8" w:space="0" w:color="auto"/>
              <w:right w:val="single" w:sz="8" w:space="0" w:color="auto"/>
            </w:tcBorders>
            <w:shd w:val="clear" w:color="auto" w:fill="auto"/>
            <w:noWrap/>
            <w:vAlign w:val="center"/>
            <w:hideMark/>
          </w:tcPr>
          <w:p w14:paraId="2B4311C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66,627</w:t>
            </w:r>
          </w:p>
        </w:tc>
      </w:tr>
      <w:tr w:rsidR="00F37F6D" w:rsidRPr="00F37F6D" w14:paraId="28D82F3C"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5757BF6"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Shoe and Boot Makers (and Repairers)</w:t>
            </w:r>
          </w:p>
        </w:tc>
        <w:tc>
          <w:tcPr>
            <w:tcW w:w="880" w:type="dxa"/>
            <w:tcBorders>
              <w:top w:val="nil"/>
              <w:left w:val="nil"/>
              <w:bottom w:val="single" w:sz="8" w:space="0" w:color="auto"/>
              <w:right w:val="single" w:sz="8" w:space="0" w:color="auto"/>
            </w:tcBorders>
            <w:shd w:val="clear" w:color="auto" w:fill="auto"/>
            <w:noWrap/>
            <w:vAlign w:val="center"/>
            <w:hideMark/>
          </w:tcPr>
          <w:p w14:paraId="172165A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40,515</w:t>
            </w:r>
          </w:p>
        </w:tc>
        <w:tc>
          <w:tcPr>
            <w:tcW w:w="880" w:type="dxa"/>
            <w:tcBorders>
              <w:top w:val="nil"/>
              <w:left w:val="nil"/>
              <w:bottom w:val="single" w:sz="8" w:space="0" w:color="auto"/>
              <w:right w:val="single" w:sz="8" w:space="0" w:color="auto"/>
            </w:tcBorders>
            <w:shd w:val="clear" w:color="auto" w:fill="auto"/>
            <w:noWrap/>
            <w:vAlign w:val="center"/>
            <w:hideMark/>
          </w:tcPr>
          <w:p w14:paraId="7746B1D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40,141</w:t>
            </w:r>
          </w:p>
        </w:tc>
        <w:tc>
          <w:tcPr>
            <w:tcW w:w="880" w:type="dxa"/>
            <w:tcBorders>
              <w:top w:val="nil"/>
              <w:left w:val="nil"/>
              <w:bottom w:val="single" w:sz="8" w:space="0" w:color="auto"/>
              <w:right w:val="single" w:sz="8" w:space="0" w:color="auto"/>
            </w:tcBorders>
            <w:shd w:val="clear" w:color="auto" w:fill="auto"/>
            <w:noWrap/>
            <w:vAlign w:val="center"/>
            <w:hideMark/>
          </w:tcPr>
          <w:p w14:paraId="6E21084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40,889</w:t>
            </w:r>
          </w:p>
        </w:tc>
        <w:tc>
          <w:tcPr>
            <w:tcW w:w="3860" w:type="dxa"/>
            <w:tcBorders>
              <w:top w:val="nil"/>
              <w:left w:val="nil"/>
              <w:bottom w:val="single" w:sz="8" w:space="0" w:color="auto"/>
              <w:right w:val="single" w:sz="8" w:space="0" w:color="auto"/>
            </w:tcBorders>
            <w:shd w:val="clear" w:color="auto" w:fill="auto"/>
            <w:noWrap/>
            <w:vAlign w:val="center"/>
            <w:hideMark/>
          </w:tcPr>
          <w:p w14:paraId="0446715F"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Shoe and Boot Makers (and Repairers)</w:t>
            </w:r>
          </w:p>
        </w:tc>
        <w:tc>
          <w:tcPr>
            <w:tcW w:w="980" w:type="dxa"/>
            <w:tcBorders>
              <w:top w:val="nil"/>
              <w:left w:val="nil"/>
              <w:bottom w:val="single" w:sz="8" w:space="0" w:color="auto"/>
              <w:right w:val="single" w:sz="8" w:space="0" w:color="auto"/>
            </w:tcBorders>
            <w:shd w:val="clear" w:color="auto" w:fill="auto"/>
            <w:noWrap/>
            <w:vAlign w:val="center"/>
            <w:hideMark/>
          </w:tcPr>
          <w:p w14:paraId="1D77EF3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38,821</w:t>
            </w:r>
          </w:p>
        </w:tc>
        <w:tc>
          <w:tcPr>
            <w:tcW w:w="960" w:type="dxa"/>
            <w:tcBorders>
              <w:top w:val="nil"/>
              <w:left w:val="nil"/>
              <w:bottom w:val="single" w:sz="8" w:space="0" w:color="auto"/>
              <w:right w:val="single" w:sz="8" w:space="0" w:color="auto"/>
            </w:tcBorders>
            <w:shd w:val="clear" w:color="auto" w:fill="auto"/>
            <w:noWrap/>
            <w:vAlign w:val="center"/>
            <w:hideMark/>
          </w:tcPr>
          <w:p w14:paraId="1D205F6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38,458</w:t>
            </w:r>
          </w:p>
        </w:tc>
        <w:tc>
          <w:tcPr>
            <w:tcW w:w="960" w:type="dxa"/>
            <w:tcBorders>
              <w:top w:val="nil"/>
              <w:left w:val="nil"/>
              <w:bottom w:val="single" w:sz="8" w:space="0" w:color="auto"/>
              <w:right w:val="single" w:sz="8" w:space="0" w:color="auto"/>
            </w:tcBorders>
            <w:shd w:val="clear" w:color="auto" w:fill="auto"/>
            <w:noWrap/>
            <w:vAlign w:val="center"/>
            <w:hideMark/>
          </w:tcPr>
          <w:p w14:paraId="7DF7DCA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39,184</w:t>
            </w:r>
          </w:p>
        </w:tc>
      </w:tr>
      <w:tr w:rsidR="00F37F6D" w:rsidRPr="00F37F6D" w14:paraId="7352B62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898D85B"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880" w:type="dxa"/>
            <w:tcBorders>
              <w:top w:val="nil"/>
              <w:left w:val="nil"/>
              <w:bottom w:val="single" w:sz="8" w:space="0" w:color="auto"/>
              <w:right w:val="single" w:sz="8" w:space="0" w:color="auto"/>
            </w:tcBorders>
            <w:shd w:val="clear" w:color="auto" w:fill="auto"/>
            <w:noWrap/>
            <w:vAlign w:val="center"/>
            <w:hideMark/>
          </w:tcPr>
          <w:p w14:paraId="6AB0E07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33,629</w:t>
            </w:r>
          </w:p>
        </w:tc>
        <w:tc>
          <w:tcPr>
            <w:tcW w:w="880" w:type="dxa"/>
            <w:tcBorders>
              <w:top w:val="nil"/>
              <w:left w:val="nil"/>
              <w:bottom w:val="single" w:sz="8" w:space="0" w:color="auto"/>
              <w:right w:val="single" w:sz="8" w:space="0" w:color="auto"/>
            </w:tcBorders>
            <w:shd w:val="clear" w:color="auto" w:fill="auto"/>
            <w:noWrap/>
            <w:vAlign w:val="center"/>
            <w:hideMark/>
          </w:tcPr>
          <w:p w14:paraId="1E9F308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33,267</w:t>
            </w:r>
          </w:p>
        </w:tc>
        <w:tc>
          <w:tcPr>
            <w:tcW w:w="880" w:type="dxa"/>
            <w:tcBorders>
              <w:top w:val="nil"/>
              <w:left w:val="nil"/>
              <w:bottom w:val="single" w:sz="8" w:space="0" w:color="auto"/>
              <w:right w:val="single" w:sz="8" w:space="0" w:color="auto"/>
            </w:tcBorders>
            <w:shd w:val="clear" w:color="auto" w:fill="auto"/>
            <w:noWrap/>
            <w:vAlign w:val="center"/>
            <w:hideMark/>
          </w:tcPr>
          <w:p w14:paraId="5C15B74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33,991</w:t>
            </w:r>
          </w:p>
        </w:tc>
        <w:tc>
          <w:tcPr>
            <w:tcW w:w="3860" w:type="dxa"/>
            <w:tcBorders>
              <w:top w:val="nil"/>
              <w:left w:val="nil"/>
              <w:bottom w:val="single" w:sz="8" w:space="0" w:color="auto"/>
              <w:right w:val="single" w:sz="8" w:space="0" w:color="auto"/>
            </w:tcBorders>
            <w:shd w:val="clear" w:color="auto" w:fill="auto"/>
            <w:noWrap/>
            <w:vAlign w:val="center"/>
            <w:hideMark/>
          </w:tcPr>
          <w:p w14:paraId="48262CB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980" w:type="dxa"/>
            <w:tcBorders>
              <w:top w:val="nil"/>
              <w:left w:val="nil"/>
              <w:bottom w:val="single" w:sz="8" w:space="0" w:color="auto"/>
              <w:right w:val="single" w:sz="8" w:space="0" w:color="auto"/>
            </w:tcBorders>
            <w:shd w:val="clear" w:color="auto" w:fill="auto"/>
            <w:noWrap/>
            <w:vAlign w:val="center"/>
            <w:hideMark/>
          </w:tcPr>
          <w:p w14:paraId="7B8F1CB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37,402</w:t>
            </w:r>
          </w:p>
        </w:tc>
        <w:tc>
          <w:tcPr>
            <w:tcW w:w="960" w:type="dxa"/>
            <w:tcBorders>
              <w:top w:val="nil"/>
              <w:left w:val="nil"/>
              <w:bottom w:val="single" w:sz="8" w:space="0" w:color="auto"/>
              <w:right w:val="single" w:sz="8" w:space="0" w:color="auto"/>
            </w:tcBorders>
            <w:shd w:val="clear" w:color="auto" w:fill="auto"/>
            <w:noWrap/>
            <w:vAlign w:val="center"/>
            <w:hideMark/>
          </w:tcPr>
          <w:p w14:paraId="3C4E3C7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37,042</w:t>
            </w:r>
          </w:p>
        </w:tc>
        <w:tc>
          <w:tcPr>
            <w:tcW w:w="960" w:type="dxa"/>
            <w:tcBorders>
              <w:top w:val="nil"/>
              <w:left w:val="nil"/>
              <w:bottom w:val="single" w:sz="8" w:space="0" w:color="auto"/>
              <w:right w:val="single" w:sz="8" w:space="0" w:color="auto"/>
            </w:tcBorders>
            <w:shd w:val="clear" w:color="auto" w:fill="auto"/>
            <w:noWrap/>
            <w:vAlign w:val="center"/>
            <w:hideMark/>
          </w:tcPr>
          <w:p w14:paraId="2072E89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37,763</w:t>
            </w:r>
          </w:p>
        </w:tc>
      </w:tr>
      <w:tr w:rsidR="00F37F6D" w:rsidRPr="00F37F6D" w14:paraId="716D96DC"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7223428"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880" w:type="dxa"/>
            <w:tcBorders>
              <w:top w:val="nil"/>
              <w:left w:val="nil"/>
              <w:bottom w:val="single" w:sz="8" w:space="0" w:color="auto"/>
              <w:right w:val="single" w:sz="8" w:space="0" w:color="auto"/>
            </w:tcBorders>
            <w:shd w:val="clear" w:color="auto" w:fill="auto"/>
            <w:noWrap/>
            <w:vAlign w:val="center"/>
            <w:hideMark/>
          </w:tcPr>
          <w:p w14:paraId="0637BB7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33,312</w:t>
            </w:r>
          </w:p>
        </w:tc>
        <w:tc>
          <w:tcPr>
            <w:tcW w:w="880" w:type="dxa"/>
            <w:tcBorders>
              <w:top w:val="nil"/>
              <w:left w:val="nil"/>
              <w:bottom w:val="single" w:sz="8" w:space="0" w:color="auto"/>
              <w:right w:val="single" w:sz="8" w:space="0" w:color="auto"/>
            </w:tcBorders>
            <w:shd w:val="clear" w:color="auto" w:fill="auto"/>
            <w:noWrap/>
            <w:vAlign w:val="center"/>
            <w:hideMark/>
          </w:tcPr>
          <w:p w14:paraId="231FDBB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32,971</w:t>
            </w:r>
          </w:p>
        </w:tc>
        <w:tc>
          <w:tcPr>
            <w:tcW w:w="880" w:type="dxa"/>
            <w:tcBorders>
              <w:top w:val="nil"/>
              <w:left w:val="nil"/>
              <w:bottom w:val="single" w:sz="8" w:space="0" w:color="auto"/>
              <w:right w:val="single" w:sz="8" w:space="0" w:color="auto"/>
            </w:tcBorders>
            <w:shd w:val="clear" w:color="auto" w:fill="auto"/>
            <w:noWrap/>
            <w:vAlign w:val="center"/>
            <w:hideMark/>
          </w:tcPr>
          <w:p w14:paraId="183D9FC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33,653</w:t>
            </w:r>
          </w:p>
        </w:tc>
        <w:tc>
          <w:tcPr>
            <w:tcW w:w="3860" w:type="dxa"/>
            <w:tcBorders>
              <w:top w:val="nil"/>
              <w:left w:val="nil"/>
              <w:bottom w:val="single" w:sz="8" w:space="0" w:color="auto"/>
              <w:right w:val="single" w:sz="8" w:space="0" w:color="auto"/>
            </w:tcBorders>
            <w:shd w:val="clear" w:color="auto" w:fill="auto"/>
            <w:noWrap/>
            <w:vAlign w:val="center"/>
            <w:hideMark/>
          </w:tcPr>
          <w:p w14:paraId="0F275F07"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980" w:type="dxa"/>
            <w:tcBorders>
              <w:top w:val="nil"/>
              <w:left w:val="nil"/>
              <w:bottom w:val="single" w:sz="8" w:space="0" w:color="auto"/>
              <w:right w:val="single" w:sz="8" w:space="0" w:color="auto"/>
            </w:tcBorders>
            <w:shd w:val="clear" w:color="auto" w:fill="auto"/>
            <w:noWrap/>
            <w:vAlign w:val="center"/>
            <w:hideMark/>
          </w:tcPr>
          <w:p w14:paraId="747538D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33,423</w:t>
            </w:r>
          </w:p>
        </w:tc>
        <w:tc>
          <w:tcPr>
            <w:tcW w:w="960" w:type="dxa"/>
            <w:tcBorders>
              <w:top w:val="nil"/>
              <w:left w:val="nil"/>
              <w:bottom w:val="single" w:sz="8" w:space="0" w:color="auto"/>
              <w:right w:val="single" w:sz="8" w:space="0" w:color="auto"/>
            </w:tcBorders>
            <w:shd w:val="clear" w:color="auto" w:fill="auto"/>
            <w:noWrap/>
            <w:vAlign w:val="center"/>
            <w:hideMark/>
          </w:tcPr>
          <w:p w14:paraId="5011FA1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33,082</w:t>
            </w:r>
          </w:p>
        </w:tc>
        <w:tc>
          <w:tcPr>
            <w:tcW w:w="960" w:type="dxa"/>
            <w:tcBorders>
              <w:top w:val="nil"/>
              <w:left w:val="nil"/>
              <w:bottom w:val="single" w:sz="8" w:space="0" w:color="auto"/>
              <w:right w:val="single" w:sz="8" w:space="0" w:color="auto"/>
            </w:tcBorders>
            <w:shd w:val="clear" w:color="auto" w:fill="auto"/>
            <w:noWrap/>
            <w:vAlign w:val="center"/>
            <w:hideMark/>
          </w:tcPr>
          <w:p w14:paraId="5CB39BD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33,763</w:t>
            </w:r>
          </w:p>
        </w:tc>
      </w:tr>
      <w:tr w:rsidR="00F37F6D" w:rsidRPr="00F37F6D" w14:paraId="60EBD9A7"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441726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Hawkers Hucksters </w:t>
            </w:r>
            <w:proofErr w:type="spellStart"/>
            <w:r w:rsidRPr="00F37F6D">
              <w:rPr>
                <w:rFonts w:eastAsia="Times New Roman" w:cs="Times New Roman"/>
                <w:color w:val="000000"/>
                <w:szCs w:val="24"/>
                <w:lang w:eastAsia="en-GB"/>
              </w:rPr>
              <w:t>Costers</w:t>
            </w:r>
            <w:proofErr w:type="spellEnd"/>
          </w:p>
        </w:tc>
        <w:tc>
          <w:tcPr>
            <w:tcW w:w="880" w:type="dxa"/>
            <w:tcBorders>
              <w:top w:val="nil"/>
              <w:left w:val="nil"/>
              <w:bottom w:val="single" w:sz="8" w:space="0" w:color="auto"/>
              <w:right w:val="single" w:sz="8" w:space="0" w:color="auto"/>
            </w:tcBorders>
            <w:shd w:val="clear" w:color="auto" w:fill="auto"/>
            <w:noWrap/>
            <w:vAlign w:val="center"/>
            <w:hideMark/>
          </w:tcPr>
          <w:p w14:paraId="2DCDC1D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24,660</w:t>
            </w:r>
          </w:p>
        </w:tc>
        <w:tc>
          <w:tcPr>
            <w:tcW w:w="880" w:type="dxa"/>
            <w:tcBorders>
              <w:top w:val="nil"/>
              <w:left w:val="nil"/>
              <w:bottom w:val="single" w:sz="8" w:space="0" w:color="auto"/>
              <w:right w:val="single" w:sz="8" w:space="0" w:color="auto"/>
            </w:tcBorders>
            <w:shd w:val="clear" w:color="auto" w:fill="auto"/>
            <w:noWrap/>
            <w:vAlign w:val="center"/>
            <w:hideMark/>
          </w:tcPr>
          <w:p w14:paraId="49921D5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24,334</w:t>
            </w:r>
          </w:p>
        </w:tc>
        <w:tc>
          <w:tcPr>
            <w:tcW w:w="880" w:type="dxa"/>
            <w:tcBorders>
              <w:top w:val="nil"/>
              <w:left w:val="nil"/>
              <w:bottom w:val="single" w:sz="8" w:space="0" w:color="auto"/>
              <w:right w:val="single" w:sz="8" w:space="0" w:color="auto"/>
            </w:tcBorders>
            <w:shd w:val="clear" w:color="auto" w:fill="auto"/>
            <w:noWrap/>
            <w:vAlign w:val="center"/>
            <w:hideMark/>
          </w:tcPr>
          <w:p w14:paraId="057C49F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24,985</w:t>
            </w:r>
          </w:p>
        </w:tc>
        <w:tc>
          <w:tcPr>
            <w:tcW w:w="3860" w:type="dxa"/>
            <w:tcBorders>
              <w:top w:val="nil"/>
              <w:left w:val="nil"/>
              <w:bottom w:val="single" w:sz="8" w:space="0" w:color="auto"/>
              <w:right w:val="single" w:sz="8" w:space="0" w:color="auto"/>
            </w:tcBorders>
            <w:shd w:val="clear" w:color="auto" w:fill="auto"/>
            <w:noWrap/>
            <w:vAlign w:val="center"/>
            <w:hideMark/>
          </w:tcPr>
          <w:p w14:paraId="0C2EDE94"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and Meat Salesmen</w:t>
            </w:r>
          </w:p>
        </w:tc>
        <w:tc>
          <w:tcPr>
            <w:tcW w:w="980" w:type="dxa"/>
            <w:tcBorders>
              <w:top w:val="nil"/>
              <w:left w:val="nil"/>
              <w:bottom w:val="single" w:sz="8" w:space="0" w:color="auto"/>
              <w:right w:val="single" w:sz="8" w:space="0" w:color="auto"/>
            </w:tcBorders>
            <w:shd w:val="clear" w:color="auto" w:fill="auto"/>
            <w:noWrap/>
            <w:vAlign w:val="center"/>
            <w:hideMark/>
          </w:tcPr>
          <w:p w14:paraId="7D1D96A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23,180</w:t>
            </w:r>
          </w:p>
        </w:tc>
        <w:tc>
          <w:tcPr>
            <w:tcW w:w="960" w:type="dxa"/>
            <w:tcBorders>
              <w:top w:val="nil"/>
              <w:left w:val="nil"/>
              <w:bottom w:val="single" w:sz="8" w:space="0" w:color="auto"/>
              <w:right w:val="single" w:sz="8" w:space="0" w:color="auto"/>
            </w:tcBorders>
            <w:shd w:val="clear" w:color="auto" w:fill="auto"/>
            <w:noWrap/>
            <w:vAlign w:val="center"/>
            <w:hideMark/>
          </w:tcPr>
          <w:p w14:paraId="732A4C8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22,891</w:t>
            </w:r>
          </w:p>
        </w:tc>
        <w:tc>
          <w:tcPr>
            <w:tcW w:w="960" w:type="dxa"/>
            <w:tcBorders>
              <w:top w:val="nil"/>
              <w:left w:val="nil"/>
              <w:bottom w:val="single" w:sz="8" w:space="0" w:color="auto"/>
              <w:right w:val="single" w:sz="8" w:space="0" w:color="auto"/>
            </w:tcBorders>
            <w:shd w:val="clear" w:color="auto" w:fill="auto"/>
            <w:noWrap/>
            <w:vAlign w:val="center"/>
            <w:hideMark/>
          </w:tcPr>
          <w:p w14:paraId="38C7B80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23,469</w:t>
            </w:r>
          </w:p>
        </w:tc>
      </w:tr>
      <w:tr w:rsidR="00F37F6D" w:rsidRPr="00F37F6D" w14:paraId="2EC7A17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309D833"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and Meat Salesmen</w:t>
            </w:r>
          </w:p>
        </w:tc>
        <w:tc>
          <w:tcPr>
            <w:tcW w:w="880" w:type="dxa"/>
            <w:tcBorders>
              <w:top w:val="nil"/>
              <w:left w:val="nil"/>
              <w:bottom w:val="single" w:sz="8" w:space="0" w:color="auto"/>
              <w:right w:val="single" w:sz="8" w:space="0" w:color="auto"/>
            </w:tcBorders>
            <w:shd w:val="clear" w:color="auto" w:fill="auto"/>
            <w:noWrap/>
            <w:vAlign w:val="center"/>
            <w:hideMark/>
          </w:tcPr>
          <w:p w14:paraId="3BB7F20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20,360</w:t>
            </w:r>
          </w:p>
        </w:tc>
        <w:tc>
          <w:tcPr>
            <w:tcW w:w="880" w:type="dxa"/>
            <w:tcBorders>
              <w:top w:val="nil"/>
              <w:left w:val="nil"/>
              <w:bottom w:val="single" w:sz="8" w:space="0" w:color="auto"/>
              <w:right w:val="single" w:sz="8" w:space="0" w:color="auto"/>
            </w:tcBorders>
            <w:shd w:val="clear" w:color="auto" w:fill="auto"/>
            <w:noWrap/>
            <w:vAlign w:val="center"/>
            <w:hideMark/>
          </w:tcPr>
          <w:p w14:paraId="1ACC8D5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20,085</w:t>
            </w:r>
          </w:p>
        </w:tc>
        <w:tc>
          <w:tcPr>
            <w:tcW w:w="880" w:type="dxa"/>
            <w:tcBorders>
              <w:top w:val="nil"/>
              <w:left w:val="nil"/>
              <w:bottom w:val="single" w:sz="8" w:space="0" w:color="auto"/>
              <w:right w:val="single" w:sz="8" w:space="0" w:color="auto"/>
            </w:tcBorders>
            <w:shd w:val="clear" w:color="auto" w:fill="auto"/>
            <w:noWrap/>
            <w:vAlign w:val="center"/>
            <w:hideMark/>
          </w:tcPr>
          <w:p w14:paraId="3456650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20,636</w:t>
            </w:r>
          </w:p>
        </w:tc>
        <w:tc>
          <w:tcPr>
            <w:tcW w:w="3860" w:type="dxa"/>
            <w:tcBorders>
              <w:top w:val="nil"/>
              <w:left w:val="nil"/>
              <w:bottom w:val="single" w:sz="8" w:space="0" w:color="auto"/>
              <w:right w:val="single" w:sz="8" w:space="0" w:color="auto"/>
            </w:tcBorders>
            <w:shd w:val="clear" w:color="auto" w:fill="auto"/>
            <w:noWrap/>
            <w:vAlign w:val="center"/>
            <w:hideMark/>
          </w:tcPr>
          <w:p w14:paraId="716E4FA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Hawkers Hucksters </w:t>
            </w:r>
            <w:proofErr w:type="spellStart"/>
            <w:r w:rsidRPr="00F37F6D">
              <w:rPr>
                <w:rFonts w:eastAsia="Times New Roman" w:cs="Times New Roman"/>
                <w:color w:val="000000"/>
                <w:szCs w:val="24"/>
                <w:lang w:eastAsia="en-GB"/>
              </w:rPr>
              <w:t>Costers</w:t>
            </w:r>
            <w:proofErr w:type="spellEnd"/>
          </w:p>
        </w:tc>
        <w:tc>
          <w:tcPr>
            <w:tcW w:w="980" w:type="dxa"/>
            <w:tcBorders>
              <w:top w:val="nil"/>
              <w:left w:val="nil"/>
              <w:bottom w:val="single" w:sz="8" w:space="0" w:color="auto"/>
              <w:right w:val="single" w:sz="8" w:space="0" w:color="auto"/>
            </w:tcBorders>
            <w:shd w:val="clear" w:color="auto" w:fill="auto"/>
            <w:noWrap/>
            <w:vAlign w:val="center"/>
            <w:hideMark/>
          </w:tcPr>
          <w:p w14:paraId="2FF3780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21,938</w:t>
            </w:r>
          </w:p>
        </w:tc>
        <w:tc>
          <w:tcPr>
            <w:tcW w:w="960" w:type="dxa"/>
            <w:tcBorders>
              <w:top w:val="nil"/>
              <w:left w:val="nil"/>
              <w:bottom w:val="single" w:sz="8" w:space="0" w:color="auto"/>
              <w:right w:val="single" w:sz="8" w:space="0" w:color="auto"/>
            </w:tcBorders>
            <w:shd w:val="clear" w:color="auto" w:fill="auto"/>
            <w:noWrap/>
            <w:vAlign w:val="center"/>
            <w:hideMark/>
          </w:tcPr>
          <w:p w14:paraId="2A50E98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21,647</w:t>
            </w:r>
          </w:p>
        </w:tc>
        <w:tc>
          <w:tcPr>
            <w:tcW w:w="960" w:type="dxa"/>
            <w:tcBorders>
              <w:top w:val="nil"/>
              <w:left w:val="nil"/>
              <w:bottom w:val="single" w:sz="8" w:space="0" w:color="auto"/>
              <w:right w:val="single" w:sz="8" w:space="0" w:color="auto"/>
            </w:tcBorders>
            <w:shd w:val="clear" w:color="auto" w:fill="auto"/>
            <w:noWrap/>
            <w:vAlign w:val="center"/>
            <w:hideMark/>
          </w:tcPr>
          <w:p w14:paraId="7D1BCE56"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22,229</w:t>
            </w:r>
          </w:p>
        </w:tc>
      </w:tr>
      <w:tr w:rsidR="00F37F6D" w:rsidRPr="00F37F6D" w14:paraId="540F2F4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B8A458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Carpenter, Joiner</w:t>
            </w:r>
          </w:p>
        </w:tc>
        <w:tc>
          <w:tcPr>
            <w:tcW w:w="880" w:type="dxa"/>
            <w:tcBorders>
              <w:top w:val="nil"/>
              <w:left w:val="nil"/>
              <w:bottom w:val="single" w:sz="8" w:space="0" w:color="auto"/>
              <w:right w:val="single" w:sz="8" w:space="0" w:color="auto"/>
            </w:tcBorders>
            <w:shd w:val="clear" w:color="auto" w:fill="auto"/>
            <w:noWrap/>
            <w:vAlign w:val="center"/>
            <w:hideMark/>
          </w:tcPr>
          <w:p w14:paraId="429AD43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17,575</w:t>
            </w:r>
          </w:p>
        </w:tc>
        <w:tc>
          <w:tcPr>
            <w:tcW w:w="880" w:type="dxa"/>
            <w:tcBorders>
              <w:top w:val="nil"/>
              <w:left w:val="nil"/>
              <w:bottom w:val="single" w:sz="8" w:space="0" w:color="auto"/>
              <w:right w:val="single" w:sz="8" w:space="0" w:color="auto"/>
            </w:tcBorders>
            <w:shd w:val="clear" w:color="auto" w:fill="auto"/>
            <w:noWrap/>
            <w:vAlign w:val="center"/>
            <w:hideMark/>
          </w:tcPr>
          <w:p w14:paraId="48CD13D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17,318</w:t>
            </w:r>
          </w:p>
        </w:tc>
        <w:tc>
          <w:tcPr>
            <w:tcW w:w="880" w:type="dxa"/>
            <w:tcBorders>
              <w:top w:val="nil"/>
              <w:left w:val="nil"/>
              <w:bottom w:val="single" w:sz="8" w:space="0" w:color="auto"/>
              <w:right w:val="single" w:sz="8" w:space="0" w:color="auto"/>
            </w:tcBorders>
            <w:shd w:val="clear" w:color="auto" w:fill="auto"/>
            <w:noWrap/>
            <w:vAlign w:val="center"/>
            <w:hideMark/>
          </w:tcPr>
          <w:p w14:paraId="7E7EACE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17,832</w:t>
            </w:r>
          </w:p>
        </w:tc>
        <w:tc>
          <w:tcPr>
            <w:tcW w:w="3860" w:type="dxa"/>
            <w:tcBorders>
              <w:top w:val="nil"/>
              <w:left w:val="nil"/>
              <w:bottom w:val="single" w:sz="8" w:space="0" w:color="auto"/>
              <w:right w:val="single" w:sz="8" w:space="0" w:color="auto"/>
            </w:tcBorders>
            <w:shd w:val="clear" w:color="auto" w:fill="auto"/>
            <w:noWrap/>
            <w:vAlign w:val="center"/>
            <w:hideMark/>
          </w:tcPr>
          <w:p w14:paraId="5CBB90DA"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Greengrocers Fruiterers Potato Dealers</w:t>
            </w:r>
          </w:p>
        </w:tc>
        <w:tc>
          <w:tcPr>
            <w:tcW w:w="980" w:type="dxa"/>
            <w:tcBorders>
              <w:top w:val="nil"/>
              <w:left w:val="nil"/>
              <w:bottom w:val="single" w:sz="8" w:space="0" w:color="auto"/>
              <w:right w:val="single" w:sz="8" w:space="0" w:color="auto"/>
            </w:tcBorders>
            <w:shd w:val="clear" w:color="auto" w:fill="auto"/>
            <w:noWrap/>
            <w:vAlign w:val="center"/>
            <w:hideMark/>
          </w:tcPr>
          <w:p w14:paraId="22B0D5F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19,736</w:t>
            </w:r>
          </w:p>
        </w:tc>
        <w:tc>
          <w:tcPr>
            <w:tcW w:w="960" w:type="dxa"/>
            <w:tcBorders>
              <w:top w:val="nil"/>
              <w:left w:val="nil"/>
              <w:bottom w:val="single" w:sz="8" w:space="0" w:color="auto"/>
              <w:right w:val="single" w:sz="8" w:space="0" w:color="auto"/>
            </w:tcBorders>
            <w:shd w:val="clear" w:color="auto" w:fill="auto"/>
            <w:noWrap/>
            <w:vAlign w:val="center"/>
            <w:hideMark/>
          </w:tcPr>
          <w:p w14:paraId="750C0A6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19,468</w:t>
            </w:r>
          </w:p>
        </w:tc>
        <w:tc>
          <w:tcPr>
            <w:tcW w:w="960" w:type="dxa"/>
            <w:tcBorders>
              <w:top w:val="nil"/>
              <w:left w:val="nil"/>
              <w:bottom w:val="single" w:sz="8" w:space="0" w:color="auto"/>
              <w:right w:val="single" w:sz="8" w:space="0" w:color="auto"/>
            </w:tcBorders>
            <w:shd w:val="clear" w:color="auto" w:fill="auto"/>
            <w:noWrap/>
            <w:vAlign w:val="center"/>
            <w:hideMark/>
          </w:tcPr>
          <w:p w14:paraId="69F76CA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20,004</w:t>
            </w:r>
          </w:p>
        </w:tc>
      </w:tr>
      <w:tr w:rsidR="00F37F6D" w:rsidRPr="00F37F6D" w14:paraId="5FB4A71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595D258"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Tailors </w:t>
            </w:r>
          </w:p>
        </w:tc>
        <w:tc>
          <w:tcPr>
            <w:tcW w:w="880" w:type="dxa"/>
            <w:tcBorders>
              <w:top w:val="nil"/>
              <w:left w:val="nil"/>
              <w:bottom w:val="single" w:sz="8" w:space="0" w:color="auto"/>
              <w:right w:val="single" w:sz="8" w:space="0" w:color="auto"/>
            </w:tcBorders>
            <w:shd w:val="clear" w:color="auto" w:fill="auto"/>
            <w:noWrap/>
            <w:vAlign w:val="center"/>
            <w:hideMark/>
          </w:tcPr>
          <w:p w14:paraId="3FB3571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15,627</w:t>
            </w:r>
          </w:p>
        </w:tc>
        <w:tc>
          <w:tcPr>
            <w:tcW w:w="880" w:type="dxa"/>
            <w:tcBorders>
              <w:top w:val="nil"/>
              <w:left w:val="nil"/>
              <w:bottom w:val="single" w:sz="8" w:space="0" w:color="auto"/>
              <w:right w:val="single" w:sz="8" w:space="0" w:color="auto"/>
            </w:tcBorders>
            <w:shd w:val="clear" w:color="auto" w:fill="auto"/>
            <w:noWrap/>
            <w:vAlign w:val="center"/>
            <w:hideMark/>
          </w:tcPr>
          <w:p w14:paraId="5E21782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15,382</w:t>
            </w:r>
          </w:p>
        </w:tc>
        <w:tc>
          <w:tcPr>
            <w:tcW w:w="880" w:type="dxa"/>
            <w:tcBorders>
              <w:top w:val="nil"/>
              <w:left w:val="nil"/>
              <w:bottom w:val="single" w:sz="8" w:space="0" w:color="auto"/>
              <w:right w:val="single" w:sz="8" w:space="0" w:color="auto"/>
            </w:tcBorders>
            <w:shd w:val="clear" w:color="auto" w:fill="auto"/>
            <w:noWrap/>
            <w:vAlign w:val="center"/>
            <w:hideMark/>
          </w:tcPr>
          <w:p w14:paraId="450C609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15,872</w:t>
            </w:r>
          </w:p>
        </w:tc>
        <w:tc>
          <w:tcPr>
            <w:tcW w:w="3860" w:type="dxa"/>
            <w:tcBorders>
              <w:top w:val="nil"/>
              <w:left w:val="nil"/>
              <w:bottom w:val="single" w:sz="8" w:space="0" w:color="auto"/>
              <w:right w:val="single" w:sz="8" w:space="0" w:color="auto"/>
            </w:tcBorders>
            <w:shd w:val="clear" w:color="auto" w:fill="auto"/>
            <w:noWrap/>
            <w:vAlign w:val="center"/>
            <w:hideMark/>
          </w:tcPr>
          <w:p w14:paraId="06E25F92"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Carpenter, Joiner</w:t>
            </w:r>
          </w:p>
        </w:tc>
        <w:tc>
          <w:tcPr>
            <w:tcW w:w="980" w:type="dxa"/>
            <w:tcBorders>
              <w:top w:val="nil"/>
              <w:left w:val="nil"/>
              <w:bottom w:val="single" w:sz="8" w:space="0" w:color="auto"/>
              <w:right w:val="single" w:sz="8" w:space="0" w:color="auto"/>
            </w:tcBorders>
            <w:shd w:val="clear" w:color="auto" w:fill="auto"/>
            <w:noWrap/>
            <w:vAlign w:val="center"/>
            <w:hideMark/>
          </w:tcPr>
          <w:p w14:paraId="357907E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17,988</w:t>
            </w:r>
          </w:p>
        </w:tc>
        <w:tc>
          <w:tcPr>
            <w:tcW w:w="960" w:type="dxa"/>
            <w:tcBorders>
              <w:top w:val="nil"/>
              <w:left w:val="nil"/>
              <w:bottom w:val="single" w:sz="8" w:space="0" w:color="auto"/>
              <w:right w:val="single" w:sz="8" w:space="0" w:color="auto"/>
            </w:tcBorders>
            <w:shd w:val="clear" w:color="auto" w:fill="auto"/>
            <w:noWrap/>
            <w:vAlign w:val="center"/>
            <w:hideMark/>
          </w:tcPr>
          <w:p w14:paraId="7F320F8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17,730</w:t>
            </w:r>
          </w:p>
        </w:tc>
        <w:tc>
          <w:tcPr>
            <w:tcW w:w="960" w:type="dxa"/>
            <w:tcBorders>
              <w:top w:val="nil"/>
              <w:left w:val="nil"/>
              <w:bottom w:val="single" w:sz="8" w:space="0" w:color="auto"/>
              <w:right w:val="single" w:sz="8" w:space="0" w:color="auto"/>
            </w:tcBorders>
            <w:shd w:val="clear" w:color="auto" w:fill="auto"/>
            <w:noWrap/>
            <w:vAlign w:val="center"/>
            <w:hideMark/>
          </w:tcPr>
          <w:p w14:paraId="3E8A6E4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18,246</w:t>
            </w:r>
          </w:p>
        </w:tc>
      </w:tr>
      <w:tr w:rsidR="00F37F6D" w:rsidRPr="00F37F6D" w14:paraId="03E370E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07A8096"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General Shopkeepers</w:t>
            </w:r>
          </w:p>
        </w:tc>
        <w:tc>
          <w:tcPr>
            <w:tcW w:w="880" w:type="dxa"/>
            <w:tcBorders>
              <w:top w:val="nil"/>
              <w:left w:val="nil"/>
              <w:bottom w:val="single" w:sz="8" w:space="0" w:color="auto"/>
              <w:right w:val="single" w:sz="8" w:space="0" w:color="auto"/>
            </w:tcBorders>
            <w:shd w:val="clear" w:color="auto" w:fill="auto"/>
            <w:noWrap/>
            <w:vAlign w:val="center"/>
            <w:hideMark/>
          </w:tcPr>
          <w:p w14:paraId="66A3B78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15,348</w:t>
            </w:r>
          </w:p>
        </w:tc>
        <w:tc>
          <w:tcPr>
            <w:tcW w:w="880" w:type="dxa"/>
            <w:tcBorders>
              <w:top w:val="nil"/>
              <w:left w:val="nil"/>
              <w:bottom w:val="single" w:sz="8" w:space="0" w:color="auto"/>
              <w:right w:val="single" w:sz="8" w:space="0" w:color="auto"/>
            </w:tcBorders>
            <w:shd w:val="clear" w:color="auto" w:fill="auto"/>
            <w:noWrap/>
            <w:vAlign w:val="center"/>
            <w:hideMark/>
          </w:tcPr>
          <w:p w14:paraId="31C5C43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15,102</w:t>
            </w:r>
          </w:p>
        </w:tc>
        <w:tc>
          <w:tcPr>
            <w:tcW w:w="880" w:type="dxa"/>
            <w:tcBorders>
              <w:top w:val="nil"/>
              <w:left w:val="nil"/>
              <w:bottom w:val="single" w:sz="8" w:space="0" w:color="auto"/>
              <w:right w:val="single" w:sz="8" w:space="0" w:color="auto"/>
            </w:tcBorders>
            <w:shd w:val="clear" w:color="auto" w:fill="auto"/>
            <w:noWrap/>
            <w:vAlign w:val="center"/>
            <w:hideMark/>
          </w:tcPr>
          <w:p w14:paraId="0B052E9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15,595</w:t>
            </w:r>
          </w:p>
        </w:tc>
        <w:tc>
          <w:tcPr>
            <w:tcW w:w="3860" w:type="dxa"/>
            <w:tcBorders>
              <w:top w:val="nil"/>
              <w:left w:val="nil"/>
              <w:bottom w:val="single" w:sz="8" w:space="0" w:color="auto"/>
              <w:right w:val="single" w:sz="8" w:space="0" w:color="auto"/>
            </w:tcBorders>
            <w:shd w:val="clear" w:color="auto" w:fill="auto"/>
            <w:noWrap/>
            <w:vAlign w:val="center"/>
            <w:hideMark/>
          </w:tcPr>
          <w:p w14:paraId="60D97B65"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Tailors (Not Merchants) </w:t>
            </w:r>
          </w:p>
        </w:tc>
        <w:tc>
          <w:tcPr>
            <w:tcW w:w="980" w:type="dxa"/>
            <w:tcBorders>
              <w:top w:val="nil"/>
              <w:left w:val="nil"/>
              <w:bottom w:val="single" w:sz="8" w:space="0" w:color="auto"/>
              <w:right w:val="single" w:sz="8" w:space="0" w:color="auto"/>
            </w:tcBorders>
            <w:shd w:val="clear" w:color="auto" w:fill="auto"/>
            <w:noWrap/>
            <w:vAlign w:val="center"/>
            <w:hideMark/>
          </w:tcPr>
          <w:p w14:paraId="125FCD6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15,452</w:t>
            </w:r>
          </w:p>
        </w:tc>
        <w:tc>
          <w:tcPr>
            <w:tcW w:w="960" w:type="dxa"/>
            <w:tcBorders>
              <w:top w:val="nil"/>
              <w:left w:val="nil"/>
              <w:bottom w:val="single" w:sz="8" w:space="0" w:color="auto"/>
              <w:right w:val="single" w:sz="8" w:space="0" w:color="auto"/>
            </w:tcBorders>
            <w:shd w:val="clear" w:color="auto" w:fill="auto"/>
            <w:noWrap/>
            <w:vAlign w:val="center"/>
            <w:hideMark/>
          </w:tcPr>
          <w:p w14:paraId="005797A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15,212</w:t>
            </w:r>
          </w:p>
        </w:tc>
        <w:tc>
          <w:tcPr>
            <w:tcW w:w="960" w:type="dxa"/>
            <w:tcBorders>
              <w:top w:val="nil"/>
              <w:left w:val="nil"/>
              <w:bottom w:val="single" w:sz="8" w:space="0" w:color="auto"/>
              <w:right w:val="single" w:sz="8" w:space="0" w:color="auto"/>
            </w:tcBorders>
            <w:shd w:val="clear" w:color="auto" w:fill="auto"/>
            <w:noWrap/>
            <w:vAlign w:val="center"/>
            <w:hideMark/>
          </w:tcPr>
          <w:p w14:paraId="3B60993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15,693</w:t>
            </w:r>
          </w:p>
        </w:tc>
      </w:tr>
      <w:tr w:rsidR="00F37F6D" w:rsidRPr="00F37F6D" w14:paraId="51D558C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76F61E7"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Greengrocers Fruiterers Potato Dealers</w:t>
            </w:r>
          </w:p>
        </w:tc>
        <w:tc>
          <w:tcPr>
            <w:tcW w:w="880" w:type="dxa"/>
            <w:tcBorders>
              <w:top w:val="nil"/>
              <w:left w:val="nil"/>
              <w:bottom w:val="single" w:sz="8" w:space="0" w:color="auto"/>
              <w:right w:val="single" w:sz="8" w:space="0" w:color="auto"/>
            </w:tcBorders>
            <w:shd w:val="clear" w:color="auto" w:fill="auto"/>
            <w:noWrap/>
            <w:vAlign w:val="center"/>
            <w:hideMark/>
          </w:tcPr>
          <w:p w14:paraId="170BAAC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14,900</w:t>
            </w:r>
          </w:p>
        </w:tc>
        <w:tc>
          <w:tcPr>
            <w:tcW w:w="880" w:type="dxa"/>
            <w:tcBorders>
              <w:top w:val="nil"/>
              <w:left w:val="nil"/>
              <w:bottom w:val="single" w:sz="8" w:space="0" w:color="auto"/>
              <w:right w:val="single" w:sz="8" w:space="0" w:color="auto"/>
            </w:tcBorders>
            <w:shd w:val="clear" w:color="auto" w:fill="auto"/>
            <w:noWrap/>
            <w:vAlign w:val="center"/>
            <w:hideMark/>
          </w:tcPr>
          <w:p w14:paraId="35A3F95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14,661</w:t>
            </w:r>
          </w:p>
        </w:tc>
        <w:tc>
          <w:tcPr>
            <w:tcW w:w="880" w:type="dxa"/>
            <w:tcBorders>
              <w:top w:val="nil"/>
              <w:left w:val="nil"/>
              <w:bottom w:val="single" w:sz="8" w:space="0" w:color="auto"/>
              <w:right w:val="single" w:sz="8" w:space="0" w:color="auto"/>
            </w:tcBorders>
            <w:shd w:val="clear" w:color="auto" w:fill="auto"/>
            <w:noWrap/>
            <w:vAlign w:val="center"/>
            <w:hideMark/>
          </w:tcPr>
          <w:p w14:paraId="6EA1AFB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15,139</w:t>
            </w:r>
          </w:p>
        </w:tc>
        <w:tc>
          <w:tcPr>
            <w:tcW w:w="3860" w:type="dxa"/>
            <w:tcBorders>
              <w:top w:val="nil"/>
              <w:left w:val="nil"/>
              <w:bottom w:val="single" w:sz="8" w:space="0" w:color="auto"/>
              <w:right w:val="single" w:sz="8" w:space="0" w:color="auto"/>
            </w:tcBorders>
            <w:shd w:val="clear" w:color="auto" w:fill="auto"/>
            <w:noWrap/>
            <w:vAlign w:val="center"/>
            <w:hideMark/>
          </w:tcPr>
          <w:p w14:paraId="4BDFA86C"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Physicians, Surgeons</w:t>
            </w:r>
          </w:p>
        </w:tc>
        <w:tc>
          <w:tcPr>
            <w:tcW w:w="980" w:type="dxa"/>
            <w:tcBorders>
              <w:top w:val="nil"/>
              <w:left w:val="nil"/>
              <w:bottom w:val="single" w:sz="8" w:space="0" w:color="auto"/>
              <w:right w:val="single" w:sz="8" w:space="0" w:color="auto"/>
            </w:tcBorders>
            <w:shd w:val="clear" w:color="auto" w:fill="auto"/>
            <w:noWrap/>
            <w:vAlign w:val="center"/>
            <w:hideMark/>
          </w:tcPr>
          <w:p w14:paraId="5E4D0B14"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14,845</w:t>
            </w:r>
          </w:p>
        </w:tc>
        <w:tc>
          <w:tcPr>
            <w:tcW w:w="960" w:type="dxa"/>
            <w:tcBorders>
              <w:top w:val="nil"/>
              <w:left w:val="nil"/>
              <w:bottom w:val="single" w:sz="8" w:space="0" w:color="auto"/>
              <w:right w:val="single" w:sz="8" w:space="0" w:color="auto"/>
            </w:tcBorders>
            <w:shd w:val="clear" w:color="auto" w:fill="auto"/>
            <w:noWrap/>
            <w:vAlign w:val="center"/>
            <w:hideMark/>
          </w:tcPr>
          <w:p w14:paraId="4CAEE1E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14,536</w:t>
            </w:r>
          </w:p>
        </w:tc>
        <w:tc>
          <w:tcPr>
            <w:tcW w:w="960" w:type="dxa"/>
            <w:tcBorders>
              <w:top w:val="nil"/>
              <w:left w:val="nil"/>
              <w:bottom w:val="single" w:sz="8" w:space="0" w:color="auto"/>
              <w:right w:val="single" w:sz="8" w:space="0" w:color="auto"/>
            </w:tcBorders>
            <w:shd w:val="clear" w:color="auto" w:fill="auto"/>
            <w:noWrap/>
            <w:vAlign w:val="center"/>
            <w:hideMark/>
          </w:tcPr>
          <w:p w14:paraId="6C1DE48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15,154</w:t>
            </w:r>
          </w:p>
        </w:tc>
      </w:tr>
    </w:tbl>
    <w:p w14:paraId="00BA96B2" w14:textId="77777777" w:rsidR="00F37F6D" w:rsidRPr="00F37F6D" w:rsidRDefault="00F37F6D" w:rsidP="00F37F6D">
      <w:pPr>
        <w:spacing w:after="160" w:line="360" w:lineRule="auto"/>
        <w:jc w:val="both"/>
        <w:rPr>
          <w:rFonts w:ascii="Calibri" w:eastAsia="Calibri" w:hAnsi="Calibri" w:cs="Times New Roman"/>
          <w:sz w:val="22"/>
          <w:szCs w:val="24"/>
        </w:rPr>
      </w:pPr>
    </w:p>
    <w:tbl>
      <w:tblPr>
        <w:tblW w:w="6240" w:type="dxa"/>
        <w:tblInd w:w="-10" w:type="dxa"/>
        <w:tblLook w:val="04A0" w:firstRow="1" w:lastRow="0" w:firstColumn="1" w:lastColumn="0" w:noHBand="0" w:noVBand="1"/>
      </w:tblPr>
      <w:tblGrid>
        <w:gridCol w:w="3600"/>
        <w:gridCol w:w="880"/>
        <w:gridCol w:w="880"/>
        <w:gridCol w:w="880"/>
      </w:tblGrid>
      <w:tr w:rsidR="00F37F6D" w:rsidRPr="00F37F6D" w14:paraId="0B9C16C0" w14:textId="77777777" w:rsidTr="00874EE0">
        <w:trPr>
          <w:trHeight w:val="330"/>
        </w:trPr>
        <w:tc>
          <w:tcPr>
            <w:tcW w:w="6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133CF15" w14:textId="77777777" w:rsidR="00F37F6D" w:rsidRPr="00F37F6D" w:rsidRDefault="00F37F6D" w:rsidP="00F37F6D">
            <w:pPr>
              <w:jc w:val="center"/>
              <w:rPr>
                <w:rFonts w:eastAsia="Times New Roman" w:cs="Times New Roman"/>
                <w:b/>
                <w:bCs/>
                <w:color w:val="000000"/>
                <w:szCs w:val="24"/>
                <w:lang w:eastAsia="en-GB"/>
              </w:rPr>
            </w:pPr>
            <w:r w:rsidRPr="00F37F6D">
              <w:rPr>
                <w:rFonts w:eastAsia="Times New Roman" w:cs="Times New Roman"/>
                <w:b/>
                <w:bCs/>
                <w:color w:val="000000"/>
                <w:szCs w:val="24"/>
                <w:lang w:eastAsia="en-GB"/>
              </w:rPr>
              <w:t>1911</w:t>
            </w:r>
          </w:p>
        </w:tc>
      </w:tr>
      <w:tr w:rsidR="00F37F6D" w:rsidRPr="00F37F6D" w14:paraId="12A4DCB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E21729D"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Sector</w:t>
            </w:r>
          </w:p>
        </w:tc>
        <w:tc>
          <w:tcPr>
            <w:tcW w:w="880" w:type="dxa"/>
            <w:tcBorders>
              <w:top w:val="nil"/>
              <w:left w:val="nil"/>
              <w:bottom w:val="single" w:sz="8" w:space="0" w:color="auto"/>
              <w:right w:val="single" w:sz="8" w:space="0" w:color="auto"/>
            </w:tcBorders>
            <w:shd w:val="clear" w:color="auto" w:fill="auto"/>
            <w:vAlign w:val="center"/>
            <w:hideMark/>
          </w:tcPr>
          <w:p w14:paraId="6436F5B2"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No.</w:t>
            </w:r>
          </w:p>
        </w:tc>
        <w:tc>
          <w:tcPr>
            <w:tcW w:w="880" w:type="dxa"/>
            <w:tcBorders>
              <w:top w:val="nil"/>
              <w:left w:val="nil"/>
              <w:bottom w:val="single" w:sz="8" w:space="0" w:color="auto"/>
              <w:right w:val="single" w:sz="8" w:space="0" w:color="auto"/>
            </w:tcBorders>
            <w:shd w:val="clear" w:color="auto" w:fill="auto"/>
            <w:vAlign w:val="center"/>
            <w:hideMark/>
          </w:tcPr>
          <w:p w14:paraId="2B7C8B40" w14:textId="77777777" w:rsidR="00F37F6D" w:rsidRPr="00F37F6D" w:rsidRDefault="00F37F6D" w:rsidP="00F37F6D">
            <w:pPr>
              <w:jc w:val="both"/>
              <w:rPr>
                <w:rFonts w:eastAsia="Times New Roman" w:cs="Times New Roman"/>
                <w:b/>
                <w:bCs/>
                <w:color w:val="000000"/>
                <w:szCs w:val="24"/>
                <w:lang w:eastAsia="en-GB"/>
              </w:rPr>
            </w:pPr>
            <w:r w:rsidRPr="00F37F6D">
              <w:rPr>
                <w:rFonts w:eastAsia="Times New Roman" w:cs="Times New Roman"/>
                <w:b/>
                <w:bCs/>
                <w:color w:val="000000"/>
                <w:szCs w:val="24"/>
                <w:lang w:eastAsia="en-GB"/>
              </w:rPr>
              <w:t>Lb</w:t>
            </w:r>
          </w:p>
        </w:tc>
        <w:tc>
          <w:tcPr>
            <w:tcW w:w="880" w:type="dxa"/>
            <w:tcBorders>
              <w:top w:val="nil"/>
              <w:left w:val="nil"/>
              <w:bottom w:val="single" w:sz="8" w:space="0" w:color="auto"/>
              <w:right w:val="single" w:sz="8" w:space="0" w:color="auto"/>
            </w:tcBorders>
            <w:shd w:val="clear" w:color="auto" w:fill="auto"/>
            <w:vAlign w:val="center"/>
            <w:hideMark/>
          </w:tcPr>
          <w:p w14:paraId="63F6EB11" w14:textId="77777777" w:rsidR="00F37F6D" w:rsidRPr="00F37F6D" w:rsidRDefault="00F37F6D" w:rsidP="00F37F6D">
            <w:pPr>
              <w:jc w:val="both"/>
              <w:rPr>
                <w:rFonts w:eastAsia="Times New Roman" w:cs="Times New Roman"/>
                <w:b/>
                <w:bCs/>
                <w:color w:val="000000"/>
                <w:szCs w:val="24"/>
                <w:lang w:eastAsia="en-GB"/>
              </w:rPr>
            </w:pPr>
            <w:proofErr w:type="spellStart"/>
            <w:r w:rsidRPr="00F37F6D">
              <w:rPr>
                <w:rFonts w:eastAsia="Times New Roman" w:cs="Times New Roman"/>
                <w:b/>
                <w:bCs/>
                <w:color w:val="000000"/>
                <w:szCs w:val="24"/>
                <w:lang w:eastAsia="en-GB"/>
              </w:rPr>
              <w:t>Ub</w:t>
            </w:r>
            <w:proofErr w:type="spellEnd"/>
          </w:p>
        </w:tc>
      </w:tr>
      <w:tr w:rsidR="00F37F6D" w:rsidRPr="00F37F6D" w14:paraId="6B87E024"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9B35342"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Farmer, Grazier</w:t>
            </w:r>
          </w:p>
        </w:tc>
        <w:tc>
          <w:tcPr>
            <w:tcW w:w="880" w:type="dxa"/>
            <w:tcBorders>
              <w:top w:val="nil"/>
              <w:left w:val="nil"/>
              <w:bottom w:val="single" w:sz="8" w:space="0" w:color="auto"/>
              <w:right w:val="single" w:sz="8" w:space="0" w:color="auto"/>
            </w:tcBorders>
            <w:shd w:val="clear" w:color="auto" w:fill="auto"/>
            <w:noWrap/>
            <w:vAlign w:val="center"/>
            <w:hideMark/>
          </w:tcPr>
          <w:p w14:paraId="4F8DE677"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62,814</w:t>
            </w:r>
          </w:p>
        </w:tc>
        <w:tc>
          <w:tcPr>
            <w:tcW w:w="880" w:type="dxa"/>
            <w:tcBorders>
              <w:top w:val="nil"/>
              <w:left w:val="nil"/>
              <w:bottom w:val="single" w:sz="8" w:space="0" w:color="auto"/>
              <w:right w:val="single" w:sz="8" w:space="0" w:color="auto"/>
            </w:tcBorders>
            <w:shd w:val="clear" w:color="auto" w:fill="auto"/>
            <w:noWrap/>
            <w:vAlign w:val="center"/>
            <w:hideMark/>
          </w:tcPr>
          <w:p w14:paraId="11CF34C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62,362</w:t>
            </w:r>
          </w:p>
        </w:tc>
        <w:tc>
          <w:tcPr>
            <w:tcW w:w="880" w:type="dxa"/>
            <w:tcBorders>
              <w:top w:val="nil"/>
              <w:left w:val="nil"/>
              <w:bottom w:val="single" w:sz="8" w:space="0" w:color="auto"/>
              <w:right w:val="single" w:sz="8" w:space="0" w:color="auto"/>
            </w:tcBorders>
            <w:shd w:val="clear" w:color="auto" w:fill="auto"/>
            <w:noWrap/>
            <w:vAlign w:val="center"/>
            <w:hideMark/>
          </w:tcPr>
          <w:p w14:paraId="55279B9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63,266</w:t>
            </w:r>
          </w:p>
        </w:tc>
      </w:tr>
      <w:tr w:rsidR="00F37F6D" w:rsidRPr="00F37F6D" w14:paraId="2649139F"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6AEB672"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Shoe and Boot Makers (and Repairers)</w:t>
            </w:r>
          </w:p>
        </w:tc>
        <w:tc>
          <w:tcPr>
            <w:tcW w:w="880" w:type="dxa"/>
            <w:tcBorders>
              <w:top w:val="nil"/>
              <w:left w:val="nil"/>
              <w:bottom w:val="single" w:sz="8" w:space="0" w:color="auto"/>
              <w:right w:val="single" w:sz="8" w:space="0" w:color="auto"/>
            </w:tcBorders>
            <w:shd w:val="clear" w:color="auto" w:fill="auto"/>
            <w:noWrap/>
            <w:vAlign w:val="center"/>
            <w:hideMark/>
          </w:tcPr>
          <w:p w14:paraId="079A0683"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33,342</w:t>
            </w:r>
          </w:p>
        </w:tc>
        <w:tc>
          <w:tcPr>
            <w:tcW w:w="880" w:type="dxa"/>
            <w:tcBorders>
              <w:top w:val="nil"/>
              <w:left w:val="nil"/>
              <w:bottom w:val="single" w:sz="8" w:space="0" w:color="auto"/>
              <w:right w:val="single" w:sz="8" w:space="0" w:color="auto"/>
            </w:tcBorders>
            <w:shd w:val="clear" w:color="auto" w:fill="auto"/>
            <w:noWrap/>
            <w:vAlign w:val="center"/>
            <w:hideMark/>
          </w:tcPr>
          <w:p w14:paraId="3AF893ED"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33,000</w:t>
            </w:r>
          </w:p>
        </w:tc>
        <w:tc>
          <w:tcPr>
            <w:tcW w:w="880" w:type="dxa"/>
            <w:tcBorders>
              <w:top w:val="nil"/>
              <w:left w:val="nil"/>
              <w:bottom w:val="single" w:sz="8" w:space="0" w:color="auto"/>
              <w:right w:val="single" w:sz="8" w:space="0" w:color="auto"/>
            </w:tcBorders>
            <w:shd w:val="clear" w:color="auto" w:fill="auto"/>
            <w:noWrap/>
            <w:vAlign w:val="center"/>
            <w:hideMark/>
          </w:tcPr>
          <w:p w14:paraId="6D4FB7B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33,684</w:t>
            </w:r>
          </w:p>
        </w:tc>
      </w:tr>
      <w:tr w:rsidR="00F37F6D" w:rsidRPr="00F37F6D" w14:paraId="284DD73D"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C8290B4"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Innkeepers, Hotel Keepers, Publicans</w:t>
            </w:r>
          </w:p>
        </w:tc>
        <w:tc>
          <w:tcPr>
            <w:tcW w:w="880" w:type="dxa"/>
            <w:tcBorders>
              <w:top w:val="nil"/>
              <w:left w:val="nil"/>
              <w:bottom w:val="single" w:sz="8" w:space="0" w:color="auto"/>
              <w:right w:val="single" w:sz="8" w:space="0" w:color="auto"/>
            </w:tcBorders>
            <w:shd w:val="clear" w:color="auto" w:fill="auto"/>
            <w:noWrap/>
            <w:vAlign w:val="center"/>
            <w:hideMark/>
          </w:tcPr>
          <w:p w14:paraId="17F63058"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28,433</w:t>
            </w:r>
          </w:p>
        </w:tc>
        <w:tc>
          <w:tcPr>
            <w:tcW w:w="880" w:type="dxa"/>
            <w:tcBorders>
              <w:top w:val="nil"/>
              <w:left w:val="nil"/>
              <w:bottom w:val="single" w:sz="8" w:space="0" w:color="auto"/>
              <w:right w:val="single" w:sz="8" w:space="0" w:color="auto"/>
            </w:tcBorders>
            <w:shd w:val="clear" w:color="auto" w:fill="auto"/>
            <w:noWrap/>
            <w:vAlign w:val="center"/>
            <w:hideMark/>
          </w:tcPr>
          <w:p w14:paraId="5AA9697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28,090</w:t>
            </w:r>
          </w:p>
        </w:tc>
        <w:tc>
          <w:tcPr>
            <w:tcW w:w="880" w:type="dxa"/>
            <w:tcBorders>
              <w:top w:val="nil"/>
              <w:left w:val="nil"/>
              <w:bottom w:val="single" w:sz="8" w:space="0" w:color="auto"/>
              <w:right w:val="single" w:sz="8" w:space="0" w:color="auto"/>
            </w:tcBorders>
            <w:shd w:val="clear" w:color="auto" w:fill="auto"/>
            <w:noWrap/>
            <w:vAlign w:val="center"/>
            <w:hideMark/>
          </w:tcPr>
          <w:p w14:paraId="3040281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28,776</w:t>
            </w:r>
          </w:p>
        </w:tc>
      </w:tr>
      <w:tr w:rsidR="00F37F6D" w:rsidRPr="00F37F6D" w14:paraId="3994CB3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D47087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Hawkers, Hucksters, </w:t>
            </w:r>
            <w:proofErr w:type="spellStart"/>
            <w:r w:rsidRPr="00F37F6D">
              <w:rPr>
                <w:rFonts w:eastAsia="Times New Roman" w:cs="Times New Roman"/>
                <w:color w:val="000000"/>
                <w:szCs w:val="24"/>
                <w:lang w:eastAsia="en-GB"/>
              </w:rPr>
              <w:t>Costers</w:t>
            </w:r>
            <w:proofErr w:type="spellEnd"/>
          </w:p>
        </w:tc>
        <w:tc>
          <w:tcPr>
            <w:tcW w:w="880" w:type="dxa"/>
            <w:tcBorders>
              <w:top w:val="nil"/>
              <w:left w:val="nil"/>
              <w:bottom w:val="single" w:sz="8" w:space="0" w:color="auto"/>
              <w:right w:val="single" w:sz="8" w:space="0" w:color="auto"/>
            </w:tcBorders>
            <w:shd w:val="clear" w:color="auto" w:fill="auto"/>
            <w:noWrap/>
            <w:vAlign w:val="center"/>
            <w:hideMark/>
          </w:tcPr>
          <w:p w14:paraId="391BA34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28,383</w:t>
            </w:r>
          </w:p>
        </w:tc>
        <w:tc>
          <w:tcPr>
            <w:tcW w:w="880" w:type="dxa"/>
            <w:tcBorders>
              <w:top w:val="nil"/>
              <w:left w:val="nil"/>
              <w:bottom w:val="single" w:sz="8" w:space="0" w:color="auto"/>
              <w:right w:val="single" w:sz="8" w:space="0" w:color="auto"/>
            </w:tcBorders>
            <w:shd w:val="clear" w:color="auto" w:fill="auto"/>
            <w:noWrap/>
            <w:vAlign w:val="center"/>
            <w:hideMark/>
          </w:tcPr>
          <w:p w14:paraId="7452C40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28,031</w:t>
            </w:r>
          </w:p>
        </w:tc>
        <w:tc>
          <w:tcPr>
            <w:tcW w:w="880" w:type="dxa"/>
            <w:tcBorders>
              <w:top w:val="nil"/>
              <w:left w:val="nil"/>
              <w:bottom w:val="single" w:sz="8" w:space="0" w:color="auto"/>
              <w:right w:val="single" w:sz="8" w:space="0" w:color="auto"/>
            </w:tcBorders>
            <w:shd w:val="clear" w:color="auto" w:fill="auto"/>
            <w:noWrap/>
            <w:vAlign w:val="center"/>
            <w:hideMark/>
          </w:tcPr>
          <w:p w14:paraId="26377BC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28,736</w:t>
            </w:r>
          </w:p>
        </w:tc>
      </w:tr>
      <w:tr w:rsidR="00F37F6D" w:rsidRPr="00F37F6D" w14:paraId="47544784"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C45378E"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Grocers, Tea Dealers</w:t>
            </w:r>
          </w:p>
        </w:tc>
        <w:tc>
          <w:tcPr>
            <w:tcW w:w="880" w:type="dxa"/>
            <w:tcBorders>
              <w:top w:val="nil"/>
              <w:left w:val="nil"/>
              <w:bottom w:val="single" w:sz="8" w:space="0" w:color="auto"/>
              <w:right w:val="single" w:sz="8" w:space="0" w:color="auto"/>
            </w:tcBorders>
            <w:shd w:val="clear" w:color="auto" w:fill="auto"/>
            <w:noWrap/>
            <w:vAlign w:val="center"/>
            <w:hideMark/>
          </w:tcPr>
          <w:p w14:paraId="2671010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25,749</w:t>
            </w:r>
          </w:p>
        </w:tc>
        <w:tc>
          <w:tcPr>
            <w:tcW w:w="880" w:type="dxa"/>
            <w:tcBorders>
              <w:top w:val="nil"/>
              <w:left w:val="nil"/>
              <w:bottom w:val="single" w:sz="8" w:space="0" w:color="auto"/>
              <w:right w:val="single" w:sz="8" w:space="0" w:color="auto"/>
            </w:tcBorders>
            <w:shd w:val="clear" w:color="auto" w:fill="auto"/>
            <w:noWrap/>
            <w:vAlign w:val="center"/>
            <w:hideMark/>
          </w:tcPr>
          <w:p w14:paraId="5840429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25,447</w:t>
            </w:r>
          </w:p>
        </w:tc>
        <w:tc>
          <w:tcPr>
            <w:tcW w:w="880" w:type="dxa"/>
            <w:tcBorders>
              <w:top w:val="nil"/>
              <w:left w:val="nil"/>
              <w:bottom w:val="single" w:sz="8" w:space="0" w:color="auto"/>
              <w:right w:val="single" w:sz="8" w:space="0" w:color="auto"/>
            </w:tcBorders>
            <w:shd w:val="clear" w:color="auto" w:fill="auto"/>
            <w:noWrap/>
            <w:vAlign w:val="center"/>
            <w:hideMark/>
          </w:tcPr>
          <w:p w14:paraId="3447F37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26,051</w:t>
            </w:r>
          </w:p>
        </w:tc>
      </w:tr>
      <w:tr w:rsidR="00F37F6D" w:rsidRPr="00F37F6D" w14:paraId="4B3E2A0C"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74875A3"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 xml:space="preserve">General Shopkeepers Dealers </w:t>
            </w:r>
          </w:p>
        </w:tc>
        <w:tc>
          <w:tcPr>
            <w:tcW w:w="880" w:type="dxa"/>
            <w:tcBorders>
              <w:top w:val="nil"/>
              <w:left w:val="nil"/>
              <w:bottom w:val="single" w:sz="8" w:space="0" w:color="auto"/>
              <w:right w:val="single" w:sz="8" w:space="0" w:color="auto"/>
            </w:tcBorders>
            <w:shd w:val="clear" w:color="auto" w:fill="auto"/>
            <w:noWrap/>
            <w:vAlign w:val="center"/>
            <w:hideMark/>
          </w:tcPr>
          <w:p w14:paraId="01D5AA2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20,625</w:t>
            </w:r>
          </w:p>
        </w:tc>
        <w:tc>
          <w:tcPr>
            <w:tcW w:w="880" w:type="dxa"/>
            <w:tcBorders>
              <w:top w:val="nil"/>
              <w:left w:val="nil"/>
              <w:bottom w:val="single" w:sz="8" w:space="0" w:color="auto"/>
              <w:right w:val="single" w:sz="8" w:space="0" w:color="auto"/>
            </w:tcBorders>
            <w:shd w:val="clear" w:color="auto" w:fill="auto"/>
            <w:noWrap/>
            <w:vAlign w:val="center"/>
            <w:hideMark/>
          </w:tcPr>
          <w:p w14:paraId="7CEDA65B"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20,345</w:t>
            </w:r>
          </w:p>
        </w:tc>
        <w:tc>
          <w:tcPr>
            <w:tcW w:w="880" w:type="dxa"/>
            <w:tcBorders>
              <w:top w:val="nil"/>
              <w:left w:val="nil"/>
              <w:bottom w:val="single" w:sz="8" w:space="0" w:color="auto"/>
              <w:right w:val="single" w:sz="8" w:space="0" w:color="auto"/>
            </w:tcBorders>
            <w:shd w:val="clear" w:color="auto" w:fill="auto"/>
            <w:noWrap/>
            <w:vAlign w:val="center"/>
            <w:hideMark/>
          </w:tcPr>
          <w:p w14:paraId="4413EB7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20,904</w:t>
            </w:r>
          </w:p>
        </w:tc>
      </w:tr>
      <w:tr w:rsidR="00F37F6D" w:rsidRPr="00F37F6D" w14:paraId="576B7AD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ADFF011"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Greengrocers Fruiterers Potato Dealers</w:t>
            </w:r>
          </w:p>
        </w:tc>
        <w:tc>
          <w:tcPr>
            <w:tcW w:w="880" w:type="dxa"/>
            <w:tcBorders>
              <w:top w:val="nil"/>
              <w:left w:val="nil"/>
              <w:bottom w:val="single" w:sz="8" w:space="0" w:color="auto"/>
              <w:right w:val="single" w:sz="8" w:space="0" w:color="auto"/>
            </w:tcBorders>
            <w:shd w:val="clear" w:color="auto" w:fill="auto"/>
            <w:noWrap/>
            <w:vAlign w:val="center"/>
            <w:hideMark/>
          </w:tcPr>
          <w:p w14:paraId="6C09909E"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20,563</w:t>
            </w:r>
          </w:p>
        </w:tc>
        <w:tc>
          <w:tcPr>
            <w:tcW w:w="880" w:type="dxa"/>
            <w:tcBorders>
              <w:top w:val="nil"/>
              <w:left w:val="nil"/>
              <w:bottom w:val="single" w:sz="8" w:space="0" w:color="auto"/>
              <w:right w:val="single" w:sz="8" w:space="0" w:color="auto"/>
            </w:tcBorders>
            <w:shd w:val="clear" w:color="auto" w:fill="auto"/>
            <w:noWrap/>
            <w:vAlign w:val="center"/>
            <w:hideMark/>
          </w:tcPr>
          <w:p w14:paraId="45FDF27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20,289</w:t>
            </w:r>
          </w:p>
        </w:tc>
        <w:tc>
          <w:tcPr>
            <w:tcW w:w="880" w:type="dxa"/>
            <w:tcBorders>
              <w:top w:val="nil"/>
              <w:left w:val="nil"/>
              <w:bottom w:val="single" w:sz="8" w:space="0" w:color="auto"/>
              <w:right w:val="single" w:sz="8" w:space="0" w:color="auto"/>
            </w:tcBorders>
            <w:shd w:val="clear" w:color="auto" w:fill="auto"/>
            <w:noWrap/>
            <w:vAlign w:val="center"/>
            <w:hideMark/>
          </w:tcPr>
          <w:p w14:paraId="3A4A820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20,838</w:t>
            </w:r>
          </w:p>
        </w:tc>
      </w:tr>
      <w:tr w:rsidR="00F37F6D" w:rsidRPr="00F37F6D" w14:paraId="36125BC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153A52D"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Butchers and Meat Salesmen</w:t>
            </w:r>
          </w:p>
        </w:tc>
        <w:tc>
          <w:tcPr>
            <w:tcW w:w="880" w:type="dxa"/>
            <w:tcBorders>
              <w:top w:val="nil"/>
              <w:left w:val="nil"/>
              <w:bottom w:val="single" w:sz="8" w:space="0" w:color="auto"/>
              <w:right w:val="single" w:sz="8" w:space="0" w:color="auto"/>
            </w:tcBorders>
            <w:shd w:val="clear" w:color="auto" w:fill="auto"/>
            <w:noWrap/>
            <w:vAlign w:val="center"/>
            <w:hideMark/>
          </w:tcPr>
          <w:p w14:paraId="10F495DA"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17,940</w:t>
            </w:r>
          </w:p>
        </w:tc>
        <w:tc>
          <w:tcPr>
            <w:tcW w:w="880" w:type="dxa"/>
            <w:tcBorders>
              <w:top w:val="nil"/>
              <w:left w:val="nil"/>
              <w:bottom w:val="single" w:sz="8" w:space="0" w:color="auto"/>
              <w:right w:val="single" w:sz="8" w:space="0" w:color="auto"/>
            </w:tcBorders>
            <w:shd w:val="clear" w:color="auto" w:fill="auto"/>
            <w:noWrap/>
            <w:vAlign w:val="center"/>
            <w:hideMark/>
          </w:tcPr>
          <w:p w14:paraId="12259242"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17,683</w:t>
            </w:r>
          </w:p>
        </w:tc>
        <w:tc>
          <w:tcPr>
            <w:tcW w:w="880" w:type="dxa"/>
            <w:tcBorders>
              <w:top w:val="nil"/>
              <w:left w:val="nil"/>
              <w:bottom w:val="single" w:sz="8" w:space="0" w:color="auto"/>
              <w:right w:val="single" w:sz="8" w:space="0" w:color="auto"/>
            </w:tcBorders>
            <w:shd w:val="clear" w:color="auto" w:fill="auto"/>
            <w:noWrap/>
            <w:vAlign w:val="center"/>
            <w:hideMark/>
          </w:tcPr>
          <w:p w14:paraId="46689B15"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18,198</w:t>
            </w:r>
          </w:p>
        </w:tc>
      </w:tr>
      <w:tr w:rsidR="00F37F6D" w:rsidRPr="00F37F6D" w14:paraId="70DFA95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958CC3E"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Carpenter, Joiner</w:t>
            </w:r>
          </w:p>
        </w:tc>
        <w:tc>
          <w:tcPr>
            <w:tcW w:w="880" w:type="dxa"/>
            <w:tcBorders>
              <w:top w:val="nil"/>
              <w:left w:val="nil"/>
              <w:bottom w:val="single" w:sz="8" w:space="0" w:color="auto"/>
              <w:right w:val="single" w:sz="8" w:space="0" w:color="auto"/>
            </w:tcBorders>
            <w:shd w:val="clear" w:color="auto" w:fill="auto"/>
            <w:noWrap/>
            <w:vAlign w:val="center"/>
            <w:hideMark/>
          </w:tcPr>
          <w:p w14:paraId="5EA061A1"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17,305</w:t>
            </w:r>
          </w:p>
        </w:tc>
        <w:tc>
          <w:tcPr>
            <w:tcW w:w="880" w:type="dxa"/>
            <w:tcBorders>
              <w:top w:val="nil"/>
              <w:left w:val="nil"/>
              <w:bottom w:val="single" w:sz="8" w:space="0" w:color="auto"/>
              <w:right w:val="single" w:sz="8" w:space="0" w:color="auto"/>
            </w:tcBorders>
            <w:shd w:val="clear" w:color="auto" w:fill="auto"/>
            <w:noWrap/>
            <w:vAlign w:val="center"/>
            <w:hideMark/>
          </w:tcPr>
          <w:p w14:paraId="49CE481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17,050</w:t>
            </w:r>
          </w:p>
        </w:tc>
        <w:tc>
          <w:tcPr>
            <w:tcW w:w="880" w:type="dxa"/>
            <w:tcBorders>
              <w:top w:val="nil"/>
              <w:left w:val="nil"/>
              <w:bottom w:val="single" w:sz="8" w:space="0" w:color="auto"/>
              <w:right w:val="single" w:sz="8" w:space="0" w:color="auto"/>
            </w:tcBorders>
            <w:shd w:val="clear" w:color="auto" w:fill="auto"/>
            <w:noWrap/>
            <w:vAlign w:val="center"/>
            <w:hideMark/>
          </w:tcPr>
          <w:p w14:paraId="09B14639"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17,559</w:t>
            </w:r>
          </w:p>
        </w:tc>
      </w:tr>
      <w:tr w:rsidR="00F37F6D" w:rsidRPr="00F37F6D" w14:paraId="56A4F21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F701DA9" w14:textId="77777777" w:rsidR="00F37F6D" w:rsidRPr="00F37F6D" w:rsidRDefault="00F37F6D" w:rsidP="00F37F6D">
            <w:pPr>
              <w:rPr>
                <w:rFonts w:eastAsia="Times New Roman" w:cs="Times New Roman"/>
                <w:color w:val="000000"/>
                <w:szCs w:val="24"/>
                <w:lang w:eastAsia="en-GB"/>
              </w:rPr>
            </w:pPr>
            <w:r w:rsidRPr="00F37F6D">
              <w:rPr>
                <w:rFonts w:eastAsia="Times New Roman" w:cs="Times New Roman"/>
                <w:color w:val="000000"/>
                <w:szCs w:val="24"/>
                <w:lang w:eastAsia="en-GB"/>
              </w:rPr>
              <w:t>Other Gardeners (not domestic)</w:t>
            </w:r>
          </w:p>
        </w:tc>
        <w:tc>
          <w:tcPr>
            <w:tcW w:w="880" w:type="dxa"/>
            <w:tcBorders>
              <w:top w:val="nil"/>
              <w:left w:val="nil"/>
              <w:bottom w:val="single" w:sz="8" w:space="0" w:color="auto"/>
              <w:right w:val="single" w:sz="8" w:space="0" w:color="auto"/>
            </w:tcBorders>
            <w:shd w:val="clear" w:color="auto" w:fill="auto"/>
            <w:noWrap/>
            <w:vAlign w:val="center"/>
            <w:hideMark/>
          </w:tcPr>
          <w:p w14:paraId="1B2EB8EF"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15,193</w:t>
            </w:r>
          </w:p>
        </w:tc>
        <w:tc>
          <w:tcPr>
            <w:tcW w:w="880" w:type="dxa"/>
            <w:tcBorders>
              <w:top w:val="nil"/>
              <w:left w:val="nil"/>
              <w:bottom w:val="single" w:sz="8" w:space="0" w:color="auto"/>
              <w:right w:val="single" w:sz="8" w:space="0" w:color="auto"/>
            </w:tcBorders>
            <w:shd w:val="clear" w:color="auto" w:fill="auto"/>
            <w:noWrap/>
            <w:vAlign w:val="center"/>
            <w:hideMark/>
          </w:tcPr>
          <w:p w14:paraId="6A7968D0"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14,944</w:t>
            </w:r>
          </w:p>
        </w:tc>
        <w:tc>
          <w:tcPr>
            <w:tcW w:w="880" w:type="dxa"/>
            <w:tcBorders>
              <w:top w:val="nil"/>
              <w:left w:val="nil"/>
              <w:bottom w:val="single" w:sz="8" w:space="0" w:color="auto"/>
              <w:right w:val="single" w:sz="8" w:space="0" w:color="auto"/>
            </w:tcBorders>
            <w:shd w:val="clear" w:color="auto" w:fill="auto"/>
            <w:noWrap/>
            <w:vAlign w:val="center"/>
            <w:hideMark/>
          </w:tcPr>
          <w:p w14:paraId="4EB6D20C" w14:textId="77777777" w:rsidR="00F37F6D" w:rsidRPr="00F37F6D" w:rsidRDefault="00F37F6D" w:rsidP="00F37F6D">
            <w:pPr>
              <w:jc w:val="right"/>
              <w:rPr>
                <w:rFonts w:eastAsia="Times New Roman" w:cs="Times New Roman"/>
                <w:color w:val="000000"/>
                <w:szCs w:val="24"/>
                <w:lang w:eastAsia="en-GB"/>
              </w:rPr>
            </w:pPr>
            <w:r w:rsidRPr="00F37F6D">
              <w:rPr>
                <w:rFonts w:eastAsia="Times New Roman" w:cs="Times New Roman"/>
                <w:color w:val="000000"/>
                <w:szCs w:val="24"/>
                <w:lang w:eastAsia="en-GB"/>
              </w:rPr>
              <w:t>15,441</w:t>
            </w:r>
          </w:p>
        </w:tc>
      </w:tr>
    </w:tbl>
    <w:p w14:paraId="1C982330" w14:textId="77777777" w:rsidR="00F37F6D" w:rsidRDefault="00F37F6D" w:rsidP="00F37F6D">
      <w:pPr>
        <w:spacing w:after="200" w:line="276" w:lineRule="auto"/>
        <w:rPr>
          <w:rFonts w:ascii="Calibri" w:eastAsia="Calibri" w:hAnsi="Calibri" w:cs="Times New Roman"/>
          <w:b/>
          <w:sz w:val="22"/>
          <w:szCs w:val="24"/>
        </w:rPr>
      </w:pPr>
    </w:p>
    <w:p w14:paraId="10E782F8" w14:textId="77777777" w:rsidR="00F37F6D" w:rsidRPr="00F37F6D" w:rsidRDefault="00F37F6D" w:rsidP="00F37F6D">
      <w:pPr>
        <w:spacing w:after="200" w:line="276" w:lineRule="auto"/>
        <w:rPr>
          <w:rFonts w:eastAsia="Calibri" w:cs="Times New Roman"/>
          <w:szCs w:val="24"/>
        </w:rPr>
      </w:pPr>
      <w:proofErr w:type="gramStart"/>
      <w:r w:rsidRPr="00F37F6D">
        <w:rPr>
          <w:rFonts w:eastAsia="Calibri" w:cs="Times New Roman"/>
          <w:b/>
          <w:szCs w:val="24"/>
        </w:rPr>
        <w:t>Table 9</w:t>
      </w:r>
      <w:r w:rsidRPr="00F37F6D">
        <w:rPr>
          <w:rFonts w:eastAsia="Calibri" w:cs="Times New Roman"/>
          <w:szCs w:val="24"/>
        </w:rPr>
        <w:t>.</w:t>
      </w:r>
      <w:proofErr w:type="gramEnd"/>
      <w:r w:rsidRPr="00F37F6D">
        <w:rPr>
          <w:rFonts w:eastAsia="Calibri" w:cs="Times New Roman"/>
          <w:szCs w:val="24"/>
        </w:rPr>
        <w:t xml:space="preserve"> Evolution of male own account numbers with confidence bounds for the 10 most frequently occurring male sectors</w:t>
      </w:r>
    </w:p>
    <w:p w14:paraId="47D4A2BC" w14:textId="77777777" w:rsidR="00F37F6D" w:rsidRDefault="00F37F6D" w:rsidP="009E7AF6">
      <w:pPr>
        <w:spacing w:line="360" w:lineRule="auto"/>
        <w:jc w:val="both"/>
        <w:rPr>
          <w:rFonts w:cs="Times New Roman"/>
          <w:szCs w:val="24"/>
        </w:rPr>
        <w:sectPr w:rsidR="00F37F6D" w:rsidSect="00F37F6D">
          <w:endnotePr>
            <w:numFmt w:val="decimal"/>
          </w:endnotePr>
          <w:pgSz w:w="16838" w:h="11906" w:orient="landscape"/>
          <w:pgMar w:top="1418" w:right="1191" w:bottom="1418" w:left="1134" w:header="709" w:footer="709" w:gutter="0"/>
          <w:cols w:space="708"/>
          <w:docGrid w:linePitch="360"/>
        </w:sectPr>
      </w:pPr>
    </w:p>
    <w:p w14:paraId="66B3D33B" w14:textId="2735ECD9" w:rsidR="001E7990" w:rsidRDefault="001E7990" w:rsidP="009E7AF6">
      <w:pPr>
        <w:spacing w:line="360" w:lineRule="auto"/>
        <w:jc w:val="both"/>
        <w:rPr>
          <w:rFonts w:cs="Times New Roman"/>
          <w:szCs w:val="24"/>
        </w:rPr>
      </w:pPr>
    </w:p>
    <w:p w14:paraId="1BBB7C3E" w14:textId="7A9EB10F" w:rsidR="007147E9" w:rsidRPr="00386970" w:rsidRDefault="001E7990" w:rsidP="009E7AF6">
      <w:pPr>
        <w:spacing w:line="360" w:lineRule="auto"/>
        <w:jc w:val="both"/>
        <w:rPr>
          <w:rFonts w:cs="Times New Roman"/>
          <w:b/>
          <w:szCs w:val="24"/>
        </w:rPr>
      </w:pPr>
      <w:r>
        <w:rPr>
          <w:rFonts w:cs="Times New Roman"/>
          <w:szCs w:val="24"/>
        </w:rPr>
        <w:t xml:space="preserve">For female employers (Table </w:t>
      </w:r>
      <w:r w:rsidR="005B4996">
        <w:rPr>
          <w:rFonts w:cs="Times New Roman"/>
          <w:szCs w:val="24"/>
        </w:rPr>
        <w:t>10</w:t>
      </w:r>
      <w:r>
        <w:rPr>
          <w:rFonts w:cs="Times New Roman"/>
          <w:szCs w:val="24"/>
        </w:rPr>
        <w:t>) farming, school propriet</w:t>
      </w:r>
      <w:r w:rsidR="00BE0DCF">
        <w:rPr>
          <w:rFonts w:cs="Times New Roman"/>
          <w:szCs w:val="24"/>
        </w:rPr>
        <w:t>resse</w:t>
      </w:r>
      <w:r>
        <w:rPr>
          <w:rFonts w:cs="Times New Roman"/>
          <w:szCs w:val="24"/>
        </w:rPr>
        <w:t>s and lodging houses grew significantly in importance, whilst dressmakers, grocers, and tailor</w:t>
      </w:r>
      <w:r w:rsidR="00BE0DCF">
        <w:rPr>
          <w:rFonts w:cs="Times New Roman"/>
          <w:szCs w:val="24"/>
        </w:rPr>
        <w:t>esse</w:t>
      </w:r>
      <w:r>
        <w:rPr>
          <w:rFonts w:cs="Times New Roman"/>
          <w:szCs w:val="24"/>
        </w:rPr>
        <w:t xml:space="preserve">s declined. However, these remained the most important groups, together with innkeepers, school </w:t>
      </w:r>
      <w:r w:rsidR="00BE0DCF">
        <w:rPr>
          <w:rFonts w:cs="Times New Roman"/>
          <w:szCs w:val="24"/>
        </w:rPr>
        <w:t>proprietresses</w:t>
      </w:r>
      <w:r>
        <w:rPr>
          <w:rFonts w:cs="Times New Roman"/>
          <w:szCs w:val="24"/>
        </w:rPr>
        <w:t xml:space="preserve">, milliners, and confectioners. These have mostly been previously recognised as important fields of female entrepreneurship (Davidoff </w:t>
      </w:r>
      <w:r w:rsidRPr="005E12C4">
        <w:rPr>
          <w:rFonts w:cs="Times New Roman"/>
          <w:szCs w:val="24"/>
        </w:rPr>
        <w:t xml:space="preserve">and Hall, </w:t>
      </w:r>
      <w:r>
        <w:rPr>
          <w:rFonts w:cs="Times New Roman"/>
          <w:szCs w:val="24"/>
        </w:rPr>
        <w:t>1997; Kay, 2009</w:t>
      </w:r>
      <w:r w:rsidR="00D12E80">
        <w:rPr>
          <w:rFonts w:cs="Times New Roman"/>
          <w:szCs w:val="24"/>
        </w:rPr>
        <w:t xml:space="preserve">; Aston and </w:t>
      </w:r>
      <w:r w:rsidR="00D12E80" w:rsidRPr="00D12E80">
        <w:rPr>
          <w:rFonts w:cs="Times New Roman"/>
          <w:szCs w:val="24"/>
        </w:rPr>
        <w:t>Di Martino, 2017</w:t>
      </w:r>
      <w:r>
        <w:rPr>
          <w:rFonts w:cs="Times New Roman"/>
          <w:szCs w:val="24"/>
        </w:rPr>
        <w:t xml:space="preserve">), but the numerical prominence of female farmers and school </w:t>
      </w:r>
      <w:r w:rsidR="00BE0DCF">
        <w:rPr>
          <w:rFonts w:cs="Times New Roman"/>
          <w:szCs w:val="24"/>
        </w:rPr>
        <w:t>proprietresses</w:t>
      </w:r>
      <w:r>
        <w:rPr>
          <w:rFonts w:cs="Times New Roman"/>
          <w:szCs w:val="24"/>
        </w:rPr>
        <w:t xml:space="preserve"> has not been given </w:t>
      </w:r>
      <w:r w:rsidR="00BE0DCF">
        <w:rPr>
          <w:rFonts w:cs="Times New Roman"/>
          <w:szCs w:val="24"/>
        </w:rPr>
        <w:t>the</w:t>
      </w:r>
      <w:r>
        <w:rPr>
          <w:rFonts w:cs="Times New Roman"/>
          <w:szCs w:val="24"/>
        </w:rPr>
        <w:t xml:space="preserve"> prominence it clearly deserves. For female own account (Table 1</w:t>
      </w:r>
      <w:r w:rsidR="005B4996">
        <w:rPr>
          <w:rFonts w:cs="Times New Roman"/>
          <w:szCs w:val="24"/>
        </w:rPr>
        <w:t>1</w:t>
      </w:r>
      <w:r>
        <w:rPr>
          <w:rFonts w:cs="Times New Roman"/>
          <w:szCs w:val="24"/>
        </w:rPr>
        <w:t>), the top three categories remained the same, reflecting the strong female development in dressmaking, laundry and lodgings, often</w:t>
      </w:r>
      <w:r w:rsidRPr="00C37FBC">
        <w:rPr>
          <w:rFonts w:cs="Times New Roman"/>
          <w:szCs w:val="24"/>
        </w:rPr>
        <w:t xml:space="preserve"> </w:t>
      </w:r>
      <w:r>
        <w:rPr>
          <w:rFonts w:cs="Times New Roman"/>
          <w:szCs w:val="24"/>
        </w:rPr>
        <w:t xml:space="preserve">exploiting their dwelling house as business premises. Beyond these, many of the maker-dealing and retail categories prominent among female employers were also common sources of female </w:t>
      </w:r>
      <w:r w:rsidR="00BE0DCF">
        <w:rPr>
          <w:rFonts w:cs="Times New Roman"/>
          <w:szCs w:val="24"/>
        </w:rPr>
        <w:t>own account</w:t>
      </w:r>
      <w:r>
        <w:rPr>
          <w:rFonts w:cs="Times New Roman"/>
          <w:szCs w:val="24"/>
        </w:rPr>
        <w:t>, with the addition of shirtmaking and seamstresses, hawking, charwomen, and more general shopkeeping. Musicians and music teachers were also common, reflecting another rapidly growing field of female professional opportunity.</w:t>
      </w:r>
      <w:r>
        <w:rPr>
          <w:rStyle w:val="EndnoteReference"/>
          <w:rFonts w:cs="Times New Roman"/>
          <w:szCs w:val="24"/>
        </w:rPr>
        <w:endnoteReference w:id="17"/>
      </w:r>
      <w:r>
        <w:rPr>
          <w:rFonts w:cs="Times New Roman"/>
          <w:b/>
          <w:szCs w:val="24"/>
        </w:rPr>
        <w:t xml:space="preserve"> </w:t>
      </w:r>
    </w:p>
    <w:p w14:paraId="79447AA2" w14:textId="31D7EE71" w:rsidR="001F2F29" w:rsidRDefault="001F2F29" w:rsidP="007D521C">
      <w:pPr>
        <w:spacing w:line="360" w:lineRule="auto"/>
        <w:jc w:val="both"/>
        <w:rPr>
          <w:rFonts w:cs="Times New Roman"/>
          <w:szCs w:val="24"/>
        </w:rPr>
        <w:sectPr w:rsidR="001F2F29" w:rsidSect="0001457C">
          <w:endnotePr>
            <w:numFmt w:val="decimal"/>
          </w:endnotePr>
          <w:pgSz w:w="11906" w:h="16838"/>
          <w:pgMar w:top="1134" w:right="1418" w:bottom="1191" w:left="1418" w:header="709" w:footer="709" w:gutter="0"/>
          <w:cols w:space="708"/>
          <w:docGrid w:linePitch="360"/>
        </w:sectPr>
      </w:pPr>
    </w:p>
    <w:p w14:paraId="72E2D924" w14:textId="77777777" w:rsidR="001F2F29" w:rsidRPr="001F2F29" w:rsidRDefault="001F2F29" w:rsidP="001F2F29">
      <w:pPr>
        <w:spacing w:after="160" w:line="360" w:lineRule="auto"/>
        <w:jc w:val="both"/>
        <w:rPr>
          <w:rFonts w:ascii="Calibri" w:eastAsia="Calibri" w:hAnsi="Calibri" w:cs="Times New Roman"/>
          <w:sz w:val="22"/>
          <w:szCs w:val="24"/>
        </w:rPr>
      </w:pPr>
    </w:p>
    <w:tbl>
      <w:tblPr>
        <w:tblW w:w="13000" w:type="dxa"/>
        <w:tblInd w:w="-10" w:type="dxa"/>
        <w:tblLook w:val="04A0" w:firstRow="1" w:lastRow="0" w:firstColumn="1" w:lastColumn="0" w:noHBand="0" w:noVBand="1"/>
      </w:tblPr>
      <w:tblGrid>
        <w:gridCol w:w="3600"/>
        <w:gridCol w:w="880"/>
        <w:gridCol w:w="880"/>
        <w:gridCol w:w="880"/>
        <w:gridCol w:w="3860"/>
        <w:gridCol w:w="980"/>
        <w:gridCol w:w="960"/>
        <w:gridCol w:w="960"/>
      </w:tblGrid>
      <w:tr w:rsidR="001F2F29" w:rsidRPr="001F2F29" w14:paraId="526346FE" w14:textId="77777777" w:rsidTr="00874EE0">
        <w:trPr>
          <w:trHeight w:val="330"/>
        </w:trPr>
        <w:tc>
          <w:tcPr>
            <w:tcW w:w="6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B137BD"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t>1891</w:t>
            </w:r>
          </w:p>
        </w:tc>
        <w:tc>
          <w:tcPr>
            <w:tcW w:w="6760" w:type="dxa"/>
            <w:gridSpan w:val="4"/>
            <w:tcBorders>
              <w:top w:val="single" w:sz="8" w:space="0" w:color="auto"/>
              <w:left w:val="nil"/>
              <w:bottom w:val="single" w:sz="8" w:space="0" w:color="auto"/>
              <w:right w:val="single" w:sz="8" w:space="0" w:color="000000"/>
            </w:tcBorders>
            <w:shd w:val="clear" w:color="auto" w:fill="auto"/>
            <w:vAlign w:val="center"/>
            <w:hideMark/>
          </w:tcPr>
          <w:p w14:paraId="40B3F24D"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t>1901</w:t>
            </w:r>
          </w:p>
        </w:tc>
      </w:tr>
      <w:tr w:rsidR="001F2F29" w:rsidRPr="001F2F29" w14:paraId="239D23F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5A76201"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880" w:type="dxa"/>
            <w:tcBorders>
              <w:top w:val="nil"/>
              <w:left w:val="nil"/>
              <w:bottom w:val="single" w:sz="8" w:space="0" w:color="auto"/>
              <w:right w:val="single" w:sz="8" w:space="0" w:color="auto"/>
            </w:tcBorders>
            <w:shd w:val="clear" w:color="auto" w:fill="auto"/>
            <w:vAlign w:val="center"/>
            <w:hideMark/>
          </w:tcPr>
          <w:p w14:paraId="41679123"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880" w:type="dxa"/>
            <w:tcBorders>
              <w:top w:val="nil"/>
              <w:left w:val="nil"/>
              <w:bottom w:val="single" w:sz="8" w:space="0" w:color="auto"/>
              <w:right w:val="single" w:sz="8" w:space="0" w:color="auto"/>
            </w:tcBorders>
            <w:shd w:val="clear" w:color="auto" w:fill="auto"/>
            <w:vAlign w:val="center"/>
            <w:hideMark/>
          </w:tcPr>
          <w:p w14:paraId="3D37BE36"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880" w:type="dxa"/>
            <w:tcBorders>
              <w:top w:val="nil"/>
              <w:left w:val="nil"/>
              <w:bottom w:val="single" w:sz="8" w:space="0" w:color="auto"/>
              <w:right w:val="single" w:sz="8" w:space="0" w:color="auto"/>
            </w:tcBorders>
            <w:shd w:val="clear" w:color="auto" w:fill="auto"/>
            <w:vAlign w:val="center"/>
            <w:hideMark/>
          </w:tcPr>
          <w:p w14:paraId="1E88F6EF"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c>
          <w:tcPr>
            <w:tcW w:w="3860" w:type="dxa"/>
            <w:tcBorders>
              <w:top w:val="nil"/>
              <w:left w:val="nil"/>
              <w:bottom w:val="single" w:sz="8" w:space="0" w:color="auto"/>
              <w:right w:val="single" w:sz="8" w:space="0" w:color="auto"/>
            </w:tcBorders>
            <w:shd w:val="clear" w:color="auto" w:fill="auto"/>
            <w:vAlign w:val="center"/>
            <w:hideMark/>
          </w:tcPr>
          <w:p w14:paraId="0775F616"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980" w:type="dxa"/>
            <w:tcBorders>
              <w:top w:val="nil"/>
              <w:left w:val="nil"/>
              <w:bottom w:val="single" w:sz="8" w:space="0" w:color="auto"/>
              <w:right w:val="single" w:sz="8" w:space="0" w:color="auto"/>
            </w:tcBorders>
            <w:shd w:val="clear" w:color="auto" w:fill="auto"/>
            <w:vAlign w:val="center"/>
            <w:hideMark/>
          </w:tcPr>
          <w:p w14:paraId="536E5380"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960" w:type="dxa"/>
            <w:tcBorders>
              <w:top w:val="nil"/>
              <w:left w:val="nil"/>
              <w:bottom w:val="single" w:sz="8" w:space="0" w:color="auto"/>
              <w:right w:val="single" w:sz="8" w:space="0" w:color="auto"/>
            </w:tcBorders>
            <w:shd w:val="clear" w:color="auto" w:fill="auto"/>
            <w:vAlign w:val="center"/>
            <w:hideMark/>
          </w:tcPr>
          <w:p w14:paraId="4A864777"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960" w:type="dxa"/>
            <w:tcBorders>
              <w:top w:val="nil"/>
              <w:left w:val="nil"/>
              <w:bottom w:val="single" w:sz="8" w:space="0" w:color="auto"/>
              <w:right w:val="single" w:sz="8" w:space="0" w:color="auto"/>
            </w:tcBorders>
            <w:shd w:val="clear" w:color="auto" w:fill="auto"/>
            <w:vAlign w:val="center"/>
            <w:hideMark/>
          </w:tcPr>
          <w:p w14:paraId="1C7084A3"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r>
      <w:tr w:rsidR="001F2F29" w:rsidRPr="001F2F29" w14:paraId="3A9C7816"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E7A019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880" w:type="dxa"/>
            <w:tcBorders>
              <w:top w:val="nil"/>
              <w:left w:val="nil"/>
              <w:bottom w:val="single" w:sz="8" w:space="0" w:color="auto"/>
              <w:right w:val="single" w:sz="8" w:space="0" w:color="auto"/>
            </w:tcBorders>
            <w:shd w:val="clear" w:color="auto" w:fill="auto"/>
            <w:noWrap/>
            <w:vAlign w:val="center"/>
            <w:hideMark/>
          </w:tcPr>
          <w:p w14:paraId="099BDA8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10,248</w:t>
            </w:r>
          </w:p>
        </w:tc>
        <w:tc>
          <w:tcPr>
            <w:tcW w:w="880" w:type="dxa"/>
            <w:tcBorders>
              <w:top w:val="nil"/>
              <w:left w:val="nil"/>
              <w:bottom w:val="single" w:sz="8" w:space="0" w:color="auto"/>
              <w:right w:val="single" w:sz="8" w:space="0" w:color="auto"/>
            </w:tcBorders>
            <w:shd w:val="clear" w:color="auto" w:fill="auto"/>
            <w:noWrap/>
            <w:vAlign w:val="center"/>
            <w:hideMark/>
          </w:tcPr>
          <w:p w14:paraId="3B1BD46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10,068</w:t>
            </w:r>
          </w:p>
        </w:tc>
        <w:tc>
          <w:tcPr>
            <w:tcW w:w="880" w:type="dxa"/>
            <w:tcBorders>
              <w:top w:val="nil"/>
              <w:left w:val="nil"/>
              <w:bottom w:val="single" w:sz="8" w:space="0" w:color="auto"/>
              <w:right w:val="single" w:sz="8" w:space="0" w:color="auto"/>
            </w:tcBorders>
            <w:shd w:val="clear" w:color="auto" w:fill="auto"/>
            <w:noWrap/>
            <w:vAlign w:val="center"/>
            <w:hideMark/>
          </w:tcPr>
          <w:p w14:paraId="35B1097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10,429</w:t>
            </w:r>
          </w:p>
        </w:tc>
        <w:tc>
          <w:tcPr>
            <w:tcW w:w="3860" w:type="dxa"/>
            <w:tcBorders>
              <w:top w:val="nil"/>
              <w:left w:val="nil"/>
              <w:bottom w:val="single" w:sz="8" w:space="0" w:color="auto"/>
              <w:right w:val="single" w:sz="8" w:space="0" w:color="auto"/>
            </w:tcBorders>
            <w:shd w:val="clear" w:color="auto" w:fill="auto"/>
            <w:noWrap/>
            <w:vAlign w:val="center"/>
            <w:hideMark/>
          </w:tcPr>
          <w:p w14:paraId="63C569C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Farmers, Graziers</w:t>
            </w:r>
          </w:p>
        </w:tc>
        <w:tc>
          <w:tcPr>
            <w:tcW w:w="980" w:type="dxa"/>
            <w:tcBorders>
              <w:top w:val="nil"/>
              <w:left w:val="nil"/>
              <w:bottom w:val="single" w:sz="8" w:space="0" w:color="auto"/>
              <w:right w:val="single" w:sz="8" w:space="0" w:color="auto"/>
            </w:tcBorders>
            <w:shd w:val="clear" w:color="auto" w:fill="auto"/>
            <w:noWrap/>
            <w:vAlign w:val="center"/>
            <w:hideMark/>
          </w:tcPr>
          <w:p w14:paraId="2777FD0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12,540</w:t>
            </w:r>
          </w:p>
        </w:tc>
        <w:tc>
          <w:tcPr>
            <w:tcW w:w="960" w:type="dxa"/>
            <w:tcBorders>
              <w:top w:val="nil"/>
              <w:left w:val="nil"/>
              <w:bottom w:val="single" w:sz="8" w:space="0" w:color="auto"/>
              <w:right w:val="single" w:sz="8" w:space="0" w:color="auto"/>
            </w:tcBorders>
            <w:shd w:val="clear" w:color="auto" w:fill="auto"/>
            <w:noWrap/>
            <w:vAlign w:val="center"/>
            <w:hideMark/>
          </w:tcPr>
          <w:p w14:paraId="41334B3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12,339</w:t>
            </w:r>
          </w:p>
        </w:tc>
        <w:tc>
          <w:tcPr>
            <w:tcW w:w="960" w:type="dxa"/>
            <w:tcBorders>
              <w:top w:val="nil"/>
              <w:left w:val="nil"/>
              <w:bottom w:val="single" w:sz="8" w:space="0" w:color="auto"/>
              <w:right w:val="single" w:sz="8" w:space="0" w:color="auto"/>
            </w:tcBorders>
            <w:shd w:val="clear" w:color="auto" w:fill="auto"/>
            <w:noWrap/>
            <w:vAlign w:val="center"/>
            <w:hideMark/>
          </w:tcPr>
          <w:p w14:paraId="67DA3E7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12,741</w:t>
            </w:r>
          </w:p>
        </w:tc>
      </w:tr>
      <w:tr w:rsidR="001F2F29" w:rsidRPr="001F2F29" w14:paraId="6510441B"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FB7B7B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880" w:type="dxa"/>
            <w:tcBorders>
              <w:top w:val="nil"/>
              <w:left w:val="nil"/>
              <w:bottom w:val="single" w:sz="8" w:space="0" w:color="auto"/>
              <w:right w:val="single" w:sz="8" w:space="0" w:color="auto"/>
            </w:tcBorders>
            <w:shd w:val="clear" w:color="auto" w:fill="auto"/>
            <w:noWrap/>
            <w:vAlign w:val="center"/>
            <w:hideMark/>
          </w:tcPr>
          <w:p w14:paraId="660EB0A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8,561</w:t>
            </w:r>
          </w:p>
        </w:tc>
        <w:tc>
          <w:tcPr>
            <w:tcW w:w="880" w:type="dxa"/>
            <w:tcBorders>
              <w:top w:val="nil"/>
              <w:left w:val="nil"/>
              <w:bottom w:val="single" w:sz="8" w:space="0" w:color="auto"/>
              <w:right w:val="single" w:sz="8" w:space="0" w:color="auto"/>
            </w:tcBorders>
            <w:shd w:val="clear" w:color="auto" w:fill="auto"/>
            <w:noWrap/>
            <w:vAlign w:val="center"/>
            <w:hideMark/>
          </w:tcPr>
          <w:p w14:paraId="5C9BEF1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8,388</w:t>
            </w:r>
          </w:p>
        </w:tc>
        <w:tc>
          <w:tcPr>
            <w:tcW w:w="880" w:type="dxa"/>
            <w:tcBorders>
              <w:top w:val="nil"/>
              <w:left w:val="nil"/>
              <w:bottom w:val="single" w:sz="8" w:space="0" w:color="auto"/>
              <w:right w:val="single" w:sz="8" w:space="0" w:color="auto"/>
            </w:tcBorders>
            <w:shd w:val="clear" w:color="auto" w:fill="auto"/>
            <w:noWrap/>
            <w:vAlign w:val="center"/>
            <w:hideMark/>
          </w:tcPr>
          <w:p w14:paraId="652FA82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8,734</w:t>
            </w:r>
          </w:p>
        </w:tc>
        <w:tc>
          <w:tcPr>
            <w:tcW w:w="3860" w:type="dxa"/>
            <w:tcBorders>
              <w:top w:val="nil"/>
              <w:left w:val="nil"/>
              <w:bottom w:val="single" w:sz="8" w:space="0" w:color="auto"/>
              <w:right w:val="single" w:sz="8" w:space="0" w:color="auto"/>
            </w:tcBorders>
            <w:shd w:val="clear" w:color="auto" w:fill="auto"/>
            <w:noWrap/>
            <w:vAlign w:val="center"/>
            <w:hideMark/>
          </w:tcPr>
          <w:p w14:paraId="70520055"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980" w:type="dxa"/>
            <w:tcBorders>
              <w:top w:val="nil"/>
              <w:left w:val="nil"/>
              <w:bottom w:val="single" w:sz="8" w:space="0" w:color="auto"/>
              <w:right w:val="single" w:sz="8" w:space="0" w:color="auto"/>
            </w:tcBorders>
            <w:shd w:val="clear" w:color="auto" w:fill="auto"/>
            <w:noWrap/>
            <w:vAlign w:val="center"/>
            <w:hideMark/>
          </w:tcPr>
          <w:p w14:paraId="14E3B0D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9,673</w:t>
            </w:r>
          </w:p>
        </w:tc>
        <w:tc>
          <w:tcPr>
            <w:tcW w:w="960" w:type="dxa"/>
            <w:tcBorders>
              <w:top w:val="nil"/>
              <w:left w:val="nil"/>
              <w:bottom w:val="single" w:sz="8" w:space="0" w:color="auto"/>
              <w:right w:val="single" w:sz="8" w:space="0" w:color="auto"/>
            </w:tcBorders>
            <w:shd w:val="clear" w:color="auto" w:fill="auto"/>
            <w:noWrap/>
            <w:vAlign w:val="center"/>
            <w:hideMark/>
          </w:tcPr>
          <w:p w14:paraId="7E05156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9,504</w:t>
            </w:r>
          </w:p>
        </w:tc>
        <w:tc>
          <w:tcPr>
            <w:tcW w:w="960" w:type="dxa"/>
            <w:tcBorders>
              <w:top w:val="nil"/>
              <w:left w:val="nil"/>
              <w:bottom w:val="single" w:sz="8" w:space="0" w:color="auto"/>
              <w:right w:val="single" w:sz="8" w:space="0" w:color="auto"/>
            </w:tcBorders>
            <w:shd w:val="clear" w:color="auto" w:fill="auto"/>
            <w:noWrap/>
            <w:vAlign w:val="center"/>
            <w:hideMark/>
          </w:tcPr>
          <w:p w14:paraId="2412173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9,842</w:t>
            </w:r>
          </w:p>
        </w:tc>
      </w:tr>
      <w:tr w:rsidR="001F2F29" w:rsidRPr="001F2F29" w14:paraId="0C1430FF"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C11BE7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Farmer, Grazier</w:t>
            </w:r>
          </w:p>
        </w:tc>
        <w:tc>
          <w:tcPr>
            <w:tcW w:w="880" w:type="dxa"/>
            <w:tcBorders>
              <w:top w:val="nil"/>
              <w:left w:val="nil"/>
              <w:bottom w:val="single" w:sz="8" w:space="0" w:color="auto"/>
              <w:right w:val="single" w:sz="8" w:space="0" w:color="auto"/>
            </w:tcBorders>
            <w:shd w:val="clear" w:color="auto" w:fill="auto"/>
            <w:noWrap/>
            <w:vAlign w:val="center"/>
            <w:hideMark/>
          </w:tcPr>
          <w:p w14:paraId="0FC3A77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6,825</w:t>
            </w:r>
          </w:p>
        </w:tc>
        <w:tc>
          <w:tcPr>
            <w:tcW w:w="880" w:type="dxa"/>
            <w:tcBorders>
              <w:top w:val="nil"/>
              <w:left w:val="nil"/>
              <w:bottom w:val="single" w:sz="8" w:space="0" w:color="auto"/>
              <w:right w:val="single" w:sz="8" w:space="0" w:color="auto"/>
            </w:tcBorders>
            <w:shd w:val="clear" w:color="auto" w:fill="auto"/>
            <w:noWrap/>
            <w:vAlign w:val="center"/>
            <w:hideMark/>
          </w:tcPr>
          <w:p w14:paraId="5FFCD68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6,660</w:t>
            </w:r>
          </w:p>
        </w:tc>
        <w:tc>
          <w:tcPr>
            <w:tcW w:w="880" w:type="dxa"/>
            <w:tcBorders>
              <w:top w:val="nil"/>
              <w:left w:val="nil"/>
              <w:bottom w:val="single" w:sz="8" w:space="0" w:color="auto"/>
              <w:right w:val="single" w:sz="8" w:space="0" w:color="auto"/>
            </w:tcBorders>
            <w:shd w:val="clear" w:color="auto" w:fill="auto"/>
            <w:noWrap/>
            <w:vAlign w:val="center"/>
            <w:hideMark/>
          </w:tcPr>
          <w:p w14:paraId="01BEBF6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6,991</w:t>
            </w:r>
          </w:p>
        </w:tc>
        <w:tc>
          <w:tcPr>
            <w:tcW w:w="3860" w:type="dxa"/>
            <w:tcBorders>
              <w:top w:val="nil"/>
              <w:left w:val="nil"/>
              <w:bottom w:val="single" w:sz="8" w:space="0" w:color="auto"/>
              <w:right w:val="single" w:sz="8" w:space="0" w:color="auto"/>
            </w:tcBorders>
            <w:shd w:val="clear" w:color="auto" w:fill="auto"/>
            <w:noWrap/>
            <w:vAlign w:val="center"/>
            <w:hideMark/>
          </w:tcPr>
          <w:p w14:paraId="0DC19B6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980" w:type="dxa"/>
            <w:tcBorders>
              <w:top w:val="nil"/>
              <w:left w:val="nil"/>
              <w:bottom w:val="single" w:sz="8" w:space="0" w:color="auto"/>
              <w:right w:val="single" w:sz="8" w:space="0" w:color="auto"/>
            </w:tcBorders>
            <w:shd w:val="clear" w:color="auto" w:fill="auto"/>
            <w:noWrap/>
            <w:vAlign w:val="center"/>
            <w:hideMark/>
          </w:tcPr>
          <w:p w14:paraId="57736EB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5,447</w:t>
            </w:r>
          </w:p>
        </w:tc>
        <w:tc>
          <w:tcPr>
            <w:tcW w:w="960" w:type="dxa"/>
            <w:tcBorders>
              <w:top w:val="nil"/>
              <w:left w:val="nil"/>
              <w:bottom w:val="single" w:sz="8" w:space="0" w:color="auto"/>
              <w:right w:val="single" w:sz="8" w:space="0" w:color="auto"/>
            </w:tcBorders>
            <w:shd w:val="clear" w:color="auto" w:fill="auto"/>
            <w:noWrap/>
            <w:vAlign w:val="center"/>
            <w:hideMark/>
          </w:tcPr>
          <w:p w14:paraId="026C8C4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5,305</w:t>
            </w:r>
          </w:p>
        </w:tc>
        <w:tc>
          <w:tcPr>
            <w:tcW w:w="960" w:type="dxa"/>
            <w:tcBorders>
              <w:top w:val="nil"/>
              <w:left w:val="nil"/>
              <w:bottom w:val="single" w:sz="8" w:space="0" w:color="auto"/>
              <w:right w:val="single" w:sz="8" w:space="0" w:color="auto"/>
            </w:tcBorders>
            <w:shd w:val="clear" w:color="auto" w:fill="auto"/>
            <w:noWrap/>
            <w:vAlign w:val="center"/>
            <w:hideMark/>
          </w:tcPr>
          <w:p w14:paraId="194F239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5,589</w:t>
            </w:r>
          </w:p>
        </w:tc>
      </w:tr>
      <w:tr w:rsidR="001F2F29" w:rsidRPr="001F2F29" w14:paraId="7E29E81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DA85D6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880" w:type="dxa"/>
            <w:tcBorders>
              <w:top w:val="nil"/>
              <w:left w:val="nil"/>
              <w:bottom w:val="single" w:sz="8" w:space="0" w:color="auto"/>
              <w:right w:val="single" w:sz="8" w:space="0" w:color="auto"/>
            </w:tcBorders>
            <w:shd w:val="clear" w:color="auto" w:fill="auto"/>
            <w:noWrap/>
            <w:vAlign w:val="center"/>
            <w:hideMark/>
          </w:tcPr>
          <w:p w14:paraId="3F14568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5,221</w:t>
            </w:r>
          </w:p>
        </w:tc>
        <w:tc>
          <w:tcPr>
            <w:tcW w:w="880" w:type="dxa"/>
            <w:tcBorders>
              <w:top w:val="nil"/>
              <w:left w:val="nil"/>
              <w:bottom w:val="single" w:sz="8" w:space="0" w:color="auto"/>
              <w:right w:val="single" w:sz="8" w:space="0" w:color="auto"/>
            </w:tcBorders>
            <w:shd w:val="clear" w:color="auto" w:fill="auto"/>
            <w:noWrap/>
            <w:vAlign w:val="center"/>
            <w:hideMark/>
          </w:tcPr>
          <w:p w14:paraId="0A47E9F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5,077</w:t>
            </w:r>
          </w:p>
        </w:tc>
        <w:tc>
          <w:tcPr>
            <w:tcW w:w="880" w:type="dxa"/>
            <w:tcBorders>
              <w:top w:val="nil"/>
              <w:left w:val="nil"/>
              <w:bottom w:val="single" w:sz="8" w:space="0" w:color="auto"/>
              <w:right w:val="single" w:sz="8" w:space="0" w:color="auto"/>
            </w:tcBorders>
            <w:shd w:val="clear" w:color="auto" w:fill="auto"/>
            <w:noWrap/>
            <w:vAlign w:val="center"/>
            <w:hideMark/>
          </w:tcPr>
          <w:p w14:paraId="03E82ED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5,364</w:t>
            </w:r>
          </w:p>
        </w:tc>
        <w:tc>
          <w:tcPr>
            <w:tcW w:w="3860" w:type="dxa"/>
            <w:tcBorders>
              <w:top w:val="nil"/>
              <w:left w:val="nil"/>
              <w:bottom w:val="single" w:sz="8" w:space="0" w:color="auto"/>
              <w:right w:val="single" w:sz="8" w:space="0" w:color="auto"/>
            </w:tcBorders>
            <w:shd w:val="clear" w:color="auto" w:fill="auto"/>
            <w:noWrap/>
            <w:vAlign w:val="center"/>
            <w:hideMark/>
          </w:tcPr>
          <w:p w14:paraId="7D596363"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Schoolmasters &amp; Teachers</w:t>
            </w:r>
          </w:p>
        </w:tc>
        <w:tc>
          <w:tcPr>
            <w:tcW w:w="980" w:type="dxa"/>
            <w:tcBorders>
              <w:top w:val="nil"/>
              <w:left w:val="nil"/>
              <w:bottom w:val="single" w:sz="8" w:space="0" w:color="auto"/>
              <w:right w:val="single" w:sz="8" w:space="0" w:color="auto"/>
            </w:tcBorders>
            <w:shd w:val="clear" w:color="auto" w:fill="auto"/>
            <w:noWrap/>
            <w:vAlign w:val="center"/>
            <w:hideMark/>
          </w:tcPr>
          <w:p w14:paraId="6946CE2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3,116</w:t>
            </w:r>
          </w:p>
        </w:tc>
        <w:tc>
          <w:tcPr>
            <w:tcW w:w="960" w:type="dxa"/>
            <w:tcBorders>
              <w:top w:val="nil"/>
              <w:left w:val="nil"/>
              <w:bottom w:val="single" w:sz="8" w:space="0" w:color="auto"/>
              <w:right w:val="single" w:sz="8" w:space="0" w:color="auto"/>
            </w:tcBorders>
            <w:shd w:val="clear" w:color="auto" w:fill="auto"/>
            <w:noWrap/>
            <w:vAlign w:val="center"/>
            <w:hideMark/>
          </w:tcPr>
          <w:p w14:paraId="5C5F1A9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2,972</w:t>
            </w:r>
          </w:p>
        </w:tc>
        <w:tc>
          <w:tcPr>
            <w:tcW w:w="960" w:type="dxa"/>
            <w:tcBorders>
              <w:top w:val="nil"/>
              <w:left w:val="nil"/>
              <w:bottom w:val="single" w:sz="8" w:space="0" w:color="auto"/>
              <w:right w:val="single" w:sz="8" w:space="0" w:color="auto"/>
            </w:tcBorders>
            <w:shd w:val="clear" w:color="auto" w:fill="auto"/>
            <w:noWrap/>
            <w:vAlign w:val="center"/>
            <w:hideMark/>
          </w:tcPr>
          <w:p w14:paraId="478CC33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3,261</w:t>
            </w:r>
          </w:p>
        </w:tc>
      </w:tr>
      <w:tr w:rsidR="001F2F29" w:rsidRPr="001F2F29" w14:paraId="35A4BE6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8B90B9A"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Schoolmasters &amp; Teachers </w:t>
            </w:r>
          </w:p>
        </w:tc>
        <w:tc>
          <w:tcPr>
            <w:tcW w:w="880" w:type="dxa"/>
            <w:tcBorders>
              <w:top w:val="nil"/>
              <w:left w:val="nil"/>
              <w:bottom w:val="single" w:sz="8" w:space="0" w:color="auto"/>
              <w:right w:val="single" w:sz="8" w:space="0" w:color="auto"/>
            </w:tcBorders>
            <w:shd w:val="clear" w:color="auto" w:fill="auto"/>
            <w:noWrap/>
            <w:vAlign w:val="center"/>
            <w:hideMark/>
          </w:tcPr>
          <w:p w14:paraId="5DFEDF9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3,030</w:t>
            </w:r>
          </w:p>
        </w:tc>
        <w:tc>
          <w:tcPr>
            <w:tcW w:w="880" w:type="dxa"/>
            <w:tcBorders>
              <w:top w:val="nil"/>
              <w:left w:val="nil"/>
              <w:bottom w:val="single" w:sz="8" w:space="0" w:color="auto"/>
              <w:right w:val="single" w:sz="8" w:space="0" w:color="auto"/>
            </w:tcBorders>
            <w:shd w:val="clear" w:color="auto" w:fill="auto"/>
            <w:noWrap/>
            <w:vAlign w:val="center"/>
            <w:hideMark/>
          </w:tcPr>
          <w:p w14:paraId="15D4C37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2,917</w:t>
            </w:r>
          </w:p>
        </w:tc>
        <w:tc>
          <w:tcPr>
            <w:tcW w:w="880" w:type="dxa"/>
            <w:tcBorders>
              <w:top w:val="nil"/>
              <w:left w:val="nil"/>
              <w:bottom w:val="single" w:sz="8" w:space="0" w:color="auto"/>
              <w:right w:val="single" w:sz="8" w:space="0" w:color="auto"/>
            </w:tcBorders>
            <w:shd w:val="clear" w:color="auto" w:fill="auto"/>
            <w:noWrap/>
            <w:vAlign w:val="center"/>
            <w:hideMark/>
          </w:tcPr>
          <w:p w14:paraId="1E5B0EF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3,144</w:t>
            </w:r>
          </w:p>
        </w:tc>
        <w:tc>
          <w:tcPr>
            <w:tcW w:w="3860" w:type="dxa"/>
            <w:tcBorders>
              <w:top w:val="nil"/>
              <w:left w:val="nil"/>
              <w:bottom w:val="single" w:sz="8" w:space="0" w:color="auto"/>
              <w:right w:val="single" w:sz="8" w:space="0" w:color="auto"/>
            </w:tcBorders>
            <w:shd w:val="clear" w:color="auto" w:fill="auto"/>
            <w:noWrap/>
            <w:vAlign w:val="center"/>
            <w:hideMark/>
          </w:tcPr>
          <w:p w14:paraId="2658BFD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Innkeepers, Hotel Keepers, Publicans</w:t>
            </w:r>
          </w:p>
        </w:tc>
        <w:tc>
          <w:tcPr>
            <w:tcW w:w="980" w:type="dxa"/>
            <w:tcBorders>
              <w:top w:val="nil"/>
              <w:left w:val="nil"/>
              <w:bottom w:val="single" w:sz="8" w:space="0" w:color="auto"/>
              <w:right w:val="single" w:sz="8" w:space="0" w:color="auto"/>
            </w:tcBorders>
            <w:shd w:val="clear" w:color="auto" w:fill="auto"/>
            <w:noWrap/>
            <w:vAlign w:val="center"/>
            <w:hideMark/>
          </w:tcPr>
          <w:p w14:paraId="35C46CD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2,706</w:t>
            </w:r>
          </w:p>
        </w:tc>
        <w:tc>
          <w:tcPr>
            <w:tcW w:w="960" w:type="dxa"/>
            <w:tcBorders>
              <w:top w:val="nil"/>
              <w:left w:val="nil"/>
              <w:bottom w:val="single" w:sz="8" w:space="0" w:color="auto"/>
              <w:right w:val="single" w:sz="8" w:space="0" w:color="auto"/>
            </w:tcBorders>
            <w:shd w:val="clear" w:color="auto" w:fill="auto"/>
            <w:noWrap/>
            <w:vAlign w:val="center"/>
            <w:hideMark/>
          </w:tcPr>
          <w:p w14:paraId="4B90C78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2,602</w:t>
            </w:r>
          </w:p>
        </w:tc>
        <w:tc>
          <w:tcPr>
            <w:tcW w:w="960" w:type="dxa"/>
            <w:tcBorders>
              <w:top w:val="nil"/>
              <w:left w:val="nil"/>
              <w:bottom w:val="single" w:sz="8" w:space="0" w:color="auto"/>
              <w:right w:val="single" w:sz="8" w:space="0" w:color="auto"/>
            </w:tcBorders>
            <w:shd w:val="clear" w:color="auto" w:fill="auto"/>
            <w:noWrap/>
            <w:vAlign w:val="center"/>
            <w:hideMark/>
          </w:tcPr>
          <w:p w14:paraId="0C445CB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2,811</w:t>
            </w:r>
          </w:p>
        </w:tc>
      </w:tr>
      <w:tr w:rsidR="001F2F29" w:rsidRPr="001F2F29" w14:paraId="7E848774"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C2A4A6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Innkeepers, Hotel Keepers, Publicans</w:t>
            </w:r>
          </w:p>
        </w:tc>
        <w:tc>
          <w:tcPr>
            <w:tcW w:w="880" w:type="dxa"/>
            <w:tcBorders>
              <w:top w:val="nil"/>
              <w:left w:val="nil"/>
              <w:bottom w:val="single" w:sz="8" w:space="0" w:color="auto"/>
              <w:right w:val="single" w:sz="8" w:space="0" w:color="auto"/>
            </w:tcBorders>
            <w:shd w:val="clear" w:color="auto" w:fill="auto"/>
            <w:noWrap/>
            <w:vAlign w:val="center"/>
            <w:hideMark/>
          </w:tcPr>
          <w:p w14:paraId="4D75B72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2,971</w:t>
            </w:r>
          </w:p>
        </w:tc>
        <w:tc>
          <w:tcPr>
            <w:tcW w:w="880" w:type="dxa"/>
            <w:tcBorders>
              <w:top w:val="nil"/>
              <w:left w:val="nil"/>
              <w:bottom w:val="single" w:sz="8" w:space="0" w:color="auto"/>
              <w:right w:val="single" w:sz="8" w:space="0" w:color="auto"/>
            </w:tcBorders>
            <w:shd w:val="clear" w:color="auto" w:fill="auto"/>
            <w:noWrap/>
            <w:vAlign w:val="center"/>
            <w:hideMark/>
          </w:tcPr>
          <w:p w14:paraId="3800033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2,855</w:t>
            </w:r>
          </w:p>
        </w:tc>
        <w:tc>
          <w:tcPr>
            <w:tcW w:w="880" w:type="dxa"/>
            <w:tcBorders>
              <w:top w:val="nil"/>
              <w:left w:val="nil"/>
              <w:bottom w:val="single" w:sz="8" w:space="0" w:color="auto"/>
              <w:right w:val="single" w:sz="8" w:space="0" w:color="auto"/>
            </w:tcBorders>
            <w:shd w:val="clear" w:color="auto" w:fill="auto"/>
            <w:noWrap/>
            <w:vAlign w:val="center"/>
            <w:hideMark/>
          </w:tcPr>
          <w:p w14:paraId="73877F8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3,087</w:t>
            </w:r>
          </w:p>
        </w:tc>
        <w:tc>
          <w:tcPr>
            <w:tcW w:w="3860" w:type="dxa"/>
            <w:tcBorders>
              <w:top w:val="nil"/>
              <w:left w:val="nil"/>
              <w:bottom w:val="single" w:sz="8" w:space="0" w:color="auto"/>
              <w:right w:val="single" w:sz="8" w:space="0" w:color="auto"/>
            </w:tcBorders>
            <w:shd w:val="clear" w:color="auto" w:fill="auto"/>
            <w:noWrap/>
            <w:vAlign w:val="center"/>
            <w:hideMark/>
          </w:tcPr>
          <w:p w14:paraId="30358E75"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Drapers, Linen Drapers, Mercers</w:t>
            </w:r>
          </w:p>
        </w:tc>
        <w:tc>
          <w:tcPr>
            <w:tcW w:w="980" w:type="dxa"/>
            <w:tcBorders>
              <w:top w:val="nil"/>
              <w:left w:val="nil"/>
              <w:bottom w:val="single" w:sz="8" w:space="0" w:color="auto"/>
              <w:right w:val="single" w:sz="8" w:space="0" w:color="auto"/>
            </w:tcBorders>
            <w:shd w:val="clear" w:color="auto" w:fill="auto"/>
            <w:noWrap/>
            <w:vAlign w:val="center"/>
            <w:hideMark/>
          </w:tcPr>
          <w:p w14:paraId="11A6DB9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1,980</w:t>
            </w:r>
          </w:p>
        </w:tc>
        <w:tc>
          <w:tcPr>
            <w:tcW w:w="960" w:type="dxa"/>
            <w:tcBorders>
              <w:top w:val="nil"/>
              <w:left w:val="nil"/>
              <w:bottom w:val="single" w:sz="8" w:space="0" w:color="auto"/>
              <w:right w:val="single" w:sz="8" w:space="0" w:color="auto"/>
            </w:tcBorders>
            <w:shd w:val="clear" w:color="auto" w:fill="auto"/>
            <w:noWrap/>
            <w:vAlign w:val="center"/>
            <w:hideMark/>
          </w:tcPr>
          <w:p w14:paraId="49424B4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1,892</w:t>
            </w:r>
          </w:p>
        </w:tc>
        <w:tc>
          <w:tcPr>
            <w:tcW w:w="960" w:type="dxa"/>
            <w:tcBorders>
              <w:top w:val="nil"/>
              <w:left w:val="nil"/>
              <w:bottom w:val="single" w:sz="8" w:space="0" w:color="auto"/>
              <w:right w:val="single" w:sz="8" w:space="0" w:color="auto"/>
            </w:tcBorders>
            <w:shd w:val="clear" w:color="auto" w:fill="auto"/>
            <w:noWrap/>
            <w:vAlign w:val="center"/>
            <w:hideMark/>
          </w:tcPr>
          <w:p w14:paraId="0F4FABF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2,068</w:t>
            </w:r>
          </w:p>
        </w:tc>
      </w:tr>
      <w:tr w:rsidR="001F2F29" w:rsidRPr="001F2F29" w14:paraId="10E099E6"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D4D68D9"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Milliners</w:t>
            </w:r>
          </w:p>
        </w:tc>
        <w:tc>
          <w:tcPr>
            <w:tcW w:w="880" w:type="dxa"/>
            <w:tcBorders>
              <w:top w:val="nil"/>
              <w:left w:val="nil"/>
              <w:bottom w:val="single" w:sz="8" w:space="0" w:color="auto"/>
              <w:right w:val="single" w:sz="8" w:space="0" w:color="auto"/>
            </w:tcBorders>
            <w:shd w:val="clear" w:color="auto" w:fill="auto"/>
            <w:noWrap/>
            <w:vAlign w:val="center"/>
            <w:hideMark/>
          </w:tcPr>
          <w:p w14:paraId="5DBC2279"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2,191</w:t>
            </w:r>
          </w:p>
        </w:tc>
        <w:tc>
          <w:tcPr>
            <w:tcW w:w="880" w:type="dxa"/>
            <w:tcBorders>
              <w:top w:val="nil"/>
              <w:left w:val="nil"/>
              <w:bottom w:val="single" w:sz="8" w:space="0" w:color="auto"/>
              <w:right w:val="single" w:sz="8" w:space="0" w:color="auto"/>
            </w:tcBorders>
            <w:shd w:val="clear" w:color="auto" w:fill="auto"/>
            <w:noWrap/>
            <w:vAlign w:val="center"/>
            <w:hideMark/>
          </w:tcPr>
          <w:p w14:paraId="15836D6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2,098</w:t>
            </w:r>
          </w:p>
        </w:tc>
        <w:tc>
          <w:tcPr>
            <w:tcW w:w="880" w:type="dxa"/>
            <w:tcBorders>
              <w:top w:val="nil"/>
              <w:left w:val="nil"/>
              <w:bottom w:val="single" w:sz="8" w:space="0" w:color="auto"/>
              <w:right w:val="single" w:sz="8" w:space="0" w:color="auto"/>
            </w:tcBorders>
            <w:shd w:val="clear" w:color="auto" w:fill="auto"/>
            <w:noWrap/>
            <w:vAlign w:val="center"/>
            <w:hideMark/>
          </w:tcPr>
          <w:p w14:paraId="6E08BC0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2,284</w:t>
            </w:r>
          </w:p>
        </w:tc>
        <w:tc>
          <w:tcPr>
            <w:tcW w:w="3860" w:type="dxa"/>
            <w:tcBorders>
              <w:top w:val="nil"/>
              <w:left w:val="nil"/>
              <w:bottom w:val="single" w:sz="8" w:space="0" w:color="auto"/>
              <w:right w:val="single" w:sz="8" w:space="0" w:color="auto"/>
            </w:tcBorders>
            <w:shd w:val="clear" w:color="auto" w:fill="auto"/>
            <w:noWrap/>
            <w:vAlign w:val="center"/>
            <w:hideMark/>
          </w:tcPr>
          <w:p w14:paraId="6022D19A"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Milliners</w:t>
            </w:r>
          </w:p>
        </w:tc>
        <w:tc>
          <w:tcPr>
            <w:tcW w:w="980" w:type="dxa"/>
            <w:tcBorders>
              <w:top w:val="nil"/>
              <w:left w:val="nil"/>
              <w:bottom w:val="single" w:sz="8" w:space="0" w:color="auto"/>
              <w:right w:val="single" w:sz="8" w:space="0" w:color="auto"/>
            </w:tcBorders>
            <w:shd w:val="clear" w:color="auto" w:fill="auto"/>
            <w:noWrap/>
            <w:vAlign w:val="center"/>
            <w:hideMark/>
          </w:tcPr>
          <w:p w14:paraId="32CFF87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1,642</w:t>
            </w:r>
          </w:p>
        </w:tc>
        <w:tc>
          <w:tcPr>
            <w:tcW w:w="960" w:type="dxa"/>
            <w:tcBorders>
              <w:top w:val="nil"/>
              <w:left w:val="nil"/>
              <w:bottom w:val="single" w:sz="8" w:space="0" w:color="auto"/>
              <w:right w:val="single" w:sz="8" w:space="0" w:color="auto"/>
            </w:tcBorders>
            <w:shd w:val="clear" w:color="auto" w:fill="auto"/>
            <w:noWrap/>
            <w:vAlign w:val="center"/>
            <w:hideMark/>
          </w:tcPr>
          <w:p w14:paraId="6F7B6F7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1,563</w:t>
            </w:r>
          </w:p>
        </w:tc>
        <w:tc>
          <w:tcPr>
            <w:tcW w:w="960" w:type="dxa"/>
            <w:tcBorders>
              <w:top w:val="nil"/>
              <w:left w:val="nil"/>
              <w:bottom w:val="single" w:sz="8" w:space="0" w:color="auto"/>
              <w:right w:val="single" w:sz="8" w:space="0" w:color="auto"/>
            </w:tcBorders>
            <w:shd w:val="clear" w:color="auto" w:fill="auto"/>
            <w:noWrap/>
            <w:vAlign w:val="center"/>
            <w:hideMark/>
          </w:tcPr>
          <w:p w14:paraId="6D70866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1,722</w:t>
            </w:r>
          </w:p>
        </w:tc>
      </w:tr>
      <w:tr w:rsidR="001F2F29" w:rsidRPr="001F2F29" w14:paraId="52ABED57"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37CD1DE"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Tailors </w:t>
            </w:r>
          </w:p>
        </w:tc>
        <w:tc>
          <w:tcPr>
            <w:tcW w:w="880" w:type="dxa"/>
            <w:tcBorders>
              <w:top w:val="nil"/>
              <w:left w:val="nil"/>
              <w:bottom w:val="single" w:sz="8" w:space="0" w:color="auto"/>
              <w:right w:val="single" w:sz="8" w:space="0" w:color="auto"/>
            </w:tcBorders>
            <w:shd w:val="clear" w:color="auto" w:fill="auto"/>
            <w:noWrap/>
            <w:vAlign w:val="center"/>
            <w:hideMark/>
          </w:tcPr>
          <w:p w14:paraId="368BE5C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1,985</w:t>
            </w:r>
          </w:p>
        </w:tc>
        <w:tc>
          <w:tcPr>
            <w:tcW w:w="880" w:type="dxa"/>
            <w:tcBorders>
              <w:top w:val="nil"/>
              <w:left w:val="nil"/>
              <w:bottom w:val="single" w:sz="8" w:space="0" w:color="auto"/>
              <w:right w:val="single" w:sz="8" w:space="0" w:color="auto"/>
            </w:tcBorders>
            <w:shd w:val="clear" w:color="auto" w:fill="auto"/>
            <w:noWrap/>
            <w:vAlign w:val="center"/>
            <w:hideMark/>
          </w:tcPr>
          <w:p w14:paraId="2FFBAD2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1,896</w:t>
            </w:r>
          </w:p>
        </w:tc>
        <w:tc>
          <w:tcPr>
            <w:tcW w:w="880" w:type="dxa"/>
            <w:tcBorders>
              <w:top w:val="nil"/>
              <w:left w:val="nil"/>
              <w:bottom w:val="single" w:sz="8" w:space="0" w:color="auto"/>
              <w:right w:val="single" w:sz="8" w:space="0" w:color="auto"/>
            </w:tcBorders>
            <w:shd w:val="clear" w:color="auto" w:fill="auto"/>
            <w:noWrap/>
            <w:vAlign w:val="center"/>
            <w:hideMark/>
          </w:tcPr>
          <w:p w14:paraId="652DCC0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2,074</w:t>
            </w:r>
          </w:p>
        </w:tc>
        <w:tc>
          <w:tcPr>
            <w:tcW w:w="3860" w:type="dxa"/>
            <w:tcBorders>
              <w:top w:val="nil"/>
              <w:left w:val="nil"/>
              <w:bottom w:val="single" w:sz="8" w:space="0" w:color="auto"/>
              <w:right w:val="single" w:sz="8" w:space="0" w:color="auto"/>
            </w:tcBorders>
            <w:shd w:val="clear" w:color="auto" w:fill="auto"/>
            <w:noWrap/>
            <w:vAlign w:val="center"/>
            <w:hideMark/>
          </w:tcPr>
          <w:p w14:paraId="28F8870D"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980" w:type="dxa"/>
            <w:tcBorders>
              <w:top w:val="nil"/>
              <w:left w:val="nil"/>
              <w:bottom w:val="single" w:sz="8" w:space="0" w:color="auto"/>
              <w:right w:val="single" w:sz="8" w:space="0" w:color="auto"/>
            </w:tcBorders>
            <w:shd w:val="clear" w:color="auto" w:fill="auto"/>
            <w:noWrap/>
            <w:vAlign w:val="center"/>
            <w:hideMark/>
          </w:tcPr>
          <w:p w14:paraId="6161D02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1,631</w:t>
            </w:r>
          </w:p>
        </w:tc>
        <w:tc>
          <w:tcPr>
            <w:tcW w:w="960" w:type="dxa"/>
            <w:tcBorders>
              <w:top w:val="nil"/>
              <w:left w:val="nil"/>
              <w:bottom w:val="single" w:sz="8" w:space="0" w:color="auto"/>
              <w:right w:val="single" w:sz="8" w:space="0" w:color="auto"/>
            </w:tcBorders>
            <w:shd w:val="clear" w:color="auto" w:fill="auto"/>
            <w:noWrap/>
            <w:vAlign w:val="center"/>
            <w:hideMark/>
          </w:tcPr>
          <w:p w14:paraId="007AEDC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1,552</w:t>
            </w:r>
          </w:p>
        </w:tc>
        <w:tc>
          <w:tcPr>
            <w:tcW w:w="960" w:type="dxa"/>
            <w:tcBorders>
              <w:top w:val="nil"/>
              <w:left w:val="nil"/>
              <w:bottom w:val="single" w:sz="8" w:space="0" w:color="auto"/>
              <w:right w:val="single" w:sz="8" w:space="0" w:color="auto"/>
            </w:tcBorders>
            <w:shd w:val="clear" w:color="auto" w:fill="auto"/>
            <w:noWrap/>
            <w:vAlign w:val="center"/>
            <w:hideMark/>
          </w:tcPr>
          <w:p w14:paraId="070129C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1,711</w:t>
            </w:r>
          </w:p>
        </w:tc>
      </w:tr>
      <w:tr w:rsidR="001F2F29" w:rsidRPr="001F2F29" w14:paraId="7CD668CF"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8BCFD3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Biscuit Cake Dealers (Confectioners)</w:t>
            </w:r>
          </w:p>
        </w:tc>
        <w:tc>
          <w:tcPr>
            <w:tcW w:w="880" w:type="dxa"/>
            <w:tcBorders>
              <w:top w:val="nil"/>
              <w:left w:val="nil"/>
              <w:bottom w:val="single" w:sz="8" w:space="0" w:color="auto"/>
              <w:right w:val="single" w:sz="8" w:space="0" w:color="auto"/>
            </w:tcBorders>
            <w:shd w:val="clear" w:color="auto" w:fill="auto"/>
            <w:noWrap/>
            <w:vAlign w:val="center"/>
            <w:hideMark/>
          </w:tcPr>
          <w:p w14:paraId="754BA1B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1,702</w:t>
            </w:r>
          </w:p>
        </w:tc>
        <w:tc>
          <w:tcPr>
            <w:tcW w:w="880" w:type="dxa"/>
            <w:tcBorders>
              <w:top w:val="nil"/>
              <w:left w:val="nil"/>
              <w:bottom w:val="single" w:sz="8" w:space="0" w:color="auto"/>
              <w:right w:val="single" w:sz="8" w:space="0" w:color="auto"/>
            </w:tcBorders>
            <w:shd w:val="clear" w:color="auto" w:fill="auto"/>
            <w:noWrap/>
            <w:vAlign w:val="center"/>
            <w:hideMark/>
          </w:tcPr>
          <w:p w14:paraId="7186D44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1,619</w:t>
            </w:r>
          </w:p>
        </w:tc>
        <w:tc>
          <w:tcPr>
            <w:tcW w:w="880" w:type="dxa"/>
            <w:tcBorders>
              <w:top w:val="nil"/>
              <w:left w:val="nil"/>
              <w:bottom w:val="single" w:sz="8" w:space="0" w:color="auto"/>
              <w:right w:val="single" w:sz="8" w:space="0" w:color="auto"/>
            </w:tcBorders>
            <w:shd w:val="clear" w:color="auto" w:fill="auto"/>
            <w:noWrap/>
            <w:vAlign w:val="center"/>
            <w:hideMark/>
          </w:tcPr>
          <w:p w14:paraId="5C8B4F1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1,784</w:t>
            </w:r>
          </w:p>
        </w:tc>
        <w:tc>
          <w:tcPr>
            <w:tcW w:w="3860" w:type="dxa"/>
            <w:tcBorders>
              <w:top w:val="nil"/>
              <w:left w:val="nil"/>
              <w:bottom w:val="single" w:sz="8" w:space="0" w:color="auto"/>
              <w:right w:val="single" w:sz="8" w:space="0" w:color="auto"/>
            </w:tcBorders>
            <w:shd w:val="clear" w:color="auto" w:fill="auto"/>
            <w:noWrap/>
            <w:vAlign w:val="center"/>
            <w:hideMark/>
          </w:tcPr>
          <w:p w14:paraId="6765D2F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Biscuit, Cake Dealers (Confectioners)</w:t>
            </w:r>
          </w:p>
        </w:tc>
        <w:tc>
          <w:tcPr>
            <w:tcW w:w="980" w:type="dxa"/>
            <w:tcBorders>
              <w:top w:val="nil"/>
              <w:left w:val="nil"/>
              <w:bottom w:val="single" w:sz="8" w:space="0" w:color="auto"/>
              <w:right w:val="single" w:sz="8" w:space="0" w:color="auto"/>
            </w:tcBorders>
            <w:shd w:val="clear" w:color="auto" w:fill="auto"/>
            <w:noWrap/>
            <w:vAlign w:val="center"/>
            <w:hideMark/>
          </w:tcPr>
          <w:p w14:paraId="485BFF2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1,566</w:t>
            </w:r>
          </w:p>
        </w:tc>
        <w:tc>
          <w:tcPr>
            <w:tcW w:w="960" w:type="dxa"/>
            <w:tcBorders>
              <w:top w:val="nil"/>
              <w:left w:val="nil"/>
              <w:bottom w:val="single" w:sz="8" w:space="0" w:color="auto"/>
              <w:right w:val="single" w:sz="8" w:space="0" w:color="auto"/>
            </w:tcBorders>
            <w:shd w:val="clear" w:color="auto" w:fill="auto"/>
            <w:noWrap/>
            <w:vAlign w:val="center"/>
            <w:hideMark/>
          </w:tcPr>
          <w:p w14:paraId="0C57C9A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1,489</w:t>
            </w:r>
          </w:p>
        </w:tc>
        <w:tc>
          <w:tcPr>
            <w:tcW w:w="960" w:type="dxa"/>
            <w:tcBorders>
              <w:top w:val="nil"/>
              <w:left w:val="nil"/>
              <w:bottom w:val="single" w:sz="8" w:space="0" w:color="auto"/>
              <w:right w:val="single" w:sz="8" w:space="0" w:color="auto"/>
            </w:tcBorders>
            <w:shd w:val="clear" w:color="auto" w:fill="auto"/>
            <w:noWrap/>
            <w:vAlign w:val="center"/>
            <w:hideMark/>
          </w:tcPr>
          <w:p w14:paraId="1EDF6FF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1,644</w:t>
            </w:r>
          </w:p>
        </w:tc>
      </w:tr>
      <w:tr w:rsidR="001F2F29" w:rsidRPr="001F2F29" w14:paraId="056F3EE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87FBB7E"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Drapers Linen Drapers Mercers</w:t>
            </w:r>
          </w:p>
        </w:tc>
        <w:tc>
          <w:tcPr>
            <w:tcW w:w="880" w:type="dxa"/>
            <w:tcBorders>
              <w:top w:val="nil"/>
              <w:left w:val="nil"/>
              <w:bottom w:val="single" w:sz="8" w:space="0" w:color="auto"/>
              <w:right w:val="single" w:sz="8" w:space="0" w:color="auto"/>
            </w:tcBorders>
            <w:shd w:val="clear" w:color="auto" w:fill="auto"/>
            <w:noWrap/>
            <w:vAlign w:val="center"/>
            <w:hideMark/>
          </w:tcPr>
          <w:p w14:paraId="6748B8F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1,184</w:t>
            </w:r>
          </w:p>
        </w:tc>
        <w:tc>
          <w:tcPr>
            <w:tcW w:w="880" w:type="dxa"/>
            <w:tcBorders>
              <w:top w:val="nil"/>
              <w:left w:val="nil"/>
              <w:bottom w:val="single" w:sz="8" w:space="0" w:color="auto"/>
              <w:right w:val="single" w:sz="8" w:space="0" w:color="auto"/>
            </w:tcBorders>
            <w:shd w:val="clear" w:color="auto" w:fill="auto"/>
            <w:noWrap/>
            <w:vAlign w:val="center"/>
            <w:hideMark/>
          </w:tcPr>
          <w:p w14:paraId="6BEE01E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1,116</w:t>
            </w:r>
          </w:p>
        </w:tc>
        <w:tc>
          <w:tcPr>
            <w:tcW w:w="880" w:type="dxa"/>
            <w:tcBorders>
              <w:top w:val="nil"/>
              <w:left w:val="nil"/>
              <w:bottom w:val="single" w:sz="8" w:space="0" w:color="auto"/>
              <w:right w:val="single" w:sz="8" w:space="0" w:color="auto"/>
            </w:tcBorders>
            <w:shd w:val="clear" w:color="auto" w:fill="auto"/>
            <w:noWrap/>
            <w:vAlign w:val="center"/>
            <w:hideMark/>
          </w:tcPr>
          <w:p w14:paraId="24CAD62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1,252</w:t>
            </w:r>
          </w:p>
        </w:tc>
        <w:tc>
          <w:tcPr>
            <w:tcW w:w="3860" w:type="dxa"/>
            <w:tcBorders>
              <w:top w:val="nil"/>
              <w:left w:val="nil"/>
              <w:bottom w:val="single" w:sz="8" w:space="0" w:color="auto"/>
              <w:right w:val="single" w:sz="8" w:space="0" w:color="auto"/>
            </w:tcBorders>
            <w:shd w:val="clear" w:color="auto" w:fill="auto"/>
            <w:noWrap/>
            <w:vAlign w:val="center"/>
            <w:hideMark/>
          </w:tcPr>
          <w:p w14:paraId="14865FAD"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Bakers</w:t>
            </w:r>
          </w:p>
        </w:tc>
        <w:tc>
          <w:tcPr>
            <w:tcW w:w="980" w:type="dxa"/>
            <w:tcBorders>
              <w:top w:val="nil"/>
              <w:left w:val="nil"/>
              <w:bottom w:val="single" w:sz="8" w:space="0" w:color="auto"/>
              <w:right w:val="single" w:sz="8" w:space="0" w:color="auto"/>
            </w:tcBorders>
            <w:shd w:val="clear" w:color="auto" w:fill="auto"/>
            <w:noWrap/>
            <w:vAlign w:val="center"/>
            <w:hideMark/>
          </w:tcPr>
          <w:p w14:paraId="02112A9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974</w:t>
            </w:r>
          </w:p>
        </w:tc>
        <w:tc>
          <w:tcPr>
            <w:tcW w:w="960" w:type="dxa"/>
            <w:tcBorders>
              <w:top w:val="nil"/>
              <w:left w:val="nil"/>
              <w:bottom w:val="single" w:sz="8" w:space="0" w:color="auto"/>
              <w:right w:val="single" w:sz="8" w:space="0" w:color="auto"/>
            </w:tcBorders>
            <w:shd w:val="clear" w:color="auto" w:fill="auto"/>
            <w:noWrap/>
            <w:vAlign w:val="center"/>
            <w:hideMark/>
          </w:tcPr>
          <w:p w14:paraId="679BCC4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912</w:t>
            </w:r>
          </w:p>
        </w:tc>
        <w:tc>
          <w:tcPr>
            <w:tcW w:w="960" w:type="dxa"/>
            <w:tcBorders>
              <w:top w:val="nil"/>
              <w:left w:val="nil"/>
              <w:bottom w:val="single" w:sz="8" w:space="0" w:color="auto"/>
              <w:right w:val="single" w:sz="8" w:space="0" w:color="auto"/>
            </w:tcBorders>
            <w:shd w:val="clear" w:color="auto" w:fill="auto"/>
            <w:noWrap/>
            <w:vAlign w:val="center"/>
            <w:hideMark/>
          </w:tcPr>
          <w:p w14:paraId="5EF8AF7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1,035</w:t>
            </w:r>
          </w:p>
        </w:tc>
      </w:tr>
    </w:tbl>
    <w:p w14:paraId="17CC9D8D" w14:textId="77777777" w:rsidR="001F2F29" w:rsidRPr="001F2F29" w:rsidRDefault="001F2F29" w:rsidP="001F2F29">
      <w:pPr>
        <w:spacing w:after="160" w:line="259" w:lineRule="auto"/>
        <w:rPr>
          <w:rFonts w:ascii="Calibri" w:eastAsia="Calibri" w:hAnsi="Calibri" w:cs="Times New Roman"/>
          <w:b/>
          <w:sz w:val="22"/>
        </w:rPr>
      </w:pPr>
    </w:p>
    <w:tbl>
      <w:tblPr>
        <w:tblW w:w="6240" w:type="dxa"/>
        <w:tblInd w:w="-10" w:type="dxa"/>
        <w:tblLook w:val="04A0" w:firstRow="1" w:lastRow="0" w:firstColumn="1" w:lastColumn="0" w:noHBand="0" w:noVBand="1"/>
      </w:tblPr>
      <w:tblGrid>
        <w:gridCol w:w="3600"/>
        <w:gridCol w:w="880"/>
        <w:gridCol w:w="880"/>
        <w:gridCol w:w="880"/>
      </w:tblGrid>
      <w:tr w:rsidR="001F2F29" w:rsidRPr="001F2F29" w14:paraId="61B2E895" w14:textId="77777777" w:rsidTr="00874EE0">
        <w:trPr>
          <w:trHeight w:val="285"/>
        </w:trPr>
        <w:tc>
          <w:tcPr>
            <w:tcW w:w="62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FC4F335"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t>1911</w:t>
            </w:r>
          </w:p>
        </w:tc>
      </w:tr>
      <w:tr w:rsidR="001F2F29" w:rsidRPr="001F2F29" w14:paraId="08708B0F" w14:textId="77777777" w:rsidTr="00874EE0">
        <w:trPr>
          <w:trHeight w:val="285"/>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7917C0A"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880" w:type="dxa"/>
            <w:tcBorders>
              <w:top w:val="nil"/>
              <w:left w:val="nil"/>
              <w:bottom w:val="single" w:sz="8" w:space="0" w:color="auto"/>
              <w:right w:val="single" w:sz="8" w:space="0" w:color="auto"/>
            </w:tcBorders>
            <w:shd w:val="clear" w:color="auto" w:fill="auto"/>
            <w:vAlign w:val="center"/>
            <w:hideMark/>
          </w:tcPr>
          <w:p w14:paraId="1350524B"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880" w:type="dxa"/>
            <w:tcBorders>
              <w:top w:val="nil"/>
              <w:left w:val="nil"/>
              <w:bottom w:val="single" w:sz="8" w:space="0" w:color="auto"/>
              <w:right w:val="single" w:sz="8" w:space="0" w:color="auto"/>
            </w:tcBorders>
            <w:shd w:val="clear" w:color="auto" w:fill="auto"/>
            <w:vAlign w:val="center"/>
            <w:hideMark/>
          </w:tcPr>
          <w:p w14:paraId="0B71C5BD"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880" w:type="dxa"/>
            <w:tcBorders>
              <w:top w:val="nil"/>
              <w:left w:val="nil"/>
              <w:bottom w:val="single" w:sz="8" w:space="0" w:color="auto"/>
              <w:right w:val="single" w:sz="8" w:space="0" w:color="auto"/>
            </w:tcBorders>
            <w:shd w:val="clear" w:color="auto" w:fill="auto"/>
            <w:vAlign w:val="center"/>
            <w:hideMark/>
          </w:tcPr>
          <w:p w14:paraId="26BBA9DF"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r>
      <w:tr w:rsidR="001F2F29" w:rsidRPr="001F2F29" w14:paraId="7A63E146" w14:textId="77777777" w:rsidTr="00874EE0">
        <w:trPr>
          <w:trHeight w:val="28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0937705"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Lodging &amp; Boarding House Keepers</w:t>
            </w:r>
          </w:p>
        </w:tc>
        <w:tc>
          <w:tcPr>
            <w:tcW w:w="880" w:type="dxa"/>
            <w:tcBorders>
              <w:top w:val="nil"/>
              <w:left w:val="nil"/>
              <w:bottom w:val="single" w:sz="8" w:space="0" w:color="auto"/>
              <w:right w:val="single" w:sz="8" w:space="0" w:color="auto"/>
            </w:tcBorders>
            <w:shd w:val="clear" w:color="auto" w:fill="auto"/>
            <w:noWrap/>
            <w:vAlign w:val="center"/>
            <w:hideMark/>
          </w:tcPr>
          <w:p w14:paraId="1449D9F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15,597</w:t>
            </w:r>
          </w:p>
        </w:tc>
        <w:tc>
          <w:tcPr>
            <w:tcW w:w="880" w:type="dxa"/>
            <w:tcBorders>
              <w:top w:val="nil"/>
              <w:left w:val="nil"/>
              <w:bottom w:val="single" w:sz="8" w:space="0" w:color="auto"/>
              <w:right w:val="single" w:sz="8" w:space="0" w:color="auto"/>
            </w:tcBorders>
            <w:shd w:val="clear" w:color="auto" w:fill="auto"/>
            <w:noWrap/>
            <w:vAlign w:val="center"/>
            <w:hideMark/>
          </w:tcPr>
          <w:p w14:paraId="703C198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15,314</w:t>
            </w:r>
          </w:p>
        </w:tc>
        <w:tc>
          <w:tcPr>
            <w:tcW w:w="880" w:type="dxa"/>
            <w:tcBorders>
              <w:top w:val="nil"/>
              <w:left w:val="nil"/>
              <w:bottom w:val="single" w:sz="8" w:space="0" w:color="auto"/>
              <w:right w:val="single" w:sz="8" w:space="0" w:color="auto"/>
            </w:tcBorders>
            <w:shd w:val="clear" w:color="auto" w:fill="auto"/>
            <w:noWrap/>
            <w:vAlign w:val="center"/>
            <w:hideMark/>
          </w:tcPr>
          <w:p w14:paraId="4CABEB0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15,880</w:t>
            </w:r>
          </w:p>
        </w:tc>
      </w:tr>
      <w:tr w:rsidR="001F2F29" w:rsidRPr="001F2F29" w14:paraId="0AAB9E23" w14:textId="77777777" w:rsidTr="00874EE0">
        <w:trPr>
          <w:trHeight w:val="285"/>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4C63F0D"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Farmers, Graziers</w:t>
            </w:r>
          </w:p>
        </w:tc>
        <w:tc>
          <w:tcPr>
            <w:tcW w:w="880" w:type="dxa"/>
            <w:tcBorders>
              <w:top w:val="nil"/>
              <w:left w:val="nil"/>
              <w:bottom w:val="single" w:sz="8" w:space="0" w:color="auto"/>
              <w:right w:val="single" w:sz="8" w:space="0" w:color="auto"/>
            </w:tcBorders>
            <w:shd w:val="clear" w:color="auto" w:fill="auto"/>
            <w:noWrap/>
            <w:vAlign w:val="center"/>
            <w:hideMark/>
          </w:tcPr>
          <w:p w14:paraId="246DC30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13,656</w:t>
            </w:r>
          </w:p>
        </w:tc>
        <w:tc>
          <w:tcPr>
            <w:tcW w:w="880" w:type="dxa"/>
            <w:tcBorders>
              <w:top w:val="nil"/>
              <w:left w:val="nil"/>
              <w:bottom w:val="single" w:sz="8" w:space="0" w:color="auto"/>
              <w:right w:val="single" w:sz="8" w:space="0" w:color="auto"/>
            </w:tcBorders>
            <w:shd w:val="clear" w:color="auto" w:fill="auto"/>
            <w:noWrap/>
            <w:vAlign w:val="center"/>
            <w:hideMark/>
          </w:tcPr>
          <w:p w14:paraId="21E0575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13,429</w:t>
            </w:r>
          </w:p>
        </w:tc>
        <w:tc>
          <w:tcPr>
            <w:tcW w:w="880" w:type="dxa"/>
            <w:tcBorders>
              <w:top w:val="nil"/>
              <w:left w:val="nil"/>
              <w:bottom w:val="single" w:sz="8" w:space="0" w:color="auto"/>
              <w:right w:val="single" w:sz="8" w:space="0" w:color="auto"/>
            </w:tcBorders>
            <w:shd w:val="clear" w:color="auto" w:fill="auto"/>
            <w:noWrap/>
            <w:vAlign w:val="center"/>
            <w:hideMark/>
          </w:tcPr>
          <w:p w14:paraId="3684408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13,884</w:t>
            </w:r>
          </w:p>
        </w:tc>
      </w:tr>
      <w:tr w:rsidR="001F2F29" w:rsidRPr="001F2F29" w14:paraId="771DE53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4DE4F3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880" w:type="dxa"/>
            <w:tcBorders>
              <w:top w:val="nil"/>
              <w:left w:val="nil"/>
              <w:bottom w:val="single" w:sz="8" w:space="0" w:color="auto"/>
              <w:right w:val="single" w:sz="8" w:space="0" w:color="auto"/>
            </w:tcBorders>
            <w:shd w:val="clear" w:color="auto" w:fill="auto"/>
            <w:noWrap/>
            <w:vAlign w:val="center"/>
            <w:hideMark/>
          </w:tcPr>
          <w:p w14:paraId="0F9130F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11,593</w:t>
            </w:r>
          </w:p>
        </w:tc>
        <w:tc>
          <w:tcPr>
            <w:tcW w:w="880" w:type="dxa"/>
            <w:tcBorders>
              <w:top w:val="nil"/>
              <w:left w:val="nil"/>
              <w:bottom w:val="single" w:sz="8" w:space="0" w:color="auto"/>
              <w:right w:val="single" w:sz="8" w:space="0" w:color="auto"/>
            </w:tcBorders>
            <w:shd w:val="clear" w:color="auto" w:fill="auto"/>
            <w:noWrap/>
            <w:vAlign w:val="center"/>
            <w:hideMark/>
          </w:tcPr>
          <w:p w14:paraId="5011559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11,396</w:t>
            </w:r>
          </w:p>
        </w:tc>
        <w:tc>
          <w:tcPr>
            <w:tcW w:w="880" w:type="dxa"/>
            <w:tcBorders>
              <w:top w:val="nil"/>
              <w:left w:val="nil"/>
              <w:bottom w:val="single" w:sz="8" w:space="0" w:color="auto"/>
              <w:right w:val="single" w:sz="8" w:space="0" w:color="auto"/>
            </w:tcBorders>
            <w:shd w:val="clear" w:color="auto" w:fill="auto"/>
            <w:noWrap/>
            <w:vAlign w:val="center"/>
            <w:hideMark/>
          </w:tcPr>
          <w:p w14:paraId="440E63F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11,791</w:t>
            </w:r>
          </w:p>
        </w:tc>
      </w:tr>
      <w:tr w:rsidR="001F2F29" w:rsidRPr="001F2F29" w14:paraId="6204BD2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0EEDA0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880" w:type="dxa"/>
            <w:tcBorders>
              <w:top w:val="nil"/>
              <w:left w:val="nil"/>
              <w:bottom w:val="single" w:sz="8" w:space="0" w:color="auto"/>
              <w:right w:val="single" w:sz="8" w:space="0" w:color="auto"/>
            </w:tcBorders>
            <w:shd w:val="clear" w:color="auto" w:fill="auto"/>
            <w:noWrap/>
            <w:vAlign w:val="center"/>
            <w:hideMark/>
          </w:tcPr>
          <w:p w14:paraId="762E113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5,211</w:t>
            </w:r>
          </w:p>
        </w:tc>
        <w:tc>
          <w:tcPr>
            <w:tcW w:w="880" w:type="dxa"/>
            <w:tcBorders>
              <w:top w:val="nil"/>
              <w:left w:val="nil"/>
              <w:bottom w:val="single" w:sz="8" w:space="0" w:color="auto"/>
              <w:right w:val="single" w:sz="8" w:space="0" w:color="auto"/>
            </w:tcBorders>
            <w:shd w:val="clear" w:color="auto" w:fill="auto"/>
            <w:noWrap/>
            <w:vAlign w:val="center"/>
            <w:hideMark/>
          </w:tcPr>
          <w:p w14:paraId="6057FF7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5,067</w:t>
            </w:r>
          </w:p>
        </w:tc>
        <w:tc>
          <w:tcPr>
            <w:tcW w:w="880" w:type="dxa"/>
            <w:tcBorders>
              <w:top w:val="nil"/>
              <w:left w:val="nil"/>
              <w:bottom w:val="single" w:sz="8" w:space="0" w:color="auto"/>
              <w:right w:val="single" w:sz="8" w:space="0" w:color="auto"/>
            </w:tcBorders>
            <w:shd w:val="clear" w:color="auto" w:fill="auto"/>
            <w:noWrap/>
            <w:vAlign w:val="center"/>
            <w:hideMark/>
          </w:tcPr>
          <w:p w14:paraId="2AF05BF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5,356</w:t>
            </w:r>
          </w:p>
        </w:tc>
      </w:tr>
      <w:tr w:rsidR="001F2F29" w:rsidRPr="001F2F29" w14:paraId="1206C06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AD8E09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Innkeepers, Hotel Keepers, Publicans</w:t>
            </w:r>
          </w:p>
        </w:tc>
        <w:tc>
          <w:tcPr>
            <w:tcW w:w="880" w:type="dxa"/>
            <w:tcBorders>
              <w:top w:val="nil"/>
              <w:left w:val="nil"/>
              <w:bottom w:val="single" w:sz="8" w:space="0" w:color="auto"/>
              <w:right w:val="single" w:sz="8" w:space="0" w:color="auto"/>
            </w:tcBorders>
            <w:shd w:val="clear" w:color="auto" w:fill="auto"/>
            <w:noWrap/>
            <w:vAlign w:val="center"/>
            <w:hideMark/>
          </w:tcPr>
          <w:p w14:paraId="1D2C40B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4,863</w:t>
            </w:r>
          </w:p>
        </w:tc>
        <w:tc>
          <w:tcPr>
            <w:tcW w:w="880" w:type="dxa"/>
            <w:tcBorders>
              <w:top w:val="nil"/>
              <w:left w:val="nil"/>
              <w:bottom w:val="single" w:sz="8" w:space="0" w:color="auto"/>
              <w:right w:val="single" w:sz="8" w:space="0" w:color="auto"/>
            </w:tcBorders>
            <w:shd w:val="clear" w:color="auto" w:fill="auto"/>
            <w:noWrap/>
            <w:vAlign w:val="center"/>
            <w:hideMark/>
          </w:tcPr>
          <w:p w14:paraId="45BB9A1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4,714</w:t>
            </w:r>
          </w:p>
        </w:tc>
        <w:tc>
          <w:tcPr>
            <w:tcW w:w="880" w:type="dxa"/>
            <w:tcBorders>
              <w:top w:val="nil"/>
              <w:left w:val="nil"/>
              <w:bottom w:val="single" w:sz="8" w:space="0" w:color="auto"/>
              <w:right w:val="single" w:sz="8" w:space="0" w:color="auto"/>
            </w:tcBorders>
            <w:shd w:val="clear" w:color="auto" w:fill="auto"/>
            <w:noWrap/>
            <w:vAlign w:val="center"/>
            <w:hideMark/>
          </w:tcPr>
          <w:p w14:paraId="4913A75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5,013</w:t>
            </w:r>
          </w:p>
        </w:tc>
      </w:tr>
      <w:tr w:rsidR="001F2F29" w:rsidRPr="001F2F29" w14:paraId="23F5939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80FA0B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Schoolmasters &amp; Teachers </w:t>
            </w:r>
          </w:p>
        </w:tc>
        <w:tc>
          <w:tcPr>
            <w:tcW w:w="880" w:type="dxa"/>
            <w:tcBorders>
              <w:top w:val="nil"/>
              <w:left w:val="nil"/>
              <w:bottom w:val="single" w:sz="8" w:space="0" w:color="auto"/>
              <w:right w:val="single" w:sz="8" w:space="0" w:color="auto"/>
            </w:tcBorders>
            <w:shd w:val="clear" w:color="auto" w:fill="auto"/>
            <w:noWrap/>
            <w:vAlign w:val="center"/>
            <w:hideMark/>
          </w:tcPr>
          <w:p w14:paraId="7A960F0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4,286</w:t>
            </w:r>
          </w:p>
        </w:tc>
        <w:tc>
          <w:tcPr>
            <w:tcW w:w="880" w:type="dxa"/>
            <w:tcBorders>
              <w:top w:val="nil"/>
              <w:left w:val="nil"/>
              <w:bottom w:val="single" w:sz="8" w:space="0" w:color="auto"/>
              <w:right w:val="single" w:sz="8" w:space="0" w:color="auto"/>
            </w:tcBorders>
            <w:shd w:val="clear" w:color="auto" w:fill="auto"/>
            <w:noWrap/>
            <w:vAlign w:val="center"/>
            <w:hideMark/>
          </w:tcPr>
          <w:p w14:paraId="69CC863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4,125</w:t>
            </w:r>
          </w:p>
        </w:tc>
        <w:tc>
          <w:tcPr>
            <w:tcW w:w="880" w:type="dxa"/>
            <w:tcBorders>
              <w:top w:val="nil"/>
              <w:left w:val="nil"/>
              <w:bottom w:val="single" w:sz="8" w:space="0" w:color="auto"/>
              <w:right w:val="single" w:sz="8" w:space="0" w:color="auto"/>
            </w:tcBorders>
            <w:shd w:val="clear" w:color="auto" w:fill="auto"/>
            <w:noWrap/>
            <w:vAlign w:val="center"/>
            <w:hideMark/>
          </w:tcPr>
          <w:p w14:paraId="6645EF2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4,447</w:t>
            </w:r>
          </w:p>
        </w:tc>
      </w:tr>
      <w:tr w:rsidR="001F2F29" w:rsidRPr="001F2F29" w14:paraId="5C364F0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F2B3C6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lastRenderedPageBreak/>
              <w:t>Milliners</w:t>
            </w:r>
          </w:p>
        </w:tc>
        <w:tc>
          <w:tcPr>
            <w:tcW w:w="880" w:type="dxa"/>
            <w:tcBorders>
              <w:top w:val="nil"/>
              <w:left w:val="nil"/>
              <w:bottom w:val="single" w:sz="8" w:space="0" w:color="auto"/>
              <w:right w:val="single" w:sz="8" w:space="0" w:color="auto"/>
            </w:tcBorders>
            <w:shd w:val="clear" w:color="auto" w:fill="auto"/>
            <w:noWrap/>
            <w:vAlign w:val="center"/>
            <w:hideMark/>
          </w:tcPr>
          <w:p w14:paraId="58B918A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3,102</w:t>
            </w:r>
          </w:p>
        </w:tc>
        <w:tc>
          <w:tcPr>
            <w:tcW w:w="880" w:type="dxa"/>
            <w:tcBorders>
              <w:top w:val="nil"/>
              <w:left w:val="nil"/>
              <w:bottom w:val="single" w:sz="8" w:space="0" w:color="auto"/>
              <w:right w:val="single" w:sz="8" w:space="0" w:color="auto"/>
            </w:tcBorders>
            <w:shd w:val="clear" w:color="auto" w:fill="auto"/>
            <w:noWrap/>
            <w:vAlign w:val="center"/>
            <w:hideMark/>
          </w:tcPr>
          <w:p w14:paraId="4FF2B0D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2,992</w:t>
            </w:r>
          </w:p>
        </w:tc>
        <w:tc>
          <w:tcPr>
            <w:tcW w:w="880" w:type="dxa"/>
            <w:tcBorders>
              <w:top w:val="nil"/>
              <w:left w:val="nil"/>
              <w:bottom w:val="single" w:sz="8" w:space="0" w:color="auto"/>
              <w:right w:val="single" w:sz="8" w:space="0" w:color="auto"/>
            </w:tcBorders>
            <w:shd w:val="clear" w:color="auto" w:fill="auto"/>
            <w:noWrap/>
            <w:vAlign w:val="center"/>
            <w:hideMark/>
          </w:tcPr>
          <w:p w14:paraId="2C7694C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3,212</w:t>
            </w:r>
          </w:p>
        </w:tc>
      </w:tr>
      <w:tr w:rsidR="001F2F29" w:rsidRPr="001F2F29" w14:paraId="0EA737E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A82133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880" w:type="dxa"/>
            <w:tcBorders>
              <w:top w:val="nil"/>
              <w:left w:val="nil"/>
              <w:bottom w:val="single" w:sz="8" w:space="0" w:color="auto"/>
              <w:right w:val="single" w:sz="8" w:space="0" w:color="auto"/>
            </w:tcBorders>
            <w:shd w:val="clear" w:color="auto" w:fill="auto"/>
            <w:noWrap/>
            <w:vAlign w:val="center"/>
            <w:hideMark/>
          </w:tcPr>
          <w:p w14:paraId="5B26DDE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2,462</w:t>
            </w:r>
          </w:p>
        </w:tc>
        <w:tc>
          <w:tcPr>
            <w:tcW w:w="880" w:type="dxa"/>
            <w:tcBorders>
              <w:top w:val="nil"/>
              <w:left w:val="nil"/>
              <w:bottom w:val="single" w:sz="8" w:space="0" w:color="auto"/>
              <w:right w:val="single" w:sz="8" w:space="0" w:color="auto"/>
            </w:tcBorders>
            <w:shd w:val="clear" w:color="auto" w:fill="auto"/>
            <w:noWrap/>
            <w:vAlign w:val="center"/>
            <w:hideMark/>
          </w:tcPr>
          <w:p w14:paraId="7D1B82A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2,361</w:t>
            </w:r>
          </w:p>
        </w:tc>
        <w:tc>
          <w:tcPr>
            <w:tcW w:w="880" w:type="dxa"/>
            <w:tcBorders>
              <w:top w:val="nil"/>
              <w:left w:val="nil"/>
              <w:bottom w:val="single" w:sz="8" w:space="0" w:color="auto"/>
              <w:right w:val="single" w:sz="8" w:space="0" w:color="auto"/>
            </w:tcBorders>
            <w:shd w:val="clear" w:color="auto" w:fill="auto"/>
            <w:noWrap/>
            <w:vAlign w:val="center"/>
            <w:hideMark/>
          </w:tcPr>
          <w:p w14:paraId="236FAF5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2,564</w:t>
            </w:r>
          </w:p>
        </w:tc>
      </w:tr>
      <w:tr w:rsidR="001F2F29" w:rsidRPr="001F2F29" w14:paraId="575624F9"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018B72B"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Biscuit, Cake Dealers (Confectioners)</w:t>
            </w:r>
          </w:p>
        </w:tc>
        <w:tc>
          <w:tcPr>
            <w:tcW w:w="880" w:type="dxa"/>
            <w:tcBorders>
              <w:top w:val="nil"/>
              <w:left w:val="nil"/>
              <w:bottom w:val="single" w:sz="8" w:space="0" w:color="auto"/>
              <w:right w:val="single" w:sz="8" w:space="0" w:color="auto"/>
            </w:tcBorders>
            <w:shd w:val="clear" w:color="auto" w:fill="auto"/>
            <w:noWrap/>
            <w:vAlign w:val="center"/>
            <w:hideMark/>
          </w:tcPr>
          <w:p w14:paraId="0F37B81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2,365</w:t>
            </w:r>
          </w:p>
        </w:tc>
        <w:tc>
          <w:tcPr>
            <w:tcW w:w="880" w:type="dxa"/>
            <w:tcBorders>
              <w:top w:val="nil"/>
              <w:left w:val="nil"/>
              <w:bottom w:val="single" w:sz="8" w:space="0" w:color="auto"/>
              <w:right w:val="single" w:sz="8" w:space="0" w:color="auto"/>
            </w:tcBorders>
            <w:shd w:val="clear" w:color="auto" w:fill="auto"/>
            <w:noWrap/>
            <w:vAlign w:val="center"/>
            <w:hideMark/>
          </w:tcPr>
          <w:p w14:paraId="679D875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2,268</w:t>
            </w:r>
          </w:p>
        </w:tc>
        <w:tc>
          <w:tcPr>
            <w:tcW w:w="880" w:type="dxa"/>
            <w:tcBorders>
              <w:top w:val="nil"/>
              <w:left w:val="nil"/>
              <w:bottom w:val="single" w:sz="8" w:space="0" w:color="auto"/>
              <w:right w:val="single" w:sz="8" w:space="0" w:color="auto"/>
            </w:tcBorders>
            <w:shd w:val="clear" w:color="auto" w:fill="auto"/>
            <w:noWrap/>
            <w:vAlign w:val="center"/>
            <w:hideMark/>
          </w:tcPr>
          <w:p w14:paraId="215F128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2,462</w:t>
            </w:r>
          </w:p>
        </w:tc>
      </w:tr>
      <w:tr w:rsidR="001F2F29" w:rsidRPr="001F2F29" w14:paraId="12EEAB53"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ED5483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General Shopkeepers</w:t>
            </w:r>
          </w:p>
        </w:tc>
        <w:tc>
          <w:tcPr>
            <w:tcW w:w="880" w:type="dxa"/>
            <w:tcBorders>
              <w:top w:val="nil"/>
              <w:left w:val="nil"/>
              <w:bottom w:val="single" w:sz="8" w:space="0" w:color="auto"/>
              <w:right w:val="single" w:sz="8" w:space="0" w:color="auto"/>
            </w:tcBorders>
            <w:shd w:val="clear" w:color="auto" w:fill="auto"/>
            <w:noWrap/>
            <w:vAlign w:val="center"/>
            <w:hideMark/>
          </w:tcPr>
          <w:p w14:paraId="773F2A3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2,184</w:t>
            </w:r>
          </w:p>
        </w:tc>
        <w:tc>
          <w:tcPr>
            <w:tcW w:w="880" w:type="dxa"/>
            <w:tcBorders>
              <w:top w:val="nil"/>
              <w:left w:val="nil"/>
              <w:bottom w:val="single" w:sz="8" w:space="0" w:color="auto"/>
              <w:right w:val="single" w:sz="8" w:space="0" w:color="auto"/>
            </w:tcBorders>
            <w:shd w:val="clear" w:color="auto" w:fill="auto"/>
            <w:noWrap/>
            <w:vAlign w:val="center"/>
            <w:hideMark/>
          </w:tcPr>
          <w:p w14:paraId="4D432C1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2,089</w:t>
            </w:r>
          </w:p>
        </w:tc>
        <w:tc>
          <w:tcPr>
            <w:tcW w:w="880" w:type="dxa"/>
            <w:tcBorders>
              <w:top w:val="nil"/>
              <w:left w:val="nil"/>
              <w:bottom w:val="single" w:sz="8" w:space="0" w:color="auto"/>
              <w:right w:val="single" w:sz="8" w:space="0" w:color="auto"/>
            </w:tcBorders>
            <w:shd w:val="clear" w:color="auto" w:fill="auto"/>
            <w:noWrap/>
            <w:vAlign w:val="center"/>
            <w:hideMark/>
          </w:tcPr>
          <w:p w14:paraId="25002DE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2,279</w:t>
            </w:r>
          </w:p>
        </w:tc>
      </w:tr>
    </w:tbl>
    <w:p w14:paraId="58BF4242" w14:textId="77777777" w:rsidR="001F2F29" w:rsidRDefault="001F2F29" w:rsidP="001F2F29">
      <w:pPr>
        <w:spacing w:after="200" w:line="276" w:lineRule="auto"/>
        <w:rPr>
          <w:rFonts w:ascii="Calibri" w:eastAsia="Calibri" w:hAnsi="Calibri" w:cs="Times New Roman"/>
          <w:b/>
          <w:sz w:val="22"/>
          <w:szCs w:val="24"/>
        </w:rPr>
      </w:pPr>
    </w:p>
    <w:p w14:paraId="692F5AE7" w14:textId="77777777" w:rsidR="001F2F29" w:rsidRPr="001F2F29" w:rsidRDefault="001F2F29" w:rsidP="001F2F29">
      <w:pPr>
        <w:spacing w:after="200" w:line="276" w:lineRule="auto"/>
        <w:rPr>
          <w:rFonts w:eastAsia="Calibri" w:cs="Times New Roman"/>
          <w:szCs w:val="24"/>
        </w:rPr>
      </w:pPr>
      <w:proofErr w:type="gramStart"/>
      <w:r w:rsidRPr="001F2F29">
        <w:rPr>
          <w:rFonts w:eastAsia="Calibri" w:cs="Times New Roman"/>
          <w:b/>
          <w:szCs w:val="24"/>
        </w:rPr>
        <w:t>Table 10</w:t>
      </w:r>
      <w:r w:rsidRPr="001F2F29">
        <w:rPr>
          <w:rFonts w:eastAsia="Calibri" w:cs="Times New Roman"/>
          <w:szCs w:val="24"/>
        </w:rPr>
        <w:t>.</w:t>
      </w:r>
      <w:proofErr w:type="gramEnd"/>
      <w:r w:rsidRPr="001F2F29">
        <w:rPr>
          <w:rFonts w:eastAsia="Calibri" w:cs="Times New Roman"/>
          <w:szCs w:val="24"/>
        </w:rPr>
        <w:t xml:space="preserve"> Evolution of female employer numbers with confidence bounds for the 10 most frequently occurring female sectors</w:t>
      </w:r>
    </w:p>
    <w:p w14:paraId="26DF17CF" w14:textId="77777777" w:rsidR="007D521C" w:rsidRDefault="007D521C" w:rsidP="009E7AF6">
      <w:pPr>
        <w:spacing w:line="360" w:lineRule="auto"/>
        <w:jc w:val="both"/>
        <w:rPr>
          <w:rFonts w:cs="Times New Roman"/>
          <w:b/>
          <w:szCs w:val="24"/>
        </w:rPr>
      </w:pPr>
    </w:p>
    <w:p w14:paraId="7A14E4EB" w14:textId="77777777" w:rsidR="00B55394" w:rsidRDefault="00B55394" w:rsidP="002726CD">
      <w:pPr>
        <w:spacing w:line="360" w:lineRule="auto"/>
        <w:jc w:val="both"/>
      </w:pPr>
    </w:p>
    <w:p w14:paraId="43E34436" w14:textId="77777777" w:rsidR="001F2F29" w:rsidRDefault="001F2F29" w:rsidP="002726CD">
      <w:pPr>
        <w:spacing w:line="360" w:lineRule="auto"/>
        <w:jc w:val="both"/>
      </w:pPr>
      <w:bookmarkStart w:id="0" w:name="_GoBack"/>
      <w:bookmarkEnd w:id="0"/>
    </w:p>
    <w:p w14:paraId="0E9F0296" w14:textId="77777777" w:rsidR="00C37FBC" w:rsidRPr="00C37FBC" w:rsidRDefault="00C37FBC" w:rsidP="00C37FBC">
      <w:pPr>
        <w:spacing w:line="360" w:lineRule="auto"/>
        <w:jc w:val="both"/>
      </w:pPr>
    </w:p>
    <w:tbl>
      <w:tblPr>
        <w:tblW w:w="13436" w:type="dxa"/>
        <w:tblInd w:w="-10" w:type="dxa"/>
        <w:tblLook w:val="04A0" w:firstRow="1" w:lastRow="0" w:firstColumn="1" w:lastColumn="0" w:noHBand="0" w:noVBand="1"/>
      </w:tblPr>
      <w:tblGrid>
        <w:gridCol w:w="3600"/>
        <w:gridCol w:w="996"/>
        <w:gridCol w:w="996"/>
        <w:gridCol w:w="996"/>
        <w:gridCol w:w="3860"/>
        <w:gridCol w:w="996"/>
        <w:gridCol w:w="996"/>
        <w:gridCol w:w="996"/>
      </w:tblGrid>
      <w:tr w:rsidR="001F2F29" w:rsidRPr="001F2F29" w14:paraId="02C94428" w14:textId="77777777" w:rsidTr="00874EE0">
        <w:trPr>
          <w:trHeight w:val="330"/>
        </w:trPr>
        <w:tc>
          <w:tcPr>
            <w:tcW w:w="65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E42007"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t>1891</w:t>
            </w:r>
          </w:p>
        </w:tc>
        <w:tc>
          <w:tcPr>
            <w:tcW w:w="6848" w:type="dxa"/>
            <w:gridSpan w:val="4"/>
            <w:tcBorders>
              <w:top w:val="single" w:sz="8" w:space="0" w:color="auto"/>
              <w:left w:val="nil"/>
              <w:bottom w:val="single" w:sz="8" w:space="0" w:color="auto"/>
              <w:right w:val="single" w:sz="8" w:space="0" w:color="000000"/>
            </w:tcBorders>
            <w:shd w:val="clear" w:color="auto" w:fill="auto"/>
            <w:vAlign w:val="center"/>
            <w:hideMark/>
          </w:tcPr>
          <w:p w14:paraId="3FAD9F69"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t>1901</w:t>
            </w:r>
          </w:p>
        </w:tc>
      </w:tr>
      <w:tr w:rsidR="001F2F29" w:rsidRPr="001F2F29" w14:paraId="6F971B2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E48712B"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3C2A7922"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4475D728"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77CBF025"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c>
          <w:tcPr>
            <w:tcW w:w="3860" w:type="dxa"/>
            <w:tcBorders>
              <w:top w:val="nil"/>
              <w:left w:val="nil"/>
              <w:bottom w:val="single" w:sz="8" w:space="0" w:color="auto"/>
              <w:right w:val="single" w:sz="8" w:space="0" w:color="auto"/>
            </w:tcBorders>
            <w:shd w:val="clear" w:color="auto" w:fill="auto"/>
            <w:vAlign w:val="center"/>
            <w:hideMark/>
          </w:tcPr>
          <w:p w14:paraId="65C8BABE"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60B0FC3D"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00C99B9D"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51637548"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r>
      <w:tr w:rsidR="001F2F29" w:rsidRPr="001F2F29" w14:paraId="2A69EBD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2FA98B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996" w:type="dxa"/>
            <w:tcBorders>
              <w:top w:val="nil"/>
              <w:left w:val="nil"/>
              <w:bottom w:val="single" w:sz="8" w:space="0" w:color="auto"/>
              <w:right w:val="single" w:sz="8" w:space="0" w:color="auto"/>
            </w:tcBorders>
            <w:shd w:val="clear" w:color="auto" w:fill="auto"/>
            <w:noWrap/>
            <w:vAlign w:val="center"/>
            <w:hideMark/>
          </w:tcPr>
          <w:p w14:paraId="32C178A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142,740</w:t>
            </w:r>
          </w:p>
        </w:tc>
        <w:tc>
          <w:tcPr>
            <w:tcW w:w="996" w:type="dxa"/>
            <w:tcBorders>
              <w:top w:val="nil"/>
              <w:left w:val="nil"/>
              <w:bottom w:val="single" w:sz="8" w:space="0" w:color="auto"/>
              <w:right w:val="single" w:sz="8" w:space="0" w:color="auto"/>
            </w:tcBorders>
            <w:shd w:val="clear" w:color="auto" w:fill="auto"/>
            <w:noWrap/>
            <w:vAlign w:val="center"/>
            <w:hideMark/>
          </w:tcPr>
          <w:p w14:paraId="433D6B4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142,189</w:t>
            </w:r>
          </w:p>
        </w:tc>
        <w:tc>
          <w:tcPr>
            <w:tcW w:w="996" w:type="dxa"/>
            <w:tcBorders>
              <w:top w:val="nil"/>
              <w:left w:val="nil"/>
              <w:bottom w:val="single" w:sz="8" w:space="0" w:color="auto"/>
              <w:right w:val="single" w:sz="8" w:space="0" w:color="auto"/>
            </w:tcBorders>
            <w:shd w:val="clear" w:color="auto" w:fill="auto"/>
            <w:noWrap/>
            <w:vAlign w:val="center"/>
            <w:hideMark/>
          </w:tcPr>
          <w:p w14:paraId="2649D59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143,292</w:t>
            </w:r>
          </w:p>
        </w:tc>
        <w:tc>
          <w:tcPr>
            <w:tcW w:w="3860" w:type="dxa"/>
            <w:tcBorders>
              <w:top w:val="nil"/>
              <w:left w:val="nil"/>
              <w:bottom w:val="single" w:sz="8" w:space="0" w:color="auto"/>
              <w:right w:val="single" w:sz="8" w:space="0" w:color="auto"/>
            </w:tcBorders>
            <w:shd w:val="clear" w:color="auto" w:fill="auto"/>
            <w:noWrap/>
            <w:vAlign w:val="center"/>
            <w:hideMark/>
          </w:tcPr>
          <w:p w14:paraId="7992F3CA"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996" w:type="dxa"/>
            <w:tcBorders>
              <w:top w:val="nil"/>
              <w:left w:val="nil"/>
              <w:bottom w:val="single" w:sz="8" w:space="0" w:color="auto"/>
              <w:right w:val="single" w:sz="8" w:space="0" w:color="auto"/>
            </w:tcBorders>
            <w:shd w:val="clear" w:color="auto" w:fill="auto"/>
            <w:noWrap/>
            <w:vAlign w:val="center"/>
            <w:hideMark/>
          </w:tcPr>
          <w:p w14:paraId="159F7D9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157,638</w:t>
            </w:r>
          </w:p>
        </w:tc>
        <w:tc>
          <w:tcPr>
            <w:tcW w:w="996" w:type="dxa"/>
            <w:tcBorders>
              <w:top w:val="nil"/>
              <w:left w:val="nil"/>
              <w:bottom w:val="single" w:sz="8" w:space="0" w:color="auto"/>
              <w:right w:val="single" w:sz="8" w:space="0" w:color="auto"/>
            </w:tcBorders>
            <w:shd w:val="clear" w:color="auto" w:fill="auto"/>
            <w:noWrap/>
            <w:vAlign w:val="center"/>
            <w:hideMark/>
          </w:tcPr>
          <w:p w14:paraId="22A2421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157,067</w:t>
            </w:r>
          </w:p>
        </w:tc>
        <w:tc>
          <w:tcPr>
            <w:tcW w:w="996" w:type="dxa"/>
            <w:tcBorders>
              <w:top w:val="nil"/>
              <w:left w:val="nil"/>
              <w:bottom w:val="single" w:sz="8" w:space="0" w:color="auto"/>
              <w:right w:val="single" w:sz="8" w:space="0" w:color="auto"/>
            </w:tcBorders>
            <w:shd w:val="clear" w:color="auto" w:fill="auto"/>
            <w:noWrap/>
            <w:vAlign w:val="center"/>
            <w:hideMark/>
          </w:tcPr>
          <w:p w14:paraId="45CED26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158,210</w:t>
            </w:r>
          </w:p>
        </w:tc>
      </w:tr>
      <w:tr w:rsidR="001F2F29" w:rsidRPr="001F2F29" w14:paraId="25205799"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C8A7D9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996" w:type="dxa"/>
            <w:tcBorders>
              <w:top w:val="nil"/>
              <w:left w:val="nil"/>
              <w:bottom w:val="single" w:sz="8" w:space="0" w:color="auto"/>
              <w:right w:val="single" w:sz="8" w:space="0" w:color="auto"/>
            </w:tcBorders>
            <w:shd w:val="clear" w:color="auto" w:fill="auto"/>
            <w:noWrap/>
            <w:vAlign w:val="center"/>
            <w:hideMark/>
          </w:tcPr>
          <w:p w14:paraId="27FFD5F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50,454</w:t>
            </w:r>
          </w:p>
        </w:tc>
        <w:tc>
          <w:tcPr>
            <w:tcW w:w="996" w:type="dxa"/>
            <w:tcBorders>
              <w:top w:val="nil"/>
              <w:left w:val="nil"/>
              <w:bottom w:val="single" w:sz="8" w:space="0" w:color="auto"/>
              <w:right w:val="single" w:sz="8" w:space="0" w:color="auto"/>
            </w:tcBorders>
            <w:shd w:val="clear" w:color="auto" w:fill="auto"/>
            <w:noWrap/>
            <w:vAlign w:val="center"/>
            <w:hideMark/>
          </w:tcPr>
          <w:p w14:paraId="1CBFC6E9"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50,026</w:t>
            </w:r>
          </w:p>
        </w:tc>
        <w:tc>
          <w:tcPr>
            <w:tcW w:w="996" w:type="dxa"/>
            <w:tcBorders>
              <w:top w:val="nil"/>
              <w:left w:val="nil"/>
              <w:bottom w:val="single" w:sz="8" w:space="0" w:color="auto"/>
              <w:right w:val="single" w:sz="8" w:space="0" w:color="auto"/>
            </w:tcBorders>
            <w:shd w:val="clear" w:color="auto" w:fill="auto"/>
            <w:noWrap/>
            <w:vAlign w:val="center"/>
            <w:hideMark/>
          </w:tcPr>
          <w:p w14:paraId="043EA74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50,881</w:t>
            </w:r>
          </w:p>
        </w:tc>
        <w:tc>
          <w:tcPr>
            <w:tcW w:w="3860" w:type="dxa"/>
            <w:tcBorders>
              <w:top w:val="nil"/>
              <w:left w:val="nil"/>
              <w:bottom w:val="single" w:sz="8" w:space="0" w:color="auto"/>
              <w:right w:val="single" w:sz="8" w:space="0" w:color="auto"/>
            </w:tcBorders>
            <w:shd w:val="clear" w:color="auto" w:fill="auto"/>
            <w:noWrap/>
            <w:vAlign w:val="center"/>
            <w:hideMark/>
          </w:tcPr>
          <w:p w14:paraId="72A2E41D"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996" w:type="dxa"/>
            <w:tcBorders>
              <w:top w:val="nil"/>
              <w:left w:val="nil"/>
              <w:bottom w:val="single" w:sz="8" w:space="0" w:color="auto"/>
              <w:right w:val="single" w:sz="8" w:space="0" w:color="auto"/>
            </w:tcBorders>
            <w:shd w:val="clear" w:color="auto" w:fill="auto"/>
            <w:noWrap/>
            <w:vAlign w:val="center"/>
            <w:hideMark/>
          </w:tcPr>
          <w:p w14:paraId="6E1630A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52,993</w:t>
            </w:r>
          </w:p>
        </w:tc>
        <w:tc>
          <w:tcPr>
            <w:tcW w:w="996" w:type="dxa"/>
            <w:tcBorders>
              <w:top w:val="nil"/>
              <w:left w:val="nil"/>
              <w:bottom w:val="single" w:sz="8" w:space="0" w:color="auto"/>
              <w:right w:val="single" w:sz="8" w:space="0" w:color="auto"/>
            </w:tcBorders>
            <w:shd w:val="clear" w:color="auto" w:fill="auto"/>
            <w:noWrap/>
            <w:vAlign w:val="center"/>
            <w:hideMark/>
          </w:tcPr>
          <w:p w14:paraId="645499A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52,557</w:t>
            </w:r>
          </w:p>
        </w:tc>
        <w:tc>
          <w:tcPr>
            <w:tcW w:w="996" w:type="dxa"/>
            <w:tcBorders>
              <w:top w:val="nil"/>
              <w:left w:val="nil"/>
              <w:bottom w:val="single" w:sz="8" w:space="0" w:color="auto"/>
              <w:right w:val="single" w:sz="8" w:space="0" w:color="auto"/>
            </w:tcBorders>
            <w:shd w:val="clear" w:color="auto" w:fill="auto"/>
            <w:noWrap/>
            <w:vAlign w:val="center"/>
            <w:hideMark/>
          </w:tcPr>
          <w:p w14:paraId="1C98988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53,428</w:t>
            </w:r>
          </w:p>
        </w:tc>
      </w:tr>
      <w:tr w:rsidR="001F2F29" w:rsidRPr="001F2F29" w14:paraId="4D874729"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64CD594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Lodging and Boarding-House Keepers</w:t>
            </w:r>
          </w:p>
        </w:tc>
        <w:tc>
          <w:tcPr>
            <w:tcW w:w="996" w:type="dxa"/>
            <w:tcBorders>
              <w:top w:val="nil"/>
              <w:left w:val="nil"/>
              <w:bottom w:val="single" w:sz="8" w:space="0" w:color="auto"/>
              <w:right w:val="single" w:sz="8" w:space="0" w:color="auto"/>
            </w:tcBorders>
            <w:shd w:val="clear" w:color="auto" w:fill="auto"/>
            <w:noWrap/>
            <w:vAlign w:val="center"/>
            <w:hideMark/>
          </w:tcPr>
          <w:p w14:paraId="34E6EAA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27,544</w:t>
            </w:r>
          </w:p>
        </w:tc>
        <w:tc>
          <w:tcPr>
            <w:tcW w:w="996" w:type="dxa"/>
            <w:tcBorders>
              <w:top w:val="nil"/>
              <w:left w:val="nil"/>
              <w:bottom w:val="single" w:sz="8" w:space="0" w:color="auto"/>
              <w:right w:val="single" w:sz="8" w:space="0" w:color="auto"/>
            </w:tcBorders>
            <w:shd w:val="clear" w:color="auto" w:fill="auto"/>
            <w:noWrap/>
            <w:vAlign w:val="center"/>
            <w:hideMark/>
          </w:tcPr>
          <w:p w14:paraId="19C6190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27,101</w:t>
            </w:r>
          </w:p>
        </w:tc>
        <w:tc>
          <w:tcPr>
            <w:tcW w:w="996" w:type="dxa"/>
            <w:tcBorders>
              <w:top w:val="nil"/>
              <w:left w:val="nil"/>
              <w:bottom w:val="single" w:sz="8" w:space="0" w:color="auto"/>
              <w:right w:val="single" w:sz="8" w:space="0" w:color="auto"/>
            </w:tcBorders>
            <w:shd w:val="clear" w:color="auto" w:fill="auto"/>
            <w:noWrap/>
            <w:vAlign w:val="center"/>
            <w:hideMark/>
          </w:tcPr>
          <w:p w14:paraId="5FBA4EF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27,988</w:t>
            </w:r>
          </w:p>
        </w:tc>
        <w:tc>
          <w:tcPr>
            <w:tcW w:w="3860" w:type="dxa"/>
            <w:tcBorders>
              <w:top w:val="nil"/>
              <w:left w:val="nil"/>
              <w:bottom w:val="single" w:sz="8" w:space="0" w:color="auto"/>
              <w:right w:val="single" w:sz="8" w:space="0" w:color="auto"/>
            </w:tcBorders>
            <w:shd w:val="clear" w:color="auto" w:fill="auto"/>
            <w:noWrap/>
            <w:vAlign w:val="center"/>
            <w:hideMark/>
          </w:tcPr>
          <w:p w14:paraId="097479DB"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Lodging and Boarding-House Keepers</w:t>
            </w:r>
          </w:p>
        </w:tc>
        <w:tc>
          <w:tcPr>
            <w:tcW w:w="996" w:type="dxa"/>
            <w:tcBorders>
              <w:top w:val="nil"/>
              <w:left w:val="nil"/>
              <w:bottom w:val="single" w:sz="8" w:space="0" w:color="auto"/>
              <w:right w:val="single" w:sz="8" w:space="0" w:color="auto"/>
            </w:tcBorders>
            <w:shd w:val="clear" w:color="auto" w:fill="auto"/>
            <w:noWrap/>
            <w:vAlign w:val="center"/>
            <w:hideMark/>
          </w:tcPr>
          <w:p w14:paraId="5473806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35,173</w:t>
            </w:r>
          </w:p>
        </w:tc>
        <w:tc>
          <w:tcPr>
            <w:tcW w:w="996" w:type="dxa"/>
            <w:tcBorders>
              <w:top w:val="nil"/>
              <w:left w:val="nil"/>
              <w:bottom w:val="single" w:sz="8" w:space="0" w:color="auto"/>
              <w:right w:val="single" w:sz="8" w:space="0" w:color="auto"/>
            </w:tcBorders>
            <w:shd w:val="clear" w:color="auto" w:fill="auto"/>
            <w:noWrap/>
            <w:vAlign w:val="center"/>
            <w:hideMark/>
          </w:tcPr>
          <w:p w14:paraId="6E11D1F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34,779</w:t>
            </w:r>
          </w:p>
        </w:tc>
        <w:tc>
          <w:tcPr>
            <w:tcW w:w="996" w:type="dxa"/>
            <w:tcBorders>
              <w:top w:val="nil"/>
              <w:left w:val="nil"/>
              <w:bottom w:val="single" w:sz="8" w:space="0" w:color="auto"/>
              <w:right w:val="single" w:sz="8" w:space="0" w:color="auto"/>
            </w:tcBorders>
            <w:shd w:val="clear" w:color="auto" w:fill="auto"/>
            <w:noWrap/>
            <w:vAlign w:val="center"/>
            <w:hideMark/>
          </w:tcPr>
          <w:p w14:paraId="3CB02BA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35,566</w:t>
            </w:r>
          </w:p>
        </w:tc>
      </w:tr>
      <w:tr w:rsidR="001F2F29" w:rsidRPr="001F2F29" w14:paraId="356A21A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9C1D126"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7B81962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17,751</w:t>
            </w:r>
          </w:p>
        </w:tc>
        <w:tc>
          <w:tcPr>
            <w:tcW w:w="996" w:type="dxa"/>
            <w:tcBorders>
              <w:top w:val="nil"/>
              <w:left w:val="nil"/>
              <w:bottom w:val="single" w:sz="8" w:space="0" w:color="auto"/>
              <w:right w:val="single" w:sz="8" w:space="0" w:color="auto"/>
            </w:tcBorders>
            <w:shd w:val="clear" w:color="auto" w:fill="auto"/>
            <w:noWrap/>
            <w:vAlign w:val="center"/>
            <w:hideMark/>
          </w:tcPr>
          <w:p w14:paraId="356AB0A9"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17,477</w:t>
            </w:r>
          </w:p>
        </w:tc>
        <w:tc>
          <w:tcPr>
            <w:tcW w:w="996" w:type="dxa"/>
            <w:tcBorders>
              <w:top w:val="nil"/>
              <w:left w:val="nil"/>
              <w:bottom w:val="single" w:sz="8" w:space="0" w:color="auto"/>
              <w:right w:val="single" w:sz="8" w:space="0" w:color="auto"/>
            </w:tcBorders>
            <w:shd w:val="clear" w:color="auto" w:fill="auto"/>
            <w:noWrap/>
            <w:vAlign w:val="center"/>
            <w:hideMark/>
          </w:tcPr>
          <w:p w14:paraId="5908105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18,024</w:t>
            </w:r>
          </w:p>
        </w:tc>
        <w:tc>
          <w:tcPr>
            <w:tcW w:w="3860" w:type="dxa"/>
            <w:tcBorders>
              <w:top w:val="nil"/>
              <w:left w:val="nil"/>
              <w:bottom w:val="single" w:sz="8" w:space="0" w:color="auto"/>
              <w:right w:val="single" w:sz="8" w:space="0" w:color="auto"/>
            </w:tcBorders>
            <w:shd w:val="clear" w:color="auto" w:fill="auto"/>
            <w:noWrap/>
            <w:vAlign w:val="center"/>
            <w:hideMark/>
          </w:tcPr>
          <w:p w14:paraId="2567EEB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1F3DA7C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25,776</w:t>
            </w:r>
          </w:p>
        </w:tc>
        <w:tc>
          <w:tcPr>
            <w:tcW w:w="996" w:type="dxa"/>
            <w:tcBorders>
              <w:top w:val="nil"/>
              <w:left w:val="nil"/>
              <w:bottom w:val="single" w:sz="8" w:space="0" w:color="auto"/>
              <w:right w:val="single" w:sz="8" w:space="0" w:color="auto"/>
            </w:tcBorders>
            <w:shd w:val="clear" w:color="auto" w:fill="auto"/>
            <w:noWrap/>
            <w:vAlign w:val="center"/>
            <w:hideMark/>
          </w:tcPr>
          <w:p w14:paraId="1B5ACAE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25,466</w:t>
            </w:r>
          </w:p>
        </w:tc>
        <w:tc>
          <w:tcPr>
            <w:tcW w:w="996" w:type="dxa"/>
            <w:tcBorders>
              <w:top w:val="nil"/>
              <w:left w:val="nil"/>
              <w:bottom w:val="single" w:sz="8" w:space="0" w:color="auto"/>
              <w:right w:val="single" w:sz="8" w:space="0" w:color="auto"/>
            </w:tcBorders>
            <w:shd w:val="clear" w:color="auto" w:fill="auto"/>
            <w:noWrap/>
            <w:vAlign w:val="center"/>
            <w:hideMark/>
          </w:tcPr>
          <w:p w14:paraId="05269D3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26,086</w:t>
            </w:r>
          </w:p>
        </w:tc>
      </w:tr>
      <w:tr w:rsidR="001F2F29" w:rsidRPr="001F2F29" w14:paraId="56AA21A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399888A"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Shirtmakers and Seamstresses</w:t>
            </w:r>
          </w:p>
        </w:tc>
        <w:tc>
          <w:tcPr>
            <w:tcW w:w="996" w:type="dxa"/>
            <w:tcBorders>
              <w:top w:val="nil"/>
              <w:left w:val="nil"/>
              <w:bottom w:val="single" w:sz="8" w:space="0" w:color="auto"/>
              <w:right w:val="single" w:sz="8" w:space="0" w:color="auto"/>
            </w:tcBorders>
            <w:shd w:val="clear" w:color="auto" w:fill="auto"/>
            <w:noWrap/>
            <w:vAlign w:val="center"/>
            <w:hideMark/>
          </w:tcPr>
          <w:p w14:paraId="7417E88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14,391</w:t>
            </w:r>
          </w:p>
        </w:tc>
        <w:tc>
          <w:tcPr>
            <w:tcW w:w="996" w:type="dxa"/>
            <w:tcBorders>
              <w:top w:val="nil"/>
              <w:left w:val="nil"/>
              <w:bottom w:val="single" w:sz="8" w:space="0" w:color="auto"/>
              <w:right w:val="single" w:sz="8" w:space="0" w:color="auto"/>
            </w:tcBorders>
            <w:shd w:val="clear" w:color="auto" w:fill="auto"/>
            <w:noWrap/>
            <w:vAlign w:val="center"/>
            <w:hideMark/>
          </w:tcPr>
          <w:p w14:paraId="544161E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14,125</w:t>
            </w:r>
          </w:p>
        </w:tc>
        <w:tc>
          <w:tcPr>
            <w:tcW w:w="996" w:type="dxa"/>
            <w:tcBorders>
              <w:top w:val="nil"/>
              <w:left w:val="nil"/>
              <w:bottom w:val="single" w:sz="8" w:space="0" w:color="auto"/>
              <w:right w:val="single" w:sz="8" w:space="0" w:color="auto"/>
            </w:tcBorders>
            <w:shd w:val="clear" w:color="auto" w:fill="auto"/>
            <w:noWrap/>
            <w:vAlign w:val="center"/>
            <w:hideMark/>
          </w:tcPr>
          <w:p w14:paraId="6B56D94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14,656</w:t>
            </w:r>
          </w:p>
        </w:tc>
        <w:tc>
          <w:tcPr>
            <w:tcW w:w="3860" w:type="dxa"/>
            <w:tcBorders>
              <w:top w:val="nil"/>
              <w:left w:val="nil"/>
              <w:bottom w:val="single" w:sz="8" w:space="0" w:color="auto"/>
              <w:right w:val="single" w:sz="8" w:space="0" w:color="auto"/>
            </w:tcBorders>
            <w:shd w:val="clear" w:color="auto" w:fill="auto"/>
            <w:noWrap/>
            <w:vAlign w:val="center"/>
            <w:hideMark/>
          </w:tcPr>
          <w:p w14:paraId="7DDA4F4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Musician, Music Master, Singer  </w:t>
            </w:r>
          </w:p>
        </w:tc>
        <w:tc>
          <w:tcPr>
            <w:tcW w:w="996" w:type="dxa"/>
            <w:tcBorders>
              <w:top w:val="nil"/>
              <w:left w:val="nil"/>
              <w:bottom w:val="single" w:sz="8" w:space="0" w:color="auto"/>
              <w:right w:val="single" w:sz="8" w:space="0" w:color="auto"/>
            </w:tcBorders>
            <w:shd w:val="clear" w:color="auto" w:fill="auto"/>
            <w:noWrap/>
            <w:vAlign w:val="center"/>
            <w:hideMark/>
          </w:tcPr>
          <w:p w14:paraId="3B1F887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16,664</w:t>
            </w:r>
          </w:p>
        </w:tc>
        <w:tc>
          <w:tcPr>
            <w:tcW w:w="996" w:type="dxa"/>
            <w:tcBorders>
              <w:top w:val="nil"/>
              <w:left w:val="nil"/>
              <w:bottom w:val="single" w:sz="8" w:space="0" w:color="auto"/>
              <w:right w:val="single" w:sz="8" w:space="0" w:color="auto"/>
            </w:tcBorders>
            <w:shd w:val="clear" w:color="auto" w:fill="auto"/>
            <w:noWrap/>
            <w:vAlign w:val="center"/>
            <w:hideMark/>
          </w:tcPr>
          <w:p w14:paraId="43C42AC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16,368</w:t>
            </w:r>
          </w:p>
        </w:tc>
        <w:tc>
          <w:tcPr>
            <w:tcW w:w="996" w:type="dxa"/>
            <w:tcBorders>
              <w:top w:val="nil"/>
              <w:left w:val="nil"/>
              <w:bottom w:val="single" w:sz="8" w:space="0" w:color="auto"/>
              <w:right w:val="single" w:sz="8" w:space="0" w:color="auto"/>
            </w:tcBorders>
            <w:shd w:val="clear" w:color="auto" w:fill="auto"/>
            <w:noWrap/>
            <w:vAlign w:val="center"/>
            <w:hideMark/>
          </w:tcPr>
          <w:p w14:paraId="57AB034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16,961</w:t>
            </w:r>
          </w:p>
        </w:tc>
      </w:tr>
      <w:tr w:rsidR="001F2F29" w:rsidRPr="001F2F29" w14:paraId="3B7F4E8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7D9A92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Farmer, Grazier</w:t>
            </w:r>
          </w:p>
        </w:tc>
        <w:tc>
          <w:tcPr>
            <w:tcW w:w="996" w:type="dxa"/>
            <w:tcBorders>
              <w:top w:val="nil"/>
              <w:left w:val="nil"/>
              <w:bottom w:val="single" w:sz="8" w:space="0" w:color="auto"/>
              <w:right w:val="single" w:sz="8" w:space="0" w:color="auto"/>
            </w:tcBorders>
            <w:shd w:val="clear" w:color="auto" w:fill="auto"/>
            <w:noWrap/>
            <w:vAlign w:val="center"/>
            <w:hideMark/>
          </w:tcPr>
          <w:p w14:paraId="543A504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13,650</w:t>
            </w:r>
          </w:p>
        </w:tc>
        <w:tc>
          <w:tcPr>
            <w:tcW w:w="996" w:type="dxa"/>
            <w:tcBorders>
              <w:top w:val="nil"/>
              <w:left w:val="nil"/>
              <w:bottom w:val="single" w:sz="8" w:space="0" w:color="auto"/>
              <w:right w:val="single" w:sz="8" w:space="0" w:color="auto"/>
            </w:tcBorders>
            <w:shd w:val="clear" w:color="auto" w:fill="auto"/>
            <w:noWrap/>
            <w:vAlign w:val="center"/>
            <w:hideMark/>
          </w:tcPr>
          <w:p w14:paraId="5C27505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13,400</w:t>
            </w:r>
          </w:p>
        </w:tc>
        <w:tc>
          <w:tcPr>
            <w:tcW w:w="996" w:type="dxa"/>
            <w:tcBorders>
              <w:top w:val="nil"/>
              <w:left w:val="nil"/>
              <w:bottom w:val="single" w:sz="8" w:space="0" w:color="auto"/>
              <w:right w:val="single" w:sz="8" w:space="0" w:color="auto"/>
            </w:tcBorders>
            <w:shd w:val="clear" w:color="auto" w:fill="auto"/>
            <w:noWrap/>
            <w:vAlign w:val="center"/>
            <w:hideMark/>
          </w:tcPr>
          <w:p w14:paraId="6B43216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13,900</w:t>
            </w:r>
          </w:p>
        </w:tc>
        <w:tc>
          <w:tcPr>
            <w:tcW w:w="3860" w:type="dxa"/>
            <w:tcBorders>
              <w:top w:val="nil"/>
              <w:left w:val="nil"/>
              <w:bottom w:val="single" w:sz="8" w:space="0" w:color="auto"/>
              <w:right w:val="single" w:sz="8" w:space="0" w:color="auto"/>
            </w:tcBorders>
            <w:shd w:val="clear" w:color="auto" w:fill="auto"/>
            <w:noWrap/>
            <w:vAlign w:val="center"/>
            <w:hideMark/>
          </w:tcPr>
          <w:p w14:paraId="096564E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Biscuit Cake Dealers (Confectioners)</w:t>
            </w:r>
          </w:p>
        </w:tc>
        <w:tc>
          <w:tcPr>
            <w:tcW w:w="996" w:type="dxa"/>
            <w:tcBorders>
              <w:top w:val="nil"/>
              <w:left w:val="nil"/>
              <w:bottom w:val="single" w:sz="8" w:space="0" w:color="auto"/>
              <w:right w:val="single" w:sz="8" w:space="0" w:color="auto"/>
            </w:tcBorders>
            <w:shd w:val="clear" w:color="auto" w:fill="auto"/>
            <w:noWrap/>
            <w:vAlign w:val="center"/>
            <w:hideMark/>
          </w:tcPr>
          <w:p w14:paraId="11DCCEC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14,795</w:t>
            </w:r>
          </w:p>
        </w:tc>
        <w:tc>
          <w:tcPr>
            <w:tcW w:w="996" w:type="dxa"/>
            <w:tcBorders>
              <w:top w:val="nil"/>
              <w:left w:val="nil"/>
              <w:bottom w:val="single" w:sz="8" w:space="0" w:color="auto"/>
              <w:right w:val="single" w:sz="8" w:space="0" w:color="auto"/>
            </w:tcBorders>
            <w:shd w:val="clear" w:color="auto" w:fill="auto"/>
            <w:noWrap/>
            <w:vAlign w:val="center"/>
            <w:hideMark/>
          </w:tcPr>
          <w:p w14:paraId="5EF49DF9"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14,556</w:t>
            </w:r>
          </w:p>
        </w:tc>
        <w:tc>
          <w:tcPr>
            <w:tcW w:w="996" w:type="dxa"/>
            <w:tcBorders>
              <w:top w:val="nil"/>
              <w:left w:val="nil"/>
              <w:bottom w:val="single" w:sz="8" w:space="0" w:color="auto"/>
              <w:right w:val="single" w:sz="8" w:space="0" w:color="auto"/>
            </w:tcBorders>
            <w:shd w:val="clear" w:color="auto" w:fill="auto"/>
            <w:noWrap/>
            <w:vAlign w:val="center"/>
            <w:hideMark/>
          </w:tcPr>
          <w:p w14:paraId="695D4DD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15,033</w:t>
            </w:r>
          </w:p>
        </w:tc>
      </w:tr>
      <w:tr w:rsidR="001F2F29" w:rsidRPr="001F2F29" w14:paraId="09AF8D30"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DF35CD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Hawkers Hucksters </w:t>
            </w:r>
            <w:proofErr w:type="spellStart"/>
            <w:r w:rsidRPr="001F2F29">
              <w:rPr>
                <w:rFonts w:eastAsia="Times New Roman" w:cs="Times New Roman"/>
                <w:color w:val="000000"/>
                <w:szCs w:val="24"/>
                <w:lang w:eastAsia="en-GB"/>
              </w:rPr>
              <w:t>Costers</w:t>
            </w:r>
            <w:proofErr w:type="spellEnd"/>
          </w:p>
        </w:tc>
        <w:tc>
          <w:tcPr>
            <w:tcW w:w="996" w:type="dxa"/>
            <w:tcBorders>
              <w:top w:val="nil"/>
              <w:left w:val="nil"/>
              <w:bottom w:val="single" w:sz="8" w:space="0" w:color="auto"/>
              <w:right w:val="single" w:sz="8" w:space="0" w:color="auto"/>
            </w:tcBorders>
            <w:shd w:val="clear" w:color="auto" w:fill="auto"/>
            <w:noWrap/>
            <w:vAlign w:val="center"/>
            <w:hideMark/>
          </w:tcPr>
          <w:p w14:paraId="1C3D83D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12,462</w:t>
            </w:r>
          </w:p>
        </w:tc>
        <w:tc>
          <w:tcPr>
            <w:tcW w:w="996" w:type="dxa"/>
            <w:tcBorders>
              <w:top w:val="nil"/>
              <w:left w:val="nil"/>
              <w:bottom w:val="single" w:sz="8" w:space="0" w:color="auto"/>
              <w:right w:val="single" w:sz="8" w:space="0" w:color="auto"/>
            </w:tcBorders>
            <w:shd w:val="clear" w:color="auto" w:fill="auto"/>
            <w:noWrap/>
            <w:vAlign w:val="center"/>
            <w:hideMark/>
          </w:tcPr>
          <w:p w14:paraId="7EF8945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12,202</w:t>
            </w:r>
          </w:p>
        </w:tc>
        <w:tc>
          <w:tcPr>
            <w:tcW w:w="996" w:type="dxa"/>
            <w:tcBorders>
              <w:top w:val="nil"/>
              <w:left w:val="nil"/>
              <w:bottom w:val="single" w:sz="8" w:space="0" w:color="auto"/>
              <w:right w:val="single" w:sz="8" w:space="0" w:color="auto"/>
            </w:tcBorders>
            <w:shd w:val="clear" w:color="auto" w:fill="auto"/>
            <w:noWrap/>
            <w:vAlign w:val="center"/>
            <w:hideMark/>
          </w:tcPr>
          <w:p w14:paraId="2160C73F"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12,721</w:t>
            </w:r>
          </w:p>
        </w:tc>
        <w:tc>
          <w:tcPr>
            <w:tcW w:w="3860" w:type="dxa"/>
            <w:tcBorders>
              <w:top w:val="nil"/>
              <w:left w:val="nil"/>
              <w:bottom w:val="single" w:sz="8" w:space="0" w:color="auto"/>
              <w:right w:val="single" w:sz="8" w:space="0" w:color="auto"/>
            </w:tcBorders>
            <w:shd w:val="clear" w:color="auto" w:fill="auto"/>
            <w:noWrap/>
            <w:vAlign w:val="center"/>
            <w:hideMark/>
          </w:tcPr>
          <w:p w14:paraId="18C88159"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Shirtmakers and Seamstresses</w:t>
            </w:r>
          </w:p>
        </w:tc>
        <w:tc>
          <w:tcPr>
            <w:tcW w:w="996" w:type="dxa"/>
            <w:tcBorders>
              <w:top w:val="nil"/>
              <w:left w:val="nil"/>
              <w:bottom w:val="single" w:sz="8" w:space="0" w:color="auto"/>
              <w:right w:val="single" w:sz="8" w:space="0" w:color="auto"/>
            </w:tcBorders>
            <w:shd w:val="clear" w:color="auto" w:fill="auto"/>
            <w:noWrap/>
            <w:vAlign w:val="center"/>
            <w:hideMark/>
          </w:tcPr>
          <w:p w14:paraId="5F16F56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13,932</w:t>
            </w:r>
          </w:p>
        </w:tc>
        <w:tc>
          <w:tcPr>
            <w:tcW w:w="996" w:type="dxa"/>
            <w:tcBorders>
              <w:top w:val="nil"/>
              <w:left w:val="nil"/>
              <w:bottom w:val="single" w:sz="8" w:space="0" w:color="auto"/>
              <w:right w:val="single" w:sz="8" w:space="0" w:color="auto"/>
            </w:tcBorders>
            <w:shd w:val="clear" w:color="auto" w:fill="auto"/>
            <w:noWrap/>
            <w:vAlign w:val="center"/>
            <w:hideMark/>
          </w:tcPr>
          <w:p w14:paraId="0ED1EBA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13,694</w:t>
            </w:r>
          </w:p>
        </w:tc>
        <w:tc>
          <w:tcPr>
            <w:tcW w:w="996" w:type="dxa"/>
            <w:tcBorders>
              <w:top w:val="nil"/>
              <w:left w:val="nil"/>
              <w:bottom w:val="single" w:sz="8" w:space="0" w:color="auto"/>
              <w:right w:val="single" w:sz="8" w:space="0" w:color="auto"/>
            </w:tcBorders>
            <w:shd w:val="clear" w:color="auto" w:fill="auto"/>
            <w:noWrap/>
            <w:vAlign w:val="center"/>
            <w:hideMark/>
          </w:tcPr>
          <w:p w14:paraId="264A411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14,169</w:t>
            </w:r>
          </w:p>
        </w:tc>
      </w:tr>
      <w:tr w:rsidR="001F2F29" w:rsidRPr="001F2F29" w14:paraId="5AA514BB"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EC813A6"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Musician, Music Master, Singer</w:t>
            </w:r>
          </w:p>
        </w:tc>
        <w:tc>
          <w:tcPr>
            <w:tcW w:w="996" w:type="dxa"/>
            <w:tcBorders>
              <w:top w:val="nil"/>
              <w:left w:val="nil"/>
              <w:bottom w:val="single" w:sz="8" w:space="0" w:color="auto"/>
              <w:right w:val="single" w:sz="8" w:space="0" w:color="auto"/>
            </w:tcBorders>
            <w:shd w:val="clear" w:color="auto" w:fill="auto"/>
            <w:noWrap/>
            <w:vAlign w:val="center"/>
            <w:hideMark/>
          </w:tcPr>
          <w:p w14:paraId="4CA69D6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11,170</w:t>
            </w:r>
          </w:p>
        </w:tc>
        <w:tc>
          <w:tcPr>
            <w:tcW w:w="996" w:type="dxa"/>
            <w:tcBorders>
              <w:top w:val="nil"/>
              <w:left w:val="nil"/>
              <w:bottom w:val="single" w:sz="8" w:space="0" w:color="auto"/>
              <w:right w:val="single" w:sz="8" w:space="0" w:color="auto"/>
            </w:tcBorders>
            <w:shd w:val="clear" w:color="auto" w:fill="auto"/>
            <w:noWrap/>
            <w:vAlign w:val="center"/>
            <w:hideMark/>
          </w:tcPr>
          <w:p w14:paraId="2EF1209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10,939</w:t>
            </w:r>
          </w:p>
        </w:tc>
        <w:tc>
          <w:tcPr>
            <w:tcW w:w="996" w:type="dxa"/>
            <w:tcBorders>
              <w:top w:val="nil"/>
              <w:left w:val="nil"/>
              <w:bottom w:val="single" w:sz="8" w:space="0" w:color="auto"/>
              <w:right w:val="single" w:sz="8" w:space="0" w:color="auto"/>
            </w:tcBorders>
            <w:shd w:val="clear" w:color="auto" w:fill="auto"/>
            <w:noWrap/>
            <w:vAlign w:val="center"/>
            <w:hideMark/>
          </w:tcPr>
          <w:p w14:paraId="737BB56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11,402</w:t>
            </w:r>
          </w:p>
        </w:tc>
        <w:tc>
          <w:tcPr>
            <w:tcW w:w="3860" w:type="dxa"/>
            <w:tcBorders>
              <w:top w:val="nil"/>
              <w:left w:val="nil"/>
              <w:bottom w:val="single" w:sz="8" w:space="0" w:color="auto"/>
              <w:right w:val="single" w:sz="8" w:space="0" w:color="auto"/>
            </w:tcBorders>
            <w:shd w:val="clear" w:color="auto" w:fill="auto"/>
            <w:noWrap/>
            <w:vAlign w:val="center"/>
            <w:hideMark/>
          </w:tcPr>
          <w:p w14:paraId="6BEA9F2F"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Schoolmasters &amp; Teachers</w:t>
            </w:r>
          </w:p>
        </w:tc>
        <w:tc>
          <w:tcPr>
            <w:tcW w:w="996" w:type="dxa"/>
            <w:tcBorders>
              <w:top w:val="nil"/>
              <w:left w:val="nil"/>
              <w:bottom w:val="single" w:sz="8" w:space="0" w:color="auto"/>
              <w:right w:val="single" w:sz="8" w:space="0" w:color="auto"/>
            </w:tcBorders>
            <w:shd w:val="clear" w:color="auto" w:fill="auto"/>
            <w:noWrap/>
            <w:vAlign w:val="center"/>
            <w:hideMark/>
          </w:tcPr>
          <w:p w14:paraId="22E9B09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11,465</w:t>
            </w:r>
          </w:p>
        </w:tc>
        <w:tc>
          <w:tcPr>
            <w:tcW w:w="996" w:type="dxa"/>
            <w:tcBorders>
              <w:top w:val="nil"/>
              <w:left w:val="nil"/>
              <w:bottom w:val="single" w:sz="8" w:space="0" w:color="auto"/>
              <w:right w:val="single" w:sz="8" w:space="0" w:color="auto"/>
            </w:tcBorders>
            <w:shd w:val="clear" w:color="auto" w:fill="auto"/>
            <w:noWrap/>
            <w:vAlign w:val="center"/>
            <w:hideMark/>
          </w:tcPr>
          <w:p w14:paraId="7A28FEC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11,189</w:t>
            </w:r>
          </w:p>
        </w:tc>
        <w:tc>
          <w:tcPr>
            <w:tcW w:w="996" w:type="dxa"/>
            <w:tcBorders>
              <w:top w:val="nil"/>
              <w:left w:val="nil"/>
              <w:bottom w:val="single" w:sz="8" w:space="0" w:color="auto"/>
              <w:right w:val="single" w:sz="8" w:space="0" w:color="auto"/>
            </w:tcBorders>
            <w:shd w:val="clear" w:color="auto" w:fill="auto"/>
            <w:noWrap/>
            <w:vAlign w:val="center"/>
            <w:hideMark/>
          </w:tcPr>
          <w:p w14:paraId="11C200C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11,741</w:t>
            </w:r>
          </w:p>
        </w:tc>
      </w:tr>
      <w:tr w:rsidR="001F2F29" w:rsidRPr="001F2F29" w14:paraId="52479906"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0A19317D"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General Shopkeepers</w:t>
            </w:r>
          </w:p>
        </w:tc>
        <w:tc>
          <w:tcPr>
            <w:tcW w:w="996" w:type="dxa"/>
            <w:tcBorders>
              <w:top w:val="nil"/>
              <w:left w:val="nil"/>
              <w:bottom w:val="single" w:sz="8" w:space="0" w:color="auto"/>
              <w:right w:val="single" w:sz="8" w:space="0" w:color="auto"/>
            </w:tcBorders>
            <w:shd w:val="clear" w:color="auto" w:fill="auto"/>
            <w:noWrap/>
            <w:vAlign w:val="center"/>
            <w:hideMark/>
          </w:tcPr>
          <w:p w14:paraId="038C3CF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10,376</w:t>
            </w:r>
          </w:p>
        </w:tc>
        <w:tc>
          <w:tcPr>
            <w:tcW w:w="996" w:type="dxa"/>
            <w:tcBorders>
              <w:top w:val="nil"/>
              <w:left w:val="nil"/>
              <w:bottom w:val="single" w:sz="8" w:space="0" w:color="auto"/>
              <w:right w:val="single" w:sz="8" w:space="0" w:color="auto"/>
            </w:tcBorders>
            <w:shd w:val="clear" w:color="auto" w:fill="auto"/>
            <w:noWrap/>
            <w:vAlign w:val="center"/>
            <w:hideMark/>
          </w:tcPr>
          <w:p w14:paraId="360A835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10,166</w:t>
            </w:r>
          </w:p>
        </w:tc>
        <w:tc>
          <w:tcPr>
            <w:tcW w:w="996" w:type="dxa"/>
            <w:tcBorders>
              <w:top w:val="nil"/>
              <w:left w:val="nil"/>
              <w:bottom w:val="single" w:sz="8" w:space="0" w:color="auto"/>
              <w:right w:val="single" w:sz="8" w:space="0" w:color="auto"/>
            </w:tcBorders>
            <w:shd w:val="clear" w:color="auto" w:fill="auto"/>
            <w:noWrap/>
            <w:vAlign w:val="center"/>
            <w:hideMark/>
          </w:tcPr>
          <w:p w14:paraId="4C5CF39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10,587</w:t>
            </w:r>
          </w:p>
        </w:tc>
        <w:tc>
          <w:tcPr>
            <w:tcW w:w="3860" w:type="dxa"/>
            <w:tcBorders>
              <w:top w:val="nil"/>
              <w:left w:val="nil"/>
              <w:bottom w:val="single" w:sz="8" w:space="0" w:color="auto"/>
              <w:right w:val="single" w:sz="8" w:space="0" w:color="auto"/>
            </w:tcBorders>
            <w:shd w:val="clear" w:color="auto" w:fill="auto"/>
            <w:noWrap/>
            <w:vAlign w:val="center"/>
            <w:hideMark/>
          </w:tcPr>
          <w:p w14:paraId="24F921E0"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General Shopkeepers</w:t>
            </w:r>
          </w:p>
        </w:tc>
        <w:tc>
          <w:tcPr>
            <w:tcW w:w="996" w:type="dxa"/>
            <w:tcBorders>
              <w:top w:val="nil"/>
              <w:left w:val="nil"/>
              <w:bottom w:val="single" w:sz="8" w:space="0" w:color="auto"/>
              <w:right w:val="single" w:sz="8" w:space="0" w:color="auto"/>
            </w:tcBorders>
            <w:shd w:val="clear" w:color="auto" w:fill="auto"/>
            <w:noWrap/>
            <w:vAlign w:val="center"/>
            <w:hideMark/>
          </w:tcPr>
          <w:p w14:paraId="04954F3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11,431</w:t>
            </w:r>
          </w:p>
        </w:tc>
        <w:tc>
          <w:tcPr>
            <w:tcW w:w="996" w:type="dxa"/>
            <w:tcBorders>
              <w:top w:val="nil"/>
              <w:left w:val="nil"/>
              <w:bottom w:val="single" w:sz="8" w:space="0" w:color="auto"/>
              <w:right w:val="single" w:sz="8" w:space="0" w:color="auto"/>
            </w:tcBorders>
            <w:shd w:val="clear" w:color="auto" w:fill="auto"/>
            <w:noWrap/>
            <w:vAlign w:val="center"/>
            <w:hideMark/>
          </w:tcPr>
          <w:p w14:paraId="6F0BC2D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11,216</w:t>
            </w:r>
          </w:p>
        </w:tc>
        <w:tc>
          <w:tcPr>
            <w:tcW w:w="996" w:type="dxa"/>
            <w:tcBorders>
              <w:top w:val="nil"/>
              <w:left w:val="nil"/>
              <w:bottom w:val="single" w:sz="8" w:space="0" w:color="auto"/>
              <w:right w:val="single" w:sz="8" w:space="0" w:color="auto"/>
            </w:tcBorders>
            <w:shd w:val="clear" w:color="auto" w:fill="auto"/>
            <w:noWrap/>
            <w:vAlign w:val="center"/>
            <w:hideMark/>
          </w:tcPr>
          <w:p w14:paraId="313ED39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11,645</w:t>
            </w:r>
          </w:p>
        </w:tc>
      </w:tr>
      <w:tr w:rsidR="001F2F29" w:rsidRPr="001F2F29" w14:paraId="0B6D9572"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FC6673B"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Charwomen</w:t>
            </w:r>
          </w:p>
        </w:tc>
        <w:tc>
          <w:tcPr>
            <w:tcW w:w="996" w:type="dxa"/>
            <w:tcBorders>
              <w:top w:val="nil"/>
              <w:left w:val="nil"/>
              <w:bottom w:val="single" w:sz="8" w:space="0" w:color="auto"/>
              <w:right w:val="single" w:sz="8" w:space="0" w:color="auto"/>
            </w:tcBorders>
            <w:shd w:val="clear" w:color="auto" w:fill="auto"/>
            <w:noWrap/>
            <w:vAlign w:val="center"/>
            <w:hideMark/>
          </w:tcPr>
          <w:p w14:paraId="1972F31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9,984</w:t>
            </w:r>
          </w:p>
        </w:tc>
        <w:tc>
          <w:tcPr>
            <w:tcW w:w="996" w:type="dxa"/>
            <w:tcBorders>
              <w:top w:val="nil"/>
              <w:left w:val="nil"/>
              <w:bottom w:val="single" w:sz="8" w:space="0" w:color="auto"/>
              <w:right w:val="single" w:sz="8" w:space="0" w:color="auto"/>
            </w:tcBorders>
            <w:shd w:val="clear" w:color="auto" w:fill="auto"/>
            <w:noWrap/>
            <w:vAlign w:val="center"/>
            <w:hideMark/>
          </w:tcPr>
          <w:p w14:paraId="69E3823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9,751</w:t>
            </w:r>
          </w:p>
        </w:tc>
        <w:tc>
          <w:tcPr>
            <w:tcW w:w="996" w:type="dxa"/>
            <w:tcBorders>
              <w:top w:val="nil"/>
              <w:left w:val="nil"/>
              <w:bottom w:val="single" w:sz="8" w:space="0" w:color="auto"/>
              <w:right w:val="single" w:sz="8" w:space="0" w:color="auto"/>
            </w:tcBorders>
            <w:shd w:val="clear" w:color="auto" w:fill="auto"/>
            <w:noWrap/>
            <w:vAlign w:val="center"/>
            <w:hideMark/>
          </w:tcPr>
          <w:p w14:paraId="5807EDF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10,218</w:t>
            </w:r>
          </w:p>
        </w:tc>
        <w:tc>
          <w:tcPr>
            <w:tcW w:w="3860" w:type="dxa"/>
            <w:tcBorders>
              <w:top w:val="nil"/>
              <w:left w:val="nil"/>
              <w:bottom w:val="single" w:sz="8" w:space="0" w:color="auto"/>
              <w:right w:val="single" w:sz="8" w:space="0" w:color="auto"/>
            </w:tcBorders>
            <w:shd w:val="clear" w:color="auto" w:fill="auto"/>
            <w:noWrap/>
            <w:vAlign w:val="center"/>
            <w:hideMark/>
          </w:tcPr>
          <w:p w14:paraId="4341297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Innkeepers, Hotel Keepers, Publicans</w:t>
            </w:r>
          </w:p>
        </w:tc>
        <w:tc>
          <w:tcPr>
            <w:tcW w:w="996" w:type="dxa"/>
            <w:tcBorders>
              <w:top w:val="nil"/>
              <w:left w:val="nil"/>
              <w:bottom w:val="single" w:sz="8" w:space="0" w:color="auto"/>
              <w:right w:val="single" w:sz="8" w:space="0" w:color="auto"/>
            </w:tcBorders>
            <w:shd w:val="clear" w:color="auto" w:fill="auto"/>
            <w:noWrap/>
            <w:vAlign w:val="center"/>
            <w:hideMark/>
          </w:tcPr>
          <w:p w14:paraId="35DFD8E6"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9,964</w:t>
            </w:r>
          </w:p>
        </w:tc>
        <w:tc>
          <w:tcPr>
            <w:tcW w:w="996" w:type="dxa"/>
            <w:tcBorders>
              <w:top w:val="nil"/>
              <w:left w:val="nil"/>
              <w:bottom w:val="single" w:sz="8" w:space="0" w:color="auto"/>
              <w:right w:val="single" w:sz="8" w:space="0" w:color="auto"/>
            </w:tcBorders>
            <w:shd w:val="clear" w:color="auto" w:fill="auto"/>
            <w:noWrap/>
            <w:vAlign w:val="center"/>
            <w:hideMark/>
          </w:tcPr>
          <w:p w14:paraId="6790CB44"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9,759</w:t>
            </w:r>
          </w:p>
        </w:tc>
        <w:tc>
          <w:tcPr>
            <w:tcW w:w="996" w:type="dxa"/>
            <w:tcBorders>
              <w:top w:val="nil"/>
              <w:left w:val="nil"/>
              <w:bottom w:val="single" w:sz="8" w:space="0" w:color="auto"/>
              <w:right w:val="single" w:sz="8" w:space="0" w:color="auto"/>
            </w:tcBorders>
            <w:shd w:val="clear" w:color="auto" w:fill="auto"/>
            <w:noWrap/>
            <w:vAlign w:val="center"/>
            <w:hideMark/>
          </w:tcPr>
          <w:p w14:paraId="38D2D62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10,169</w:t>
            </w:r>
          </w:p>
        </w:tc>
      </w:tr>
    </w:tbl>
    <w:p w14:paraId="060AE7A5" w14:textId="77777777" w:rsidR="001F2F29" w:rsidRPr="001F2F29" w:rsidRDefault="001F2F29" w:rsidP="001F2F29">
      <w:pPr>
        <w:spacing w:after="160" w:line="259" w:lineRule="auto"/>
        <w:rPr>
          <w:rFonts w:ascii="Calibri" w:eastAsia="Calibri" w:hAnsi="Calibri" w:cs="Times New Roman"/>
          <w:b/>
          <w:sz w:val="22"/>
        </w:rPr>
      </w:pPr>
    </w:p>
    <w:tbl>
      <w:tblPr>
        <w:tblW w:w="6588" w:type="dxa"/>
        <w:tblInd w:w="-10" w:type="dxa"/>
        <w:tblLook w:val="04A0" w:firstRow="1" w:lastRow="0" w:firstColumn="1" w:lastColumn="0" w:noHBand="0" w:noVBand="1"/>
      </w:tblPr>
      <w:tblGrid>
        <w:gridCol w:w="3600"/>
        <w:gridCol w:w="996"/>
        <w:gridCol w:w="996"/>
        <w:gridCol w:w="996"/>
      </w:tblGrid>
      <w:tr w:rsidR="001F2F29" w:rsidRPr="001F2F29" w14:paraId="2BEF1C2C" w14:textId="77777777" w:rsidTr="00874EE0">
        <w:trPr>
          <w:trHeight w:val="330"/>
        </w:trPr>
        <w:tc>
          <w:tcPr>
            <w:tcW w:w="65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656561" w14:textId="77777777" w:rsidR="001F2F29" w:rsidRPr="001F2F29" w:rsidRDefault="001F2F29" w:rsidP="001F2F29">
            <w:pPr>
              <w:jc w:val="center"/>
              <w:rPr>
                <w:rFonts w:eastAsia="Times New Roman" w:cs="Times New Roman"/>
                <w:b/>
                <w:bCs/>
                <w:color w:val="000000"/>
                <w:szCs w:val="24"/>
                <w:lang w:eastAsia="en-GB"/>
              </w:rPr>
            </w:pPr>
            <w:r w:rsidRPr="001F2F29">
              <w:rPr>
                <w:rFonts w:eastAsia="Times New Roman" w:cs="Times New Roman"/>
                <w:b/>
                <w:bCs/>
                <w:color w:val="000000"/>
                <w:szCs w:val="24"/>
                <w:lang w:eastAsia="en-GB"/>
              </w:rPr>
              <w:lastRenderedPageBreak/>
              <w:t>1911</w:t>
            </w:r>
          </w:p>
        </w:tc>
      </w:tr>
      <w:tr w:rsidR="001F2F29" w:rsidRPr="001F2F29" w14:paraId="67CD4CC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18870C"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Sector</w:t>
            </w:r>
          </w:p>
        </w:tc>
        <w:tc>
          <w:tcPr>
            <w:tcW w:w="996" w:type="dxa"/>
            <w:tcBorders>
              <w:top w:val="nil"/>
              <w:left w:val="nil"/>
              <w:bottom w:val="single" w:sz="8" w:space="0" w:color="auto"/>
              <w:right w:val="single" w:sz="8" w:space="0" w:color="auto"/>
            </w:tcBorders>
            <w:shd w:val="clear" w:color="auto" w:fill="auto"/>
            <w:vAlign w:val="center"/>
            <w:hideMark/>
          </w:tcPr>
          <w:p w14:paraId="3B01A0A4"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No.</w:t>
            </w:r>
          </w:p>
        </w:tc>
        <w:tc>
          <w:tcPr>
            <w:tcW w:w="996" w:type="dxa"/>
            <w:tcBorders>
              <w:top w:val="nil"/>
              <w:left w:val="nil"/>
              <w:bottom w:val="single" w:sz="8" w:space="0" w:color="auto"/>
              <w:right w:val="single" w:sz="8" w:space="0" w:color="auto"/>
            </w:tcBorders>
            <w:shd w:val="clear" w:color="auto" w:fill="auto"/>
            <w:vAlign w:val="center"/>
            <w:hideMark/>
          </w:tcPr>
          <w:p w14:paraId="487C7FC8" w14:textId="77777777" w:rsidR="001F2F29" w:rsidRPr="001F2F29" w:rsidRDefault="001F2F29" w:rsidP="001F2F29">
            <w:pPr>
              <w:jc w:val="both"/>
              <w:rPr>
                <w:rFonts w:eastAsia="Times New Roman" w:cs="Times New Roman"/>
                <w:b/>
                <w:bCs/>
                <w:color w:val="000000"/>
                <w:szCs w:val="24"/>
                <w:lang w:eastAsia="en-GB"/>
              </w:rPr>
            </w:pPr>
            <w:r w:rsidRPr="001F2F29">
              <w:rPr>
                <w:rFonts w:eastAsia="Times New Roman" w:cs="Times New Roman"/>
                <w:b/>
                <w:bCs/>
                <w:color w:val="000000"/>
                <w:szCs w:val="24"/>
                <w:lang w:eastAsia="en-GB"/>
              </w:rPr>
              <w:t>Lb</w:t>
            </w:r>
          </w:p>
        </w:tc>
        <w:tc>
          <w:tcPr>
            <w:tcW w:w="996" w:type="dxa"/>
            <w:tcBorders>
              <w:top w:val="nil"/>
              <w:left w:val="nil"/>
              <w:bottom w:val="single" w:sz="8" w:space="0" w:color="auto"/>
              <w:right w:val="single" w:sz="8" w:space="0" w:color="auto"/>
            </w:tcBorders>
            <w:shd w:val="clear" w:color="auto" w:fill="auto"/>
            <w:vAlign w:val="center"/>
            <w:hideMark/>
          </w:tcPr>
          <w:p w14:paraId="6B3EEB14" w14:textId="77777777" w:rsidR="001F2F29" w:rsidRPr="001F2F29" w:rsidRDefault="001F2F29" w:rsidP="001F2F29">
            <w:pPr>
              <w:jc w:val="both"/>
              <w:rPr>
                <w:rFonts w:eastAsia="Times New Roman" w:cs="Times New Roman"/>
                <w:b/>
                <w:bCs/>
                <w:color w:val="000000"/>
                <w:szCs w:val="24"/>
                <w:lang w:eastAsia="en-GB"/>
              </w:rPr>
            </w:pPr>
            <w:proofErr w:type="spellStart"/>
            <w:r w:rsidRPr="001F2F29">
              <w:rPr>
                <w:rFonts w:eastAsia="Times New Roman" w:cs="Times New Roman"/>
                <w:b/>
                <w:bCs/>
                <w:color w:val="000000"/>
                <w:szCs w:val="24"/>
                <w:lang w:eastAsia="en-GB"/>
              </w:rPr>
              <w:t>Ub</w:t>
            </w:r>
            <w:proofErr w:type="spellEnd"/>
          </w:p>
        </w:tc>
      </w:tr>
      <w:tr w:rsidR="001F2F29" w:rsidRPr="001F2F29" w14:paraId="3DC7B38C"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4A0791D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Dressmakers</w:t>
            </w:r>
          </w:p>
        </w:tc>
        <w:tc>
          <w:tcPr>
            <w:tcW w:w="996" w:type="dxa"/>
            <w:tcBorders>
              <w:top w:val="nil"/>
              <w:left w:val="nil"/>
              <w:bottom w:val="single" w:sz="8" w:space="0" w:color="auto"/>
              <w:right w:val="single" w:sz="8" w:space="0" w:color="auto"/>
            </w:tcBorders>
            <w:shd w:val="clear" w:color="auto" w:fill="auto"/>
            <w:noWrap/>
            <w:vAlign w:val="center"/>
            <w:hideMark/>
          </w:tcPr>
          <w:p w14:paraId="1F7392C5"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126,146</w:t>
            </w:r>
          </w:p>
        </w:tc>
        <w:tc>
          <w:tcPr>
            <w:tcW w:w="996" w:type="dxa"/>
            <w:tcBorders>
              <w:top w:val="nil"/>
              <w:left w:val="nil"/>
              <w:bottom w:val="single" w:sz="8" w:space="0" w:color="auto"/>
              <w:right w:val="single" w:sz="8" w:space="0" w:color="auto"/>
            </w:tcBorders>
            <w:shd w:val="clear" w:color="auto" w:fill="auto"/>
            <w:noWrap/>
            <w:vAlign w:val="center"/>
            <w:hideMark/>
          </w:tcPr>
          <w:p w14:paraId="2FD24DF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125,615</w:t>
            </w:r>
          </w:p>
        </w:tc>
        <w:tc>
          <w:tcPr>
            <w:tcW w:w="996" w:type="dxa"/>
            <w:tcBorders>
              <w:top w:val="nil"/>
              <w:left w:val="nil"/>
              <w:bottom w:val="single" w:sz="8" w:space="0" w:color="auto"/>
              <w:right w:val="single" w:sz="8" w:space="0" w:color="auto"/>
            </w:tcBorders>
            <w:shd w:val="clear" w:color="auto" w:fill="auto"/>
            <w:noWrap/>
            <w:vAlign w:val="center"/>
            <w:hideMark/>
          </w:tcPr>
          <w:p w14:paraId="32067BC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126,677</w:t>
            </w:r>
          </w:p>
        </w:tc>
      </w:tr>
      <w:tr w:rsidR="001F2F29" w:rsidRPr="001F2F29" w14:paraId="4050B115"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13FE06C"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Lodging &amp; Boarding-House Keepers</w:t>
            </w:r>
          </w:p>
        </w:tc>
        <w:tc>
          <w:tcPr>
            <w:tcW w:w="996" w:type="dxa"/>
            <w:tcBorders>
              <w:top w:val="nil"/>
              <w:left w:val="nil"/>
              <w:bottom w:val="single" w:sz="8" w:space="0" w:color="auto"/>
              <w:right w:val="single" w:sz="8" w:space="0" w:color="auto"/>
            </w:tcBorders>
            <w:shd w:val="clear" w:color="auto" w:fill="auto"/>
            <w:noWrap/>
            <w:vAlign w:val="center"/>
            <w:hideMark/>
          </w:tcPr>
          <w:p w14:paraId="7A914B8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37,732</w:t>
            </w:r>
          </w:p>
        </w:tc>
        <w:tc>
          <w:tcPr>
            <w:tcW w:w="996" w:type="dxa"/>
            <w:tcBorders>
              <w:top w:val="nil"/>
              <w:left w:val="nil"/>
              <w:bottom w:val="single" w:sz="8" w:space="0" w:color="auto"/>
              <w:right w:val="single" w:sz="8" w:space="0" w:color="auto"/>
            </w:tcBorders>
            <w:shd w:val="clear" w:color="auto" w:fill="auto"/>
            <w:noWrap/>
            <w:vAlign w:val="center"/>
            <w:hideMark/>
          </w:tcPr>
          <w:p w14:paraId="330C428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37,268</w:t>
            </w:r>
          </w:p>
        </w:tc>
        <w:tc>
          <w:tcPr>
            <w:tcW w:w="996" w:type="dxa"/>
            <w:tcBorders>
              <w:top w:val="nil"/>
              <w:left w:val="nil"/>
              <w:bottom w:val="single" w:sz="8" w:space="0" w:color="auto"/>
              <w:right w:val="single" w:sz="8" w:space="0" w:color="auto"/>
            </w:tcBorders>
            <w:shd w:val="clear" w:color="auto" w:fill="auto"/>
            <w:noWrap/>
            <w:vAlign w:val="center"/>
            <w:hideMark/>
          </w:tcPr>
          <w:p w14:paraId="78611ADE"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38,196</w:t>
            </w:r>
          </w:p>
        </w:tc>
      </w:tr>
      <w:tr w:rsidR="001F2F29" w:rsidRPr="001F2F29" w14:paraId="7398977E"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2A644F9"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Laundry Workers</w:t>
            </w:r>
          </w:p>
        </w:tc>
        <w:tc>
          <w:tcPr>
            <w:tcW w:w="996" w:type="dxa"/>
            <w:tcBorders>
              <w:top w:val="nil"/>
              <w:left w:val="nil"/>
              <w:bottom w:val="single" w:sz="8" w:space="0" w:color="auto"/>
              <w:right w:val="single" w:sz="8" w:space="0" w:color="auto"/>
            </w:tcBorders>
            <w:shd w:val="clear" w:color="auto" w:fill="auto"/>
            <w:noWrap/>
            <w:vAlign w:val="center"/>
            <w:hideMark/>
          </w:tcPr>
          <w:p w14:paraId="6FB0F63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28,485</w:t>
            </w:r>
          </w:p>
        </w:tc>
        <w:tc>
          <w:tcPr>
            <w:tcW w:w="996" w:type="dxa"/>
            <w:tcBorders>
              <w:top w:val="nil"/>
              <w:left w:val="nil"/>
              <w:bottom w:val="single" w:sz="8" w:space="0" w:color="auto"/>
              <w:right w:val="single" w:sz="8" w:space="0" w:color="auto"/>
            </w:tcBorders>
            <w:shd w:val="clear" w:color="auto" w:fill="auto"/>
            <w:noWrap/>
            <w:vAlign w:val="center"/>
            <w:hideMark/>
          </w:tcPr>
          <w:p w14:paraId="72E1D22C"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28,149</w:t>
            </w:r>
          </w:p>
        </w:tc>
        <w:tc>
          <w:tcPr>
            <w:tcW w:w="996" w:type="dxa"/>
            <w:tcBorders>
              <w:top w:val="nil"/>
              <w:left w:val="nil"/>
              <w:bottom w:val="single" w:sz="8" w:space="0" w:color="auto"/>
              <w:right w:val="single" w:sz="8" w:space="0" w:color="auto"/>
            </w:tcBorders>
            <w:shd w:val="clear" w:color="auto" w:fill="auto"/>
            <w:noWrap/>
            <w:vAlign w:val="center"/>
            <w:hideMark/>
          </w:tcPr>
          <w:p w14:paraId="5C48E57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28,821</w:t>
            </w:r>
          </w:p>
        </w:tc>
      </w:tr>
      <w:tr w:rsidR="001F2F29" w:rsidRPr="001F2F29" w14:paraId="2038090B"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FF8A79F"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General Shopkeepers</w:t>
            </w:r>
          </w:p>
        </w:tc>
        <w:tc>
          <w:tcPr>
            <w:tcW w:w="996" w:type="dxa"/>
            <w:tcBorders>
              <w:top w:val="nil"/>
              <w:left w:val="nil"/>
              <w:bottom w:val="single" w:sz="8" w:space="0" w:color="auto"/>
              <w:right w:val="single" w:sz="8" w:space="0" w:color="auto"/>
            </w:tcBorders>
            <w:shd w:val="clear" w:color="auto" w:fill="auto"/>
            <w:noWrap/>
            <w:vAlign w:val="center"/>
            <w:hideMark/>
          </w:tcPr>
          <w:p w14:paraId="4143598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20,416</w:t>
            </w:r>
          </w:p>
        </w:tc>
        <w:tc>
          <w:tcPr>
            <w:tcW w:w="996" w:type="dxa"/>
            <w:tcBorders>
              <w:top w:val="nil"/>
              <w:left w:val="nil"/>
              <w:bottom w:val="single" w:sz="8" w:space="0" w:color="auto"/>
              <w:right w:val="single" w:sz="8" w:space="0" w:color="auto"/>
            </w:tcBorders>
            <w:shd w:val="clear" w:color="auto" w:fill="auto"/>
            <w:noWrap/>
            <w:vAlign w:val="center"/>
            <w:hideMark/>
          </w:tcPr>
          <w:p w14:paraId="4FCD5C1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20,133</w:t>
            </w:r>
          </w:p>
        </w:tc>
        <w:tc>
          <w:tcPr>
            <w:tcW w:w="996" w:type="dxa"/>
            <w:tcBorders>
              <w:top w:val="nil"/>
              <w:left w:val="nil"/>
              <w:bottom w:val="single" w:sz="8" w:space="0" w:color="auto"/>
              <w:right w:val="single" w:sz="8" w:space="0" w:color="auto"/>
            </w:tcBorders>
            <w:shd w:val="clear" w:color="auto" w:fill="auto"/>
            <w:noWrap/>
            <w:vAlign w:val="center"/>
            <w:hideMark/>
          </w:tcPr>
          <w:p w14:paraId="1451C67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20,699</w:t>
            </w:r>
          </w:p>
        </w:tc>
      </w:tr>
      <w:tr w:rsidR="001F2F29" w:rsidRPr="001F2F29" w14:paraId="640F12B8"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20BFB2DB"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Musician, Music Master, Singer </w:t>
            </w:r>
          </w:p>
        </w:tc>
        <w:tc>
          <w:tcPr>
            <w:tcW w:w="996" w:type="dxa"/>
            <w:tcBorders>
              <w:top w:val="nil"/>
              <w:left w:val="nil"/>
              <w:bottom w:val="single" w:sz="8" w:space="0" w:color="auto"/>
              <w:right w:val="single" w:sz="8" w:space="0" w:color="auto"/>
            </w:tcBorders>
            <w:shd w:val="clear" w:color="auto" w:fill="auto"/>
            <w:noWrap/>
            <w:vAlign w:val="center"/>
            <w:hideMark/>
          </w:tcPr>
          <w:p w14:paraId="753D367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17,718</w:t>
            </w:r>
          </w:p>
        </w:tc>
        <w:tc>
          <w:tcPr>
            <w:tcW w:w="996" w:type="dxa"/>
            <w:tcBorders>
              <w:top w:val="nil"/>
              <w:left w:val="nil"/>
              <w:bottom w:val="single" w:sz="8" w:space="0" w:color="auto"/>
              <w:right w:val="single" w:sz="8" w:space="0" w:color="auto"/>
            </w:tcBorders>
            <w:shd w:val="clear" w:color="auto" w:fill="auto"/>
            <w:noWrap/>
            <w:vAlign w:val="center"/>
            <w:hideMark/>
          </w:tcPr>
          <w:p w14:paraId="485ED123"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17,382</w:t>
            </w:r>
          </w:p>
        </w:tc>
        <w:tc>
          <w:tcPr>
            <w:tcW w:w="996" w:type="dxa"/>
            <w:tcBorders>
              <w:top w:val="nil"/>
              <w:left w:val="nil"/>
              <w:bottom w:val="single" w:sz="8" w:space="0" w:color="auto"/>
              <w:right w:val="single" w:sz="8" w:space="0" w:color="auto"/>
            </w:tcBorders>
            <w:shd w:val="clear" w:color="auto" w:fill="auto"/>
            <w:noWrap/>
            <w:vAlign w:val="center"/>
            <w:hideMark/>
          </w:tcPr>
          <w:p w14:paraId="788A133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18,054</w:t>
            </w:r>
          </w:p>
        </w:tc>
      </w:tr>
      <w:tr w:rsidR="001F2F29" w:rsidRPr="001F2F29" w14:paraId="21578F3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14E0778"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Grocers Tea Dealers</w:t>
            </w:r>
          </w:p>
        </w:tc>
        <w:tc>
          <w:tcPr>
            <w:tcW w:w="996" w:type="dxa"/>
            <w:tcBorders>
              <w:top w:val="nil"/>
              <w:left w:val="nil"/>
              <w:bottom w:val="single" w:sz="8" w:space="0" w:color="auto"/>
              <w:right w:val="single" w:sz="8" w:space="0" w:color="auto"/>
            </w:tcBorders>
            <w:shd w:val="clear" w:color="auto" w:fill="auto"/>
            <w:noWrap/>
            <w:vAlign w:val="center"/>
            <w:hideMark/>
          </w:tcPr>
          <w:p w14:paraId="19814C4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15,438</w:t>
            </w:r>
          </w:p>
        </w:tc>
        <w:tc>
          <w:tcPr>
            <w:tcW w:w="996" w:type="dxa"/>
            <w:tcBorders>
              <w:top w:val="nil"/>
              <w:left w:val="nil"/>
              <w:bottom w:val="single" w:sz="8" w:space="0" w:color="auto"/>
              <w:right w:val="single" w:sz="8" w:space="0" w:color="auto"/>
            </w:tcBorders>
            <w:shd w:val="clear" w:color="auto" w:fill="auto"/>
            <w:noWrap/>
            <w:vAlign w:val="center"/>
            <w:hideMark/>
          </w:tcPr>
          <w:p w14:paraId="105816C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15,186</w:t>
            </w:r>
          </w:p>
        </w:tc>
        <w:tc>
          <w:tcPr>
            <w:tcW w:w="996" w:type="dxa"/>
            <w:tcBorders>
              <w:top w:val="nil"/>
              <w:left w:val="nil"/>
              <w:bottom w:val="single" w:sz="8" w:space="0" w:color="auto"/>
              <w:right w:val="single" w:sz="8" w:space="0" w:color="auto"/>
            </w:tcBorders>
            <w:shd w:val="clear" w:color="auto" w:fill="auto"/>
            <w:noWrap/>
            <w:vAlign w:val="center"/>
            <w:hideMark/>
          </w:tcPr>
          <w:p w14:paraId="1E6EF27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15,690</w:t>
            </w:r>
          </w:p>
        </w:tc>
      </w:tr>
      <w:tr w:rsidR="001F2F29" w:rsidRPr="001F2F29" w14:paraId="7FBF9A9D"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371E640F"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Biscuit Cake Dealers (Confectioners)</w:t>
            </w:r>
          </w:p>
        </w:tc>
        <w:tc>
          <w:tcPr>
            <w:tcW w:w="996" w:type="dxa"/>
            <w:tcBorders>
              <w:top w:val="nil"/>
              <w:left w:val="nil"/>
              <w:bottom w:val="single" w:sz="8" w:space="0" w:color="auto"/>
              <w:right w:val="single" w:sz="8" w:space="0" w:color="auto"/>
            </w:tcBorders>
            <w:shd w:val="clear" w:color="auto" w:fill="auto"/>
            <w:noWrap/>
            <w:vAlign w:val="center"/>
            <w:hideMark/>
          </w:tcPr>
          <w:p w14:paraId="23F171F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13,123</w:t>
            </w:r>
          </w:p>
        </w:tc>
        <w:tc>
          <w:tcPr>
            <w:tcW w:w="996" w:type="dxa"/>
            <w:tcBorders>
              <w:top w:val="nil"/>
              <w:left w:val="nil"/>
              <w:bottom w:val="single" w:sz="8" w:space="0" w:color="auto"/>
              <w:right w:val="single" w:sz="8" w:space="0" w:color="auto"/>
            </w:tcBorders>
            <w:shd w:val="clear" w:color="auto" w:fill="auto"/>
            <w:noWrap/>
            <w:vAlign w:val="center"/>
            <w:hideMark/>
          </w:tcPr>
          <w:p w14:paraId="00ACB98A"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12,895</w:t>
            </w:r>
          </w:p>
        </w:tc>
        <w:tc>
          <w:tcPr>
            <w:tcW w:w="996" w:type="dxa"/>
            <w:tcBorders>
              <w:top w:val="nil"/>
              <w:left w:val="nil"/>
              <w:bottom w:val="single" w:sz="8" w:space="0" w:color="auto"/>
              <w:right w:val="single" w:sz="8" w:space="0" w:color="auto"/>
            </w:tcBorders>
            <w:shd w:val="clear" w:color="auto" w:fill="auto"/>
            <w:noWrap/>
            <w:vAlign w:val="center"/>
            <w:hideMark/>
          </w:tcPr>
          <w:p w14:paraId="7D56A33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13,352</w:t>
            </w:r>
          </w:p>
        </w:tc>
      </w:tr>
      <w:tr w:rsidR="001F2F29" w:rsidRPr="001F2F29" w14:paraId="06A4E05A"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49B8287"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Shirtmakers and Seamstresses</w:t>
            </w:r>
          </w:p>
        </w:tc>
        <w:tc>
          <w:tcPr>
            <w:tcW w:w="996" w:type="dxa"/>
            <w:tcBorders>
              <w:top w:val="nil"/>
              <w:left w:val="nil"/>
              <w:bottom w:val="single" w:sz="8" w:space="0" w:color="auto"/>
              <w:right w:val="single" w:sz="8" w:space="0" w:color="auto"/>
            </w:tcBorders>
            <w:shd w:val="clear" w:color="auto" w:fill="auto"/>
            <w:noWrap/>
            <w:vAlign w:val="center"/>
            <w:hideMark/>
          </w:tcPr>
          <w:p w14:paraId="0CEB5AE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9,796</w:t>
            </w:r>
          </w:p>
        </w:tc>
        <w:tc>
          <w:tcPr>
            <w:tcW w:w="996" w:type="dxa"/>
            <w:tcBorders>
              <w:top w:val="nil"/>
              <w:left w:val="nil"/>
              <w:bottom w:val="single" w:sz="8" w:space="0" w:color="auto"/>
              <w:right w:val="single" w:sz="8" w:space="0" w:color="auto"/>
            </w:tcBorders>
            <w:shd w:val="clear" w:color="auto" w:fill="auto"/>
            <w:noWrap/>
            <w:vAlign w:val="center"/>
            <w:hideMark/>
          </w:tcPr>
          <w:p w14:paraId="3C09F128"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9,585</w:t>
            </w:r>
          </w:p>
        </w:tc>
        <w:tc>
          <w:tcPr>
            <w:tcW w:w="996" w:type="dxa"/>
            <w:tcBorders>
              <w:top w:val="nil"/>
              <w:left w:val="nil"/>
              <w:bottom w:val="single" w:sz="8" w:space="0" w:color="auto"/>
              <w:right w:val="single" w:sz="8" w:space="0" w:color="auto"/>
            </w:tcBorders>
            <w:shd w:val="clear" w:color="auto" w:fill="auto"/>
            <w:noWrap/>
            <w:vAlign w:val="center"/>
            <w:hideMark/>
          </w:tcPr>
          <w:p w14:paraId="647564B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10,007</w:t>
            </w:r>
          </w:p>
        </w:tc>
      </w:tr>
      <w:tr w:rsidR="001F2F29" w:rsidRPr="001F2F29" w14:paraId="568DC706"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7E3F8E72"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Hawkers Hucksters </w:t>
            </w:r>
            <w:proofErr w:type="spellStart"/>
            <w:r w:rsidRPr="001F2F29">
              <w:rPr>
                <w:rFonts w:eastAsia="Times New Roman" w:cs="Times New Roman"/>
                <w:color w:val="000000"/>
                <w:szCs w:val="24"/>
                <w:lang w:eastAsia="en-GB"/>
              </w:rPr>
              <w:t>Costers</w:t>
            </w:r>
            <w:proofErr w:type="spellEnd"/>
          </w:p>
        </w:tc>
        <w:tc>
          <w:tcPr>
            <w:tcW w:w="996" w:type="dxa"/>
            <w:tcBorders>
              <w:top w:val="nil"/>
              <w:left w:val="nil"/>
              <w:bottom w:val="single" w:sz="8" w:space="0" w:color="auto"/>
              <w:right w:val="single" w:sz="8" w:space="0" w:color="auto"/>
            </w:tcBorders>
            <w:shd w:val="clear" w:color="auto" w:fill="auto"/>
            <w:noWrap/>
            <w:vAlign w:val="center"/>
            <w:hideMark/>
          </w:tcPr>
          <w:p w14:paraId="67489CA1"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9,726</w:t>
            </w:r>
          </w:p>
        </w:tc>
        <w:tc>
          <w:tcPr>
            <w:tcW w:w="996" w:type="dxa"/>
            <w:tcBorders>
              <w:top w:val="nil"/>
              <w:left w:val="nil"/>
              <w:bottom w:val="single" w:sz="8" w:space="0" w:color="auto"/>
              <w:right w:val="single" w:sz="8" w:space="0" w:color="auto"/>
            </w:tcBorders>
            <w:shd w:val="clear" w:color="auto" w:fill="auto"/>
            <w:noWrap/>
            <w:vAlign w:val="center"/>
            <w:hideMark/>
          </w:tcPr>
          <w:p w14:paraId="67ADB802"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9,488</w:t>
            </w:r>
          </w:p>
        </w:tc>
        <w:tc>
          <w:tcPr>
            <w:tcW w:w="996" w:type="dxa"/>
            <w:tcBorders>
              <w:top w:val="nil"/>
              <w:left w:val="nil"/>
              <w:bottom w:val="single" w:sz="8" w:space="0" w:color="auto"/>
              <w:right w:val="single" w:sz="8" w:space="0" w:color="auto"/>
            </w:tcBorders>
            <w:shd w:val="clear" w:color="auto" w:fill="auto"/>
            <w:noWrap/>
            <w:vAlign w:val="center"/>
            <w:hideMark/>
          </w:tcPr>
          <w:p w14:paraId="0E7917AB"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9,963</w:t>
            </w:r>
          </w:p>
        </w:tc>
      </w:tr>
      <w:tr w:rsidR="001F2F29" w:rsidRPr="001F2F29" w14:paraId="41F62839" w14:textId="77777777" w:rsidTr="00874EE0">
        <w:trPr>
          <w:trHeight w:val="330"/>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18190B19" w14:textId="77777777" w:rsidR="001F2F29" w:rsidRPr="001F2F29" w:rsidRDefault="001F2F29" w:rsidP="001F2F29">
            <w:pPr>
              <w:rPr>
                <w:rFonts w:eastAsia="Times New Roman" w:cs="Times New Roman"/>
                <w:color w:val="000000"/>
                <w:szCs w:val="24"/>
                <w:lang w:eastAsia="en-GB"/>
              </w:rPr>
            </w:pPr>
            <w:r w:rsidRPr="001F2F29">
              <w:rPr>
                <w:rFonts w:eastAsia="Times New Roman" w:cs="Times New Roman"/>
                <w:color w:val="000000"/>
                <w:szCs w:val="24"/>
                <w:lang w:eastAsia="en-GB"/>
              </w:rPr>
              <w:t xml:space="preserve">Charwomen </w:t>
            </w:r>
          </w:p>
        </w:tc>
        <w:tc>
          <w:tcPr>
            <w:tcW w:w="996" w:type="dxa"/>
            <w:tcBorders>
              <w:top w:val="nil"/>
              <w:left w:val="nil"/>
              <w:bottom w:val="single" w:sz="8" w:space="0" w:color="auto"/>
              <w:right w:val="single" w:sz="8" w:space="0" w:color="auto"/>
            </w:tcBorders>
            <w:shd w:val="clear" w:color="auto" w:fill="auto"/>
            <w:noWrap/>
            <w:vAlign w:val="center"/>
            <w:hideMark/>
          </w:tcPr>
          <w:p w14:paraId="13CB705D"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8,544</w:t>
            </w:r>
          </w:p>
        </w:tc>
        <w:tc>
          <w:tcPr>
            <w:tcW w:w="996" w:type="dxa"/>
            <w:tcBorders>
              <w:top w:val="nil"/>
              <w:left w:val="nil"/>
              <w:bottom w:val="single" w:sz="8" w:space="0" w:color="auto"/>
              <w:right w:val="single" w:sz="8" w:space="0" w:color="auto"/>
            </w:tcBorders>
            <w:shd w:val="clear" w:color="auto" w:fill="auto"/>
            <w:noWrap/>
            <w:vAlign w:val="center"/>
            <w:hideMark/>
          </w:tcPr>
          <w:p w14:paraId="7EA24EB0"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8,267</w:t>
            </w:r>
          </w:p>
        </w:tc>
        <w:tc>
          <w:tcPr>
            <w:tcW w:w="996" w:type="dxa"/>
            <w:tcBorders>
              <w:top w:val="nil"/>
              <w:left w:val="nil"/>
              <w:bottom w:val="single" w:sz="8" w:space="0" w:color="auto"/>
              <w:right w:val="single" w:sz="8" w:space="0" w:color="auto"/>
            </w:tcBorders>
            <w:shd w:val="clear" w:color="auto" w:fill="auto"/>
            <w:noWrap/>
            <w:vAlign w:val="center"/>
            <w:hideMark/>
          </w:tcPr>
          <w:p w14:paraId="33B1AAE7" w14:textId="77777777" w:rsidR="001F2F29" w:rsidRPr="001F2F29" w:rsidRDefault="001F2F29" w:rsidP="001F2F29">
            <w:pPr>
              <w:jc w:val="right"/>
              <w:rPr>
                <w:rFonts w:eastAsia="Times New Roman" w:cs="Times New Roman"/>
                <w:color w:val="000000"/>
                <w:szCs w:val="24"/>
                <w:lang w:eastAsia="en-GB"/>
              </w:rPr>
            </w:pPr>
            <w:r w:rsidRPr="001F2F29">
              <w:rPr>
                <w:rFonts w:eastAsia="Times New Roman" w:cs="Times New Roman"/>
                <w:color w:val="000000"/>
                <w:szCs w:val="24"/>
                <w:lang w:eastAsia="en-GB"/>
              </w:rPr>
              <w:t>8,821</w:t>
            </w:r>
          </w:p>
        </w:tc>
      </w:tr>
    </w:tbl>
    <w:p w14:paraId="1B71F76A" w14:textId="77777777" w:rsidR="001F2F29" w:rsidRPr="001F2F29" w:rsidRDefault="001F2F29" w:rsidP="001F2F29">
      <w:pPr>
        <w:spacing w:after="160" w:line="259" w:lineRule="auto"/>
        <w:rPr>
          <w:rFonts w:ascii="Calibri" w:eastAsia="Calibri" w:hAnsi="Calibri" w:cs="Times New Roman"/>
          <w:b/>
          <w:sz w:val="22"/>
        </w:rPr>
      </w:pPr>
    </w:p>
    <w:p w14:paraId="7E2D55C7" w14:textId="77777777" w:rsidR="001F2F29" w:rsidRPr="001F2F29" w:rsidRDefault="001F2F29" w:rsidP="001F2F29">
      <w:pPr>
        <w:spacing w:after="200" w:line="276" w:lineRule="auto"/>
        <w:rPr>
          <w:rFonts w:eastAsia="Calibri" w:cs="Times New Roman"/>
          <w:szCs w:val="24"/>
        </w:rPr>
      </w:pPr>
      <w:proofErr w:type="gramStart"/>
      <w:r w:rsidRPr="001F2F29">
        <w:rPr>
          <w:rFonts w:eastAsia="Calibri" w:cs="Times New Roman"/>
          <w:b/>
          <w:szCs w:val="24"/>
        </w:rPr>
        <w:t>Table 11</w:t>
      </w:r>
      <w:r w:rsidRPr="001F2F29">
        <w:rPr>
          <w:rFonts w:eastAsia="Calibri" w:cs="Times New Roman"/>
          <w:szCs w:val="24"/>
        </w:rPr>
        <w:t>.</w:t>
      </w:r>
      <w:proofErr w:type="gramEnd"/>
      <w:r w:rsidRPr="001F2F29">
        <w:rPr>
          <w:rFonts w:eastAsia="Calibri" w:cs="Times New Roman"/>
          <w:szCs w:val="24"/>
        </w:rPr>
        <w:t xml:space="preserve"> Evolution of female own account numbers with confidence bounds for the 10 most frequently occurring female sectors</w:t>
      </w:r>
    </w:p>
    <w:p w14:paraId="480B41A9" w14:textId="77777777" w:rsidR="001F2F29" w:rsidRDefault="001F2F29" w:rsidP="002726CD">
      <w:pPr>
        <w:spacing w:line="360" w:lineRule="auto"/>
        <w:jc w:val="both"/>
        <w:sectPr w:rsidR="001F2F29" w:rsidSect="001F2F29">
          <w:endnotePr>
            <w:numFmt w:val="decimal"/>
          </w:endnotePr>
          <w:pgSz w:w="16838" w:h="11906" w:orient="landscape"/>
          <w:pgMar w:top="1418" w:right="1191" w:bottom="1418" w:left="1134" w:header="709" w:footer="709" w:gutter="0"/>
          <w:cols w:space="708"/>
          <w:docGrid w:linePitch="360"/>
        </w:sectPr>
      </w:pPr>
    </w:p>
    <w:p w14:paraId="0532E7AC" w14:textId="5321857F" w:rsidR="00C37FBC" w:rsidRDefault="001C56AF" w:rsidP="002726CD">
      <w:pPr>
        <w:spacing w:line="360" w:lineRule="auto"/>
        <w:jc w:val="both"/>
      </w:pPr>
      <w:r>
        <w:lastRenderedPageBreak/>
        <w:t>Across</w:t>
      </w:r>
      <w:r w:rsidR="00C37FBC">
        <w:t xml:space="preserve"> the </w:t>
      </w:r>
      <w:r w:rsidR="00397CD0">
        <w:t>sub</w:t>
      </w:r>
      <w:r w:rsidR="00C37FBC">
        <w:t xml:space="preserve">sectors shown in these tables the </w:t>
      </w:r>
      <w:r w:rsidR="009038ED">
        <w:t xml:space="preserve">rising and then declining trend </w:t>
      </w:r>
      <w:r w:rsidR="000141DD">
        <w:t>is</w:t>
      </w:r>
      <w:r w:rsidR="00C37FBC">
        <w:t xml:space="preserve"> not </w:t>
      </w:r>
      <w:r w:rsidR="00540FD9">
        <w:t xml:space="preserve">always </w:t>
      </w:r>
      <w:r w:rsidR="00C37FBC">
        <w:t>as apparent</w:t>
      </w:r>
      <w:r w:rsidR="009038ED" w:rsidRPr="009038ED">
        <w:t xml:space="preserve"> </w:t>
      </w:r>
      <w:r w:rsidR="00C37FBC">
        <w:t xml:space="preserve">as </w:t>
      </w:r>
      <w:r w:rsidR="009038ED">
        <w:t>for</w:t>
      </w:r>
      <w:r w:rsidR="00C37FBC">
        <w:t xml:space="preserve"> aggregate </w:t>
      </w:r>
      <w:r w:rsidR="009038ED">
        <w:t>sector</w:t>
      </w:r>
      <w:r w:rsidR="00C37FBC">
        <w:t xml:space="preserve">s. </w:t>
      </w:r>
      <w:r w:rsidR="009038ED">
        <w:t xml:space="preserve">Clearly at the more detailed level for men a range of different shifts occurred </w:t>
      </w:r>
      <w:r w:rsidR="000141DD">
        <w:t>presenting</w:t>
      </w:r>
      <w:r w:rsidR="009038ED">
        <w:t xml:space="preserve"> a complex picture. However, for women the story is plainer: a rapid</w:t>
      </w:r>
      <w:r w:rsidR="00C37FBC">
        <w:t xml:space="preserve"> grow</w:t>
      </w:r>
      <w:r w:rsidR="009038ED">
        <w:t xml:space="preserve">th of </w:t>
      </w:r>
      <w:r w:rsidR="000141DD">
        <w:t xml:space="preserve">participation as </w:t>
      </w:r>
      <w:r w:rsidR="00C54478">
        <w:t>propriet</w:t>
      </w:r>
      <w:r w:rsidR="00B90ED3">
        <w:t>o</w:t>
      </w:r>
      <w:r w:rsidR="00C54478">
        <w:t>r</w:t>
      </w:r>
      <w:r w:rsidR="00B90ED3">
        <w:t>s</w:t>
      </w:r>
      <w:r w:rsidR="000B24EA">
        <w:t xml:space="preserve"> </w:t>
      </w:r>
      <w:r w:rsidR="000141DD">
        <w:t xml:space="preserve">in </w:t>
      </w:r>
      <w:r w:rsidR="00C37FBC">
        <w:t xml:space="preserve">sectors </w:t>
      </w:r>
      <w:r w:rsidR="009038ED">
        <w:t>such as</w:t>
      </w:r>
      <w:r w:rsidR="00C37FBC">
        <w:t xml:space="preserve"> farming, </w:t>
      </w:r>
      <w:r w:rsidR="00624E31" w:rsidRPr="00624E31">
        <w:t>lodging-houses</w:t>
      </w:r>
      <w:r w:rsidR="00624E31">
        <w:t xml:space="preserve">, </w:t>
      </w:r>
      <w:r w:rsidR="00C37FBC">
        <w:t>professions and retail</w:t>
      </w:r>
      <w:r w:rsidR="00506B87">
        <w:t>; b</w:t>
      </w:r>
      <w:r w:rsidR="000E2B58">
        <w:t xml:space="preserve">ut </w:t>
      </w:r>
      <w:r w:rsidR="00397CD0">
        <w:t xml:space="preserve">the beginning of a </w:t>
      </w:r>
      <w:r w:rsidR="000E2B58">
        <w:t>down</w:t>
      </w:r>
      <w:r w:rsidR="00624E31">
        <w:t>ward</w:t>
      </w:r>
      <w:r w:rsidR="000E2B58">
        <w:t xml:space="preserve"> trend for female </w:t>
      </w:r>
      <w:r w:rsidR="00397CD0">
        <w:t>own account</w:t>
      </w:r>
      <w:r w:rsidR="00624E31">
        <w:t xml:space="preserve"> as dressmakers and laundresses</w:t>
      </w:r>
      <w:r w:rsidR="000E2B58">
        <w:t>. Thus</w:t>
      </w:r>
      <w:r w:rsidR="00F45F2D">
        <w:t>,</w:t>
      </w:r>
      <w:r w:rsidR="000E2B58">
        <w:t xml:space="preserve"> whilst t</w:t>
      </w:r>
      <w:r w:rsidR="00C37FBC" w:rsidRPr="00C37FBC">
        <w:t xml:space="preserve">he 1901 </w:t>
      </w:r>
      <w:r w:rsidR="00C20BD7">
        <w:t>Census</w:t>
      </w:r>
      <w:r w:rsidR="00C37FBC" w:rsidRPr="00C37FBC">
        <w:t xml:space="preserve"> </w:t>
      </w:r>
      <w:r w:rsidR="000E2B58">
        <w:t>does appear</w:t>
      </w:r>
      <w:r w:rsidR="00C37FBC" w:rsidRPr="00C37FBC">
        <w:t xml:space="preserve"> to have </w:t>
      </w:r>
      <w:r w:rsidR="000E2B58">
        <w:t xml:space="preserve">been a </w:t>
      </w:r>
      <w:r w:rsidR="00C37FBC" w:rsidRPr="00C37FBC">
        <w:t xml:space="preserve">marked turning point </w:t>
      </w:r>
      <w:r w:rsidR="000E2B58">
        <w:t>at the micro-sector level as well as</w:t>
      </w:r>
      <w:r w:rsidR="00644407">
        <w:t xml:space="preserve"> in aggregate, the development wa</w:t>
      </w:r>
      <w:r w:rsidR="000E2B58">
        <w:t>s complex and multi-faceted, playing out in contrasted ways between different sectors and genders</w:t>
      </w:r>
      <w:r w:rsidR="00397CD0">
        <w:t>,</w:t>
      </w:r>
      <w:r w:rsidR="00F45F2D">
        <w:t xml:space="preserve"> and</w:t>
      </w:r>
      <w:r w:rsidR="000E2B58">
        <w:t xml:space="preserve"> in different ways </w:t>
      </w:r>
      <w:r w:rsidR="00C54478">
        <w:t>between</w:t>
      </w:r>
      <w:r w:rsidR="000E2B58">
        <w:t xml:space="preserve"> the more prominent small businesses that were employers, and </w:t>
      </w:r>
      <w:r w:rsidR="00397CD0">
        <w:t>those that were</w:t>
      </w:r>
      <w:r w:rsidR="000E2B58">
        <w:t xml:space="preserve"> own account.</w:t>
      </w:r>
    </w:p>
    <w:p w14:paraId="0CEE6749" w14:textId="77777777" w:rsidR="000E2B58" w:rsidRDefault="000E2B58" w:rsidP="002726CD">
      <w:pPr>
        <w:spacing w:line="360" w:lineRule="auto"/>
        <w:jc w:val="both"/>
      </w:pPr>
    </w:p>
    <w:p w14:paraId="30FD1F08" w14:textId="77777777" w:rsidR="008E6214" w:rsidRPr="00EE759B" w:rsidRDefault="008E6214" w:rsidP="002726CD">
      <w:pPr>
        <w:spacing w:line="360" w:lineRule="auto"/>
        <w:jc w:val="both"/>
      </w:pPr>
    </w:p>
    <w:p w14:paraId="799C42A1" w14:textId="377694FC" w:rsidR="009A1434" w:rsidRPr="009A1434" w:rsidRDefault="009A1434" w:rsidP="002726CD">
      <w:pPr>
        <w:spacing w:line="360" w:lineRule="auto"/>
        <w:jc w:val="both"/>
        <w:rPr>
          <w:b/>
        </w:rPr>
      </w:pPr>
      <w:r>
        <w:rPr>
          <w:b/>
        </w:rPr>
        <w:t>Assessment and conclusion</w:t>
      </w:r>
    </w:p>
    <w:p w14:paraId="7AB51AB0" w14:textId="77777777" w:rsidR="0003007B" w:rsidRDefault="0003007B" w:rsidP="002726CD">
      <w:pPr>
        <w:spacing w:line="360" w:lineRule="auto"/>
        <w:jc w:val="both"/>
      </w:pPr>
    </w:p>
    <w:p w14:paraId="10CDCA0D" w14:textId="44AF08CD" w:rsidR="00ED37B0" w:rsidRDefault="005E3DEC" w:rsidP="005E3DEC">
      <w:pPr>
        <w:spacing w:line="360" w:lineRule="auto"/>
        <w:jc w:val="both"/>
      </w:pPr>
      <w:r>
        <w:t xml:space="preserve">This paper </w:t>
      </w:r>
      <w:r w:rsidR="00C61EDA">
        <w:t>uses</w:t>
      </w:r>
      <w:r>
        <w:t xml:space="preserve"> the 1891-1911 </w:t>
      </w:r>
      <w:r w:rsidR="00BB6AA4">
        <w:t>population Census</w:t>
      </w:r>
      <w:r>
        <w:t xml:space="preserve">es to provide accurate and consistent counts of business proprietors, and </w:t>
      </w:r>
      <w:r w:rsidR="00285624">
        <w:t xml:space="preserve">the breakdown of these into </w:t>
      </w:r>
      <w:r>
        <w:t>employer</w:t>
      </w:r>
      <w:r w:rsidR="00285624">
        <w:t>s</w:t>
      </w:r>
      <w:r>
        <w:t xml:space="preserve"> and own account self-employed</w:t>
      </w:r>
      <w:r w:rsidR="00397CD0">
        <w:t xml:space="preserve"> by sector and gender</w:t>
      </w:r>
      <w:r>
        <w:t xml:space="preserve">. This provides an entry point for many areas of subsequent research for business historians. The </w:t>
      </w:r>
      <w:r w:rsidR="00BB6AA4">
        <w:t>Census</w:t>
      </w:r>
      <w:r w:rsidR="00E306FF">
        <w:t xml:space="preserve"> </w:t>
      </w:r>
      <w:r>
        <w:t xml:space="preserve">allows </w:t>
      </w:r>
      <w:r w:rsidR="00727D74">
        <w:t xml:space="preserve">new analysis of trends over time and opens the way for </w:t>
      </w:r>
      <w:r w:rsidR="00ED37B0">
        <w:t xml:space="preserve">inclusive analysis of all </w:t>
      </w:r>
      <w:r>
        <w:t xml:space="preserve">individuals </w:t>
      </w:r>
      <w:r w:rsidR="00ED37B0">
        <w:t>from</w:t>
      </w:r>
      <w:r>
        <w:t xml:space="preserve"> across the whole population, permitting their </w:t>
      </w:r>
      <w:r w:rsidR="00AF36B3">
        <w:t xml:space="preserve">business </w:t>
      </w:r>
      <w:r>
        <w:t xml:space="preserve">characteristics, </w:t>
      </w:r>
      <w:r w:rsidR="00AF36B3">
        <w:t xml:space="preserve">industry sector, </w:t>
      </w:r>
      <w:r>
        <w:t xml:space="preserve">gender, family structure, </w:t>
      </w:r>
      <w:r w:rsidR="00AF36B3">
        <w:t xml:space="preserve">and </w:t>
      </w:r>
      <w:r>
        <w:t>location to be examined and compared with each other. For example</w:t>
      </w:r>
      <w:r w:rsidR="00972469">
        <w:t>,</w:t>
      </w:r>
      <w:r>
        <w:t xml:space="preserve"> female and male entrepreneurs can be compared at the level of the whole population; within</w:t>
      </w:r>
      <w:r w:rsidR="00ED37B0">
        <w:t>-</w:t>
      </w:r>
      <w:r>
        <w:t>household characteris</w:t>
      </w:r>
      <w:r w:rsidR="00C61EDA">
        <w:t>tic</w:t>
      </w:r>
      <w:r>
        <w:t>s can be examined to identify different types of family firm; employer and own</w:t>
      </w:r>
      <w:r w:rsidR="000832CB">
        <w:t>-</w:t>
      </w:r>
      <w:r>
        <w:t xml:space="preserve">account </w:t>
      </w:r>
      <w:proofErr w:type="gramStart"/>
      <w:r w:rsidR="006B048B" w:rsidRPr="006B048B">
        <w:t>proprietors</w:t>
      </w:r>
      <w:r w:rsidR="006B048B">
        <w:t xml:space="preserve"> </w:t>
      </w:r>
      <w:r>
        <w:t xml:space="preserve"> can</w:t>
      </w:r>
      <w:proofErr w:type="gramEnd"/>
      <w:r>
        <w:t xml:space="preserve"> be compared across </w:t>
      </w:r>
      <w:r w:rsidR="00ED37B0">
        <w:t>each sector</w:t>
      </w:r>
      <w:r w:rsidR="00C61EDA">
        <w:t>.</w:t>
      </w:r>
      <w:r>
        <w:t xml:space="preserve"> The scope for large</w:t>
      </w:r>
      <w:r w:rsidR="000959AD">
        <w:t>-</w:t>
      </w:r>
      <w:r>
        <w:t xml:space="preserve">scale conclusions </w:t>
      </w:r>
      <w:r w:rsidR="00BB6AA4">
        <w:t xml:space="preserve">about business proprietorship </w:t>
      </w:r>
      <w:r>
        <w:t xml:space="preserve">across the whole </w:t>
      </w:r>
      <w:r w:rsidR="00BB6AA4">
        <w:t xml:space="preserve">non-corporate </w:t>
      </w:r>
      <w:r>
        <w:t xml:space="preserve">business population </w:t>
      </w:r>
      <w:r w:rsidR="00ED37B0">
        <w:t xml:space="preserve">for this period </w:t>
      </w:r>
      <w:r>
        <w:t xml:space="preserve">is opened up for the first time; this represents a major opportunity to utilise the historic </w:t>
      </w:r>
      <w:r w:rsidR="00BB6AA4">
        <w:t>Census</w:t>
      </w:r>
      <w:r>
        <w:t>es for ‘big data’ analysis.</w:t>
      </w:r>
      <w:r w:rsidR="00ED37B0">
        <w:t xml:space="preserve"> However, fundamental as a preliminary to such research is developing an understanding of what the individual </w:t>
      </w:r>
      <w:r w:rsidR="00BB6AA4">
        <w:t>Census</w:t>
      </w:r>
      <w:r w:rsidR="00E306FF">
        <w:t xml:space="preserve"> </w:t>
      </w:r>
      <w:r w:rsidR="00ED37B0">
        <w:t xml:space="preserve">responses do and do not show. </w:t>
      </w:r>
      <w:r w:rsidR="00727D74">
        <w:t xml:space="preserve"> Hence the primary purpose of this paper has been </w:t>
      </w:r>
      <w:r w:rsidR="000959AD">
        <w:t xml:space="preserve">to create an </w:t>
      </w:r>
      <w:r w:rsidR="00727D74">
        <w:t xml:space="preserve">estimate of </w:t>
      </w:r>
      <w:r w:rsidR="00ED3B59">
        <w:t>proprietor</w:t>
      </w:r>
      <w:r w:rsidR="00727D74">
        <w:t xml:space="preserve"> numbers for the 1891-1911 </w:t>
      </w:r>
      <w:proofErr w:type="gramStart"/>
      <w:r w:rsidR="00727D74">
        <w:t>period</w:t>
      </w:r>
      <w:proofErr w:type="gramEnd"/>
      <w:r w:rsidR="00727D74">
        <w:t>.</w:t>
      </w:r>
    </w:p>
    <w:p w14:paraId="41CD0ECB" w14:textId="77777777" w:rsidR="00ED37B0" w:rsidRDefault="00ED37B0" w:rsidP="005E3DEC">
      <w:pPr>
        <w:spacing w:line="360" w:lineRule="auto"/>
        <w:jc w:val="both"/>
      </w:pPr>
    </w:p>
    <w:p w14:paraId="15DACE84" w14:textId="740ADED7" w:rsidR="009D4C0E" w:rsidRDefault="00ED37B0">
      <w:pPr>
        <w:spacing w:line="360" w:lineRule="auto"/>
        <w:jc w:val="both"/>
      </w:pPr>
      <w:r>
        <w:t xml:space="preserve">This paper has </w:t>
      </w:r>
      <w:r w:rsidR="00CC7CCD">
        <w:t xml:space="preserve">considered how the </w:t>
      </w:r>
      <w:r w:rsidR="00BB6AA4">
        <w:t>Census</w:t>
      </w:r>
      <w:r w:rsidR="00E306FF">
        <w:t xml:space="preserve"> </w:t>
      </w:r>
      <w:r>
        <w:t xml:space="preserve">processes of data collection </w:t>
      </w:r>
      <w:r w:rsidR="00DC77DB">
        <w:t>affect</w:t>
      </w:r>
      <w:r>
        <w:t xml:space="preserve"> the quality of the estimates that can be made. </w:t>
      </w:r>
      <w:r w:rsidR="005E3DEC">
        <w:t xml:space="preserve">As noted at the outset, the population </w:t>
      </w:r>
      <w:r w:rsidR="00BB6AA4">
        <w:t>Census</w:t>
      </w:r>
      <w:r w:rsidR="00E306FF">
        <w:t xml:space="preserve"> </w:t>
      </w:r>
      <w:r w:rsidR="005E3DEC">
        <w:t xml:space="preserve">was not designed as a business </w:t>
      </w:r>
      <w:r w:rsidR="00BB6AA4">
        <w:t>Census</w:t>
      </w:r>
      <w:r w:rsidR="005E3DEC">
        <w:t xml:space="preserve">, </w:t>
      </w:r>
      <w:r w:rsidR="00ED3B59">
        <w:t>which</w:t>
      </w:r>
      <w:r w:rsidR="005E3DEC">
        <w:t xml:space="preserve"> constrains </w:t>
      </w:r>
      <w:r w:rsidR="00B950CA">
        <w:t xml:space="preserve">the </w:t>
      </w:r>
      <w:r w:rsidR="00ED3B59">
        <w:t>information available</w:t>
      </w:r>
      <w:r w:rsidR="00B950CA">
        <w:t xml:space="preserve">.  </w:t>
      </w:r>
      <w:r w:rsidR="00F501BA" w:rsidRPr="00F501BA">
        <w:t xml:space="preserve">It is </w:t>
      </w:r>
      <w:r w:rsidR="00F501BA">
        <w:t xml:space="preserve">also </w:t>
      </w:r>
      <w:r w:rsidR="00F501BA" w:rsidRPr="00F501BA">
        <w:t xml:space="preserve">accepted </w:t>
      </w:r>
      <w:r w:rsidR="00F501BA" w:rsidRPr="00F501BA">
        <w:lastRenderedPageBreak/>
        <w:t>that the estimates are limited in various respects: they cannot include the corporate sector which the Census made no attempt to cover; and there is no information on employee numbers or the output of the businesses</w:t>
      </w:r>
      <w:r w:rsidR="00F501BA">
        <w:t xml:space="preserve">. </w:t>
      </w:r>
      <w:r w:rsidR="00B950CA">
        <w:t xml:space="preserve">The paper </w:t>
      </w:r>
      <w:r w:rsidR="00972469">
        <w:t>has also demonstrated that the published and ‘raw’ responses in the CEBs encoded in I-CeM cannot be used without adjustment. The paper has addressed</w:t>
      </w:r>
      <w:r w:rsidR="009D4C0E">
        <w:t xml:space="preserve"> </w:t>
      </w:r>
      <w:r w:rsidR="00B950CA">
        <w:t>two</w:t>
      </w:r>
      <w:r w:rsidR="009D4C0E">
        <w:t xml:space="preserve"> </w:t>
      </w:r>
      <w:r w:rsidR="009D4C0E" w:rsidRPr="009D4C0E">
        <w:t xml:space="preserve">main issues that have to be managed </w:t>
      </w:r>
      <w:r w:rsidR="009D4C0E">
        <w:t>before it is possible to</w:t>
      </w:r>
      <w:r w:rsidR="009D4C0E" w:rsidRPr="009D4C0E">
        <w:t xml:space="preserve"> </w:t>
      </w:r>
      <w:r w:rsidR="009D4C0E">
        <w:t>construct</w:t>
      </w:r>
      <w:r w:rsidR="009D4C0E" w:rsidRPr="009D4C0E">
        <w:t xml:space="preserve"> dependable estimates</w:t>
      </w:r>
      <w:r w:rsidR="00F501BA">
        <w:t xml:space="preserve"> of proprietor numbers</w:t>
      </w:r>
      <w:r w:rsidR="00972469">
        <w:t>: first,</w:t>
      </w:r>
      <w:r w:rsidR="009D4C0E" w:rsidRPr="009D4C0E">
        <w:t xml:space="preserve"> </w:t>
      </w:r>
      <w:r w:rsidR="004D5CDB" w:rsidRPr="004D5CDB">
        <w:t>non-response bias across all years</w:t>
      </w:r>
      <w:r w:rsidR="004D5CDB">
        <w:t>;</w:t>
      </w:r>
      <w:r w:rsidR="004D5CDB" w:rsidRPr="004D5CDB">
        <w:t xml:space="preserve"> </w:t>
      </w:r>
      <w:r w:rsidR="00B950CA">
        <w:t xml:space="preserve">and </w:t>
      </w:r>
      <w:r w:rsidR="00972469">
        <w:t xml:space="preserve">second, </w:t>
      </w:r>
      <w:r w:rsidR="00397CD0">
        <w:t>misallocation</w:t>
      </w:r>
      <w:r w:rsidR="00397CD0" w:rsidRPr="009D4C0E">
        <w:t xml:space="preserve"> </w:t>
      </w:r>
      <w:r w:rsidR="009D4C0E" w:rsidRPr="009D4C0E">
        <w:t xml:space="preserve">bias </w:t>
      </w:r>
      <w:r w:rsidR="00B950CA">
        <w:t>in 1891</w:t>
      </w:r>
      <w:r w:rsidR="009D4C0E" w:rsidRPr="009D4C0E">
        <w:t xml:space="preserve">. </w:t>
      </w:r>
      <w:r w:rsidR="009D4C0E">
        <w:t>Whilst these issues have been previously known to exist,</w:t>
      </w:r>
      <w:r w:rsidR="00CC7CCD">
        <w:t xml:space="preserve"> neither the Census Office nor subsequent scholars have made any</w:t>
      </w:r>
      <w:r w:rsidR="009D4C0E">
        <w:t xml:space="preserve"> attempt to </w:t>
      </w:r>
      <w:r w:rsidR="00972469">
        <w:t>correct for the</w:t>
      </w:r>
      <w:r w:rsidR="00397CD0">
        <w:t>m</w:t>
      </w:r>
      <w:r w:rsidR="00ED3B59">
        <w:t>.</w:t>
      </w:r>
      <w:r w:rsidR="00F02F51">
        <w:t xml:space="preserve"> Using the e-census it has now been possible to make</w:t>
      </w:r>
      <w:r w:rsidR="008E2D2A">
        <w:t xml:space="preserve"> the adjustments required</w:t>
      </w:r>
      <w:r w:rsidR="00F02F51">
        <w:t>. T</w:t>
      </w:r>
      <w:r w:rsidR="008E2D2A">
        <w:t xml:space="preserve">he final estimates of </w:t>
      </w:r>
      <w:r w:rsidR="00065893">
        <w:t xml:space="preserve">aggregate </w:t>
      </w:r>
      <w:r w:rsidR="00CD1217">
        <w:t xml:space="preserve">proprietor </w:t>
      </w:r>
      <w:r w:rsidR="008E2D2A">
        <w:t>numbers, and the identified individuals</w:t>
      </w:r>
      <w:r w:rsidR="00065893">
        <w:t>,</w:t>
      </w:r>
      <w:r w:rsidR="008E2D2A">
        <w:t xml:space="preserve"> are</w:t>
      </w:r>
      <w:r w:rsidR="008E2D2A" w:rsidRPr="008E2D2A">
        <w:t xml:space="preserve"> part of a UKDA database deposit; </w:t>
      </w:r>
      <w:r w:rsidR="008E2D2A">
        <w:t>with</w:t>
      </w:r>
      <w:r w:rsidR="008E2D2A" w:rsidRPr="008E2D2A">
        <w:t xml:space="preserve"> the weights used to make the different </w:t>
      </w:r>
      <w:r w:rsidR="008E2D2A">
        <w:t>adjustments</w:t>
      </w:r>
      <w:r w:rsidR="008E2D2A" w:rsidRPr="008E2D2A">
        <w:t xml:space="preserve"> to </w:t>
      </w:r>
      <w:r w:rsidR="006B048B">
        <w:t xml:space="preserve">proprietor </w:t>
      </w:r>
      <w:r w:rsidR="008E2D2A" w:rsidRPr="008E2D2A">
        <w:t xml:space="preserve">numbers provided </w:t>
      </w:r>
      <w:r w:rsidR="00D12E80">
        <w:t xml:space="preserve">as supplementary material and </w:t>
      </w:r>
      <w:r w:rsidR="008E2D2A" w:rsidRPr="008E2D2A">
        <w:t>i</w:t>
      </w:r>
      <w:r w:rsidR="000C5593">
        <w:t>n a separate web-based resource (</w:t>
      </w:r>
      <w:r w:rsidR="004F79BA">
        <w:t>Montebruno, 2018</w:t>
      </w:r>
      <w:r w:rsidR="000C5593">
        <w:t>).</w:t>
      </w:r>
    </w:p>
    <w:p w14:paraId="06316DAE" w14:textId="77777777" w:rsidR="00EE759B" w:rsidRDefault="00EE759B" w:rsidP="002726CD">
      <w:pPr>
        <w:spacing w:line="360" w:lineRule="auto"/>
        <w:jc w:val="both"/>
      </w:pPr>
    </w:p>
    <w:p w14:paraId="3D091263" w14:textId="6013D7B6" w:rsidR="00C21022" w:rsidRDefault="00ED0241" w:rsidP="002726CD">
      <w:pPr>
        <w:spacing w:line="360" w:lineRule="auto"/>
        <w:jc w:val="both"/>
      </w:pPr>
      <w:r>
        <w:t>A major</w:t>
      </w:r>
      <w:r w:rsidR="00EE759B">
        <w:t xml:space="preserve"> </w:t>
      </w:r>
      <w:r w:rsidR="009A5680">
        <w:t>contribution</w:t>
      </w:r>
      <w:r>
        <w:t xml:space="preserve"> of th</w:t>
      </w:r>
      <w:r w:rsidR="009A5680">
        <w:t>is</w:t>
      </w:r>
      <w:r>
        <w:t xml:space="preserve"> paper</w:t>
      </w:r>
      <w:r w:rsidR="00A91C13">
        <w:t xml:space="preserve"> </w:t>
      </w:r>
      <w:r>
        <w:t>is to confirm</w:t>
      </w:r>
      <w:r w:rsidR="00A91C13">
        <w:t xml:space="preserve"> </w:t>
      </w:r>
      <w:r w:rsidR="00263DAD">
        <w:t>the persistence of small business</w:t>
      </w:r>
      <w:r w:rsidR="00712F70">
        <w:t>es as the most common type of firm</w:t>
      </w:r>
      <w:r w:rsidR="00263DAD">
        <w:t xml:space="preserve"> throughout the period covered</w:t>
      </w:r>
      <w:r w:rsidR="00712F70">
        <w:t>,</w:t>
      </w:r>
      <w:r>
        <w:t xml:space="preserve"> and </w:t>
      </w:r>
      <w:r w:rsidR="009A5680">
        <w:t xml:space="preserve">to </w:t>
      </w:r>
      <w:r>
        <w:t xml:space="preserve">measure </w:t>
      </w:r>
      <w:r w:rsidR="00C21022">
        <w:t xml:space="preserve">their </w:t>
      </w:r>
      <w:r>
        <w:t>extent</w:t>
      </w:r>
      <w:r w:rsidR="00263DAD">
        <w:t xml:space="preserve">. </w:t>
      </w:r>
      <w:r>
        <w:t>Whilst the persistence of</w:t>
      </w:r>
      <w:r w:rsidR="00263DAD">
        <w:t xml:space="preserve"> </w:t>
      </w:r>
      <w:r w:rsidR="008E2D2A">
        <w:t xml:space="preserve">the family firm, partnerships and sole proprietors into the 1930s has been understood since the seminal studies by Marshall </w:t>
      </w:r>
      <w:r w:rsidR="008E2D2A" w:rsidRPr="008E2D2A">
        <w:t>and Clapham</w:t>
      </w:r>
      <w:r w:rsidR="008E2D2A">
        <w:t xml:space="preserve">, we now know </w:t>
      </w:r>
      <w:r w:rsidR="00C21022">
        <w:t xml:space="preserve">much </w:t>
      </w:r>
      <w:r w:rsidR="00F02F51">
        <w:t>more about</w:t>
      </w:r>
      <w:r w:rsidR="0035682A">
        <w:t xml:space="preserve"> </w:t>
      </w:r>
      <w:r w:rsidR="008E2D2A">
        <w:t>non-corporate business</w:t>
      </w:r>
      <w:r w:rsidR="0035682A">
        <w:t xml:space="preserve"> </w:t>
      </w:r>
      <w:r w:rsidR="00C21022">
        <w:t xml:space="preserve">numbers and </w:t>
      </w:r>
      <w:r w:rsidR="0035682A">
        <w:t>dynamics</w:t>
      </w:r>
      <w:r w:rsidR="008E2D2A">
        <w:t xml:space="preserve">. </w:t>
      </w:r>
      <w:r w:rsidR="0035682A">
        <w:t>A</w:t>
      </w:r>
      <w:r w:rsidR="00650673">
        <w:t xml:space="preserve"> major shift was taking place</w:t>
      </w:r>
      <w:r w:rsidR="0035682A">
        <w:t xml:space="preserve"> from o</w:t>
      </w:r>
      <w:r w:rsidR="004F6721" w:rsidRPr="004F6721">
        <w:t xml:space="preserve">wn account </w:t>
      </w:r>
      <w:r w:rsidR="0035682A">
        <w:t xml:space="preserve">towards employers </w:t>
      </w:r>
      <w:r w:rsidR="00F02F51">
        <w:t xml:space="preserve">of </w:t>
      </w:r>
      <w:r w:rsidR="0035682A">
        <w:t>waged labour. A</w:t>
      </w:r>
      <w:r w:rsidR="004F6721" w:rsidRPr="004F6721">
        <w:t>s shown in Table 3</w:t>
      </w:r>
      <w:r w:rsidR="00650673">
        <w:t>,</w:t>
      </w:r>
      <w:r w:rsidR="004F6721" w:rsidRPr="004F6721">
        <w:t xml:space="preserve"> </w:t>
      </w:r>
      <w:r w:rsidR="00C21022">
        <w:t xml:space="preserve">the number of </w:t>
      </w:r>
      <w:r w:rsidR="00F02F51">
        <w:t xml:space="preserve">employers </w:t>
      </w:r>
      <w:r w:rsidR="00F02F51" w:rsidRPr="00F02F51">
        <w:t>continued to i</w:t>
      </w:r>
      <w:r w:rsidR="00F02F51">
        <w:t>ncrease steadily</w:t>
      </w:r>
      <w:r w:rsidR="00C21022">
        <w:t xml:space="preserve">, with the </w:t>
      </w:r>
      <w:proofErr w:type="gramStart"/>
      <w:r w:rsidR="00C21022">
        <w:t>proportion  increasing</w:t>
      </w:r>
      <w:proofErr w:type="gramEnd"/>
      <w:r w:rsidR="00F02F51">
        <w:t xml:space="preserve"> from 35</w:t>
      </w:r>
      <w:r w:rsidR="001F3B65">
        <w:t>%</w:t>
      </w:r>
      <w:r w:rsidR="00F02F51" w:rsidRPr="00F02F51">
        <w:t xml:space="preserve"> </w:t>
      </w:r>
      <w:r w:rsidR="006A26DD">
        <w:t xml:space="preserve">(1891) </w:t>
      </w:r>
      <w:r w:rsidR="00F02F51" w:rsidRPr="00F02F51">
        <w:t xml:space="preserve">to </w:t>
      </w:r>
      <w:r w:rsidR="00F02F51">
        <w:t>39.5</w:t>
      </w:r>
      <w:r w:rsidR="001F3B65">
        <w:t>%</w:t>
      </w:r>
      <w:r w:rsidR="006A26DD">
        <w:t xml:space="preserve"> (1911)</w:t>
      </w:r>
      <w:r w:rsidR="00F02F51" w:rsidRPr="00F02F51">
        <w:t xml:space="preserve"> of all </w:t>
      </w:r>
      <w:r w:rsidR="006A26DD">
        <w:t>proprietors</w:t>
      </w:r>
      <w:r w:rsidR="00F02F51" w:rsidRPr="00F02F51">
        <w:t>.</w:t>
      </w:r>
      <w:r w:rsidR="00F02F51">
        <w:t xml:space="preserve"> </w:t>
      </w:r>
      <w:r w:rsidR="006A26DD">
        <w:t xml:space="preserve">Many of these will have been the smallest firms, but if trends from 1851-81 found by </w:t>
      </w:r>
      <w:r w:rsidR="00A1610F" w:rsidRPr="00A1610F">
        <w:t xml:space="preserve">Bennett et al., </w:t>
      </w:r>
      <w:r w:rsidR="006A26DD">
        <w:t>(</w:t>
      </w:r>
      <w:r w:rsidR="004F79BA">
        <w:t>2018</w:t>
      </w:r>
      <w:r w:rsidR="006A26DD">
        <w:t xml:space="preserve">) continued there was a mix of expansion of the 3-10 employee firms, as well as increasing emergence of large firms (over 500 employees), </w:t>
      </w:r>
      <w:r w:rsidR="003025AC">
        <w:t>which was reflected in a small</w:t>
      </w:r>
      <w:r w:rsidR="006A26DD">
        <w:t xml:space="preserve"> overall increase in mean firm size</w:t>
      </w:r>
      <w:r w:rsidR="003025AC">
        <w:t xml:space="preserve"> from about 24 to 25</w:t>
      </w:r>
      <w:r w:rsidR="00B8508D">
        <w:t>.5</w:t>
      </w:r>
      <w:r w:rsidR="003025AC">
        <w:t xml:space="preserve"> employees</w:t>
      </w:r>
      <w:r w:rsidR="006A26DD">
        <w:t xml:space="preserve">. </w:t>
      </w:r>
      <w:r w:rsidR="00F02F51">
        <w:t xml:space="preserve">However, </w:t>
      </w:r>
      <w:r w:rsidR="00C21022">
        <w:t xml:space="preserve">these calculations should be taken as only a guide, since they rely on attributing workers to sectors through their occupational status, which as noted earlier is imprecise. </w:t>
      </w:r>
    </w:p>
    <w:p w14:paraId="02E4501E" w14:textId="77777777" w:rsidR="00C21022" w:rsidRDefault="00C21022" w:rsidP="002726CD">
      <w:pPr>
        <w:spacing w:line="360" w:lineRule="auto"/>
        <w:jc w:val="both"/>
      </w:pPr>
    </w:p>
    <w:p w14:paraId="3E3D89AE" w14:textId="24669DBE" w:rsidR="008D22DB" w:rsidRDefault="00C21022" w:rsidP="002726CD">
      <w:pPr>
        <w:spacing w:line="360" w:lineRule="auto"/>
        <w:jc w:val="both"/>
      </w:pPr>
      <w:r>
        <w:t xml:space="preserve">In contrast </w:t>
      </w:r>
      <w:r w:rsidR="0035682A">
        <w:t xml:space="preserve">own account </w:t>
      </w:r>
      <w:r w:rsidR="00F02F51">
        <w:t xml:space="preserve">proprietors </w:t>
      </w:r>
      <w:r w:rsidR="0035682A">
        <w:t xml:space="preserve">declined </w:t>
      </w:r>
      <w:r w:rsidR="00650673">
        <w:t>from</w:t>
      </w:r>
      <w:r w:rsidR="004F6721" w:rsidRPr="004F6721">
        <w:t xml:space="preserve"> 65</w:t>
      </w:r>
      <w:r w:rsidR="001F3B65">
        <w:t>%</w:t>
      </w:r>
      <w:r w:rsidR="004F6721" w:rsidRPr="004F6721">
        <w:t xml:space="preserve"> of all </w:t>
      </w:r>
      <w:r w:rsidR="006B048B" w:rsidRPr="006B048B">
        <w:t>proprietors</w:t>
      </w:r>
      <w:r w:rsidR="0035682A">
        <w:t xml:space="preserve"> in 1891 to 61</w:t>
      </w:r>
      <w:r w:rsidR="001F3B65">
        <w:t>%</w:t>
      </w:r>
      <w:r w:rsidR="004F6721" w:rsidRPr="004F6721">
        <w:t xml:space="preserve"> in 1911. The single operator was beginning to be under significant pressure</w:t>
      </w:r>
      <w:r w:rsidR="00F02F51">
        <w:t>,</w:t>
      </w:r>
      <w:r w:rsidR="004F6721" w:rsidRPr="004F6721">
        <w:t xml:space="preserve"> </w:t>
      </w:r>
      <w:r w:rsidR="00F02F51">
        <w:t xml:space="preserve">which </w:t>
      </w:r>
      <w:r w:rsidR="00650673">
        <w:t>suggests that the period covered was a turning point. As shown in Table 3, the own account proportion actually increased 1891-1901</w:t>
      </w:r>
      <w:r w:rsidR="00FA7B4D">
        <w:t xml:space="preserve"> to 6</w:t>
      </w:r>
      <w:r w:rsidR="00F02F51">
        <w:t>7.</w:t>
      </w:r>
      <w:r w:rsidR="005067E9">
        <w:t>6</w:t>
      </w:r>
      <w:r w:rsidR="001F3B65">
        <w:t>%</w:t>
      </w:r>
      <w:r w:rsidR="00FA7B4D">
        <w:t xml:space="preserve"> of all </w:t>
      </w:r>
      <w:r w:rsidR="006B048B" w:rsidRPr="006B048B">
        <w:t>proprietors</w:t>
      </w:r>
      <w:r w:rsidR="00FA7B4D">
        <w:t xml:space="preserve"> in 1901</w:t>
      </w:r>
      <w:r w:rsidR="00650673">
        <w:t xml:space="preserve">, but then </w:t>
      </w:r>
      <w:r w:rsidR="00247C83">
        <w:t xml:space="preserve">rapidly </w:t>
      </w:r>
      <w:r w:rsidR="00650673">
        <w:t xml:space="preserve">declined as the number of employers </w:t>
      </w:r>
      <w:r w:rsidR="00ED3B59" w:rsidRPr="00ED3B59">
        <w:t xml:space="preserve">steadily </w:t>
      </w:r>
      <w:r w:rsidR="00650673">
        <w:t>increase</w:t>
      </w:r>
      <w:r w:rsidR="00ED3B59">
        <w:t>d</w:t>
      </w:r>
      <w:r w:rsidR="00650673">
        <w:t>.</w:t>
      </w:r>
      <w:r w:rsidR="00FA7B4D">
        <w:t xml:space="preserve"> The number of own account fell 1901-11 by over </w:t>
      </w:r>
      <w:r w:rsidR="0035682A">
        <w:lastRenderedPageBreak/>
        <w:t>98</w:t>
      </w:r>
      <w:r w:rsidR="00FA7B4D">
        <w:t>,000</w:t>
      </w:r>
      <w:r w:rsidR="00ED3B59">
        <w:t xml:space="preserve"> despite a rapidly growing population</w:t>
      </w:r>
      <w:r w:rsidR="00FA7B4D">
        <w:t xml:space="preserve">. This trend was to some extent apparent in the uncorrected published numbers shown in Table 1. But </w:t>
      </w:r>
      <w:r w:rsidR="009E4771">
        <w:t>from the adjusted estimates in T</w:t>
      </w:r>
      <w:r w:rsidR="00FA7B4D">
        <w:t xml:space="preserve">able 3 we can now be confident this </w:t>
      </w:r>
      <w:r w:rsidR="00E45CF7">
        <w:t>trend</w:t>
      </w:r>
      <w:r w:rsidR="00FA7B4D">
        <w:t xml:space="preserve"> was real</w:t>
      </w:r>
      <w:r w:rsidR="00F02F51">
        <w:t>, and we know its magnitude</w:t>
      </w:r>
      <w:r w:rsidR="00FA7B4D">
        <w:t>.</w:t>
      </w:r>
      <w:r w:rsidR="00247C83">
        <w:t xml:space="preserve"> </w:t>
      </w:r>
      <w:r w:rsidR="008D22DB">
        <w:t xml:space="preserve">It is also reflected in the overall proportion </w:t>
      </w:r>
      <w:r>
        <w:t>that</w:t>
      </w:r>
      <w:r w:rsidR="008D22DB" w:rsidRPr="008D22DB">
        <w:t xml:space="preserve"> proprietors </w:t>
      </w:r>
      <w:r>
        <w:t xml:space="preserve">formed </w:t>
      </w:r>
      <w:r w:rsidR="008D22DB" w:rsidRPr="008D22DB">
        <w:t>of the working population</w:t>
      </w:r>
      <w:r>
        <w:t>,</w:t>
      </w:r>
      <w:r w:rsidR="008D22DB" w:rsidRPr="008D22DB">
        <w:t xml:space="preserve"> </w:t>
      </w:r>
      <w:r w:rsidR="008D22DB">
        <w:t xml:space="preserve">which </w:t>
      </w:r>
      <w:r w:rsidR="008D22DB" w:rsidRPr="008D22DB">
        <w:t>reached a high point of 13</w:t>
      </w:r>
      <w:r w:rsidR="00A1610F">
        <w:t>.8</w:t>
      </w:r>
      <w:r w:rsidR="008D22DB" w:rsidRPr="008D22DB">
        <w:t xml:space="preserve">% in </w:t>
      </w:r>
      <w:r w:rsidR="00A1610F">
        <w:t>1891</w:t>
      </w:r>
      <w:r w:rsidR="008D22DB" w:rsidRPr="008D22DB">
        <w:t>, before beginning to fall back</w:t>
      </w:r>
      <w:r>
        <w:t>. This change was</w:t>
      </w:r>
      <w:r w:rsidR="008D22DB">
        <w:t xml:space="preserve"> enti</w:t>
      </w:r>
      <w:r w:rsidR="00B820AC">
        <w:t>r</w:t>
      </w:r>
      <w:r w:rsidR="008D22DB">
        <w:t xml:space="preserve">ely a </w:t>
      </w:r>
      <w:r w:rsidR="008D22DB" w:rsidRPr="008D22DB">
        <w:t>result of decreases in own account</w:t>
      </w:r>
      <w:r w:rsidR="008D22DB">
        <w:t>;</w:t>
      </w:r>
      <w:r w:rsidR="008D22DB" w:rsidRPr="008D22DB">
        <w:t xml:space="preserve"> employer proportions of the population </w:t>
      </w:r>
      <w:r w:rsidR="00A1610F">
        <w:t>declined only slightly by</w:t>
      </w:r>
      <w:r w:rsidR="008D22DB" w:rsidRPr="008D22DB">
        <w:t xml:space="preserve"> 1911</w:t>
      </w:r>
      <w:r w:rsidR="005067E9">
        <w:t xml:space="preserve"> and their numbers continued to increase</w:t>
      </w:r>
      <w:r w:rsidR="008D22DB" w:rsidRPr="008D22DB">
        <w:t>.</w:t>
      </w:r>
    </w:p>
    <w:p w14:paraId="4454BD32" w14:textId="77777777" w:rsidR="008D22DB" w:rsidRDefault="008D22DB" w:rsidP="002726CD">
      <w:pPr>
        <w:spacing w:line="360" w:lineRule="auto"/>
        <w:jc w:val="both"/>
      </w:pPr>
    </w:p>
    <w:p w14:paraId="314969E1" w14:textId="3D69B949" w:rsidR="0035682A" w:rsidRDefault="00CD1217" w:rsidP="002726CD">
      <w:pPr>
        <w:spacing w:line="360" w:lineRule="auto"/>
        <w:jc w:val="both"/>
      </w:pPr>
      <w:r>
        <w:t xml:space="preserve">We can </w:t>
      </w:r>
      <w:r w:rsidR="00C855B4">
        <w:t xml:space="preserve">be confident about </w:t>
      </w:r>
      <w:r>
        <w:t>the</w:t>
      </w:r>
      <w:r w:rsidR="00C21022">
        <w:t xml:space="preserve"> scale of the</w:t>
      </w:r>
      <w:r>
        <w:t xml:space="preserve"> ‘estimates’ </w:t>
      </w:r>
      <w:r w:rsidR="00C855B4">
        <w:t>constructed, as indicated by</w:t>
      </w:r>
      <w:r>
        <w:t xml:space="preserve"> </w:t>
      </w:r>
      <w:r w:rsidR="00C855B4">
        <w:t xml:space="preserve">narrow </w:t>
      </w:r>
      <w:r>
        <w:t xml:space="preserve">confidence bounds. </w:t>
      </w:r>
      <w:r w:rsidR="00C855B4">
        <w:t xml:space="preserve">This reflects the benefits of a Census that includes the whole population: the data size is large (giving narrow standard errors </w:t>
      </w:r>
      <w:r w:rsidR="00C21022">
        <w:t>for</w:t>
      </w:r>
      <w:r w:rsidR="00C855B4">
        <w:t xml:space="preserve"> regression estimators), most responses were accurate, and whilst corrections for non-response bias and misallocation biases are essential, the resulting estimates are </w:t>
      </w:r>
      <w:r w:rsidR="0084475B">
        <w:t>generally</w:t>
      </w:r>
      <w:r w:rsidR="00C855B4">
        <w:t xml:space="preserve"> </w:t>
      </w:r>
      <w:r w:rsidR="0084475B">
        <w:t>in</w:t>
      </w:r>
      <w:r w:rsidR="00C855B4">
        <w:t xml:space="preserve"> a narrow range of possibilities. </w:t>
      </w:r>
      <w:r w:rsidR="00C21022">
        <w:t xml:space="preserve">Hence the scale of female entrepreneurship </w:t>
      </w:r>
      <w:proofErr w:type="gramStart"/>
      <w:r w:rsidR="00C21022">
        <w:t>identified,</w:t>
      </w:r>
      <w:proofErr w:type="gramEnd"/>
      <w:r w:rsidR="00C21022">
        <w:t xml:space="preserve"> which is much greater than previous estimates, appears real and may even under-estimate. Also t</w:t>
      </w:r>
      <w:r w:rsidR="00247C83">
        <w:t xml:space="preserve">he </w:t>
      </w:r>
      <w:r w:rsidR="00F02F51">
        <w:t xml:space="preserve">turning point </w:t>
      </w:r>
      <w:r w:rsidR="00C855B4">
        <w:t xml:space="preserve">identified </w:t>
      </w:r>
      <w:r w:rsidR="00247C83">
        <w:t>ar</w:t>
      </w:r>
      <w:r w:rsidR="00E45CF7">
        <w:t xml:space="preserve">ound the 1901 </w:t>
      </w:r>
      <w:r w:rsidR="00C20BD7">
        <w:t>Census</w:t>
      </w:r>
      <w:r w:rsidR="00E45CF7">
        <w:t xml:space="preserve"> seems to have been truly a </w:t>
      </w:r>
      <w:r w:rsidR="00F02F51">
        <w:t>time</w:t>
      </w:r>
      <w:r w:rsidR="00E45CF7">
        <w:t xml:space="preserve"> where the growth of </w:t>
      </w:r>
      <w:r w:rsidR="00C855B4">
        <w:t xml:space="preserve">proprietorship </w:t>
      </w:r>
      <w:r w:rsidR="00E45CF7">
        <w:t>in the British econom</w:t>
      </w:r>
      <w:r w:rsidR="009E4771">
        <w:t>y was decisively shifting towards large firms, or large</w:t>
      </w:r>
      <w:r w:rsidR="00F02F51">
        <w:t>r</w:t>
      </w:r>
      <w:r w:rsidR="009E4771">
        <w:t xml:space="preserve"> small firms</w:t>
      </w:r>
      <w:r w:rsidR="00C855B4">
        <w:t xml:space="preserve"> (both non-corporate and corporate)</w:t>
      </w:r>
      <w:r w:rsidR="009E4771">
        <w:t xml:space="preserve">, </w:t>
      </w:r>
      <w:r w:rsidR="00C855B4">
        <w:t>and hence w</w:t>
      </w:r>
      <w:r w:rsidR="009E4771">
        <w:t xml:space="preserve">here wage employment was substituting for own account. </w:t>
      </w:r>
    </w:p>
    <w:p w14:paraId="686FA305" w14:textId="77777777" w:rsidR="0035682A" w:rsidRDefault="0035682A" w:rsidP="002726CD">
      <w:pPr>
        <w:spacing w:line="360" w:lineRule="auto"/>
        <w:jc w:val="both"/>
      </w:pPr>
    </w:p>
    <w:p w14:paraId="1DCDDF32" w14:textId="66D920BD" w:rsidR="000E2B58" w:rsidRDefault="00E45CF7" w:rsidP="000E2B58">
      <w:pPr>
        <w:spacing w:line="360" w:lineRule="auto"/>
        <w:jc w:val="both"/>
      </w:pPr>
      <w:r>
        <w:t xml:space="preserve">We have also presented estimates of </w:t>
      </w:r>
      <w:r w:rsidR="00CE6D9F">
        <w:t xml:space="preserve">proprietor </w:t>
      </w:r>
      <w:r>
        <w:t xml:space="preserve">numbers </w:t>
      </w:r>
      <w:r w:rsidR="000E2B58">
        <w:t>for aggregate</w:t>
      </w:r>
      <w:r>
        <w:t xml:space="preserve"> </w:t>
      </w:r>
      <w:r w:rsidR="00B02183">
        <w:t xml:space="preserve">sectors </w:t>
      </w:r>
      <w:r w:rsidR="000E2B58">
        <w:t>and</w:t>
      </w:r>
      <w:r w:rsidR="00B02183">
        <w:t xml:space="preserve"> the</w:t>
      </w:r>
      <w:r w:rsidR="000E2B58">
        <w:t xml:space="preserve"> most</w:t>
      </w:r>
      <w:r w:rsidR="00B02183">
        <w:t xml:space="preserve"> common</w:t>
      </w:r>
      <w:r w:rsidR="000E2B58">
        <w:t xml:space="preserve"> </w:t>
      </w:r>
      <w:r w:rsidR="00F02F51">
        <w:t>sub-sectors</w:t>
      </w:r>
      <w:r w:rsidR="0030165A">
        <w:t xml:space="preserve"> by gender</w:t>
      </w:r>
      <w:r w:rsidR="00644407">
        <w:t>. O</w:t>
      </w:r>
      <w:r>
        <w:t xml:space="preserve">nly a brief overview </w:t>
      </w:r>
      <w:r w:rsidR="00644407">
        <w:t xml:space="preserve">has been </w:t>
      </w:r>
      <w:r w:rsidR="00871CBF">
        <w:t>possible,</w:t>
      </w:r>
      <w:r w:rsidR="00644407">
        <w:t xml:space="preserve"> </w:t>
      </w:r>
      <w:r w:rsidR="00871CBF">
        <w:t xml:space="preserve">and </w:t>
      </w:r>
      <w:r w:rsidR="00644407">
        <w:t xml:space="preserve">the </w:t>
      </w:r>
      <w:r>
        <w:t>actual data is being made available for any researcher to analyse at the level of individual</w:t>
      </w:r>
      <w:r w:rsidR="00FB3320">
        <w:t>,</w:t>
      </w:r>
      <w:r>
        <w:t xml:space="preserve"> or </w:t>
      </w:r>
      <w:r w:rsidR="00FB3320">
        <w:t>for whatever sector is desired. T</w:t>
      </w:r>
      <w:r w:rsidR="00644407">
        <w:t>he main trend</w:t>
      </w:r>
      <w:r>
        <w:t xml:space="preserve"> evident </w:t>
      </w:r>
      <w:r w:rsidR="00644407">
        <w:t>is again</w:t>
      </w:r>
      <w:r w:rsidR="000E2B58" w:rsidRPr="000E2B58">
        <w:t xml:space="preserve"> </w:t>
      </w:r>
      <w:r w:rsidR="000E2B58">
        <w:t>the strong contrast between</w:t>
      </w:r>
      <w:r w:rsidR="000E2B58" w:rsidRPr="000E2B58">
        <w:t xml:space="preserve"> the steady increase in employer numbers</w:t>
      </w:r>
      <w:r w:rsidR="00F02F51">
        <w:t>,</w:t>
      </w:r>
      <w:r w:rsidR="000E2B58" w:rsidRPr="000E2B58">
        <w:t xml:space="preserve"> </w:t>
      </w:r>
      <w:r w:rsidR="000E2B58">
        <w:t xml:space="preserve">and </w:t>
      </w:r>
      <w:r w:rsidR="000E2B58" w:rsidRPr="000E2B58">
        <w:t>rise and then decline of own account</w:t>
      </w:r>
      <w:r w:rsidR="00A20C96">
        <w:t>. Although this story</w:t>
      </w:r>
      <w:r w:rsidR="000E2B58">
        <w:t xml:space="preserve"> has strong gender and sector diversity</w:t>
      </w:r>
      <w:r w:rsidR="00A20C96">
        <w:t>,</w:t>
      </w:r>
      <w:r w:rsidR="00644407">
        <w:t xml:space="preserve"> t</w:t>
      </w:r>
      <w:r w:rsidR="000E2B58" w:rsidRPr="000E2B58">
        <w:t xml:space="preserve">he sector distribution </w:t>
      </w:r>
      <w:r w:rsidR="000E2B58">
        <w:t xml:space="preserve">shows </w:t>
      </w:r>
      <w:r w:rsidR="00871CBF">
        <w:t xml:space="preserve">that </w:t>
      </w:r>
      <w:r w:rsidR="000E2B58">
        <w:t>the</w:t>
      </w:r>
      <w:r w:rsidR="000E2B58" w:rsidRPr="000E2B58">
        <w:t xml:space="preserve"> </w:t>
      </w:r>
      <w:r w:rsidR="00871CBF">
        <w:t xml:space="preserve">own account </w:t>
      </w:r>
      <w:r w:rsidR="000E2B58" w:rsidRPr="000E2B58">
        <w:t xml:space="preserve">rise and then decline </w:t>
      </w:r>
      <w:r w:rsidR="00A20C96">
        <w:t>was mainly driven by</w:t>
      </w:r>
      <w:r w:rsidR="000E2B58" w:rsidRPr="000E2B58">
        <w:t xml:space="preserve"> </w:t>
      </w:r>
      <w:r w:rsidR="00B12404">
        <w:t xml:space="preserve">numerical </w:t>
      </w:r>
      <w:r w:rsidR="00A20C96">
        <w:t>changes in m</w:t>
      </w:r>
      <w:r w:rsidR="00ED3B59">
        <w:t>ales</w:t>
      </w:r>
      <w:r w:rsidR="000E2B58" w:rsidRPr="000E2B58">
        <w:t xml:space="preserve"> in maker-dealing</w:t>
      </w:r>
      <w:r w:rsidR="00871CBF">
        <w:t>,</w:t>
      </w:r>
      <w:r w:rsidR="00871CBF" w:rsidRPr="00871CBF">
        <w:t xml:space="preserve"> refreshment</w:t>
      </w:r>
      <w:r w:rsidR="00871CBF">
        <w:t>,</w:t>
      </w:r>
      <w:r w:rsidR="000E2B58" w:rsidRPr="000E2B58">
        <w:t xml:space="preserve"> and food sales, and to a lesser extent </w:t>
      </w:r>
      <w:r w:rsidR="00F86FBE">
        <w:t>in farming,</w:t>
      </w:r>
      <w:r w:rsidR="00F86FBE" w:rsidRPr="000E2B58">
        <w:t xml:space="preserve"> </w:t>
      </w:r>
      <w:r w:rsidR="000E2B58" w:rsidRPr="000E2B58">
        <w:t>manufacturing, trans</w:t>
      </w:r>
      <w:r w:rsidR="000E2B58">
        <w:t xml:space="preserve">port, and finance. </w:t>
      </w:r>
      <w:r w:rsidR="00A20C96">
        <w:t xml:space="preserve">Changes in female </w:t>
      </w:r>
      <w:r w:rsidR="00E841E6">
        <w:t xml:space="preserve">own </w:t>
      </w:r>
      <w:proofErr w:type="gramStart"/>
      <w:r w:rsidR="00C21022">
        <w:t>account</w:t>
      </w:r>
      <w:r w:rsidR="0030165A">
        <w:t xml:space="preserve"> were</w:t>
      </w:r>
      <w:proofErr w:type="gramEnd"/>
      <w:r w:rsidR="00A20C96">
        <w:t xml:space="preserve"> </w:t>
      </w:r>
      <w:r w:rsidR="009E4771">
        <w:t xml:space="preserve">generally smaller numerically, but larger relatively: particularly </w:t>
      </w:r>
      <w:r w:rsidR="000E2B58" w:rsidRPr="000E2B58">
        <w:t xml:space="preserve">large </w:t>
      </w:r>
      <w:r w:rsidR="0080683D">
        <w:t xml:space="preserve">for </w:t>
      </w:r>
      <w:r w:rsidR="00871CBF">
        <w:t xml:space="preserve">maker-dealing, personal services, and </w:t>
      </w:r>
      <w:r w:rsidR="0080683D">
        <w:t xml:space="preserve">food sales. However, </w:t>
      </w:r>
      <w:r w:rsidR="00871CBF">
        <w:t xml:space="preserve">some </w:t>
      </w:r>
      <w:r w:rsidR="0080683D">
        <w:t>sectors of</w:t>
      </w:r>
      <w:r w:rsidR="000E2B58">
        <w:t xml:space="preserve"> </w:t>
      </w:r>
      <w:r w:rsidR="000E2B58" w:rsidRPr="000E2B58">
        <w:t xml:space="preserve">female </w:t>
      </w:r>
      <w:r w:rsidR="00E841E6">
        <w:t>own account</w:t>
      </w:r>
      <w:r w:rsidR="000E2B58" w:rsidRPr="000E2B58">
        <w:t xml:space="preserve"> began to take off over the period, </w:t>
      </w:r>
      <w:r w:rsidR="000E2B58">
        <w:t>especially in retail</w:t>
      </w:r>
      <w:r w:rsidR="00F86FBE">
        <w:t>,</w:t>
      </w:r>
      <w:r w:rsidR="000E2B58" w:rsidRPr="000E2B58">
        <w:t xml:space="preserve"> and in professions</w:t>
      </w:r>
      <w:r w:rsidR="000E2B58">
        <w:t xml:space="preserve"> such as school propriet</w:t>
      </w:r>
      <w:r w:rsidR="00CE6D9F">
        <w:t>resse</w:t>
      </w:r>
      <w:r w:rsidR="000E2B58">
        <w:t>s, musicians and singers</w:t>
      </w:r>
      <w:r w:rsidR="000E2B58" w:rsidRPr="000E2B58">
        <w:t xml:space="preserve">. Female employer numbers also </w:t>
      </w:r>
      <w:r w:rsidR="00644407">
        <w:t>beca</w:t>
      </w:r>
      <w:r w:rsidR="000E2B58" w:rsidRPr="000E2B58">
        <w:t>me more significant</w:t>
      </w:r>
      <w:r w:rsidR="00644407">
        <w:t xml:space="preserve"> and grew more rapidly than for </w:t>
      </w:r>
      <w:r w:rsidR="00644407" w:rsidRPr="000E2B58">
        <w:t>men</w:t>
      </w:r>
      <w:r w:rsidR="00644407">
        <w:t xml:space="preserve">, </w:t>
      </w:r>
      <w:r w:rsidR="0080683D">
        <w:t>although</w:t>
      </w:r>
      <w:r w:rsidR="000E2B58" w:rsidRPr="000E2B58">
        <w:t xml:space="preserve"> male employers remained the d</w:t>
      </w:r>
      <w:r w:rsidR="00644407">
        <w:t>ominant category in all sectors</w:t>
      </w:r>
      <w:r w:rsidR="000E2B58" w:rsidRPr="000E2B58">
        <w:t xml:space="preserve">. </w:t>
      </w:r>
      <w:r w:rsidR="00644407" w:rsidRPr="00644407">
        <w:t>Thus</w:t>
      </w:r>
      <w:r w:rsidR="00484288">
        <w:t>,</w:t>
      </w:r>
      <w:r w:rsidR="00644407" w:rsidRPr="00644407">
        <w:t xml:space="preserve"> whilst the 1901 </w:t>
      </w:r>
      <w:r w:rsidR="00C20BD7">
        <w:lastRenderedPageBreak/>
        <w:t>Census</w:t>
      </w:r>
      <w:r w:rsidR="00644407" w:rsidRPr="00644407">
        <w:t xml:space="preserve"> </w:t>
      </w:r>
      <w:r w:rsidR="00644407">
        <w:t>was</w:t>
      </w:r>
      <w:r w:rsidR="00644407" w:rsidRPr="00644407">
        <w:t xml:space="preserve"> a marked turning point</w:t>
      </w:r>
      <w:r w:rsidR="00644407">
        <w:t>,</w:t>
      </w:r>
      <w:r w:rsidR="00871CBF">
        <w:t xml:space="preserve"> at the detailed level</w:t>
      </w:r>
      <w:r w:rsidR="00644407" w:rsidRPr="00644407">
        <w:t xml:space="preserve"> the development </w:t>
      </w:r>
      <w:r w:rsidR="00644407">
        <w:t>wa</w:t>
      </w:r>
      <w:r w:rsidR="00644407" w:rsidRPr="00644407">
        <w:t>s complex and multi-faceted</w:t>
      </w:r>
      <w:r w:rsidR="0080683D">
        <w:t>.</w:t>
      </w:r>
    </w:p>
    <w:p w14:paraId="6166A135" w14:textId="77777777" w:rsidR="0030165A" w:rsidRDefault="0030165A" w:rsidP="000E2B58">
      <w:pPr>
        <w:spacing w:line="360" w:lineRule="auto"/>
        <w:jc w:val="both"/>
      </w:pPr>
    </w:p>
    <w:p w14:paraId="39434E50" w14:textId="750639F0" w:rsidR="0030165A" w:rsidRPr="000E2B58" w:rsidRDefault="0030165A" w:rsidP="000E2B58">
      <w:pPr>
        <w:spacing w:line="360" w:lineRule="auto"/>
        <w:jc w:val="both"/>
      </w:pPr>
      <w:r>
        <w:t xml:space="preserve">Within these patterns the strength of female entrepreneurship throws new light on the high level of female participation both as employers and own account, at far higher levels than previously identified. The high level of female participation evident </w:t>
      </w:r>
      <w:r w:rsidR="004E6F04">
        <w:t>from</w:t>
      </w:r>
      <w:r>
        <w:t xml:space="preserve"> the </w:t>
      </w:r>
      <w:r w:rsidRPr="0030165A">
        <w:rPr>
          <w:i/>
        </w:rPr>
        <w:t xml:space="preserve">original </w:t>
      </w:r>
      <w:r>
        <w:t>Census records demonstrates them to be generally a superior source of information to the trade directories, insurance</w:t>
      </w:r>
      <w:r w:rsidR="0067712D">
        <w:t>, bankruptcy</w:t>
      </w:r>
      <w:r>
        <w:t xml:space="preserve"> and other records that have been </w:t>
      </w:r>
      <w:r w:rsidR="00C21022">
        <w:t xml:space="preserve">previously </w:t>
      </w:r>
      <w:r>
        <w:t xml:space="preserve">used, and counters many of the criticisms that have been levelled against </w:t>
      </w:r>
      <w:r w:rsidR="00C21022">
        <w:t xml:space="preserve">the value of using </w:t>
      </w:r>
      <w:r w:rsidRPr="0030165A">
        <w:rPr>
          <w:i/>
        </w:rPr>
        <w:t xml:space="preserve">published </w:t>
      </w:r>
      <w:r>
        <w:t>Census records</w:t>
      </w:r>
      <w:r w:rsidRPr="0030165A">
        <w:t xml:space="preserve"> </w:t>
      </w:r>
      <w:r>
        <w:t xml:space="preserve">(e.g. Barker, 2006; </w:t>
      </w:r>
      <w:r w:rsidRPr="0030165A">
        <w:t>Kay, 2009; Aston and Di Martino, 2017)</w:t>
      </w:r>
      <w:r>
        <w:t>. Whilst defects certainly remain, the Census records appear to be a more complete coverage than has ever been previously envisaged.</w:t>
      </w:r>
    </w:p>
    <w:p w14:paraId="7DF8359C" w14:textId="77777777" w:rsidR="0003766F" w:rsidRDefault="0003766F" w:rsidP="002726CD">
      <w:pPr>
        <w:spacing w:line="360" w:lineRule="auto"/>
        <w:jc w:val="both"/>
      </w:pPr>
    </w:p>
    <w:p w14:paraId="2D9F8432" w14:textId="0FBE5379" w:rsidR="00077044" w:rsidRDefault="00B52D67" w:rsidP="002726CD">
      <w:pPr>
        <w:spacing w:line="360" w:lineRule="auto"/>
        <w:jc w:val="both"/>
      </w:pPr>
      <w:r>
        <w:t xml:space="preserve">The </w:t>
      </w:r>
      <w:r w:rsidR="00CE6D9F">
        <w:t>proprietor</w:t>
      </w:r>
      <w:r w:rsidR="00CE6D9F" w:rsidRPr="00956F2A">
        <w:t xml:space="preserve"> </w:t>
      </w:r>
      <w:r w:rsidRPr="00956F2A">
        <w:t xml:space="preserve">population estimates in this paper </w:t>
      </w:r>
      <w:r w:rsidR="00024C9C" w:rsidRPr="00956F2A">
        <w:t>o</w:t>
      </w:r>
      <w:r w:rsidRPr="00956F2A">
        <w:t>pen up important avenues for further research</w:t>
      </w:r>
      <w:r w:rsidR="00024C9C" w:rsidRPr="00956F2A">
        <w:t xml:space="preserve">. </w:t>
      </w:r>
      <w:r w:rsidR="00871CBF">
        <w:t>First</w:t>
      </w:r>
      <w:r w:rsidR="00024C9C" w:rsidRPr="00956F2A">
        <w:t xml:space="preserve">, a wide range of research </w:t>
      </w:r>
      <w:r w:rsidR="00F86FBE">
        <w:t>is now possible</w:t>
      </w:r>
      <w:r w:rsidR="00024C9C" w:rsidRPr="00956F2A">
        <w:t xml:space="preserve"> at the individual level. As a Census resource, data on individuals for the whole population is n</w:t>
      </w:r>
      <w:r w:rsidR="00D11CF6" w:rsidRPr="00956F2A">
        <w:t xml:space="preserve">ow provided that identifies </w:t>
      </w:r>
      <w:r w:rsidR="00024C9C" w:rsidRPr="00956F2A">
        <w:t>a</w:t>
      </w:r>
      <w:r w:rsidR="00243C73">
        <w:t xml:space="preserve">lmost all </w:t>
      </w:r>
      <w:r w:rsidR="00A00103">
        <w:t xml:space="preserve">non-corporate </w:t>
      </w:r>
      <w:r w:rsidR="00243C73">
        <w:t xml:space="preserve">business proprietors, allowing a more </w:t>
      </w:r>
      <w:r w:rsidR="00024C9C" w:rsidRPr="00956F2A">
        <w:t xml:space="preserve">inclusive approaches of business history </w:t>
      </w:r>
      <w:r w:rsidR="00243C73">
        <w:t>and opening n</w:t>
      </w:r>
      <w:r w:rsidR="00DD57AD" w:rsidRPr="00956F2A">
        <w:t>ew avenues for</w:t>
      </w:r>
      <w:r w:rsidR="00024C9C" w:rsidRPr="00956F2A">
        <w:t xml:space="preserve"> ‘big data’ analysis by business</w:t>
      </w:r>
      <w:r w:rsidR="00CE6D9F">
        <w:t xml:space="preserve"> historians</w:t>
      </w:r>
      <w:r w:rsidR="00024C9C" w:rsidRPr="00956F2A">
        <w:t>.</w:t>
      </w:r>
      <w:r w:rsidR="00082C33">
        <w:t xml:space="preserve"> This allows the demographic and other information on individuals included in the Census to be used. For example, the relationship between migration and entrepreneurship can be examined on a larger scale than previously possible (Godley, 2001; </w:t>
      </w:r>
      <w:r w:rsidR="00E54ADF">
        <w:t>Smith et al., 2018</w:t>
      </w:r>
      <w:r w:rsidR="00082C33">
        <w:t>).</w:t>
      </w:r>
      <w:r w:rsidR="00564311">
        <w:t xml:space="preserve"> Other long-standing narratives about Engl</w:t>
      </w:r>
      <w:r w:rsidR="003B68D4">
        <w:t>and</w:t>
      </w:r>
      <w:r w:rsidR="00564311">
        <w:t xml:space="preserve"> and W</w:t>
      </w:r>
      <w:r w:rsidR="003B68D4">
        <w:t>ales</w:t>
      </w:r>
      <w:r w:rsidR="00564311">
        <w:t xml:space="preserve"> entrepreneurship can also now be considered in the light of th</w:t>
      </w:r>
      <w:r w:rsidR="003B68D4">
        <w:t>ese</w:t>
      </w:r>
      <w:r w:rsidR="00564311">
        <w:t xml:space="preserve"> data. The very large number of own-account proprietors we find support</w:t>
      </w:r>
      <w:r w:rsidR="00A00103">
        <w:t>s</w:t>
      </w:r>
      <w:r w:rsidR="00564311">
        <w:t xml:space="preserve"> existing historiography on the dominance of personal capitalism; </w:t>
      </w:r>
      <w:r w:rsidR="00A00103">
        <w:t>whilst</w:t>
      </w:r>
      <w:r w:rsidR="00564311">
        <w:t xml:space="preserve">, the fall in own-account proprietors by 1911 </w:t>
      </w:r>
      <w:r w:rsidR="00A00103">
        <w:t>confirms the historiography of a shift to dominance of waged employment</w:t>
      </w:r>
      <w:proofErr w:type="gramStart"/>
      <w:r w:rsidR="00A00103">
        <w:t>.</w:t>
      </w:r>
      <w:r w:rsidR="00564311">
        <w:t>.</w:t>
      </w:r>
      <w:proofErr w:type="gramEnd"/>
      <w:r w:rsidR="00564311">
        <w:t xml:space="preserve"> Further nuance to the traditional accounts of business history in this period, is also suggested by sector- and gender-specific changes. </w:t>
      </w:r>
      <w:r w:rsidR="00871CBF">
        <w:t>Second</w:t>
      </w:r>
      <w:r w:rsidR="00871CBF" w:rsidRPr="00871CBF">
        <w:t>,</w:t>
      </w:r>
      <w:r w:rsidR="00871CBF">
        <w:t xml:space="preserve"> </w:t>
      </w:r>
      <w:r w:rsidR="00F86FBE">
        <w:t xml:space="preserve">establishing the </w:t>
      </w:r>
      <w:r w:rsidR="00871CBF">
        <w:t>numbers of non-corporate business proprietors allows comparisons to be made with the corporate</w:t>
      </w:r>
      <w:r w:rsidR="00B0681B">
        <w:t xml:space="preserve"> sector</w:t>
      </w:r>
      <w:r w:rsidR="00871CBF">
        <w:t xml:space="preserve">. </w:t>
      </w:r>
      <w:r w:rsidR="00871CBF" w:rsidRPr="00871CBF">
        <w:t xml:space="preserve">Various adjustments of coverage </w:t>
      </w:r>
      <w:r w:rsidR="008D600D">
        <w:t>are</w:t>
      </w:r>
      <w:r w:rsidR="00871CBF" w:rsidRPr="00871CBF">
        <w:t xml:space="preserve"> needed, but reasonably accurate </w:t>
      </w:r>
      <w:r w:rsidR="00F86FBE">
        <w:t>comparisons</w:t>
      </w:r>
      <w:r w:rsidR="00871CBF" w:rsidRPr="00871CBF">
        <w:t xml:space="preserve"> </w:t>
      </w:r>
      <w:r w:rsidR="00F86FBE">
        <w:t>between</w:t>
      </w:r>
      <w:r w:rsidR="00F86FBE" w:rsidRPr="00871CBF">
        <w:t xml:space="preserve"> </w:t>
      </w:r>
      <w:r w:rsidR="00871CBF" w:rsidRPr="00871CBF">
        <w:t>employer</w:t>
      </w:r>
      <w:r w:rsidR="00F86FBE">
        <w:t>s</w:t>
      </w:r>
      <w:r w:rsidR="00871CBF" w:rsidRPr="00871CBF">
        <w:t>, own account</w:t>
      </w:r>
      <w:r w:rsidR="00F86FBE">
        <w:t>,</w:t>
      </w:r>
      <w:r w:rsidR="00871CBF" w:rsidRPr="00871CBF">
        <w:t xml:space="preserve"> and corporate businesses </w:t>
      </w:r>
      <w:r w:rsidR="008D600D">
        <w:t>are</w:t>
      </w:r>
      <w:r w:rsidR="00871CBF" w:rsidRPr="00871CBF">
        <w:t xml:space="preserve"> possible which allow assessment of how </w:t>
      </w:r>
      <w:r w:rsidR="00F86FBE">
        <w:t>business ownerships evolved</w:t>
      </w:r>
      <w:r w:rsidR="00871CBF" w:rsidRPr="00871CBF">
        <w:t xml:space="preserve"> for this important period. </w:t>
      </w:r>
      <w:r w:rsidR="008D600D">
        <w:t xml:space="preserve">We have indicated </w:t>
      </w:r>
      <w:r w:rsidR="00D94792">
        <w:t>the</w:t>
      </w:r>
      <w:r w:rsidR="00D94792" w:rsidRPr="00D94792">
        <w:t xml:space="preserve"> beginning of a shift towards growing corporate </w:t>
      </w:r>
      <w:r w:rsidR="00A00103">
        <w:t xml:space="preserve">dominance of output </w:t>
      </w:r>
      <w:r w:rsidR="00D94792" w:rsidRPr="00D94792">
        <w:t xml:space="preserve">in 1911, </w:t>
      </w:r>
      <w:r w:rsidR="00D94792">
        <w:t>which appears to be mainly a result of</w:t>
      </w:r>
      <w:r w:rsidR="00D94792" w:rsidRPr="00D94792">
        <w:t xml:space="preserve"> own account </w:t>
      </w:r>
      <w:r w:rsidR="00D94792">
        <w:t>shifting into waged employment</w:t>
      </w:r>
      <w:r w:rsidR="00D94792" w:rsidRPr="00D94792">
        <w:t xml:space="preserve">. </w:t>
      </w:r>
      <w:r w:rsidR="006646CB">
        <w:t xml:space="preserve">These are preliminary comparisons </w:t>
      </w:r>
      <w:r w:rsidR="00A00103">
        <w:t xml:space="preserve">based on Feinstein (1972) </w:t>
      </w:r>
      <w:r w:rsidR="006646CB">
        <w:t xml:space="preserve">on which further research is being developed, but they </w:t>
      </w:r>
      <w:r w:rsidR="006646CB">
        <w:lastRenderedPageBreak/>
        <w:t>begin to open</w:t>
      </w:r>
      <w:r w:rsidR="00B0681B">
        <w:t xml:space="preserve"> new approach</w:t>
      </w:r>
      <w:r w:rsidR="006646CB">
        <w:t>es</w:t>
      </w:r>
      <w:r w:rsidR="00B0681B">
        <w:t xml:space="preserve"> to debates about productivity</w:t>
      </w:r>
      <w:r w:rsidR="006646CB">
        <w:t xml:space="preserve"> and levels of business concentration</w:t>
      </w:r>
      <w:r w:rsidR="00A00103">
        <w:t xml:space="preserve"> by mode of organisation</w:t>
      </w:r>
      <w:r w:rsidR="00B0681B">
        <w:t xml:space="preserve">. </w:t>
      </w:r>
    </w:p>
    <w:p w14:paraId="055100C9" w14:textId="77777777" w:rsidR="00077044" w:rsidRDefault="00077044" w:rsidP="002726CD">
      <w:pPr>
        <w:spacing w:line="360" w:lineRule="auto"/>
        <w:jc w:val="both"/>
      </w:pPr>
    </w:p>
    <w:p w14:paraId="362DA792" w14:textId="583182A3" w:rsidR="005A2755" w:rsidRDefault="00644407" w:rsidP="002726CD">
      <w:pPr>
        <w:spacing w:line="360" w:lineRule="auto"/>
        <w:jc w:val="both"/>
      </w:pPr>
      <w:r w:rsidRPr="00956F2A">
        <w:t xml:space="preserve">Third, the </w:t>
      </w:r>
      <w:r w:rsidR="00D224BB">
        <w:t>locational coding can be used to open up tracking</w:t>
      </w:r>
      <w:r w:rsidR="00B37A4B" w:rsidRPr="00B37A4B">
        <w:t xml:space="preserve"> </w:t>
      </w:r>
      <w:r w:rsidR="00CE6D9F">
        <w:t xml:space="preserve">of </w:t>
      </w:r>
      <w:r w:rsidR="00B37A4B" w:rsidRPr="00B37A4B">
        <w:t>locational change over time.</w:t>
      </w:r>
      <w:r w:rsidRPr="00956F2A">
        <w:t xml:space="preserve"> Each individual is located </w:t>
      </w:r>
      <w:r w:rsidR="002C2D55" w:rsidRPr="00956F2A">
        <w:t>in</w:t>
      </w:r>
      <w:r w:rsidRPr="00956F2A">
        <w:t xml:space="preserve"> a household within a parish in I-CeM. Although there are some errors in attribution of parish location acknowledged in the I-CeM codes</w:t>
      </w:r>
      <w:r w:rsidR="000C5593">
        <w:t xml:space="preserve"> (</w:t>
      </w:r>
      <w:r w:rsidR="000C5593" w:rsidRPr="000C5593">
        <w:t xml:space="preserve">Higgs et al., </w:t>
      </w:r>
      <w:r w:rsidR="000C5593">
        <w:t>201</w:t>
      </w:r>
      <w:r w:rsidR="00A00103">
        <w:t>5</w:t>
      </w:r>
      <w:r w:rsidR="000C5593">
        <w:t xml:space="preserve">: </w:t>
      </w:r>
      <w:r w:rsidR="000C5593" w:rsidRPr="000C5593">
        <w:t>114-15</w:t>
      </w:r>
      <w:r w:rsidR="000C5593">
        <w:t>)</w:t>
      </w:r>
      <w:r w:rsidRPr="00956F2A">
        <w:t xml:space="preserve">, much analysis can with care be undertaken at that level. Moreover, at the more aggregate level of </w:t>
      </w:r>
      <w:r w:rsidR="0080683D" w:rsidRPr="00956F2A">
        <w:t xml:space="preserve">Registration Sub-Districts </w:t>
      </w:r>
      <w:r w:rsidRPr="00956F2A">
        <w:t xml:space="preserve">the data are more locationally accurate, with the potential for spatial analysis </w:t>
      </w:r>
      <w:r w:rsidR="00F86FBE">
        <w:t>to</w:t>
      </w:r>
      <w:r w:rsidR="00F86FBE" w:rsidRPr="00956F2A">
        <w:t xml:space="preserve"> </w:t>
      </w:r>
      <w:r w:rsidRPr="00956F2A">
        <w:t xml:space="preserve">reveal urban-rural </w:t>
      </w:r>
      <w:r w:rsidR="00F86FBE">
        <w:t xml:space="preserve">and other locational </w:t>
      </w:r>
      <w:r w:rsidRPr="00956F2A">
        <w:t>differences</w:t>
      </w:r>
      <w:r w:rsidR="00956F2A">
        <w:t>.</w:t>
      </w:r>
      <w:r w:rsidR="00C7766E">
        <w:t xml:space="preserve"> </w:t>
      </w:r>
      <w:r w:rsidR="006646CB">
        <w:t>Again</w:t>
      </w:r>
      <w:r w:rsidR="00484288">
        <w:t>,</w:t>
      </w:r>
      <w:r w:rsidR="006646CB">
        <w:t xml:space="preserve"> further research is being devoted to these patterns and their relation to structural changes in the economy as a whole.</w:t>
      </w:r>
      <w:r w:rsidR="006B1D02">
        <w:t xml:space="preserve"> This reveals interesting geographies of entrepreneurship which highlight the importance of services and retail, rather than heavy industry, to </w:t>
      </w:r>
      <w:r w:rsidR="003B68D4">
        <w:t>England and Wales</w:t>
      </w:r>
      <w:r w:rsidR="006B1D02">
        <w:t xml:space="preserve"> entrepreneurship, modifying older account</w:t>
      </w:r>
      <w:r w:rsidR="00A00103">
        <w:t>s</w:t>
      </w:r>
      <w:r w:rsidR="006B1D02">
        <w:t xml:space="preserve"> of the economic geography of nineteenth</w:t>
      </w:r>
      <w:r w:rsidR="00B6080E">
        <w:t>-century England and Wales (</w:t>
      </w:r>
      <w:r w:rsidR="00A00103">
        <w:t xml:space="preserve">e.g. </w:t>
      </w:r>
      <w:r w:rsidR="00B6080E">
        <w:t>Lee, 1981)</w:t>
      </w:r>
      <w:r w:rsidR="006B1D02">
        <w:t xml:space="preserve">; as well as </w:t>
      </w:r>
      <w:r w:rsidR="00A00103">
        <w:t>allowing assessment of</w:t>
      </w:r>
      <w:r w:rsidR="00B6080E">
        <w:t xml:space="preserve"> the relationship between transport and entrepreneurship.</w:t>
      </w:r>
      <w:r w:rsidR="006646CB">
        <w:t xml:space="preserve"> </w:t>
      </w:r>
      <w:r w:rsidR="00956F2A" w:rsidRPr="00956F2A">
        <w:t xml:space="preserve">Fourth, </w:t>
      </w:r>
      <w:r w:rsidR="00B37A4B">
        <w:t>t</w:t>
      </w:r>
      <w:r w:rsidR="00956F2A" w:rsidRPr="00956F2A">
        <w:t>he occupational descriptor</w:t>
      </w:r>
      <w:r w:rsidR="006646CB">
        <w:t xml:space="preserve"> strings</w:t>
      </w:r>
      <w:r w:rsidR="00956F2A" w:rsidRPr="00956F2A">
        <w:t xml:space="preserve"> allow proprietors with multiple businesses to be identified</w:t>
      </w:r>
      <w:r w:rsidR="006646CB">
        <w:t>. This</w:t>
      </w:r>
      <w:r w:rsidR="00E00834">
        <w:t xml:space="preserve"> opens scope to assess</w:t>
      </w:r>
      <w:r w:rsidR="00956F2A" w:rsidRPr="00956F2A">
        <w:t xml:space="preserve"> portfolio</w:t>
      </w:r>
      <w:r w:rsidR="00956F2A">
        <w:t xml:space="preserve"> development. Portfolios have been recognised as an important means by which business diversify and grow. Preliminary analysis of farm business portfolios </w:t>
      </w:r>
      <w:r w:rsidR="00E00834">
        <w:t xml:space="preserve">in 1881 </w:t>
      </w:r>
      <w:r w:rsidR="00956F2A">
        <w:t>demonstrates the potential of the e-census data to be used to identify different types of business strategies: as responses to necessity or locational opportunity</w:t>
      </w:r>
      <w:r w:rsidR="000C5593">
        <w:t xml:space="preserve"> (</w:t>
      </w:r>
      <w:r w:rsidR="00E22DDB">
        <w:t>Bennett</w:t>
      </w:r>
      <w:r w:rsidR="00E54ADF">
        <w:t xml:space="preserve"> et al., 201</w:t>
      </w:r>
      <w:r w:rsidR="00E22DDB">
        <w:t>7b</w:t>
      </w:r>
      <w:r w:rsidR="000C5593">
        <w:t>)</w:t>
      </w:r>
      <w:r w:rsidR="00956F2A">
        <w:t xml:space="preserve">. </w:t>
      </w:r>
      <w:r w:rsidR="00B37A4B">
        <w:t>Fif</w:t>
      </w:r>
      <w:r w:rsidR="00956F2A">
        <w:t xml:space="preserve">th, </w:t>
      </w:r>
      <w:r w:rsidR="005A2755">
        <w:t xml:space="preserve">the estimates of </w:t>
      </w:r>
      <w:r w:rsidR="003318B2">
        <w:t>proprietor</w:t>
      </w:r>
      <w:r w:rsidR="005A2755">
        <w:t xml:space="preserve"> numbers in 1891-1911 provide a means to start investigating the continuities over longer periods of time: by attempting to join up with later </w:t>
      </w:r>
      <w:r w:rsidR="00C7766E">
        <w:t xml:space="preserve">twentieth-century </w:t>
      </w:r>
      <w:r w:rsidR="00C20BD7">
        <w:t>Census</w:t>
      </w:r>
      <w:r w:rsidR="005A2755">
        <w:t>es, and by lin</w:t>
      </w:r>
      <w:r w:rsidR="005A24F6">
        <w:t>k</w:t>
      </w:r>
      <w:r w:rsidR="005A2755">
        <w:t xml:space="preserve">ing to earlier </w:t>
      </w:r>
      <w:r w:rsidR="00C20BD7">
        <w:t>Census</w:t>
      </w:r>
      <w:r w:rsidR="005A2755">
        <w:t xml:space="preserve">es which followed a different format. </w:t>
      </w:r>
      <w:r w:rsidR="00A00103">
        <w:t>Sixth, a</w:t>
      </w:r>
      <w:r w:rsidR="00956F2A">
        <w:t xml:space="preserve">n important aspect of joining up data at </w:t>
      </w:r>
      <w:r w:rsidR="00956F2A" w:rsidRPr="00956F2A">
        <w:t xml:space="preserve">the individual level also </w:t>
      </w:r>
      <w:r w:rsidR="00E00834">
        <w:t>opens scope to track</w:t>
      </w:r>
      <w:r w:rsidR="00956F2A" w:rsidRPr="00956F2A">
        <w:t xml:space="preserve"> </w:t>
      </w:r>
      <w:r w:rsidR="00F86FBE">
        <w:t xml:space="preserve">individual </w:t>
      </w:r>
      <w:r w:rsidR="00956F2A" w:rsidRPr="00956F2A">
        <w:t xml:space="preserve">business proprietors over time, which offers opportunities to engage with research questions about the determinants of business growth and decline. Both forward and backward joining up of data </w:t>
      </w:r>
      <w:r w:rsidR="00A00103">
        <w:t xml:space="preserve">to create panels </w:t>
      </w:r>
      <w:r w:rsidR="00956F2A" w:rsidRPr="00956F2A">
        <w:t xml:space="preserve">are challenging, and </w:t>
      </w:r>
      <w:proofErr w:type="gramStart"/>
      <w:r w:rsidR="00956F2A" w:rsidRPr="00956F2A">
        <w:t>are</w:t>
      </w:r>
      <w:proofErr w:type="gramEnd"/>
      <w:r w:rsidR="00956F2A" w:rsidRPr="00956F2A">
        <w:t xml:space="preserve"> the subject of ongoing research</w:t>
      </w:r>
      <w:r w:rsidR="00956F2A">
        <w:t xml:space="preserve"> by the </w:t>
      </w:r>
      <w:r w:rsidR="00871CBF">
        <w:t>authors</w:t>
      </w:r>
      <w:r w:rsidR="00956F2A" w:rsidRPr="00956F2A">
        <w:t>.</w:t>
      </w:r>
    </w:p>
    <w:p w14:paraId="1082564C" w14:textId="77777777" w:rsidR="00320522" w:rsidRDefault="00320522" w:rsidP="002726CD">
      <w:pPr>
        <w:spacing w:line="360" w:lineRule="auto"/>
        <w:jc w:val="both"/>
      </w:pPr>
    </w:p>
    <w:p w14:paraId="7335554F" w14:textId="77777777" w:rsidR="0077018A" w:rsidRPr="006D65E8" w:rsidRDefault="0077018A" w:rsidP="002726CD">
      <w:pPr>
        <w:spacing w:line="360" w:lineRule="auto"/>
        <w:jc w:val="both"/>
        <w:rPr>
          <w:rFonts w:eastAsia="Times New Roman" w:cs="Times New Roman"/>
          <w:szCs w:val="24"/>
        </w:rPr>
      </w:pPr>
      <w:r w:rsidRPr="006D65E8">
        <w:rPr>
          <w:rFonts w:eastAsia="Times New Roman" w:cs="Times New Roman"/>
          <w:b/>
          <w:i/>
          <w:szCs w:val="24"/>
        </w:rPr>
        <w:t>Acknowledgments:</w:t>
      </w:r>
    </w:p>
    <w:p w14:paraId="36C01894" w14:textId="7FC1C941" w:rsidR="007E5350" w:rsidRDefault="00E54ADF" w:rsidP="002726CD">
      <w:pPr>
        <w:spacing w:line="360" w:lineRule="auto"/>
        <w:ind w:firstLine="720"/>
        <w:jc w:val="both"/>
        <w:rPr>
          <w:rFonts w:eastAsia="Times New Roman" w:cs="Times New Roman"/>
          <w:szCs w:val="24"/>
        </w:rPr>
      </w:pPr>
      <w:r w:rsidRPr="00E54ADF">
        <w:rPr>
          <w:rFonts w:eastAsia="Times New Roman" w:cs="Times New Roman"/>
          <w:szCs w:val="24"/>
        </w:rPr>
        <w:t xml:space="preserve">This research has been supported by the ESRC under project grant ES/M010953: </w:t>
      </w:r>
      <w:r w:rsidR="00E22DDB">
        <w:rPr>
          <w:rFonts w:eastAsia="Times New Roman" w:cs="Times New Roman"/>
          <w:szCs w:val="24"/>
        </w:rPr>
        <w:t>‘</w:t>
      </w:r>
      <w:r w:rsidRPr="00E54ADF">
        <w:rPr>
          <w:rFonts w:eastAsia="Times New Roman" w:cs="Times New Roman"/>
          <w:szCs w:val="24"/>
        </w:rPr>
        <w:t>Drivers of Entrepreneurship and Small Businesses</w:t>
      </w:r>
      <w:r w:rsidR="00E22DDB">
        <w:rPr>
          <w:rFonts w:eastAsia="Times New Roman" w:cs="Times New Roman"/>
          <w:szCs w:val="24"/>
        </w:rPr>
        <w:t>’.</w:t>
      </w:r>
      <w:r w:rsidRPr="00E54ADF" w:rsidDel="00E54ADF">
        <w:rPr>
          <w:rFonts w:eastAsia="Times New Roman" w:cs="Times New Roman"/>
          <w:szCs w:val="24"/>
        </w:rPr>
        <w:t xml:space="preserve"> </w:t>
      </w:r>
    </w:p>
    <w:p w14:paraId="5EC2D6E5" w14:textId="42FE4921" w:rsidR="005D64D4" w:rsidRDefault="0077018A" w:rsidP="00AE179D">
      <w:pPr>
        <w:spacing w:line="360" w:lineRule="auto"/>
        <w:ind w:firstLine="720"/>
        <w:jc w:val="both"/>
        <w:rPr>
          <w:rFonts w:eastAsia="Times New Roman" w:cs="Times New Roman"/>
          <w:szCs w:val="24"/>
        </w:rPr>
      </w:pPr>
      <w:r w:rsidRPr="006D65E8">
        <w:rPr>
          <w:rFonts w:eastAsia="Times New Roman" w:cs="Times New Roman"/>
          <w:szCs w:val="24"/>
        </w:rPr>
        <w:t xml:space="preserve">The database </w:t>
      </w:r>
      <w:r>
        <w:rPr>
          <w:rFonts w:eastAsia="Times New Roman" w:cs="Times New Roman"/>
          <w:szCs w:val="24"/>
        </w:rPr>
        <w:t xml:space="preserve">used </w:t>
      </w:r>
      <w:r w:rsidR="00D015E4">
        <w:rPr>
          <w:rFonts w:eastAsia="Times New Roman" w:cs="Times New Roman"/>
          <w:szCs w:val="24"/>
        </w:rPr>
        <w:t xml:space="preserve">for 1891 </w:t>
      </w:r>
      <w:r w:rsidR="00CE6D9F">
        <w:rPr>
          <w:rFonts w:eastAsia="Times New Roman" w:cs="Times New Roman"/>
          <w:szCs w:val="24"/>
        </w:rPr>
        <w:t>-</w:t>
      </w:r>
      <w:r w:rsidR="00D015E4">
        <w:rPr>
          <w:rFonts w:eastAsia="Times New Roman" w:cs="Times New Roman"/>
          <w:szCs w:val="24"/>
        </w:rPr>
        <w:t xml:space="preserve"> 1911 </w:t>
      </w:r>
      <w:r>
        <w:rPr>
          <w:rFonts w:eastAsia="Times New Roman" w:cs="Times New Roman"/>
          <w:szCs w:val="24"/>
        </w:rPr>
        <w:t xml:space="preserve">derives from </w:t>
      </w:r>
      <w:r w:rsidRPr="0077018A">
        <w:rPr>
          <w:rFonts w:eastAsia="Times New Roman" w:cs="Times New Roman"/>
          <w:szCs w:val="24"/>
        </w:rPr>
        <w:t xml:space="preserve">K. Schürer, E. Higgs, A.M. Reid, E.M Garrett, </w:t>
      </w:r>
      <w:r w:rsidRPr="0077018A">
        <w:rPr>
          <w:rFonts w:eastAsia="Times New Roman" w:cs="Times New Roman"/>
          <w:i/>
          <w:szCs w:val="24"/>
        </w:rPr>
        <w:t xml:space="preserve">Integrated </w:t>
      </w:r>
      <w:r w:rsidR="00BB6AA4">
        <w:rPr>
          <w:rFonts w:eastAsia="Times New Roman" w:cs="Times New Roman"/>
          <w:i/>
          <w:szCs w:val="24"/>
        </w:rPr>
        <w:t>Census</w:t>
      </w:r>
      <w:r w:rsidR="00E306FF">
        <w:rPr>
          <w:rFonts w:eastAsia="Times New Roman" w:cs="Times New Roman"/>
          <w:i/>
          <w:szCs w:val="24"/>
        </w:rPr>
        <w:t xml:space="preserve"> </w:t>
      </w:r>
      <w:r w:rsidRPr="0077018A">
        <w:rPr>
          <w:rFonts w:eastAsia="Times New Roman" w:cs="Times New Roman"/>
          <w:i/>
          <w:szCs w:val="24"/>
        </w:rPr>
        <w:t>Microdata, 1851-1911, version V. 2 (I-CeM.2)</w:t>
      </w:r>
      <w:r w:rsidR="00714105">
        <w:rPr>
          <w:rFonts w:eastAsia="Times New Roman" w:cs="Times New Roman"/>
          <w:szCs w:val="24"/>
        </w:rPr>
        <w:t xml:space="preserve">, (2016) [data </w:t>
      </w:r>
      <w:r w:rsidR="00714105">
        <w:rPr>
          <w:rFonts w:eastAsia="Times New Roman" w:cs="Times New Roman"/>
          <w:szCs w:val="24"/>
        </w:rPr>
        <w:lastRenderedPageBreak/>
        <w:t>collection] UK Data Service</w:t>
      </w:r>
      <w:r w:rsidRPr="0077018A">
        <w:rPr>
          <w:rFonts w:eastAsia="Times New Roman" w:cs="Times New Roman"/>
          <w:szCs w:val="24"/>
        </w:rPr>
        <w:t xml:space="preserve"> SN: 7481, http://dx.doi.org/10.5255/UKDA-</w:t>
      </w:r>
      <w:r w:rsidR="00714105">
        <w:rPr>
          <w:rFonts w:eastAsia="Times New Roman" w:cs="Times New Roman"/>
          <w:szCs w:val="24"/>
        </w:rPr>
        <w:t xml:space="preserve">SN-7481-1; enhanced </w:t>
      </w:r>
      <w:r w:rsidR="00CE6D9F">
        <w:rPr>
          <w:rFonts w:eastAsia="Times New Roman" w:cs="Times New Roman"/>
          <w:szCs w:val="24"/>
        </w:rPr>
        <w:t>version of</w:t>
      </w:r>
      <w:r w:rsidR="00714105">
        <w:rPr>
          <w:rFonts w:eastAsia="Times New Roman" w:cs="Times New Roman"/>
          <w:szCs w:val="24"/>
        </w:rPr>
        <w:t>:</w:t>
      </w:r>
      <w:r w:rsidRPr="0077018A">
        <w:rPr>
          <w:rFonts w:eastAsia="Times New Roman" w:cs="Times New Roman"/>
          <w:szCs w:val="24"/>
        </w:rPr>
        <w:t xml:space="preserve"> </w:t>
      </w:r>
      <w:r w:rsidR="00CE6D9F" w:rsidRPr="00CE6D9F">
        <w:rPr>
          <w:rFonts w:eastAsia="Times New Roman" w:cs="Times New Roman"/>
          <w:szCs w:val="24"/>
        </w:rPr>
        <w:t xml:space="preserve">Higgs, Edward and Schürer, Kevin (University of Essex) (2014) </w:t>
      </w:r>
      <w:r w:rsidR="00CE6D9F" w:rsidRPr="00CE6D9F">
        <w:rPr>
          <w:rFonts w:eastAsia="Times New Roman" w:cs="Times New Roman"/>
          <w:i/>
          <w:szCs w:val="24"/>
        </w:rPr>
        <w:t>The Inte</w:t>
      </w:r>
      <w:r w:rsidR="00CE6D9F">
        <w:rPr>
          <w:rFonts w:eastAsia="Times New Roman" w:cs="Times New Roman"/>
          <w:i/>
          <w:szCs w:val="24"/>
        </w:rPr>
        <w:t>grated Census Microdata (I-CeM),</w:t>
      </w:r>
      <w:r w:rsidR="00CE6D9F" w:rsidRPr="00CE6D9F">
        <w:rPr>
          <w:rFonts w:eastAsia="Times New Roman" w:cs="Times New Roman"/>
          <w:szCs w:val="24"/>
        </w:rPr>
        <w:t xml:space="preserve"> Essex: UKDA, SN-7481.</w:t>
      </w:r>
      <w:r>
        <w:rPr>
          <w:rFonts w:eastAsia="Times New Roman" w:cs="Times New Roman"/>
          <w:szCs w:val="24"/>
        </w:rPr>
        <w:t xml:space="preserve"> </w:t>
      </w:r>
      <w:r w:rsidR="00904382">
        <w:rPr>
          <w:rFonts w:eastAsia="Times New Roman" w:cs="Times New Roman"/>
          <w:szCs w:val="24"/>
        </w:rPr>
        <w:t xml:space="preserve"> We are grateful to Kevin Schürer, Alice Reid and others at Campop </w:t>
      </w:r>
      <w:r w:rsidR="00904382" w:rsidRPr="00904382">
        <w:rPr>
          <w:rFonts w:eastAsia="Times New Roman" w:cs="Times New Roman"/>
          <w:szCs w:val="24"/>
        </w:rPr>
        <w:t xml:space="preserve">for help and advice </w:t>
      </w:r>
      <w:r w:rsidR="00904382">
        <w:rPr>
          <w:rFonts w:eastAsia="Times New Roman" w:cs="Times New Roman"/>
          <w:szCs w:val="24"/>
        </w:rPr>
        <w:t>in using I-CeM version 2.</w:t>
      </w:r>
    </w:p>
    <w:p w14:paraId="7B8DC547" w14:textId="77777777" w:rsidR="003842AF" w:rsidRDefault="003842AF" w:rsidP="00AE179D">
      <w:pPr>
        <w:spacing w:line="360" w:lineRule="auto"/>
        <w:ind w:firstLine="720"/>
        <w:jc w:val="both"/>
        <w:rPr>
          <w:rFonts w:eastAsia="Times New Roman" w:cs="Times New Roman"/>
          <w:szCs w:val="24"/>
        </w:rPr>
      </w:pPr>
    </w:p>
    <w:p w14:paraId="3BB6B9C1" w14:textId="77777777" w:rsidR="003842AF" w:rsidRPr="003842AF" w:rsidRDefault="003842AF" w:rsidP="003842AF">
      <w:pPr>
        <w:ind w:left="720" w:hanging="720"/>
        <w:jc w:val="both"/>
        <w:rPr>
          <w:rFonts w:eastAsia="Calibri" w:cs="Times New Roman"/>
          <w:b/>
          <w:szCs w:val="24"/>
        </w:rPr>
      </w:pPr>
      <w:proofErr w:type="gramStart"/>
      <w:r w:rsidRPr="003842AF">
        <w:rPr>
          <w:rFonts w:eastAsia="Calibri" w:cs="Times New Roman"/>
          <w:b/>
          <w:szCs w:val="24"/>
        </w:rPr>
        <w:t>References.</w:t>
      </w:r>
      <w:proofErr w:type="gramEnd"/>
    </w:p>
    <w:p w14:paraId="6C00E658" w14:textId="77777777" w:rsidR="003842AF" w:rsidRPr="003842AF" w:rsidRDefault="003842AF" w:rsidP="003842AF">
      <w:pPr>
        <w:ind w:left="720" w:hanging="720"/>
        <w:jc w:val="both"/>
        <w:rPr>
          <w:rFonts w:eastAsia="Calibri" w:cs="Times New Roman"/>
          <w:b/>
          <w:szCs w:val="24"/>
        </w:rPr>
      </w:pPr>
    </w:p>
    <w:p w14:paraId="7991B7E0" w14:textId="77777777" w:rsidR="003842AF" w:rsidRPr="003842AF" w:rsidRDefault="003842AF" w:rsidP="003842AF">
      <w:pPr>
        <w:ind w:left="720" w:hanging="720"/>
        <w:jc w:val="both"/>
        <w:rPr>
          <w:rFonts w:eastAsia="Calibri" w:cs="Times New Roman"/>
        </w:rPr>
      </w:pPr>
      <w:r w:rsidRPr="003842AF">
        <w:rPr>
          <w:rFonts w:eastAsia="Calibri" w:cs="Times New Roman"/>
        </w:rPr>
        <w:t xml:space="preserve">Acland, A. H. D  and 45 others (1890) ‘Memorandum on the Improvement of Census Returns, Especially as Regards Occupations and Industry’, in </w:t>
      </w:r>
      <w:r w:rsidRPr="003842AF">
        <w:rPr>
          <w:rFonts w:eastAsia="Calibri" w:cs="Times New Roman"/>
          <w:i/>
        </w:rPr>
        <w:t>Report of the Committee Appointed by the Treasury to Inquire into Certain Questions Connected with the Taking of the Census</w:t>
      </w:r>
      <w:r w:rsidRPr="003842AF">
        <w:rPr>
          <w:rFonts w:eastAsia="Calibri" w:cs="Times New Roman"/>
        </w:rPr>
        <w:t>,’ 118-20, C 6071 London: HMSO.</w:t>
      </w:r>
    </w:p>
    <w:p w14:paraId="6647FA98" w14:textId="6DA98339" w:rsidR="003842AF" w:rsidRPr="003842AF" w:rsidRDefault="003842AF" w:rsidP="003842AF">
      <w:pPr>
        <w:ind w:left="720" w:hanging="720"/>
        <w:jc w:val="both"/>
        <w:rPr>
          <w:rFonts w:eastAsia="Calibri" w:cs="Times New Roman"/>
        </w:rPr>
      </w:pPr>
      <w:r w:rsidRPr="003842AF">
        <w:rPr>
          <w:rFonts w:eastAsia="Calibri" w:cs="Times New Roman"/>
        </w:rPr>
        <w:t xml:space="preserve">Afton, </w:t>
      </w:r>
      <w:r w:rsidR="00186245" w:rsidRPr="003842AF">
        <w:rPr>
          <w:rFonts w:eastAsia="Calibri" w:cs="Times New Roman"/>
        </w:rPr>
        <w:t>B</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and Turner, </w:t>
      </w:r>
      <w:r w:rsidR="00186245" w:rsidRPr="003842AF">
        <w:rPr>
          <w:rFonts w:eastAsia="Calibri" w:cs="Times New Roman"/>
        </w:rPr>
        <w:t>M</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(2000) ‘The Size of Agricultural Holdings’, in E.J.T. Collins (ed.), </w:t>
      </w:r>
      <w:proofErr w:type="gramStart"/>
      <w:r w:rsidRPr="003842AF">
        <w:rPr>
          <w:rFonts w:eastAsia="Calibri" w:cs="Times New Roman"/>
          <w:i/>
        </w:rPr>
        <w:t>The</w:t>
      </w:r>
      <w:proofErr w:type="gramEnd"/>
      <w:r w:rsidRPr="003842AF">
        <w:rPr>
          <w:rFonts w:eastAsia="Calibri" w:cs="Times New Roman"/>
          <w:i/>
        </w:rPr>
        <w:t xml:space="preserve"> Agrarian History of England and Wales: Vol. VII, 1850-1914</w:t>
      </w:r>
      <w:r w:rsidRPr="003842AF">
        <w:rPr>
          <w:rFonts w:eastAsia="Calibri" w:cs="Times New Roman"/>
        </w:rPr>
        <w:t>, Part II,</w:t>
      </w:r>
      <w:r w:rsidRPr="003842AF">
        <w:rPr>
          <w:rFonts w:ascii="Calibri" w:eastAsia="Calibri" w:hAnsi="Calibri" w:cs="Times New Roman"/>
          <w:sz w:val="22"/>
        </w:rPr>
        <w:t xml:space="preserve"> </w:t>
      </w:r>
      <w:r w:rsidRPr="003842AF">
        <w:rPr>
          <w:rFonts w:eastAsia="Calibri" w:cs="Times New Roman"/>
        </w:rPr>
        <w:t xml:space="preserve">1836-76. </w:t>
      </w:r>
      <w:proofErr w:type="gramStart"/>
      <w:r w:rsidRPr="003842AF">
        <w:rPr>
          <w:rFonts w:eastAsia="Calibri" w:cs="Times New Roman"/>
        </w:rPr>
        <w:t>Cambridge University Press.</w:t>
      </w:r>
      <w:proofErr w:type="gramEnd"/>
    </w:p>
    <w:p w14:paraId="72657A8C" w14:textId="77777777" w:rsidR="003842AF" w:rsidRDefault="003842AF" w:rsidP="003842AF">
      <w:pPr>
        <w:ind w:left="720" w:hanging="720"/>
        <w:jc w:val="both"/>
        <w:rPr>
          <w:rFonts w:eastAsia="Calibri" w:cs="Times New Roman"/>
        </w:rPr>
      </w:pPr>
      <w:r w:rsidRPr="003842AF">
        <w:rPr>
          <w:rFonts w:eastAsia="Calibri" w:cs="Times New Roman"/>
        </w:rPr>
        <w:t xml:space="preserve">Armstrong, W. A. (1972) ‘The Use of Information about Occupations’, pp. 191-210 in E. A. Wrigley (ed.) </w:t>
      </w:r>
      <w:r w:rsidRPr="003842AF">
        <w:rPr>
          <w:rFonts w:eastAsia="Calibri" w:cs="Times New Roman"/>
          <w:i/>
        </w:rPr>
        <w:t>Nineteenth-Century Society: Essays in the Use of Quantitative Methods for the Study of Social Data</w:t>
      </w:r>
      <w:r w:rsidRPr="003842AF">
        <w:rPr>
          <w:rFonts w:eastAsia="Calibri" w:cs="Times New Roman"/>
        </w:rPr>
        <w:t xml:space="preserve">. </w:t>
      </w:r>
      <w:proofErr w:type="gramStart"/>
      <w:r w:rsidRPr="003842AF">
        <w:rPr>
          <w:rFonts w:eastAsia="Calibri" w:cs="Times New Roman"/>
        </w:rPr>
        <w:t>Cambridge University Press.</w:t>
      </w:r>
      <w:proofErr w:type="gramEnd"/>
    </w:p>
    <w:p w14:paraId="4D5A7257" w14:textId="21E9979D" w:rsidR="00F8574B" w:rsidRDefault="00F8574B" w:rsidP="00F8574B">
      <w:pPr>
        <w:ind w:left="720" w:hanging="720"/>
        <w:jc w:val="both"/>
        <w:rPr>
          <w:rFonts w:eastAsia="Calibri" w:cs="Times New Roman"/>
        </w:rPr>
      </w:pPr>
      <w:r>
        <w:rPr>
          <w:rFonts w:eastAsia="Calibri" w:cs="Times New Roman"/>
        </w:rPr>
        <w:t xml:space="preserve">Aston, J. and Di Martino, P. (2017) </w:t>
      </w:r>
      <w:r w:rsidR="00261969">
        <w:rPr>
          <w:rFonts w:eastAsia="Calibri" w:cs="Times New Roman"/>
        </w:rPr>
        <w:t>‘</w:t>
      </w:r>
      <w:r w:rsidRPr="00F8574B">
        <w:rPr>
          <w:rFonts w:eastAsia="Calibri" w:cs="Times New Roman"/>
        </w:rPr>
        <w:t xml:space="preserve">Risk, success, and failure: female entrepreneurship in late </w:t>
      </w:r>
      <w:r>
        <w:rPr>
          <w:rFonts w:eastAsia="Calibri" w:cs="Times New Roman"/>
        </w:rPr>
        <w:t>Victorian and Edwardian England</w:t>
      </w:r>
      <w:r w:rsidR="00261969">
        <w:rPr>
          <w:rFonts w:eastAsia="Calibri" w:cs="Times New Roman"/>
        </w:rPr>
        <w:t>’</w:t>
      </w:r>
      <w:r>
        <w:rPr>
          <w:rFonts w:eastAsia="Calibri" w:cs="Times New Roman"/>
        </w:rPr>
        <w:t xml:space="preserve">, </w:t>
      </w:r>
      <w:r w:rsidRPr="00F8574B">
        <w:rPr>
          <w:rFonts w:eastAsia="Calibri" w:cs="Times New Roman"/>
          <w:i/>
        </w:rPr>
        <w:t>Economic History Review</w:t>
      </w:r>
      <w:r>
        <w:rPr>
          <w:rFonts w:eastAsia="Calibri" w:cs="Times New Roman"/>
        </w:rPr>
        <w:t>, 70, 3, 837-858.</w:t>
      </w:r>
    </w:p>
    <w:p w14:paraId="74F7C0D3" w14:textId="47717215" w:rsidR="00F8574B" w:rsidRDefault="00F8574B" w:rsidP="00F8574B">
      <w:pPr>
        <w:ind w:left="720" w:hanging="720"/>
        <w:jc w:val="both"/>
        <w:rPr>
          <w:rFonts w:eastAsia="Calibri" w:cs="Times New Roman"/>
        </w:rPr>
      </w:pPr>
      <w:r>
        <w:rPr>
          <w:rFonts w:eastAsia="Calibri" w:cs="Times New Roman"/>
        </w:rPr>
        <w:t xml:space="preserve">Barker, H. (2006) </w:t>
      </w:r>
      <w:proofErr w:type="gramStart"/>
      <w:r w:rsidRPr="00F8574B">
        <w:rPr>
          <w:rFonts w:eastAsia="Calibri" w:cs="Times New Roman"/>
          <w:i/>
        </w:rPr>
        <w:t>The</w:t>
      </w:r>
      <w:proofErr w:type="gramEnd"/>
      <w:r w:rsidRPr="00F8574B">
        <w:rPr>
          <w:rFonts w:eastAsia="Calibri" w:cs="Times New Roman"/>
          <w:i/>
        </w:rPr>
        <w:t xml:space="preserve"> business of women female enterprise and urban development in northern England 1760-1830</w:t>
      </w:r>
      <w:r>
        <w:rPr>
          <w:rFonts w:eastAsia="Calibri" w:cs="Times New Roman"/>
        </w:rPr>
        <w:t xml:space="preserve">, </w:t>
      </w:r>
      <w:r w:rsidRPr="00F8574B">
        <w:rPr>
          <w:rFonts w:eastAsia="Calibri" w:cs="Times New Roman"/>
        </w:rPr>
        <w:t>Oxford University Press</w:t>
      </w:r>
      <w:r w:rsidR="00666C4C">
        <w:rPr>
          <w:rFonts w:eastAsia="Calibri" w:cs="Times New Roman"/>
        </w:rPr>
        <w:t>.</w:t>
      </w:r>
    </w:p>
    <w:p w14:paraId="4A1CA1A1" w14:textId="38705884" w:rsidR="00666C4C" w:rsidRDefault="00666C4C" w:rsidP="00F8574B">
      <w:pPr>
        <w:ind w:left="720" w:hanging="720"/>
        <w:jc w:val="both"/>
        <w:rPr>
          <w:rFonts w:eastAsia="Calibri" w:cs="Times New Roman"/>
        </w:rPr>
      </w:pPr>
      <w:proofErr w:type="gramStart"/>
      <w:r w:rsidRPr="00666C4C">
        <w:rPr>
          <w:rFonts w:eastAsia="Calibri" w:cs="Times New Roman"/>
          <w:bCs/>
          <w:lang w:val="en"/>
        </w:rPr>
        <w:t>Bennett, R.J.</w:t>
      </w:r>
      <w:r>
        <w:rPr>
          <w:rFonts w:eastAsia="Calibri" w:cs="Times New Roman"/>
          <w:lang w:val="en"/>
        </w:rPr>
        <w:t xml:space="preserve"> (2016)</w:t>
      </w:r>
      <w:r w:rsidRPr="00666C4C">
        <w:rPr>
          <w:rFonts w:eastAsia="Calibri" w:cs="Times New Roman"/>
          <w:lang w:val="en"/>
        </w:rPr>
        <w:t xml:space="preserve"> </w:t>
      </w:r>
      <w:r>
        <w:rPr>
          <w:rFonts w:eastAsia="Calibri" w:cs="Times New Roman"/>
          <w:lang w:val="en"/>
        </w:rPr>
        <w:t>‘</w:t>
      </w:r>
      <w:r w:rsidRPr="00666C4C">
        <w:rPr>
          <w:rFonts w:eastAsia="Calibri" w:cs="Times New Roman"/>
          <w:lang w:val="en"/>
        </w:rPr>
        <w:t>Interpreting business partnerships in late Victorian Britain</w:t>
      </w:r>
      <w:r>
        <w:rPr>
          <w:rFonts w:eastAsia="Calibri" w:cs="Times New Roman"/>
          <w:lang w:val="en"/>
        </w:rPr>
        <w:t>’,</w:t>
      </w:r>
      <w:r w:rsidRPr="00666C4C">
        <w:rPr>
          <w:rFonts w:eastAsia="Calibri" w:cs="Times New Roman"/>
          <w:lang w:val="en"/>
        </w:rPr>
        <w:t xml:space="preserve"> </w:t>
      </w:r>
      <w:r w:rsidRPr="00666C4C">
        <w:rPr>
          <w:rFonts w:eastAsia="Calibri" w:cs="Times New Roman"/>
          <w:i/>
          <w:iCs/>
          <w:lang w:val="en"/>
        </w:rPr>
        <w:t>Economic History Review</w:t>
      </w:r>
      <w:r w:rsidRPr="00666C4C">
        <w:rPr>
          <w:rFonts w:eastAsia="Calibri" w:cs="Times New Roman"/>
          <w:lang w:val="en"/>
        </w:rPr>
        <w:t xml:space="preserve">, 69, </w:t>
      </w:r>
      <w:r>
        <w:rPr>
          <w:rFonts w:eastAsia="Calibri" w:cs="Times New Roman"/>
          <w:lang w:val="en"/>
        </w:rPr>
        <w:t xml:space="preserve">4, </w:t>
      </w:r>
      <w:r w:rsidRPr="00666C4C">
        <w:rPr>
          <w:rFonts w:eastAsia="Calibri" w:cs="Times New Roman"/>
          <w:lang w:val="en"/>
        </w:rPr>
        <w:t>1199-1227.</w:t>
      </w:r>
      <w:proofErr w:type="gramEnd"/>
      <w:r w:rsidRPr="00666C4C">
        <w:rPr>
          <w:rFonts w:eastAsia="Calibri" w:cs="Times New Roman"/>
          <w:lang w:val="en"/>
        </w:rPr>
        <w:t xml:space="preserve"> </w:t>
      </w:r>
      <w:hyperlink r:id="rId11" w:tgtFrame="_blank" w:tooltip="Link to publication" w:history="1">
        <w:r w:rsidRPr="00666C4C">
          <w:rPr>
            <w:rStyle w:val="Hyperlink"/>
            <w:rFonts w:eastAsia="Calibri" w:cs="Times New Roman"/>
            <w:lang w:val="en"/>
          </w:rPr>
          <w:t>doi:10.1111/ehr.12327</w:t>
        </w:r>
      </w:hyperlink>
    </w:p>
    <w:p w14:paraId="6F41CB09" w14:textId="4BBC1642" w:rsidR="00402278" w:rsidRPr="003842AF" w:rsidRDefault="00402278" w:rsidP="00F8574B">
      <w:pPr>
        <w:ind w:left="720" w:hanging="720"/>
        <w:jc w:val="both"/>
        <w:rPr>
          <w:rFonts w:eastAsia="Calibri" w:cs="Times New Roman"/>
        </w:rPr>
      </w:pPr>
      <w:r w:rsidRPr="00402278">
        <w:rPr>
          <w:rFonts w:eastAsia="Calibri" w:cs="Times New Roman"/>
        </w:rPr>
        <w:t>Bennett, R</w:t>
      </w:r>
      <w:r>
        <w:rPr>
          <w:rFonts w:eastAsia="Calibri" w:cs="Times New Roman"/>
        </w:rPr>
        <w:t>.</w:t>
      </w:r>
      <w:r w:rsidRPr="00402278">
        <w:rPr>
          <w:rFonts w:eastAsia="Calibri" w:cs="Times New Roman"/>
        </w:rPr>
        <w:t xml:space="preserve"> J., Smith, H</w:t>
      </w:r>
      <w:r>
        <w:rPr>
          <w:rFonts w:eastAsia="Calibri" w:cs="Times New Roman"/>
        </w:rPr>
        <w:t>., V</w:t>
      </w:r>
      <w:r w:rsidRPr="00402278">
        <w:rPr>
          <w:rFonts w:eastAsia="Calibri" w:cs="Times New Roman"/>
        </w:rPr>
        <w:t>an Lieshout, C</w:t>
      </w:r>
      <w:r>
        <w:rPr>
          <w:rFonts w:eastAsia="Calibri" w:cs="Times New Roman"/>
        </w:rPr>
        <w:t>.</w:t>
      </w:r>
      <w:r w:rsidRPr="00402278">
        <w:rPr>
          <w:rFonts w:eastAsia="Calibri" w:cs="Times New Roman"/>
        </w:rPr>
        <w:t xml:space="preserve"> and Newton, G</w:t>
      </w:r>
      <w:r>
        <w:rPr>
          <w:rFonts w:eastAsia="Calibri" w:cs="Times New Roman"/>
        </w:rPr>
        <w:t>.</w:t>
      </w:r>
      <w:r w:rsidRPr="00402278">
        <w:rPr>
          <w:rFonts w:eastAsia="Calibri" w:cs="Times New Roman"/>
        </w:rPr>
        <w:t xml:space="preserve"> (2017</w:t>
      </w:r>
      <w:r w:rsidR="008C4661">
        <w:rPr>
          <w:rFonts w:eastAsia="Calibri" w:cs="Times New Roman"/>
        </w:rPr>
        <w:t>a</w:t>
      </w:r>
      <w:r w:rsidRPr="00402278">
        <w:rPr>
          <w:rFonts w:eastAsia="Calibri" w:cs="Times New Roman"/>
        </w:rPr>
        <w:t xml:space="preserve">) </w:t>
      </w:r>
      <w:r w:rsidRPr="00402278">
        <w:rPr>
          <w:rFonts w:eastAsia="Calibri" w:cs="Times New Roman"/>
          <w:i/>
        </w:rPr>
        <w:t>Occupations and occupational aggregation of census data 1851-1911.</w:t>
      </w:r>
      <w:r w:rsidRPr="00402278">
        <w:rPr>
          <w:rFonts w:eastAsia="Calibri" w:cs="Times New Roman"/>
        </w:rPr>
        <w:t xml:space="preserve"> </w:t>
      </w:r>
      <w:r w:rsidRPr="00402278">
        <w:rPr>
          <w:rFonts w:eastAsia="Calibri" w:cs="Times New Roman"/>
          <w:iCs/>
        </w:rPr>
        <w:t>Working Paper 5: ESRC project ES/M010953: ‘</w:t>
      </w:r>
      <w:r w:rsidRPr="00402278">
        <w:rPr>
          <w:rFonts w:eastAsia="Calibri" w:cs="Times New Roman"/>
          <w:bCs/>
          <w:iCs/>
        </w:rPr>
        <w:t>Drivers of Entrepreneurship and Small Businesses’</w:t>
      </w:r>
      <w:r w:rsidRPr="00402278">
        <w:rPr>
          <w:rFonts w:eastAsia="Calibri" w:cs="Times New Roman"/>
          <w:iCs/>
        </w:rPr>
        <w:t>, University of Cambridge</w:t>
      </w:r>
      <w:r>
        <w:rPr>
          <w:rFonts w:eastAsia="Calibri" w:cs="Times New Roman"/>
          <w:iCs/>
        </w:rPr>
        <w:t xml:space="preserve">. </w:t>
      </w:r>
      <w:r w:rsidRPr="00402278">
        <w:rPr>
          <w:rFonts w:eastAsia="Calibri" w:cs="Times New Roman"/>
          <w:iCs/>
        </w:rPr>
        <w:t>https://doi.org/10.17863/CAM.9874</w:t>
      </w:r>
    </w:p>
    <w:p w14:paraId="09AECE1A" w14:textId="3E7490AA" w:rsidR="008C4661" w:rsidRDefault="008C4661" w:rsidP="003842AF">
      <w:pPr>
        <w:ind w:left="720" w:hanging="720"/>
        <w:jc w:val="both"/>
        <w:rPr>
          <w:rFonts w:eastAsia="Calibri" w:cs="Times New Roman"/>
          <w:iCs/>
          <w:szCs w:val="24"/>
        </w:rPr>
      </w:pPr>
      <w:r w:rsidRPr="008C4661">
        <w:rPr>
          <w:rFonts w:eastAsia="Calibri" w:cs="Times New Roman"/>
          <w:bCs/>
          <w:iCs/>
          <w:szCs w:val="24"/>
          <w:lang w:val="en"/>
        </w:rPr>
        <w:t>Bennett, R.</w:t>
      </w:r>
      <w:r>
        <w:rPr>
          <w:rFonts w:eastAsia="Calibri" w:cs="Times New Roman"/>
          <w:bCs/>
          <w:iCs/>
          <w:szCs w:val="24"/>
          <w:lang w:val="en"/>
        </w:rPr>
        <w:t xml:space="preserve"> </w:t>
      </w:r>
      <w:r w:rsidRPr="008C4661">
        <w:rPr>
          <w:rFonts w:eastAsia="Calibri" w:cs="Times New Roman"/>
          <w:bCs/>
          <w:iCs/>
          <w:szCs w:val="24"/>
          <w:lang w:val="en"/>
        </w:rPr>
        <w:t>J.</w:t>
      </w:r>
      <w:r w:rsidRPr="008C4661">
        <w:rPr>
          <w:rFonts w:eastAsia="Calibri" w:cs="Times New Roman"/>
          <w:iCs/>
          <w:szCs w:val="24"/>
          <w:lang w:val="en"/>
        </w:rPr>
        <w:t xml:space="preserve">, Radicic, D. and Newton, G., </w:t>
      </w:r>
      <w:r>
        <w:rPr>
          <w:rFonts w:eastAsia="Calibri" w:cs="Times New Roman"/>
          <w:iCs/>
          <w:szCs w:val="24"/>
          <w:lang w:val="en"/>
        </w:rPr>
        <w:t>(2017b)</w:t>
      </w:r>
      <w:r w:rsidRPr="008C4661">
        <w:rPr>
          <w:rFonts w:eastAsia="Calibri" w:cs="Times New Roman"/>
          <w:iCs/>
          <w:szCs w:val="24"/>
          <w:lang w:val="en"/>
        </w:rPr>
        <w:t xml:space="preserve"> </w:t>
      </w:r>
      <w:r w:rsidR="00261969">
        <w:rPr>
          <w:rFonts w:eastAsia="Calibri" w:cs="Times New Roman"/>
          <w:iCs/>
          <w:szCs w:val="24"/>
          <w:lang w:val="en"/>
        </w:rPr>
        <w:t>‘</w:t>
      </w:r>
      <w:r w:rsidRPr="008C4661">
        <w:rPr>
          <w:rFonts w:eastAsia="Calibri" w:cs="Times New Roman"/>
          <w:iCs/>
          <w:szCs w:val="24"/>
          <w:lang w:val="en"/>
        </w:rPr>
        <w:t>Portfolio entrepreneurship in farming: Empirical evidence from the 1881 census for England and Wales</w:t>
      </w:r>
      <w:r w:rsidR="00261969">
        <w:rPr>
          <w:rFonts w:eastAsia="Calibri" w:cs="Times New Roman"/>
          <w:iCs/>
          <w:szCs w:val="24"/>
          <w:lang w:val="en"/>
        </w:rPr>
        <w:t>’,</w:t>
      </w:r>
      <w:r w:rsidRPr="008C4661">
        <w:rPr>
          <w:rFonts w:eastAsia="Calibri" w:cs="Times New Roman"/>
          <w:iCs/>
          <w:szCs w:val="24"/>
          <w:lang w:val="en"/>
        </w:rPr>
        <w:t xml:space="preserve"> </w:t>
      </w:r>
      <w:r w:rsidRPr="008C4661">
        <w:rPr>
          <w:rFonts w:eastAsia="Calibri" w:cs="Times New Roman"/>
          <w:i/>
          <w:iCs/>
          <w:szCs w:val="24"/>
          <w:lang w:val="en"/>
        </w:rPr>
        <w:t>Journal of Rural Studies</w:t>
      </w:r>
      <w:r w:rsidRPr="008C4661">
        <w:rPr>
          <w:rFonts w:eastAsia="Calibri" w:cs="Times New Roman"/>
          <w:iCs/>
          <w:szCs w:val="24"/>
          <w:lang w:val="en"/>
        </w:rPr>
        <w:t xml:space="preserve">, 55, 289-302. </w:t>
      </w:r>
      <w:hyperlink r:id="rId12" w:tgtFrame="_blank" w:tooltip="Link to publication" w:history="1">
        <w:r w:rsidRPr="008C4661">
          <w:rPr>
            <w:rStyle w:val="Hyperlink"/>
            <w:rFonts w:eastAsia="Calibri" w:cs="Times New Roman"/>
            <w:iCs/>
            <w:szCs w:val="24"/>
            <w:lang w:val="en"/>
          </w:rPr>
          <w:t>doi:10.1016/j.jrurstud.2017.08.019</w:t>
        </w:r>
      </w:hyperlink>
    </w:p>
    <w:p w14:paraId="658879D3" w14:textId="30484F5E" w:rsidR="004F79BA" w:rsidRDefault="004F79BA" w:rsidP="003842AF">
      <w:pPr>
        <w:ind w:left="720" w:hanging="720"/>
        <w:jc w:val="both"/>
        <w:rPr>
          <w:rFonts w:eastAsia="Calibri" w:cs="Times New Roman"/>
          <w:iCs/>
          <w:szCs w:val="24"/>
        </w:rPr>
      </w:pPr>
      <w:proofErr w:type="gramStart"/>
      <w:r w:rsidRPr="004F79BA">
        <w:rPr>
          <w:rFonts w:eastAsia="Calibri" w:cs="Times New Roman"/>
          <w:iCs/>
          <w:szCs w:val="24"/>
        </w:rPr>
        <w:t>Bennett, R</w:t>
      </w:r>
      <w:r>
        <w:rPr>
          <w:rFonts w:eastAsia="Calibri" w:cs="Times New Roman"/>
          <w:iCs/>
          <w:szCs w:val="24"/>
        </w:rPr>
        <w:t>.</w:t>
      </w:r>
      <w:r w:rsidRPr="004F79BA">
        <w:rPr>
          <w:rFonts w:eastAsia="Calibri" w:cs="Times New Roman"/>
          <w:iCs/>
          <w:szCs w:val="24"/>
        </w:rPr>
        <w:t>J., Montebruno, P</w:t>
      </w:r>
      <w:r>
        <w:rPr>
          <w:rFonts w:eastAsia="Calibri" w:cs="Times New Roman"/>
          <w:iCs/>
          <w:szCs w:val="24"/>
        </w:rPr>
        <w:t>.</w:t>
      </w:r>
      <w:r w:rsidRPr="004F79BA">
        <w:rPr>
          <w:rFonts w:eastAsia="Calibri" w:cs="Times New Roman"/>
          <w:iCs/>
          <w:szCs w:val="24"/>
        </w:rPr>
        <w:t>, Smith, H</w:t>
      </w:r>
      <w:r>
        <w:rPr>
          <w:rFonts w:eastAsia="Calibri" w:cs="Times New Roman"/>
          <w:iCs/>
          <w:szCs w:val="24"/>
        </w:rPr>
        <w:t>.</w:t>
      </w:r>
      <w:r w:rsidRPr="004F79BA">
        <w:rPr>
          <w:rFonts w:eastAsia="Calibri" w:cs="Times New Roman"/>
          <w:iCs/>
          <w:szCs w:val="24"/>
        </w:rPr>
        <w:t xml:space="preserve">, </w:t>
      </w:r>
      <w:r>
        <w:rPr>
          <w:rFonts w:eastAsia="Calibri" w:cs="Times New Roman"/>
          <w:iCs/>
          <w:szCs w:val="24"/>
        </w:rPr>
        <w:t>and V</w:t>
      </w:r>
      <w:r w:rsidRPr="004F79BA">
        <w:rPr>
          <w:rFonts w:eastAsia="Calibri" w:cs="Times New Roman"/>
          <w:iCs/>
          <w:szCs w:val="24"/>
        </w:rPr>
        <w:t>an Lieshout, C</w:t>
      </w:r>
      <w:r>
        <w:rPr>
          <w:rFonts w:eastAsia="Calibri" w:cs="Times New Roman"/>
          <w:iCs/>
          <w:szCs w:val="24"/>
        </w:rPr>
        <w:t>.</w:t>
      </w:r>
      <w:r w:rsidR="00904382">
        <w:rPr>
          <w:rFonts w:eastAsia="Calibri" w:cs="Times New Roman"/>
          <w:iCs/>
          <w:szCs w:val="24"/>
        </w:rPr>
        <w:t xml:space="preserve"> </w:t>
      </w:r>
      <w:r w:rsidRPr="004F79BA">
        <w:rPr>
          <w:rFonts w:eastAsia="Calibri" w:cs="Times New Roman"/>
          <w:iCs/>
          <w:szCs w:val="24"/>
        </w:rPr>
        <w:t xml:space="preserve">(2018) </w:t>
      </w:r>
      <w:r w:rsidRPr="004F79BA">
        <w:rPr>
          <w:rFonts w:eastAsia="Calibri" w:cs="Times New Roman"/>
          <w:bCs/>
          <w:i/>
          <w:iCs/>
          <w:szCs w:val="24"/>
        </w:rPr>
        <w:t>Reconstructing entrepreneur and business numbers for censuses 1851-81</w:t>
      </w:r>
      <w:r w:rsidRPr="004F79BA">
        <w:rPr>
          <w:rFonts w:eastAsia="Calibri" w:cs="Times New Roman"/>
          <w:i/>
          <w:iCs/>
          <w:szCs w:val="24"/>
        </w:rPr>
        <w:t>.</w:t>
      </w:r>
      <w:proofErr w:type="gramEnd"/>
      <w:r w:rsidRPr="004F79BA">
        <w:rPr>
          <w:rFonts w:eastAsia="Calibri" w:cs="Times New Roman"/>
          <w:iCs/>
          <w:szCs w:val="24"/>
        </w:rPr>
        <w:t xml:space="preserve"> Working Paper 9: ESRC project ES/M010953: ‘</w:t>
      </w:r>
      <w:r w:rsidRPr="004F79BA">
        <w:rPr>
          <w:rFonts w:eastAsia="Calibri" w:cs="Times New Roman"/>
          <w:bCs/>
          <w:iCs/>
          <w:szCs w:val="24"/>
        </w:rPr>
        <w:t>Drivers of Entrepreneurship and Small Businesses’</w:t>
      </w:r>
      <w:r w:rsidRPr="004F79BA">
        <w:rPr>
          <w:rFonts w:eastAsia="Calibri" w:cs="Times New Roman"/>
          <w:iCs/>
          <w:szCs w:val="24"/>
        </w:rPr>
        <w:t>, University of Cambridge</w:t>
      </w:r>
      <w:r>
        <w:rPr>
          <w:rFonts w:eastAsia="Calibri" w:cs="Times New Roman"/>
          <w:iCs/>
          <w:szCs w:val="24"/>
        </w:rPr>
        <w:t>.</w:t>
      </w:r>
    </w:p>
    <w:p w14:paraId="65800230" w14:textId="1D8A99F9" w:rsidR="004F79BA" w:rsidRDefault="004F79BA" w:rsidP="004F79BA">
      <w:pPr>
        <w:ind w:left="720"/>
        <w:jc w:val="both"/>
        <w:rPr>
          <w:rFonts w:eastAsia="Calibri" w:cs="Times New Roman"/>
          <w:iCs/>
          <w:szCs w:val="24"/>
        </w:rPr>
      </w:pPr>
      <w:r w:rsidRPr="004F79BA">
        <w:rPr>
          <w:rFonts w:eastAsia="Calibri" w:cs="Times New Roman"/>
          <w:iCs/>
          <w:szCs w:val="24"/>
        </w:rPr>
        <w:t>https://www.campop.geog.cam.ac.uk/research/projects/driversofentrepreneurship/wp9reconstruction.pdf</w:t>
      </w:r>
    </w:p>
    <w:p w14:paraId="3A1B4B30" w14:textId="1B1C0238" w:rsidR="003842AF" w:rsidRPr="003842AF" w:rsidRDefault="003842AF" w:rsidP="003842AF">
      <w:pPr>
        <w:ind w:left="720" w:hanging="720"/>
        <w:jc w:val="both"/>
        <w:rPr>
          <w:rFonts w:eastAsia="Calibri" w:cs="Times New Roman"/>
          <w:iCs/>
          <w:szCs w:val="24"/>
        </w:rPr>
      </w:pPr>
      <w:r w:rsidRPr="003842AF">
        <w:rPr>
          <w:rFonts w:eastAsia="Calibri" w:cs="Times New Roman"/>
          <w:iCs/>
          <w:szCs w:val="24"/>
        </w:rPr>
        <w:t xml:space="preserve">Booth, </w:t>
      </w:r>
      <w:r w:rsidR="00186245" w:rsidRPr="003842AF">
        <w:rPr>
          <w:rFonts w:eastAsia="Calibri" w:cs="Times New Roman"/>
          <w:iCs/>
          <w:szCs w:val="24"/>
        </w:rPr>
        <w:t>C</w:t>
      </w:r>
      <w:r w:rsidR="00186245">
        <w:rPr>
          <w:rFonts w:eastAsia="Calibri" w:cs="Times New Roman"/>
          <w:iCs/>
          <w:szCs w:val="24"/>
        </w:rPr>
        <w:t>.</w:t>
      </w:r>
      <w:r w:rsidR="00186245" w:rsidRPr="003842AF">
        <w:rPr>
          <w:rFonts w:eastAsia="Calibri" w:cs="Times New Roman"/>
          <w:iCs/>
          <w:szCs w:val="24"/>
        </w:rPr>
        <w:t xml:space="preserve"> </w:t>
      </w:r>
      <w:r w:rsidRPr="003842AF">
        <w:rPr>
          <w:rFonts w:eastAsia="Calibri" w:cs="Times New Roman"/>
          <w:iCs/>
          <w:szCs w:val="24"/>
        </w:rPr>
        <w:t>(1886) ‘Occupations of the People of the United Kingdom 1801–1881’,</w:t>
      </w:r>
      <w:r w:rsidRPr="003842AF">
        <w:rPr>
          <w:rFonts w:eastAsia="Calibri" w:cs="Times New Roman"/>
          <w:i/>
          <w:iCs/>
          <w:szCs w:val="24"/>
        </w:rPr>
        <w:t xml:space="preserve"> Journal of the Royal Statistical Society</w:t>
      </w:r>
      <w:r w:rsidRPr="003842AF">
        <w:rPr>
          <w:rFonts w:eastAsia="Calibri" w:cs="Times New Roman"/>
          <w:iCs/>
          <w:szCs w:val="24"/>
        </w:rPr>
        <w:t>, 49, 2, 314-435.</w:t>
      </w:r>
    </w:p>
    <w:p w14:paraId="442053DE" w14:textId="1C8DD006" w:rsidR="003842AF" w:rsidRPr="003842AF" w:rsidRDefault="003842AF" w:rsidP="003842AF">
      <w:pPr>
        <w:ind w:left="720" w:hanging="720"/>
        <w:jc w:val="both"/>
        <w:rPr>
          <w:rFonts w:eastAsia="Calibri" w:cs="Times New Roman"/>
          <w:iCs/>
          <w:szCs w:val="24"/>
        </w:rPr>
      </w:pPr>
      <w:proofErr w:type="spellStart"/>
      <w:proofErr w:type="gramStart"/>
      <w:r w:rsidRPr="003842AF">
        <w:rPr>
          <w:rFonts w:eastAsia="Calibri" w:cs="Times New Roman"/>
          <w:iCs/>
          <w:szCs w:val="24"/>
        </w:rPr>
        <w:t>Braybon</w:t>
      </w:r>
      <w:proofErr w:type="spellEnd"/>
      <w:r w:rsidRPr="003842AF">
        <w:rPr>
          <w:rFonts w:eastAsia="Calibri" w:cs="Times New Roman"/>
          <w:iCs/>
          <w:szCs w:val="24"/>
        </w:rPr>
        <w:t xml:space="preserve">, </w:t>
      </w:r>
      <w:r w:rsidR="00186245" w:rsidRPr="003842AF">
        <w:rPr>
          <w:rFonts w:eastAsia="Calibri" w:cs="Times New Roman"/>
          <w:iCs/>
          <w:szCs w:val="24"/>
        </w:rPr>
        <w:t>G</w:t>
      </w:r>
      <w:r w:rsidR="00186245">
        <w:rPr>
          <w:rFonts w:eastAsia="Calibri" w:cs="Times New Roman"/>
          <w:iCs/>
          <w:szCs w:val="24"/>
        </w:rPr>
        <w:t>.</w:t>
      </w:r>
      <w:r w:rsidR="00186245" w:rsidRPr="003842AF">
        <w:rPr>
          <w:rFonts w:eastAsia="Calibri" w:cs="Times New Roman"/>
          <w:iCs/>
          <w:szCs w:val="24"/>
        </w:rPr>
        <w:t xml:space="preserve"> </w:t>
      </w:r>
      <w:r w:rsidRPr="003842AF">
        <w:rPr>
          <w:rFonts w:eastAsia="Calibri" w:cs="Times New Roman"/>
          <w:iCs/>
          <w:szCs w:val="24"/>
        </w:rPr>
        <w:t xml:space="preserve">(1989) </w:t>
      </w:r>
      <w:r w:rsidRPr="003842AF">
        <w:rPr>
          <w:rFonts w:eastAsia="Calibri" w:cs="Times New Roman"/>
          <w:i/>
          <w:iCs/>
          <w:szCs w:val="24"/>
        </w:rPr>
        <w:t>Women Workers in the First World War</w:t>
      </w:r>
      <w:r w:rsidRPr="003842AF">
        <w:rPr>
          <w:rFonts w:eastAsia="Calibri" w:cs="Times New Roman"/>
          <w:iCs/>
          <w:szCs w:val="24"/>
        </w:rPr>
        <w:t>.</w:t>
      </w:r>
      <w:proofErr w:type="gramEnd"/>
      <w:r w:rsidRPr="003842AF">
        <w:rPr>
          <w:rFonts w:eastAsia="Calibri" w:cs="Times New Roman"/>
          <w:iCs/>
          <w:szCs w:val="24"/>
        </w:rPr>
        <w:t xml:space="preserve"> London: Routledge.</w:t>
      </w:r>
    </w:p>
    <w:p w14:paraId="273E46EA" w14:textId="77777777" w:rsidR="003842AF" w:rsidRPr="003842AF" w:rsidRDefault="003842AF" w:rsidP="003842AF">
      <w:pPr>
        <w:ind w:left="720" w:hanging="720"/>
        <w:jc w:val="both"/>
        <w:rPr>
          <w:rFonts w:eastAsia="Calibri" w:cs="Times New Roman"/>
          <w:iCs/>
          <w:szCs w:val="24"/>
        </w:rPr>
      </w:pPr>
      <w:r w:rsidRPr="003842AF">
        <w:rPr>
          <w:rFonts w:eastAsia="Calibri" w:cs="Times New Roman"/>
          <w:iCs/>
          <w:szCs w:val="24"/>
        </w:rPr>
        <w:t xml:space="preserve">Brydges Henniker, P. (1890) ‘Remarks of the Registrar-General on ‘Memorandum as to Improvement of Census Returns’, in </w:t>
      </w:r>
      <w:r w:rsidRPr="003842AF">
        <w:rPr>
          <w:rFonts w:eastAsia="Calibri" w:cs="Times New Roman"/>
          <w:i/>
          <w:iCs/>
          <w:szCs w:val="24"/>
        </w:rPr>
        <w:t>Report of the Committee Appointed by the Treasury to Inquire into Certain Questions Connected with the Taking of the Census</w:t>
      </w:r>
      <w:r w:rsidRPr="003842AF">
        <w:rPr>
          <w:rFonts w:eastAsia="Calibri" w:cs="Times New Roman"/>
          <w:iCs/>
          <w:szCs w:val="24"/>
        </w:rPr>
        <w:t>, 120-1, C 6071. London: HMSO.</w:t>
      </w:r>
    </w:p>
    <w:p w14:paraId="1B333BA1" w14:textId="77777777" w:rsidR="003842AF" w:rsidRPr="003842AF" w:rsidRDefault="003842AF" w:rsidP="003842AF">
      <w:pPr>
        <w:ind w:left="720" w:hanging="720"/>
        <w:jc w:val="both"/>
        <w:rPr>
          <w:rFonts w:eastAsia="Calibri" w:cs="Times New Roman"/>
          <w:iCs/>
          <w:szCs w:val="24"/>
        </w:rPr>
      </w:pPr>
      <w:proofErr w:type="spellStart"/>
      <w:proofErr w:type="gramStart"/>
      <w:r w:rsidRPr="003842AF">
        <w:rPr>
          <w:rFonts w:eastAsia="Calibri" w:cs="Times New Roman"/>
          <w:iCs/>
          <w:szCs w:val="24"/>
        </w:rPr>
        <w:t>Campanelli</w:t>
      </w:r>
      <w:proofErr w:type="spellEnd"/>
      <w:r w:rsidRPr="003842AF">
        <w:rPr>
          <w:rFonts w:eastAsia="Calibri" w:cs="Times New Roman"/>
          <w:iCs/>
          <w:szCs w:val="24"/>
        </w:rPr>
        <w:t xml:space="preserve">, P., Thomson, K, Moon, N. and Staples, (1997) ‘The quality of occupational coding in the United Kingdom’, in </w:t>
      </w:r>
      <w:proofErr w:type="spellStart"/>
      <w:r w:rsidRPr="003842AF">
        <w:rPr>
          <w:rFonts w:eastAsia="Calibri" w:cs="Times New Roman"/>
          <w:iCs/>
          <w:szCs w:val="24"/>
        </w:rPr>
        <w:t>Lyberg</w:t>
      </w:r>
      <w:proofErr w:type="spellEnd"/>
      <w:r w:rsidRPr="003842AF">
        <w:rPr>
          <w:rFonts w:eastAsia="Calibri" w:cs="Times New Roman"/>
          <w:iCs/>
          <w:szCs w:val="24"/>
        </w:rPr>
        <w:t xml:space="preserve">, L. </w:t>
      </w:r>
      <w:proofErr w:type="spellStart"/>
      <w:r w:rsidRPr="003842AF">
        <w:rPr>
          <w:rFonts w:eastAsia="Calibri" w:cs="Times New Roman"/>
          <w:iCs/>
          <w:szCs w:val="24"/>
        </w:rPr>
        <w:t>Biemer</w:t>
      </w:r>
      <w:proofErr w:type="spellEnd"/>
      <w:r w:rsidRPr="003842AF">
        <w:rPr>
          <w:rFonts w:eastAsia="Calibri" w:cs="Times New Roman"/>
          <w:iCs/>
          <w:szCs w:val="24"/>
        </w:rPr>
        <w:t xml:space="preserve">, P. P., Collins, M., de </w:t>
      </w:r>
      <w:proofErr w:type="spellStart"/>
      <w:r w:rsidRPr="003842AF">
        <w:rPr>
          <w:rFonts w:eastAsia="Calibri" w:cs="Times New Roman"/>
          <w:iCs/>
          <w:szCs w:val="24"/>
        </w:rPr>
        <w:t>Leeuw</w:t>
      </w:r>
      <w:proofErr w:type="spellEnd"/>
      <w:r w:rsidRPr="003842AF">
        <w:rPr>
          <w:rFonts w:eastAsia="Calibri" w:cs="Times New Roman"/>
          <w:iCs/>
          <w:szCs w:val="24"/>
        </w:rPr>
        <w:t xml:space="preserve">, E., </w:t>
      </w:r>
      <w:proofErr w:type="spellStart"/>
      <w:r w:rsidRPr="003842AF">
        <w:rPr>
          <w:rFonts w:eastAsia="Calibri" w:cs="Times New Roman"/>
          <w:iCs/>
          <w:szCs w:val="24"/>
        </w:rPr>
        <w:t>Dippo</w:t>
      </w:r>
      <w:proofErr w:type="spellEnd"/>
      <w:r w:rsidRPr="003842AF">
        <w:rPr>
          <w:rFonts w:eastAsia="Calibri" w:cs="Times New Roman"/>
          <w:iCs/>
          <w:szCs w:val="24"/>
        </w:rPr>
        <w:t xml:space="preserve">, C., </w:t>
      </w:r>
      <w:proofErr w:type="spellStart"/>
      <w:r w:rsidRPr="003842AF">
        <w:rPr>
          <w:rFonts w:eastAsia="Calibri" w:cs="Times New Roman"/>
          <w:iCs/>
          <w:szCs w:val="24"/>
        </w:rPr>
        <w:t>Scwharz</w:t>
      </w:r>
      <w:proofErr w:type="spellEnd"/>
      <w:r w:rsidRPr="003842AF">
        <w:rPr>
          <w:rFonts w:eastAsia="Calibri" w:cs="Times New Roman"/>
          <w:iCs/>
          <w:szCs w:val="24"/>
        </w:rPr>
        <w:t xml:space="preserve">, N. and </w:t>
      </w:r>
      <w:proofErr w:type="spellStart"/>
      <w:r w:rsidRPr="003842AF">
        <w:rPr>
          <w:rFonts w:eastAsia="Calibri" w:cs="Times New Roman"/>
          <w:iCs/>
          <w:szCs w:val="24"/>
        </w:rPr>
        <w:t>Trewin</w:t>
      </w:r>
      <w:proofErr w:type="spellEnd"/>
      <w:r w:rsidRPr="003842AF">
        <w:rPr>
          <w:rFonts w:eastAsia="Calibri" w:cs="Times New Roman"/>
          <w:iCs/>
          <w:szCs w:val="24"/>
        </w:rPr>
        <w:t xml:space="preserve">, D., 538-53, </w:t>
      </w:r>
      <w:r w:rsidRPr="003842AF">
        <w:rPr>
          <w:rFonts w:eastAsia="Calibri" w:cs="Times New Roman"/>
          <w:i/>
          <w:iCs/>
          <w:szCs w:val="24"/>
        </w:rPr>
        <w:t>Survey measurement and process quality</w:t>
      </w:r>
      <w:r w:rsidRPr="003842AF">
        <w:rPr>
          <w:rFonts w:eastAsia="Calibri" w:cs="Times New Roman"/>
          <w:iCs/>
          <w:szCs w:val="24"/>
        </w:rPr>
        <w:t>.</w:t>
      </w:r>
      <w:proofErr w:type="gramEnd"/>
      <w:r w:rsidRPr="003842AF">
        <w:rPr>
          <w:rFonts w:eastAsia="Calibri" w:cs="Times New Roman"/>
          <w:iCs/>
          <w:szCs w:val="24"/>
        </w:rPr>
        <w:t xml:space="preserve"> New York: Wiley.</w:t>
      </w:r>
    </w:p>
    <w:p w14:paraId="178340F2" w14:textId="07723A12" w:rsidR="003842AF" w:rsidRPr="003842AF" w:rsidRDefault="003842AF" w:rsidP="003842AF">
      <w:pPr>
        <w:ind w:left="720" w:hanging="720"/>
        <w:jc w:val="both"/>
        <w:rPr>
          <w:rFonts w:eastAsia="Calibri" w:cs="Times New Roman"/>
        </w:rPr>
      </w:pPr>
      <w:r w:rsidRPr="003842AF">
        <w:rPr>
          <w:rFonts w:eastAsia="Calibri" w:cs="Times New Roman"/>
        </w:rPr>
        <w:t xml:space="preserve">Clapham, </w:t>
      </w:r>
      <w:r w:rsidR="00186245" w:rsidRPr="003842AF">
        <w:rPr>
          <w:rFonts w:eastAsia="Calibri" w:cs="Times New Roman"/>
        </w:rPr>
        <w:t>J</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H. (1932) </w:t>
      </w:r>
      <w:r w:rsidRPr="003842AF">
        <w:rPr>
          <w:rFonts w:eastAsia="Calibri" w:cs="Times New Roman"/>
          <w:i/>
        </w:rPr>
        <w:t>An Economic History of Modern Britain, Vol. 2: Free trade and steel 1850-1886</w:t>
      </w:r>
      <w:r w:rsidRPr="003842AF">
        <w:rPr>
          <w:rFonts w:eastAsia="Calibri" w:cs="Times New Roman"/>
        </w:rPr>
        <w:t>. Cambridge University Press</w:t>
      </w:r>
    </w:p>
    <w:p w14:paraId="215F32E5" w14:textId="43181B4C" w:rsidR="003842AF" w:rsidRPr="003842AF" w:rsidRDefault="003842AF" w:rsidP="003842AF">
      <w:pPr>
        <w:ind w:left="720" w:hanging="720"/>
        <w:jc w:val="both"/>
        <w:rPr>
          <w:rFonts w:eastAsia="Calibri" w:cs="Times New Roman"/>
        </w:rPr>
      </w:pPr>
      <w:r w:rsidRPr="003842AF">
        <w:rPr>
          <w:rFonts w:eastAsia="Calibri" w:cs="Times New Roman"/>
        </w:rPr>
        <w:lastRenderedPageBreak/>
        <w:t xml:space="preserve">Crossick, </w:t>
      </w:r>
      <w:r w:rsidR="00186245" w:rsidRPr="003842AF">
        <w:rPr>
          <w:rFonts w:eastAsia="Calibri" w:cs="Times New Roman"/>
        </w:rPr>
        <w:t>G</w:t>
      </w:r>
      <w:r w:rsidR="004E6F04">
        <w:rPr>
          <w:rFonts w:eastAsia="Calibri" w:cs="Times New Roman"/>
        </w:rPr>
        <w:t>.</w:t>
      </w:r>
      <w:r w:rsidR="004E6F04" w:rsidRPr="003842AF">
        <w:rPr>
          <w:rFonts w:eastAsia="Calibri" w:cs="Times New Roman"/>
        </w:rPr>
        <w:t xml:space="preserve"> (</w:t>
      </w:r>
      <w:r w:rsidRPr="003842AF">
        <w:rPr>
          <w:rFonts w:eastAsia="Calibri" w:cs="Times New Roman"/>
        </w:rPr>
        <w:t xml:space="preserve">1978) </w:t>
      </w:r>
      <w:proofErr w:type="gramStart"/>
      <w:r w:rsidRPr="003842AF">
        <w:rPr>
          <w:rFonts w:eastAsia="Calibri" w:cs="Times New Roman"/>
          <w:i/>
        </w:rPr>
        <w:t>An</w:t>
      </w:r>
      <w:proofErr w:type="gramEnd"/>
      <w:r w:rsidRPr="003842AF">
        <w:rPr>
          <w:rFonts w:eastAsia="Calibri" w:cs="Times New Roman"/>
          <w:i/>
        </w:rPr>
        <w:t xml:space="preserve"> Artisan Elite in Victorian Society: Kentish London 1840-1880</w:t>
      </w:r>
      <w:r w:rsidRPr="003842AF">
        <w:rPr>
          <w:rFonts w:eastAsia="Calibri" w:cs="Times New Roman"/>
        </w:rPr>
        <w:t xml:space="preserve">. London: </w:t>
      </w:r>
      <w:proofErr w:type="spellStart"/>
      <w:r w:rsidRPr="003842AF">
        <w:rPr>
          <w:rFonts w:eastAsia="Calibri" w:cs="Times New Roman"/>
        </w:rPr>
        <w:t>Croom</w:t>
      </w:r>
      <w:proofErr w:type="spellEnd"/>
      <w:r w:rsidRPr="003842AF">
        <w:rPr>
          <w:rFonts w:eastAsia="Calibri" w:cs="Times New Roman"/>
        </w:rPr>
        <w:t xml:space="preserve"> Helm.</w:t>
      </w:r>
    </w:p>
    <w:p w14:paraId="5C3050C2" w14:textId="77777777" w:rsidR="003842AF" w:rsidRPr="003842AF" w:rsidRDefault="003842AF" w:rsidP="003842AF">
      <w:pPr>
        <w:ind w:left="720" w:hanging="720"/>
        <w:jc w:val="both"/>
        <w:rPr>
          <w:rFonts w:eastAsia="Calibri" w:cs="Times New Roman"/>
        </w:rPr>
      </w:pPr>
      <w:r w:rsidRPr="003842AF">
        <w:rPr>
          <w:rFonts w:eastAsia="Calibri" w:cs="Times New Roman"/>
        </w:rPr>
        <w:t xml:space="preserve">Conrad, F. G., Couper, M. P. and </w:t>
      </w:r>
      <w:proofErr w:type="spellStart"/>
      <w:r w:rsidRPr="003842AF">
        <w:rPr>
          <w:rFonts w:eastAsia="Calibri" w:cs="Times New Roman"/>
        </w:rPr>
        <w:t>Sakshaug</w:t>
      </w:r>
      <w:proofErr w:type="spellEnd"/>
      <w:r w:rsidRPr="003842AF">
        <w:rPr>
          <w:rFonts w:eastAsia="Calibri" w:cs="Times New Roman"/>
        </w:rPr>
        <w:t>, J. W. (2016) ‘</w:t>
      </w:r>
      <w:proofErr w:type="gramStart"/>
      <w:r w:rsidRPr="003842AF">
        <w:rPr>
          <w:rFonts w:eastAsia="Calibri" w:cs="Times New Roman"/>
        </w:rPr>
        <w:t>Classifying</w:t>
      </w:r>
      <w:proofErr w:type="gramEnd"/>
      <w:r w:rsidRPr="003842AF">
        <w:rPr>
          <w:rFonts w:eastAsia="Calibri" w:cs="Times New Roman"/>
        </w:rPr>
        <w:t xml:space="preserve"> open-ended reports: Factors affecting the reliability of occupation codes’, </w:t>
      </w:r>
      <w:r w:rsidRPr="003842AF">
        <w:rPr>
          <w:rFonts w:eastAsia="Calibri" w:cs="Times New Roman"/>
          <w:i/>
        </w:rPr>
        <w:t>Journal of Official Statistics</w:t>
      </w:r>
      <w:r w:rsidRPr="003842AF">
        <w:rPr>
          <w:rFonts w:eastAsia="Calibri" w:cs="Times New Roman"/>
        </w:rPr>
        <w:t>, 32, 1, 75-92.</w:t>
      </w:r>
    </w:p>
    <w:p w14:paraId="44970CF3" w14:textId="29CCDFD6" w:rsidR="003842AF" w:rsidRPr="003842AF" w:rsidRDefault="003842AF" w:rsidP="003842AF">
      <w:pPr>
        <w:ind w:left="720" w:hanging="720"/>
        <w:jc w:val="both"/>
        <w:rPr>
          <w:rFonts w:eastAsia="Calibri" w:cs="Times New Roman"/>
        </w:rPr>
      </w:pPr>
      <w:r w:rsidRPr="003842AF">
        <w:rPr>
          <w:rFonts w:eastAsia="Calibri" w:cs="Times New Roman"/>
        </w:rPr>
        <w:t xml:space="preserve">Crossick, </w:t>
      </w:r>
      <w:r w:rsidR="00186245" w:rsidRPr="003842AF">
        <w:rPr>
          <w:rFonts w:eastAsia="Calibri" w:cs="Times New Roman"/>
        </w:rPr>
        <w:t>G</w:t>
      </w:r>
      <w:r w:rsidR="00186245">
        <w:rPr>
          <w:rFonts w:eastAsia="Calibri" w:cs="Times New Roman"/>
        </w:rPr>
        <w:t>.</w:t>
      </w:r>
      <w:r w:rsidR="00186245" w:rsidRPr="003842AF">
        <w:rPr>
          <w:rFonts w:eastAsia="Calibri" w:cs="Times New Roman"/>
        </w:rPr>
        <w:t xml:space="preserve"> </w:t>
      </w:r>
      <w:r w:rsidRPr="003842AF">
        <w:rPr>
          <w:rFonts w:eastAsia="Calibri" w:cs="Times New Roman"/>
        </w:rPr>
        <w:t>(1984) ‘</w:t>
      </w:r>
      <w:proofErr w:type="gramStart"/>
      <w:r w:rsidRPr="003842AF">
        <w:rPr>
          <w:rFonts w:eastAsia="Calibri" w:cs="Times New Roman"/>
        </w:rPr>
        <w:t>The</w:t>
      </w:r>
      <w:proofErr w:type="gramEnd"/>
      <w:r w:rsidRPr="003842AF">
        <w:rPr>
          <w:rFonts w:eastAsia="Calibri" w:cs="Times New Roman"/>
        </w:rPr>
        <w:t xml:space="preserve"> Petite Bourgeoisie in Nineteenth-Century Britain: The Urban and Liberal Case’, in Crossick, Geoffrey and Haupt, Heinz-Gerhard eds. </w:t>
      </w:r>
      <w:r w:rsidRPr="003842AF">
        <w:rPr>
          <w:rFonts w:eastAsia="Calibri" w:cs="Times New Roman"/>
          <w:i/>
        </w:rPr>
        <w:t>Shopkeepers and Master Artisans in Nineteenth-Century Europe</w:t>
      </w:r>
      <w:r w:rsidRPr="003842AF">
        <w:rPr>
          <w:rFonts w:eastAsia="Calibri" w:cs="Times New Roman"/>
        </w:rPr>
        <w:t>, 62-94. London: Methuen.</w:t>
      </w:r>
    </w:p>
    <w:p w14:paraId="71D8A462" w14:textId="29CB157A" w:rsidR="003842AF" w:rsidRPr="003842AF" w:rsidRDefault="004E6F04" w:rsidP="003842AF">
      <w:pPr>
        <w:ind w:left="720" w:hanging="720"/>
        <w:jc w:val="both"/>
        <w:rPr>
          <w:rFonts w:eastAsia="Calibri" w:cs="Times New Roman"/>
          <w:szCs w:val="24"/>
        </w:rPr>
      </w:pPr>
      <w:r w:rsidRPr="003842AF">
        <w:rPr>
          <w:rFonts w:eastAsia="Calibri" w:cs="Times New Roman"/>
          <w:szCs w:val="24"/>
        </w:rPr>
        <w:t>Davidoff, L</w:t>
      </w:r>
      <w:r>
        <w:rPr>
          <w:rFonts w:eastAsia="Calibri" w:cs="Times New Roman"/>
          <w:szCs w:val="24"/>
        </w:rPr>
        <w:t>.</w:t>
      </w:r>
      <w:r w:rsidRPr="003842AF">
        <w:rPr>
          <w:rFonts w:eastAsia="Calibri" w:cs="Times New Roman"/>
          <w:szCs w:val="24"/>
        </w:rPr>
        <w:t xml:space="preserve"> </w:t>
      </w:r>
      <w:r w:rsidR="003842AF" w:rsidRPr="003842AF">
        <w:rPr>
          <w:rFonts w:eastAsia="Calibri" w:cs="Times New Roman"/>
          <w:szCs w:val="24"/>
        </w:rPr>
        <w:t xml:space="preserve">and Hall, </w:t>
      </w:r>
      <w:r w:rsidR="00186245" w:rsidRPr="003842AF">
        <w:rPr>
          <w:rFonts w:eastAsia="Calibri" w:cs="Times New Roman"/>
          <w:szCs w:val="24"/>
        </w:rPr>
        <w:t>C</w:t>
      </w:r>
      <w:r w:rsidR="00186245">
        <w:rPr>
          <w:rFonts w:eastAsia="Calibri" w:cs="Times New Roman"/>
          <w:szCs w:val="24"/>
        </w:rPr>
        <w:t>.</w:t>
      </w:r>
      <w:r w:rsidR="00186245" w:rsidRPr="003842AF">
        <w:rPr>
          <w:rFonts w:eastAsia="Calibri" w:cs="Times New Roman"/>
          <w:szCs w:val="24"/>
        </w:rPr>
        <w:t xml:space="preserve"> </w:t>
      </w:r>
      <w:r w:rsidR="003842AF" w:rsidRPr="003842AF">
        <w:rPr>
          <w:rFonts w:eastAsia="Calibri" w:cs="Times New Roman"/>
          <w:szCs w:val="24"/>
        </w:rPr>
        <w:t xml:space="preserve">(1997) </w:t>
      </w:r>
      <w:r w:rsidR="003842AF" w:rsidRPr="003842AF">
        <w:rPr>
          <w:rFonts w:eastAsia="Calibri" w:cs="Times New Roman"/>
          <w:i/>
          <w:szCs w:val="24"/>
        </w:rPr>
        <w:t>Family Fortunes: Men and Women of the English Middle Class 1780-1850</w:t>
      </w:r>
      <w:r w:rsidR="003842AF" w:rsidRPr="003842AF">
        <w:rPr>
          <w:rFonts w:eastAsia="Calibri" w:cs="Times New Roman"/>
          <w:szCs w:val="24"/>
        </w:rPr>
        <w:t>. London: Routledge.</w:t>
      </w:r>
    </w:p>
    <w:p w14:paraId="1F274933" w14:textId="76D9FB7A"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Daunton, </w:t>
      </w:r>
      <w:r w:rsidR="00186245" w:rsidRPr="003842AF">
        <w:rPr>
          <w:rFonts w:eastAsia="Calibri" w:cs="Times New Roman"/>
          <w:szCs w:val="24"/>
        </w:rPr>
        <w:t>M</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(2007) </w:t>
      </w:r>
      <w:r w:rsidRPr="003842AF">
        <w:rPr>
          <w:rFonts w:eastAsia="Calibri" w:cs="Times New Roman"/>
          <w:i/>
          <w:szCs w:val="24"/>
        </w:rPr>
        <w:t>Wealth and Welfare: An Economic and Social History of Britain, 1851-1951</w:t>
      </w:r>
      <w:r w:rsidRPr="003842AF">
        <w:rPr>
          <w:rFonts w:eastAsia="Calibri" w:cs="Times New Roman"/>
          <w:szCs w:val="24"/>
        </w:rPr>
        <w:t xml:space="preserve">. </w:t>
      </w:r>
      <w:proofErr w:type="gramStart"/>
      <w:r w:rsidRPr="003842AF">
        <w:rPr>
          <w:rFonts w:eastAsia="Calibri" w:cs="Times New Roman"/>
          <w:szCs w:val="24"/>
        </w:rPr>
        <w:t>Oxford University Press.</w:t>
      </w:r>
      <w:proofErr w:type="gramEnd"/>
    </w:p>
    <w:p w14:paraId="412FFE46" w14:textId="77777777"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De Beck, A. M. (ed.) (1916) </w:t>
      </w:r>
      <w:r w:rsidRPr="003842AF">
        <w:rPr>
          <w:rFonts w:eastAsia="Calibri" w:cs="Times New Roman"/>
          <w:i/>
          <w:szCs w:val="24"/>
        </w:rPr>
        <w:t>Women of the Empire in War Time</w:t>
      </w:r>
      <w:r w:rsidRPr="003842AF">
        <w:rPr>
          <w:rFonts w:eastAsia="Calibri" w:cs="Times New Roman"/>
          <w:szCs w:val="24"/>
        </w:rPr>
        <w:t>: in honour of their great devotion and self-sacrifice. London: Dominion of Canada News.</w:t>
      </w:r>
    </w:p>
    <w:p w14:paraId="693A879D" w14:textId="77777777" w:rsidR="003842AF" w:rsidRPr="003842AF" w:rsidRDefault="003842AF" w:rsidP="003842AF">
      <w:pPr>
        <w:ind w:left="720" w:hanging="720"/>
        <w:jc w:val="both"/>
        <w:rPr>
          <w:rFonts w:eastAsia="Calibri" w:cs="Times New Roman"/>
          <w:szCs w:val="24"/>
        </w:rPr>
      </w:pPr>
      <w:proofErr w:type="spellStart"/>
      <w:r w:rsidRPr="003842AF">
        <w:rPr>
          <w:rFonts w:eastAsia="Calibri" w:cs="Times New Roman"/>
          <w:szCs w:val="24"/>
        </w:rPr>
        <w:t>Eckler</w:t>
      </w:r>
      <w:proofErr w:type="spellEnd"/>
      <w:r w:rsidRPr="003842AF">
        <w:rPr>
          <w:rFonts w:eastAsia="Calibri" w:cs="Times New Roman"/>
          <w:szCs w:val="24"/>
        </w:rPr>
        <w:t xml:space="preserve">, A. R. and Hurwitz, W. N. (1958) ‘Response variance and biases in Censuses and surveys’ </w:t>
      </w:r>
      <w:r w:rsidRPr="003842AF">
        <w:rPr>
          <w:rFonts w:eastAsia="Calibri" w:cs="Times New Roman"/>
          <w:i/>
          <w:szCs w:val="24"/>
        </w:rPr>
        <w:t xml:space="preserve">Bulletin de </w:t>
      </w:r>
      <w:proofErr w:type="spellStart"/>
      <w:r w:rsidRPr="003842AF">
        <w:rPr>
          <w:rFonts w:eastAsia="Calibri" w:cs="Times New Roman"/>
          <w:i/>
          <w:szCs w:val="24"/>
        </w:rPr>
        <w:t>L’Institute</w:t>
      </w:r>
      <w:proofErr w:type="spellEnd"/>
      <w:r w:rsidRPr="003842AF">
        <w:rPr>
          <w:rFonts w:eastAsia="Calibri" w:cs="Times New Roman"/>
          <w:i/>
          <w:szCs w:val="24"/>
        </w:rPr>
        <w:t xml:space="preserve"> International de </w:t>
      </w:r>
      <w:proofErr w:type="spellStart"/>
      <w:r w:rsidRPr="003842AF">
        <w:rPr>
          <w:rFonts w:eastAsia="Calibri" w:cs="Times New Roman"/>
          <w:i/>
          <w:szCs w:val="24"/>
        </w:rPr>
        <w:t>Statistique</w:t>
      </w:r>
      <w:proofErr w:type="spellEnd"/>
      <w:r w:rsidRPr="003842AF">
        <w:rPr>
          <w:rFonts w:eastAsia="Calibri" w:cs="Times New Roman"/>
          <w:szCs w:val="24"/>
        </w:rPr>
        <w:t>, 36, 2, 12-35.</w:t>
      </w:r>
    </w:p>
    <w:p w14:paraId="0571771E" w14:textId="77777777"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szCs w:val="24"/>
        </w:rPr>
        <w:t xml:space="preserve">Elliot, D. (1983) ‘A study of variation in occupation and social class coding – Summary of results’, </w:t>
      </w:r>
      <w:r w:rsidRPr="003842AF">
        <w:rPr>
          <w:rFonts w:eastAsia="Calibri" w:cs="Times New Roman"/>
          <w:i/>
          <w:szCs w:val="24"/>
        </w:rPr>
        <w:t>OPCS Survey Methodology Bulletin</w:t>
      </w:r>
      <w:r w:rsidRPr="003842AF">
        <w:rPr>
          <w:rFonts w:eastAsia="Calibri" w:cs="Times New Roman"/>
          <w:szCs w:val="24"/>
        </w:rPr>
        <w:t>, 14, 48-9.</w:t>
      </w:r>
      <w:proofErr w:type="gramEnd"/>
    </w:p>
    <w:p w14:paraId="6CF36EA5" w14:textId="23915E5A" w:rsidR="003842AF" w:rsidRDefault="003842AF" w:rsidP="003842AF">
      <w:pPr>
        <w:ind w:left="720" w:hanging="720"/>
        <w:jc w:val="both"/>
        <w:rPr>
          <w:rFonts w:eastAsia="Calibri" w:cs="Times New Roman"/>
          <w:szCs w:val="24"/>
        </w:rPr>
      </w:pPr>
      <w:r w:rsidRPr="003842AF">
        <w:rPr>
          <w:rFonts w:eastAsia="Calibri" w:cs="Times New Roman"/>
          <w:szCs w:val="24"/>
        </w:rPr>
        <w:t xml:space="preserve">Erickson, </w:t>
      </w:r>
      <w:r w:rsidR="00186245" w:rsidRPr="003842AF">
        <w:rPr>
          <w:rFonts w:eastAsia="Calibri" w:cs="Times New Roman"/>
          <w:szCs w:val="24"/>
        </w:rPr>
        <w:t>C</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(1959) </w:t>
      </w:r>
      <w:r w:rsidRPr="003842AF">
        <w:rPr>
          <w:rFonts w:eastAsia="Calibri" w:cs="Times New Roman"/>
          <w:i/>
          <w:szCs w:val="24"/>
        </w:rPr>
        <w:t>British Industrialists: Steel and Hosiery 1850-1950</w:t>
      </w:r>
      <w:r w:rsidRPr="003842AF">
        <w:rPr>
          <w:rFonts w:eastAsia="Calibri" w:cs="Times New Roman"/>
          <w:szCs w:val="24"/>
        </w:rPr>
        <w:t>. National Institute of Economic Research: Cambridge University Press.</w:t>
      </w:r>
    </w:p>
    <w:p w14:paraId="61F0DA8B" w14:textId="61F3D581" w:rsidR="00D1120B" w:rsidRDefault="00D1120B" w:rsidP="00D1120B">
      <w:pPr>
        <w:ind w:left="720" w:hanging="720"/>
        <w:jc w:val="both"/>
        <w:rPr>
          <w:rFonts w:eastAsia="Calibri" w:cs="Times New Roman"/>
          <w:szCs w:val="24"/>
        </w:rPr>
      </w:pPr>
      <w:r w:rsidRPr="00D1120B">
        <w:rPr>
          <w:rFonts w:eastAsia="Calibri" w:cs="Times New Roman"/>
          <w:szCs w:val="24"/>
        </w:rPr>
        <w:t xml:space="preserve">Feinstein, C. H. (1972) </w:t>
      </w:r>
      <w:r w:rsidRPr="00D1120B">
        <w:rPr>
          <w:rFonts w:eastAsia="Calibri" w:cs="Times New Roman"/>
          <w:i/>
          <w:szCs w:val="24"/>
        </w:rPr>
        <w:t>National Income, Expenditure and Output of the United Kingdom 1855-1965</w:t>
      </w:r>
      <w:r w:rsidRPr="00D1120B">
        <w:rPr>
          <w:rFonts w:eastAsia="Calibri" w:cs="Times New Roman"/>
          <w:szCs w:val="24"/>
        </w:rPr>
        <w:t>, Cambridge University Press.</w:t>
      </w:r>
    </w:p>
    <w:p w14:paraId="62528DFA" w14:textId="7479E7CD" w:rsidR="00082C33" w:rsidRPr="00082C33" w:rsidRDefault="00082C33" w:rsidP="00D1120B">
      <w:pPr>
        <w:ind w:left="720" w:hanging="720"/>
        <w:jc w:val="both"/>
        <w:rPr>
          <w:rFonts w:eastAsia="Calibri" w:cs="Times New Roman"/>
          <w:szCs w:val="24"/>
        </w:rPr>
      </w:pPr>
      <w:r>
        <w:rPr>
          <w:rFonts w:eastAsia="Calibri" w:cs="Times New Roman"/>
          <w:szCs w:val="24"/>
        </w:rPr>
        <w:t xml:space="preserve">Godley, A. (2001) </w:t>
      </w:r>
      <w:r>
        <w:rPr>
          <w:rFonts w:eastAsia="Calibri" w:cs="Times New Roman"/>
          <w:i/>
          <w:szCs w:val="24"/>
        </w:rPr>
        <w:t>Jewish Immigrant Entrepreneurship in New York and London, 1880-1914: Enterprise and Culture</w:t>
      </w:r>
      <w:r>
        <w:rPr>
          <w:rFonts w:eastAsia="Calibri" w:cs="Times New Roman"/>
          <w:szCs w:val="24"/>
        </w:rPr>
        <w:t>, Basingstoke: Palgrave.</w:t>
      </w:r>
    </w:p>
    <w:p w14:paraId="51E8AB59" w14:textId="1ADD5B1E" w:rsidR="003842AF" w:rsidRPr="003842AF" w:rsidRDefault="003842AF" w:rsidP="003842AF">
      <w:pPr>
        <w:ind w:left="720" w:hanging="720"/>
        <w:jc w:val="both"/>
        <w:rPr>
          <w:rFonts w:eastAsia="Calibri" w:cs="Times New Roman"/>
          <w:szCs w:val="24"/>
        </w:rPr>
      </w:pPr>
      <w:proofErr w:type="spellStart"/>
      <w:r w:rsidRPr="003842AF">
        <w:rPr>
          <w:rFonts w:eastAsia="Calibri" w:cs="Times New Roman"/>
          <w:szCs w:val="24"/>
        </w:rPr>
        <w:t>Grayzel</w:t>
      </w:r>
      <w:proofErr w:type="spellEnd"/>
      <w:r w:rsidRPr="003842AF">
        <w:rPr>
          <w:rFonts w:eastAsia="Calibri" w:cs="Times New Roman"/>
          <w:szCs w:val="24"/>
        </w:rPr>
        <w:t xml:space="preserve">, </w:t>
      </w:r>
      <w:r w:rsidR="00186245" w:rsidRPr="003842AF">
        <w:rPr>
          <w:rFonts w:eastAsia="Calibri" w:cs="Times New Roman"/>
          <w:szCs w:val="24"/>
        </w:rPr>
        <w:t>S</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(2002) </w:t>
      </w:r>
      <w:r w:rsidRPr="003842AF">
        <w:rPr>
          <w:rFonts w:eastAsia="Calibri" w:cs="Times New Roman"/>
          <w:i/>
          <w:szCs w:val="24"/>
        </w:rPr>
        <w:t>Women and the First World War</w:t>
      </w:r>
      <w:r w:rsidRPr="003842AF">
        <w:rPr>
          <w:rFonts w:eastAsia="Calibri" w:cs="Times New Roman"/>
          <w:szCs w:val="24"/>
        </w:rPr>
        <w:t>. Harlow: Longmans.</w:t>
      </w:r>
    </w:p>
    <w:p w14:paraId="66025577" w14:textId="38FD5F1F"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rPr>
        <w:t xml:space="preserve">Grigg, </w:t>
      </w:r>
      <w:r w:rsidR="00186245" w:rsidRPr="003842AF">
        <w:rPr>
          <w:rFonts w:eastAsia="Calibri" w:cs="Times New Roman"/>
        </w:rPr>
        <w:t>D</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(1987) ‘Farm Size in England and Wales, from Early Victorian Times to the Present’, </w:t>
      </w:r>
      <w:r w:rsidRPr="003842AF">
        <w:rPr>
          <w:rFonts w:eastAsia="Calibri" w:cs="Times New Roman"/>
          <w:i/>
        </w:rPr>
        <w:t>Agricultural History Review</w:t>
      </w:r>
      <w:r w:rsidRPr="003842AF">
        <w:rPr>
          <w:rFonts w:eastAsia="Calibri" w:cs="Times New Roman"/>
        </w:rPr>
        <w:t>, 35, 179-98.</w:t>
      </w:r>
      <w:proofErr w:type="gramEnd"/>
    </w:p>
    <w:p w14:paraId="029591CC" w14:textId="77777777"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Groves, R. M., Fowler, F. J., Couper, M. P., </w:t>
      </w:r>
      <w:proofErr w:type="spellStart"/>
      <w:r w:rsidRPr="003842AF">
        <w:rPr>
          <w:rFonts w:eastAsia="Calibri" w:cs="Times New Roman"/>
          <w:szCs w:val="24"/>
        </w:rPr>
        <w:t>Lepkowski</w:t>
      </w:r>
      <w:proofErr w:type="spellEnd"/>
      <w:r w:rsidRPr="003842AF">
        <w:rPr>
          <w:rFonts w:eastAsia="Calibri" w:cs="Times New Roman"/>
          <w:szCs w:val="24"/>
        </w:rPr>
        <w:t xml:space="preserve">, J. M., Singer, E., </w:t>
      </w:r>
      <w:proofErr w:type="spellStart"/>
      <w:r w:rsidRPr="003842AF">
        <w:rPr>
          <w:rFonts w:eastAsia="Calibri" w:cs="Times New Roman"/>
          <w:szCs w:val="24"/>
        </w:rPr>
        <w:t>Tourangeau</w:t>
      </w:r>
      <w:proofErr w:type="spellEnd"/>
      <w:r w:rsidRPr="003842AF">
        <w:rPr>
          <w:rFonts w:eastAsia="Calibri" w:cs="Times New Roman"/>
          <w:szCs w:val="24"/>
        </w:rPr>
        <w:t xml:space="preserve">, R. (2004) </w:t>
      </w:r>
      <w:r w:rsidRPr="003842AF">
        <w:rPr>
          <w:rFonts w:eastAsia="Calibri" w:cs="Times New Roman"/>
          <w:i/>
          <w:szCs w:val="24"/>
        </w:rPr>
        <w:t>Survey Methodology</w:t>
      </w:r>
      <w:r w:rsidRPr="003842AF">
        <w:rPr>
          <w:rFonts w:eastAsia="Calibri" w:cs="Times New Roman"/>
          <w:szCs w:val="24"/>
        </w:rPr>
        <w:t>. New York: Wiley.</w:t>
      </w:r>
    </w:p>
    <w:p w14:paraId="3F06F13D" w14:textId="6B36FE34"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szCs w:val="24"/>
        </w:rPr>
        <w:t xml:space="preserve">Hannah, </w:t>
      </w:r>
      <w:r w:rsidR="00186245" w:rsidRPr="003842AF">
        <w:rPr>
          <w:rFonts w:eastAsia="Calibri" w:cs="Times New Roman"/>
          <w:szCs w:val="24"/>
        </w:rPr>
        <w:t>L</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(1983) </w:t>
      </w:r>
      <w:r w:rsidRPr="003842AF">
        <w:rPr>
          <w:rFonts w:eastAsia="Calibri" w:cs="Times New Roman"/>
          <w:i/>
          <w:szCs w:val="24"/>
        </w:rPr>
        <w:t>The Rise of the Corporate Economy</w:t>
      </w:r>
      <w:r w:rsidRPr="003842AF">
        <w:rPr>
          <w:rFonts w:eastAsia="Calibri" w:cs="Times New Roman"/>
          <w:szCs w:val="24"/>
        </w:rPr>
        <w:t>, Second edition.</w:t>
      </w:r>
      <w:proofErr w:type="gramEnd"/>
      <w:r w:rsidRPr="003842AF">
        <w:rPr>
          <w:rFonts w:eastAsia="Calibri" w:cs="Times New Roman"/>
          <w:szCs w:val="24"/>
        </w:rPr>
        <w:t xml:space="preserve"> London: Methuen.</w:t>
      </w:r>
    </w:p>
    <w:p w14:paraId="0861787F" w14:textId="37C2F7D8"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Hannah, </w:t>
      </w:r>
      <w:r w:rsidR="00186245" w:rsidRPr="003842AF">
        <w:rPr>
          <w:rFonts w:eastAsia="Calibri" w:cs="Times New Roman"/>
          <w:szCs w:val="24"/>
        </w:rPr>
        <w:t>L</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(2007) ‘</w:t>
      </w:r>
      <w:proofErr w:type="gramStart"/>
      <w:r w:rsidRPr="003842AF">
        <w:rPr>
          <w:rFonts w:eastAsia="Calibri" w:cs="Times New Roman"/>
          <w:szCs w:val="24"/>
        </w:rPr>
        <w:t>The</w:t>
      </w:r>
      <w:proofErr w:type="gramEnd"/>
      <w:r w:rsidRPr="003842AF">
        <w:rPr>
          <w:rFonts w:eastAsia="Calibri" w:cs="Times New Roman"/>
          <w:szCs w:val="24"/>
        </w:rPr>
        <w:t xml:space="preserve"> “Divorce” of Ownership from Control from 1900 Onwards: Re-Calibrating Imagined Global Trends’, </w:t>
      </w:r>
      <w:r w:rsidRPr="003842AF">
        <w:rPr>
          <w:rFonts w:eastAsia="Calibri" w:cs="Times New Roman"/>
          <w:i/>
          <w:szCs w:val="24"/>
        </w:rPr>
        <w:t>Business History</w:t>
      </w:r>
      <w:r w:rsidRPr="003842AF">
        <w:rPr>
          <w:rFonts w:eastAsia="Calibri" w:cs="Times New Roman"/>
          <w:szCs w:val="24"/>
        </w:rPr>
        <w:t>, 49, 4, 404-438.</w:t>
      </w:r>
    </w:p>
    <w:p w14:paraId="1E58679F" w14:textId="77777777" w:rsidR="003842AF" w:rsidRPr="003842AF" w:rsidRDefault="003842AF" w:rsidP="003842AF">
      <w:pPr>
        <w:ind w:left="720" w:hanging="720"/>
        <w:jc w:val="both"/>
        <w:rPr>
          <w:rFonts w:eastAsia="Calibri" w:cs="Times New Roman"/>
        </w:rPr>
      </w:pPr>
      <w:proofErr w:type="gramStart"/>
      <w:r w:rsidRPr="003842AF">
        <w:rPr>
          <w:rFonts w:eastAsia="Calibri" w:cs="Times New Roman"/>
        </w:rPr>
        <w:t xml:space="preserve">Hannah, L. (2014) ‘Corporations in the US and Europe 1790-1860’, </w:t>
      </w:r>
      <w:r w:rsidRPr="003842AF">
        <w:rPr>
          <w:rFonts w:eastAsia="Calibri" w:cs="Times New Roman"/>
          <w:i/>
        </w:rPr>
        <w:t>Business History</w:t>
      </w:r>
      <w:r w:rsidRPr="003842AF">
        <w:rPr>
          <w:rFonts w:eastAsia="Calibri" w:cs="Times New Roman"/>
        </w:rPr>
        <w:t>, 56, 6, 865-99.</w:t>
      </w:r>
      <w:proofErr w:type="gramEnd"/>
    </w:p>
    <w:p w14:paraId="408BFD2D" w14:textId="77777777"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rPr>
        <w:t xml:space="preserve">Hansen, M. H., Hurwitz, W. N. and </w:t>
      </w:r>
      <w:proofErr w:type="spellStart"/>
      <w:r w:rsidRPr="003842AF">
        <w:rPr>
          <w:rFonts w:eastAsia="Calibri" w:cs="Times New Roman"/>
        </w:rPr>
        <w:t>Bershad</w:t>
      </w:r>
      <w:proofErr w:type="spellEnd"/>
      <w:r w:rsidRPr="003842AF">
        <w:rPr>
          <w:rFonts w:eastAsia="Calibri" w:cs="Times New Roman"/>
        </w:rPr>
        <w:t>, M. A. (1961) ‘Measurement errors in Censuses and surveys’,</w:t>
      </w:r>
      <w:r w:rsidRPr="003842AF">
        <w:rPr>
          <w:rFonts w:eastAsia="Calibri" w:cs="Times New Roman"/>
          <w:szCs w:val="24"/>
        </w:rPr>
        <w:t xml:space="preserve"> </w:t>
      </w:r>
      <w:r w:rsidRPr="003842AF">
        <w:rPr>
          <w:rFonts w:eastAsia="Calibri" w:cs="Times New Roman"/>
          <w:i/>
        </w:rPr>
        <w:t xml:space="preserve">Bulletin de </w:t>
      </w:r>
      <w:proofErr w:type="spellStart"/>
      <w:r w:rsidRPr="003842AF">
        <w:rPr>
          <w:rFonts w:eastAsia="Calibri" w:cs="Times New Roman"/>
          <w:i/>
        </w:rPr>
        <w:t>L’Institute</w:t>
      </w:r>
      <w:proofErr w:type="spellEnd"/>
      <w:r w:rsidRPr="003842AF">
        <w:rPr>
          <w:rFonts w:eastAsia="Calibri" w:cs="Times New Roman"/>
          <w:i/>
        </w:rPr>
        <w:t xml:space="preserve"> International de </w:t>
      </w:r>
      <w:proofErr w:type="spellStart"/>
      <w:r w:rsidRPr="003842AF">
        <w:rPr>
          <w:rFonts w:eastAsia="Calibri" w:cs="Times New Roman"/>
          <w:i/>
        </w:rPr>
        <w:t>Statistique</w:t>
      </w:r>
      <w:proofErr w:type="spellEnd"/>
      <w:r w:rsidRPr="003842AF">
        <w:rPr>
          <w:rFonts w:eastAsia="Calibri" w:cs="Times New Roman"/>
        </w:rPr>
        <w:t>, 38, 2, 359-74.</w:t>
      </w:r>
      <w:proofErr w:type="gramEnd"/>
    </w:p>
    <w:p w14:paraId="557C8CF3" w14:textId="2FD24B91" w:rsidR="003842AF" w:rsidRPr="003842AF" w:rsidRDefault="003842AF" w:rsidP="003842AF">
      <w:pPr>
        <w:ind w:left="720" w:hanging="720"/>
        <w:jc w:val="both"/>
        <w:rPr>
          <w:rFonts w:eastAsia="Calibri" w:cs="Times New Roman"/>
        </w:rPr>
      </w:pPr>
      <w:r w:rsidRPr="003842AF">
        <w:rPr>
          <w:rFonts w:eastAsia="Calibri" w:cs="Times New Roman"/>
        </w:rPr>
        <w:t xml:space="preserve">Hatton, </w:t>
      </w:r>
      <w:r w:rsidR="00186245" w:rsidRPr="003842AF">
        <w:rPr>
          <w:rFonts w:eastAsia="Calibri" w:cs="Times New Roman"/>
        </w:rPr>
        <w:t>T</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J. and Bailey, </w:t>
      </w:r>
      <w:r w:rsidR="00186245" w:rsidRPr="003842AF">
        <w:rPr>
          <w:rFonts w:eastAsia="Calibri" w:cs="Times New Roman"/>
        </w:rPr>
        <w:t>R</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E. (2001) ‘Women’s Work in Census and Survey, 1911-1931’, </w:t>
      </w:r>
      <w:r w:rsidRPr="003842AF">
        <w:rPr>
          <w:rFonts w:eastAsia="Calibri" w:cs="Times New Roman"/>
          <w:i/>
        </w:rPr>
        <w:t>Economic History Review</w:t>
      </w:r>
      <w:r w:rsidRPr="003842AF">
        <w:rPr>
          <w:rFonts w:eastAsia="Calibri" w:cs="Times New Roman"/>
        </w:rPr>
        <w:t>, 54, 1, 87-107.</w:t>
      </w:r>
    </w:p>
    <w:p w14:paraId="26382BCF" w14:textId="31A9BCBD" w:rsidR="003842AF" w:rsidRPr="003842AF" w:rsidRDefault="003842AF" w:rsidP="003842AF">
      <w:pPr>
        <w:ind w:left="720" w:hanging="720"/>
        <w:jc w:val="both"/>
        <w:rPr>
          <w:rFonts w:eastAsia="Calibri" w:cs="Times New Roman"/>
          <w:szCs w:val="24"/>
        </w:rPr>
      </w:pPr>
      <w:r w:rsidRPr="003842AF">
        <w:rPr>
          <w:rFonts w:eastAsia="Calibri" w:cs="Times New Roman"/>
        </w:rPr>
        <w:t xml:space="preserve">Higgs, </w:t>
      </w:r>
      <w:r w:rsidR="00186245" w:rsidRPr="003842AF">
        <w:rPr>
          <w:rFonts w:eastAsia="Calibri" w:cs="Times New Roman"/>
        </w:rPr>
        <w:t>E</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(2005) </w:t>
      </w:r>
      <w:r w:rsidRPr="003842AF">
        <w:rPr>
          <w:rFonts w:eastAsia="Calibri" w:cs="Times New Roman"/>
          <w:i/>
        </w:rPr>
        <w:t>Making Sense of the Census Revisited: Census Records for England and Wales 1801-1901</w:t>
      </w:r>
      <w:r w:rsidRPr="003842AF">
        <w:rPr>
          <w:rFonts w:eastAsia="Calibri" w:cs="Times New Roman"/>
        </w:rPr>
        <w:t>. London: Institute of Historical Research, National Archives.</w:t>
      </w:r>
    </w:p>
    <w:p w14:paraId="53F55C65" w14:textId="253254C1" w:rsidR="003842AF" w:rsidRPr="003842AF" w:rsidRDefault="003842AF" w:rsidP="003842AF">
      <w:pPr>
        <w:ind w:left="720" w:hanging="720"/>
        <w:jc w:val="both"/>
        <w:rPr>
          <w:rFonts w:eastAsia="Calibri" w:cs="Times New Roman"/>
        </w:rPr>
      </w:pPr>
      <w:r w:rsidRPr="003842AF">
        <w:rPr>
          <w:rFonts w:eastAsia="Calibri" w:cs="Times New Roman"/>
        </w:rPr>
        <w:t xml:space="preserve">Higgs, </w:t>
      </w:r>
      <w:r w:rsidR="00186245" w:rsidRPr="003842AF">
        <w:rPr>
          <w:rFonts w:eastAsia="Calibri" w:cs="Times New Roman"/>
        </w:rPr>
        <w:t>E</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and Schürer, </w:t>
      </w:r>
      <w:r w:rsidR="00186245" w:rsidRPr="003842AF">
        <w:rPr>
          <w:rFonts w:eastAsia="Calibri" w:cs="Times New Roman"/>
        </w:rPr>
        <w:t>K</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(University of Essex) (2014) </w:t>
      </w:r>
      <w:proofErr w:type="gramStart"/>
      <w:r w:rsidRPr="003842AF">
        <w:rPr>
          <w:rFonts w:eastAsia="Calibri" w:cs="Times New Roman"/>
          <w:i/>
        </w:rPr>
        <w:t>The</w:t>
      </w:r>
      <w:proofErr w:type="gramEnd"/>
      <w:r w:rsidRPr="003842AF">
        <w:rPr>
          <w:rFonts w:eastAsia="Calibri" w:cs="Times New Roman"/>
          <w:i/>
        </w:rPr>
        <w:t xml:space="preserve"> Integrated Census Microdata (I-CeM)</w:t>
      </w:r>
      <w:r w:rsidRPr="003842AF">
        <w:rPr>
          <w:rFonts w:eastAsia="Calibri" w:cs="Times New Roman"/>
        </w:rPr>
        <w:t>. Essex: UKDA, SN-7481.</w:t>
      </w:r>
    </w:p>
    <w:p w14:paraId="06E67160" w14:textId="7E432EFC" w:rsidR="003842AF" w:rsidRPr="003842AF" w:rsidRDefault="003842AF" w:rsidP="003842AF">
      <w:pPr>
        <w:ind w:left="720" w:hanging="720"/>
        <w:jc w:val="both"/>
        <w:rPr>
          <w:rFonts w:eastAsia="Calibri" w:cs="Times New Roman"/>
        </w:rPr>
      </w:pPr>
      <w:proofErr w:type="gramStart"/>
      <w:r w:rsidRPr="003842AF">
        <w:rPr>
          <w:rFonts w:eastAsia="Calibri" w:cs="Times New Roman"/>
        </w:rPr>
        <w:t xml:space="preserve">Higgs, E., Jones, C., Schürer, K. and Wilkinson, A. (2015), </w:t>
      </w:r>
      <w:r w:rsidRPr="003842AF">
        <w:rPr>
          <w:rFonts w:eastAsia="Calibri" w:cs="Times New Roman"/>
          <w:i/>
        </w:rPr>
        <w:t>Integrated Census Microdata (I-CeM) Guide</w:t>
      </w:r>
      <w:r w:rsidRPr="003842AF">
        <w:rPr>
          <w:rFonts w:eastAsia="Calibri" w:cs="Times New Roman"/>
        </w:rPr>
        <w:t>, 2nd.</w:t>
      </w:r>
      <w:proofErr w:type="gramEnd"/>
      <w:r w:rsidRPr="003842AF">
        <w:rPr>
          <w:rFonts w:eastAsia="Calibri" w:cs="Times New Roman"/>
        </w:rPr>
        <w:t xml:space="preserve"> </w:t>
      </w:r>
      <w:proofErr w:type="gramStart"/>
      <w:r w:rsidRPr="003842AF">
        <w:rPr>
          <w:rFonts w:eastAsia="Calibri" w:cs="Times New Roman"/>
        </w:rPr>
        <w:t>ed</w:t>
      </w:r>
      <w:proofErr w:type="gramEnd"/>
      <w:r w:rsidR="004E6F04" w:rsidRPr="003842AF">
        <w:rPr>
          <w:rFonts w:eastAsia="Calibri" w:cs="Times New Roman"/>
        </w:rPr>
        <w:t>.</w:t>
      </w:r>
      <w:r w:rsidRPr="003842AF">
        <w:rPr>
          <w:rFonts w:eastAsia="Calibri" w:cs="Times New Roman"/>
        </w:rPr>
        <w:t xml:space="preserve"> Colchester: Department of History, University of Essex. </w:t>
      </w:r>
    </w:p>
    <w:p w14:paraId="51982BD1" w14:textId="77777777" w:rsidR="003842AF" w:rsidRPr="003842AF" w:rsidRDefault="003842AF" w:rsidP="003842AF">
      <w:pPr>
        <w:ind w:left="720" w:hanging="720"/>
        <w:jc w:val="both"/>
        <w:rPr>
          <w:rFonts w:eastAsia="Calibri" w:cs="Times New Roman"/>
        </w:rPr>
      </w:pPr>
      <w:proofErr w:type="gramStart"/>
      <w:r w:rsidRPr="003842AF">
        <w:rPr>
          <w:rFonts w:eastAsia="Calibri" w:cs="Times New Roman"/>
        </w:rPr>
        <w:t xml:space="preserve">IR (1892) </w:t>
      </w:r>
      <w:r w:rsidRPr="003842AF">
        <w:rPr>
          <w:rFonts w:eastAsia="Calibri" w:cs="Times New Roman"/>
          <w:i/>
        </w:rPr>
        <w:t>35th Report</w:t>
      </w:r>
      <w:r w:rsidRPr="003842AF">
        <w:rPr>
          <w:rFonts w:eastAsia="Calibri" w:cs="Times New Roman"/>
        </w:rPr>
        <w:t>, C-6731.</w:t>
      </w:r>
      <w:proofErr w:type="gramEnd"/>
      <w:r w:rsidRPr="003842AF">
        <w:rPr>
          <w:rFonts w:eastAsia="Calibri" w:cs="Times New Roman"/>
        </w:rPr>
        <w:t xml:space="preserve"> London: Commissioners of Inland Revenue.</w:t>
      </w:r>
    </w:p>
    <w:p w14:paraId="55D5D6C1" w14:textId="77777777" w:rsidR="003842AF" w:rsidRPr="003842AF" w:rsidRDefault="003842AF" w:rsidP="003842AF">
      <w:pPr>
        <w:ind w:left="720" w:hanging="720"/>
        <w:jc w:val="both"/>
        <w:rPr>
          <w:rFonts w:eastAsia="Calibri" w:cs="Times New Roman"/>
        </w:rPr>
      </w:pPr>
      <w:r w:rsidRPr="003842AF">
        <w:rPr>
          <w:rFonts w:eastAsia="Calibri" w:cs="Times New Roman"/>
        </w:rPr>
        <w:t xml:space="preserve">IR (1902) </w:t>
      </w:r>
      <w:r w:rsidRPr="003842AF">
        <w:rPr>
          <w:rFonts w:eastAsia="Calibri" w:cs="Times New Roman"/>
          <w:i/>
        </w:rPr>
        <w:t>45th Report</w:t>
      </w:r>
      <w:r w:rsidRPr="003842AF">
        <w:rPr>
          <w:rFonts w:eastAsia="Calibri" w:cs="Times New Roman"/>
        </w:rPr>
        <w:t>, Cd. 1216. London: Commissioners of Inland Revenue.</w:t>
      </w:r>
    </w:p>
    <w:p w14:paraId="079C7E30" w14:textId="77777777" w:rsidR="003842AF" w:rsidRPr="003842AF" w:rsidRDefault="003842AF" w:rsidP="003842AF">
      <w:pPr>
        <w:ind w:left="720" w:hanging="720"/>
        <w:jc w:val="both"/>
        <w:rPr>
          <w:rFonts w:eastAsia="Calibri" w:cs="Times New Roman"/>
        </w:rPr>
      </w:pPr>
      <w:r w:rsidRPr="003842AF">
        <w:rPr>
          <w:rFonts w:eastAsia="Calibri" w:cs="Times New Roman"/>
        </w:rPr>
        <w:t xml:space="preserve">IR (1912) </w:t>
      </w:r>
      <w:r w:rsidRPr="003842AF">
        <w:rPr>
          <w:rFonts w:eastAsia="Calibri" w:cs="Times New Roman"/>
          <w:i/>
        </w:rPr>
        <w:t>55th Report</w:t>
      </w:r>
      <w:r w:rsidRPr="003842AF">
        <w:rPr>
          <w:rFonts w:eastAsia="Calibri" w:cs="Times New Roman"/>
        </w:rPr>
        <w:t>, Cd. 6344.</w:t>
      </w:r>
      <w:r w:rsidRPr="003842AF">
        <w:rPr>
          <w:rFonts w:ascii="Calibri" w:eastAsia="Calibri" w:hAnsi="Calibri" w:cs="Times New Roman"/>
          <w:sz w:val="22"/>
        </w:rPr>
        <w:t xml:space="preserve"> </w:t>
      </w:r>
      <w:r w:rsidRPr="003842AF">
        <w:rPr>
          <w:rFonts w:eastAsia="Calibri" w:cs="Times New Roman"/>
        </w:rPr>
        <w:t>London: Commissioners of Inland Revenue.</w:t>
      </w:r>
    </w:p>
    <w:p w14:paraId="19A1A346" w14:textId="77777777" w:rsidR="003842AF" w:rsidRPr="003842AF" w:rsidRDefault="003842AF" w:rsidP="003842AF">
      <w:pPr>
        <w:ind w:left="720" w:hanging="720"/>
        <w:jc w:val="both"/>
        <w:rPr>
          <w:rFonts w:eastAsia="Calibri" w:cs="Times New Roman"/>
        </w:rPr>
      </w:pPr>
      <w:proofErr w:type="spellStart"/>
      <w:r w:rsidRPr="003842AF">
        <w:rPr>
          <w:rFonts w:eastAsia="Calibri" w:cs="Times New Roman"/>
        </w:rPr>
        <w:t>Jabine</w:t>
      </w:r>
      <w:proofErr w:type="spellEnd"/>
      <w:r w:rsidRPr="003842AF">
        <w:rPr>
          <w:rFonts w:eastAsia="Calibri" w:cs="Times New Roman"/>
        </w:rPr>
        <w:t xml:space="preserve">, T. B. and </w:t>
      </w:r>
      <w:proofErr w:type="spellStart"/>
      <w:r w:rsidRPr="003842AF">
        <w:rPr>
          <w:rFonts w:eastAsia="Calibri" w:cs="Times New Roman"/>
        </w:rPr>
        <w:t>Tepping</w:t>
      </w:r>
      <w:proofErr w:type="spellEnd"/>
      <w:r w:rsidRPr="003842AF">
        <w:rPr>
          <w:rFonts w:eastAsia="Calibri" w:cs="Times New Roman"/>
        </w:rPr>
        <w:t xml:space="preserve">, B. J. (1973) ‘Controlling for the quality of occupation and industry data’, </w:t>
      </w:r>
      <w:r w:rsidRPr="003842AF">
        <w:rPr>
          <w:rFonts w:eastAsia="Calibri" w:cs="Times New Roman"/>
          <w:i/>
        </w:rPr>
        <w:t xml:space="preserve">Bulletin de </w:t>
      </w:r>
      <w:proofErr w:type="spellStart"/>
      <w:r w:rsidRPr="003842AF">
        <w:rPr>
          <w:rFonts w:eastAsia="Calibri" w:cs="Times New Roman"/>
          <w:i/>
        </w:rPr>
        <w:t>L’Institute</w:t>
      </w:r>
      <w:proofErr w:type="spellEnd"/>
      <w:r w:rsidRPr="003842AF">
        <w:rPr>
          <w:rFonts w:eastAsia="Calibri" w:cs="Times New Roman"/>
          <w:i/>
        </w:rPr>
        <w:t xml:space="preserve"> International de </w:t>
      </w:r>
      <w:proofErr w:type="spellStart"/>
      <w:r w:rsidRPr="003842AF">
        <w:rPr>
          <w:rFonts w:eastAsia="Calibri" w:cs="Times New Roman"/>
          <w:i/>
        </w:rPr>
        <w:t>Statistique</w:t>
      </w:r>
      <w:proofErr w:type="spellEnd"/>
      <w:r w:rsidRPr="003842AF">
        <w:rPr>
          <w:rFonts w:eastAsia="Calibri" w:cs="Times New Roman"/>
        </w:rPr>
        <w:t>, 50, 360-92.</w:t>
      </w:r>
    </w:p>
    <w:p w14:paraId="690171DE" w14:textId="77777777" w:rsidR="003842AF" w:rsidRPr="003842AF" w:rsidRDefault="003842AF" w:rsidP="003842AF">
      <w:pPr>
        <w:ind w:left="720" w:hanging="720"/>
        <w:jc w:val="both"/>
        <w:rPr>
          <w:rFonts w:eastAsia="Calibri" w:cs="Times New Roman"/>
        </w:rPr>
      </w:pPr>
      <w:proofErr w:type="spellStart"/>
      <w:proofErr w:type="gramStart"/>
      <w:r w:rsidRPr="003842AF">
        <w:rPr>
          <w:rFonts w:eastAsia="Calibri" w:cs="Times New Roman"/>
        </w:rPr>
        <w:t>Jeffreys</w:t>
      </w:r>
      <w:proofErr w:type="spellEnd"/>
      <w:r w:rsidRPr="003842AF">
        <w:rPr>
          <w:rFonts w:eastAsia="Calibri" w:cs="Times New Roman"/>
        </w:rPr>
        <w:t xml:space="preserve">, J. B. (1954) </w:t>
      </w:r>
      <w:r w:rsidRPr="003842AF">
        <w:rPr>
          <w:rFonts w:eastAsia="Calibri" w:cs="Times New Roman"/>
          <w:i/>
        </w:rPr>
        <w:t>Retail Trading in Britain.</w:t>
      </w:r>
      <w:proofErr w:type="gramEnd"/>
      <w:r w:rsidRPr="003842AF">
        <w:rPr>
          <w:rFonts w:eastAsia="Calibri" w:cs="Times New Roman"/>
          <w:i/>
        </w:rPr>
        <w:t xml:space="preserve"> </w:t>
      </w:r>
      <w:proofErr w:type="gramStart"/>
      <w:r w:rsidRPr="003842AF">
        <w:rPr>
          <w:rFonts w:eastAsia="Calibri" w:cs="Times New Roman"/>
        </w:rPr>
        <w:t>Cambridge University Press.</w:t>
      </w:r>
      <w:proofErr w:type="gramEnd"/>
    </w:p>
    <w:p w14:paraId="777A4FC0" w14:textId="16EA3F8A" w:rsidR="003842AF" w:rsidRPr="003842AF" w:rsidRDefault="003842AF" w:rsidP="003842AF">
      <w:pPr>
        <w:ind w:left="720" w:hanging="720"/>
        <w:jc w:val="both"/>
        <w:rPr>
          <w:rFonts w:eastAsia="Calibri" w:cs="Times New Roman"/>
        </w:rPr>
      </w:pPr>
      <w:proofErr w:type="gramStart"/>
      <w:r w:rsidRPr="003842AF">
        <w:rPr>
          <w:rFonts w:eastAsia="Calibri" w:cs="Times New Roman"/>
        </w:rPr>
        <w:t xml:space="preserve">Jennings, </w:t>
      </w:r>
      <w:r w:rsidR="00186245" w:rsidRPr="003842AF">
        <w:rPr>
          <w:rFonts w:eastAsia="Calibri" w:cs="Times New Roman"/>
        </w:rPr>
        <w:t>P</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(2016) </w:t>
      </w:r>
      <w:r w:rsidRPr="003842AF">
        <w:rPr>
          <w:rFonts w:eastAsia="Calibri" w:cs="Times New Roman"/>
          <w:i/>
        </w:rPr>
        <w:t>A History of Drink and the English</w:t>
      </w:r>
      <w:r w:rsidRPr="003842AF">
        <w:rPr>
          <w:rFonts w:eastAsia="Calibri" w:cs="Times New Roman"/>
        </w:rPr>
        <w:t>.</w:t>
      </w:r>
      <w:proofErr w:type="gramEnd"/>
      <w:r w:rsidRPr="003842AF">
        <w:rPr>
          <w:rFonts w:eastAsia="Calibri" w:cs="Times New Roman"/>
        </w:rPr>
        <w:t xml:space="preserve"> Abingdon: Routledge.</w:t>
      </w:r>
    </w:p>
    <w:p w14:paraId="2A526D7D" w14:textId="3394594A" w:rsidR="003842AF" w:rsidRPr="003842AF" w:rsidRDefault="003842AF" w:rsidP="003842AF">
      <w:pPr>
        <w:ind w:left="720" w:hanging="720"/>
        <w:jc w:val="both"/>
        <w:rPr>
          <w:rFonts w:eastAsia="Calibri" w:cs="Times New Roman"/>
        </w:rPr>
      </w:pPr>
      <w:r w:rsidRPr="003842AF">
        <w:rPr>
          <w:rFonts w:eastAsia="Calibri" w:cs="Times New Roman"/>
        </w:rPr>
        <w:lastRenderedPageBreak/>
        <w:t xml:space="preserve">Jeremy, </w:t>
      </w:r>
      <w:r w:rsidR="00186245" w:rsidRPr="003842AF">
        <w:rPr>
          <w:rFonts w:eastAsia="Calibri" w:cs="Times New Roman"/>
        </w:rPr>
        <w:t>D</w:t>
      </w:r>
      <w:r w:rsidR="00186245">
        <w:rPr>
          <w:rFonts w:eastAsia="Calibri" w:cs="Times New Roman"/>
        </w:rPr>
        <w:t>.</w:t>
      </w:r>
      <w:r w:rsidRPr="003842AF">
        <w:rPr>
          <w:rFonts w:eastAsia="Calibri" w:cs="Times New Roman"/>
        </w:rPr>
        <w:t xml:space="preserve">J. (1998) </w:t>
      </w:r>
      <w:r w:rsidRPr="003842AF">
        <w:rPr>
          <w:rFonts w:eastAsia="Calibri" w:cs="Times New Roman"/>
          <w:i/>
        </w:rPr>
        <w:t>A Business History of Britain, 1900-1990s</w:t>
      </w:r>
      <w:r w:rsidRPr="003842AF">
        <w:rPr>
          <w:rFonts w:eastAsia="Calibri" w:cs="Times New Roman"/>
        </w:rPr>
        <w:t xml:space="preserve">. </w:t>
      </w:r>
      <w:proofErr w:type="gramStart"/>
      <w:r w:rsidRPr="003842AF">
        <w:rPr>
          <w:rFonts w:eastAsia="Calibri" w:cs="Times New Roman"/>
        </w:rPr>
        <w:t>Oxford University Press.</w:t>
      </w:r>
      <w:proofErr w:type="gramEnd"/>
    </w:p>
    <w:p w14:paraId="373F2E40" w14:textId="5D3242A6" w:rsidR="003842AF" w:rsidRPr="003842AF" w:rsidRDefault="003842AF" w:rsidP="003842AF">
      <w:pPr>
        <w:ind w:left="720" w:hanging="720"/>
        <w:jc w:val="both"/>
        <w:rPr>
          <w:rFonts w:eastAsia="Calibri" w:cs="Times New Roman"/>
        </w:rPr>
      </w:pPr>
      <w:r w:rsidRPr="003842AF">
        <w:rPr>
          <w:rFonts w:eastAsia="Calibri" w:cs="Times New Roman"/>
        </w:rPr>
        <w:t xml:space="preserve">Jeremy, </w:t>
      </w:r>
      <w:r w:rsidR="00186245" w:rsidRPr="003842AF">
        <w:rPr>
          <w:rFonts w:eastAsia="Calibri" w:cs="Times New Roman"/>
        </w:rPr>
        <w:t>D</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J. (1991) ‘The Hundred Largest Employers in the United Kingdom, in Manufacturing and Non-Manufacturing Industries, in 1907, 1935 and 1955’, </w:t>
      </w:r>
      <w:r w:rsidRPr="003842AF">
        <w:rPr>
          <w:rFonts w:eastAsia="Calibri" w:cs="Times New Roman"/>
          <w:i/>
        </w:rPr>
        <w:t xml:space="preserve">Business </w:t>
      </w:r>
      <w:proofErr w:type="gramStart"/>
      <w:r w:rsidRPr="003842AF">
        <w:rPr>
          <w:rFonts w:eastAsia="Calibri" w:cs="Times New Roman"/>
          <w:i/>
        </w:rPr>
        <w:t>History</w:t>
      </w:r>
      <w:r w:rsidRPr="003842AF">
        <w:rPr>
          <w:rFonts w:eastAsia="Calibri" w:cs="Times New Roman"/>
        </w:rPr>
        <w:t xml:space="preserve">  33</w:t>
      </w:r>
      <w:proofErr w:type="gramEnd"/>
      <w:r w:rsidRPr="003842AF">
        <w:rPr>
          <w:rFonts w:eastAsia="Calibri" w:cs="Times New Roman"/>
        </w:rPr>
        <w:t>, 1, 93-111.</w:t>
      </w:r>
    </w:p>
    <w:p w14:paraId="0DDE1EED" w14:textId="6C33C12E" w:rsidR="003842AF" w:rsidRPr="003842AF" w:rsidRDefault="003842AF" w:rsidP="003842AF">
      <w:pPr>
        <w:ind w:left="720" w:hanging="720"/>
        <w:jc w:val="both"/>
        <w:rPr>
          <w:rFonts w:eastAsia="Calibri" w:cs="Times New Roman"/>
        </w:rPr>
      </w:pPr>
      <w:r w:rsidRPr="003842AF">
        <w:rPr>
          <w:rFonts w:eastAsia="Calibri" w:cs="Times New Roman"/>
        </w:rPr>
        <w:t xml:space="preserve">Kay, </w:t>
      </w:r>
      <w:r w:rsidR="00186245" w:rsidRPr="003842AF">
        <w:rPr>
          <w:rFonts w:eastAsia="Calibri" w:cs="Times New Roman"/>
        </w:rPr>
        <w:t>A</w:t>
      </w:r>
      <w:r w:rsidR="00186245">
        <w:rPr>
          <w:rFonts w:eastAsia="Calibri" w:cs="Times New Roman"/>
        </w:rPr>
        <w:t>.</w:t>
      </w:r>
      <w:r w:rsidRPr="003842AF">
        <w:rPr>
          <w:rFonts w:eastAsia="Calibri" w:cs="Times New Roman"/>
        </w:rPr>
        <w:t xml:space="preserve">, C. (2009) </w:t>
      </w:r>
      <w:proofErr w:type="gramStart"/>
      <w:r w:rsidRPr="003842AF">
        <w:rPr>
          <w:rFonts w:eastAsia="Calibri" w:cs="Times New Roman"/>
          <w:i/>
        </w:rPr>
        <w:t>The</w:t>
      </w:r>
      <w:proofErr w:type="gramEnd"/>
      <w:r w:rsidRPr="003842AF">
        <w:rPr>
          <w:rFonts w:eastAsia="Calibri" w:cs="Times New Roman"/>
          <w:i/>
        </w:rPr>
        <w:t xml:space="preserve"> Foundations of Female Entrepreneurship: Enterprise, Home and Household in London, c. 1800-1870</w:t>
      </w:r>
      <w:r w:rsidRPr="003842AF">
        <w:rPr>
          <w:rFonts w:eastAsia="Calibri" w:cs="Times New Roman"/>
        </w:rPr>
        <w:t>. London: Routledge.</w:t>
      </w:r>
    </w:p>
    <w:p w14:paraId="1D551D20" w14:textId="77777777" w:rsidR="003842AF" w:rsidRPr="003842AF" w:rsidRDefault="003842AF" w:rsidP="003842AF">
      <w:pPr>
        <w:jc w:val="both"/>
        <w:rPr>
          <w:rFonts w:eastAsia="Calibri" w:cs="Times New Roman"/>
        </w:rPr>
      </w:pPr>
      <w:r w:rsidRPr="003842AF">
        <w:rPr>
          <w:rFonts w:eastAsia="Calibri" w:cs="Times New Roman"/>
        </w:rPr>
        <w:t>Kelly (1877</w:t>
      </w:r>
      <w:proofErr w:type="gramStart"/>
      <w:r w:rsidRPr="003842AF">
        <w:rPr>
          <w:rFonts w:eastAsia="Calibri" w:cs="Times New Roman"/>
        </w:rPr>
        <w:t xml:space="preserve">)  </w:t>
      </w:r>
      <w:r w:rsidRPr="003842AF">
        <w:rPr>
          <w:rFonts w:eastAsia="Calibri" w:cs="Times New Roman"/>
          <w:i/>
        </w:rPr>
        <w:t>Directory</w:t>
      </w:r>
      <w:proofErr w:type="gramEnd"/>
      <w:r w:rsidRPr="003842AF">
        <w:rPr>
          <w:rFonts w:eastAsia="Calibri" w:cs="Times New Roman"/>
          <w:i/>
        </w:rPr>
        <w:t xml:space="preserve"> of Grocery, Oil and Colour Trades</w:t>
      </w:r>
      <w:r w:rsidRPr="003842AF">
        <w:rPr>
          <w:rFonts w:eastAsia="Calibri" w:cs="Times New Roman"/>
        </w:rPr>
        <w:t xml:space="preserve">. London: Kelly &amp; Co. </w:t>
      </w:r>
    </w:p>
    <w:p w14:paraId="654B22D9" w14:textId="1886EA9D" w:rsidR="003842AF" w:rsidRPr="003842AF" w:rsidRDefault="003842AF" w:rsidP="003842AF">
      <w:pPr>
        <w:ind w:left="720" w:hanging="720"/>
        <w:jc w:val="both"/>
        <w:rPr>
          <w:rFonts w:eastAsia="Calibri" w:cs="Times New Roman"/>
        </w:rPr>
      </w:pPr>
      <w:proofErr w:type="spellStart"/>
      <w:proofErr w:type="gramStart"/>
      <w:r w:rsidRPr="003842AF">
        <w:rPr>
          <w:rFonts w:eastAsia="Calibri" w:cs="Times New Roman"/>
        </w:rPr>
        <w:t>Kershen</w:t>
      </w:r>
      <w:proofErr w:type="spellEnd"/>
      <w:r w:rsidRPr="003842AF">
        <w:rPr>
          <w:rFonts w:eastAsia="Calibri" w:cs="Times New Roman"/>
        </w:rPr>
        <w:t xml:space="preserve">, </w:t>
      </w:r>
      <w:r w:rsidR="00186245" w:rsidRPr="003842AF">
        <w:rPr>
          <w:rFonts w:eastAsia="Calibri" w:cs="Times New Roman"/>
        </w:rPr>
        <w:t>A</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J. (1997) ‘Morris Cohen and the Origin of the Women’s Wholesale Clothing Industry in the East End’, </w:t>
      </w:r>
      <w:r w:rsidRPr="003842AF">
        <w:rPr>
          <w:rFonts w:eastAsia="Calibri" w:cs="Times New Roman"/>
          <w:i/>
        </w:rPr>
        <w:t>Textile History</w:t>
      </w:r>
      <w:r w:rsidRPr="003842AF">
        <w:rPr>
          <w:rFonts w:eastAsia="Calibri" w:cs="Times New Roman"/>
        </w:rPr>
        <w:t>, 28/1, 39-41.</w:t>
      </w:r>
      <w:proofErr w:type="gramEnd"/>
    </w:p>
    <w:p w14:paraId="0E84D0F3" w14:textId="0AE347E7" w:rsidR="003842AF" w:rsidRPr="003842AF" w:rsidRDefault="003842AF" w:rsidP="003842AF">
      <w:pPr>
        <w:ind w:left="720" w:hanging="720"/>
        <w:jc w:val="both"/>
        <w:rPr>
          <w:rFonts w:eastAsia="Calibri" w:cs="Times New Roman"/>
        </w:rPr>
      </w:pPr>
      <w:proofErr w:type="gramStart"/>
      <w:r w:rsidRPr="003842AF">
        <w:rPr>
          <w:rFonts w:eastAsia="Calibri" w:cs="Times New Roman"/>
        </w:rPr>
        <w:t xml:space="preserve">Kish, </w:t>
      </w:r>
      <w:r w:rsidR="00186245" w:rsidRPr="003842AF">
        <w:rPr>
          <w:rFonts w:eastAsia="Calibri" w:cs="Times New Roman"/>
        </w:rPr>
        <w:t>L</w:t>
      </w:r>
      <w:r w:rsidR="00186245">
        <w:rPr>
          <w:rFonts w:eastAsia="Calibri" w:cs="Times New Roman"/>
        </w:rPr>
        <w:t>.</w:t>
      </w:r>
      <w:r w:rsidR="00186245" w:rsidRPr="003842AF">
        <w:rPr>
          <w:rFonts w:eastAsia="Calibri" w:cs="Times New Roman"/>
        </w:rPr>
        <w:t xml:space="preserve"> </w:t>
      </w:r>
      <w:r w:rsidRPr="003842AF">
        <w:rPr>
          <w:rFonts w:eastAsia="Calibri" w:cs="Times New Roman"/>
        </w:rPr>
        <w:t xml:space="preserve">(1967), </w:t>
      </w:r>
      <w:r w:rsidRPr="003842AF">
        <w:rPr>
          <w:rFonts w:eastAsia="Calibri" w:cs="Times New Roman"/>
          <w:i/>
        </w:rPr>
        <w:t xml:space="preserve">Survey Sampling, </w:t>
      </w:r>
      <w:r w:rsidRPr="003842AF">
        <w:rPr>
          <w:rFonts w:eastAsia="Calibri" w:cs="Times New Roman"/>
        </w:rPr>
        <w:t>Second Edition.</w:t>
      </w:r>
      <w:proofErr w:type="gramEnd"/>
      <w:r w:rsidRPr="003842AF">
        <w:rPr>
          <w:rFonts w:eastAsia="Calibri" w:cs="Times New Roman"/>
        </w:rPr>
        <w:t xml:space="preserve"> New York: Wiley &amp; Sons.</w:t>
      </w:r>
    </w:p>
    <w:p w14:paraId="1850C642" w14:textId="629C96B5" w:rsidR="003842AF" w:rsidRDefault="003842AF" w:rsidP="003842AF">
      <w:pPr>
        <w:ind w:left="720" w:hanging="720"/>
        <w:jc w:val="both"/>
        <w:rPr>
          <w:rFonts w:eastAsia="Calibri" w:cs="Times New Roman"/>
        </w:rPr>
      </w:pPr>
      <w:r w:rsidRPr="003842AF">
        <w:rPr>
          <w:rFonts w:eastAsia="Calibri" w:cs="Times New Roman"/>
        </w:rPr>
        <w:t xml:space="preserve">Knox, D.M. (1958) ‘The Development of the Tied House System in London’, </w:t>
      </w:r>
      <w:r w:rsidRPr="003842AF">
        <w:rPr>
          <w:rFonts w:eastAsia="Calibri" w:cs="Times New Roman"/>
          <w:i/>
        </w:rPr>
        <w:t>Oxford Economic Papers</w:t>
      </w:r>
      <w:r w:rsidRPr="003842AF">
        <w:rPr>
          <w:rFonts w:eastAsia="Calibri" w:cs="Times New Roman"/>
        </w:rPr>
        <w:t>, 10/1, 66-83.</w:t>
      </w:r>
    </w:p>
    <w:p w14:paraId="2C4E8DD9" w14:textId="553C2822" w:rsidR="00B6080E" w:rsidRPr="00B6080E" w:rsidRDefault="00B6080E" w:rsidP="003842AF">
      <w:pPr>
        <w:ind w:left="720" w:hanging="720"/>
        <w:jc w:val="both"/>
        <w:rPr>
          <w:rFonts w:eastAsia="Calibri" w:cs="Times New Roman"/>
        </w:rPr>
      </w:pPr>
      <w:proofErr w:type="gramStart"/>
      <w:r>
        <w:rPr>
          <w:rFonts w:eastAsia="Calibri" w:cs="Times New Roman"/>
        </w:rPr>
        <w:t>Lee, C.</w:t>
      </w:r>
      <w:r w:rsidR="003B68D4">
        <w:rPr>
          <w:rFonts w:eastAsia="Calibri" w:cs="Times New Roman"/>
        </w:rPr>
        <w:t xml:space="preserve"> </w:t>
      </w:r>
      <w:r>
        <w:rPr>
          <w:rFonts w:eastAsia="Calibri" w:cs="Times New Roman"/>
        </w:rPr>
        <w:t xml:space="preserve">H. (1981) ‘Regional Growth and Structural Change in Victorian Britain’, </w:t>
      </w:r>
      <w:r>
        <w:rPr>
          <w:rFonts w:eastAsia="Calibri" w:cs="Times New Roman"/>
          <w:i/>
        </w:rPr>
        <w:t>Economic History Review</w:t>
      </w:r>
      <w:r>
        <w:rPr>
          <w:rFonts w:eastAsia="Calibri" w:cs="Times New Roman"/>
        </w:rPr>
        <w:t>, 34/3, 438-52.</w:t>
      </w:r>
      <w:proofErr w:type="gramEnd"/>
    </w:p>
    <w:p w14:paraId="5BE195C6" w14:textId="219FC103" w:rsidR="00414801" w:rsidRPr="003842AF" w:rsidRDefault="00414801" w:rsidP="00414801">
      <w:pPr>
        <w:ind w:left="720" w:hanging="720"/>
        <w:jc w:val="both"/>
        <w:rPr>
          <w:rFonts w:eastAsia="Calibri" w:cs="Times New Roman"/>
        </w:rPr>
      </w:pPr>
      <w:r w:rsidRPr="00414801">
        <w:rPr>
          <w:rFonts w:eastAsia="Calibri" w:cs="Times New Roman"/>
        </w:rPr>
        <w:t>Littler, C</w:t>
      </w:r>
      <w:r w:rsidR="002830DB">
        <w:rPr>
          <w:rFonts w:eastAsia="Calibri" w:cs="Times New Roman"/>
        </w:rPr>
        <w:t>.</w:t>
      </w:r>
      <w:r w:rsidRPr="00414801">
        <w:rPr>
          <w:rFonts w:eastAsia="Calibri" w:cs="Times New Roman"/>
        </w:rPr>
        <w:t xml:space="preserve"> R. (1982) </w:t>
      </w:r>
      <w:proofErr w:type="gramStart"/>
      <w:r w:rsidRPr="00414801">
        <w:rPr>
          <w:rFonts w:eastAsia="Calibri" w:cs="Times New Roman"/>
          <w:i/>
        </w:rPr>
        <w:t>The</w:t>
      </w:r>
      <w:proofErr w:type="gramEnd"/>
      <w:r w:rsidRPr="00414801">
        <w:rPr>
          <w:rFonts w:eastAsia="Calibri" w:cs="Times New Roman"/>
          <w:i/>
        </w:rPr>
        <w:t xml:space="preserve"> development of the labour process in capitalist societies: A comparative study of the transformation of work organization in Britain, Japan and the USA</w:t>
      </w:r>
      <w:r w:rsidRPr="00414801">
        <w:rPr>
          <w:rFonts w:eastAsia="Calibri" w:cs="Times New Roman"/>
        </w:rPr>
        <w:t>, Aldershot</w:t>
      </w:r>
      <w:r>
        <w:rPr>
          <w:rFonts w:eastAsia="Calibri" w:cs="Times New Roman"/>
        </w:rPr>
        <w:t>: Gower</w:t>
      </w:r>
      <w:r w:rsidRPr="00414801">
        <w:rPr>
          <w:rFonts w:eastAsia="Calibri" w:cs="Times New Roman"/>
        </w:rPr>
        <w:t>.</w:t>
      </w:r>
    </w:p>
    <w:p w14:paraId="6DD28C7E" w14:textId="77777777" w:rsidR="003842AF" w:rsidRPr="003842AF" w:rsidRDefault="003842AF" w:rsidP="003842AF">
      <w:pPr>
        <w:ind w:left="720" w:hanging="720"/>
        <w:jc w:val="both"/>
        <w:rPr>
          <w:rFonts w:eastAsia="Calibri" w:cs="Times New Roman"/>
        </w:rPr>
      </w:pPr>
      <w:proofErr w:type="spellStart"/>
      <w:proofErr w:type="gramStart"/>
      <w:r w:rsidRPr="003842AF">
        <w:rPr>
          <w:rFonts w:eastAsia="Calibri" w:cs="Times New Roman"/>
        </w:rPr>
        <w:t>Lyberg</w:t>
      </w:r>
      <w:proofErr w:type="spellEnd"/>
      <w:r w:rsidRPr="003842AF">
        <w:rPr>
          <w:rFonts w:eastAsia="Calibri" w:cs="Times New Roman"/>
        </w:rPr>
        <w:t xml:space="preserve">, L. and </w:t>
      </w:r>
      <w:proofErr w:type="spellStart"/>
      <w:r w:rsidRPr="003842AF">
        <w:rPr>
          <w:rFonts w:eastAsia="Calibri" w:cs="Times New Roman"/>
        </w:rPr>
        <w:t>Kasprzykm</w:t>
      </w:r>
      <w:proofErr w:type="spellEnd"/>
      <w:r w:rsidRPr="003842AF">
        <w:rPr>
          <w:rFonts w:eastAsia="Calibri" w:cs="Times New Roman"/>
        </w:rPr>
        <w:t xml:space="preserve">, D. (1997) ‘Post-survey processing and operations’, in </w:t>
      </w:r>
      <w:proofErr w:type="spellStart"/>
      <w:r w:rsidRPr="003842AF">
        <w:rPr>
          <w:rFonts w:eastAsia="Calibri" w:cs="Times New Roman"/>
        </w:rPr>
        <w:t>Lyberg</w:t>
      </w:r>
      <w:proofErr w:type="spellEnd"/>
      <w:r w:rsidRPr="003842AF">
        <w:rPr>
          <w:rFonts w:eastAsia="Calibri" w:cs="Times New Roman"/>
        </w:rPr>
        <w:t xml:space="preserve">, L. </w:t>
      </w:r>
      <w:proofErr w:type="spellStart"/>
      <w:r w:rsidRPr="003842AF">
        <w:rPr>
          <w:rFonts w:eastAsia="Calibri" w:cs="Times New Roman"/>
        </w:rPr>
        <w:t>Biemer</w:t>
      </w:r>
      <w:proofErr w:type="spellEnd"/>
      <w:r w:rsidRPr="003842AF">
        <w:rPr>
          <w:rFonts w:eastAsia="Calibri" w:cs="Times New Roman"/>
        </w:rPr>
        <w:t xml:space="preserve">, P. P., Collins, M., de </w:t>
      </w:r>
      <w:proofErr w:type="spellStart"/>
      <w:r w:rsidRPr="003842AF">
        <w:rPr>
          <w:rFonts w:eastAsia="Calibri" w:cs="Times New Roman"/>
        </w:rPr>
        <w:t>Leeuw</w:t>
      </w:r>
      <w:proofErr w:type="spellEnd"/>
      <w:r w:rsidRPr="003842AF">
        <w:rPr>
          <w:rFonts w:eastAsia="Calibri" w:cs="Times New Roman"/>
        </w:rPr>
        <w:t xml:space="preserve">, E., </w:t>
      </w:r>
      <w:proofErr w:type="spellStart"/>
      <w:r w:rsidRPr="003842AF">
        <w:rPr>
          <w:rFonts w:eastAsia="Calibri" w:cs="Times New Roman"/>
        </w:rPr>
        <w:t>Dippo</w:t>
      </w:r>
      <w:proofErr w:type="spellEnd"/>
      <w:r w:rsidRPr="003842AF">
        <w:rPr>
          <w:rFonts w:eastAsia="Calibri" w:cs="Times New Roman"/>
        </w:rPr>
        <w:t xml:space="preserve">, C., </w:t>
      </w:r>
      <w:proofErr w:type="spellStart"/>
      <w:r w:rsidRPr="003842AF">
        <w:rPr>
          <w:rFonts w:eastAsia="Calibri" w:cs="Times New Roman"/>
        </w:rPr>
        <w:t>Scwharz</w:t>
      </w:r>
      <w:proofErr w:type="spellEnd"/>
      <w:r w:rsidRPr="003842AF">
        <w:rPr>
          <w:rFonts w:eastAsia="Calibri" w:cs="Times New Roman"/>
        </w:rPr>
        <w:t xml:space="preserve">, N. and </w:t>
      </w:r>
      <w:proofErr w:type="spellStart"/>
      <w:r w:rsidRPr="003842AF">
        <w:rPr>
          <w:rFonts w:eastAsia="Calibri" w:cs="Times New Roman"/>
        </w:rPr>
        <w:t>Trewin</w:t>
      </w:r>
      <w:proofErr w:type="spellEnd"/>
      <w:r w:rsidRPr="003842AF">
        <w:rPr>
          <w:rFonts w:eastAsia="Calibri" w:cs="Times New Roman"/>
        </w:rPr>
        <w:t xml:space="preserve">, D., 353-70, </w:t>
      </w:r>
      <w:r w:rsidRPr="003842AF">
        <w:rPr>
          <w:rFonts w:eastAsia="Calibri" w:cs="Times New Roman"/>
          <w:i/>
        </w:rPr>
        <w:t>Survey measurement and process quality</w:t>
      </w:r>
      <w:r w:rsidRPr="003842AF">
        <w:rPr>
          <w:rFonts w:eastAsia="Calibri" w:cs="Times New Roman"/>
        </w:rPr>
        <w:t>.</w:t>
      </w:r>
      <w:proofErr w:type="gramEnd"/>
      <w:r w:rsidRPr="003842AF">
        <w:rPr>
          <w:rFonts w:eastAsia="Calibri" w:cs="Times New Roman"/>
        </w:rPr>
        <w:t xml:space="preserve"> New York: Wiley.</w:t>
      </w:r>
    </w:p>
    <w:p w14:paraId="4164B8A8" w14:textId="77777777" w:rsidR="003842AF" w:rsidRPr="003842AF" w:rsidRDefault="003842AF" w:rsidP="003842AF">
      <w:pPr>
        <w:ind w:left="720" w:hanging="720"/>
        <w:jc w:val="both"/>
        <w:rPr>
          <w:rFonts w:eastAsia="Calibri" w:cs="Times New Roman"/>
          <w:szCs w:val="24"/>
        </w:rPr>
      </w:pPr>
      <w:r w:rsidRPr="003842AF">
        <w:rPr>
          <w:rFonts w:eastAsia="Calibri" w:cs="Times New Roman"/>
        </w:rPr>
        <w:t xml:space="preserve">Marshall, A., (1919) </w:t>
      </w:r>
      <w:r w:rsidRPr="003842AF">
        <w:rPr>
          <w:rFonts w:eastAsia="Calibri" w:cs="Times New Roman"/>
          <w:i/>
        </w:rPr>
        <w:t>Industry and Trade: A Study of industrial Technique and Business Organization; and their Influence on the Conditions of Various Classes and Nations</w:t>
      </w:r>
      <w:r w:rsidRPr="003842AF">
        <w:rPr>
          <w:rFonts w:eastAsia="Calibri" w:cs="Times New Roman"/>
        </w:rPr>
        <w:t>, London: Macmillan</w:t>
      </w:r>
    </w:p>
    <w:p w14:paraId="500CDAAC" w14:textId="77777777" w:rsidR="003842AF" w:rsidRDefault="003842AF" w:rsidP="003842AF">
      <w:pPr>
        <w:ind w:left="720" w:hanging="720"/>
        <w:jc w:val="both"/>
        <w:rPr>
          <w:rFonts w:eastAsia="Calibri" w:cs="Times New Roman"/>
          <w:szCs w:val="24"/>
        </w:rPr>
      </w:pPr>
      <w:r w:rsidRPr="003842AF">
        <w:rPr>
          <w:rFonts w:eastAsia="Calibri" w:cs="Times New Roman"/>
          <w:szCs w:val="24"/>
        </w:rPr>
        <w:t xml:space="preserve">Martin, J., Bushnell, D., </w:t>
      </w:r>
      <w:proofErr w:type="spellStart"/>
      <w:r w:rsidRPr="003842AF">
        <w:rPr>
          <w:rFonts w:eastAsia="Calibri" w:cs="Times New Roman"/>
          <w:szCs w:val="24"/>
        </w:rPr>
        <w:t>Campanelli</w:t>
      </w:r>
      <w:proofErr w:type="spellEnd"/>
      <w:r w:rsidRPr="003842AF">
        <w:rPr>
          <w:rFonts w:eastAsia="Calibri" w:cs="Times New Roman"/>
          <w:szCs w:val="24"/>
        </w:rPr>
        <w:t xml:space="preserve">, P. and Thomas, R. (1994) ‘A comparison of interviewer and office coding of occupations’, </w:t>
      </w:r>
      <w:r w:rsidRPr="003842AF">
        <w:rPr>
          <w:rFonts w:eastAsia="Calibri" w:cs="Times New Roman"/>
          <w:i/>
          <w:szCs w:val="24"/>
        </w:rPr>
        <w:t>Survey Methods Centre Newsletter</w:t>
      </w:r>
      <w:r w:rsidRPr="003842AF">
        <w:rPr>
          <w:rFonts w:eastAsia="Calibri" w:cs="Times New Roman"/>
          <w:szCs w:val="24"/>
        </w:rPr>
        <w:t>, Social and Community Planning Research, 15, 2, 18-25.</w:t>
      </w:r>
    </w:p>
    <w:p w14:paraId="75EC1D41" w14:textId="5F195D13" w:rsidR="004F79BA" w:rsidRDefault="004F79BA" w:rsidP="003842AF">
      <w:pPr>
        <w:ind w:left="720" w:hanging="720"/>
        <w:jc w:val="both"/>
        <w:rPr>
          <w:rFonts w:eastAsia="Calibri" w:cs="Times New Roman"/>
          <w:szCs w:val="24"/>
        </w:rPr>
      </w:pPr>
      <w:r w:rsidRPr="004F79BA">
        <w:rPr>
          <w:rFonts w:eastAsia="Calibri" w:cs="Times New Roman"/>
          <w:szCs w:val="24"/>
        </w:rPr>
        <w:t>Montebruno, P</w:t>
      </w:r>
      <w:r>
        <w:rPr>
          <w:rFonts w:eastAsia="Calibri" w:cs="Times New Roman"/>
          <w:szCs w:val="24"/>
        </w:rPr>
        <w:t>.</w:t>
      </w:r>
      <w:r w:rsidRPr="004F79BA">
        <w:rPr>
          <w:rFonts w:eastAsia="Calibri" w:cs="Times New Roman"/>
          <w:szCs w:val="24"/>
        </w:rPr>
        <w:t xml:space="preserve"> (2018) </w:t>
      </w:r>
      <w:r w:rsidRPr="004F79BA">
        <w:rPr>
          <w:rFonts w:eastAsia="Calibri" w:cs="Times New Roman"/>
          <w:i/>
          <w:szCs w:val="24"/>
        </w:rPr>
        <w:t xml:space="preserve">Adjustment Weights 1891-1911: Weights to adjust entrepreneur numbers for non-response and misallocation bias in Censuses 1891-1911 </w:t>
      </w:r>
      <w:r w:rsidRPr="004F79BA">
        <w:rPr>
          <w:rFonts w:eastAsia="Calibri" w:cs="Times New Roman"/>
          <w:iCs/>
          <w:szCs w:val="24"/>
        </w:rPr>
        <w:t>Working Paper 11: ESRC project ES/M010953: ‘</w:t>
      </w:r>
      <w:r w:rsidRPr="004F79BA">
        <w:rPr>
          <w:rFonts w:eastAsia="Calibri" w:cs="Times New Roman"/>
          <w:bCs/>
          <w:iCs/>
          <w:szCs w:val="24"/>
        </w:rPr>
        <w:t>Drivers of Entrepreneurship and Small Businesses’</w:t>
      </w:r>
      <w:r>
        <w:rPr>
          <w:rFonts w:eastAsia="Calibri" w:cs="Times New Roman"/>
          <w:iCs/>
          <w:szCs w:val="24"/>
        </w:rPr>
        <w:t>, University of Cambridge.</w:t>
      </w:r>
      <w:r w:rsidRPr="004F79BA">
        <w:t xml:space="preserve"> </w:t>
      </w:r>
      <w:hyperlink r:id="rId13" w:history="1">
        <w:r w:rsidRPr="00D8216E">
          <w:rPr>
            <w:rStyle w:val="Hyperlink"/>
            <w:rFonts w:eastAsia="Calibri" w:cs="Times New Roman"/>
            <w:iCs/>
            <w:szCs w:val="24"/>
          </w:rPr>
          <w:t>https://doi.org/10.17863/CAM.26378</w:t>
        </w:r>
      </w:hyperlink>
      <w:r>
        <w:rPr>
          <w:rFonts w:eastAsia="Calibri" w:cs="Times New Roman"/>
          <w:iCs/>
          <w:szCs w:val="24"/>
        </w:rPr>
        <w:t xml:space="preserve">; adjustment weights at: </w:t>
      </w:r>
      <w:r w:rsidRPr="004F79BA">
        <w:rPr>
          <w:rFonts w:eastAsia="Calibri" w:cs="Times New Roman"/>
          <w:iCs/>
          <w:szCs w:val="24"/>
        </w:rPr>
        <w:t>https://doi.org/10.17863/CAM.26376</w:t>
      </w:r>
    </w:p>
    <w:p w14:paraId="1B61E29C" w14:textId="286F6AC9" w:rsidR="00261969" w:rsidRPr="003842AF" w:rsidRDefault="00261969" w:rsidP="003842AF">
      <w:pPr>
        <w:ind w:left="720" w:hanging="720"/>
        <w:jc w:val="both"/>
        <w:rPr>
          <w:rFonts w:eastAsia="Calibri" w:cs="Times New Roman"/>
          <w:szCs w:val="24"/>
        </w:rPr>
      </w:pPr>
      <w:proofErr w:type="gramStart"/>
      <w:r w:rsidRPr="00261969">
        <w:rPr>
          <w:rFonts w:eastAsia="Calibri" w:cs="Times New Roman"/>
          <w:szCs w:val="24"/>
        </w:rPr>
        <w:t xml:space="preserve">Montebruno, </w:t>
      </w:r>
      <w:r>
        <w:rPr>
          <w:rFonts w:eastAsia="Calibri" w:cs="Times New Roman"/>
          <w:szCs w:val="24"/>
        </w:rPr>
        <w:t xml:space="preserve">P., </w:t>
      </w:r>
      <w:r w:rsidRPr="00261969">
        <w:rPr>
          <w:rFonts w:eastAsia="Calibri" w:cs="Times New Roman"/>
          <w:szCs w:val="24"/>
        </w:rPr>
        <w:t xml:space="preserve">Bennett, </w:t>
      </w:r>
      <w:r>
        <w:rPr>
          <w:rFonts w:eastAsia="Calibri" w:cs="Times New Roman"/>
          <w:szCs w:val="24"/>
        </w:rPr>
        <w:t>R. J., V</w:t>
      </w:r>
      <w:r w:rsidRPr="00261969">
        <w:rPr>
          <w:rFonts w:eastAsia="Calibri" w:cs="Times New Roman"/>
          <w:szCs w:val="24"/>
        </w:rPr>
        <w:t xml:space="preserve">an Lieshout, </w:t>
      </w:r>
      <w:r>
        <w:rPr>
          <w:rFonts w:eastAsia="Calibri" w:cs="Times New Roman"/>
          <w:szCs w:val="24"/>
        </w:rPr>
        <w:t xml:space="preserve">C. and </w:t>
      </w:r>
      <w:r w:rsidRPr="00261969">
        <w:rPr>
          <w:rFonts w:eastAsia="Calibri" w:cs="Times New Roman"/>
          <w:szCs w:val="24"/>
        </w:rPr>
        <w:t>Smith</w:t>
      </w:r>
      <w:r>
        <w:rPr>
          <w:rFonts w:eastAsia="Calibri" w:cs="Times New Roman"/>
          <w:szCs w:val="24"/>
        </w:rPr>
        <w:t>, H. (2018)</w:t>
      </w:r>
      <w:r w:rsidRPr="00261969">
        <w:rPr>
          <w:rFonts w:eastAsia="Calibri" w:cs="Times New Roman"/>
          <w:szCs w:val="24"/>
        </w:rPr>
        <w:t xml:space="preserve"> </w:t>
      </w:r>
      <w:r>
        <w:rPr>
          <w:rFonts w:eastAsia="Calibri" w:cs="Times New Roman"/>
          <w:szCs w:val="24"/>
        </w:rPr>
        <w:t>‘</w:t>
      </w:r>
      <w:r w:rsidRPr="00261969">
        <w:rPr>
          <w:rFonts w:eastAsia="Calibri" w:cs="Times New Roman"/>
          <w:szCs w:val="24"/>
        </w:rPr>
        <w:t>Shifts in agrarian entrepreneurship in mid-Victorian England and Wales</w:t>
      </w:r>
      <w:r>
        <w:rPr>
          <w:rFonts w:eastAsia="Calibri" w:cs="Times New Roman"/>
          <w:szCs w:val="24"/>
        </w:rPr>
        <w:t>’, forthcoming.</w:t>
      </w:r>
      <w:proofErr w:type="gramEnd"/>
    </w:p>
    <w:p w14:paraId="182DE9EE" w14:textId="4C4A2B9B"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Payne, </w:t>
      </w:r>
      <w:r w:rsidR="00186245" w:rsidRPr="003842AF">
        <w:rPr>
          <w:rFonts w:eastAsia="Calibri" w:cs="Times New Roman"/>
          <w:szCs w:val="24"/>
        </w:rPr>
        <w:t>P</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L. (1988) </w:t>
      </w:r>
      <w:r w:rsidRPr="003842AF">
        <w:rPr>
          <w:rFonts w:eastAsia="Calibri" w:cs="Times New Roman"/>
          <w:i/>
          <w:szCs w:val="24"/>
        </w:rPr>
        <w:t>British Entrepreneurship in the Nineteenth Century</w:t>
      </w:r>
      <w:r w:rsidRPr="003842AF">
        <w:rPr>
          <w:rFonts w:eastAsia="Calibri" w:cs="Times New Roman"/>
          <w:szCs w:val="24"/>
        </w:rPr>
        <w:t xml:space="preserve">, Second Edition. London: Macmillan. </w:t>
      </w:r>
    </w:p>
    <w:p w14:paraId="34740316" w14:textId="5477A61C" w:rsidR="003842AF" w:rsidRPr="003842AF" w:rsidRDefault="003842AF" w:rsidP="003842AF">
      <w:pPr>
        <w:ind w:left="720" w:hanging="720"/>
        <w:jc w:val="both"/>
        <w:rPr>
          <w:rFonts w:eastAsia="Calibri" w:cs="Times New Roman"/>
          <w:szCs w:val="24"/>
        </w:rPr>
      </w:pPr>
      <w:proofErr w:type="spellStart"/>
      <w:r w:rsidRPr="003842AF">
        <w:rPr>
          <w:rFonts w:eastAsia="Calibri" w:cs="Times New Roman"/>
          <w:szCs w:val="24"/>
        </w:rPr>
        <w:t>Perren</w:t>
      </w:r>
      <w:proofErr w:type="spellEnd"/>
      <w:r w:rsidRPr="003842AF">
        <w:rPr>
          <w:rFonts w:eastAsia="Calibri" w:cs="Times New Roman"/>
          <w:szCs w:val="24"/>
        </w:rPr>
        <w:t>,</w:t>
      </w:r>
      <w:r w:rsidRPr="003842AF">
        <w:rPr>
          <w:rFonts w:ascii="Calibri" w:eastAsia="Calibri" w:hAnsi="Calibri" w:cs="Times New Roman"/>
          <w:sz w:val="22"/>
        </w:rPr>
        <w:t xml:space="preserve"> </w:t>
      </w:r>
      <w:r w:rsidR="00186245" w:rsidRPr="003842AF">
        <w:rPr>
          <w:rFonts w:eastAsia="Calibri" w:cs="Times New Roman"/>
          <w:szCs w:val="24"/>
        </w:rPr>
        <w:t>R</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(2006) </w:t>
      </w:r>
      <w:r w:rsidRPr="003842AF">
        <w:rPr>
          <w:rFonts w:eastAsia="Calibri" w:cs="Times New Roman"/>
          <w:i/>
          <w:szCs w:val="24"/>
        </w:rPr>
        <w:t>Taste, Trade and Technology: The Development of the International Meat Industry since 1840</w:t>
      </w:r>
      <w:r w:rsidRPr="003842AF">
        <w:rPr>
          <w:rFonts w:eastAsia="Calibri" w:cs="Times New Roman"/>
          <w:szCs w:val="24"/>
        </w:rPr>
        <w:t xml:space="preserve">. Aldershot: </w:t>
      </w:r>
      <w:proofErr w:type="spellStart"/>
      <w:r w:rsidRPr="003842AF">
        <w:rPr>
          <w:rFonts w:eastAsia="Calibri" w:cs="Times New Roman"/>
          <w:szCs w:val="24"/>
        </w:rPr>
        <w:t>Ashgate</w:t>
      </w:r>
      <w:proofErr w:type="spellEnd"/>
      <w:r w:rsidRPr="003842AF">
        <w:rPr>
          <w:rFonts w:eastAsia="Calibri" w:cs="Times New Roman"/>
          <w:szCs w:val="24"/>
        </w:rPr>
        <w:t>.</w:t>
      </w:r>
    </w:p>
    <w:p w14:paraId="61A74299" w14:textId="7A914ABB" w:rsidR="003842AF" w:rsidRDefault="003842AF" w:rsidP="003842AF">
      <w:pPr>
        <w:ind w:left="720" w:hanging="720"/>
        <w:jc w:val="both"/>
        <w:rPr>
          <w:rFonts w:eastAsia="Calibri" w:cs="Times New Roman"/>
          <w:szCs w:val="24"/>
        </w:rPr>
      </w:pPr>
      <w:r w:rsidRPr="003842AF">
        <w:rPr>
          <w:rFonts w:eastAsia="Calibri" w:cs="Times New Roman"/>
          <w:szCs w:val="24"/>
        </w:rPr>
        <w:t xml:space="preserve">Pollard, </w:t>
      </w:r>
      <w:r w:rsidR="00186245" w:rsidRPr="003842AF">
        <w:rPr>
          <w:rFonts w:eastAsia="Calibri" w:cs="Times New Roman"/>
          <w:szCs w:val="24"/>
        </w:rPr>
        <w:t>S</w:t>
      </w:r>
      <w:r w:rsidR="00186245">
        <w:rPr>
          <w:rFonts w:eastAsia="Calibri" w:cs="Times New Roman"/>
          <w:szCs w:val="24"/>
        </w:rPr>
        <w:t>.</w:t>
      </w:r>
      <w:r w:rsidRPr="003842AF">
        <w:rPr>
          <w:rFonts w:eastAsia="Calibri" w:cs="Times New Roman"/>
          <w:szCs w:val="24"/>
        </w:rPr>
        <w:t>, (196</w:t>
      </w:r>
      <w:r w:rsidR="00414801">
        <w:rPr>
          <w:rFonts w:eastAsia="Calibri" w:cs="Times New Roman"/>
          <w:szCs w:val="24"/>
        </w:rPr>
        <w:t>8</w:t>
      </w:r>
      <w:r w:rsidRPr="003842AF">
        <w:rPr>
          <w:rFonts w:eastAsia="Calibri" w:cs="Times New Roman"/>
          <w:szCs w:val="24"/>
        </w:rPr>
        <w:t xml:space="preserve">) </w:t>
      </w:r>
      <w:proofErr w:type="gramStart"/>
      <w:r w:rsidRPr="003842AF">
        <w:rPr>
          <w:rFonts w:eastAsia="Calibri" w:cs="Times New Roman"/>
          <w:i/>
          <w:szCs w:val="24"/>
        </w:rPr>
        <w:t>The</w:t>
      </w:r>
      <w:proofErr w:type="gramEnd"/>
      <w:r w:rsidRPr="003842AF">
        <w:rPr>
          <w:rFonts w:eastAsia="Calibri" w:cs="Times New Roman"/>
          <w:i/>
          <w:szCs w:val="24"/>
        </w:rPr>
        <w:t xml:space="preserve"> Genesis of Modern Management: A Study of the Industrial Revolution in Great Britain</w:t>
      </w:r>
      <w:r w:rsidRPr="003842AF">
        <w:rPr>
          <w:rFonts w:eastAsia="Calibri" w:cs="Times New Roman"/>
          <w:szCs w:val="24"/>
        </w:rPr>
        <w:t>. London: Edward Arnold</w:t>
      </w:r>
    </w:p>
    <w:p w14:paraId="14EF2E0C" w14:textId="4B03D28E" w:rsidR="00D1120B" w:rsidRPr="003842AF" w:rsidRDefault="00D1120B" w:rsidP="003842AF">
      <w:pPr>
        <w:ind w:left="720" w:hanging="720"/>
        <w:jc w:val="both"/>
        <w:rPr>
          <w:rFonts w:eastAsia="Calibri" w:cs="Times New Roman"/>
          <w:szCs w:val="24"/>
        </w:rPr>
      </w:pPr>
      <w:r w:rsidRPr="00D1120B">
        <w:rPr>
          <w:rFonts w:eastAsia="Calibri" w:cs="Times New Roman"/>
          <w:szCs w:val="24"/>
        </w:rPr>
        <w:t xml:space="preserve">PC (1906) </w:t>
      </w:r>
      <w:r w:rsidRPr="00D1120B">
        <w:rPr>
          <w:rFonts w:eastAsia="Calibri" w:cs="Times New Roman"/>
          <w:i/>
          <w:szCs w:val="24"/>
        </w:rPr>
        <w:t>Report from the Select Committee on Income Tax; Proceedings of the Committee, Minutes and Digest of Evidence, Appendix</w:t>
      </w:r>
      <w:r>
        <w:rPr>
          <w:rFonts w:eastAsia="Calibri" w:cs="Times New Roman"/>
          <w:szCs w:val="24"/>
        </w:rPr>
        <w:t xml:space="preserve">, </w:t>
      </w:r>
      <w:r w:rsidRPr="00D1120B">
        <w:rPr>
          <w:rFonts w:eastAsia="Calibri" w:cs="Times New Roman"/>
          <w:szCs w:val="24"/>
        </w:rPr>
        <w:t>House of Commons Papers 365: IX.659.</w:t>
      </w:r>
    </w:p>
    <w:p w14:paraId="68B2DF17" w14:textId="77777777"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szCs w:val="24"/>
        </w:rPr>
        <w:t>PP (1871)</w:t>
      </w:r>
      <w:r w:rsidRPr="003842AF">
        <w:rPr>
          <w:rFonts w:eastAsia="Calibri" w:cs="Times New Roman"/>
          <w:i/>
        </w:rPr>
        <w:t xml:space="preserve"> Census of England and Wales, 1871, Vol.</w:t>
      </w:r>
      <w:proofErr w:type="gramEnd"/>
      <w:r w:rsidRPr="003842AF">
        <w:rPr>
          <w:rFonts w:eastAsia="Calibri" w:cs="Times New Roman"/>
          <w:i/>
        </w:rPr>
        <w:t xml:space="preserve"> I General Report</w:t>
      </w:r>
      <w:r w:rsidRPr="003842AF">
        <w:rPr>
          <w:rFonts w:eastAsia="Calibri" w:cs="Times New Roman"/>
        </w:rPr>
        <w:t>, pp. xliv-xlviii.</w:t>
      </w:r>
    </w:p>
    <w:p w14:paraId="31256AB2" w14:textId="77777777"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PP (1893-4) </w:t>
      </w:r>
      <w:r w:rsidRPr="003842AF">
        <w:rPr>
          <w:rFonts w:eastAsia="Calibri" w:cs="Times New Roman"/>
          <w:i/>
          <w:szCs w:val="24"/>
        </w:rPr>
        <w:t>Census of England and Wales, 1891, Vol. III, Ages, Condition as to Marriage, Occupations, Birth-places and Infirmities, Parliamentary Papers</w:t>
      </w:r>
      <w:r w:rsidRPr="003842AF">
        <w:rPr>
          <w:rFonts w:eastAsia="Calibri" w:cs="Times New Roman"/>
          <w:szCs w:val="24"/>
        </w:rPr>
        <w:t>, (CVI).</w:t>
      </w:r>
    </w:p>
    <w:p w14:paraId="037AF361" w14:textId="77777777" w:rsidR="003842AF" w:rsidRPr="003842AF" w:rsidRDefault="003842AF" w:rsidP="003842AF">
      <w:pPr>
        <w:spacing w:line="276" w:lineRule="auto"/>
        <w:ind w:left="720" w:hanging="720"/>
        <w:jc w:val="both"/>
        <w:rPr>
          <w:rFonts w:eastAsia="Calibri" w:cs="Times New Roman"/>
          <w:szCs w:val="24"/>
        </w:rPr>
      </w:pPr>
      <w:proofErr w:type="gramStart"/>
      <w:r w:rsidRPr="003842AF">
        <w:rPr>
          <w:rFonts w:eastAsia="Calibri" w:cs="Times New Roman"/>
          <w:szCs w:val="24"/>
        </w:rPr>
        <w:t>PP (1903)</w:t>
      </w:r>
      <w:r w:rsidRPr="003842AF">
        <w:rPr>
          <w:rFonts w:eastAsia="Calibri" w:cs="Times New Roman"/>
          <w:i/>
          <w:sz w:val="20"/>
          <w:szCs w:val="20"/>
        </w:rPr>
        <w:t xml:space="preserve"> </w:t>
      </w:r>
      <w:r w:rsidRPr="003842AF">
        <w:rPr>
          <w:rFonts w:eastAsia="Calibri" w:cs="Times New Roman"/>
          <w:i/>
          <w:szCs w:val="24"/>
        </w:rPr>
        <w:t>Census of England and Wales, 1901.</w:t>
      </w:r>
      <w:proofErr w:type="gramEnd"/>
      <w:r w:rsidRPr="003842AF">
        <w:rPr>
          <w:rFonts w:eastAsia="Calibri" w:cs="Times New Roman"/>
          <w:i/>
          <w:szCs w:val="24"/>
        </w:rPr>
        <w:t xml:space="preserve"> Summary Tables, Area, House and Population; also Population Classified by Ages, Condition as to Marriage, Occupations, Birthplaces and Infirmities</w:t>
      </w:r>
      <w:r w:rsidRPr="003842AF">
        <w:rPr>
          <w:rFonts w:eastAsia="Calibri" w:cs="Times New Roman"/>
          <w:szCs w:val="24"/>
        </w:rPr>
        <w:t xml:space="preserve">, </w:t>
      </w:r>
      <w:r w:rsidRPr="003842AF">
        <w:rPr>
          <w:rFonts w:eastAsia="Calibri" w:cs="Times New Roman"/>
          <w:i/>
          <w:szCs w:val="24"/>
        </w:rPr>
        <w:t>Parliamentary Papers</w:t>
      </w:r>
      <w:r w:rsidRPr="003842AF">
        <w:rPr>
          <w:rFonts w:eastAsia="Calibri" w:cs="Times New Roman"/>
          <w:szCs w:val="24"/>
        </w:rPr>
        <w:t>, (LXXXIV).</w:t>
      </w:r>
    </w:p>
    <w:p w14:paraId="1ED77302" w14:textId="77777777" w:rsidR="003842AF" w:rsidRPr="003842AF" w:rsidRDefault="003842AF" w:rsidP="003842AF">
      <w:pPr>
        <w:spacing w:line="276" w:lineRule="auto"/>
        <w:ind w:left="720" w:hanging="720"/>
        <w:jc w:val="both"/>
        <w:rPr>
          <w:rFonts w:eastAsia="Calibri" w:cs="Times New Roman"/>
          <w:szCs w:val="24"/>
        </w:rPr>
      </w:pPr>
      <w:proofErr w:type="gramStart"/>
      <w:r w:rsidRPr="003842AF">
        <w:rPr>
          <w:rFonts w:eastAsia="Calibri" w:cs="Times New Roman"/>
          <w:szCs w:val="24"/>
        </w:rPr>
        <w:t>PP (1911)</w:t>
      </w:r>
      <w:r w:rsidRPr="003842AF">
        <w:rPr>
          <w:rFonts w:eastAsia="Calibri" w:cs="Times New Roman"/>
          <w:i/>
        </w:rPr>
        <w:t xml:space="preserve"> </w:t>
      </w:r>
      <w:r w:rsidRPr="003842AF">
        <w:rPr>
          <w:rFonts w:eastAsia="Calibri" w:cs="Times New Roman"/>
          <w:i/>
          <w:szCs w:val="24"/>
        </w:rPr>
        <w:t>Census of England and Wales, 1911, Vol.</w:t>
      </w:r>
      <w:proofErr w:type="gramEnd"/>
      <w:r w:rsidRPr="003842AF">
        <w:rPr>
          <w:rFonts w:eastAsia="Calibri" w:cs="Times New Roman"/>
          <w:i/>
          <w:szCs w:val="24"/>
        </w:rPr>
        <w:t xml:space="preserve"> </w:t>
      </w:r>
      <w:proofErr w:type="gramStart"/>
      <w:r w:rsidRPr="003842AF">
        <w:rPr>
          <w:rFonts w:eastAsia="Calibri" w:cs="Times New Roman"/>
          <w:i/>
          <w:szCs w:val="24"/>
        </w:rPr>
        <w:t>I General Report</w:t>
      </w:r>
      <w:r w:rsidRPr="003842AF">
        <w:rPr>
          <w:rFonts w:eastAsia="Calibri" w:cs="Times New Roman"/>
          <w:szCs w:val="24"/>
        </w:rPr>
        <w:t>, Cd. 8491, pp. 113-4, Table XXXVII ff.</w:t>
      </w:r>
      <w:proofErr w:type="gramEnd"/>
    </w:p>
    <w:p w14:paraId="4A63D1FE" w14:textId="77777777" w:rsidR="003842AF" w:rsidRPr="003842AF" w:rsidRDefault="003842AF" w:rsidP="003842AF">
      <w:pPr>
        <w:ind w:left="720" w:hanging="720"/>
        <w:jc w:val="both"/>
        <w:rPr>
          <w:rFonts w:eastAsia="Calibri" w:cs="Times New Roman"/>
          <w:szCs w:val="24"/>
        </w:rPr>
      </w:pPr>
      <w:proofErr w:type="gramStart"/>
      <w:r w:rsidRPr="003842AF">
        <w:rPr>
          <w:rFonts w:eastAsia="Calibri" w:cs="Times New Roman"/>
          <w:szCs w:val="24"/>
        </w:rPr>
        <w:t>PP (1913)</w:t>
      </w:r>
      <w:r w:rsidRPr="003842AF">
        <w:rPr>
          <w:rFonts w:eastAsia="Calibri" w:cs="Times New Roman"/>
          <w:i/>
        </w:rPr>
        <w:t xml:space="preserve"> </w:t>
      </w:r>
      <w:r w:rsidRPr="003842AF">
        <w:rPr>
          <w:rFonts w:eastAsia="Calibri" w:cs="Times New Roman"/>
          <w:i/>
          <w:szCs w:val="24"/>
        </w:rPr>
        <w:t>Census of England and Wales, 1911, Vol. X, Occupations and Industries, Part I</w:t>
      </w:r>
      <w:r w:rsidRPr="003842AF">
        <w:rPr>
          <w:rFonts w:eastAsia="Calibri" w:cs="Times New Roman"/>
          <w:szCs w:val="24"/>
        </w:rPr>
        <w:t xml:space="preserve">, </w:t>
      </w:r>
      <w:r w:rsidRPr="003842AF">
        <w:rPr>
          <w:rFonts w:eastAsia="Calibri" w:cs="Times New Roman"/>
          <w:i/>
          <w:szCs w:val="24"/>
        </w:rPr>
        <w:t>Parliamentary Papers</w:t>
      </w:r>
      <w:r w:rsidRPr="003842AF">
        <w:rPr>
          <w:rFonts w:eastAsia="Calibri" w:cs="Times New Roman"/>
          <w:szCs w:val="24"/>
        </w:rPr>
        <w:t>, (LXXVIII).</w:t>
      </w:r>
      <w:proofErr w:type="gramEnd"/>
    </w:p>
    <w:p w14:paraId="727BD4F0" w14:textId="77777777" w:rsidR="003842AF" w:rsidRPr="003842AF" w:rsidRDefault="003842AF" w:rsidP="003842AF">
      <w:pPr>
        <w:ind w:left="720" w:hanging="720"/>
        <w:jc w:val="both"/>
        <w:rPr>
          <w:rFonts w:eastAsia="Calibri" w:cs="Times New Roman"/>
        </w:rPr>
      </w:pPr>
      <w:r w:rsidRPr="003842AF">
        <w:rPr>
          <w:rFonts w:eastAsia="Calibri" w:cs="Times New Roman"/>
        </w:rPr>
        <w:lastRenderedPageBreak/>
        <w:t xml:space="preserve">Schürer, K. (1991), ‘The 1891 Census and Local Population Studies’, </w:t>
      </w:r>
      <w:r w:rsidRPr="003842AF">
        <w:rPr>
          <w:rFonts w:eastAsia="Calibri" w:cs="Times New Roman"/>
          <w:i/>
        </w:rPr>
        <w:t>Local Population Studies</w:t>
      </w:r>
      <w:r w:rsidRPr="003842AF">
        <w:rPr>
          <w:rFonts w:eastAsia="Calibri" w:cs="Times New Roman"/>
        </w:rPr>
        <w:t>, 47, 16-29.</w:t>
      </w:r>
    </w:p>
    <w:p w14:paraId="13A4E8F6" w14:textId="7E0A1FBE" w:rsidR="003842AF" w:rsidRDefault="003842AF" w:rsidP="003842AF">
      <w:pPr>
        <w:ind w:left="720" w:hanging="720"/>
        <w:jc w:val="both"/>
        <w:rPr>
          <w:rFonts w:eastAsia="Calibri" w:cs="Times New Roman"/>
        </w:rPr>
      </w:pPr>
      <w:proofErr w:type="gramStart"/>
      <w:r w:rsidRPr="003842AF">
        <w:rPr>
          <w:rFonts w:eastAsia="Calibri" w:cs="Times New Roman"/>
        </w:rPr>
        <w:t xml:space="preserve">Schürer, K., Higgs, E., Reid, A.M. and Garrett, E.M. (2016), </w:t>
      </w:r>
      <w:r w:rsidRPr="003842AF">
        <w:rPr>
          <w:rFonts w:eastAsia="Calibri" w:cs="Times New Roman"/>
          <w:i/>
        </w:rPr>
        <w:t>Integrated Census Microdata, 1851-1911, version V. 2 (I-CeM.2)</w:t>
      </w:r>
      <w:r w:rsidRPr="003842AF">
        <w:rPr>
          <w:rFonts w:eastAsia="Calibri" w:cs="Times New Roman"/>
        </w:rPr>
        <w:t>, [data collection].</w:t>
      </w:r>
      <w:proofErr w:type="gramEnd"/>
      <w:r w:rsidRPr="003842AF">
        <w:rPr>
          <w:rFonts w:eastAsia="Calibri" w:cs="Times New Roman"/>
        </w:rPr>
        <w:t xml:space="preserve"> UK Data Service, SN: 7481, </w:t>
      </w:r>
      <w:hyperlink r:id="rId14" w:history="1">
        <w:r w:rsidR="008C4661" w:rsidRPr="00D8216E">
          <w:rPr>
            <w:rStyle w:val="Hyperlink"/>
            <w:rFonts w:eastAsia="Calibri" w:cs="Times New Roman"/>
          </w:rPr>
          <w:t>http://dx.doi.org/10.5255/UKDA-SN-7481-1</w:t>
        </w:r>
      </w:hyperlink>
      <w:r w:rsidRPr="003842AF">
        <w:rPr>
          <w:rFonts w:eastAsia="Calibri" w:cs="Times New Roman"/>
        </w:rPr>
        <w:t>.</w:t>
      </w:r>
    </w:p>
    <w:p w14:paraId="3BB45E7A" w14:textId="64F0D8FD" w:rsidR="008C4661" w:rsidRDefault="008C4661" w:rsidP="008C4661">
      <w:pPr>
        <w:ind w:left="720" w:hanging="720"/>
        <w:jc w:val="both"/>
        <w:rPr>
          <w:rFonts w:eastAsia="Calibri" w:cs="Times New Roman"/>
        </w:rPr>
      </w:pPr>
      <w:r w:rsidRPr="008C4661">
        <w:rPr>
          <w:rFonts w:eastAsia="Calibri" w:cs="Times New Roman"/>
        </w:rPr>
        <w:t xml:space="preserve">Smith, </w:t>
      </w:r>
      <w:r>
        <w:rPr>
          <w:rFonts w:eastAsia="Calibri" w:cs="Times New Roman"/>
        </w:rPr>
        <w:t>H.,</w:t>
      </w:r>
      <w:r w:rsidRPr="008C4661">
        <w:rPr>
          <w:rFonts w:eastAsia="Calibri" w:cs="Times New Roman"/>
        </w:rPr>
        <w:t xml:space="preserve"> Bennett</w:t>
      </w:r>
      <w:r>
        <w:rPr>
          <w:rFonts w:eastAsia="Calibri" w:cs="Times New Roman"/>
        </w:rPr>
        <w:t>, R. J. and V</w:t>
      </w:r>
      <w:r w:rsidRPr="008C4661">
        <w:rPr>
          <w:rFonts w:eastAsia="Calibri" w:cs="Times New Roman"/>
        </w:rPr>
        <w:t>an Lieshout</w:t>
      </w:r>
      <w:r>
        <w:rPr>
          <w:rFonts w:eastAsia="Calibri" w:cs="Times New Roman"/>
        </w:rPr>
        <w:t>, C.</w:t>
      </w:r>
      <w:r w:rsidRPr="008C4661">
        <w:rPr>
          <w:rFonts w:eastAsia="Calibri" w:cs="Times New Roman"/>
        </w:rPr>
        <w:t xml:space="preserve"> (2017), </w:t>
      </w:r>
      <w:r w:rsidRPr="008C4661">
        <w:rPr>
          <w:rFonts w:eastAsia="Calibri" w:cs="Times New Roman"/>
          <w:i/>
        </w:rPr>
        <w:t>Extracting entrepreneurs from the Censuses, 1891-1911</w:t>
      </w:r>
      <w:r w:rsidRPr="008C4661">
        <w:rPr>
          <w:rFonts w:eastAsia="Calibri" w:cs="Times New Roman"/>
        </w:rPr>
        <w:t>, Working Paper 4: ESRC project ES/M0010953: ‘Drivers of Entrepreneurship and Small Businesses’, University of Cambridge</w:t>
      </w:r>
      <w:r>
        <w:rPr>
          <w:rFonts w:eastAsia="Calibri" w:cs="Times New Roman"/>
        </w:rPr>
        <w:t xml:space="preserve">. </w:t>
      </w:r>
      <w:r w:rsidRPr="008C4661">
        <w:rPr>
          <w:rFonts w:eastAsia="Calibri" w:cs="Times New Roman"/>
        </w:rPr>
        <w:t>https://doi.org/10.17863/CAM.9638</w:t>
      </w:r>
    </w:p>
    <w:p w14:paraId="772B244D" w14:textId="540AAEE4" w:rsidR="00A46230" w:rsidRDefault="00A46230" w:rsidP="003842AF">
      <w:pPr>
        <w:ind w:left="720" w:hanging="720"/>
        <w:jc w:val="both"/>
        <w:rPr>
          <w:rFonts w:eastAsia="Calibri" w:cs="Times New Roman"/>
        </w:rPr>
      </w:pPr>
      <w:proofErr w:type="gramStart"/>
      <w:r w:rsidRPr="00A46230">
        <w:rPr>
          <w:rFonts w:eastAsia="Calibri" w:cs="Times New Roman"/>
        </w:rPr>
        <w:t xml:space="preserve">Smith, H., Bennett, </w:t>
      </w:r>
      <w:r>
        <w:rPr>
          <w:rFonts w:eastAsia="Calibri" w:cs="Times New Roman"/>
        </w:rPr>
        <w:t>R. J. and Van Lieshout, C. (2018)</w:t>
      </w:r>
      <w:r w:rsidRPr="00A46230">
        <w:rPr>
          <w:rFonts w:eastAsia="Calibri" w:cs="Times New Roman"/>
        </w:rPr>
        <w:t xml:space="preserve">, </w:t>
      </w:r>
      <w:r>
        <w:rPr>
          <w:rFonts w:eastAsia="Calibri" w:cs="Times New Roman"/>
        </w:rPr>
        <w:t>‘</w:t>
      </w:r>
      <w:r w:rsidRPr="00A46230">
        <w:rPr>
          <w:rFonts w:eastAsia="Calibri" w:cs="Times New Roman"/>
        </w:rPr>
        <w:t>Immigrant Business Proprietors in England and Wales, 1851-1911</w:t>
      </w:r>
      <w:r>
        <w:rPr>
          <w:rFonts w:eastAsia="Calibri" w:cs="Times New Roman"/>
        </w:rPr>
        <w:t>’, forthcoming.</w:t>
      </w:r>
      <w:proofErr w:type="gramEnd"/>
    </w:p>
    <w:p w14:paraId="60F5F757" w14:textId="1423E40F" w:rsidR="00D1120B" w:rsidRPr="003842AF" w:rsidRDefault="00D1120B" w:rsidP="003842AF">
      <w:pPr>
        <w:ind w:left="720" w:hanging="720"/>
        <w:jc w:val="both"/>
        <w:rPr>
          <w:rFonts w:eastAsia="Calibri" w:cs="Times New Roman"/>
        </w:rPr>
      </w:pPr>
      <w:r>
        <w:rPr>
          <w:rFonts w:eastAsia="Calibri" w:cs="Times New Roman"/>
        </w:rPr>
        <w:t>Stamp, J.</w:t>
      </w:r>
      <w:r w:rsidRPr="00D1120B">
        <w:rPr>
          <w:rFonts w:eastAsia="Calibri" w:cs="Times New Roman"/>
        </w:rPr>
        <w:t xml:space="preserve"> (1916) </w:t>
      </w:r>
      <w:r w:rsidRPr="00D1120B">
        <w:rPr>
          <w:rFonts w:eastAsia="Calibri" w:cs="Times New Roman"/>
          <w:i/>
        </w:rPr>
        <w:t>British Income and Prosperity: The Application of Official Statistics to Economic Problems</w:t>
      </w:r>
      <w:r>
        <w:rPr>
          <w:rFonts w:eastAsia="Calibri" w:cs="Times New Roman"/>
        </w:rPr>
        <w:t xml:space="preserve">, </w:t>
      </w:r>
      <w:r w:rsidRPr="00D1120B">
        <w:rPr>
          <w:rFonts w:eastAsia="Calibri" w:cs="Times New Roman"/>
        </w:rPr>
        <w:t>London</w:t>
      </w:r>
      <w:r>
        <w:rPr>
          <w:rFonts w:eastAsia="Calibri" w:cs="Times New Roman"/>
        </w:rPr>
        <w:t>: King &amp; Co</w:t>
      </w:r>
      <w:r w:rsidRPr="00D1120B">
        <w:rPr>
          <w:rFonts w:eastAsia="Calibri" w:cs="Times New Roman"/>
        </w:rPr>
        <w:t>.</w:t>
      </w:r>
    </w:p>
    <w:p w14:paraId="3889DCE4" w14:textId="77777777" w:rsidR="003842AF" w:rsidRPr="003842AF" w:rsidRDefault="003842AF" w:rsidP="003842AF">
      <w:pPr>
        <w:ind w:left="720" w:hanging="720"/>
        <w:jc w:val="both"/>
        <w:rPr>
          <w:rFonts w:eastAsia="Calibri" w:cs="Times New Roman"/>
          <w:szCs w:val="24"/>
        </w:rPr>
      </w:pPr>
      <w:r w:rsidRPr="003842AF">
        <w:rPr>
          <w:rFonts w:eastAsia="Calibri" w:cs="Times New Roman"/>
          <w:szCs w:val="24"/>
        </w:rPr>
        <w:t>Treasury (1890)</w:t>
      </w:r>
      <w:r w:rsidRPr="003842AF">
        <w:rPr>
          <w:rFonts w:eastAsia="Calibri" w:cs="Times New Roman"/>
          <w:i/>
        </w:rPr>
        <w:t xml:space="preserve"> Report of the Committee Appointed by the Treasury to Inquire into Certain Questions Connected with the Taking of the Census</w:t>
      </w:r>
      <w:r w:rsidRPr="003842AF">
        <w:rPr>
          <w:rFonts w:eastAsia="Calibri" w:cs="Times New Roman"/>
        </w:rPr>
        <w:t>, C 6071. London: HMSO.</w:t>
      </w:r>
    </w:p>
    <w:p w14:paraId="1BEBE129" w14:textId="77777777" w:rsidR="003842AF" w:rsidRPr="003842AF" w:rsidRDefault="003842AF" w:rsidP="003842AF">
      <w:pPr>
        <w:ind w:left="720" w:hanging="720"/>
        <w:jc w:val="both"/>
        <w:rPr>
          <w:rFonts w:eastAsia="Calibri" w:cs="Times New Roman"/>
          <w:szCs w:val="24"/>
        </w:rPr>
      </w:pPr>
      <w:r w:rsidRPr="003842AF">
        <w:rPr>
          <w:rFonts w:eastAsia="Calibri" w:cs="Times New Roman"/>
          <w:szCs w:val="24"/>
        </w:rPr>
        <w:t>US Bureau of the Census (1950)</w:t>
      </w:r>
      <w:r w:rsidRPr="003842AF">
        <w:rPr>
          <w:rFonts w:eastAsia="Calibri" w:cs="Times New Roman"/>
          <w:i/>
          <w:szCs w:val="24"/>
        </w:rPr>
        <w:t xml:space="preserve"> </w:t>
      </w:r>
      <w:proofErr w:type="gramStart"/>
      <w:r w:rsidRPr="003842AF">
        <w:rPr>
          <w:rFonts w:eastAsia="Calibri" w:cs="Times New Roman"/>
          <w:i/>
          <w:szCs w:val="24"/>
        </w:rPr>
        <w:t>The</w:t>
      </w:r>
      <w:proofErr w:type="gramEnd"/>
      <w:r w:rsidRPr="003842AF">
        <w:rPr>
          <w:rFonts w:eastAsia="Calibri" w:cs="Times New Roman"/>
          <w:i/>
          <w:szCs w:val="24"/>
        </w:rPr>
        <w:t xml:space="preserve"> post-enumeration survey:  1950</w:t>
      </w:r>
      <w:r w:rsidRPr="003842AF">
        <w:rPr>
          <w:rFonts w:eastAsia="Calibri" w:cs="Times New Roman"/>
          <w:szCs w:val="24"/>
        </w:rPr>
        <w:t>. Washington DC.</w:t>
      </w:r>
      <w:r w:rsidRPr="003842AF">
        <w:rPr>
          <w:rFonts w:eastAsia="Calibri" w:cs="Times New Roman"/>
          <w:i/>
          <w:szCs w:val="24"/>
        </w:rPr>
        <w:t xml:space="preserve"> </w:t>
      </w:r>
    </w:p>
    <w:p w14:paraId="43299C90" w14:textId="32ECE810" w:rsidR="003842AF" w:rsidRPr="003842AF" w:rsidRDefault="003842AF" w:rsidP="003842AF">
      <w:pPr>
        <w:ind w:left="720" w:hanging="720"/>
        <w:jc w:val="both"/>
        <w:rPr>
          <w:rFonts w:eastAsia="Calibri" w:cs="Times New Roman"/>
          <w:szCs w:val="24"/>
        </w:rPr>
      </w:pPr>
      <w:r w:rsidRPr="003842AF">
        <w:rPr>
          <w:rFonts w:eastAsia="Calibri" w:cs="Times New Roman"/>
          <w:szCs w:val="24"/>
        </w:rPr>
        <w:t xml:space="preserve">Wardley, </w:t>
      </w:r>
      <w:r w:rsidR="00186245" w:rsidRPr="003842AF">
        <w:rPr>
          <w:rFonts w:eastAsia="Calibri" w:cs="Times New Roman"/>
          <w:szCs w:val="24"/>
        </w:rPr>
        <w:t>P</w:t>
      </w:r>
      <w:r w:rsidR="00186245">
        <w:rPr>
          <w:rFonts w:eastAsia="Calibri" w:cs="Times New Roman"/>
          <w:szCs w:val="24"/>
        </w:rPr>
        <w:t>.</w:t>
      </w:r>
      <w:r w:rsidR="00186245" w:rsidRPr="003842AF">
        <w:rPr>
          <w:rFonts w:eastAsia="Calibri" w:cs="Times New Roman"/>
          <w:szCs w:val="24"/>
        </w:rPr>
        <w:t xml:space="preserve"> </w:t>
      </w:r>
      <w:r w:rsidRPr="003842AF">
        <w:rPr>
          <w:rFonts w:eastAsia="Calibri" w:cs="Times New Roman"/>
          <w:szCs w:val="24"/>
        </w:rPr>
        <w:t xml:space="preserve">(1999) ‘The emergence of big business: The largest corporate employers of labour in the United Kingdom, Germany and the United States c. 1907’, </w:t>
      </w:r>
      <w:r w:rsidRPr="003842AF">
        <w:rPr>
          <w:rFonts w:eastAsia="Calibri" w:cs="Times New Roman"/>
          <w:i/>
          <w:szCs w:val="24"/>
        </w:rPr>
        <w:t>Business History</w:t>
      </w:r>
      <w:r w:rsidRPr="003842AF">
        <w:rPr>
          <w:rFonts w:eastAsia="Calibri" w:cs="Times New Roman"/>
          <w:szCs w:val="24"/>
        </w:rPr>
        <w:t>, 41, 4, 88-116.</w:t>
      </w:r>
    </w:p>
    <w:p w14:paraId="6D56DDE2" w14:textId="458F7884" w:rsidR="002830DB" w:rsidRDefault="003842AF" w:rsidP="002830DB">
      <w:pPr>
        <w:ind w:left="720" w:hanging="720"/>
        <w:jc w:val="both"/>
        <w:rPr>
          <w:rFonts w:eastAsia="Calibri" w:cs="Times New Roman"/>
          <w:sz w:val="22"/>
        </w:rPr>
      </w:pPr>
      <w:r w:rsidRPr="003842AF">
        <w:rPr>
          <w:rFonts w:eastAsia="Calibri" w:cs="Times New Roman"/>
          <w:szCs w:val="24"/>
        </w:rPr>
        <w:t xml:space="preserve">Wardley, </w:t>
      </w:r>
      <w:r w:rsidR="002830DB" w:rsidRPr="003842AF">
        <w:rPr>
          <w:rFonts w:eastAsia="Calibri" w:cs="Times New Roman"/>
          <w:szCs w:val="24"/>
        </w:rPr>
        <w:t>P</w:t>
      </w:r>
      <w:proofErr w:type="gramStart"/>
      <w:r w:rsidR="002830DB">
        <w:rPr>
          <w:rFonts w:eastAsia="Calibri" w:cs="Times New Roman"/>
          <w:szCs w:val="24"/>
        </w:rPr>
        <w:t>.</w:t>
      </w:r>
      <w:r w:rsidRPr="003842AF">
        <w:rPr>
          <w:rFonts w:eastAsia="Calibri" w:cs="Times New Roman"/>
          <w:szCs w:val="24"/>
        </w:rPr>
        <w:t>(</w:t>
      </w:r>
      <w:proofErr w:type="gramEnd"/>
      <w:r w:rsidRPr="003842AF">
        <w:rPr>
          <w:rFonts w:eastAsia="Calibri" w:cs="Times New Roman"/>
          <w:szCs w:val="24"/>
        </w:rPr>
        <w:t>2001)</w:t>
      </w:r>
      <w:r w:rsidRPr="003842AF">
        <w:rPr>
          <w:rFonts w:eastAsia="Calibri" w:cs="Times New Roman"/>
        </w:rPr>
        <w:t xml:space="preserve"> ‘</w:t>
      </w:r>
      <w:r w:rsidRPr="003842AF">
        <w:rPr>
          <w:rFonts w:eastAsia="Calibri" w:cs="Times New Roman"/>
          <w:szCs w:val="24"/>
        </w:rPr>
        <w:t xml:space="preserve">On the ranking of firms: A response to Jeremy and Farnie’, </w:t>
      </w:r>
      <w:r w:rsidRPr="003842AF">
        <w:rPr>
          <w:rFonts w:eastAsia="Calibri" w:cs="Times New Roman"/>
          <w:i/>
          <w:szCs w:val="24"/>
        </w:rPr>
        <w:t>Business History</w:t>
      </w:r>
      <w:r w:rsidRPr="003842AF">
        <w:rPr>
          <w:rFonts w:eastAsia="Calibri" w:cs="Times New Roman"/>
          <w:szCs w:val="24"/>
        </w:rPr>
        <w:t>, 43, 3, 119-34.</w:t>
      </w:r>
      <w:r w:rsidRPr="003842AF">
        <w:rPr>
          <w:rFonts w:eastAsia="Calibri" w:cs="Times New Roman"/>
        </w:rPr>
        <w:t xml:space="preserve">Winstanley, Michael J. (1983) </w:t>
      </w:r>
      <w:r w:rsidRPr="003842AF">
        <w:rPr>
          <w:rFonts w:eastAsia="Calibri" w:cs="Times New Roman"/>
          <w:i/>
        </w:rPr>
        <w:t>The Shopkeeper’s World, 1830-1914</w:t>
      </w:r>
      <w:r w:rsidRPr="003842AF">
        <w:rPr>
          <w:rFonts w:eastAsia="Calibri" w:cs="Times New Roman"/>
        </w:rPr>
        <w:t>, Manchester University Press.</w:t>
      </w:r>
      <w:r w:rsidR="002830DB" w:rsidRPr="002830DB">
        <w:rPr>
          <w:rFonts w:eastAsia="Calibri" w:cs="Times New Roman"/>
          <w:sz w:val="22"/>
        </w:rPr>
        <w:t xml:space="preserve"> </w:t>
      </w:r>
    </w:p>
    <w:p w14:paraId="74926118" w14:textId="2C0F3D77" w:rsidR="002830DB" w:rsidRPr="002830DB" w:rsidRDefault="002830DB" w:rsidP="002830DB">
      <w:pPr>
        <w:ind w:left="720" w:hanging="720"/>
        <w:jc w:val="both"/>
        <w:rPr>
          <w:rFonts w:eastAsia="Calibri" w:cs="Times New Roman"/>
        </w:rPr>
      </w:pPr>
      <w:r w:rsidRPr="002830DB">
        <w:rPr>
          <w:rFonts w:eastAsia="Calibri" w:cs="Times New Roman"/>
        </w:rPr>
        <w:t>Woodward, D</w:t>
      </w:r>
      <w:r>
        <w:rPr>
          <w:rFonts w:eastAsia="Calibri" w:cs="Times New Roman"/>
        </w:rPr>
        <w:t>.</w:t>
      </w:r>
      <w:r w:rsidRPr="002830DB">
        <w:rPr>
          <w:rFonts w:eastAsia="Calibri" w:cs="Times New Roman"/>
        </w:rPr>
        <w:t xml:space="preserve"> (1995) </w:t>
      </w:r>
      <w:r w:rsidRPr="002830DB">
        <w:rPr>
          <w:rFonts w:eastAsia="Calibri" w:cs="Times New Roman"/>
          <w:i/>
        </w:rPr>
        <w:t>Men at Work: Labourers and building craftsmen in the towns of northern England, 1450-1750</w:t>
      </w:r>
      <w:r w:rsidRPr="002830DB">
        <w:rPr>
          <w:rFonts w:eastAsia="Calibri" w:cs="Times New Roman"/>
        </w:rPr>
        <w:t>, Cambridge University Press.</w:t>
      </w:r>
    </w:p>
    <w:p w14:paraId="16DF3F29" w14:textId="202989A6" w:rsidR="002830DB" w:rsidRPr="003842AF" w:rsidRDefault="002830DB" w:rsidP="002830DB">
      <w:pPr>
        <w:ind w:left="720" w:hanging="720"/>
        <w:jc w:val="both"/>
        <w:rPr>
          <w:rFonts w:eastAsia="Calibri" w:cs="Times New Roman"/>
          <w:szCs w:val="24"/>
        </w:rPr>
      </w:pPr>
    </w:p>
    <w:p w14:paraId="1E9ED6A9" w14:textId="77777777" w:rsidR="003842AF" w:rsidRDefault="003842AF" w:rsidP="002830DB">
      <w:pPr>
        <w:spacing w:line="360" w:lineRule="auto"/>
        <w:jc w:val="both"/>
        <w:rPr>
          <w:rFonts w:eastAsia="Times New Roman" w:cs="Times New Roman"/>
          <w:szCs w:val="24"/>
        </w:rPr>
      </w:pPr>
    </w:p>
    <w:p w14:paraId="4E9DC997" w14:textId="77777777" w:rsidR="003842AF" w:rsidRDefault="003842AF" w:rsidP="00AE179D">
      <w:pPr>
        <w:spacing w:line="360" w:lineRule="auto"/>
        <w:ind w:firstLine="720"/>
        <w:jc w:val="both"/>
        <w:rPr>
          <w:rFonts w:eastAsia="Times New Roman" w:cs="Times New Roman"/>
          <w:szCs w:val="24"/>
        </w:rPr>
      </w:pPr>
    </w:p>
    <w:p w14:paraId="164B888A" w14:textId="77777777" w:rsidR="003842AF" w:rsidRPr="00AE179D" w:rsidRDefault="003842AF" w:rsidP="00AE179D">
      <w:pPr>
        <w:spacing w:line="360" w:lineRule="auto"/>
        <w:ind w:firstLine="720"/>
        <w:jc w:val="both"/>
        <w:rPr>
          <w:rFonts w:eastAsia="Times New Roman" w:cs="Times New Roman"/>
          <w:szCs w:val="24"/>
        </w:rPr>
      </w:pPr>
    </w:p>
    <w:p w14:paraId="32D689EF" w14:textId="7567F480" w:rsidR="00714105" w:rsidRDefault="00714105">
      <w:pPr>
        <w:rPr>
          <w:b/>
        </w:rPr>
      </w:pPr>
    </w:p>
    <w:sectPr w:rsidR="00714105" w:rsidSect="0001457C">
      <w:endnotePr>
        <w:numFmt w:val="decimal"/>
      </w:endnotePr>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C3EA" w14:textId="77777777" w:rsidR="00F85767" w:rsidRDefault="00F85767" w:rsidP="00DD63BE">
      <w:r>
        <w:separator/>
      </w:r>
    </w:p>
  </w:endnote>
  <w:endnote w:type="continuationSeparator" w:id="0">
    <w:p w14:paraId="3E741944" w14:textId="77777777" w:rsidR="00F85767" w:rsidRDefault="00F85767" w:rsidP="00DD63BE">
      <w:r>
        <w:continuationSeparator/>
      </w:r>
    </w:p>
  </w:endnote>
  <w:endnote w:id="1">
    <w:p w14:paraId="23AF6724" w14:textId="1B82A915" w:rsidR="00F9579C" w:rsidRDefault="00F9579C">
      <w:pPr>
        <w:pStyle w:val="EndnoteText"/>
      </w:pPr>
      <w:r>
        <w:rPr>
          <w:rStyle w:val="EndnoteReference"/>
        </w:rPr>
        <w:endnoteRef/>
      </w:r>
      <w:r>
        <w:t xml:space="preserve"> A previous electronic version of the census records for 1881 has been incorporated into I-CeM.</w:t>
      </w:r>
    </w:p>
  </w:endnote>
  <w:endnote w:id="2">
    <w:p w14:paraId="57E47961" w14:textId="176D5196" w:rsidR="00F9579C" w:rsidRDefault="00F9579C">
      <w:pPr>
        <w:pStyle w:val="EndnoteText"/>
      </w:pPr>
      <w:r>
        <w:rPr>
          <w:rStyle w:val="EndnoteReference"/>
        </w:rPr>
        <w:endnoteRef/>
      </w:r>
      <w:r>
        <w:t xml:space="preserve"> The UKDA deposit will occur in early 2019. It is at individual level, contains further data enrichment and supplementation, with each business proprietor identified by an ID that aligns with I-CeM IDs so that the two databases can be readily linked.</w:t>
      </w:r>
    </w:p>
  </w:endnote>
  <w:endnote w:id="3">
    <w:p w14:paraId="6A445B1D" w14:textId="64935B9A" w:rsidR="00F9579C" w:rsidRDefault="00F9579C" w:rsidP="001B4597">
      <w:pPr>
        <w:pStyle w:val="EndnoteText"/>
      </w:pPr>
      <w:r>
        <w:rPr>
          <w:rStyle w:val="EndnoteReference"/>
        </w:rPr>
        <w:endnoteRef/>
      </w:r>
      <w:r>
        <w:t xml:space="preserve"> </w:t>
      </w:r>
      <w:proofErr w:type="gramStart"/>
      <w:r>
        <w:t xml:space="preserve">‘General Instruction’, Census of England and Wales, </w:t>
      </w:r>
      <w:r w:rsidRPr="00E05E81">
        <w:t>Census of England and Wales</w:t>
      </w:r>
      <w:r>
        <w:t>, Householder’s Schedule, 1891.</w:t>
      </w:r>
      <w:proofErr w:type="gramEnd"/>
    </w:p>
  </w:endnote>
  <w:endnote w:id="4">
    <w:p w14:paraId="5B6859F3" w14:textId="22429D47" w:rsidR="00F9579C" w:rsidRDefault="00F9579C">
      <w:pPr>
        <w:pStyle w:val="EndnoteText"/>
      </w:pPr>
      <w:r>
        <w:rPr>
          <w:rStyle w:val="EndnoteReference"/>
        </w:rPr>
        <w:endnoteRef/>
      </w:r>
      <w:r>
        <w:t xml:space="preserve"> </w:t>
      </w:r>
      <w:proofErr w:type="gramStart"/>
      <w:r>
        <w:t>‘</w:t>
      </w:r>
      <w:r w:rsidRPr="005D4EBD">
        <w:t xml:space="preserve">General Instruction’, </w:t>
      </w:r>
      <w:r>
        <w:t>Census</w:t>
      </w:r>
      <w:r w:rsidRPr="005D4EBD">
        <w:t xml:space="preserve"> of England and Wa</w:t>
      </w:r>
      <w:r>
        <w:t xml:space="preserve">les, </w:t>
      </w:r>
      <w:r w:rsidRPr="00E05E81">
        <w:t>Census of England and Wales</w:t>
      </w:r>
      <w:r>
        <w:t>, Householder’s Schedule, 191</w:t>
      </w:r>
      <w:r w:rsidRPr="005D4EBD">
        <w:t>1.</w:t>
      </w:r>
      <w:proofErr w:type="gramEnd"/>
    </w:p>
  </w:endnote>
  <w:endnote w:id="5">
    <w:p w14:paraId="0AA630A6" w14:textId="2B2892E8" w:rsidR="00F9579C" w:rsidRDefault="00F9579C" w:rsidP="003816A4">
      <w:pPr>
        <w:pStyle w:val="EndnoteText"/>
      </w:pPr>
      <w:r>
        <w:rPr>
          <w:rStyle w:val="EndnoteReference"/>
        </w:rPr>
        <w:endnoteRef/>
      </w:r>
      <w:r>
        <w:t xml:space="preserve"> We tested </w:t>
      </w:r>
      <w:r w:rsidRPr="002D5513">
        <w:t>the p</w:t>
      </w:r>
      <w:r>
        <w:t>otential biases outlined later below and found that they did not</w:t>
      </w:r>
      <w:r w:rsidRPr="002D5513">
        <w:t xml:space="preserve"> arise to any significant extent in 1901 and 1911 where the alterative was </w:t>
      </w:r>
      <w:r>
        <w:t xml:space="preserve">to ‘employer’ was </w:t>
      </w:r>
      <w:r w:rsidRPr="002D5513">
        <w:t>‘worker’</w:t>
      </w:r>
      <w:r>
        <w:t xml:space="preserve"> rather than ‘employed’.</w:t>
      </w:r>
    </w:p>
  </w:endnote>
  <w:endnote w:id="6">
    <w:p w14:paraId="03CB6D64" w14:textId="4D88E3BD" w:rsidR="00F9579C" w:rsidRDefault="00F9579C">
      <w:pPr>
        <w:pStyle w:val="EndnoteText"/>
      </w:pPr>
      <w:r>
        <w:rPr>
          <w:rStyle w:val="EndnoteReference"/>
        </w:rPr>
        <w:endnoteRef/>
      </w:r>
      <w:r>
        <w:t xml:space="preserve"> </w:t>
      </w:r>
      <w:proofErr w:type="gramStart"/>
      <w:r>
        <w:t>‘General Instructions’, Census</w:t>
      </w:r>
      <w:r w:rsidRPr="008736A4">
        <w:t xml:space="preserve"> of England and Wales, Householder’s Schedule, </w:t>
      </w:r>
      <w:r>
        <w:t>2011.</w:t>
      </w:r>
      <w:proofErr w:type="gramEnd"/>
    </w:p>
  </w:endnote>
  <w:endnote w:id="7">
    <w:p w14:paraId="47D8E928" w14:textId="2A1AA888" w:rsidR="00F9579C" w:rsidRDefault="00F9579C">
      <w:pPr>
        <w:pStyle w:val="EndnoteText"/>
      </w:pPr>
      <w:r>
        <w:rPr>
          <w:rStyle w:val="EndnoteReference"/>
        </w:rPr>
        <w:endnoteRef/>
      </w:r>
      <w:r>
        <w:t xml:space="preserve"> It is of course entirely feasible and likely that some occupations could have more employers than employees if Census administrators were not assigning generalised descriptors such as ‘labourer’ or ‘manufacturer’, and/or  if many employers were really own account. These defects were very likely for the building and dealing trades that GRO quote, but were not pursued further by GRO enumerators or managers.</w:t>
      </w:r>
    </w:p>
  </w:endnote>
  <w:endnote w:id="8">
    <w:p w14:paraId="38051C9E" w14:textId="52D3B0DB" w:rsidR="00F9579C" w:rsidRDefault="00F9579C">
      <w:pPr>
        <w:pStyle w:val="EndnoteText"/>
      </w:pPr>
      <w:r>
        <w:rPr>
          <w:rStyle w:val="EndnoteReference"/>
        </w:rPr>
        <w:endnoteRef/>
      </w:r>
      <w:r>
        <w:t xml:space="preserve"> Directors are however part of large scale enrichment of the census records contained in the UKDA database deposit, where Census records have been linked to other sources. This is the subject of other publications. </w:t>
      </w:r>
    </w:p>
  </w:endnote>
  <w:endnote w:id="9">
    <w:p w14:paraId="684C7E0A" w14:textId="69F73A99" w:rsidR="00F9579C" w:rsidRDefault="00F9579C" w:rsidP="00157569">
      <w:pPr>
        <w:pStyle w:val="EndnoteText"/>
      </w:pPr>
      <w:r>
        <w:rPr>
          <w:rStyle w:val="EndnoteReference"/>
        </w:rPr>
        <w:endnoteRef/>
      </w:r>
      <w:r>
        <w:t xml:space="preserve"> </w:t>
      </w:r>
      <w:proofErr w:type="gramStart"/>
      <w:r w:rsidRPr="001741D2">
        <w:t xml:space="preserve">Comparison of census listings </w:t>
      </w:r>
      <w:r>
        <w:t>of</w:t>
      </w:r>
      <w:r w:rsidRPr="001741D2">
        <w:t xml:space="preserve"> ironmasters, streel masters and coal masters </w:t>
      </w:r>
      <w:r>
        <w:t xml:space="preserve">with </w:t>
      </w:r>
      <w:r w:rsidRPr="007458CA">
        <w:rPr>
          <w:i/>
        </w:rPr>
        <w:t>Mineral Statistics</w:t>
      </w:r>
      <w:r>
        <w:t xml:space="preserve"> and</w:t>
      </w:r>
      <w:r w:rsidRPr="001741D2">
        <w:t xml:space="preserve"> trade directories for census years 1871-1911.</w:t>
      </w:r>
      <w:proofErr w:type="gramEnd"/>
      <w:r w:rsidRPr="001741D2">
        <w:t xml:space="preserve"> Moreover, use of the term ironmaster to describe </w:t>
      </w:r>
      <w:r>
        <w:t>proprietors</w:t>
      </w:r>
      <w:r w:rsidRPr="001741D2">
        <w:t xml:space="preserve"> increased from 213 businesses in 1870 to 1,383 in 1913</w:t>
      </w:r>
      <w:r>
        <w:t>, trends that are in line with other listings of proprietorships in these industries</w:t>
      </w:r>
      <w:r w:rsidRPr="001741D2">
        <w:t xml:space="preserve">: </w:t>
      </w:r>
      <w:r w:rsidRPr="001741D2">
        <w:rPr>
          <w:i/>
        </w:rPr>
        <w:t>The Post Office (afterwards Kelly's) Directory of the Engineers and Iron and Metal (&amp; Motor) Trades ...; and  Directory of the Building Trades ...</w:t>
      </w:r>
      <w:r>
        <w:t>, Kelly &amp; Co., London</w:t>
      </w:r>
      <w:r w:rsidRPr="001741D2">
        <w:t>.</w:t>
      </w:r>
    </w:p>
  </w:endnote>
  <w:endnote w:id="10">
    <w:p w14:paraId="14162627" w14:textId="4852C9B5" w:rsidR="00F9579C" w:rsidRDefault="00F9579C">
      <w:pPr>
        <w:pStyle w:val="EndnoteText"/>
      </w:pPr>
      <w:r>
        <w:rPr>
          <w:rStyle w:val="EndnoteReference"/>
        </w:rPr>
        <w:endnoteRef/>
      </w:r>
      <w:r>
        <w:t xml:space="preserve"> To simplify estimation, the occupational sectors used are 17 </w:t>
      </w:r>
      <w:r w:rsidRPr="00DF4237">
        <w:t xml:space="preserve">aggregate </w:t>
      </w:r>
      <w:r>
        <w:t xml:space="preserve">occupational categories derived from the 797 occupational codes in I-CeM; 4 of these contain no proprietors so that Table 2 and other tables use 13 sectors: see </w:t>
      </w:r>
      <w:r w:rsidR="00402278">
        <w:t>Bennett et al. (2017</w:t>
      </w:r>
      <w:r w:rsidR="008C4661">
        <w:t>a</w:t>
      </w:r>
      <w:r w:rsidR="00402278">
        <w:t>)</w:t>
      </w:r>
      <w:r w:rsidRPr="00330E43">
        <w:rPr>
          <w:iCs/>
        </w:rPr>
        <w:t>.</w:t>
      </w:r>
    </w:p>
  </w:endnote>
  <w:endnote w:id="11">
    <w:p w14:paraId="30C26110" w14:textId="48E3BDC8" w:rsidR="00F9579C" w:rsidRDefault="00F9579C">
      <w:pPr>
        <w:pStyle w:val="EndnoteText"/>
      </w:pPr>
      <w:r>
        <w:rPr>
          <w:rStyle w:val="EndnoteReference"/>
        </w:rPr>
        <w:endnoteRef/>
      </w:r>
      <w:r>
        <w:t xml:space="preserve"> Weights supplied as supplementary data </w:t>
      </w:r>
      <w:r w:rsidR="00402278" w:rsidRPr="00402278">
        <w:t>https://doi.org/10.17863/CAM.26376</w:t>
      </w:r>
    </w:p>
  </w:endnote>
  <w:endnote w:id="12">
    <w:p w14:paraId="71A2FDD3" w14:textId="77777777" w:rsidR="00F9579C" w:rsidRPr="00633C80" w:rsidRDefault="00F9579C" w:rsidP="00B063CB">
      <w:pPr>
        <w:pStyle w:val="EndnoteText"/>
      </w:pPr>
      <w:r>
        <w:rPr>
          <w:rStyle w:val="EndnoteReference"/>
        </w:rPr>
        <w:endnoteRef/>
      </w:r>
      <w:r>
        <w:t xml:space="preserve"> </w:t>
      </w:r>
      <w:r w:rsidRPr="00633C80">
        <w:t xml:space="preserve">The confidence </w:t>
      </w:r>
      <w:r>
        <w:t>bounds</w:t>
      </w:r>
      <w:r w:rsidRPr="00633C80">
        <w:t xml:space="preserve"> are calculated by</w:t>
      </w:r>
    </w:p>
    <w:p w14:paraId="14F089A8" w14:textId="77777777" w:rsidR="00F9579C" w:rsidRPr="00633C80" w:rsidRDefault="00F85767" w:rsidP="00B063CB">
      <w:pPr>
        <w:pStyle w:val="EndnoteText"/>
      </w:pPr>
      <m:oMathPara>
        <m:oMath>
          <m:acc>
            <m:accPr>
              <m:ctrlPr>
                <w:rPr>
                  <w:rFonts w:ascii="Cambria Math" w:hAnsi="Cambria Math"/>
                  <w:i/>
                </w:rPr>
              </m:ctrlPr>
            </m:accPr>
            <m:e>
              <m:r>
                <w:rPr>
                  <w:rFonts w:ascii="Cambria Math" w:hAnsi="Cambria Math"/>
                </w:rPr>
                <m:t>θ</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f>
                <m:fPr>
                  <m:type m:val="lin"/>
                  <m:ctrlPr>
                    <w:rPr>
                      <w:rFonts w:ascii="Cambria Math" w:hAnsi="Cambria Math"/>
                      <w:i/>
                    </w:rPr>
                  </m:ctrlPr>
                </m:fPr>
                <m:num>
                  <m:r>
                    <w:rPr>
                      <w:rFonts w:ascii="Cambria Math" w:hAnsi="Cambria Math"/>
                    </w:rPr>
                    <m:t>α</m:t>
                  </m:r>
                </m:num>
                <m:den>
                  <m:r>
                    <w:rPr>
                      <w:rFonts w:ascii="Cambria Math" w:hAnsi="Cambria Math"/>
                    </w:rPr>
                    <m:t>2,  n-1</m:t>
                  </m:r>
                </m:den>
              </m:f>
            </m:sub>
          </m:sSub>
          <m:d>
            <m:dPr>
              <m:begChr m:val="{"/>
              <m:endChr m:val=""/>
              <m:ctrlPr>
                <w:rPr>
                  <w:rFonts w:ascii="Cambria Math" w:hAnsi="Cambria Math"/>
                  <w:i/>
                </w:rPr>
              </m:ctrlPr>
            </m:dPr>
            <m:e>
              <m:acc>
                <m:accPr>
                  <m:ctrlPr>
                    <w:rPr>
                      <w:rFonts w:ascii="Cambria Math" w:hAnsi="Cambria Math"/>
                      <w:i/>
                    </w:rPr>
                  </m:ctrlPr>
                </m:accPr>
                <m:e>
                  <m:r>
                    <w:rPr>
                      <w:rFonts w:ascii="Cambria Math" w:hAnsi="Cambria Math"/>
                    </w:rPr>
                    <m:t>V</m:t>
                  </m:r>
                </m:e>
              </m:acc>
              <m:r>
                <w:rPr>
                  <w:rFonts w:ascii="Cambria Math" w:hAnsi="Cambria Math"/>
                </w:rPr>
                <m:t>(</m:t>
              </m:r>
            </m:e>
          </m:d>
          <m:acc>
            <m:accPr>
              <m:ctrlPr>
                <w:rPr>
                  <w:rFonts w:ascii="Cambria Math" w:hAnsi="Cambria Math"/>
                  <w:i/>
                </w:rPr>
              </m:ctrlPr>
            </m:accPr>
            <m:e>
              <m:r>
                <w:rPr>
                  <w:rFonts w:ascii="Cambria Math" w:hAnsi="Cambria Math"/>
                </w:rPr>
                <m:t>θ</m:t>
              </m:r>
            </m:e>
          </m:acc>
          <m:r>
            <w:rPr>
              <w:rFonts w:ascii="Cambria Math" w:hAnsi="Cambria Math"/>
            </w:rPr>
            <m:t>)}</m:t>
          </m:r>
        </m:oMath>
      </m:oMathPara>
    </w:p>
    <w:p w14:paraId="6ADDAB33" w14:textId="77777777" w:rsidR="00F9579C" w:rsidRDefault="00F9579C" w:rsidP="00B063CB">
      <w:pPr>
        <w:pStyle w:val="EndnoteText"/>
      </w:pPr>
      <w:r w:rsidRPr="00633C80">
        <w:t xml:space="preserve">Where </w:t>
      </w:r>
      <m:oMath>
        <m:acc>
          <m:accPr>
            <m:ctrlPr>
              <w:rPr>
                <w:rFonts w:ascii="Cambria Math" w:hAnsi="Cambria Math"/>
                <w:i/>
              </w:rPr>
            </m:ctrlPr>
          </m:accPr>
          <m:e>
            <m:r>
              <w:rPr>
                <w:rFonts w:ascii="Cambria Math" w:hAnsi="Cambria Math"/>
              </w:rPr>
              <m:t>θ</m:t>
            </m:r>
          </m:e>
        </m:acc>
      </m:oMath>
      <w:r w:rsidRPr="00633C80">
        <w:t xml:space="preserve"> is the count total and </w:t>
      </w:r>
      <m:oMath>
        <m:acc>
          <m:accPr>
            <m:ctrlPr>
              <w:rPr>
                <w:rFonts w:ascii="Cambria Math" w:hAnsi="Cambria Math"/>
                <w:i/>
              </w:rPr>
            </m:ctrlPr>
          </m:accPr>
          <m:e>
            <m:r>
              <w:rPr>
                <w:rFonts w:ascii="Cambria Math" w:hAnsi="Cambria Math"/>
              </w:rPr>
              <m:t>V</m:t>
            </m:r>
          </m:e>
        </m:acc>
        <m:r>
          <w:rPr>
            <w:rFonts w:ascii="Cambria Math" w:hAnsi="Cambria Math"/>
          </w:rPr>
          <m:t>(</m:t>
        </m:r>
        <m:acc>
          <m:accPr>
            <m:ctrlPr>
              <w:rPr>
                <w:rFonts w:ascii="Cambria Math" w:hAnsi="Cambria Math"/>
                <w:i/>
              </w:rPr>
            </m:ctrlPr>
          </m:accPr>
          <m:e>
            <m:r>
              <w:rPr>
                <w:rFonts w:ascii="Cambria Math" w:hAnsi="Cambria Math"/>
              </w:rPr>
              <m:t>θ</m:t>
            </m:r>
          </m:e>
        </m:acc>
        <m:r>
          <w:rPr>
            <w:rFonts w:ascii="Cambria Math" w:hAnsi="Cambria Math"/>
          </w:rPr>
          <m:t>)</m:t>
        </m:r>
      </m:oMath>
      <w:r w:rsidRPr="00633C80">
        <w:t xml:space="preserve"> is the variance of the count total estimator,</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f>
              <m:fPr>
                <m:type m:val="lin"/>
                <m:ctrlPr>
                  <w:rPr>
                    <w:rFonts w:ascii="Cambria Math" w:hAnsi="Cambria Math"/>
                    <w:i/>
                  </w:rPr>
                </m:ctrlPr>
              </m:fPr>
              <m:num>
                <m:r>
                  <w:rPr>
                    <w:rFonts w:ascii="Cambria Math" w:hAnsi="Cambria Math"/>
                  </w:rPr>
                  <m:t>α</m:t>
                </m:r>
              </m:num>
              <m:den>
                <m:r>
                  <w:rPr>
                    <w:rFonts w:ascii="Cambria Math" w:hAnsi="Cambria Math"/>
                  </w:rPr>
                  <m:t>2</m:t>
                </m:r>
              </m:den>
            </m:f>
          </m:sub>
        </m:sSub>
      </m:oMath>
      <w:r w:rsidRPr="00633C80">
        <w:t xml:space="preserve"> is a two-sided t statistic corresponding to a significance level of α with n − 1 degrees of freedom.</w:t>
      </w:r>
    </w:p>
  </w:endnote>
  <w:endnote w:id="13">
    <w:p w14:paraId="7EA8CA58" w14:textId="246B9687" w:rsidR="00F9579C" w:rsidRDefault="00F9579C">
      <w:pPr>
        <w:pStyle w:val="EndnoteText"/>
      </w:pPr>
      <w:r>
        <w:rPr>
          <w:rStyle w:val="EndnoteReference"/>
        </w:rPr>
        <w:endnoteRef/>
      </w:r>
      <w:r>
        <w:t xml:space="preserve"> For England and Wales; Feinstein quotes all-UK. Feinstein (1972) was only able to access the published data on non-corporate numbers and working population from the Census publications and seems to have ignored their gaps in sector coverage of employers and non-responses. Detailed minor adjustments of his estimates are the subject of further research. </w:t>
      </w:r>
    </w:p>
  </w:endnote>
  <w:endnote w:id="14">
    <w:p w14:paraId="30642AF0" w14:textId="5C6310E7" w:rsidR="00F9579C" w:rsidRDefault="00F9579C">
      <w:pPr>
        <w:pStyle w:val="EndnoteText"/>
      </w:pPr>
      <w:r>
        <w:rPr>
          <w:rStyle w:val="EndnoteReference"/>
        </w:rPr>
        <w:endnoteRef/>
      </w:r>
      <w:r>
        <w:t xml:space="preserve"> The 17 counties were rescaled here using the same proportion they constituted in 1851 (34.3%), the only previous year with published farm employer numbers.</w:t>
      </w:r>
    </w:p>
  </w:endnote>
  <w:endnote w:id="15">
    <w:p w14:paraId="595BF220" w14:textId="494E1615" w:rsidR="00F9579C" w:rsidRDefault="00F9579C">
      <w:pPr>
        <w:pStyle w:val="EndnoteText"/>
      </w:pPr>
      <w:r>
        <w:rPr>
          <w:rStyle w:val="EndnoteReference"/>
        </w:rPr>
        <w:endnoteRef/>
      </w:r>
      <w:r>
        <w:t xml:space="preserve"> e.g. </w:t>
      </w:r>
      <w:r w:rsidRPr="00E1365F">
        <w:rPr>
          <w:i/>
        </w:rPr>
        <w:t xml:space="preserve">Kelly's Directory of the Building Trades ..., </w:t>
      </w:r>
      <w:r w:rsidRPr="00E1365F">
        <w:t>Kelly &amp; Co., London</w:t>
      </w:r>
      <w:r>
        <w:t xml:space="preserve">; </w:t>
      </w:r>
      <w:r w:rsidRPr="00E1365F">
        <w:rPr>
          <w:i/>
        </w:rPr>
        <w:t>Law List</w:t>
      </w:r>
      <w:r>
        <w:t xml:space="preserve"> for solicitors and barristers; </w:t>
      </w:r>
      <w:r w:rsidRPr="00E1365F">
        <w:rPr>
          <w:i/>
        </w:rPr>
        <w:t>Medical Register</w:t>
      </w:r>
      <w:r>
        <w:t>.</w:t>
      </w:r>
    </w:p>
  </w:endnote>
  <w:endnote w:id="16">
    <w:p w14:paraId="63D45B6C" w14:textId="5F00F6A6" w:rsidR="00F9579C" w:rsidRDefault="00F9579C">
      <w:pPr>
        <w:pStyle w:val="EndnoteText"/>
      </w:pPr>
      <w:r>
        <w:rPr>
          <w:rStyle w:val="EndnoteReference"/>
        </w:rPr>
        <w:endnoteRef/>
      </w:r>
      <w:r>
        <w:t xml:space="preserve"> Noted for agricultural workers, but would have had minor effects on other trades; </w:t>
      </w:r>
      <w:r w:rsidRPr="00032685">
        <w:t>PP, 1913:</w:t>
      </w:r>
      <w:r w:rsidRPr="00694FD4">
        <w:t xml:space="preserve"> </w:t>
      </w:r>
      <w:r>
        <w:t>114</w:t>
      </w:r>
      <w:r w:rsidRPr="00694FD4">
        <w:t>.</w:t>
      </w:r>
    </w:p>
  </w:endnote>
  <w:endnote w:id="17">
    <w:p w14:paraId="0DFFD365" w14:textId="14AA0B05" w:rsidR="00F9579C" w:rsidRDefault="00F9579C">
      <w:pPr>
        <w:pStyle w:val="EndnoteText"/>
      </w:pPr>
      <w:r>
        <w:rPr>
          <w:rStyle w:val="EndnoteReference"/>
        </w:rPr>
        <w:endnoteRef/>
      </w:r>
      <w:r>
        <w:t xml:space="preserve"> N</w:t>
      </w:r>
      <w:r w:rsidRPr="00397CD0">
        <w:t xml:space="preserve">ote that although the I-CeM </w:t>
      </w:r>
      <w:r>
        <w:t>musician O</w:t>
      </w:r>
      <w:r w:rsidRPr="00397CD0">
        <w:t xml:space="preserve">ccode </w:t>
      </w:r>
      <w:r>
        <w:t>states</w:t>
      </w:r>
      <w:r w:rsidRPr="00397CD0">
        <w:t xml:space="preserve"> it </w:t>
      </w:r>
      <w:r>
        <w:t xml:space="preserve">excludes </w:t>
      </w:r>
      <w:r w:rsidRPr="00397CD0">
        <w:t xml:space="preserve">music teachers, in reality </w:t>
      </w:r>
      <w:r>
        <w:t>many</w:t>
      </w:r>
      <w:r w:rsidRPr="00397CD0">
        <w:t xml:space="preserve"> music teachers </w:t>
      </w:r>
      <w:r>
        <w:t>are included; some</w:t>
      </w:r>
      <w:r w:rsidRPr="00397CD0">
        <w:t xml:space="preserve"> 13,000 of 20,000 </w:t>
      </w:r>
      <w:r>
        <w:t xml:space="preserve">employers and own </w:t>
      </w:r>
      <w:r w:rsidR="00984893">
        <w:t xml:space="preserve">account </w:t>
      </w:r>
      <w:r w:rsidR="00984893" w:rsidRPr="00397CD0">
        <w:t>in</w:t>
      </w:r>
      <w:r w:rsidRPr="00397CD0">
        <w:t xml:space="preserve"> that occode</w:t>
      </w:r>
      <w:r>
        <w:t xml:space="preserve"> in 1901</w:t>
      </w:r>
      <w:r w:rsidRPr="00397CD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0CF4" w14:textId="77777777" w:rsidR="00F9579C" w:rsidRDefault="00F9579C" w:rsidP="00E6468D">
    <w:pPr>
      <w:pStyle w:val="Footer"/>
      <w:jc w:val="center"/>
    </w:pPr>
  </w:p>
  <w:p w14:paraId="30AB94E1" w14:textId="77777777" w:rsidR="00F9579C" w:rsidRDefault="00F9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1A50F" w14:textId="77777777" w:rsidR="00F85767" w:rsidRDefault="00F85767" w:rsidP="00DD63BE">
      <w:r>
        <w:separator/>
      </w:r>
    </w:p>
  </w:footnote>
  <w:footnote w:type="continuationSeparator" w:id="0">
    <w:p w14:paraId="501A8773" w14:textId="77777777" w:rsidR="00F85767" w:rsidRDefault="00F85767" w:rsidP="00DD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47930"/>
      <w:docPartObj>
        <w:docPartGallery w:val="Page Numbers (Top of Page)"/>
        <w:docPartUnique/>
      </w:docPartObj>
    </w:sdtPr>
    <w:sdtEndPr>
      <w:rPr>
        <w:noProof/>
      </w:rPr>
    </w:sdtEndPr>
    <w:sdtContent>
      <w:p w14:paraId="55D4034D" w14:textId="3AF9919F" w:rsidR="00F9579C" w:rsidRDefault="00F9579C">
        <w:pPr>
          <w:pStyle w:val="Header"/>
          <w:jc w:val="right"/>
        </w:pPr>
        <w:r>
          <w:fldChar w:fldCharType="begin"/>
        </w:r>
        <w:r>
          <w:instrText xml:space="preserve"> PAGE   \* MERGEFORMAT </w:instrText>
        </w:r>
        <w:r>
          <w:fldChar w:fldCharType="separate"/>
        </w:r>
        <w:r w:rsidR="001F2F29">
          <w:rPr>
            <w:noProof/>
          </w:rPr>
          <w:t>51</w:t>
        </w:r>
        <w:r>
          <w:rPr>
            <w:noProof/>
          </w:rPr>
          <w:fldChar w:fldCharType="end"/>
        </w:r>
      </w:p>
    </w:sdtContent>
  </w:sdt>
  <w:p w14:paraId="2B7342D4" w14:textId="77777777" w:rsidR="00F9579C" w:rsidRDefault="00F9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FACC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D0CA3"/>
    <w:multiLevelType w:val="hybridMultilevel"/>
    <w:tmpl w:val="2ED86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95397"/>
    <w:multiLevelType w:val="hybridMultilevel"/>
    <w:tmpl w:val="993876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A51D3"/>
    <w:multiLevelType w:val="hybridMultilevel"/>
    <w:tmpl w:val="D6E23DEA"/>
    <w:lvl w:ilvl="0" w:tplc="66507A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3D3E2E9D"/>
    <w:multiLevelType w:val="hybridMultilevel"/>
    <w:tmpl w:val="824C3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Smith">
    <w15:presenceInfo w15:providerId="Windows Live" w15:userId="de8e4dfbd8caf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A8"/>
    <w:rsid w:val="00001E86"/>
    <w:rsid w:val="0000572D"/>
    <w:rsid w:val="0000642B"/>
    <w:rsid w:val="00007B8B"/>
    <w:rsid w:val="000105AC"/>
    <w:rsid w:val="00012B16"/>
    <w:rsid w:val="000141DD"/>
    <w:rsid w:val="0001457C"/>
    <w:rsid w:val="000149CC"/>
    <w:rsid w:val="00021581"/>
    <w:rsid w:val="00021A00"/>
    <w:rsid w:val="0002266D"/>
    <w:rsid w:val="00023D60"/>
    <w:rsid w:val="000244AE"/>
    <w:rsid w:val="00024C9C"/>
    <w:rsid w:val="00024F9A"/>
    <w:rsid w:val="00025209"/>
    <w:rsid w:val="0003007B"/>
    <w:rsid w:val="000310C0"/>
    <w:rsid w:val="00031D6B"/>
    <w:rsid w:val="00032685"/>
    <w:rsid w:val="00032D13"/>
    <w:rsid w:val="000346C1"/>
    <w:rsid w:val="00034CD9"/>
    <w:rsid w:val="00035480"/>
    <w:rsid w:val="000355D1"/>
    <w:rsid w:val="0003565A"/>
    <w:rsid w:val="0003766F"/>
    <w:rsid w:val="0004102D"/>
    <w:rsid w:val="0004372D"/>
    <w:rsid w:val="00044729"/>
    <w:rsid w:val="00046056"/>
    <w:rsid w:val="0004636B"/>
    <w:rsid w:val="00050758"/>
    <w:rsid w:val="0005255B"/>
    <w:rsid w:val="00055277"/>
    <w:rsid w:val="00057DD3"/>
    <w:rsid w:val="00060937"/>
    <w:rsid w:val="000617CE"/>
    <w:rsid w:val="00062D6D"/>
    <w:rsid w:val="00064E77"/>
    <w:rsid w:val="00065893"/>
    <w:rsid w:val="000663D3"/>
    <w:rsid w:val="000668D3"/>
    <w:rsid w:val="00066C94"/>
    <w:rsid w:val="00066E42"/>
    <w:rsid w:val="000735C3"/>
    <w:rsid w:val="00073E04"/>
    <w:rsid w:val="000742D1"/>
    <w:rsid w:val="000744AA"/>
    <w:rsid w:val="00074BD2"/>
    <w:rsid w:val="00075647"/>
    <w:rsid w:val="00075E47"/>
    <w:rsid w:val="00076146"/>
    <w:rsid w:val="0007700B"/>
    <w:rsid w:val="00077044"/>
    <w:rsid w:val="0007748D"/>
    <w:rsid w:val="00080BA6"/>
    <w:rsid w:val="00081224"/>
    <w:rsid w:val="00082C33"/>
    <w:rsid w:val="000832CB"/>
    <w:rsid w:val="00083338"/>
    <w:rsid w:val="0008378B"/>
    <w:rsid w:val="00083EDE"/>
    <w:rsid w:val="0009426B"/>
    <w:rsid w:val="00094FE7"/>
    <w:rsid w:val="000954A1"/>
    <w:rsid w:val="000959AD"/>
    <w:rsid w:val="000A1D8D"/>
    <w:rsid w:val="000A4332"/>
    <w:rsid w:val="000A4CA7"/>
    <w:rsid w:val="000A560F"/>
    <w:rsid w:val="000A6BB6"/>
    <w:rsid w:val="000B1403"/>
    <w:rsid w:val="000B15CE"/>
    <w:rsid w:val="000B24EA"/>
    <w:rsid w:val="000B3127"/>
    <w:rsid w:val="000B4CD8"/>
    <w:rsid w:val="000B4E39"/>
    <w:rsid w:val="000B5BC5"/>
    <w:rsid w:val="000B6091"/>
    <w:rsid w:val="000C0029"/>
    <w:rsid w:val="000C0059"/>
    <w:rsid w:val="000C09ED"/>
    <w:rsid w:val="000C0FBF"/>
    <w:rsid w:val="000C1D85"/>
    <w:rsid w:val="000C4E0A"/>
    <w:rsid w:val="000C51CE"/>
    <w:rsid w:val="000C5593"/>
    <w:rsid w:val="000C57D7"/>
    <w:rsid w:val="000C5CE6"/>
    <w:rsid w:val="000C6C0A"/>
    <w:rsid w:val="000C6F6E"/>
    <w:rsid w:val="000C7ADD"/>
    <w:rsid w:val="000C7BC2"/>
    <w:rsid w:val="000D1164"/>
    <w:rsid w:val="000D149B"/>
    <w:rsid w:val="000D34DB"/>
    <w:rsid w:val="000D3A02"/>
    <w:rsid w:val="000D456B"/>
    <w:rsid w:val="000D463C"/>
    <w:rsid w:val="000D57A2"/>
    <w:rsid w:val="000D6845"/>
    <w:rsid w:val="000D7152"/>
    <w:rsid w:val="000E00C8"/>
    <w:rsid w:val="000E059A"/>
    <w:rsid w:val="000E0F51"/>
    <w:rsid w:val="000E190E"/>
    <w:rsid w:val="000E2B58"/>
    <w:rsid w:val="000E2F67"/>
    <w:rsid w:val="000E3932"/>
    <w:rsid w:val="000E4FC6"/>
    <w:rsid w:val="000E5508"/>
    <w:rsid w:val="000F10C8"/>
    <w:rsid w:val="000F2144"/>
    <w:rsid w:val="000F2B1D"/>
    <w:rsid w:val="000F2F73"/>
    <w:rsid w:val="000F3C01"/>
    <w:rsid w:val="000F5226"/>
    <w:rsid w:val="000F622B"/>
    <w:rsid w:val="000F6324"/>
    <w:rsid w:val="000F73AB"/>
    <w:rsid w:val="00100A54"/>
    <w:rsid w:val="00101222"/>
    <w:rsid w:val="00101372"/>
    <w:rsid w:val="00103796"/>
    <w:rsid w:val="00106115"/>
    <w:rsid w:val="0010710D"/>
    <w:rsid w:val="00110D1B"/>
    <w:rsid w:val="001118FA"/>
    <w:rsid w:val="00111F8F"/>
    <w:rsid w:val="00114321"/>
    <w:rsid w:val="00122057"/>
    <w:rsid w:val="001254B3"/>
    <w:rsid w:val="00125609"/>
    <w:rsid w:val="00130142"/>
    <w:rsid w:val="001304BC"/>
    <w:rsid w:val="001334F8"/>
    <w:rsid w:val="00134415"/>
    <w:rsid w:val="00136502"/>
    <w:rsid w:val="0014042D"/>
    <w:rsid w:val="001428B9"/>
    <w:rsid w:val="001431A8"/>
    <w:rsid w:val="00143478"/>
    <w:rsid w:val="001436B8"/>
    <w:rsid w:val="00143CD6"/>
    <w:rsid w:val="001456CA"/>
    <w:rsid w:val="00147740"/>
    <w:rsid w:val="00150642"/>
    <w:rsid w:val="00151E53"/>
    <w:rsid w:val="00157569"/>
    <w:rsid w:val="001631E2"/>
    <w:rsid w:val="00163879"/>
    <w:rsid w:val="00165D64"/>
    <w:rsid w:val="0016642F"/>
    <w:rsid w:val="001673FB"/>
    <w:rsid w:val="00171884"/>
    <w:rsid w:val="00171BE7"/>
    <w:rsid w:val="001725FC"/>
    <w:rsid w:val="00172D63"/>
    <w:rsid w:val="001741D2"/>
    <w:rsid w:val="00177617"/>
    <w:rsid w:val="00177E1E"/>
    <w:rsid w:val="00180E00"/>
    <w:rsid w:val="001812A3"/>
    <w:rsid w:val="00184EC4"/>
    <w:rsid w:val="00185214"/>
    <w:rsid w:val="00186245"/>
    <w:rsid w:val="00190D21"/>
    <w:rsid w:val="00191F2F"/>
    <w:rsid w:val="00192B6B"/>
    <w:rsid w:val="0019406C"/>
    <w:rsid w:val="00194829"/>
    <w:rsid w:val="00194A86"/>
    <w:rsid w:val="00195718"/>
    <w:rsid w:val="00196702"/>
    <w:rsid w:val="0019695B"/>
    <w:rsid w:val="001A179A"/>
    <w:rsid w:val="001A562F"/>
    <w:rsid w:val="001A6B89"/>
    <w:rsid w:val="001A781F"/>
    <w:rsid w:val="001B0141"/>
    <w:rsid w:val="001B0529"/>
    <w:rsid w:val="001B124C"/>
    <w:rsid w:val="001B273F"/>
    <w:rsid w:val="001B4597"/>
    <w:rsid w:val="001B52AF"/>
    <w:rsid w:val="001B59E5"/>
    <w:rsid w:val="001B64A7"/>
    <w:rsid w:val="001B7BCC"/>
    <w:rsid w:val="001C189C"/>
    <w:rsid w:val="001C37F2"/>
    <w:rsid w:val="001C4223"/>
    <w:rsid w:val="001C4D3A"/>
    <w:rsid w:val="001C56AF"/>
    <w:rsid w:val="001C59C9"/>
    <w:rsid w:val="001C6A6D"/>
    <w:rsid w:val="001C77DF"/>
    <w:rsid w:val="001D148F"/>
    <w:rsid w:val="001D241B"/>
    <w:rsid w:val="001D24A1"/>
    <w:rsid w:val="001D3141"/>
    <w:rsid w:val="001D3DB7"/>
    <w:rsid w:val="001E1115"/>
    <w:rsid w:val="001E3D39"/>
    <w:rsid w:val="001E5576"/>
    <w:rsid w:val="001E7059"/>
    <w:rsid w:val="001E7651"/>
    <w:rsid w:val="001E76E4"/>
    <w:rsid w:val="001E7764"/>
    <w:rsid w:val="001E7990"/>
    <w:rsid w:val="001E7D2C"/>
    <w:rsid w:val="001F14CD"/>
    <w:rsid w:val="001F2F29"/>
    <w:rsid w:val="001F3B65"/>
    <w:rsid w:val="001F52E0"/>
    <w:rsid w:val="00203EC2"/>
    <w:rsid w:val="0020547C"/>
    <w:rsid w:val="002079F0"/>
    <w:rsid w:val="0021078E"/>
    <w:rsid w:val="002114F7"/>
    <w:rsid w:val="0021447C"/>
    <w:rsid w:val="002161B7"/>
    <w:rsid w:val="0021620E"/>
    <w:rsid w:val="00220713"/>
    <w:rsid w:val="0022643D"/>
    <w:rsid w:val="00226D39"/>
    <w:rsid w:val="00226D9C"/>
    <w:rsid w:val="002275F1"/>
    <w:rsid w:val="002276E6"/>
    <w:rsid w:val="0023049B"/>
    <w:rsid w:val="00231DB9"/>
    <w:rsid w:val="00232BCF"/>
    <w:rsid w:val="002366EF"/>
    <w:rsid w:val="0023744D"/>
    <w:rsid w:val="00237B47"/>
    <w:rsid w:val="002402C3"/>
    <w:rsid w:val="00241846"/>
    <w:rsid w:val="00242E75"/>
    <w:rsid w:val="002434B3"/>
    <w:rsid w:val="002434F6"/>
    <w:rsid w:val="00243C73"/>
    <w:rsid w:val="00247489"/>
    <w:rsid w:val="00247AA3"/>
    <w:rsid w:val="00247C83"/>
    <w:rsid w:val="0025010D"/>
    <w:rsid w:val="0025091E"/>
    <w:rsid w:val="00252563"/>
    <w:rsid w:val="00252E19"/>
    <w:rsid w:val="002543E4"/>
    <w:rsid w:val="002547D2"/>
    <w:rsid w:val="0025630B"/>
    <w:rsid w:val="00257E63"/>
    <w:rsid w:val="00260596"/>
    <w:rsid w:val="00261969"/>
    <w:rsid w:val="00262885"/>
    <w:rsid w:val="00262A77"/>
    <w:rsid w:val="00263DAD"/>
    <w:rsid w:val="0026416D"/>
    <w:rsid w:val="002645B8"/>
    <w:rsid w:val="00265A88"/>
    <w:rsid w:val="002672AE"/>
    <w:rsid w:val="00267DD1"/>
    <w:rsid w:val="002726CD"/>
    <w:rsid w:val="0027329A"/>
    <w:rsid w:val="002745CA"/>
    <w:rsid w:val="00277294"/>
    <w:rsid w:val="00277585"/>
    <w:rsid w:val="0028093F"/>
    <w:rsid w:val="0028289D"/>
    <w:rsid w:val="00282A7D"/>
    <w:rsid w:val="002830DB"/>
    <w:rsid w:val="00283441"/>
    <w:rsid w:val="00283DB8"/>
    <w:rsid w:val="0028468F"/>
    <w:rsid w:val="00285624"/>
    <w:rsid w:val="00286CB5"/>
    <w:rsid w:val="00287F0D"/>
    <w:rsid w:val="00291E56"/>
    <w:rsid w:val="00295E8D"/>
    <w:rsid w:val="00297169"/>
    <w:rsid w:val="002A2C63"/>
    <w:rsid w:val="002A4083"/>
    <w:rsid w:val="002A4FA4"/>
    <w:rsid w:val="002A4FB0"/>
    <w:rsid w:val="002A7584"/>
    <w:rsid w:val="002A7D26"/>
    <w:rsid w:val="002B05A5"/>
    <w:rsid w:val="002B0656"/>
    <w:rsid w:val="002B37D9"/>
    <w:rsid w:val="002B53EA"/>
    <w:rsid w:val="002B5B5A"/>
    <w:rsid w:val="002B5FAD"/>
    <w:rsid w:val="002B6478"/>
    <w:rsid w:val="002B6E49"/>
    <w:rsid w:val="002B7EDF"/>
    <w:rsid w:val="002C11FB"/>
    <w:rsid w:val="002C2634"/>
    <w:rsid w:val="002C2CF6"/>
    <w:rsid w:val="002C2D55"/>
    <w:rsid w:val="002C31B0"/>
    <w:rsid w:val="002C5A0F"/>
    <w:rsid w:val="002C659B"/>
    <w:rsid w:val="002D2AA3"/>
    <w:rsid w:val="002D32B9"/>
    <w:rsid w:val="002D4549"/>
    <w:rsid w:val="002D4FF9"/>
    <w:rsid w:val="002D5513"/>
    <w:rsid w:val="002D55BE"/>
    <w:rsid w:val="002D6DF2"/>
    <w:rsid w:val="002E0228"/>
    <w:rsid w:val="002E1453"/>
    <w:rsid w:val="002E1734"/>
    <w:rsid w:val="002E3365"/>
    <w:rsid w:val="002E6CA0"/>
    <w:rsid w:val="002E790E"/>
    <w:rsid w:val="002F46DE"/>
    <w:rsid w:val="002F4D44"/>
    <w:rsid w:val="002F4E4B"/>
    <w:rsid w:val="002F5960"/>
    <w:rsid w:val="002F671B"/>
    <w:rsid w:val="002F6D62"/>
    <w:rsid w:val="002F7909"/>
    <w:rsid w:val="0030165A"/>
    <w:rsid w:val="00301894"/>
    <w:rsid w:val="00301CC6"/>
    <w:rsid w:val="003025AC"/>
    <w:rsid w:val="003031E4"/>
    <w:rsid w:val="0030552F"/>
    <w:rsid w:val="00305BB3"/>
    <w:rsid w:val="00306450"/>
    <w:rsid w:val="00306AA6"/>
    <w:rsid w:val="00306B57"/>
    <w:rsid w:val="00310059"/>
    <w:rsid w:val="00310339"/>
    <w:rsid w:val="00310F03"/>
    <w:rsid w:val="00313AE3"/>
    <w:rsid w:val="00314C6A"/>
    <w:rsid w:val="00315A4B"/>
    <w:rsid w:val="00315B15"/>
    <w:rsid w:val="003163C8"/>
    <w:rsid w:val="00316AB2"/>
    <w:rsid w:val="00320522"/>
    <w:rsid w:val="00320BE2"/>
    <w:rsid w:val="003258F6"/>
    <w:rsid w:val="00325CB7"/>
    <w:rsid w:val="0032744B"/>
    <w:rsid w:val="00330E43"/>
    <w:rsid w:val="0033135D"/>
    <w:rsid w:val="003318B2"/>
    <w:rsid w:val="00331FA5"/>
    <w:rsid w:val="00332E7B"/>
    <w:rsid w:val="00334AAA"/>
    <w:rsid w:val="0033625B"/>
    <w:rsid w:val="00336747"/>
    <w:rsid w:val="003377D1"/>
    <w:rsid w:val="00340745"/>
    <w:rsid w:val="00341F89"/>
    <w:rsid w:val="003426BC"/>
    <w:rsid w:val="00342D0C"/>
    <w:rsid w:val="00343304"/>
    <w:rsid w:val="00345E7F"/>
    <w:rsid w:val="0035198D"/>
    <w:rsid w:val="003539ED"/>
    <w:rsid w:val="00355C9B"/>
    <w:rsid w:val="0035682A"/>
    <w:rsid w:val="00362096"/>
    <w:rsid w:val="00363851"/>
    <w:rsid w:val="00366041"/>
    <w:rsid w:val="00367284"/>
    <w:rsid w:val="00367EA2"/>
    <w:rsid w:val="003722F9"/>
    <w:rsid w:val="00373B75"/>
    <w:rsid w:val="00373EA4"/>
    <w:rsid w:val="003744D2"/>
    <w:rsid w:val="003749F4"/>
    <w:rsid w:val="00380B35"/>
    <w:rsid w:val="003816A4"/>
    <w:rsid w:val="00381F72"/>
    <w:rsid w:val="00382F6E"/>
    <w:rsid w:val="003842AF"/>
    <w:rsid w:val="00384AC4"/>
    <w:rsid w:val="003856F6"/>
    <w:rsid w:val="00385FA6"/>
    <w:rsid w:val="00386970"/>
    <w:rsid w:val="0038702E"/>
    <w:rsid w:val="00387598"/>
    <w:rsid w:val="003903AC"/>
    <w:rsid w:val="00390F32"/>
    <w:rsid w:val="00391537"/>
    <w:rsid w:val="00393A2E"/>
    <w:rsid w:val="00393FEC"/>
    <w:rsid w:val="00396291"/>
    <w:rsid w:val="00397CD0"/>
    <w:rsid w:val="003A2155"/>
    <w:rsid w:val="003A5669"/>
    <w:rsid w:val="003B2328"/>
    <w:rsid w:val="003B3317"/>
    <w:rsid w:val="003B3DE2"/>
    <w:rsid w:val="003B5364"/>
    <w:rsid w:val="003B5F3E"/>
    <w:rsid w:val="003B6056"/>
    <w:rsid w:val="003B68D4"/>
    <w:rsid w:val="003C0AAE"/>
    <w:rsid w:val="003C2D88"/>
    <w:rsid w:val="003C367B"/>
    <w:rsid w:val="003C5196"/>
    <w:rsid w:val="003C6D7F"/>
    <w:rsid w:val="003C73BE"/>
    <w:rsid w:val="003D1AF0"/>
    <w:rsid w:val="003D396C"/>
    <w:rsid w:val="003D5C42"/>
    <w:rsid w:val="003D62BF"/>
    <w:rsid w:val="003D665F"/>
    <w:rsid w:val="003D6739"/>
    <w:rsid w:val="003D6973"/>
    <w:rsid w:val="003D7847"/>
    <w:rsid w:val="003E4680"/>
    <w:rsid w:val="003E4E76"/>
    <w:rsid w:val="003E50E0"/>
    <w:rsid w:val="003E60C3"/>
    <w:rsid w:val="003E64B7"/>
    <w:rsid w:val="003E67A9"/>
    <w:rsid w:val="003F1CCB"/>
    <w:rsid w:val="003F1EFE"/>
    <w:rsid w:val="003F560A"/>
    <w:rsid w:val="003F5BB5"/>
    <w:rsid w:val="00400711"/>
    <w:rsid w:val="00402278"/>
    <w:rsid w:val="0040241C"/>
    <w:rsid w:val="00405F2B"/>
    <w:rsid w:val="004065F8"/>
    <w:rsid w:val="00411B4A"/>
    <w:rsid w:val="00413093"/>
    <w:rsid w:val="00414801"/>
    <w:rsid w:val="00417D0C"/>
    <w:rsid w:val="004203B6"/>
    <w:rsid w:val="00422900"/>
    <w:rsid w:val="0042348B"/>
    <w:rsid w:val="004247A9"/>
    <w:rsid w:val="00430193"/>
    <w:rsid w:val="00430AA3"/>
    <w:rsid w:val="004324A7"/>
    <w:rsid w:val="0043273D"/>
    <w:rsid w:val="00432D29"/>
    <w:rsid w:val="004348E0"/>
    <w:rsid w:val="00435090"/>
    <w:rsid w:val="00436C5A"/>
    <w:rsid w:val="00436FC1"/>
    <w:rsid w:val="00437FCE"/>
    <w:rsid w:val="00442A5A"/>
    <w:rsid w:val="00443AD9"/>
    <w:rsid w:val="0044573D"/>
    <w:rsid w:val="00446181"/>
    <w:rsid w:val="004501F1"/>
    <w:rsid w:val="00451B45"/>
    <w:rsid w:val="00452F5B"/>
    <w:rsid w:val="004535CC"/>
    <w:rsid w:val="0045441F"/>
    <w:rsid w:val="0046134D"/>
    <w:rsid w:val="00461391"/>
    <w:rsid w:val="00464100"/>
    <w:rsid w:val="00465C13"/>
    <w:rsid w:val="00465E8C"/>
    <w:rsid w:val="00470378"/>
    <w:rsid w:val="00470F63"/>
    <w:rsid w:val="004715C0"/>
    <w:rsid w:val="00472802"/>
    <w:rsid w:val="004743CC"/>
    <w:rsid w:val="004747E0"/>
    <w:rsid w:val="004756D0"/>
    <w:rsid w:val="0047754E"/>
    <w:rsid w:val="0047756F"/>
    <w:rsid w:val="004778FA"/>
    <w:rsid w:val="00480BB4"/>
    <w:rsid w:val="00482AA2"/>
    <w:rsid w:val="00482BBD"/>
    <w:rsid w:val="00483512"/>
    <w:rsid w:val="0048384B"/>
    <w:rsid w:val="004841EF"/>
    <w:rsid w:val="00484288"/>
    <w:rsid w:val="00484909"/>
    <w:rsid w:val="00485EF4"/>
    <w:rsid w:val="00486D93"/>
    <w:rsid w:val="0049021F"/>
    <w:rsid w:val="004908A7"/>
    <w:rsid w:val="00490B1F"/>
    <w:rsid w:val="004927BE"/>
    <w:rsid w:val="004938AC"/>
    <w:rsid w:val="00494781"/>
    <w:rsid w:val="0049488F"/>
    <w:rsid w:val="004954EF"/>
    <w:rsid w:val="00496616"/>
    <w:rsid w:val="004A38D7"/>
    <w:rsid w:val="004A5376"/>
    <w:rsid w:val="004A554B"/>
    <w:rsid w:val="004A5DA8"/>
    <w:rsid w:val="004A77ED"/>
    <w:rsid w:val="004B0302"/>
    <w:rsid w:val="004B0AE1"/>
    <w:rsid w:val="004B15A0"/>
    <w:rsid w:val="004B46A9"/>
    <w:rsid w:val="004B59C0"/>
    <w:rsid w:val="004B5F5B"/>
    <w:rsid w:val="004B60D9"/>
    <w:rsid w:val="004B6E33"/>
    <w:rsid w:val="004B6F22"/>
    <w:rsid w:val="004B6FBC"/>
    <w:rsid w:val="004C162D"/>
    <w:rsid w:val="004C27FA"/>
    <w:rsid w:val="004C3310"/>
    <w:rsid w:val="004C4AE0"/>
    <w:rsid w:val="004C724D"/>
    <w:rsid w:val="004D0BB7"/>
    <w:rsid w:val="004D0E8F"/>
    <w:rsid w:val="004D2377"/>
    <w:rsid w:val="004D2B10"/>
    <w:rsid w:val="004D4CAE"/>
    <w:rsid w:val="004D51D8"/>
    <w:rsid w:val="004D5CDB"/>
    <w:rsid w:val="004D6675"/>
    <w:rsid w:val="004D6CB9"/>
    <w:rsid w:val="004D7986"/>
    <w:rsid w:val="004E006B"/>
    <w:rsid w:val="004E060B"/>
    <w:rsid w:val="004E351B"/>
    <w:rsid w:val="004E5727"/>
    <w:rsid w:val="004E6C17"/>
    <w:rsid w:val="004E6F04"/>
    <w:rsid w:val="004F06AB"/>
    <w:rsid w:val="004F166A"/>
    <w:rsid w:val="004F28E3"/>
    <w:rsid w:val="004F416A"/>
    <w:rsid w:val="004F6721"/>
    <w:rsid w:val="004F6C65"/>
    <w:rsid w:val="004F6D24"/>
    <w:rsid w:val="004F71F9"/>
    <w:rsid w:val="004F79BA"/>
    <w:rsid w:val="00501573"/>
    <w:rsid w:val="00502A04"/>
    <w:rsid w:val="0050320F"/>
    <w:rsid w:val="0050339B"/>
    <w:rsid w:val="00503C5D"/>
    <w:rsid w:val="005044FD"/>
    <w:rsid w:val="00505604"/>
    <w:rsid w:val="005057E2"/>
    <w:rsid w:val="005067E9"/>
    <w:rsid w:val="00506982"/>
    <w:rsid w:val="00506B87"/>
    <w:rsid w:val="00507211"/>
    <w:rsid w:val="0051023C"/>
    <w:rsid w:val="00512953"/>
    <w:rsid w:val="00512B69"/>
    <w:rsid w:val="0051302D"/>
    <w:rsid w:val="00516432"/>
    <w:rsid w:val="005200AE"/>
    <w:rsid w:val="00523D18"/>
    <w:rsid w:val="00525167"/>
    <w:rsid w:val="005358C2"/>
    <w:rsid w:val="00540FD9"/>
    <w:rsid w:val="005413CC"/>
    <w:rsid w:val="00543CBF"/>
    <w:rsid w:val="00544C27"/>
    <w:rsid w:val="005451D6"/>
    <w:rsid w:val="00545604"/>
    <w:rsid w:val="005471EF"/>
    <w:rsid w:val="00547BEE"/>
    <w:rsid w:val="00550B97"/>
    <w:rsid w:val="0055102D"/>
    <w:rsid w:val="00552711"/>
    <w:rsid w:val="00553034"/>
    <w:rsid w:val="00553BC9"/>
    <w:rsid w:val="00553C19"/>
    <w:rsid w:val="005543E0"/>
    <w:rsid w:val="00556DAB"/>
    <w:rsid w:val="00562228"/>
    <w:rsid w:val="005622CF"/>
    <w:rsid w:val="00564311"/>
    <w:rsid w:val="0056605D"/>
    <w:rsid w:val="00566882"/>
    <w:rsid w:val="005672F4"/>
    <w:rsid w:val="0057077F"/>
    <w:rsid w:val="00573FB7"/>
    <w:rsid w:val="00576D0A"/>
    <w:rsid w:val="005778D9"/>
    <w:rsid w:val="00582211"/>
    <w:rsid w:val="00583BDB"/>
    <w:rsid w:val="00583E7E"/>
    <w:rsid w:val="005864E7"/>
    <w:rsid w:val="005868F9"/>
    <w:rsid w:val="00586E16"/>
    <w:rsid w:val="005873E6"/>
    <w:rsid w:val="00587779"/>
    <w:rsid w:val="00587BAA"/>
    <w:rsid w:val="00591E8D"/>
    <w:rsid w:val="005939D0"/>
    <w:rsid w:val="005949E8"/>
    <w:rsid w:val="0059549F"/>
    <w:rsid w:val="005968FC"/>
    <w:rsid w:val="005A24F6"/>
    <w:rsid w:val="005A2755"/>
    <w:rsid w:val="005A2840"/>
    <w:rsid w:val="005A2E44"/>
    <w:rsid w:val="005A4ACB"/>
    <w:rsid w:val="005A4C30"/>
    <w:rsid w:val="005A5D69"/>
    <w:rsid w:val="005A663A"/>
    <w:rsid w:val="005A7CFB"/>
    <w:rsid w:val="005B0B74"/>
    <w:rsid w:val="005B11A2"/>
    <w:rsid w:val="005B32AC"/>
    <w:rsid w:val="005B333D"/>
    <w:rsid w:val="005B4996"/>
    <w:rsid w:val="005C06C2"/>
    <w:rsid w:val="005C07B1"/>
    <w:rsid w:val="005C0EA0"/>
    <w:rsid w:val="005C30E0"/>
    <w:rsid w:val="005C4DBA"/>
    <w:rsid w:val="005C737F"/>
    <w:rsid w:val="005D02AF"/>
    <w:rsid w:val="005D11EA"/>
    <w:rsid w:val="005D46C2"/>
    <w:rsid w:val="005D4EBD"/>
    <w:rsid w:val="005D64D4"/>
    <w:rsid w:val="005D716A"/>
    <w:rsid w:val="005D74C2"/>
    <w:rsid w:val="005D77EF"/>
    <w:rsid w:val="005D7E5E"/>
    <w:rsid w:val="005E0E27"/>
    <w:rsid w:val="005E12A0"/>
    <w:rsid w:val="005E12C4"/>
    <w:rsid w:val="005E194D"/>
    <w:rsid w:val="005E19D9"/>
    <w:rsid w:val="005E3DEC"/>
    <w:rsid w:val="005E40E6"/>
    <w:rsid w:val="005E4745"/>
    <w:rsid w:val="005E5C9F"/>
    <w:rsid w:val="005E5E96"/>
    <w:rsid w:val="005E5F35"/>
    <w:rsid w:val="005E6055"/>
    <w:rsid w:val="005E685E"/>
    <w:rsid w:val="005F00EB"/>
    <w:rsid w:val="005F0A8A"/>
    <w:rsid w:val="005F1F52"/>
    <w:rsid w:val="005F2E8A"/>
    <w:rsid w:val="005F3475"/>
    <w:rsid w:val="005F486A"/>
    <w:rsid w:val="005F6F09"/>
    <w:rsid w:val="00602140"/>
    <w:rsid w:val="00602A90"/>
    <w:rsid w:val="00605170"/>
    <w:rsid w:val="006101BE"/>
    <w:rsid w:val="00610A92"/>
    <w:rsid w:val="00612014"/>
    <w:rsid w:val="00612815"/>
    <w:rsid w:val="00613CA1"/>
    <w:rsid w:val="00613E4D"/>
    <w:rsid w:val="00617A74"/>
    <w:rsid w:val="00620BA0"/>
    <w:rsid w:val="006210F8"/>
    <w:rsid w:val="00621D09"/>
    <w:rsid w:val="00623088"/>
    <w:rsid w:val="006243AE"/>
    <w:rsid w:val="00624485"/>
    <w:rsid w:val="00624E31"/>
    <w:rsid w:val="0062643E"/>
    <w:rsid w:val="00626D0A"/>
    <w:rsid w:val="0063115B"/>
    <w:rsid w:val="00633C80"/>
    <w:rsid w:val="00635F48"/>
    <w:rsid w:val="00637AFE"/>
    <w:rsid w:val="00640B02"/>
    <w:rsid w:val="00640DCA"/>
    <w:rsid w:val="006442A4"/>
    <w:rsid w:val="00644407"/>
    <w:rsid w:val="00644BC7"/>
    <w:rsid w:val="00650673"/>
    <w:rsid w:val="00650A9F"/>
    <w:rsid w:val="006528F6"/>
    <w:rsid w:val="006537B6"/>
    <w:rsid w:val="0065432C"/>
    <w:rsid w:val="006549CC"/>
    <w:rsid w:val="0065509F"/>
    <w:rsid w:val="006578F7"/>
    <w:rsid w:val="006602E5"/>
    <w:rsid w:val="006603BF"/>
    <w:rsid w:val="00660916"/>
    <w:rsid w:val="006613CC"/>
    <w:rsid w:val="006618ED"/>
    <w:rsid w:val="006637B8"/>
    <w:rsid w:val="006646CB"/>
    <w:rsid w:val="0066520E"/>
    <w:rsid w:val="00666511"/>
    <w:rsid w:val="00666C4C"/>
    <w:rsid w:val="00666FF9"/>
    <w:rsid w:val="00670967"/>
    <w:rsid w:val="0067167D"/>
    <w:rsid w:val="006726F7"/>
    <w:rsid w:val="00673D74"/>
    <w:rsid w:val="00674CA4"/>
    <w:rsid w:val="00674E23"/>
    <w:rsid w:val="0067712D"/>
    <w:rsid w:val="00677842"/>
    <w:rsid w:val="00680E70"/>
    <w:rsid w:val="00681D9F"/>
    <w:rsid w:val="00682D79"/>
    <w:rsid w:val="00684699"/>
    <w:rsid w:val="006865CE"/>
    <w:rsid w:val="00686F6F"/>
    <w:rsid w:val="00692BEF"/>
    <w:rsid w:val="00693667"/>
    <w:rsid w:val="00694FD4"/>
    <w:rsid w:val="006954F2"/>
    <w:rsid w:val="0069769B"/>
    <w:rsid w:val="006A26DD"/>
    <w:rsid w:val="006A4496"/>
    <w:rsid w:val="006A5B6D"/>
    <w:rsid w:val="006A5C2D"/>
    <w:rsid w:val="006A6496"/>
    <w:rsid w:val="006A662C"/>
    <w:rsid w:val="006A7869"/>
    <w:rsid w:val="006B048B"/>
    <w:rsid w:val="006B0503"/>
    <w:rsid w:val="006B1D02"/>
    <w:rsid w:val="006B6A77"/>
    <w:rsid w:val="006B7129"/>
    <w:rsid w:val="006C0C71"/>
    <w:rsid w:val="006C3E1A"/>
    <w:rsid w:val="006C3F5C"/>
    <w:rsid w:val="006C7F52"/>
    <w:rsid w:val="006D2338"/>
    <w:rsid w:val="006D3CEF"/>
    <w:rsid w:val="006D40D4"/>
    <w:rsid w:val="006D4869"/>
    <w:rsid w:val="006E32F1"/>
    <w:rsid w:val="006E429D"/>
    <w:rsid w:val="006E5E3D"/>
    <w:rsid w:val="006F025F"/>
    <w:rsid w:val="006F1557"/>
    <w:rsid w:val="006F19A6"/>
    <w:rsid w:val="006F1AE8"/>
    <w:rsid w:val="006F510F"/>
    <w:rsid w:val="006F5379"/>
    <w:rsid w:val="006F7C41"/>
    <w:rsid w:val="00701719"/>
    <w:rsid w:val="00702497"/>
    <w:rsid w:val="0070301D"/>
    <w:rsid w:val="00704117"/>
    <w:rsid w:val="007052BF"/>
    <w:rsid w:val="00705BC6"/>
    <w:rsid w:val="007061A1"/>
    <w:rsid w:val="0070631E"/>
    <w:rsid w:val="007065AB"/>
    <w:rsid w:val="007067AE"/>
    <w:rsid w:val="0071160E"/>
    <w:rsid w:val="00712F70"/>
    <w:rsid w:val="00714105"/>
    <w:rsid w:val="007147E9"/>
    <w:rsid w:val="007157AA"/>
    <w:rsid w:val="00715DBE"/>
    <w:rsid w:val="0071796E"/>
    <w:rsid w:val="00720E48"/>
    <w:rsid w:val="007216C6"/>
    <w:rsid w:val="00721836"/>
    <w:rsid w:val="00726671"/>
    <w:rsid w:val="00727D74"/>
    <w:rsid w:val="00730012"/>
    <w:rsid w:val="007319D3"/>
    <w:rsid w:val="00732D6C"/>
    <w:rsid w:val="0073426B"/>
    <w:rsid w:val="007356F0"/>
    <w:rsid w:val="00737EF7"/>
    <w:rsid w:val="007458CA"/>
    <w:rsid w:val="00745C16"/>
    <w:rsid w:val="00753060"/>
    <w:rsid w:val="00761628"/>
    <w:rsid w:val="00761774"/>
    <w:rsid w:val="00761BE5"/>
    <w:rsid w:val="00770175"/>
    <w:rsid w:val="0077018A"/>
    <w:rsid w:val="007704E7"/>
    <w:rsid w:val="00770619"/>
    <w:rsid w:val="00773422"/>
    <w:rsid w:val="007738D8"/>
    <w:rsid w:val="007748DF"/>
    <w:rsid w:val="00776B9D"/>
    <w:rsid w:val="00777E85"/>
    <w:rsid w:val="00777FE9"/>
    <w:rsid w:val="00781A28"/>
    <w:rsid w:val="0078510F"/>
    <w:rsid w:val="007864D6"/>
    <w:rsid w:val="00790810"/>
    <w:rsid w:val="00790D69"/>
    <w:rsid w:val="00791822"/>
    <w:rsid w:val="00793B63"/>
    <w:rsid w:val="00793E6D"/>
    <w:rsid w:val="007944AE"/>
    <w:rsid w:val="00794BAE"/>
    <w:rsid w:val="00796A06"/>
    <w:rsid w:val="007A204F"/>
    <w:rsid w:val="007A261F"/>
    <w:rsid w:val="007A37BB"/>
    <w:rsid w:val="007A462E"/>
    <w:rsid w:val="007A59B8"/>
    <w:rsid w:val="007A7D5D"/>
    <w:rsid w:val="007B122F"/>
    <w:rsid w:val="007B57A7"/>
    <w:rsid w:val="007B5A8F"/>
    <w:rsid w:val="007B612E"/>
    <w:rsid w:val="007B73FD"/>
    <w:rsid w:val="007B7B67"/>
    <w:rsid w:val="007C003F"/>
    <w:rsid w:val="007C03BC"/>
    <w:rsid w:val="007C1D76"/>
    <w:rsid w:val="007C223C"/>
    <w:rsid w:val="007C3D46"/>
    <w:rsid w:val="007C6DFE"/>
    <w:rsid w:val="007C72B1"/>
    <w:rsid w:val="007D08F6"/>
    <w:rsid w:val="007D1D2D"/>
    <w:rsid w:val="007D4A39"/>
    <w:rsid w:val="007D521C"/>
    <w:rsid w:val="007D6CDA"/>
    <w:rsid w:val="007D738C"/>
    <w:rsid w:val="007D7AC9"/>
    <w:rsid w:val="007E5350"/>
    <w:rsid w:val="007E7418"/>
    <w:rsid w:val="007F157D"/>
    <w:rsid w:val="007F7292"/>
    <w:rsid w:val="007F7843"/>
    <w:rsid w:val="008043B3"/>
    <w:rsid w:val="008057ED"/>
    <w:rsid w:val="008059C6"/>
    <w:rsid w:val="0080619B"/>
    <w:rsid w:val="00806644"/>
    <w:rsid w:val="0080683D"/>
    <w:rsid w:val="00815C6C"/>
    <w:rsid w:val="00816796"/>
    <w:rsid w:val="0081709E"/>
    <w:rsid w:val="00817EBF"/>
    <w:rsid w:val="00821EA1"/>
    <w:rsid w:val="00821F05"/>
    <w:rsid w:val="00822120"/>
    <w:rsid w:val="0082299A"/>
    <w:rsid w:val="00823E3F"/>
    <w:rsid w:val="008250DC"/>
    <w:rsid w:val="0082720E"/>
    <w:rsid w:val="00827B01"/>
    <w:rsid w:val="0083297A"/>
    <w:rsid w:val="00832EF3"/>
    <w:rsid w:val="008366A7"/>
    <w:rsid w:val="00837CFD"/>
    <w:rsid w:val="0084229B"/>
    <w:rsid w:val="00842BED"/>
    <w:rsid w:val="0084441C"/>
    <w:rsid w:val="00844653"/>
    <w:rsid w:val="0084475B"/>
    <w:rsid w:val="00846D6C"/>
    <w:rsid w:val="0084718B"/>
    <w:rsid w:val="008502B0"/>
    <w:rsid w:val="00850532"/>
    <w:rsid w:val="00852D90"/>
    <w:rsid w:val="00853969"/>
    <w:rsid w:val="00854F8F"/>
    <w:rsid w:val="00855B25"/>
    <w:rsid w:val="008568A6"/>
    <w:rsid w:val="00857F1B"/>
    <w:rsid w:val="00861203"/>
    <w:rsid w:val="00862A02"/>
    <w:rsid w:val="00863801"/>
    <w:rsid w:val="00864174"/>
    <w:rsid w:val="0086487D"/>
    <w:rsid w:val="00865AF4"/>
    <w:rsid w:val="0086768F"/>
    <w:rsid w:val="00871CBF"/>
    <w:rsid w:val="00873465"/>
    <w:rsid w:val="008735F3"/>
    <w:rsid w:val="008736A4"/>
    <w:rsid w:val="008742C2"/>
    <w:rsid w:val="00875950"/>
    <w:rsid w:val="00881DD6"/>
    <w:rsid w:val="008822A4"/>
    <w:rsid w:val="0088232C"/>
    <w:rsid w:val="008921A9"/>
    <w:rsid w:val="0089356A"/>
    <w:rsid w:val="00893745"/>
    <w:rsid w:val="00895E37"/>
    <w:rsid w:val="00896207"/>
    <w:rsid w:val="008A117E"/>
    <w:rsid w:val="008A1FED"/>
    <w:rsid w:val="008A3A1F"/>
    <w:rsid w:val="008A590E"/>
    <w:rsid w:val="008B0622"/>
    <w:rsid w:val="008B3984"/>
    <w:rsid w:val="008B4E67"/>
    <w:rsid w:val="008B5311"/>
    <w:rsid w:val="008C4661"/>
    <w:rsid w:val="008C554E"/>
    <w:rsid w:val="008C5B24"/>
    <w:rsid w:val="008C6353"/>
    <w:rsid w:val="008C6E06"/>
    <w:rsid w:val="008C7F01"/>
    <w:rsid w:val="008D06CD"/>
    <w:rsid w:val="008D0CEC"/>
    <w:rsid w:val="008D0FAB"/>
    <w:rsid w:val="008D1653"/>
    <w:rsid w:val="008D22DB"/>
    <w:rsid w:val="008D2431"/>
    <w:rsid w:val="008D31AD"/>
    <w:rsid w:val="008D3825"/>
    <w:rsid w:val="008D3C8A"/>
    <w:rsid w:val="008D5DF3"/>
    <w:rsid w:val="008D600D"/>
    <w:rsid w:val="008D75DC"/>
    <w:rsid w:val="008D781A"/>
    <w:rsid w:val="008D7CCB"/>
    <w:rsid w:val="008D7D21"/>
    <w:rsid w:val="008D7F0D"/>
    <w:rsid w:val="008E1430"/>
    <w:rsid w:val="008E18E4"/>
    <w:rsid w:val="008E2D2A"/>
    <w:rsid w:val="008E3759"/>
    <w:rsid w:val="008E6214"/>
    <w:rsid w:val="008E663C"/>
    <w:rsid w:val="008E69A2"/>
    <w:rsid w:val="008F0BBD"/>
    <w:rsid w:val="008F1BA3"/>
    <w:rsid w:val="008F3E24"/>
    <w:rsid w:val="008F4CC2"/>
    <w:rsid w:val="008F7E32"/>
    <w:rsid w:val="009038ED"/>
    <w:rsid w:val="00904382"/>
    <w:rsid w:val="00904A9A"/>
    <w:rsid w:val="00904E60"/>
    <w:rsid w:val="009063E8"/>
    <w:rsid w:val="00906B30"/>
    <w:rsid w:val="00907853"/>
    <w:rsid w:val="00910FE3"/>
    <w:rsid w:val="009125A7"/>
    <w:rsid w:val="0091372D"/>
    <w:rsid w:val="00915622"/>
    <w:rsid w:val="00916CDA"/>
    <w:rsid w:val="00922E30"/>
    <w:rsid w:val="00923853"/>
    <w:rsid w:val="00925C6A"/>
    <w:rsid w:val="009302FF"/>
    <w:rsid w:val="0093251D"/>
    <w:rsid w:val="00933B24"/>
    <w:rsid w:val="00934F38"/>
    <w:rsid w:val="009359EB"/>
    <w:rsid w:val="00935E61"/>
    <w:rsid w:val="009408A6"/>
    <w:rsid w:val="00940E1F"/>
    <w:rsid w:val="0094292F"/>
    <w:rsid w:val="00942C8C"/>
    <w:rsid w:val="00943739"/>
    <w:rsid w:val="0094489D"/>
    <w:rsid w:val="009450B0"/>
    <w:rsid w:val="009458C6"/>
    <w:rsid w:val="00946027"/>
    <w:rsid w:val="00946B18"/>
    <w:rsid w:val="00947A07"/>
    <w:rsid w:val="00951347"/>
    <w:rsid w:val="009514A9"/>
    <w:rsid w:val="00952725"/>
    <w:rsid w:val="00953230"/>
    <w:rsid w:val="00953400"/>
    <w:rsid w:val="00953D4E"/>
    <w:rsid w:val="00955DFE"/>
    <w:rsid w:val="00956F2A"/>
    <w:rsid w:val="00960096"/>
    <w:rsid w:val="00960BB9"/>
    <w:rsid w:val="00961D0D"/>
    <w:rsid w:val="00962D9C"/>
    <w:rsid w:val="00962EFD"/>
    <w:rsid w:val="00966874"/>
    <w:rsid w:val="00966931"/>
    <w:rsid w:val="00972469"/>
    <w:rsid w:val="00974084"/>
    <w:rsid w:val="009746E9"/>
    <w:rsid w:val="00975BD5"/>
    <w:rsid w:val="00975CD5"/>
    <w:rsid w:val="00975D48"/>
    <w:rsid w:val="00977879"/>
    <w:rsid w:val="00977F69"/>
    <w:rsid w:val="00981C0D"/>
    <w:rsid w:val="00982B83"/>
    <w:rsid w:val="00984893"/>
    <w:rsid w:val="009910F6"/>
    <w:rsid w:val="009912A0"/>
    <w:rsid w:val="0099303C"/>
    <w:rsid w:val="00993FE0"/>
    <w:rsid w:val="00994FED"/>
    <w:rsid w:val="0099606D"/>
    <w:rsid w:val="00997189"/>
    <w:rsid w:val="00997BBB"/>
    <w:rsid w:val="009A130E"/>
    <w:rsid w:val="009A1434"/>
    <w:rsid w:val="009A16E2"/>
    <w:rsid w:val="009A172E"/>
    <w:rsid w:val="009A1801"/>
    <w:rsid w:val="009A25C4"/>
    <w:rsid w:val="009A354F"/>
    <w:rsid w:val="009A5680"/>
    <w:rsid w:val="009A6360"/>
    <w:rsid w:val="009A6942"/>
    <w:rsid w:val="009B0D9A"/>
    <w:rsid w:val="009B1FFC"/>
    <w:rsid w:val="009B2B35"/>
    <w:rsid w:val="009B2EAD"/>
    <w:rsid w:val="009B47BE"/>
    <w:rsid w:val="009B49C2"/>
    <w:rsid w:val="009B4D54"/>
    <w:rsid w:val="009B4E27"/>
    <w:rsid w:val="009B4ED0"/>
    <w:rsid w:val="009B63F4"/>
    <w:rsid w:val="009B6FB0"/>
    <w:rsid w:val="009C2510"/>
    <w:rsid w:val="009C2F80"/>
    <w:rsid w:val="009C301A"/>
    <w:rsid w:val="009C418E"/>
    <w:rsid w:val="009C5A2B"/>
    <w:rsid w:val="009C7EED"/>
    <w:rsid w:val="009D23B2"/>
    <w:rsid w:val="009D2997"/>
    <w:rsid w:val="009D31E7"/>
    <w:rsid w:val="009D3A82"/>
    <w:rsid w:val="009D4C0E"/>
    <w:rsid w:val="009D7E8E"/>
    <w:rsid w:val="009E0092"/>
    <w:rsid w:val="009E0585"/>
    <w:rsid w:val="009E0B96"/>
    <w:rsid w:val="009E1B7A"/>
    <w:rsid w:val="009E22D0"/>
    <w:rsid w:val="009E3079"/>
    <w:rsid w:val="009E327E"/>
    <w:rsid w:val="009E3A97"/>
    <w:rsid w:val="009E4771"/>
    <w:rsid w:val="009E4AD8"/>
    <w:rsid w:val="009E4BFC"/>
    <w:rsid w:val="009E6CE7"/>
    <w:rsid w:val="009E716A"/>
    <w:rsid w:val="009E727B"/>
    <w:rsid w:val="009E7AF6"/>
    <w:rsid w:val="009F0012"/>
    <w:rsid w:val="009F23C5"/>
    <w:rsid w:val="009F35AD"/>
    <w:rsid w:val="009F3937"/>
    <w:rsid w:val="009F5A68"/>
    <w:rsid w:val="009F70C8"/>
    <w:rsid w:val="009F7B28"/>
    <w:rsid w:val="009F7C22"/>
    <w:rsid w:val="009F7F7E"/>
    <w:rsid w:val="00A00103"/>
    <w:rsid w:val="00A021F3"/>
    <w:rsid w:val="00A0303C"/>
    <w:rsid w:val="00A05079"/>
    <w:rsid w:val="00A05B1B"/>
    <w:rsid w:val="00A061F8"/>
    <w:rsid w:val="00A06947"/>
    <w:rsid w:val="00A076E5"/>
    <w:rsid w:val="00A11CB2"/>
    <w:rsid w:val="00A13044"/>
    <w:rsid w:val="00A1480E"/>
    <w:rsid w:val="00A1610F"/>
    <w:rsid w:val="00A17145"/>
    <w:rsid w:val="00A20C96"/>
    <w:rsid w:val="00A2425C"/>
    <w:rsid w:val="00A244D4"/>
    <w:rsid w:val="00A24C84"/>
    <w:rsid w:val="00A31399"/>
    <w:rsid w:val="00A31704"/>
    <w:rsid w:val="00A323DA"/>
    <w:rsid w:val="00A34FA3"/>
    <w:rsid w:val="00A36588"/>
    <w:rsid w:val="00A3670F"/>
    <w:rsid w:val="00A42801"/>
    <w:rsid w:val="00A43B1A"/>
    <w:rsid w:val="00A45DC8"/>
    <w:rsid w:val="00A46230"/>
    <w:rsid w:val="00A46CD1"/>
    <w:rsid w:val="00A52293"/>
    <w:rsid w:val="00A52DC8"/>
    <w:rsid w:val="00A55B01"/>
    <w:rsid w:val="00A560AE"/>
    <w:rsid w:val="00A57348"/>
    <w:rsid w:val="00A6537A"/>
    <w:rsid w:val="00A6537E"/>
    <w:rsid w:val="00A672C1"/>
    <w:rsid w:val="00A679E9"/>
    <w:rsid w:val="00A70570"/>
    <w:rsid w:val="00A70AE6"/>
    <w:rsid w:val="00A711C5"/>
    <w:rsid w:val="00A72EF0"/>
    <w:rsid w:val="00A757E7"/>
    <w:rsid w:val="00A76D78"/>
    <w:rsid w:val="00A81094"/>
    <w:rsid w:val="00A815CA"/>
    <w:rsid w:val="00A82DA0"/>
    <w:rsid w:val="00A83F53"/>
    <w:rsid w:val="00A8745E"/>
    <w:rsid w:val="00A875E7"/>
    <w:rsid w:val="00A87719"/>
    <w:rsid w:val="00A91C13"/>
    <w:rsid w:val="00A92290"/>
    <w:rsid w:val="00A928EF"/>
    <w:rsid w:val="00A93FD0"/>
    <w:rsid w:val="00A94177"/>
    <w:rsid w:val="00A9513B"/>
    <w:rsid w:val="00A9659B"/>
    <w:rsid w:val="00A96E14"/>
    <w:rsid w:val="00AA03FB"/>
    <w:rsid w:val="00AA0720"/>
    <w:rsid w:val="00AA1009"/>
    <w:rsid w:val="00AA1317"/>
    <w:rsid w:val="00AA3D12"/>
    <w:rsid w:val="00AA57CB"/>
    <w:rsid w:val="00AA5804"/>
    <w:rsid w:val="00AA6F82"/>
    <w:rsid w:val="00AA7118"/>
    <w:rsid w:val="00AA73EB"/>
    <w:rsid w:val="00AA7738"/>
    <w:rsid w:val="00AA7D9B"/>
    <w:rsid w:val="00AB0E4C"/>
    <w:rsid w:val="00AB12E5"/>
    <w:rsid w:val="00AB1C78"/>
    <w:rsid w:val="00AB256B"/>
    <w:rsid w:val="00AB30E8"/>
    <w:rsid w:val="00AB4F53"/>
    <w:rsid w:val="00AB6C3F"/>
    <w:rsid w:val="00AB7FF4"/>
    <w:rsid w:val="00AC1153"/>
    <w:rsid w:val="00AD1840"/>
    <w:rsid w:val="00AD318C"/>
    <w:rsid w:val="00AD612B"/>
    <w:rsid w:val="00AD683C"/>
    <w:rsid w:val="00AD7B41"/>
    <w:rsid w:val="00AD7C23"/>
    <w:rsid w:val="00AE08AD"/>
    <w:rsid w:val="00AE138D"/>
    <w:rsid w:val="00AE179D"/>
    <w:rsid w:val="00AE2F1C"/>
    <w:rsid w:val="00AE3EA2"/>
    <w:rsid w:val="00AE44DA"/>
    <w:rsid w:val="00AE5005"/>
    <w:rsid w:val="00AE574B"/>
    <w:rsid w:val="00AE62E9"/>
    <w:rsid w:val="00AE759A"/>
    <w:rsid w:val="00AF15E0"/>
    <w:rsid w:val="00AF36B3"/>
    <w:rsid w:val="00AF48E6"/>
    <w:rsid w:val="00AF7E3D"/>
    <w:rsid w:val="00B001A9"/>
    <w:rsid w:val="00B00C65"/>
    <w:rsid w:val="00B02183"/>
    <w:rsid w:val="00B025E9"/>
    <w:rsid w:val="00B046DC"/>
    <w:rsid w:val="00B0495D"/>
    <w:rsid w:val="00B050E3"/>
    <w:rsid w:val="00B05A98"/>
    <w:rsid w:val="00B063CB"/>
    <w:rsid w:val="00B0681B"/>
    <w:rsid w:val="00B06847"/>
    <w:rsid w:val="00B07219"/>
    <w:rsid w:val="00B11ED1"/>
    <w:rsid w:val="00B12404"/>
    <w:rsid w:val="00B13CA6"/>
    <w:rsid w:val="00B15000"/>
    <w:rsid w:val="00B15455"/>
    <w:rsid w:val="00B1694A"/>
    <w:rsid w:val="00B2051E"/>
    <w:rsid w:val="00B266FF"/>
    <w:rsid w:val="00B26A13"/>
    <w:rsid w:val="00B26FF9"/>
    <w:rsid w:val="00B276D7"/>
    <w:rsid w:val="00B30AA4"/>
    <w:rsid w:val="00B32F30"/>
    <w:rsid w:val="00B32F6B"/>
    <w:rsid w:val="00B34DCC"/>
    <w:rsid w:val="00B35932"/>
    <w:rsid w:val="00B3784B"/>
    <w:rsid w:val="00B37A4B"/>
    <w:rsid w:val="00B37C47"/>
    <w:rsid w:val="00B44565"/>
    <w:rsid w:val="00B44A48"/>
    <w:rsid w:val="00B4701D"/>
    <w:rsid w:val="00B47CDB"/>
    <w:rsid w:val="00B5142E"/>
    <w:rsid w:val="00B518FA"/>
    <w:rsid w:val="00B52451"/>
    <w:rsid w:val="00B52D67"/>
    <w:rsid w:val="00B52D96"/>
    <w:rsid w:val="00B55394"/>
    <w:rsid w:val="00B56994"/>
    <w:rsid w:val="00B56F7C"/>
    <w:rsid w:val="00B578AF"/>
    <w:rsid w:val="00B6080E"/>
    <w:rsid w:val="00B65DD1"/>
    <w:rsid w:val="00B66E97"/>
    <w:rsid w:val="00B671EF"/>
    <w:rsid w:val="00B67237"/>
    <w:rsid w:val="00B704E5"/>
    <w:rsid w:val="00B73441"/>
    <w:rsid w:val="00B751F4"/>
    <w:rsid w:val="00B76557"/>
    <w:rsid w:val="00B77FB9"/>
    <w:rsid w:val="00B820AC"/>
    <w:rsid w:val="00B82BF9"/>
    <w:rsid w:val="00B830CA"/>
    <w:rsid w:val="00B8349D"/>
    <w:rsid w:val="00B83936"/>
    <w:rsid w:val="00B8454C"/>
    <w:rsid w:val="00B846AB"/>
    <w:rsid w:val="00B84A2C"/>
    <w:rsid w:val="00B8508D"/>
    <w:rsid w:val="00B8509D"/>
    <w:rsid w:val="00B85372"/>
    <w:rsid w:val="00B90ED3"/>
    <w:rsid w:val="00B92123"/>
    <w:rsid w:val="00B922B3"/>
    <w:rsid w:val="00B9252D"/>
    <w:rsid w:val="00B92E47"/>
    <w:rsid w:val="00B93103"/>
    <w:rsid w:val="00B950CA"/>
    <w:rsid w:val="00B964BC"/>
    <w:rsid w:val="00B97320"/>
    <w:rsid w:val="00B97341"/>
    <w:rsid w:val="00B97837"/>
    <w:rsid w:val="00B97C8E"/>
    <w:rsid w:val="00BA1031"/>
    <w:rsid w:val="00BA49C8"/>
    <w:rsid w:val="00BA53B8"/>
    <w:rsid w:val="00BA74F9"/>
    <w:rsid w:val="00BB0459"/>
    <w:rsid w:val="00BB2D87"/>
    <w:rsid w:val="00BB3CA0"/>
    <w:rsid w:val="00BB45D4"/>
    <w:rsid w:val="00BB5D4E"/>
    <w:rsid w:val="00BB6AA4"/>
    <w:rsid w:val="00BB6B3B"/>
    <w:rsid w:val="00BB7522"/>
    <w:rsid w:val="00BB7C6B"/>
    <w:rsid w:val="00BC34D8"/>
    <w:rsid w:val="00BC4B90"/>
    <w:rsid w:val="00BC542E"/>
    <w:rsid w:val="00BD137F"/>
    <w:rsid w:val="00BD266C"/>
    <w:rsid w:val="00BD5614"/>
    <w:rsid w:val="00BD6751"/>
    <w:rsid w:val="00BE0DCF"/>
    <w:rsid w:val="00BE0E75"/>
    <w:rsid w:val="00BE2E55"/>
    <w:rsid w:val="00BE3D62"/>
    <w:rsid w:val="00BE3EC5"/>
    <w:rsid w:val="00BE4955"/>
    <w:rsid w:val="00BE55BE"/>
    <w:rsid w:val="00BE5B62"/>
    <w:rsid w:val="00BF023C"/>
    <w:rsid w:val="00BF053A"/>
    <w:rsid w:val="00BF1889"/>
    <w:rsid w:val="00BF307D"/>
    <w:rsid w:val="00BF3344"/>
    <w:rsid w:val="00BF3DA7"/>
    <w:rsid w:val="00BF682A"/>
    <w:rsid w:val="00C02506"/>
    <w:rsid w:val="00C04A27"/>
    <w:rsid w:val="00C06018"/>
    <w:rsid w:val="00C066E7"/>
    <w:rsid w:val="00C07CC3"/>
    <w:rsid w:val="00C101E2"/>
    <w:rsid w:val="00C10876"/>
    <w:rsid w:val="00C11934"/>
    <w:rsid w:val="00C155A4"/>
    <w:rsid w:val="00C16FCF"/>
    <w:rsid w:val="00C17841"/>
    <w:rsid w:val="00C2079B"/>
    <w:rsid w:val="00C20BD7"/>
    <w:rsid w:val="00C20D0C"/>
    <w:rsid w:val="00C21022"/>
    <w:rsid w:val="00C216E1"/>
    <w:rsid w:val="00C229AD"/>
    <w:rsid w:val="00C2308A"/>
    <w:rsid w:val="00C238FA"/>
    <w:rsid w:val="00C241DD"/>
    <w:rsid w:val="00C26E1C"/>
    <w:rsid w:val="00C300C6"/>
    <w:rsid w:val="00C31FDC"/>
    <w:rsid w:val="00C33016"/>
    <w:rsid w:val="00C3588B"/>
    <w:rsid w:val="00C370E5"/>
    <w:rsid w:val="00C37FBC"/>
    <w:rsid w:val="00C408DC"/>
    <w:rsid w:val="00C41395"/>
    <w:rsid w:val="00C447EB"/>
    <w:rsid w:val="00C44900"/>
    <w:rsid w:val="00C45CA2"/>
    <w:rsid w:val="00C46137"/>
    <w:rsid w:val="00C5318F"/>
    <w:rsid w:val="00C54478"/>
    <w:rsid w:val="00C55049"/>
    <w:rsid w:val="00C57FE3"/>
    <w:rsid w:val="00C60FD8"/>
    <w:rsid w:val="00C61EDA"/>
    <w:rsid w:val="00C62CFE"/>
    <w:rsid w:val="00C655C2"/>
    <w:rsid w:val="00C657A4"/>
    <w:rsid w:val="00C66000"/>
    <w:rsid w:val="00C663F9"/>
    <w:rsid w:val="00C67820"/>
    <w:rsid w:val="00C67C5F"/>
    <w:rsid w:val="00C70615"/>
    <w:rsid w:val="00C710B5"/>
    <w:rsid w:val="00C717DB"/>
    <w:rsid w:val="00C74D64"/>
    <w:rsid w:val="00C758BB"/>
    <w:rsid w:val="00C7766E"/>
    <w:rsid w:val="00C803E9"/>
    <w:rsid w:val="00C816F8"/>
    <w:rsid w:val="00C855B4"/>
    <w:rsid w:val="00C87DE3"/>
    <w:rsid w:val="00C91F80"/>
    <w:rsid w:val="00C91F89"/>
    <w:rsid w:val="00C92969"/>
    <w:rsid w:val="00C93DD2"/>
    <w:rsid w:val="00C94877"/>
    <w:rsid w:val="00C9711F"/>
    <w:rsid w:val="00CA1F83"/>
    <w:rsid w:val="00CA1FA8"/>
    <w:rsid w:val="00CA219C"/>
    <w:rsid w:val="00CA32E4"/>
    <w:rsid w:val="00CA5E71"/>
    <w:rsid w:val="00CA6EBC"/>
    <w:rsid w:val="00CB1080"/>
    <w:rsid w:val="00CB5D0B"/>
    <w:rsid w:val="00CB6739"/>
    <w:rsid w:val="00CC073F"/>
    <w:rsid w:val="00CC2803"/>
    <w:rsid w:val="00CC2A66"/>
    <w:rsid w:val="00CC4605"/>
    <w:rsid w:val="00CC5140"/>
    <w:rsid w:val="00CC62DC"/>
    <w:rsid w:val="00CC6D51"/>
    <w:rsid w:val="00CC7C6E"/>
    <w:rsid w:val="00CC7CCD"/>
    <w:rsid w:val="00CD0416"/>
    <w:rsid w:val="00CD1217"/>
    <w:rsid w:val="00CD1CD5"/>
    <w:rsid w:val="00CD2D21"/>
    <w:rsid w:val="00CD5821"/>
    <w:rsid w:val="00CD5EC7"/>
    <w:rsid w:val="00CD61CB"/>
    <w:rsid w:val="00CE12F9"/>
    <w:rsid w:val="00CE1547"/>
    <w:rsid w:val="00CE3512"/>
    <w:rsid w:val="00CE4235"/>
    <w:rsid w:val="00CE4441"/>
    <w:rsid w:val="00CE4730"/>
    <w:rsid w:val="00CE6234"/>
    <w:rsid w:val="00CE66EA"/>
    <w:rsid w:val="00CE6D9F"/>
    <w:rsid w:val="00CE7B84"/>
    <w:rsid w:val="00CF0863"/>
    <w:rsid w:val="00CF1928"/>
    <w:rsid w:val="00CF1BD7"/>
    <w:rsid w:val="00CF26AB"/>
    <w:rsid w:val="00CF3072"/>
    <w:rsid w:val="00CF35DC"/>
    <w:rsid w:val="00CF39E6"/>
    <w:rsid w:val="00CF6167"/>
    <w:rsid w:val="00D015E4"/>
    <w:rsid w:val="00D01C8C"/>
    <w:rsid w:val="00D02544"/>
    <w:rsid w:val="00D04D8A"/>
    <w:rsid w:val="00D04EFC"/>
    <w:rsid w:val="00D05BD0"/>
    <w:rsid w:val="00D06B5E"/>
    <w:rsid w:val="00D07C3C"/>
    <w:rsid w:val="00D10A46"/>
    <w:rsid w:val="00D10F10"/>
    <w:rsid w:val="00D1120B"/>
    <w:rsid w:val="00D11954"/>
    <w:rsid w:val="00D11CF6"/>
    <w:rsid w:val="00D12B21"/>
    <w:rsid w:val="00D12E80"/>
    <w:rsid w:val="00D14B2C"/>
    <w:rsid w:val="00D163ED"/>
    <w:rsid w:val="00D1760C"/>
    <w:rsid w:val="00D17A78"/>
    <w:rsid w:val="00D2039C"/>
    <w:rsid w:val="00D208D4"/>
    <w:rsid w:val="00D224BB"/>
    <w:rsid w:val="00D22B53"/>
    <w:rsid w:val="00D24A5A"/>
    <w:rsid w:val="00D40F12"/>
    <w:rsid w:val="00D41746"/>
    <w:rsid w:val="00D4245D"/>
    <w:rsid w:val="00D4352F"/>
    <w:rsid w:val="00D44583"/>
    <w:rsid w:val="00D458FE"/>
    <w:rsid w:val="00D46FB3"/>
    <w:rsid w:val="00D47BB3"/>
    <w:rsid w:val="00D54677"/>
    <w:rsid w:val="00D554BD"/>
    <w:rsid w:val="00D56CE9"/>
    <w:rsid w:val="00D61011"/>
    <w:rsid w:val="00D61058"/>
    <w:rsid w:val="00D61545"/>
    <w:rsid w:val="00D62DD2"/>
    <w:rsid w:val="00D646B9"/>
    <w:rsid w:val="00D65AA5"/>
    <w:rsid w:val="00D66921"/>
    <w:rsid w:val="00D67B91"/>
    <w:rsid w:val="00D67F8C"/>
    <w:rsid w:val="00D711C1"/>
    <w:rsid w:val="00D72108"/>
    <w:rsid w:val="00D7372B"/>
    <w:rsid w:val="00D73D67"/>
    <w:rsid w:val="00D7480F"/>
    <w:rsid w:val="00D75441"/>
    <w:rsid w:val="00D755BC"/>
    <w:rsid w:val="00D758A5"/>
    <w:rsid w:val="00D75F04"/>
    <w:rsid w:val="00D762BC"/>
    <w:rsid w:val="00D77906"/>
    <w:rsid w:val="00D802B5"/>
    <w:rsid w:val="00D80A45"/>
    <w:rsid w:val="00D812F0"/>
    <w:rsid w:val="00D85093"/>
    <w:rsid w:val="00D85439"/>
    <w:rsid w:val="00D91B09"/>
    <w:rsid w:val="00D92F59"/>
    <w:rsid w:val="00D93174"/>
    <w:rsid w:val="00D93473"/>
    <w:rsid w:val="00D94388"/>
    <w:rsid w:val="00D94792"/>
    <w:rsid w:val="00D9482D"/>
    <w:rsid w:val="00D94B64"/>
    <w:rsid w:val="00D95659"/>
    <w:rsid w:val="00DA1054"/>
    <w:rsid w:val="00DA194A"/>
    <w:rsid w:val="00DA274F"/>
    <w:rsid w:val="00DA3917"/>
    <w:rsid w:val="00DA61D3"/>
    <w:rsid w:val="00DB0D5A"/>
    <w:rsid w:val="00DB26A2"/>
    <w:rsid w:val="00DB4A71"/>
    <w:rsid w:val="00DB4B61"/>
    <w:rsid w:val="00DB4D98"/>
    <w:rsid w:val="00DB5AF1"/>
    <w:rsid w:val="00DB6E38"/>
    <w:rsid w:val="00DC194A"/>
    <w:rsid w:val="00DC45D5"/>
    <w:rsid w:val="00DC77DB"/>
    <w:rsid w:val="00DD1CB9"/>
    <w:rsid w:val="00DD29FF"/>
    <w:rsid w:val="00DD4B61"/>
    <w:rsid w:val="00DD52D3"/>
    <w:rsid w:val="00DD57AD"/>
    <w:rsid w:val="00DD63BE"/>
    <w:rsid w:val="00DD6EF8"/>
    <w:rsid w:val="00DE1341"/>
    <w:rsid w:val="00DE18E1"/>
    <w:rsid w:val="00DE5DCC"/>
    <w:rsid w:val="00DE7C8D"/>
    <w:rsid w:val="00DF0ABB"/>
    <w:rsid w:val="00DF0C65"/>
    <w:rsid w:val="00DF4237"/>
    <w:rsid w:val="00DF65A8"/>
    <w:rsid w:val="00DF7291"/>
    <w:rsid w:val="00DF7F28"/>
    <w:rsid w:val="00E002C0"/>
    <w:rsid w:val="00E003BA"/>
    <w:rsid w:val="00E00834"/>
    <w:rsid w:val="00E00EDB"/>
    <w:rsid w:val="00E03511"/>
    <w:rsid w:val="00E05E81"/>
    <w:rsid w:val="00E07AF0"/>
    <w:rsid w:val="00E11EF5"/>
    <w:rsid w:val="00E1229C"/>
    <w:rsid w:val="00E1365F"/>
    <w:rsid w:val="00E1397C"/>
    <w:rsid w:val="00E15E78"/>
    <w:rsid w:val="00E20AE0"/>
    <w:rsid w:val="00E22DDB"/>
    <w:rsid w:val="00E26F7A"/>
    <w:rsid w:val="00E27007"/>
    <w:rsid w:val="00E2758E"/>
    <w:rsid w:val="00E306FF"/>
    <w:rsid w:val="00E3095A"/>
    <w:rsid w:val="00E31DCB"/>
    <w:rsid w:val="00E3240C"/>
    <w:rsid w:val="00E3360D"/>
    <w:rsid w:val="00E3620E"/>
    <w:rsid w:val="00E366D2"/>
    <w:rsid w:val="00E3721F"/>
    <w:rsid w:val="00E407B6"/>
    <w:rsid w:val="00E40FEA"/>
    <w:rsid w:val="00E419DF"/>
    <w:rsid w:val="00E43151"/>
    <w:rsid w:val="00E43872"/>
    <w:rsid w:val="00E44441"/>
    <w:rsid w:val="00E45C78"/>
    <w:rsid w:val="00E45CB9"/>
    <w:rsid w:val="00E45CF7"/>
    <w:rsid w:val="00E47241"/>
    <w:rsid w:val="00E50CB5"/>
    <w:rsid w:val="00E526D5"/>
    <w:rsid w:val="00E54ADF"/>
    <w:rsid w:val="00E56E34"/>
    <w:rsid w:val="00E61C22"/>
    <w:rsid w:val="00E62FA4"/>
    <w:rsid w:val="00E6468D"/>
    <w:rsid w:val="00E649B2"/>
    <w:rsid w:val="00E666DA"/>
    <w:rsid w:val="00E734D5"/>
    <w:rsid w:val="00E7416E"/>
    <w:rsid w:val="00E748C1"/>
    <w:rsid w:val="00E76785"/>
    <w:rsid w:val="00E814AD"/>
    <w:rsid w:val="00E8169B"/>
    <w:rsid w:val="00E81BAF"/>
    <w:rsid w:val="00E82501"/>
    <w:rsid w:val="00E83234"/>
    <w:rsid w:val="00E83267"/>
    <w:rsid w:val="00E841E6"/>
    <w:rsid w:val="00E854B1"/>
    <w:rsid w:val="00E955F3"/>
    <w:rsid w:val="00E96717"/>
    <w:rsid w:val="00E96BFB"/>
    <w:rsid w:val="00E96D9F"/>
    <w:rsid w:val="00EA46F3"/>
    <w:rsid w:val="00EA5673"/>
    <w:rsid w:val="00EA7708"/>
    <w:rsid w:val="00EA7E52"/>
    <w:rsid w:val="00EB051A"/>
    <w:rsid w:val="00EB1E9E"/>
    <w:rsid w:val="00EB2613"/>
    <w:rsid w:val="00EB6AE8"/>
    <w:rsid w:val="00EB714C"/>
    <w:rsid w:val="00EB7CA4"/>
    <w:rsid w:val="00EC2EEF"/>
    <w:rsid w:val="00EC3B02"/>
    <w:rsid w:val="00EC51BF"/>
    <w:rsid w:val="00ED0241"/>
    <w:rsid w:val="00ED0B63"/>
    <w:rsid w:val="00ED2AA8"/>
    <w:rsid w:val="00ED2EB3"/>
    <w:rsid w:val="00ED2F95"/>
    <w:rsid w:val="00ED37B0"/>
    <w:rsid w:val="00ED3B59"/>
    <w:rsid w:val="00ED49F8"/>
    <w:rsid w:val="00ED58E1"/>
    <w:rsid w:val="00ED73BE"/>
    <w:rsid w:val="00EE2165"/>
    <w:rsid w:val="00EE25C7"/>
    <w:rsid w:val="00EE2A5B"/>
    <w:rsid w:val="00EE2DE6"/>
    <w:rsid w:val="00EE3FCB"/>
    <w:rsid w:val="00EE5B9B"/>
    <w:rsid w:val="00EE6F8D"/>
    <w:rsid w:val="00EE759B"/>
    <w:rsid w:val="00EE7F92"/>
    <w:rsid w:val="00EF192F"/>
    <w:rsid w:val="00EF256B"/>
    <w:rsid w:val="00EF4DFE"/>
    <w:rsid w:val="00EF5143"/>
    <w:rsid w:val="00EF6F01"/>
    <w:rsid w:val="00EF7849"/>
    <w:rsid w:val="00F02F51"/>
    <w:rsid w:val="00F03ABD"/>
    <w:rsid w:val="00F03CA8"/>
    <w:rsid w:val="00F11A65"/>
    <w:rsid w:val="00F11D32"/>
    <w:rsid w:val="00F1208B"/>
    <w:rsid w:val="00F123D8"/>
    <w:rsid w:val="00F12CDC"/>
    <w:rsid w:val="00F1311B"/>
    <w:rsid w:val="00F165F8"/>
    <w:rsid w:val="00F16B16"/>
    <w:rsid w:val="00F21D8B"/>
    <w:rsid w:val="00F24E5B"/>
    <w:rsid w:val="00F25FA5"/>
    <w:rsid w:val="00F27754"/>
    <w:rsid w:val="00F30952"/>
    <w:rsid w:val="00F31863"/>
    <w:rsid w:val="00F334FE"/>
    <w:rsid w:val="00F35171"/>
    <w:rsid w:val="00F3557F"/>
    <w:rsid w:val="00F35E2E"/>
    <w:rsid w:val="00F37F6D"/>
    <w:rsid w:val="00F40C1A"/>
    <w:rsid w:val="00F4123D"/>
    <w:rsid w:val="00F413F5"/>
    <w:rsid w:val="00F44D07"/>
    <w:rsid w:val="00F45F2D"/>
    <w:rsid w:val="00F46D4B"/>
    <w:rsid w:val="00F501BA"/>
    <w:rsid w:val="00F502AD"/>
    <w:rsid w:val="00F508D5"/>
    <w:rsid w:val="00F543CC"/>
    <w:rsid w:val="00F62DB2"/>
    <w:rsid w:val="00F62EA3"/>
    <w:rsid w:val="00F633D3"/>
    <w:rsid w:val="00F64871"/>
    <w:rsid w:val="00F64F8F"/>
    <w:rsid w:val="00F65B30"/>
    <w:rsid w:val="00F66226"/>
    <w:rsid w:val="00F67373"/>
    <w:rsid w:val="00F7047E"/>
    <w:rsid w:val="00F7106D"/>
    <w:rsid w:val="00F727D9"/>
    <w:rsid w:val="00F743BB"/>
    <w:rsid w:val="00F75B5D"/>
    <w:rsid w:val="00F76678"/>
    <w:rsid w:val="00F76696"/>
    <w:rsid w:val="00F80F3F"/>
    <w:rsid w:val="00F81330"/>
    <w:rsid w:val="00F8574B"/>
    <w:rsid w:val="00F85767"/>
    <w:rsid w:val="00F86D89"/>
    <w:rsid w:val="00F86FBE"/>
    <w:rsid w:val="00F903E0"/>
    <w:rsid w:val="00F9473A"/>
    <w:rsid w:val="00F9579C"/>
    <w:rsid w:val="00F95CE7"/>
    <w:rsid w:val="00F97500"/>
    <w:rsid w:val="00FA3170"/>
    <w:rsid w:val="00FA3F77"/>
    <w:rsid w:val="00FA6476"/>
    <w:rsid w:val="00FA7B4D"/>
    <w:rsid w:val="00FA7D9E"/>
    <w:rsid w:val="00FB0E99"/>
    <w:rsid w:val="00FB13E5"/>
    <w:rsid w:val="00FB19A3"/>
    <w:rsid w:val="00FB1C4F"/>
    <w:rsid w:val="00FB1CE0"/>
    <w:rsid w:val="00FB2675"/>
    <w:rsid w:val="00FB3320"/>
    <w:rsid w:val="00FB4C3A"/>
    <w:rsid w:val="00FB691F"/>
    <w:rsid w:val="00FB6E8A"/>
    <w:rsid w:val="00FC05C9"/>
    <w:rsid w:val="00FC05CC"/>
    <w:rsid w:val="00FC2A62"/>
    <w:rsid w:val="00FC2FB5"/>
    <w:rsid w:val="00FC32E4"/>
    <w:rsid w:val="00FC37E2"/>
    <w:rsid w:val="00FC6C90"/>
    <w:rsid w:val="00FC6EFF"/>
    <w:rsid w:val="00FD0810"/>
    <w:rsid w:val="00FD0C40"/>
    <w:rsid w:val="00FD2FC2"/>
    <w:rsid w:val="00FD4E2A"/>
    <w:rsid w:val="00FD4F2F"/>
    <w:rsid w:val="00FD710F"/>
    <w:rsid w:val="00FE1783"/>
    <w:rsid w:val="00FE23C0"/>
    <w:rsid w:val="00FE4CD8"/>
    <w:rsid w:val="00FE4E3E"/>
    <w:rsid w:val="00FF0FD2"/>
    <w:rsid w:val="00FF31AA"/>
    <w:rsid w:val="00FF342D"/>
    <w:rsid w:val="00FF35CF"/>
    <w:rsid w:val="00FF4C1D"/>
    <w:rsid w:val="00FF57D2"/>
    <w:rsid w:val="00FF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3BE"/>
    <w:rPr>
      <w:sz w:val="20"/>
      <w:szCs w:val="20"/>
    </w:rPr>
  </w:style>
  <w:style w:type="character" w:customStyle="1" w:styleId="FootnoteTextChar">
    <w:name w:val="Footnote Text Char"/>
    <w:basedOn w:val="DefaultParagraphFont"/>
    <w:link w:val="FootnoteText"/>
    <w:uiPriority w:val="99"/>
    <w:semiHidden/>
    <w:rsid w:val="00DD63BE"/>
    <w:rPr>
      <w:sz w:val="20"/>
      <w:szCs w:val="20"/>
    </w:rPr>
  </w:style>
  <w:style w:type="character" w:styleId="FootnoteReference">
    <w:name w:val="footnote reference"/>
    <w:basedOn w:val="DefaultParagraphFont"/>
    <w:uiPriority w:val="99"/>
    <w:semiHidden/>
    <w:unhideWhenUsed/>
    <w:qFormat/>
    <w:rsid w:val="00DD63BE"/>
    <w:rPr>
      <w:vertAlign w:val="superscript"/>
    </w:rPr>
  </w:style>
  <w:style w:type="paragraph" w:styleId="BalloonText">
    <w:name w:val="Balloon Text"/>
    <w:basedOn w:val="Normal"/>
    <w:link w:val="BalloonTextChar"/>
    <w:uiPriority w:val="99"/>
    <w:semiHidden/>
    <w:unhideWhenUsed/>
    <w:rsid w:val="002402C3"/>
    <w:rPr>
      <w:rFonts w:ascii="Tahoma" w:hAnsi="Tahoma" w:cs="Tahoma"/>
      <w:sz w:val="16"/>
      <w:szCs w:val="16"/>
    </w:rPr>
  </w:style>
  <w:style w:type="character" w:customStyle="1" w:styleId="BalloonTextChar">
    <w:name w:val="Balloon Text Char"/>
    <w:basedOn w:val="DefaultParagraphFont"/>
    <w:link w:val="BalloonText"/>
    <w:uiPriority w:val="99"/>
    <w:semiHidden/>
    <w:rsid w:val="002402C3"/>
    <w:rPr>
      <w:rFonts w:ascii="Tahoma" w:hAnsi="Tahoma" w:cs="Tahoma"/>
      <w:sz w:val="16"/>
      <w:szCs w:val="16"/>
    </w:rPr>
  </w:style>
  <w:style w:type="paragraph" w:styleId="Header">
    <w:name w:val="header"/>
    <w:basedOn w:val="Normal"/>
    <w:link w:val="HeaderChar"/>
    <w:uiPriority w:val="99"/>
    <w:unhideWhenUsed/>
    <w:rsid w:val="002402C3"/>
    <w:pPr>
      <w:tabs>
        <w:tab w:val="center" w:pos="4513"/>
        <w:tab w:val="right" w:pos="9026"/>
      </w:tabs>
    </w:pPr>
  </w:style>
  <w:style w:type="character" w:customStyle="1" w:styleId="HeaderChar">
    <w:name w:val="Header Char"/>
    <w:basedOn w:val="DefaultParagraphFont"/>
    <w:link w:val="Header"/>
    <w:uiPriority w:val="99"/>
    <w:rsid w:val="002402C3"/>
  </w:style>
  <w:style w:type="paragraph" w:styleId="Footer">
    <w:name w:val="footer"/>
    <w:basedOn w:val="Normal"/>
    <w:link w:val="FooterChar"/>
    <w:uiPriority w:val="99"/>
    <w:unhideWhenUsed/>
    <w:rsid w:val="002402C3"/>
    <w:pPr>
      <w:tabs>
        <w:tab w:val="center" w:pos="4513"/>
        <w:tab w:val="right" w:pos="9026"/>
      </w:tabs>
    </w:pPr>
  </w:style>
  <w:style w:type="character" w:customStyle="1" w:styleId="FooterChar">
    <w:name w:val="Footer Char"/>
    <w:basedOn w:val="DefaultParagraphFont"/>
    <w:link w:val="Footer"/>
    <w:uiPriority w:val="99"/>
    <w:rsid w:val="002402C3"/>
  </w:style>
  <w:style w:type="paragraph" w:styleId="ListParagraph">
    <w:name w:val="List Paragraph"/>
    <w:basedOn w:val="Normal"/>
    <w:uiPriority w:val="34"/>
    <w:qFormat/>
    <w:rsid w:val="001B4597"/>
    <w:pPr>
      <w:ind w:left="720"/>
      <w:contextualSpacing/>
    </w:pPr>
  </w:style>
  <w:style w:type="table" w:styleId="TableGrid">
    <w:name w:val="Table Grid"/>
    <w:basedOn w:val="TableNormal"/>
    <w:uiPriority w:val="39"/>
    <w:unhideWhenUsed/>
    <w:rsid w:val="00FF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1E2"/>
    <w:rPr>
      <w:color w:val="0000FF" w:themeColor="hyperlink"/>
      <w:u w:val="single"/>
    </w:rPr>
  </w:style>
  <w:style w:type="character" w:styleId="CommentReference">
    <w:name w:val="annotation reference"/>
    <w:basedOn w:val="DefaultParagraphFont"/>
    <w:uiPriority w:val="99"/>
    <w:semiHidden/>
    <w:unhideWhenUsed/>
    <w:rsid w:val="003B5364"/>
    <w:rPr>
      <w:sz w:val="16"/>
      <w:szCs w:val="16"/>
    </w:rPr>
  </w:style>
  <w:style w:type="paragraph" w:styleId="CommentText">
    <w:name w:val="annotation text"/>
    <w:basedOn w:val="Normal"/>
    <w:link w:val="CommentTextChar"/>
    <w:uiPriority w:val="99"/>
    <w:unhideWhenUsed/>
    <w:rsid w:val="003B5364"/>
    <w:rPr>
      <w:sz w:val="20"/>
      <w:szCs w:val="20"/>
    </w:rPr>
  </w:style>
  <w:style w:type="character" w:customStyle="1" w:styleId="CommentTextChar">
    <w:name w:val="Comment Text Char"/>
    <w:basedOn w:val="DefaultParagraphFont"/>
    <w:link w:val="CommentText"/>
    <w:uiPriority w:val="99"/>
    <w:rsid w:val="003B5364"/>
    <w:rPr>
      <w:sz w:val="20"/>
      <w:szCs w:val="20"/>
    </w:rPr>
  </w:style>
  <w:style w:type="paragraph" w:styleId="CommentSubject">
    <w:name w:val="annotation subject"/>
    <w:basedOn w:val="CommentText"/>
    <w:next w:val="CommentText"/>
    <w:link w:val="CommentSubjectChar"/>
    <w:uiPriority w:val="99"/>
    <w:semiHidden/>
    <w:unhideWhenUsed/>
    <w:rsid w:val="003B5364"/>
    <w:rPr>
      <w:b/>
      <w:bCs/>
    </w:rPr>
  </w:style>
  <w:style w:type="character" w:customStyle="1" w:styleId="CommentSubjectChar">
    <w:name w:val="Comment Subject Char"/>
    <w:basedOn w:val="CommentTextChar"/>
    <w:link w:val="CommentSubject"/>
    <w:uiPriority w:val="99"/>
    <w:semiHidden/>
    <w:rsid w:val="003B5364"/>
    <w:rPr>
      <w:b/>
      <w:bCs/>
      <w:sz w:val="20"/>
      <w:szCs w:val="20"/>
    </w:rPr>
  </w:style>
  <w:style w:type="paragraph" w:styleId="Revision">
    <w:name w:val="Revision"/>
    <w:hidden/>
    <w:uiPriority w:val="99"/>
    <w:semiHidden/>
    <w:rsid w:val="00D02544"/>
  </w:style>
  <w:style w:type="table" w:customStyle="1" w:styleId="TableGrid1">
    <w:name w:val="Table Grid1"/>
    <w:basedOn w:val="TableNormal"/>
    <w:next w:val="TableGrid"/>
    <w:uiPriority w:val="59"/>
    <w:rsid w:val="00B964BC"/>
    <w:rPr>
      <w:rFonts w:ascii="Calibri" w:eastAsia="Times New Roman" w:hAnsi="Calibr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5F3E"/>
    <w:pPr>
      <w:numPr>
        <w:numId w:val="5"/>
      </w:numPr>
      <w:contextualSpacing/>
    </w:pPr>
  </w:style>
  <w:style w:type="table" w:customStyle="1" w:styleId="Calendar2">
    <w:name w:val="Calendar 2"/>
    <w:basedOn w:val="TableNormal"/>
    <w:uiPriority w:val="99"/>
    <w:qFormat/>
    <w:rsid w:val="00ED0B63"/>
    <w:pPr>
      <w:jc w:val="center"/>
    </w:pPr>
    <w:rPr>
      <w:rFonts w:asciiTheme="minorHAnsi" w:eastAsiaTheme="minorEastAsia" w:hAnsiTheme="minorHAnsi"/>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EB2613"/>
    <w:rPr>
      <w:sz w:val="20"/>
      <w:szCs w:val="20"/>
    </w:rPr>
  </w:style>
  <w:style w:type="character" w:customStyle="1" w:styleId="EndnoteTextChar">
    <w:name w:val="Endnote Text Char"/>
    <w:basedOn w:val="DefaultParagraphFont"/>
    <w:link w:val="EndnoteText"/>
    <w:uiPriority w:val="99"/>
    <w:semiHidden/>
    <w:rsid w:val="00EB2613"/>
    <w:rPr>
      <w:sz w:val="20"/>
      <w:szCs w:val="20"/>
    </w:rPr>
  </w:style>
  <w:style w:type="character" w:styleId="EndnoteReference">
    <w:name w:val="endnote reference"/>
    <w:basedOn w:val="DefaultParagraphFont"/>
    <w:uiPriority w:val="99"/>
    <w:semiHidden/>
    <w:unhideWhenUsed/>
    <w:rsid w:val="00EB2613"/>
    <w:rPr>
      <w:vertAlign w:val="superscript"/>
    </w:rPr>
  </w:style>
  <w:style w:type="table" w:customStyle="1" w:styleId="TableGrid11">
    <w:name w:val="Table Grid11"/>
    <w:basedOn w:val="TableNormal"/>
    <w:next w:val="TableGrid"/>
    <w:uiPriority w:val="39"/>
    <w:unhideWhenUsed/>
    <w:rsid w:val="00D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65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63BE"/>
    <w:rPr>
      <w:sz w:val="20"/>
      <w:szCs w:val="20"/>
    </w:rPr>
  </w:style>
  <w:style w:type="character" w:customStyle="1" w:styleId="FootnoteTextChar">
    <w:name w:val="Footnote Text Char"/>
    <w:basedOn w:val="DefaultParagraphFont"/>
    <w:link w:val="FootnoteText"/>
    <w:uiPriority w:val="99"/>
    <w:semiHidden/>
    <w:rsid w:val="00DD63BE"/>
    <w:rPr>
      <w:sz w:val="20"/>
      <w:szCs w:val="20"/>
    </w:rPr>
  </w:style>
  <w:style w:type="character" w:styleId="FootnoteReference">
    <w:name w:val="footnote reference"/>
    <w:basedOn w:val="DefaultParagraphFont"/>
    <w:uiPriority w:val="99"/>
    <w:semiHidden/>
    <w:unhideWhenUsed/>
    <w:qFormat/>
    <w:rsid w:val="00DD63BE"/>
    <w:rPr>
      <w:vertAlign w:val="superscript"/>
    </w:rPr>
  </w:style>
  <w:style w:type="paragraph" w:styleId="BalloonText">
    <w:name w:val="Balloon Text"/>
    <w:basedOn w:val="Normal"/>
    <w:link w:val="BalloonTextChar"/>
    <w:uiPriority w:val="99"/>
    <w:semiHidden/>
    <w:unhideWhenUsed/>
    <w:rsid w:val="002402C3"/>
    <w:rPr>
      <w:rFonts w:ascii="Tahoma" w:hAnsi="Tahoma" w:cs="Tahoma"/>
      <w:sz w:val="16"/>
      <w:szCs w:val="16"/>
    </w:rPr>
  </w:style>
  <w:style w:type="character" w:customStyle="1" w:styleId="BalloonTextChar">
    <w:name w:val="Balloon Text Char"/>
    <w:basedOn w:val="DefaultParagraphFont"/>
    <w:link w:val="BalloonText"/>
    <w:uiPriority w:val="99"/>
    <w:semiHidden/>
    <w:rsid w:val="002402C3"/>
    <w:rPr>
      <w:rFonts w:ascii="Tahoma" w:hAnsi="Tahoma" w:cs="Tahoma"/>
      <w:sz w:val="16"/>
      <w:szCs w:val="16"/>
    </w:rPr>
  </w:style>
  <w:style w:type="paragraph" w:styleId="Header">
    <w:name w:val="header"/>
    <w:basedOn w:val="Normal"/>
    <w:link w:val="HeaderChar"/>
    <w:uiPriority w:val="99"/>
    <w:unhideWhenUsed/>
    <w:rsid w:val="002402C3"/>
    <w:pPr>
      <w:tabs>
        <w:tab w:val="center" w:pos="4513"/>
        <w:tab w:val="right" w:pos="9026"/>
      </w:tabs>
    </w:pPr>
  </w:style>
  <w:style w:type="character" w:customStyle="1" w:styleId="HeaderChar">
    <w:name w:val="Header Char"/>
    <w:basedOn w:val="DefaultParagraphFont"/>
    <w:link w:val="Header"/>
    <w:uiPriority w:val="99"/>
    <w:rsid w:val="002402C3"/>
  </w:style>
  <w:style w:type="paragraph" w:styleId="Footer">
    <w:name w:val="footer"/>
    <w:basedOn w:val="Normal"/>
    <w:link w:val="FooterChar"/>
    <w:uiPriority w:val="99"/>
    <w:unhideWhenUsed/>
    <w:rsid w:val="002402C3"/>
    <w:pPr>
      <w:tabs>
        <w:tab w:val="center" w:pos="4513"/>
        <w:tab w:val="right" w:pos="9026"/>
      </w:tabs>
    </w:pPr>
  </w:style>
  <w:style w:type="character" w:customStyle="1" w:styleId="FooterChar">
    <w:name w:val="Footer Char"/>
    <w:basedOn w:val="DefaultParagraphFont"/>
    <w:link w:val="Footer"/>
    <w:uiPriority w:val="99"/>
    <w:rsid w:val="002402C3"/>
  </w:style>
  <w:style w:type="paragraph" w:styleId="ListParagraph">
    <w:name w:val="List Paragraph"/>
    <w:basedOn w:val="Normal"/>
    <w:uiPriority w:val="34"/>
    <w:qFormat/>
    <w:rsid w:val="001B4597"/>
    <w:pPr>
      <w:ind w:left="720"/>
      <w:contextualSpacing/>
    </w:pPr>
  </w:style>
  <w:style w:type="table" w:styleId="TableGrid">
    <w:name w:val="Table Grid"/>
    <w:basedOn w:val="TableNormal"/>
    <w:uiPriority w:val="39"/>
    <w:unhideWhenUsed/>
    <w:rsid w:val="00FF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1E2"/>
    <w:rPr>
      <w:color w:val="0000FF" w:themeColor="hyperlink"/>
      <w:u w:val="single"/>
    </w:rPr>
  </w:style>
  <w:style w:type="character" w:styleId="CommentReference">
    <w:name w:val="annotation reference"/>
    <w:basedOn w:val="DefaultParagraphFont"/>
    <w:uiPriority w:val="99"/>
    <w:semiHidden/>
    <w:unhideWhenUsed/>
    <w:rsid w:val="003B5364"/>
    <w:rPr>
      <w:sz w:val="16"/>
      <w:szCs w:val="16"/>
    </w:rPr>
  </w:style>
  <w:style w:type="paragraph" w:styleId="CommentText">
    <w:name w:val="annotation text"/>
    <w:basedOn w:val="Normal"/>
    <w:link w:val="CommentTextChar"/>
    <w:uiPriority w:val="99"/>
    <w:unhideWhenUsed/>
    <w:rsid w:val="003B5364"/>
    <w:rPr>
      <w:sz w:val="20"/>
      <w:szCs w:val="20"/>
    </w:rPr>
  </w:style>
  <w:style w:type="character" w:customStyle="1" w:styleId="CommentTextChar">
    <w:name w:val="Comment Text Char"/>
    <w:basedOn w:val="DefaultParagraphFont"/>
    <w:link w:val="CommentText"/>
    <w:uiPriority w:val="99"/>
    <w:rsid w:val="003B5364"/>
    <w:rPr>
      <w:sz w:val="20"/>
      <w:szCs w:val="20"/>
    </w:rPr>
  </w:style>
  <w:style w:type="paragraph" w:styleId="CommentSubject">
    <w:name w:val="annotation subject"/>
    <w:basedOn w:val="CommentText"/>
    <w:next w:val="CommentText"/>
    <w:link w:val="CommentSubjectChar"/>
    <w:uiPriority w:val="99"/>
    <w:semiHidden/>
    <w:unhideWhenUsed/>
    <w:rsid w:val="003B5364"/>
    <w:rPr>
      <w:b/>
      <w:bCs/>
    </w:rPr>
  </w:style>
  <w:style w:type="character" w:customStyle="1" w:styleId="CommentSubjectChar">
    <w:name w:val="Comment Subject Char"/>
    <w:basedOn w:val="CommentTextChar"/>
    <w:link w:val="CommentSubject"/>
    <w:uiPriority w:val="99"/>
    <w:semiHidden/>
    <w:rsid w:val="003B5364"/>
    <w:rPr>
      <w:b/>
      <w:bCs/>
      <w:sz w:val="20"/>
      <w:szCs w:val="20"/>
    </w:rPr>
  </w:style>
  <w:style w:type="paragraph" w:styleId="Revision">
    <w:name w:val="Revision"/>
    <w:hidden/>
    <w:uiPriority w:val="99"/>
    <w:semiHidden/>
    <w:rsid w:val="00D02544"/>
  </w:style>
  <w:style w:type="table" w:customStyle="1" w:styleId="TableGrid1">
    <w:name w:val="Table Grid1"/>
    <w:basedOn w:val="TableNormal"/>
    <w:next w:val="TableGrid"/>
    <w:uiPriority w:val="59"/>
    <w:rsid w:val="00B964BC"/>
    <w:rPr>
      <w:rFonts w:ascii="Calibri" w:eastAsia="Times New Roman" w:hAnsi="Calibr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5F3E"/>
    <w:pPr>
      <w:numPr>
        <w:numId w:val="5"/>
      </w:numPr>
      <w:contextualSpacing/>
    </w:pPr>
  </w:style>
  <w:style w:type="table" w:customStyle="1" w:styleId="Calendar2">
    <w:name w:val="Calendar 2"/>
    <w:basedOn w:val="TableNormal"/>
    <w:uiPriority w:val="99"/>
    <w:qFormat/>
    <w:rsid w:val="00ED0B63"/>
    <w:pPr>
      <w:jc w:val="center"/>
    </w:pPr>
    <w:rPr>
      <w:rFonts w:asciiTheme="minorHAnsi" w:eastAsiaTheme="minorEastAsia" w:hAnsiTheme="minorHAnsi"/>
      <w:sz w:val="28"/>
      <w:szCs w:val="28"/>
      <w:lang w:val="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EB2613"/>
    <w:rPr>
      <w:sz w:val="20"/>
      <w:szCs w:val="20"/>
    </w:rPr>
  </w:style>
  <w:style w:type="character" w:customStyle="1" w:styleId="EndnoteTextChar">
    <w:name w:val="Endnote Text Char"/>
    <w:basedOn w:val="DefaultParagraphFont"/>
    <w:link w:val="EndnoteText"/>
    <w:uiPriority w:val="99"/>
    <w:semiHidden/>
    <w:rsid w:val="00EB2613"/>
    <w:rPr>
      <w:sz w:val="20"/>
      <w:szCs w:val="20"/>
    </w:rPr>
  </w:style>
  <w:style w:type="character" w:styleId="EndnoteReference">
    <w:name w:val="endnote reference"/>
    <w:basedOn w:val="DefaultParagraphFont"/>
    <w:uiPriority w:val="99"/>
    <w:semiHidden/>
    <w:unhideWhenUsed/>
    <w:rsid w:val="00EB2613"/>
    <w:rPr>
      <w:vertAlign w:val="superscript"/>
    </w:rPr>
  </w:style>
  <w:style w:type="table" w:customStyle="1" w:styleId="TableGrid11">
    <w:name w:val="Table Grid11"/>
    <w:basedOn w:val="TableNormal"/>
    <w:next w:val="TableGrid"/>
    <w:uiPriority w:val="39"/>
    <w:unhideWhenUsed/>
    <w:rsid w:val="00D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65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28361">
      <w:bodyDiv w:val="1"/>
      <w:marLeft w:val="0"/>
      <w:marRight w:val="0"/>
      <w:marTop w:val="0"/>
      <w:marBottom w:val="0"/>
      <w:divBdr>
        <w:top w:val="none" w:sz="0" w:space="0" w:color="auto"/>
        <w:left w:val="none" w:sz="0" w:space="0" w:color="auto"/>
        <w:bottom w:val="none" w:sz="0" w:space="0" w:color="auto"/>
        <w:right w:val="none" w:sz="0" w:space="0" w:color="auto"/>
      </w:divBdr>
    </w:div>
    <w:div w:id="1682776134">
      <w:bodyDiv w:val="1"/>
      <w:marLeft w:val="0"/>
      <w:marRight w:val="0"/>
      <w:marTop w:val="0"/>
      <w:marBottom w:val="0"/>
      <w:divBdr>
        <w:top w:val="none" w:sz="0" w:space="0" w:color="auto"/>
        <w:left w:val="none" w:sz="0" w:space="0" w:color="auto"/>
        <w:bottom w:val="none" w:sz="0" w:space="0" w:color="auto"/>
        <w:right w:val="none" w:sz="0" w:space="0" w:color="auto"/>
      </w:divBdr>
    </w:div>
    <w:div w:id="1714844674">
      <w:bodyDiv w:val="1"/>
      <w:marLeft w:val="0"/>
      <w:marRight w:val="0"/>
      <w:marTop w:val="0"/>
      <w:marBottom w:val="0"/>
      <w:divBdr>
        <w:top w:val="none" w:sz="0" w:space="0" w:color="auto"/>
        <w:left w:val="none" w:sz="0" w:space="0" w:color="auto"/>
        <w:bottom w:val="none" w:sz="0" w:space="0" w:color="auto"/>
        <w:right w:val="none" w:sz="0" w:space="0" w:color="auto"/>
      </w:divBdr>
    </w:div>
    <w:div w:id="1736927969">
      <w:bodyDiv w:val="1"/>
      <w:marLeft w:val="0"/>
      <w:marRight w:val="0"/>
      <w:marTop w:val="0"/>
      <w:marBottom w:val="0"/>
      <w:divBdr>
        <w:top w:val="none" w:sz="0" w:space="0" w:color="auto"/>
        <w:left w:val="none" w:sz="0" w:space="0" w:color="auto"/>
        <w:bottom w:val="none" w:sz="0" w:space="0" w:color="auto"/>
        <w:right w:val="none" w:sz="0" w:space="0" w:color="auto"/>
      </w:divBdr>
    </w:div>
    <w:div w:id="2004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7863/CAM.263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i.org/10.1016/j.jrurstud.2017.08.01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111/ehr.123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x.doi.org/10.5255/UKDA-SN-74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16EEA-4E31-4C7D-9884-E8DD02BA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16938</Words>
  <Characters>96553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University of Cambridge, Dept of Geography</Company>
  <LinksUpToDate>false</LinksUpToDate>
  <CharactersWithSpaces>113265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hjs57</dc:creator>
  <cp:lastModifiedBy>RJB</cp:lastModifiedBy>
  <cp:revision>6</cp:revision>
  <cp:lastPrinted>2018-01-16T17:12:00Z</cp:lastPrinted>
  <dcterms:created xsi:type="dcterms:W3CDTF">2018-12-27T11:58:00Z</dcterms:created>
  <dcterms:modified xsi:type="dcterms:W3CDTF">2018-12-27T12:07:00Z</dcterms:modified>
</cp:coreProperties>
</file>