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F651C" w14:textId="77777777" w:rsidR="00027F8F" w:rsidRPr="002834C9" w:rsidRDefault="009274F0" w:rsidP="002700AF">
      <w:pPr>
        <w:spacing w:after="0" w:line="360" w:lineRule="auto"/>
        <w:ind w:left="1134"/>
        <w:jc w:val="both"/>
        <w:outlineLvl w:val="0"/>
        <w:rPr>
          <w:rFonts w:ascii="Times New Roman" w:eastAsia="Times New Roman" w:hAnsi="Times New Roman" w:cs="Times New Roman"/>
          <w:b/>
          <w:sz w:val="32"/>
          <w:szCs w:val="24"/>
        </w:rPr>
      </w:pPr>
      <w:r w:rsidRPr="002834C9">
        <w:rPr>
          <w:rFonts w:ascii="Times New Roman" w:eastAsia="Times New Roman" w:hAnsi="Times New Roman" w:cs="Times New Roman"/>
          <w:b/>
          <w:sz w:val="32"/>
          <w:szCs w:val="24"/>
        </w:rPr>
        <w:t xml:space="preserve">Is there </w:t>
      </w:r>
      <w:r w:rsidR="00AF0EBE">
        <w:rPr>
          <w:rFonts w:ascii="Times New Roman" w:eastAsia="Times New Roman" w:hAnsi="Times New Roman" w:cs="Times New Roman"/>
          <w:b/>
          <w:sz w:val="32"/>
          <w:szCs w:val="24"/>
        </w:rPr>
        <w:t>S</w:t>
      </w:r>
      <w:r w:rsidRPr="002834C9">
        <w:rPr>
          <w:rFonts w:ascii="Times New Roman" w:eastAsia="Times New Roman" w:hAnsi="Times New Roman" w:cs="Times New Roman"/>
          <w:b/>
          <w:sz w:val="32"/>
          <w:szCs w:val="24"/>
        </w:rPr>
        <w:t xml:space="preserve">omething </w:t>
      </w:r>
      <w:r w:rsidR="00AF0EBE">
        <w:rPr>
          <w:rFonts w:ascii="Times New Roman" w:eastAsia="Times New Roman" w:hAnsi="Times New Roman" w:cs="Times New Roman"/>
          <w:b/>
          <w:sz w:val="32"/>
          <w:szCs w:val="24"/>
        </w:rPr>
        <w:t>M</w:t>
      </w:r>
      <w:r w:rsidRPr="002834C9">
        <w:rPr>
          <w:rFonts w:ascii="Times New Roman" w:eastAsia="Times New Roman" w:hAnsi="Times New Roman" w:cs="Times New Roman"/>
          <w:b/>
          <w:sz w:val="32"/>
          <w:szCs w:val="24"/>
        </w:rPr>
        <w:t xml:space="preserve">issing in the </w:t>
      </w:r>
      <w:r w:rsidR="00AF0EBE">
        <w:rPr>
          <w:rFonts w:ascii="Times New Roman" w:eastAsia="Times New Roman" w:hAnsi="Times New Roman" w:cs="Times New Roman"/>
          <w:b/>
          <w:sz w:val="32"/>
          <w:szCs w:val="24"/>
        </w:rPr>
        <w:t>P</w:t>
      </w:r>
      <w:r w:rsidRPr="002834C9">
        <w:rPr>
          <w:rFonts w:ascii="Times New Roman" w:eastAsia="Times New Roman" w:hAnsi="Times New Roman" w:cs="Times New Roman"/>
          <w:b/>
          <w:sz w:val="32"/>
          <w:szCs w:val="24"/>
        </w:rPr>
        <w:t xml:space="preserve">roposed Convention on Crimes against Humanity? </w:t>
      </w:r>
    </w:p>
    <w:p w14:paraId="0B76C94D" w14:textId="77777777" w:rsidR="002700AF" w:rsidRPr="002834C9" w:rsidRDefault="009274F0" w:rsidP="002700AF">
      <w:pPr>
        <w:spacing w:after="0" w:line="360" w:lineRule="auto"/>
        <w:ind w:left="1134"/>
        <w:jc w:val="both"/>
        <w:outlineLvl w:val="0"/>
        <w:rPr>
          <w:rFonts w:ascii="Times New Roman" w:eastAsia="Times New Roman" w:hAnsi="Times New Roman" w:cs="Times New Roman"/>
          <w:sz w:val="28"/>
          <w:szCs w:val="24"/>
        </w:rPr>
      </w:pPr>
      <w:r w:rsidRPr="002834C9">
        <w:rPr>
          <w:rFonts w:ascii="Times New Roman" w:eastAsia="Times New Roman" w:hAnsi="Times New Roman" w:cs="Times New Roman"/>
          <w:b/>
          <w:sz w:val="28"/>
          <w:szCs w:val="24"/>
        </w:rPr>
        <w:t xml:space="preserve">A </w:t>
      </w:r>
      <w:r w:rsidR="00AF0EBE">
        <w:rPr>
          <w:rFonts w:ascii="Times New Roman" w:eastAsia="Times New Roman" w:hAnsi="Times New Roman" w:cs="Times New Roman"/>
          <w:b/>
          <w:sz w:val="28"/>
          <w:szCs w:val="24"/>
        </w:rPr>
        <w:t>P</w:t>
      </w:r>
      <w:r w:rsidRPr="002834C9">
        <w:rPr>
          <w:rFonts w:ascii="Times New Roman" w:eastAsia="Times New Roman" w:hAnsi="Times New Roman" w:cs="Times New Roman"/>
          <w:b/>
          <w:sz w:val="28"/>
          <w:szCs w:val="24"/>
        </w:rPr>
        <w:t xml:space="preserve">olitical </w:t>
      </w:r>
      <w:r w:rsidR="00AF0EBE">
        <w:rPr>
          <w:rFonts w:ascii="Times New Roman" w:eastAsia="Times New Roman" w:hAnsi="Times New Roman" w:cs="Times New Roman"/>
          <w:b/>
          <w:sz w:val="28"/>
          <w:szCs w:val="24"/>
        </w:rPr>
        <w:t>Q</w:t>
      </w:r>
      <w:r w:rsidRPr="002834C9">
        <w:rPr>
          <w:rFonts w:ascii="Times New Roman" w:eastAsia="Times New Roman" w:hAnsi="Times New Roman" w:cs="Times New Roman"/>
          <w:b/>
          <w:sz w:val="28"/>
          <w:szCs w:val="24"/>
        </w:rPr>
        <w:t xml:space="preserve">uestion for </w:t>
      </w:r>
      <w:r w:rsidR="00AF0EBE">
        <w:rPr>
          <w:rFonts w:ascii="Times New Roman" w:eastAsia="Times New Roman" w:hAnsi="Times New Roman" w:cs="Times New Roman"/>
          <w:b/>
          <w:sz w:val="28"/>
          <w:szCs w:val="24"/>
        </w:rPr>
        <w:t>S</w:t>
      </w:r>
      <w:r w:rsidRPr="002834C9">
        <w:rPr>
          <w:rFonts w:ascii="Times New Roman" w:eastAsia="Times New Roman" w:hAnsi="Times New Roman" w:cs="Times New Roman"/>
          <w:b/>
          <w:sz w:val="28"/>
          <w:szCs w:val="24"/>
        </w:rPr>
        <w:t xml:space="preserve">tates and </w:t>
      </w:r>
      <w:r w:rsidR="00AF0EBE">
        <w:rPr>
          <w:rFonts w:ascii="Times New Roman" w:eastAsia="Times New Roman" w:hAnsi="Times New Roman" w:cs="Times New Roman"/>
          <w:b/>
          <w:sz w:val="28"/>
          <w:szCs w:val="24"/>
        </w:rPr>
        <w:t>a D</w:t>
      </w:r>
      <w:r w:rsidRPr="002834C9">
        <w:rPr>
          <w:rFonts w:ascii="Times New Roman" w:eastAsia="Times New Roman" w:hAnsi="Times New Roman" w:cs="Times New Roman"/>
          <w:b/>
          <w:sz w:val="28"/>
          <w:szCs w:val="24"/>
        </w:rPr>
        <w:t xml:space="preserve">octrinal </w:t>
      </w:r>
      <w:r w:rsidR="00AF0EBE">
        <w:rPr>
          <w:rFonts w:ascii="Times New Roman" w:eastAsia="Times New Roman" w:hAnsi="Times New Roman" w:cs="Times New Roman"/>
          <w:b/>
          <w:sz w:val="28"/>
          <w:szCs w:val="24"/>
        </w:rPr>
        <w:t>O</w:t>
      </w:r>
      <w:r w:rsidRPr="002834C9">
        <w:rPr>
          <w:rFonts w:ascii="Times New Roman" w:eastAsia="Times New Roman" w:hAnsi="Times New Roman" w:cs="Times New Roman"/>
          <w:b/>
          <w:sz w:val="28"/>
          <w:szCs w:val="24"/>
        </w:rPr>
        <w:t xml:space="preserve">ne for the International Law Commission </w:t>
      </w:r>
    </w:p>
    <w:p w14:paraId="671558A0" w14:textId="77777777" w:rsidR="00AE1DDC" w:rsidRPr="00EF4C33" w:rsidRDefault="00AE1DDC" w:rsidP="002834C9">
      <w:pPr>
        <w:spacing w:after="0" w:line="360" w:lineRule="auto"/>
        <w:ind w:left="1134"/>
        <w:jc w:val="both"/>
        <w:outlineLvl w:val="0"/>
        <w:rPr>
          <w:rFonts w:ascii="Times New Roman" w:eastAsia="Times New Roman" w:hAnsi="Times New Roman" w:cs="Times New Roman"/>
          <w:b/>
          <w:sz w:val="24"/>
          <w:szCs w:val="24"/>
        </w:rPr>
      </w:pPr>
      <w:r w:rsidRPr="002834C9">
        <w:rPr>
          <w:rFonts w:ascii="Times New Roman" w:eastAsia="Times New Roman" w:hAnsi="Times New Roman" w:cs="Times New Roman"/>
          <w:i/>
          <w:sz w:val="24"/>
          <w:szCs w:val="24"/>
        </w:rPr>
        <w:t>Sarah M.H. Nouwen</w:t>
      </w:r>
      <w:r w:rsidR="002700AF">
        <w:rPr>
          <w:rStyle w:val="FootnoteReference"/>
          <w:rFonts w:ascii="Times New Roman" w:eastAsia="Times New Roman" w:hAnsi="Times New Roman" w:cs="Times New Roman"/>
          <w:b/>
          <w:sz w:val="24"/>
          <w:szCs w:val="24"/>
        </w:rPr>
        <w:footnoteReference w:customMarkFollows="1" w:id="1"/>
        <w:t>*</w:t>
      </w:r>
    </w:p>
    <w:p w14:paraId="38F5E12B" w14:textId="77777777" w:rsidR="00AE1DDC" w:rsidRDefault="00AE1DDC" w:rsidP="00CE71D8">
      <w:pPr>
        <w:spacing w:after="0" w:line="360" w:lineRule="auto"/>
        <w:jc w:val="both"/>
        <w:rPr>
          <w:rFonts w:ascii="Times New Roman" w:eastAsia="Times New Roman" w:hAnsi="Times New Roman" w:cs="Times New Roman"/>
          <w:sz w:val="24"/>
          <w:szCs w:val="24"/>
        </w:rPr>
      </w:pPr>
    </w:p>
    <w:p w14:paraId="4BCC0FCD" w14:textId="77777777" w:rsidR="00AE1DDC" w:rsidRDefault="00AE1DDC" w:rsidP="00AE1DDC">
      <w:pPr>
        <w:rPr>
          <w:rFonts w:ascii="Times New Roman" w:hAnsi="Times New Roman" w:cs="Times New Roman"/>
          <w:i/>
          <w:iCs/>
          <w:sz w:val="24"/>
          <w:szCs w:val="24"/>
        </w:rPr>
      </w:pPr>
      <w:r>
        <w:rPr>
          <w:rFonts w:ascii="Times New Roman" w:hAnsi="Times New Roman" w:cs="Times New Roman"/>
          <w:b/>
          <w:iCs/>
          <w:sz w:val="24"/>
          <w:szCs w:val="24"/>
        </w:rPr>
        <w:t>Abstract</w:t>
      </w:r>
    </w:p>
    <w:p w14:paraId="6E871BDD" w14:textId="739D9911" w:rsidR="00AE1DDC" w:rsidRDefault="00AE1DDC" w:rsidP="002834C9">
      <w:pPr>
        <w:spacing w:line="360" w:lineRule="auto"/>
        <w:jc w:val="both"/>
        <w:rPr>
          <w:rFonts w:ascii="Times New Roman" w:hAnsi="Times New Roman" w:cs="Times New Roman"/>
          <w:i/>
          <w:iCs/>
          <w:sz w:val="24"/>
          <w:szCs w:val="24"/>
        </w:rPr>
      </w:pPr>
      <w:r w:rsidRPr="002834C9">
        <w:rPr>
          <w:rFonts w:ascii="Times New Roman" w:hAnsi="Times New Roman" w:cs="Times New Roman"/>
          <w:i/>
          <w:iCs/>
          <w:sz w:val="24"/>
          <w:szCs w:val="24"/>
        </w:rPr>
        <w:t>Part of a special issue on the proposed Convention on the Prevention and Punishment of Crimes against Humanity</w:t>
      </w:r>
      <w:r w:rsidR="009329EC">
        <w:rPr>
          <w:rFonts w:ascii="Times New Roman" w:hAnsi="Times New Roman" w:cs="Times New Roman"/>
          <w:i/>
          <w:iCs/>
          <w:sz w:val="24"/>
          <w:szCs w:val="24"/>
        </w:rPr>
        <w:t xml:space="preserve"> in the Journal of International Criminal Justice</w:t>
      </w:r>
      <w:r w:rsidRPr="002834C9">
        <w:rPr>
          <w:rFonts w:ascii="Times New Roman" w:hAnsi="Times New Roman" w:cs="Times New Roman"/>
          <w:i/>
          <w:iCs/>
          <w:sz w:val="24"/>
          <w:szCs w:val="24"/>
        </w:rPr>
        <w:t>, this essay does not comment on what is in the draft Convention, but on what is not in it: consideration of the demands of a negotiated settlement to end armed conflict or political oppression. In the context of a negotiated settlement, the essence of transitional justice is</w:t>
      </w:r>
      <w:r w:rsidRPr="002834C9">
        <w:rPr>
          <w:rFonts w:ascii="Times New Roman" w:eastAsia="Times New Roman" w:hAnsi="Times New Roman" w:cs="Times New Roman"/>
          <w:i/>
          <w:sz w:val="24"/>
          <w:szCs w:val="24"/>
        </w:rPr>
        <w:t xml:space="preserve"> </w:t>
      </w:r>
      <w:r w:rsidRPr="002834C9">
        <w:rPr>
          <w:rFonts w:ascii="Times New Roman" w:hAnsi="Times New Roman" w:cs="Times New Roman"/>
          <w:i/>
          <w:iCs/>
          <w:sz w:val="24"/>
          <w:szCs w:val="24"/>
        </w:rPr>
        <w:t xml:space="preserve">the </w:t>
      </w:r>
      <w:r w:rsidRPr="002834C9">
        <w:rPr>
          <w:rFonts w:ascii="Times New Roman" w:eastAsia="Times New Roman" w:hAnsi="Times New Roman" w:cs="Times New Roman"/>
          <w:i/>
          <w:sz w:val="24"/>
          <w:szCs w:val="24"/>
        </w:rPr>
        <w:t xml:space="preserve">pursuit of justice in a way that facilitates the simultaneous pursuit of peace and reconciliation. </w:t>
      </w:r>
      <w:r w:rsidRPr="002834C9">
        <w:rPr>
          <w:rFonts w:ascii="Times New Roman" w:hAnsi="Times New Roman" w:cs="Times New Roman"/>
          <w:i/>
          <w:iCs/>
          <w:sz w:val="24"/>
          <w:szCs w:val="24"/>
        </w:rPr>
        <w:t>Reading the draft articles and commentaries through this transitional-justice lens, the essay reflects upon the proposed Convention’s implications for attempts to transition from conflict to peace and from oppression to democracy. With the aim of opening up a debate, it poses a political question to states — essentially about the meaning of justice and who should decide on that meaning — and a doctrinal question to the International Law Commission — about the current status of amnesties in international law.</w:t>
      </w:r>
    </w:p>
    <w:p w14:paraId="0006104C" w14:textId="1617D6BF" w:rsidR="009329EC" w:rsidRPr="009329EC" w:rsidRDefault="009329EC" w:rsidP="002834C9">
      <w:pPr>
        <w:spacing w:line="360" w:lineRule="auto"/>
        <w:jc w:val="both"/>
        <w:rPr>
          <w:rFonts w:ascii="Times New Roman" w:hAnsi="Times New Roman" w:cs="Times New Roman"/>
          <w:iCs/>
          <w:sz w:val="24"/>
          <w:szCs w:val="24"/>
        </w:rPr>
      </w:pPr>
      <w:r>
        <w:rPr>
          <w:rFonts w:ascii="Times New Roman" w:hAnsi="Times New Roman" w:cs="Times New Roman"/>
          <w:b/>
          <w:iCs/>
          <w:sz w:val="24"/>
          <w:szCs w:val="24"/>
        </w:rPr>
        <w:t xml:space="preserve">Keywords: </w:t>
      </w:r>
      <w:r>
        <w:rPr>
          <w:rFonts w:ascii="Times New Roman" w:hAnsi="Times New Roman" w:cs="Times New Roman"/>
          <w:iCs/>
          <w:sz w:val="24"/>
          <w:szCs w:val="24"/>
        </w:rPr>
        <w:t>crimes against humanity, apartheid, duty to prosecute, transitional justice, peace negotiations, South Africa, Convention on the Prevention and Punishment of Crimes against Humanity, International Law Commission</w:t>
      </w:r>
      <w:bookmarkStart w:id="0" w:name="_GoBack"/>
      <w:bookmarkEnd w:id="0"/>
    </w:p>
    <w:p w14:paraId="5044D8CE" w14:textId="77777777" w:rsidR="00027F8F" w:rsidRPr="00EF4C33" w:rsidRDefault="00027F8F" w:rsidP="00CE71D8">
      <w:pPr>
        <w:spacing w:after="0" w:line="360" w:lineRule="auto"/>
        <w:jc w:val="both"/>
        <w:rPr>
          <w:rFonts w:ascii="Times New Roman" w:eastAsia="Times New Roman" w:hAnsi="Times New Roman" w:cs="Times New Roman"/>
          <w:b/>
          <w:sz w:val="24"/>
          <w:szCs w:val="24"/>
        </w:rPr>
      </w:pPr>
    </w:p>
    <w:p w14:paraId="7C3E49D9" w14:textId="77777777" w:rsidR="00027F8F" w:rsidRPr="00EF4C33" w:rsidRDefault="009274F0" w:rsidP="00037069">
      <w:pPr>
        <w:numPr>
          <w:ilvl w:val="0"/>
          <w:numId w:val="2"/>
        </w:numPr>
        <w:pBdr>
          <w:top w:val="nil"/>
          <w:left w:val="nil"/>
          <w:bottom w:val="nil"/>
          <w:right w:val="nil"/>
          <w:between w:val="nil"/>
        </w:pBdr>
        <w:spacing w:after="0" w:line="360" w:lineRule="auto"/>
        <w:ind w:left="567"/>
        <w:contextualSpacing/>
        <w:jc w:val="both"/>
        <w:rPr>
          <w:rFonts w:ascii="Times New Roman" w:eastAsia="Times New Roman" w:hAnsi="Times New Roman" w:cs="Times New Roman"/>
          <w:b/>
          <w:color w:val="000000"/>
          <w:sz w:val="24"/>
          <w:szCs w:val="24"/>
        </w:rPr>
      </w:pPr>
      <w:r w:rsidRPr="00EF4C33">
        <w:rPr>
          <w:rFonts w:ascii="Times New Roman" w:eastAsia="Times New Roman" w:hAnsi="Times New Roman" w:cs="Times New Roman"/>
          <w:b/>
          <w:color w:val="000000"/>
          <w:sz w:val="24"/>
          <w:szCs w:val="24"/>
        </w:rPr>
        <w:t xml:space="preserve">A Duty to Prosecute Crimes against Humanity </w:t>
      </w:r>
      <w:r w:rsidR="006A46BA" w:rsidRPr="00EF4C33">
        <w:rPr>
          <w:rFonts w:ascii="Times New Roman" w:eastAsia="Times New Roman" w:hAnsi="Times New Roman" w:cs="Times New Roman"/>
          <w:sz w:val="24"/>
          <w:szCs w:val="24"/>
        </w:rPr>
        <w:t>—</w:t>
      </w:r>
      <w:r w:rsidRPr="00EF4C33">
        <w:rPr>
          <w:rFonts w:ascii="Times New Roman" w:eastAsia="Times New Roman" w:hAnsi="Times New Roman" w:cs="Times New Roman"/>
          <w:b/>
          <w:color w:val="000000"/>
          <w:sz w:val="24"/>
          <w:szCs w:val="24"/>
        </w:rPr>
        <w:t xml:space="preserve"> Under </w:t>
      </w:r>
      <w:r w:rsidRPr="00EF4C33">
        <w:rPr>
          <w:rFonts w:ascii="Times New Roman" w:eastAsia="Times New Roman" w:hAnsi="Times New Roman" w:cs="Times New Roman"/>
          <w:b/>
          <w:sz w:val="24"/>
          <w:szCs w:val="24"/>
        </w:rPr>
        <w:t>A</w:t>
      </w:r>
      <w:r w:rsidRPr="00EF4C33">
        <w:rPr>
          <w:rFonts w:ascii="Times New Roman" w:eastAsia="Times New Roman" w:hAnsi="Times New Roman" w:cs="Times New Roman"/>
          <w:b/>
          <w:color w:val="000000"/>
          <w:sz w:val="24"/>
          <w:szCs w:val="24"/>
        </w:rPr>
        <w:t>ll Circumstances?</w:t>
      </w:r>
    </w:p>
    <w:p w14:paraId="7CA40310" w14:textId="77777777" w:rsidR="00027F8F" w:rsidRPr="00EF4C33" w:rsidRDefault="009274F0" w:rsidP="00CE71D8">
      <w:pPr>
        <w:spacing w:after="0" w:line="360" w:lineRule="auto"/>
        <w:jc w:val="both"/>
        <w:rPr>
          <w:rFonts w:ascii="Times New Roman" w:eastAsia="Times New Roman" w:hAnsi="Times New Roman" w:cs="Times New Roman"/>
          <w:sz w:val="24"/>
          <w:szCs w:val="24"/>
        </w:rPr>
      </w:pPr>
      <w:bookmarkStart w:id="1" w:name="_gjdgxs" w:colFirst="0" w:colLast="0"/>
      <w:bookmarkEnd w:id="1"/>
      <w:r w:rsidRPr="00EF4C33">
        <w:rPr>
          <w:rFonts w:ascii="Times New Roman" w:eastAsia="Times New Roman" w:hAnsi="Times New Roman" w:cs="Times New Roman"/>
          <w:sz w:val="24"/>
          <w:szCs w:val="24"/>
        </w:rPr>
        <w:t xml:space="preserve">There is more to the notable speed and ambition with which the International Law Commission </w:t>
      </w:r>
      <w:r w:rsidR="00705840">
        <w:rPr>
          <w:rFonts w:ascii="Times New Roman" w:eastAsia="Times New Roman" w:hAnsi="Times New Roman" w:cs="Times New Roman"/>
          <w:sz w:val="24"/>
          <w:szCs w:val="24"/>
        </w:rPr>
        <w:t xml:space="preserve">(ILC) </w:t>
      </w:r>
      <w:r w:rsidRPr="00EF4C33">
        <w:rPr>
          <w:rFonts w:ascii="Times New Roman" w:eastAsia="Times New Roman" w:hAnsi="Times New Roman" w:cs="Times New Roman"/>
          <w:sz w:val="24"/>
          <w:szCs w:val="24"/>
        </w:rPr>
        <w:t>has advanced its work on</w:t>
      </w:r>
      <w:r w:rsidR="000210A8">
        <w:rPr>
          <w:rFonts w:ascii="Times New Roman" w:eastAsia="Times New Roman" w:hAnsi="Times New Roman" w:cs="Times New Roman"/>
          <w:sz w:val="24"/>
          <w:szCs w:val="24"/>
        </w:rPr>
        <w:t xml:space="preserve"> draft articles for a </w:t>
      </w:r>
      <w:r w:rsidRPr="00EF4C33">
        <w:rPr>
          <w:rFonts w:ascii="Times New Roman" w:eastAsia="Times New Roman" w:hAnsi="Times New Roman" w:cs="Times New Roman"/>
          <w:sz w:val="24"/>
          <w:szCs w:val="24"/>
        </w:rPr>
        <w:t xml:space="preserve">Convention on the Prevention and </w:t>
      </w:r>
      <w:r w:rsidRPr="00EF4C33">
        <w:rPr>
          <w:rFonts w:ascii="Times New Roman" w:eastAsia="Times New Roman" w:hAnsi="Times New Roman" w:cs="Times New Roman"/>
          <w:sz w:val="24"/>
          <w:szCs w:val="24"/>
        </w:rPr>
        <w:lastRenderedPageBreak/>
        <w:t>Punishment of Crimes against Humanity than its Special Rapporteur’s remarkable energy and legal and diplomatic skills. One explanatory factor is a growing consensus that crimes against humanity are ‘orphans’, lacking their own suppression treaty, unlike their ‘sibling’ international crimes: genocide and war crimes.</w:t>
      </w:r>
      <w:r w:rsidRPr="00EF4C33">
        <w:rPr>
          <w:rFonts w:ascii="Times New Roman" w:eastAsia="Times New Roman" w:hAnsi="Times New Roman" w:cs="Times New Roman"/>
          <w:sz w:val="24"/>
          <w:szCs w:val="24"/>
          <w:vertAlign w:val="superscript"/>
        </w:rPr>
        <w:footnoteReference w:id="2"/>
      </w:r>
      <w:r w:rsidRPr="00EF4C33">
        <w:rPr>
          <w:rFonts w:ascii="Times New Roman" w:eastAsia="Times New Roman" w:hAnsi="Times New Roman" w:cs="Times New Roman"/>
          <w:sz w:val="24"/>
          <w:szCs w:val="24"/>
        </w:rPr>
        <w:t xml:space="preserve"> The availability of recent models for suppression treaties</w:t>
      </w:r>
      <w:r w:rsidR="00AF2482">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AF2482">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the Convention against Torture and the Convention against Enforced Disappearances</w:t>
      </w:r>
      <w:r w:rsidR="00AF2482">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AF2482">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must also have assisted. But perhaps the most significant explanation is </w:t>
      </w:r>
      <w:r w:rsidR="008D4908">
        <w:rPr>
          <w:rFonts w:ascii="Times New Roman" w:eastAsia="Times New Roman" w:hAnsi="Times New Roman" w:cs="Times New Roman"/>
          <w:sz w:val="24"/>
          <w:szCs w:val="24"/>
        </w:rPr>
        <w:t>the Commission’s approach to this project: rather than trying to codify existing custom, it has focused on pr</w:t>
      </w:r>
      <w:r w:rsidR="000210A8">
        <w:rPr>
          <w:rFonts w:ascii="Times New Roman" w:eastAsia="Times New Roman" w:hAnsi="Times New Roman" w:cs="Times New Roman"/>
          <w:sz w:val="24"/>
          <w:szCs w:val="24"/>
        </w:rPr>
        <w:t>ogressively developing the law.</w:t>
      </w:r>
      <w:bookmarkStart w:id="2" w:name="_Ref393977842"/>
      <w:r w:rsidRPr="00EF4C33">
        <w:rPr>
          <w:rFonts w:ascii="Times New Roman" w:eastAsia="Times New Roman" w:hAnsi="Times New Roman" w:cs="Times New Roman"/>
          <w:sz w:val="24"/>
          <w:szCs w:val="24"/>
          <w:vertAlign w:val="superscript"/>
        </w:rPr>
        <w:footnoteReference w:id="3"/>
      </w:r>
      <w:bookmarkEnd w:id="2"/>
      <w:r w:rsidRPr="00EF4C33">
        <w:rPr>
          <w:rFonts w:ascii="Times New Roman" w:eastAsia="Times New Roman" w:hAnsi="Times New Roman" w:cs="Times New Roman"/>
          <w:sz w:val="24"/>
          <w:szCs w:val="24"/>
        </w:rPr>
        <w:t xml:space="preserve"> This has allowed the Commission to avoid the laborious process of ascertaining the status of customary law. </w:t>
      </w:r>
      <w:r w:rsidRPr="00EF4C33">
        <w:rPr>
          <w:rFonts w:ascii="Times New Roman" w:eastAsia="Times New Roman" w:hAnsi="Times New Roman" w:cs="Times New Roman"/>
          <w:i/>
          <w:sz w:val="24"/>
          <w:szCs w:val="24"/>
        </w:rPr>
        <w:t xml:space="preserve"> </w:t>
      </w:r>
    </w:p>
    <w:p w14:paraId="3B16791F" w14:textId="77777777" w:rsidR="00705840"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Arguably, however, the ‘progressive development of international law’ requires even more work and more inclusive debate than the </w:t>
      </w:r>
      <w:r w:rsidR="008728E3">
        <w:rPr>
          <w:rFonts w:ascii="Times New Roman" w:eastAsia="Times New Roman" w:hAnsi="Times New Roman" w:cs="Times New Roman"/>
          <w:sz w:val="24"/>
          <w:szCs w:val="24"/>
        </w:rPr>
        <w:t>codification</w:t>
      </w:r>
      <w:r w:rsidRPr="00EF4C33">
        <w:rPr>
          <w:rFonts w:ascii="Times New Roman" w:eastAsia="Times New Roman" w:hAnsi="Times New Roman" w:cs="Times New Roman"/>
          <w:sz w:val="24"/>
          <w:szCs w:val="24"/>
        </w:rPr>
        <w:t xml:space="preserve"> of customary law. For in this pre-law phase, choices are made about what the law should become, in light of a vision</w:t>
      </w:r>
      <w:r w:rsidR="00D104F2">
        <w:rPr>
          <w:rFonts w:ascii="Times New Roman" w:eastAsia="Times New Roman" w:hAnsi="Times New Roman" w:cs="Times New Roman"/>
          <w:sz w:val="24"/>
          <w:szCs w:val="24"/>
        </w:rPr>
        <w:t xml:space="preserve"> of</w:t>
      </w:r>
      <w:r w:rsidRPr="00EF4C33">
        <w:rPr>
          <w:rFonts w:ascii="Times New Roman" w:eastAsia="Times New Roman" w:hAnsi="Times New Roman" w:cs="Times New Roman"/>
          <w:sz w:val="24"/>
          <w:szCs w:val="24"/>
        </w:rPr>
        <w:t xml:space="preserve"> what society should look like, in other words, what would amount to ‘progress’. These are inherently political choices that c</w:t>
      </w:r>
      <w:r w:rsidR="005760B1">
        <w:rPr>
          <w:rFonts w:ascii="Times New Roman" w:eastAsia="Times New Roman" w:hAnsi="Times New Roman" w:cs="Times New Roman"/>
          <w:sz w:val="24"/>
          <w:szCs w:val="24"/>
        </w:rPr>
        <w:t>annot be left to lawyers alone.</w:t>
      </w:r>
      <w:r w:rsidR="00535D35">
        <w:rPr>
          <w:rStyle w:val="FootnoteReference"/>
          <w:rFonts w:ascii="Times New Roman" w:eastAsia="Times New Roman" w:hAnsi="Times New Roman" w:cs="Times New Roman"/>
          <w:sz w:val="24"/>
          <w:szCs w:val="24"/>
        </w:rPr>
        <w:footnoteReference w:id="4"/>
      </w:r>
    </w:p>
    <w:p w14:paraId="68315AEC" w14:textId="77777777" w:rsidR="00E475F0"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This debate is required particularly for what is at the heart of the draft articles: the obligation to respond to crimes against humanity through criminal proceedings. </w:t>
      </w:r>
      <w:r w:rsidR="00705840">
        <w:rPr>
          <w:rFonts w:ascii="Times New Roman" w:eastAsia="Times New Roman" w:hAnsi="Times New Roman" w:cs="Times New Roman"/>
          <w:sz w:val="24"/>
          <w:szCs w:val="24"/>
        </w:rPr>
        <w:t>M</w:t>
      </w:r>
      <w:r w:rsidRPr="00EF4C33">
        <w:rPr>
          <w:rFonts w:ascii="Times New Roman" w:eastAsia="Times New Roman" w:hAnsi="Times New Roman" w:cs="Times New Roman"/>
          <w:sz w:val="24"/>
          <w:szCs w:val="24"/>
        </w:rPr>
        <w:t>ost of the draft Convention’s obligations on states are dedicated to criminalisation, investigation, prosecution, extradition, the trial and mutual legal assistance.</w:t>
      </w:r>
      <w:r w:rsidR="00E475F0">
        <w:rPr>
          <w:rFonts w:ascii="Times New Roman" w:eastAsia="Times New Roman" w:hAnsi="Times New Roman" w:cs="Times New Roman"/>
          <w:sz w:val="24"/>
          <w:szCs w:val="24"/>
        </w:rPr>
        <w:t xml:space="preserve"> C</w:t>
      </w:r>
      <w:r w:rsidR="00E475F0" w:rsidRPr="00EF4C33">
        <w:rPr>
          <w:rFonts w:ascii="Times New Roman" w:eastAsia="Times New Roman" w:hAnsi="Times New Roman" w:cs="Times New Roman"/>
          <w:sz w:val="24"/>
          <w:szCs w:val="24"/>
        </w:rPr>
        <w:t>riminal proceedings</w:t>
      </w:r>
      <w:r w:rsidR="00E475F0">
        <w:rPr>
          <w:rFonts w:ascii="Times New Roman" w:eastAsia="Times New Roman" w:hAnsi="Times New Roman" w:cs="Times New Roman"/>
          <w:sz w:val="24"/>
          <w:szCs w:val="24"/>
        </w:rPr>
        <w:t xml:space="preserve"> </w:t>
      </w:r>
      <w:r w:rsidR="00153A63">
        <w:rPr>
          <w:rFonts w:ascii="Times New Roman" w:eastAsia="Times New Roman" w:hAnsi="Times New Roman" w:cs="Times New Roman"/>
          <w:sz w:val="24"/>
          <w:szCs w:val="24"/>
        </w:rPr>
        <w:t>with a view to m</w:t>
      </w:r>
      <w:r w:rsidR="00016C9B">
        <w:rPr>
          <w:rFonts w:ascii="Times New Roman" w:eastAsia="Times New Roman" w:hAnsi="Times New Roman" w:cs="Times New Roman"/>
          <w:sz w:val="24"/>
          <w:szCs w:val="24"/>
        </w:rPr>
        <w:t>eting out punishment</w:t>
      </w:r>
      <w:r w:rsidR="00E475F0">
        <w:rPr>
          <w:rFonts w:ascii="Times New Roman" w:eastAsia="Times New Roman" w:hAnsi="Times New Roman" w:cs="Times New Roman"/>
          <w:sz w:val="24"/>
          <w:szCs w:val="24"/>
        </w:rPr>
        <w:t xml:space="preserve"> </w:t>
      </w:r>
      <w:r w:rsidR="00E475F0" w:rsidRPr="00EF4C33">
        <w:rPr>
          <w:rFonts w:ascii="Times New Roman" w:eastAsia="Times New Roman" w:hAnsi="Times New Roman" w:cs="Times New Roman"/>
          <w:sz w:val="24"/>
          <w:szCs w:val="24"/>
        </w:rPr>
        <w:t>may seem the corollary of understanding cr</w:t>
      </w:r>
      <w:r w:rsidR="00016C9B">
        <w:rPr>
          <w:rFonts w:ascii="Times New Roman" w:eastAsia="Times New Roman" w:hAnsi="Times New Roman" w:cs="Times New Roman"/>
          <w:sz w:val="24"/>
          <w:szCs w:val="24"/>
        </w:rPr>
        <w:t xml:space="preserve">imes against humanity as crimes: </w:t>
      </w:r>
      <w:r w:rsidR="00E475F0">
        <w:rPr>
          <w:rFonts w:ascii="Times New Roman" w:eastAsia="Times New Roman" w:hAnsi="Times New Roman" w:cs="Times New Roman"/>
          <w:sz w:val="24"/>
          <w:szCs w:val="24"/>
        </w:rPr>
        <w:t>a crime is ‘a legal rule the violation of which results in the liability of the violator to punishment’</w:t>
      </w:r>
      <w:r w:rsidR="00981102">
        <w:rPr>
          <w:rFonts w:ascii="Times New Roman" w:eastAsia="Times New Roman" w:hAnsi="Times New Roman" w:cs="Times New Roman"/>
          <w:sz w:val="24"/>
          <w:szCs w:val="24"/>
        </w:rPr>
        <w:t>.</w:t>
      </w:r>
      <w:r w:rsidR="00E475F0">
        <w:rPr>
          <w:rStyle w:val="FootnoteReference"/>
          <w:rFonts w:ascii="Times New Roman" w:eastAsia="Times New Roman" w:hAnsi="Times New Roman" w:cs="Times New Roman"/>
          <w:sz w:val="24"/>
          <w:szCs w:val="24"/>
        </w:rPr>
        <w:footnoteReference w:id="5"/>
      </w:r>
      <w:r w:rsidR="00E475F0">
        <w:rPr>
          <w:rFonts w:ascii="Times New Roman" w:eastAsia="Times New Roman" w:hAnsi="Times New Roman" w:cs="Times New Roman"/>
          <w:sz w:val="24"/>
          <w:szCs w:val="24"/>
        </w:rPr>
        <w:t xml:space="preserve"> The liability to punishment </w:t>
      </w:r>
      <w:r w:rsidR="00016C9B">
        <w:rPr>
          <w:rFonts w:ascii="Times New Roman" w:eastAsia="Times New Roman" w:hAnsi="Times New Roman" w:cs="Times New Roman"/>
          <w:sz w:val="24"/>
          <w:szCs w:val="24"/>
        </w:rPr>
        <w:t xml:space="preserve">differentiates criminal law from bodies of law that ‘merely’ prohibit. However, practically, </w:t>
      </w:r>
      <w:r w:rsidR="00E475F0">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rimes against humanity are committed in, and often intertwined with, complex political and social contexts</w:t>
      </w:r>
      <w:r w:rsidR="00E475F0">
        <w:rPr>
          <w:rFonts w:ascii="Times New Roman" w:eastAsia="Times New Roman" w:hAnsi="Times New Roman" w:cs="Times New Roman"/>
          <w:sz w:val="24"/>
          <w:szCs w:val="24"/>
        </w:rPr>
        <w:t>, and</w:t>
      </w:r>
      <w:r w:rsidR="00BF66B8">
        <w:rPr>
          <w:rFonts w:ascii="Times New Roman" w:eastAsia="Times New Roman" w:hAnsi="Times New Roman" w:cs="Times New Roman"/>
          <w:sz w:val="24"/>
          <w:szCs w:val="24"/>
        </w:rPr>
        <w:t xml:space="preserve"> in some instances the criminal-</w:t>
      </w:r>
      <w:r w:rsidR="00E475F0">
        <w:rPr>
          <w:rFonts w:ascii="Times New Roman" w:eastAsia="Times New Roman" w:hAnsi="Times New Roman" w:cs="Times New Roman"/>
          <w:sz w:val="24"/>
          <w:szCs w:val="24"/>
        </w:rPr>
        <w:t xml:space="preserve">law response may make it more difficult to address these contexts. It may even become an obstacle </w:t>
      </w:r>
      <w:r w:rsidR="00E475F0">
        <w:rPr>
          <w:rFonts w:ascii="Times New Roman" w:eastAsia="Times New Roman" w:hAnsi="Times New Roman" w:cs="Times New Roman"/>
          <w:sz w:val="24"/>
          <w:szCs w:val="24"/>
        </w:rPr>
        <w:lastRenderedPageBreak/>
        <w:t xml:space="preserve">to ending and preventing crimes against humanity. </w:t>
      </w:r>
      <w:r w:rsidR="00016C9B">
        <w:rPr>
          <w:rFonts w:ascii="Times New Roman" w:eastAsia="Times New Roman" w:hAnsi="Times New Roman" w:cs="Times New Roman"/>
          <w:sz w:val="24"/>
          <w:szCs w:val="24"/>
        </w:rPr>
        <w:t xml:space="preserve">In those scenarios it </w:t>
      </w:r>
      <w:r w:rsidR="00716731">
        <w:rPr>
          <w:rFonts w:ascii="Times New Roman" w:eastAsia="Times New Roman" w:hAnsi="Times New Roman" w:cs="Times New Roman"/>
          <w:sz w:val="24"/>
          <w:szCs w:val="24"/>
        </w:rPr>
        <w:t>matters</w:t>
      </w:r>
      <w:r w:rsidR="00016C9B">
        <w:rPr>
          <w:rFonts w:ascii="Times New Roman" w:eastAsia="Times New Roman" w:hAnsi="Times New Roman" w:cs="Times New Roman"/>
          <w:sz w:val="24"/>
          <w:szCs w:val="24"/>
        </w:rPr>
        <w:t xml:space="preserve"> that</w:t>
      </w:r>
      <w:r w:rsidR="00BF762F">
        <w:rPr>
          <w:rFonts w:ascii="Times New Roman" w:eastAsia="Times New Roman" w:hAnsi="Times New Roman" w:cs="Times New Roman"/>
          <w:sz w:val="24"/>
          <w:szCs w:val="24"/>
        </w:rPr>
        <w:t xml:space="preserve"> the concept of a crime in international law</w:t>
      </w:r>
      <w:r w:rsidR="00016C9B">
        <w:rPr>
          <w:rFonts w:ascii="Times New Roman" w:eastAsia="Times New Roman" w:hAnsi="Times New Roman" w:cs="Times New Roman"/>
          <w:sz w:val="24"/>
          <w:szCs w:val="24"/>
        </w:rPr>
        <w:t xml:space="preserve"> merely lead</w:t>
      </w:r>
      <w:r w:rsidR="00BF762F">
        <w:rPr>
          <w:rFonts w:ascii="Times New Roman" w:eastAsia="Times New Roman" w:hAnsi="Times New Roman" w:cs="Times New Roman"/>
          <w:sz w:val="24"/>
          <w:szCs w:val="24"/>
        </w:rPr>
        <w:t>s</w:t>
      </w:r>
      <w:r w:rsidR="00016C9B">
        <w:rPr>
          <w:rFonts w:ascii="Times New Roman" w:eastAsia="Times New Roman" w:hAnsi="Times New Roman" w:cs="Times New Roman"/>
          <w:sz w:val="24"/>
          <w:szCs w:val="24"/>
        </w:rPr>
        <w:t xml:space="preserve"> to </w:t>
      </w:r>
      <w:r w:rsidR="00016C9B">
        <w:rPr>
          <w:rFonts w:ascii="Times New Roman" w:eastAsia="Times New Roman" w:hAnsi="Times New Roman" w:cs="Times New Roman"/>
          <w:i/>
          <w:sz w:val="24"/>
          <w:szCs w:val="24"/>
        </w:rPr>
        <w:t xml:space="preserve">liability </w:t>
      </w:r>
      <w:r w:rsidR="00016C9B">
        <w:rPr>
          <w:rFonts w:ascii="Times New Roman" w:eastAsia="Times New Roman" w:hAnsi="Times New Roman" w:cs="Times New Roman"/>
          <w:sz w:val="24"/>
          <w:szCs w:val="24"/>
        </w:rPr>
        <w:t>to punishment and do</w:t>
      </w:r>
      <w:r w:rsidR="00BF762F">
        <w:rPr>
          <w:rFonts w:ascii="Times New Roman" w:eastAsia="Times New Roman" w:hAnsi="Times New Roman" w:cs="Times New Roman"/>
          <w:sz w:val="24"/>
          <w:szCs w:val="24"/>
        </w:rPr>
        <w:t>es</w:t>
      </w:r>
      <w:r w:rsidR="00016C9B">
        <w:rPr>
          <w:rFonts w:ascii="Times New Roman" w:eastAsia="Times New Roman" w:hAnsi="Times New Roman" w:cs="Times New Roman"/>
          <w:sz w:val="24"/>
          <w:szCs w:val="24"/>
        </w:rPr>
        <w:t xml:space="preserve"> not by definition </w:t>
      </w:r>
      <w:r w:rsidR="00016C9B" w:rsidRPr="00016C9B">
        <w:rPr>
          <w:rFonts w:ascii="Times New Roman" w:eastAsia="Times New Roman" w:hAnsi="Times New Roman" w:cs="Times New Roman"/>
          <w:i/>
          <w:sz w:val="24"/>
          <w:szCs w:val="24"/>
        </w:rPr>
        <w:t>require</w:t>
      </w:r>
      <w:r w:rsidR="00BF762F">
        <w:rPr>
          <w:rFonts w:ascii="Times New Roman" w:eastAsia="Times New Roman" w:hAnsi="Times New Roman" w:cs="Times New Roman"/>
          <w:sz w:val="24"/>
          <w:szCs w:val="24"/>
        </w:rPr>
        <w:t xml:space="preserve"> punishment</w:t>
      </w:r>
      <w:r w:rsidR="00016C9B">
        <w:rPr>
          <w:rFonts w:ascii="Times New Roman" w:eastAsia="Times New Roman" w:hAnsi="Times New Roman" w:cs="Times New Roman"/>
          <w:sz w:val="24"/>
          <w:szCs w:val="24"/>
        </w:rPr>
        <w:t xml:space="preserve"> or the proceedings through which punishment can be imposed. </w:t>
      </w:r>
      <w:r w:rsidR="00E475F0" w:rsidRPr="00EF4C33">
        <w:rPr>
          <w:rFonts w:ascii="Times New Roman" w:eastAsia="Times New Roman" w:hAnsi="Times New Roman" w:cs="Times New Roman"/>
          <w:sz w:val="24"/>
          <w:szCs w:val="24"/>
        </w:rPr>
        <w:t>There can thus be agreement that crimes against humanity are crimes</w:t>
      </w:r>
      <w:r w:rsidR="00981102">
        <w:rPr>
          <w:rFonts w:ascii="Times New Roman" w:eastAsia="Times New Roman" w:hAnsi="Times New Roman" w:cs="Times New Roman"/>
          <w:sz w:val="24"/>
          <w:szCs w:val="24"/>
        </w:rPr>
        <w:t xml:space="preserve"> </w:t>
      </w:r>
      <w:r w:rsidR="00E475F0" w:rsidRPr="00EF4C33">
        <w:rPr>
          <w:rFonts w:ascii="Times New Roman" w:eastAsia="Times New Roman" w:hAnsi="Times New Roman" w:cs="Times New Roman"/>
          <w:sz w:val="24"/>
          <w:szCs w:val="24"/>
        </w:rPr>
        <w:t>—</w:t>
      </w:r>
      <w:r w:rsidR="00981102">
        <w:rPr>
          <w:rFonts w:ascii="Times New Roman" w:eastAsia="Times New Roman" w:hAnsi="Times New Roman" w:cs="Times New Roman"/>
          <w:sz w:val="24"/>
          <w:szCs w:val="24"/>
        </w:rPr>
        <w:t xml:space="preserve"> </w:t>
      </w:r>
      <w:r w:rsidR="00E475F0" w:rsidRPr="00EF4C33">
        <w:rPr>
          <w:rFonts w:ascii="Times New Roman" w:eastAsia="Times New Roman" w:hAnsi="Times New Roman" w:cs="Times New Roman"/>
          <w:sz w:val="24"/>
          <w:szCs w:val="24"/>
        </w:rPr>
        <w:t>indeed, among the most horrific crimes</w:t>
      </w:r>
      <w:r w:rsidR="00981102">
        <w:rPr>
          <w:rFonts w:ascii="Times New Roman" w:eastAsia="Times New Roman" w:hAnsi="Times New Roman" w:cs="Times New Roman"/>
          <w:sz w:val="24"/>
          <w:szCs w:val="24"/>
        </w:rPr>
        <w:t xml:space="preserve"> </w:t>
      </w:r>
      <w:r w:rsidR="00E475F0" w:rsidRPr="00EF4C33">
        <w:rPr>
          <w:rFonts w:ascii="Times New Roman" w:eastAsia="Times New Roman" w:hAnsi="Times New Roman" w:cs="Times New Roman"/>
          <w:sz w:val="24"/>
          <w:szCs w:val="24"/>
        </w:rPr>
        <w:t>—</w:t>
      </w:r>
      <w:r w:rsidR="00981102">
        <w:rPr>
          <w:rFonts w:ascii="Times New Roman" w:eastAsia="Times New Roman" w:hAnsi="Times New Roman" w:cs="Times New Roman"/>
          <w:sz w:val="24"/>
          <w:szCs w:val="24"/>
        </w:rPr>
        <w:t xml:space="preserve"> </w:t>
      </w:r>
      <w:r w:rsidR="00E475F0" w:rsidRPr="00EF4C33">
        <w:rPr>
          <w:rFonts w:ascii="Times New Roman" w:eastAsia="Times New Roman" w:hAnsi="Times New Roman" w:cs="Times New Roman"/>
          <w:sz w:val="24"/>
          <w:szCs w:val="24"/>
        </w:rPr>
        <w:t xml:space="preserve">and also that they must be prevented, and yet be disagreement as to whether they should </w:t>
      </w:r>
      <w:r w:rsidR="00E475F0">
        <w:rPr>
          <w:rFonts w:ascii="Times New Roman" w:eastAsia="Times New Roman" w:hAnsi="Times New Roman" w:cs="Times New Roman"/>
          <w:sz w:val="24"/>
          <w:szCs w:val="24"/>
        </w:rPr>
        <w:t>under all circumstances</w:t>
      </w:r>
      <w:r w:rsidR="00E475F0" w:rsidRPr="00EF4C33">
        <w:rPr>
          <w:rFonts w:ascii="Times New Roman" w:eastAsia="Times New Roman" w:hAnsi="Times New Roman" w:cs="Times New Roman"/>
          <w:sz w:val="24"/>
          <w:szCs w:val="24"/>
        </w:rPr>
        <w:t xml:space="preserve"> solicit the response</w:t>
      </w:r>
      <w:r w:rsidR="00E475F0">
        <w:rPr>
          <w:rFonts w:ascii="Times New Roman" w:eastAsia="Times New Roman" w:hAnsi="Times New Roman" w:cs="Times New Roman"/>
          <w:sz w:val="24"/>
          <w:szCs w:val="24"/>
        </w:rPr>
        <w:t xml:space="preserve"> prescribed in the draft </w:t>
      </w:r>
      <w:r w:rsidR="00716731">
        <w:rPr>
          <w:rFonts w:ascii="Times New Roman" w:eastAsia="Times New Roman" w:hAnsi="Times New Roman" w:cs="Times New Roman"/>
          <w:sz w:val="24"/>
          <w:szCs w:val="24"/>
        </w:rPr>
        <w:t>articles</w:t>
      </w:r>
      <w:r w:rsidR="00E475F0" w:rsidRPr="00EF4C33">
        <w:rPr>
          <w:rFonts w:ascii="Times New Roman" w:eastAsia="Times New Roman" w:hAnsi="Times New Roman" w:cs="Times New Roman"/>
          <w:sz w:val="24"/>
          <w:szCs w:val="24"/>
        </w:rPr>
        <w:t>: criminal proceedings</w:t>
      </w:r>
      <w:r w:rsidR="00016C9B">
        <w:rPr>
          <w:rFonts w:ascii="Times New Roman" w:eastAsia="Times New Roman" w:hAnsi="Times New Roman" w:cs="Times New Roman"/>
          <w:sz w:val="24"/>
          <w:szCs w:val="24"/>
        </w:rPr>
        <w:t xml:space="preserve"> with a view to imposing criminal sanctions</w:t>
      </w:r>
      <w:r w:rsidR="00E475F0" w:rsidRPr="00EF4C33">
        <w:rPr>
          <w:rFonts w:ascii="Times New Roman" w:eastAsia="Times New Roman" w:hAnsi="Times New Roman" w:cs="Times New Roman"/>
          <w:sz w:val="24"/>
          <w:szCs w:val="24"/>
        </w:rPr>
        <w:t>.</w:t>
      </w:r>
      <w:r w:rsidR="00E475F0" w:rsidRPr="00EF4C33">
        <w:rPr>
          <w:rFonts w:ascii="Times New Roman" w:eastAsia="Times New Roman" w:hAnsi="Times New Roman" w:cs="Times New Roman"/>
          <w:sz w:val="24"/>
          <w:szCs w:val="24"/>
          <w:vertAlign w:val="superscript"/>
        </w:rPr>
        <w:footnoteReference w:id="6"/>
      </w:r>
    </w:p>
    <w:p w14:paraId="487A0692" w14:textId="6D50BBD0" w:rsidR="00027F8F"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The proposed Convention would amount to a significant intensification of the criminal</w:t>
      </w:r>
      <w:r w:rsidR="003A35D5">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justice approach to crimes against humanity and may seriously reduce societies’ freedom to forego criminal proceedings. First, states </w:t>
      </w:r>
      <w:r w:rsidR="007B219F">
        <w:rPr>
          <w:rFonts w:ascii="Times New Roman" w:eastAsia="Times New Roman" w:hAnsi="Times New Roman" w:cs="Times New Roman"/>
          <w:sz w:val="24"/>
          <w:szCs w:val="24"/>
        </w:rPr>
        <w:t xml:space="preserve">parties </w:t>
      </w:r>
      <w:r w:rsidRPr="00EF4C33">
        <w:rPr>
          <w:rFonts w:ascii="Times New Roman" w:eastAsia="Times New Roman" w:hAnsi="Times New Roman" w:cs="Times New Roman"/>
          <w:sz w:val="24"/>
          <w:szCs w:val="24"/>
        </w:rPr>
        <w:t>in which the crimes were committed would be under an obligation to instigate criminal proceedings</w:t>
      </w:r>
      <w:r w:rsidR="007B219F">
        <w:rPr>
          <w:rFonts w:ascii="Times New Roman" w:eastAsia="Times New Roman" w:hAnsi="Times New Roman" w:cs="Times New Roman"/>
          <w:sz w:val="24"/>
          <w:szCs w:val="24"/>
        </w:rPr>
        <w:t xml:space="preserve"> for crimes against humanity</w:t>
      </w:r>
      <w:r w:rsidR="00981102">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981102">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an obligation </w:t>
      </w:r>
      <w:r w:rsidR="00B667CC">
        <w:rPr>
          <w:rFonts w:ascii="Times New Roman" w:eastAsia="Times New Roman" w:hAnsi="Times New Roman" w:cs="Times New Roman"/>
          <w:sz w:val="24"/>
          <w:szCs w:val="24"/>
        </w:rPr>
        <w:t xml:space="preserve">of which </w:t>
      </w:r>
      <w:r w:rsidRPr="00EF4C33">
        <w:rPr>
          <w:rFonts w:ascii="Times New Roman" w:eastAsia="Times New Roman" w:hAnsi="Times New Roman" w:cs="Times New Roman"/>
          <w:sz w:val="24"/>
          <w:szCs w:val="24"/>
        </w:rPr>
        <w:t xml:space="preserve">the customary status is </w:t>
      </w:r>
      <w:r w:rsidR="008728E3">
        <w:rPr>
          <w:rFonts w:ascii="Times New Roman" w:eastAsia="Times New Roman" w:hAnsi="Times New Roman" w:cs="Times New Roman"/>
          <w:sz w:val="24"/>
          <w:szCs w:val="24"/>
        </w:rPr>
        <w:t>unclear</w:t>
      </w:r>
      <w:r w:rsidR="00B667CC">
        <w:rPr>
          <w:rFonts w:ascii="Times New Roman" w:eastAsia="Times New Roman" w:hAnsi="Times New Roman" w:cs="Times New Roman"/>
          <w:sz w:val="24"/>
          <w:szCs w:val="24"/>
        </w:rPr>
        <w:t xml:space="preserve"> and that is </w:t>
      </w:r>
      <w:r w:rsidR="00B667CC" w:rsidRPr="00EF4C33">
        <w:rPr>
          <w:rFonts w:ascii="Times New Roman" w:eastAsia="Times New Roman" w:hAnsi="Times New Roman" w:cs="Times New Roman"/>
          <w:sz w:val="24"/>
          <w:szCs w:val="24"/>
        </w:rPr>
        <w:t>absent from the Rome Statute</w:t>
      </w:r>
      <w:r w:rsidR="00B667CC">
        <w:rPr>
          <w:rFonts w:ascii="Times New Roman" w:eastAsia="Times New Roman" w:hAnsi="Times New Roman" w:cs="Times New Roman"/>
          <w:sz w:val="24"/>
          <w:szCs w:val="24"/>
        </w:rPr>
        <w:t xml:space="preserve"> of the International Criminal Court (ICC). </w:t>
      </w:r>
      <w:r w:rsidRPr="00EF4C33">
        <w:rPr>
          <w:rFonts w:ascii="Times New Roman" w:eastAsia="Times New Roman" w:hAnsi="Times New Roman" w:cs="Times New Roman"/>
          <w:sz w:val="24"/>
          <w:szCs w:val="24"/>
        </w:rPr>
        <w:t xml:space="preserve">Secondly, </w:t>
      </w:r>
      <w:r w:rsidR="007B219F">
        <w:rPr>
          <w:rFonts w:ascii="Times New Roman" w:eastAsia="Times New Roman" w:hAnsi="Times New Roman" w:cs="Times New Roman"/>
          <w:sz w:val="24"/>
          <w:szCs w:val="24"/>
        </w:rPr>
        <w:t>in states parties where</w:t>
      </w:r>
      <w:r w:rsidR="0098765C">
        <w:rPr>
          <w:rFonts w:ascii="Times New Roman" w:eastAsia="Times New Roman" w:hAnsi="Times New Roman" w:cs="Times New Roman"/>
          <w:sz w:val="24"/>
          <w:szCs w:val="24"/>
        </w:rPr>
        <w:t xml:space="preserve"> the crimes were not committed but</w:t>
      </w:r>
      <w:r w:rsidR="007B219F">
        <w:rPr>
          <w:rFonts w:ascii="Times New Roman" w:eastAsia="Times New Roman" w:hAnsi="Times New Roman" w:cs="Times New Roman"/>
          <w:sz w:val="24"/>
          <w:szCs w:val="24"/>
        </w:rPr>
        <w:t xml:space="preserve"> a suspect is present, </w:t>
      </w:r>
      <w:r w:rsidRPr="00EF4C33">
        <w:rPr>
          <w:rFonts w:ascii="Times New Roman" w:eastAsia="Times New Roman" w:hAnsi="Times New Roman" w:cs="Times New Roman"/>
          <w:sz w:val="24"/>
          <w:szCs w:val="24"/>
        </w:rPr>
        <w:t xml:space="preserve">the Convention </w:t>
      </w:r>
      <w:r w:rsidR="00705840">
        <w:rPr>
          <w:rFonts w:ascii="Times New Roman" w:eastAsia="Times New Roman" w:hAnsi="Times New Roman" w:cs="Times New Roman"/>
          <w:sz w:val="24"/>
          <w:szCs w:val="24"/>
        </w:rPr>
        <w:t>would transform</w:t>
      </w:r>
      <w:r w:rsidRPr="00EF4C33">
        <w:rPr>
          <w:rFonts w:ascii="Times New Roman" w:eastAsia="Times New Roman" w:hAnsi="Times New Roman" w:cs="Times New Roman"/>
          <w:sz w:val="24"/>
          <w:szCs w:val="24"/>
        </w:rPr>
        <w:t xml:space="preserve"> what is probably currently an authorization under customary in</w:t>
      </w:r>
      <w:r w:rsidR="007B219F">
        <w:rPr>
          <w:rFonts w:ascii="Times New Roman" w:eastAsia="Times New Roman" w:hAnsi="Times New Roman" w:cs="Times New Roman"/>
          <w:sz w:val="24"/>
          <w:szCs w:val="24"/>
        </w:rPr>
        <w:t>ternational law into a duty: they</w:t>
      </w:r>
      <w:r w:rsidRPr="00EF4C33">
        <w:rPr>
          <w:rFonts w:ascii="Times New Roman" w:eastAsia="Times New Roman" w:hAnsi="Times New Roman" w:cs="Times New Roman"/>
          <w:sz w:val="24"/>
          <w:szCs w:val="24"/>
        </w:rPr>
        <w:t xml:space="preserve"> would be obliged to exercise criminal jurisdiction.</w:t>
      </w:r>
      <w:r w:rsidR="001C20D8">
        <w:rPr>
          <w:rStyle w:val="FootnoteReference"/>
          <w:rFonts w:ascii="Times New Roman" w:eastAsia="Times New Roman" w:hAnsi="Times New Roman" w:cs="Times New Roman"/>
          <w:sz w:val="24"/>
          <w:szCs w:val="24"/>
        </w:rPr>
        <w:footnoteReference w:id="7"/>
      </w:r>
      <w:r w:rsidRPr="00EF4C33">
        <w:rPr>
          <w:rFonts w:ascii="Times New Roman" w:eastAsia="Times New Roman" w:hAnsi="Times New Roman" w:cs="Times New Roman"/>
          <w:sz w:val="24"/>
          <w:szCs w:val="24"/>
        </w:rPr>
        <w:t xml:space="preserve"> </w:t>
      </w:r>
    </w:p>
    <w:p w14:paraId="0C5AEC07"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In a day and age in which ‘fighting impunity has become both the rallying cry and a metric of progress for human rights’,</w:t>
      </w:r>
      <w:bookmarkStart w:id="3" w:name="_Ref393967913"/>
      <w:r w:rsidRPr="00EF4C33">
        <w:rPr>
          <w:rFonts w:ascii="Times New Roman" w:eastAsia="Times New Roman" w:hAnsi="Times New Roman" w:cs="Times New Roman"/>
          <w:sz w:val="24"/>
          <w:szCs w:val="24"/>
          <w:vertAlign w:val="superscript"/>
        </w:rPr>
        <w:footnoteReference w:id="8"/>
      </w:r>
      <w:bookmarkEnd w:id="3"/>
      <w:r w:rsidRPr="00EF4C33">
        <w:rPr>
          <w:rFonts w:ascii="Times New Roman" w:eastAsia="Times New Roman" w:hAnsi="Times New Roman" w:cs="Times New Roman"/>
          <w:sz w:val="24"/>
          <w:szCs w:val="24"/>
        </w:rPr>
        <w:t xml:space="preserve"> question</w:t>
      </w:r>
      <w:r w:rsidR="008728E3">
        <w:rPr>
          <w:rFonts w:ascii="Times New Roman" w:eastAsia="Times New Roman" w:hAnsi="Times New Roman" w:cs="Times New Roman"/>
          <w:sz w:val="24"/>
          <w:szCs w:val="24"/>
        </w:rPr>
        <w:t>ing</w:t>
      </w:r>
      <w:r w:rsidRPr="00EF4C33">
        <w:rPr>
          <w:rFonts w:ascii="Times New Roman" w:eastAsia="Times New Roman" w:hAnsi="Times New Roman" w:cs="Times New Roman"/>
          <w:sz w:val="24"/>
          <w:szCs w:val="24"/>
        </w:rPr>
        <w:t xml:space="preserve"> the centralit</w:t>
      </w:r>
      <w:r w:rsidR="00FB6D22">
        <w:rPr>
          <w:rFonts w:ascii="Times New Roman" w:eastAsia="Times New Roman" w:hAnsi="Times New Roman" w:cs="Times New Roman"/>
          <w:sz w:val="24"/>
          <w:szCs w:val="24"/>
        </w:rPr>
        <w:t>y of criminal proc</w:t>
      </w:r>
      <w:r w:rsidR="000C45D8">
        <w:rPr>
          <w:rFonts w:ascii="Times New Roman" w:eastAsia="Times New Roman" w:hAnsi="Times New Roman" w:cs="Times New Roman"/>
          <w:sz w:val="24"/>
          <w:szCs w:val="24"/>
        </w:rPr>
        <w:t>eedings</w:t>
      </w:r>
      <w:r w:rsidR="008728E3">
        <w:rPr>
          <w:rFonts w:ascii="Times New Roman" w:eastAsia="Times New Roman" w:hAnsi="Times New Roman" w:cs="Times New Roman"/>
          <w:sz w:val="24"/>
          <w:szCs w:val="24"/>
        </w:rPr>
        <w:t xml:space="preserve"> may </w:t>
      </w:r>
      <w:r w:rsidR="007B219F">
        <w:rPr>
          <w:rFonts w:ascii="Times New Roman" w:eastAsia="Times New Roman" w:hAnsi="Times New Roman" w:cs="Times New Roman"/>
          <w:sz w:val="24"/>
          <w:szCs w:val="24"/>
        </w:rPr>
        <w:t xml:space="preserve">be out of </w:t>
      </w:r>
      <w:r w:rsidR="008728E3">
        <w:rPr>
          <w:rFonts w:ascii="Times New Roman" w:eastAsia="Times New Roman" w:hAnsi="Times New Roman" w:cs="Times New Roman"/>
          <w:sz w:val="24"/>
          <w:szCs w:val="24"/>
        </w:rPr>
        <w:t>tune with some governments’ official statements</w:t>
      </w:r>
      <w:r w:rsidRPr="00EF4C33">
        <w:rPr>
          <w:rFonts w:ascii="Times New Roman" w:eastAsia="Times New Roman" w:hAnsi="Times New Roman" w:cs="Times New Roman"/>
          <w:sz w:val="24"/>
          <w:szCs w:val="24"/>
        </w:rPr>
        <w:t xml:space="preserve">. But </w:t>
      </w:r>
      <w:r w:rsidR="00CB0DA9">
        <w:rPr>
          <w:rFonts w:ascii="Times New Roman" w:eastAsia="Times New Roman" w:hAnsi="Times New Roman" w:cs="Times New Roman"/>
          <w:sz w:val="24"/>
          <w:szCs w:val="24"/>
        </w:rPr>
        <w:t>it is essential. T</w:t>
      </w:r>
      <w:r w:rsidRPr="00EF4C33">
        <w:rPr>
          <w:rFonts w:ascii="Times New Roman" w:eastAsia="Times New Roman" w:hAnsi="Times New Roman" w:cs="Times New Roman"/>
          <w:sz w:val="24"/>
          <w:szCs w:val="24"/>
        </w:rPr>
        <w:t>he</w:t>
      </w:r>
      <w:r w:rsidR="00F11579">
        <w:rPr>
          <w:rFonts w:ascii="Times New Roman" w:eastAsia="Times New Roman" w:hAnsi="Times New Roman" w:cs="Times New Roman"/>
          <w:sz w:val="24"/>
          <w:szCs w:val="24"/>
        </w:rPr>
        <w:t xml:space="preserve"> belief in</w:t>
      </w:r>
      <w:r w:rsidRPr="00EF4C33">
        <w:rPr>
          <w:rFonts w:ascii="Times New Roman" w:eastAsia="Times New Roman" w:hAnsi="Times New Roman" w:cs="Times New Roman"/>
          <w:sz w:val="24"/>
          <w:szCs w:val="24"/>
        </w:rPr>
        <w:t xml:space="preserve"> trials and punishment as a way to promote international law is relatively recent and contingent; it is not a teleological outcome.</w:t>
      </w:r>
      <w:r w:rsidRPr="00EF4C33">
        <w:rPr>
          <w:rFonts w:ascii="Times New Roman" w:eastAsia="Times New Roman" w:hAnsi="Times New Roman" w:cs="Times New Roman"/>
          <w:sz w:val="24"/>
          <w:szCs w:val="24"/>
          <w:vertAlign w:val="superscript"/>
        </w:rPr>
        <w:footnoteReference w:id="9"/>
      </w:r>
      <w:r w:rsidRPr="00EF4C33">
        <w:rPr>
          <w:rFonts w:ascii="Times New Roman" w:eastAsia="Times New Roman" w:hAnsi="Times New Roman" w:cs="Times New Roman"/>
          <w:sz w:val="24"/>
          <w:szCs w:val="24"/>
        </w:rPr>
        <w:t xml:space="preserve"> State practice sometimes flat out contravenes this </w:t>
      </w:r>
      <w:r w:rsidR="00F11579">
        <w:rPr>
          <w:rFonts w:ascii="Times New Roman" w:eastAsia="Times New Roman" w:hAnsi="Times New Roman" w:cs="Times New Roman"/>
          <w:sz w:val="24"/>
          <w:szCs w:val="24"/>
        </w:rPr>
        <w:t>article of faith</w:t>
      </w:r>
      <w:r w:rsidRPr="00EF4C33">
        <w:rPr>
          <w:rFonts w:ascii="Times New Roman" w:eastAsia="Times New Roman" w:hAnsi="Times New Roman" w:cs="Times New Roman"/>
          <w:sz w:val="24"/>
          <w:szCs w:val="24"/>
        </w:rPr>
        <w:t xml:space="preserve"> and, as this article will argue, there are a host of </w:t>
      </w:r>
      <w:r w:rsidR="00705840">
        <w:rPr>
          <w:rFonts w:ascii="Times New Roman" w:eastAsia="Times New Roman" w:hAnsi="Times New Roman" w:cs="Times New Roman"/>
          <w:sz w:val="24"/>
          <w:szCs w:val="24"/>
        </w:rPr>
        <w:t xml:space="preserve">other empirical and </w:t>
      </w:r>
      <w:r w:rsidRPr="00EF4C33">
        <w:rPr>
          <w:rFonts w:ascii="Times New Roman" w:eastAsia="Times New Roman" w:hAnsi="Times New Roman" w:cs="Times New Roman"/>
          <w:sz w:val="24"/>
          <w:szCs w:val="24"/>
        </w:rPr>
        <w:t xml:space="preserve">normative arguments that </w:t>
      </w:r>
      <w:r w:rsidR="00AD3C55">
        <w:rPr>
          <w:rFonts w:ascii="Times New Roman" w:eastAsia="Times New Roman" w:hAnsi="Times New Roman" w:cs="Times New Roman"/>
          <w:sz w:val="24"/>
          <w:szCs w:val="24"/>
        </w:rPr>
        <w:t xml:space="preserve">may </w:t>
      </w:r>
      <w:r w:rsidRPr="00EF4C33">
        <w:rPr>
          <w:rFonts w:ascii="Times New Roman" w:eastAsia="Times New Roman" w:hAnsi="Times New Roman" w:cs="Times New Roman"/>
          <w:sz w:val="24"/>
          <w:szCs w:val="24"/>
        </w:rPr>
        <w:t>challenge its dominance.</w:t>
      </w:r>
    </w:p>
    <w:p w14:paraId="171D8BFB"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In order to illustrate that criminal proceedings and criminal sanctions are not necessarily the most appropriate response to crimes against humanity, this article focuses on the situation of a negotiated settlement after a civil war or political oppression. This is one of several circumstances in which states are confronted with the question of how to address large-scale </w:t>
      </w:r>
      <w:r w:rsidRPr="00EF4C33">
        <w:rPr>
          <w:rFonts w:ascii="Times New Roman" w:eastAsia="Times New Roman" w:hAnsi="Times New Roman" w:cs="Times New Roman"/>
          <w:sz w:val="24"/>
          <w:szCs w:val="24"/>
        </w:rPr>
        <w:lastRenderedPageBreak/>
        <w:t xml:space="preserve">human rights abuses and international crimes, in other words, how to engage in ‘transitional justice’. Unlike situations of a total victory of one side of the conflict (e.g. </w:t>
      </w:r>
      <w:r w:rsidR="00D92776" w:rsidRPr="00EF4C33">
        <w:rPr>
          <w:rFonts w:ascii="Times New Roman" w:eastAsia="Times New Roman" w:hAnsi="Times New Roman" w:cs="Times New Roman"/>
          <w:sz w:val="24"/>
          <w:szCs w:val="24"/>
        </w:rPr>
        <w:t xml:space="preserve">post-World-War-II </w:t>
      </w:r>
      <w:r w:rsidRPr="00EF4C33">
        <w:rPr>
          <w:rFonts w:ascii="Times New Roman" w:eastAsia="Times New Roman" w:hAnsi="Times New Roman" w:cs="Times New Roman"/>
          <w:sz w:val="24"/>
          <w:szCs w:val="24"/>
        </w:rPr>
        <w:t>Germany; post-genocide Rwanda), or the gradual reform of an incumbent authoritarian government (e.g. post-Franco Spain; Pinochet’s Chile), the situation of a negotiated settlement (e.g. between the National Party and the African National Congress</w:t>
      </w:r>
      <w:r w:rsidR="005221C7">
        <w:rPr>
          <w:rFonts w:ascii="Times New Roman" w:eastAsia="Times New Roman" w:hAnsi="Times New Roman" w:cs="Times New Roman"/>
          <w:sz w:val="24"/>
          <w:szCs w:val="24"/>
        </w:rPr>
        <w:t>, ‘ANC’,</w:t>
      </w:r>
      <w:r w:rsidRPr="00EF4C33">
        <w:rPr>
          <w:rFonts w:ascii="Times New Roman" w:eastAsia="Times New Roman" w:hAnsi="Times New Roman" w:cs="Times New Roman"/>
          <w:sz w:val="24"/>
          <w:szCs w:val="24"/>
        </w:rPr>
        <w:t xml:space="preserve"> in South Africa; between the Government of Colombia and the Revolutionary Armed Forces of Colombia) usually involves negotiations on the key pillars of the future society, including on how that society should deal with its past. If a treaty were to prescribe that states must prosecute crimes against humanity under all circumstances, this </w:t>
      </w:r>
      <w:r w:rsidR="00F11579">
        <w:rPr>
          <w:rFonts w:ascii="Times New Roman" w:eastAsia="Times New Roman" w:hAnsi="Times New Roman" w:cs="Times New Roman"/>
          <w:sz w:val="24"/>
          <w:szCs w:val="24"/>
        </w:rPr>
        <w:t xml:space="preserve">would </w:t>
      </w:r>
      <w:r w:rsidRPr="00EF4C33">
        <w:rPr>
          <w:rFonts w:ascii="Times New Roman" w:eastAsia="Times New Roman" w:hAnsi="Times New Roman" w:cs="Times New Roman"/>
          <w:sz w:val="24"/>
          <w:szCs w:val="24"/>
        </w:rPr>
        <w:t>seriously limit the influence of the directly affected society in defining the meaning, shape and execution of ‘their justice’.</w:t>
      </w:r>
    </w:p>
    <w:p w14:paraId="638FE1F1" w14:textId="488A3D30" w:rsidR="00027F8F"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Proponents of the criminal-justice approach will argue that this is exactly the objective of the treaty: rendering prosecutions beyond the pale of negotiations on the ground that crimes against humanity are ‘of concern to the international community as a whole’.</w:t>
      </w:r>
      <w:r w:rsidRPr="00EF4C33">
        <w:rPr>
          <w:rFonts w:ascii="Times New Roman" w:eastAsia="Times New Roman" w:hAnsi="Times New Roman" w:cs="Times New Roman"/>
          <w:sz w:val="24"/>
          <w:szCs w:val="24"/>
          <w:vertAlign w:val="superscript"/>
        </w:rPr>
        <w:footnoteReference w:id="10"/>
      </w:r>
      <w:r w:rsidRPr="00EF4C33">
        <w:rPr>
          <w:rFonts w:ascii="Times New Roman" w:eastAsia="Times New Roman" w:hAnsi="Times New Roman" w:cs="Times New Roman"/>
          <w:sz w:val="24"/>
          <w:szCs w:val="24"/>
        </w:rPr>
        <w:t xml:space="preserve"> The purpose of this article is to </w:t>
      </w:r>
      <w:r w:rsidR="00016C9B">
        <w:rPr>
          <w:rFonts w:ascii="Times New Roman" w:eastAsia="Times New Roman" w:hAnsi="Times New Roman" w:cs="Times New Roman"/>
          <w:sz w:val="24"/>
          <w:szCs w:val="24"/>
        </w:rPr>
        <w:t>stimulate</w:t>
      </w:r>
      <w:r w:rsidRPr="00EF4C33">
        <w:rPr>
          <w:rFonts w:ascii="Times New Roman" w:eastAsia="Times New Roman" w:hAnsi="Times New Roman" w:cs="Times New Roman"/>
          <w:sz w:val="24"/>
          <w:szCs w:val="24"/>
        </w:rPr>
        <w:t xml:space="preserve"> a debate among states, and ideally other</w:t>
      </w:r>
      <w:r w:rsidR="00C87A41">
        <w:rPr>
          <w:rFonts w:ascii="Times New Roman" w:eastAsia="Times New Roman" w:hAnsi="Times New Roman" w:cs="Times New Roman"/>
          <w:sz w:val="24"/>
          <w:szCs w:val="24"/>
        </w:rPr>
        <w:t xml:space="preserve"> actors</w:t>
      </w:r>
      <w:r w:rsidRPr="00EF4C33">
        <w:rPr>
          <w:rFonts w:ascii="Times New Roman" w:eastAsia="Times New Roman" w:hAnsi="Times New Roman" w:cs="Times New Roman"/>
          <w:sz w:val="24"/>
          <w:szCs w:val="24"/>
        </w:rPr>
        <w:t xml:space="preserve">, too, </w:t>
      </w:r>
      <w:r w:rsidR="00BB7BFD">
        <w:rPr>
          <w:rFonts w:ascii="Times New Roman" w:eastAsia="Times New Roman" w:hAnsi="Times New Roman" w:cs="Times New Roman"/>
          <w:sz w:val="24"/>
          <w:szCs w:val="24"/>
        </w:rPr>
        <w:t>about the political and normative question whether</w:t>
      </w:r>
      <w:r w:rsidRPr="00EF4C33">
        <w:rPr>
          <w:rFonts w:ascii="Times New Roman" w:eastAsia="Times New Roman" w:hAnsi="Times New Roman" w:cs="Times New Roman"/>
          <w:sz w:val="24"/>
          <w:szCs w:val="24"/>
        </w:rPr>
        <w:t xml:space="preserve"> crimes against humanity must be prosecuted and punished through criminal sanctions under all circumstances. If the answer is negative, a doctrinal question emerges: whether the draft </w:t>
      </w:r>
      <w:r w:rsidR="00716731">
        <w:rPr>
          <w:rFonts w:ascii="Times New Roman" w:eastAsia="Times New Roman" w:hAnsi="Times New Roman" w:cs="Times New Roman"/>
          <w:sz w:val="24"/>
          <w:szCs w:val="24"/>
        </w:rPr>
        <w:t>articles</w:t>
      </w:r>
      <w:r w:rsidR="00716731"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in </w:t>
      </w:r>
      <w:r w:rsidR="00716731">
        <w:rPr>
          <w:rFonts w:ascii="Times New Roman" w:eastAsia="Times New Roman" w:hAnsi="Times New Roman" w:cs="Times New Roman"/>
          <w:sz w:val="24"/>
          <w:szCs w:val="24"/>
        </w:rPr>
        <w:t>their</w:t>
      </w:r>
      <w:r w:rsidR="00716731"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present form sufficiently </w:t>
      </w:r>
      <w:r w:rsidR="00716731" w:rsidRPr="00EF4C33">
        <w:rPr>
          <w:rFonts w:ascii="Times New Roman" w:eastAsia="Times New Roman" w:hAnsi="Times New Roman" w:cs="Times New Roman"/>
          <w:sz w:val="24"/>
          <w:szCs w:val="24"/>
        </w:rPr>
        <w:t>qualif</w:t>
      </w:r>
      <w:r w:rsidR="00716731">
        <w:rPr>
          <w:rFonts w:ascii="Times New Roman" w:eastAsia="Times New Roman" w:hAnsi="Times New Roman" w:cs="Times New Roman"/>
          <w:sz w:val="24"/>
          <w:szCs w:val="24"/>
        </w:rPr>
        <w:t>y</w:t>
      </w:r>
      <w:r w:rsidR="00716731"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the duty to prosecute. If </w:t>
      </w:r>
      <w:r w:rsidR="00716731">
        <w:rPr>
          <w:rFonts w:ascii="Times New Roman" w:eastAsia="Times New Roman" w:hAnsi="Times New Roman" w:cs="Times New Roman"/>
          <w:sz w:val="24"/>
          <w:szCs w:val="24"/>
        </w:rPr>
        <w:t>they</w:t>
      </w:r>
      <w:r w:rsidR="00716731"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do not, text should be introduced to accommodate negotiated settlements that aim to pursue justice, peace and reconcili</w:t>
      </w:r>
      <w:r w:rsidR="009D7A36">
        <w:rPr>
          <w:rFonts w:ascii="Times New Roman" w:eastAsia="Times New Roman" w:hAnsi="Times New Roman" w:cs="Times New Roman"/>
          <w:sz w:val="24"/>
          <w:szCs w:val="24"/>
        </w:rPr>
        <w:t>ation in an integrated manner.</w:t>
      </w:r>
    </w:p>
    <w:p w14:paraId="21DBB883" w14:textId="77777777" w:rsidR="00016C9B" w:rsidRDefault="00BB7BFD" w:rsidP="00CE71D8">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This </w:t>
      </w:r>
      <w:r w:rsidR="00CE18E4">
        <w:rPr>
          <w:rFonts w:ascii="Times New Roman" w:hAnsi="Times New Roman" w:cs="Times New Roman"/>
          <w:iCs/>
          <w:sz w:val="24"/>
          <w:szCs w:val="24"/>
        </w:rPr>
        <w:t>article</w:t>
      </w:r>
      <w:r>
        <w:rPr>
          <w:rFonts w:ascii="Times New Roman" w:hAnsi="Times New Roman" w:cs="Times New Roman"/>
          <w:iCs/>
          <w:sz w:val="24"/>
          <w:szCs w:val="24"/>
        </w:rPr>
        <w:t xml:space="preserve"> thus aims to push the debate in the opposite direction of where Hugo </w:t>
      </w:r>
      <w:proofErr w:type="spellStart"/>
      <w:r>
        <w:rPr>
          <w:rFonts w:ascii="Times New Roman" w:hAnsi="Times New Roman" w:cs="Times New Roman"/>
          <w:iCs/>
          <w:sz w:val="24"/>
          <w:szCs w:val="24"/>
        </w:rPr>
        <w:t>Relva</w:t>
      </w:r>
      <w:proofErr w:type="spellEnd"/>
      <w:r>
        <w:rPr>
          <w:rFonts w:ascii="Times New Roman" w:hAnsi="Times New Roman" w:cs="Times New Roman"/>
          <w:iCs/>
          <w:sz w:val="24"/>
          <w:szCs w:val="24"/>
        </w:rPr>
        <w:t xml:space="preserve"> takes it in his </w:t>
      </w:r>
      <w:r w:rsidR="00EE3551">
        <w:rPr>
          <w:rFonts w:ascii="Times New Roman" w:hAnsi="Times New Roman" w:cs="Times New Roman"/>
          <w:iCs/>
          <w:sz w:val="24"/>
          <w:szCs w:val="24"/>
        </w:rPr>
        <w:t>contribution to</w:t>
      </w:r>
      <w:r>
        <w:rPr>
          <w:rFonts w:ascii="Times New Roman" w:hAnsi="Times New Roman" w:cs="Times New Roman"/>
          <w:iCs/>
          <w:sz w:val="24"/>
          <w:szCs w:val="24"/>
        </w:rPr>
        <w:t xml:space="preserve"> this special issue.</w:t>
      </w:r>
      <w:r>
        <w:rPr>
          <w:rStyle w:val="FootnoteReference"/>
          <w:rFonts w:ascii="Times New Roman" w:hAnsi="Times New Roman" w:cs="Times New Roman"/>
          <w:iCs/>
          <w:sz w:val="24"/>
          <w:szCs w:val="24"/>
        </w:rPr>
        <w:footnoteReference w:id="11"/>
      </w:r>
      <w:r>
        <w:rPr>
          <w:rFonts w:ascii="Times New Roman" w:hAnsi="Times New Roman" w:cs="Times New Roman"/>
          <w:iCs/>
          <w:sz w:val="24"/>
          <w:szCs w:val="24"/>
        </w:rPr>
        <w:t xml:space="preserve"> Representing Amnesty International, he argues that there are several things missing in the </w:t>
      </w:r>
      <w:r w:rsidR="00716731">
        <w:rPr>
          <w:rFonts w:ascii="Times New Roman" w:hAnsi="Times New Roman" w:cs="Times New Roman"/>
          <w:iCs/>
          <w:sz w:val="24"/>
          <w:szCs w:val="24"/>
        </w:rPr>
        <w:t>draft articles</w:t>
      </w:r>
      <w:r>
        <w:rPr>
          <w:rFonts w:ascii="Times New Roman" w:hAnsi="Times New Roman" w:cs="Times New Roman"/>
          <w:iCs/>
          <w:sz w:val="24"/>
          <w:szCs w:val="24"/>
        </w:rPr>
        <w:t xml:space="preserve">, among them, a prohibition on amnesties. While I agree that there is something missing, I argue that what is missing is an explicit qualification of the duty to submit cases for prosecution in cases of negotiated settlements, </w:t>
      </w:r>
      <w:r w:rsidR="00EE3551">
        <w:rPr>
          <w:rFonts w:ascii="Times New Roman" w:hAnsi="Times New Roman" w:cs="Times New Roman"/>
          <w:iCs/>
          <w:sz w:val="24"/>
          <w:szCs w:val="24"/>
        </w:rPr>
        <w:t xml:space="preserve">given that there </w:t>
      </w:r>
      <w:r>
        <w:rPr>
          <w:rFonts w:ascii="Times New Roman" w:hAnsi="Times New Roman" w:cs="Times New Roman"/>
          <w:iCs/>
          <w:sz w:val="24"/>
          <w:szCs w:val="24"/>
        </w:rPr>
        <w:t xml:space="preserve">are good reasons to </w:t>
      </w:r>
      <w:r w:rsidR="00716731">
        <w:rPr>
          <w:rFonts w:ascii="Times New Roman" w:hAnsi="Times New Roman" w:cs="Times New Roman"/>
          <w:iCs/>
          <w:sz w:val="24"/>
          <w:szCs w:val="24"/>
        </w:rPr>
        <w:t>qualify this duty</w:t>
      </w:r>
      <w:r>
        <w:rPr>
          <w:rFonts w:ascii="Times New Roman" w:hAnsi="Times New Roman" w:cs="Times New Roman"/>
          <w:iCs/>
          <w:sz w:val="24"/>
          <w:szCs w:val="24"/>
        </w:rPr>
        <w:t xml:space="preserve">, including, in some circumstances, respect for amnesties. However, unlike </w:t>
      </w:r>
      <w:proofErr w:type="spellStart"/>
      <w:r>
        <w:rPr>
          <w:rFonts w:ascii="Times New Roman" w:hAnsi="Times New Roman" w:cs="Times New Roman"/>
          <w:iCs/>
          <w:sz w:val="24"/>
          <w:szCs w:val="24"/>
        </w:rPr>
        <w:t>Relva’s</w:t>
      </w:r>
      <w:proofErr w:type="spellEnd"/>
      <w:r>
        <w:rPr>
          <w:rFonts w:ascii="Times New Roman" w:hAnsi="Times New Roman" w:cs="Times New Roman"/>
          <w:iCs/>
          <w:sz w:val="24"/>
          <w:szCs w:val="24"/>
        </w:rPr>
        <w:t xml:space="preserve"> article, this piece does not focus on amnesties per se. Amnest</w:t>
      </w:r>
      <w:r w:rsidR="00C960A8">
        <w:rPr>
          <w:rFonts w:ascii="Times New Roman" w:hAnsi="Times New Roman" w:cs="Times New Roman"/>
          <w:iCs/>
          <w:sz w:val="24"/>
          <w:szCs w:val="24"/>
        </w:rPr>
        <w:t xml:space="preserve">ies easily become a red herring: they are easy to rally against but </w:t>
      </w:r>
      <w:r w:rsidR="00C258AB">
        <w:rPr>
          <w:rFonts w:ascii="Times New Roman" w:hAnsi="Times New Roman" w:cs="Times New Roman"/>
          <w:iCs/>
          <w:sz w:val="24"/>
          <w:szCs w:val="24"/>
        </w:rPr>
        <w:t xml:space="preserve">a prohibition on amnesties </w:t>
      </w:r>
      <w:r w:rsidR="00C960A8">
        <w:rPr>
          <w:rFonts w:ascii="Times New Roman" w:hAnsi="Times New Roman" w:cs="Times New Roman"/>
          <w:iCs/>
          <w:sz w:val="24"/>
          <w:szCs w:val="24"/>
        </w:rPr>
        <w:t xml:space="preserve">in and of itself does little to secure meaningful accountability. </w:t>
      </w:r>
      <w:r w:rsidR="00016C9B">
        <w:rPr>
          <w:rFonts w:ascii="Times New Roman" w:hAnsi="Times New Roman" w:cs="Times New Roman"/>
          <w:iCs/>
          <w:sz w:val="24"/>
          <w:szCs w:val="24"/>
        </w:rPr>
        <w:t>Instead, w</w:t>
      </w:r>
      <w:r>
        <w:rPr>
          <w:rFonts w:ascii="Times New Roman" w:hAnsi="Times New Roman" w:cs="Times New Roman"/>
          <w:iCs/>
          <w:sz w:val="24"/>
          <w:szCs w:val="24"/>
        </w:rPr>
        <w:t>e should look at the reasons why states sometimes do not want to prosecute and whether these reasons in some circumstances deserve accommodation, or not.</w:t>
      </w:r>
      <w:r w:rsidR="00EE3551">
        <w:rPr>
          <w:rFonts w:ascii="Times New Roman" w:hAnsi="Times New Roman" w:cs="Times New Roman"/>
          <w:iCs/>
          <w:sz w:val="24"/>
          <w:szCs w:val="24"/>
        </w:rPr>
        <w:t xml:space="preserve"> </w:t>
      </w:r>
    </w:p>
    <w:p w14:paraId="05424AE4" w14:textId="77777777" w:rsidR="00B53BB1"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lastRenderedPageBreak/>
        <w:t xml:space="preserve">The article begins with the normative </w:t>
      </w:r>
      <w:r w:rsidR="008728E3">
        <w:rPr>
          <w:rFonts w:ascii="Times New Roman" w:eastAsia="Times New Roman" w:hAnsi="Times New Roman" w:cs="Times New Roman"/>
          <w:sz w:val="24"/>
          <w:szCs w:val="24"/>
        </w:rPr>
        <w:t xml:space="preserve">and </w:t>
      </w:r>
      <w:r w:rsidRPr="00EF4C33">
        <w:rPr>
          <w:rFonts w:ascii="Times New Roman" w:eastAsia="Times New Roman" w:hAnsi="Times New Roman" w:cs="Times New Roman"/>
          <w:sz w:val="24"/>
          <w:szCs w:val="24"/>
        </w:rPr>
        <w:t xml:space="preserve">political question: should criminal trials and punishment always be the response to crimes against humanity? Directing this question for now primarily to states, the primary actors to provide comments on the </w:t>
      </w:r>
      <w:r w:rsidR="00716731">
        <w:rPr>
          <w:rFonts w:ascii="Times New Roman" w:eastAsia="Times New Roman" w:hAnsi="Times New Roman" w:cs="Times New Roman"/>
          <w:sz w:val="24"/>
          <w:szCs w:val="24"/>
        </w:rPr>
        <w:t>draft articles</w:t>
      </w:r>
      <w:r w:rsidRPr="00EF4C33">
        <w:rPr>
          <w:rFonts w:ascii="Times New Roman" w:eastAsia="Times New Roman" w:hAnsi="Times New Roman" w:cs="Times New Roman"/>
          <w:sz w:val="24"/>
          <w:szCs w:val="24"/>
        </w:rPr>
        <w:t xml:space="preserve">, </w:t>
      </w:r>
      <w:r w:rsidR="00C87A41">
        <w:rPr>
          <w:rFonts w:ascii="Times New Roman" w:eastAsia="Times New Roman" w:hAnsi="Times New Roman" w:cs="Times New Roman"/>
          <w:sz w:val="24"/>
          <w:szCs w:val="24"/>
        </w:rPr>
        <w:t>it</w:t>
      </w:r>
      <w:r w:rsidRPr="00EF4C33">
        <w:rPr>
          <w:rFonts w:ascii="Times New Roman" w:eastAsia="Times New Roman" w:hAnsi="Times New Roman" w:cs="Times New Roman"/>
          <w:sz w:val="24"/>
          <w:szCs w:val="24"/>
        </w:rPr>
        <w:t xml:space="preserve"> illustrates </w:t>
      </w:r>
      <w:r w:rsidR="00BB7BFD">
        <w:rPr>
          <w:rFonts w:ascii="Times New Roman" w:eastAsia="Times New Roman" w:hAnsi="Times New Roman" w:cs="Times New Roman"/>
          <w:sz w:val="24"/>
          <w:szCs w:val="24"/>
        </w:rPr>
        <w:t xml:space="preserve">the significance of </w:t>
      </w:r>
      <w:r w:rsidRPr="00EF4C33">
        <w:rPr>
          <w:rFonts w:ascii="Times New Roman" w:eastAsia="Times New Roman" w:hAnsi="Times New Roman" w:cs="Times New Roman"/>
          <w:sz w:val="24"/>
          <w:szCs w:val="24"/>
        </w:rPr>
        <w:t xml:space="preserve">this question with a transition that once was internationally welcomed, but would probably have clashed with the obligations in </w:t>
      </w:r>
      <w:r w:rsidR="00716731" w:rsidRPr="00EF4C33">
        <w:rPr>
          <w:rFonts w:ascii="Times New Roman" w:eastAsia="Times New Roman" w:hAnsi="Times New Roman" w:cs="Times New Roman"/>
          <w:sz w:val="24"/>
          <w:szCs w:val="24"/>
        </w:rPr>
        <w:t>th</w:t>
      </w:r>
      <w:r w:rsidR="00716731">
        <w:rPr>
          <w:rFonts w:ascii="Times New Roman" w:eastAsia="Times New Roman" w:hAnsi="Times New Roman" w:cs="Times New Roman"/>
          <w:sz w:val="24"/>
          <w:szCs w:val="24"/>
        </w:rPr>
        <w:t>e proposed</w:t>
      </w:r>
      <w:r w:rsidR="00716731"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Convention. The article then analyses doctrinally whether under the proposed </w:t>
      </w:r>
      <w:r w:rsidR="00884F3E">
        <w:rPr>
          <w:rFonts w:ascii="Times New Roman" w:eastAsia="Times New Roman" w:hAnsi="Times New Roman" w:cs="Times New Roman"/>
          <w:sz w:val="24"/>
          <w:szCs w:val="24"/>
        </w:rPr>
        <w:t>provisions</w:t>
      </w:r>
      <w:r w:rsidRPr="00EF4C33">
        <w:rPr>
          <w:rFonts w:ascii="Times New Roman" w:eastAsia="Times New Roman" w:hAnsi="Times New Roman" w:cs="Times New Roman"/>
          <w:sz w:val="24"/>
          <w:szCs w:val="24"/>
        </w:rPr>
        <w:t xml:space="preserve"> it would be possible to argue that in situations of a negotiated </w:t>
      </w:r>
      <w:proofErr w:type="gramStart"/>
      <w:r w:rsidRPr="00EF4C33">
        <w:rPr>
          <w:rFonts w:ascii="Times New Roman" w:eastAsia="Times New Roman" w:hAnsi="Times New Roman" w:cs="Times New Roman"/>
          <w:sz w:val="24"/>
          <w:szCs w:val="24"/>
        </w:rPr>
        <w:t xml:space="preserve">settlement, </w:t>
      </w:r>
      <w:r w:rsidR="00716731">
        <w:rPr>
          <w:rFonts w:ascii="Times New Roman" w:eastAsia="Times New Roman" w:hAnsi="Times New Roman" w:cs="Times New Roman"/>
          <w:sz w:val="24"/>
          <w:szCs w:val="24"/>
        </w:rPr>
        <w:t xml:space="preserve"> there</w:t>
      </w:r>
      <w:proofErr w:type="gramEnd"/>
      <w:r w:rsidR="00716731">
        <w:rPr>
          <w:rFonts w:ascii="Times New Roman" w:eastAsia="Times New Roman" w:hAnsi="Times New Roman" w:cs="Times New Roman"/>
          <w:sz w:val="24"/>
          <w:szCs w:val="24"/>
        </w:rPr>
        <w:t xml:space="preserve"> can be </w:t>
      </w:r>
      <w:r w:rsidRPr="00EF4C33">
        <w:rPr>
          <w:rFonts w:ascii="Times New Roman" w:eastAsia="Times New Roman" w:hAnsi="Times New Roman" w:cs="Times New Roman"/>
          <w:sz w:val="24"/>
          <w:szCs w:val="24"/>
        </w:rPr>
        <w:t xml:space="preserve">exceptions to the duty to prosecute. In the absence of an explicit exception, but in the presence of some open-ended language that could be read as qualifying the duty to prosecute, the ILC’s </w:t>
      </w:r>
      <w:r w:rsidR="000E3B04">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 xml:space="preserve">ommentaries on the permissibility </w:t>
      </w:r>
      <w:proofErr w:type="spellStart"/>
      <w:r w:rsidRPr="00EF4C33">
        <w:rPr>
          <w:rFonts w:ascii="Times New Roman" w:eastAsia="Times New Roman" w:hAnsi="Times New Roman" w:cs="Times New Roman"/>
          <w:i/>
          <w:sz w:val="24"/>
          <w:szCs w:val="24"/>
        </w:rPr>
        <w:t>vel</w:t>
      </w:r>
      <w:proofErr w:type="spellEnd"/>
      <w:r w:rsidRPr="00EF4C33">
        <w:rPr>
          <w:rFonts w:ascii="Times New Roman" w:eastAsia="Times New Roman" w:hAnsi="Times New Roman" w:cs="Times New Roman"/>
          <w:i/>
          <w:sz w:val="24"/>
          <w:szCs w:val="24"/>
        </w:rPr>
        <w:t xml:space="preserve"> </w:t>
      </w:r>
      <w:proofErr w:type="spellStart"/>
      <w:r w:rsidRPr="00EF4C33">
        <w:rPr>
          <w:rFonts w:ascii="Times New Roman" w:eastAsia="Times New Roman" w:hAnsi="Times New Roman" w:cs="Times New Roman"/>
          <w:i/>
          <w:sz w:val="24"/>
          <w:szCs w:val="24"/>
        </w:rPr>
        <w:t xml:space="preserve">non </w:t>
      </w:r>
      <w:r w:rsidRPr="00EF4C33">
        <w:rPr>
          <w:rFonts w:ascii="Times New Roman" w:eastAsia="Times New Roman" w:hAnsi="Times New Roman" w:cs="Times New Roman"/>
          <w:sz w:val="24"/>
          <w:szCs w:val="24"/>
        </w:rPr>
        <w:t>of</w:t>
      </w:r>
      <w:proofErr w:type="spellEnd"/>
      <w:r w:rsidRPr="00EF4C33">
        <w:rPr>
          <w:rFonts w:ascii="Times New Roman" w:eastAsia="Times New Roman" w:hAnsi="Times New Roman" w:cs="Times New Roman"/>
          <w:sz w:val="24"/>
          <w:szCs w:val="24"/>
        </w:rPr>
        <w:t xml:space="preserve"> an amnesty under international law will be analysed. This leads to this article’s second key question: a doctrinal one, for the ILC. The </w:t>
      </w:r>
      <w:r w:rsidR="00716731">
        <w:rPr>
          <w:rFonts w:ascii="Times New Roman" w:eastAsia="Times New Roman" w:hAnsi="Times New Roman" w:cs="Times New Roman"/>
          <w:sz w:val="24"/>
          <w:szCs w:val="24"/>
        </w:rPr>
        <w:t xml:space="preserve">ILC’s </w:t>
      </w:r>
      <w:r w:rsidR="000E3B04">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 xml:space="preserve">ommentary surveys relevant instruments, (quasi-) judicial opinions and practice, but what are the legal ramifications of those materials? This article concludes that although the duty to prosecute crimes against humanity under customary law is ambiguous and the draft </w:t>
      </w:r>
      <w:r w:rsidR="00716731">
        <w:rPr>
          <w:rFonts w:ascii="Times New Roman" w:eastAsia="Times New Roman" w:hAnsi="Times New Roman" w:cs="Times New Roman"/>
          <w:sz w:val="24"/>
          <w:szCs w:val="24"/>
        </w:rPr>
        <w:t>articles</w:t>
      </w:r>
      <w:r w:rsidR="00716731"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in and of </w:t>
      </w:r>
      <w:r w:rsidR="00716731">
        <w:rPr>
          <w:rFonts w:ascii="Times New Roman" w:eastAsia="Times New Roman" w:hAnsi="Times New Roman" w:cs="Times New Roman"/>
          <w:sz w:val="24"/>
          <w:szCs w:val="24"/>
        </w:rPr>
        <w:t>themselves</w:t>
      </w:r>
      <w:r w:rsidR="00716731"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seem to qualify the duty to prosecute to some extent, there is a risk that </w:t>
      </w:r>
      <w:r w:rsidR="00CE18E4">
        <w:rPr>
          <w:rFonts w:ascii="Times New Roman" w:eastAsia="Times New Roman" w:hAnsi="Times New Roman" w:cs="Times New Roman"/>
          <w:sz w:val="24"/>
          <w:szCs w:val="24"/>
        </w:rPr>
        <w:t xml:space="preserve">adjudicators and implementers will interpret this qualification away, no longer allowing </w:t>
      </w:r>
      <w:r w:rsidRPr="00EF4C33">
        <w:rPr>
          <w:rFonts w:ascii="Times New Roman" w:eastAsia="Times New Roman" w:hAnsi="Times New Roman" w:cs="Times New Roman"/>
          <w:sz w:val="24"/>
          <w:szCs w:val="24"/>
        </w:rPr>
        <w:t xml:space="preserve">leeway for negotiated settlements that provide for a justice arrangement other than criminal proceedings and ordinary criminal sanctions. </w:t>
      </w:r>
      <w:r w:rsidR="00705840">
        <w:rPr>
          <w:rFonts w:ascii="Times New Roman" w:eastAsia="Times New Roman" w:hAnsi="Times New Roman" w:cs="Times New Roman"/>
          <w:sz w:val="24"/>
          <w:szCs w:val="24"/>
        </w:rPr>
        <w:t>Against that background</w:t>
      </w:r>
      <w:r w:rsidRPr="00EF4C33">
        <w:rPr>
          <w:rFonts w:ascii="Times New Roman" w:eastAsia="Times New Roman" w:hAnsi="Times New Roman" w:cs="Times New Roman"/>
          <w:sz w:val="24"/>
          <w:szCs w:val="24"/>
        </w:rPr>
        <w:t xml:space="preserve">, an example is given of language that </w:t>
      </w:r>
      <w:r w:rsidR="00016C9B">
        <w:rPr>
          <w:rFonts w:ascii="Times New Roman" w:eastAsia="Times New Roman" w:hAnsi="Times New Roman" w:cs="Times New Roman"/>
          <w:sz w:val="24"/>
          <w:szCs w:val="24"/>
        </w:rPr>
        <w:t>w</w:t>
      </w:r>
      <w:r w:rsidRPr="00EF4C33">
        <w:rPr>
          <w:rFonts w:ascii="Times New Roman" w:eastAsia="Times New Roman" w:hAnsi="Times New Roman" w:cs="Times New Roman"/>
          <w:sz w:val="24"/>
          <w:szCs w:val="24"/>
        </w:rPr>
        <w:t xml:space="preserve">ould </w:t>
      </w:r>
      <w:r w:rsidR="00016C9B" w:rsidRPr="00EF4C33">
        <w:rPr>
          <w:rFonts w:ascii="Times New Roman" w:eastAsia="Times New Roman" w:hAnsi="Times New Roman" w:cs="Times New Roman"/>
          <w:sz w:val="24"/>
          <w:szCs w:val="24"/>
        </w:rPr>
        <w:t>explicit</w:t>
      </w:r>
      <w:r w:rsidR="00016C9B">
        <w:rPr>
          <w:rFonts w:ascii="Times New Roman" w:eastAsia="Times New Roman" w:hAnsi="Times New Roman" w:cs="Times New Roman"/>
          <w:sz w:val="24"/>
          <w:szCs w:val="24"/>
        </w:rPr>
        <w:t>ly</w:t>
      </w:r>
      <w:r w:rsidR="00016C9B"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allow for consideration of the demands of a negotiated settlement.</w:t>
      </w:r>
    </w:p>
    <w:p w14:paraId="5B3FC360" w14:textId="77777777" w:rsidR="00027F8F"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 </w:t>
      </w:r>
    </w:p>
    <w:p w14:paraId="38371CB5" w14:textId="77777777" w:rsidR="00027F8F" w:rsidRPr="00EF4C33" w:rsidRDefault="009274F0" w:rsidP="00037069">
      <w:pPr>
        <w:pBdr>
          <w:top w:val="nil"/>
          <w:left w:val="nil"/>
          <w:bottom w:val="nil"/>
          <w:right w:val="nil"/>
          <w:between w:val="nil"/>
        </w:pBdr>
        <w:spacing w:after="0" w:line="360" w:lineRule="auto"/>
        <w:ind w:left="567" w:hanging="284"/>
        <w:jc w:val="both"/>
        <w:rPr>
          <w:rFonts w:ascii="Times New Roman" w:eastAsia="Times New Roman" w:hAnsi="Times New Roman" w:cs="Times New Roman"/>
          <w:b/>
          <w:color w:val="000000"/>
          <w:sz w:val="24"/>
          <w:szCs w:val="24"/>
        </w:rPr>
      </w:pPr>
      <w:r w:rsidRPr="00EF4C33">
        <w:rPr>
          <w:rFonts w:ascii="Times New Roman" w:eastAsia="Times New Roman" w:hAnsi="Times New Roman" w:cs="Times New Roman"/>
          <w:color w:val="FF0000"/>
          <w:sz w:val="24"/>
          <w:szCs w:val="24"/>
        </w:rPr>
        <w:t xml:space="preserve"> </w:t>
      </w:r>
      <w:r w:rsidRPr="00EF4C33">
        <w:rPr>
          <w:rFonts w:ascii="Times New Roman" w:eastAsia="Times New Roman" w:hAnsi="Times New Roman" w:cs="Times New Roman"/>
          <w:b/>
          <w:sz w:val="24"/>
          <w:szCs w:val="24"/>
        </w:rPr>
        <w:t xml:space="preserve">2. </w:t>
      </w:r>
      <w:r w:rsidRPr="00EF4C33">
        <w:rPr>
          <w:rFonts w:ascii="Times New Roman" w:eastAsia="Times New Roman" w:hAnsi="Times New Roman" w:cs="Times New Roman"/>
          <w:b/>
          <w:color w:val="000000"/>
          <w:sz w:val="24"/>
          <w:szCs w:val="24"/>
        </w:rPr>
        <w:t xml:space="preserve">The Burning Political </w:t>
      </w:r>
      <w:r w:rsidR="00EE3551">
        <w:rPr>
          <w:rFonts w:ascii="Times New Roman" w:eastAsia="Times New Roman" w:hAnsi="Times New Roman" w:cs="Times New Roman"/>
          <w:b/>
          <w:color w:val="000000"/>
          <w:sz w:val="24"/>
          <w:szCs w:val="24"/>
        </w:rPr>
        <w:t xml:space="preserve">and Normative </w:t>
      </w:r>
      <w:r w:rsidRPr="00EF4C33">
        <w:rPr>
          <w:rFonts w:ascii="Times New Roman" w:eastAsia="Times New Roman" w:hAnsi="Times New Roman" w:cs="Times New Roman"/>
          <w:b/>
          <w:color w:val="000000"/>
          <w:sz w:val="24"/>
          <w:szCs w:val="24"/>
        </w:rPr>
        <w:t>Question</w:t>
      </w:r>
    </w:p>
    <w:p w14:paraId="355515A2" w14:textId="77777777" w:rsidR="00E609FD" w:rsidRPr="00EF4C33" w:rsidRDefault="00E609FD"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The burning political question for states and others to engage with is how to weigh the strong normative argument in favour of a duty to prosecute</w:t>
      </w:r>
      <w:r w:rsidR="00884F3E">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884F3E">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an expression of condemnation of an international crime</w:t>
      </w:r>
      <w:r w:rsidR="00884F3E">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884F3E">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against the implications of, and justifications for, negotiated settlements. At a more fundamental level, the question arises whether it is desirable or even possible to resolve this issue now for all possible future scenarios. Another fundamental question is which society (the local, national, regional or international, that of victims or survivors) should have a say, or the final say. </w:t>
      </w:r>
    </w:p>
    <w:p w14:paraId="1C2BC571" w14:textId="77777777" w:rsidR="001E70E7" w:rsidRDefault="00CE18E4"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For an illustration of the justice question in a negotiated settlement, we can turn to South Africa’s ‘miracle transition’ from apartheid to a united, democratic and non-racial state. The South African example is helpful because</w:t>
      </w:r>
      <w:r>
        <w:rPr>
          <w:rFonts w:ascii="Times New Roman" w:eastAsia="Times New Roman" w:hAnsi="Times New Roman" w:cs="Times New Roman"/>
          <w:sz w:val="24"/>
          <w:szCs w:val="24"/>
        </w:rPr>
        <w:t xml:space="preserve">, on the one hand, </w:t>
      </w:r>
      <w:r w:rsidRPr="00EF4C33">
        <w:rPr>
          <w:rFonts w:ascii="Times New Roman" w:eastAsia="Times New Roman" w:hAnsi="Times New Roman" w:cs="Times New Roman"/>
          <w:sz w:val="24"/>
          <w:szCs w:val="24"/>
        </w:rPr>
        <w:t xml:space="preserve">it has been the scenario that has featured most prominently as a potential alternative to prosecution in debates related to the present one, for instance, whether the </w:t>
      </w:r>
      <w:r>
        <w:rPr>
          <w:rFonts w:ascii="Times New Roman" w:eastAsia="Times New Roman" w:hAnsi="Times New Roman" w:cs="Times New Roman"/>
          <w:sz w:val="24"/>
          <w:szCs w:val="24"/>
        </w:rPr>
        <w:t xml:space="preserve">ICC </w:t>
      </w:r>
      <w:r w:rsidRPr="00EF4C33">
        <w:rPr>
          <w:rFonts w:ascii="Times New Roman" w:eastAsia="Times New Roman" w:hAnsi="Times New Roman" w:cs="Times New Roman"/>
          <w:sz w:val="24"/>
          <w:szCs w:val="24"/>
        </w:rPr>
        <w:t xml:space="preserve">should respect domestic transitional-justice </w:t>
      </w:r>
      <w:r w:rsidRPr="00EF4C33">
        <w:rPr>
          <w:rFonts w:ascii="Times New Roman" w:eastAsia="Times New Roman" w:hAnsi="Times New Roman" w:cs="Times New Roman"/>
          <w:sz w:val="24"/>
          <w:szCs w:val="24"/>
        </w:rPr>
        <w:lastRenderedPageBreak/>
        <w:t>arrangements</w:t>
      </w:r>
      <w:r>
        <w:rPr>
          <w:rFonts w:ascii="Times New Roman" w:eastAsia="Times New Roman" w:hAnsi="Times New Roman" w:cs="Times New Roman"/>
          <w:sz w:val="24"/>
          <w:szCs w:val="24"/>
        </w:rPr>
        <w:t xml:space="preserve"> or </w:t>
      </w:r>
      <w:r w:rsidRPr="00EF4C33">
        <w:rPr>
          <w:rFonts w:ascii="Times New Roman" w:eastAsia="Times New Roman" w:hAnsi="Times New Roman" w:cs="Times New Roman"/>
          <w:sz w:val="24"/>
          <w:szCs w:val="24"/>
        </w:rPr>
        <w:t>whether amnesties can be compatible with international law.</w:t>
      </w:r>
      <w:bookmarkStart w:id="4" w:name="_Ref393969859"/>
      <w:r w:rsidRPr="00EF4C33">
        <w:rPr>
          <w:rFonts w:ascii="Times New Roman" w:eastAsia="Times New Roman" w:hAnsi="Times New Roman" w:cs="Times New Roman"/>
          <w:sz w:val="24"/>
          <w:szCs w:val="24"/>
          <w:vertAlign w:val="superscript"/>
        </w:rPr>
        <w:footnoteReference w:id="12"/>
      </w:r>
      <w:bookmarkEnd w:id="4"/>
      <w:r w:rsidR="00E176FD">
        <w:rPr>
          <w:rFonts w:ascii="Times New Roman" w:eastAsia="Times New Roman" w:hAnsi="Times New Roman" w:cs="Times New Roman"/>
          <w:sz w:val="24"/>
          <w:szCs w:val="24"/>
        </w:rPr>
        <w:t xml:space="preserve"> On the other hand, the South African transitional arrangement beautifully illustrates the painful trade-offs that negotiated settlements may require. Precisely because it was not ‘ideal’, neither in design nor in implementation, the South African transitional-justice arrangement is an ‘ideal’ </w:t>
      </w:r>
      <w:r w:rsidR="00016C9B">
        <w:rPr>
          <w:rFonts w:ascii="Times New Roman" w:eastAsia="Times New Roman" w:hAnsi="Times New Roman" w:cs="Times New Roman"/>
          <w:sz w:val="24"/>
          <w:szCs w:val="24"/>
        </w:rPr>
        <w:t>case study</w:t>
      </w:r>
      <w:r w:rsidR="00E176FD">
        <w:rPr>
          <w:rFonts w:ascii="Times New Roman" w:eastAsia="Times New Roman" w:hAnsi="Times New Roman" w:cs="Times New Roman"/>
          <w:sz w:val="24"/>
          <w:szCs w:val="24"/>
        </w:rPr>
        <w:t xml:space="preserve"> for the purposes of this article.</w:t>
      </w:r>
      <w:bookmarkStart w:id="5" w:name="_Ref393968563"/>
      <w:r w:rsidR="0008621B">
        <w:rPr>
          <w:rStyle w:val="FootnoteReference"/>
          <w:rFonts w:ascii="Times New Roman" w:eastAsia="Times New Roman" w:hAnsi="Times New Roman" w:cs="Times New Roman"/>
          <w:sz w:val="24"/>
          <w:szCs w:val="24"/>
        </w:rPr>
        <w:footnoteReference w:id="13"/>
      </w:r>
      <w:bookmarkEnd w:id="5"/>
      <w:r w:rsidR="0008621B">
        <w:rPr>
          <w:rFonts w:ascii="Times New Roman" w:eastAsia="Times New Roman" w:hAnsi="Times New Roman" w:cs="Times New Roman"/>
          <w:sz w:val="24"/>
          <w:szCs w:val="24"/>
        </w:rPr>
        <w:t xml:space="preserve"> </w:t>
      </w:r>
    </w:p>
    <w:p w14:paraId="56422E81" w14:textId="77777777" w:rsidR="00E176FD" w:rsidRDefault="00E176FD"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3FEFC61" w14:textId="77777777" w:rsidR="00912364" w:rsidRPr="00912364" w:rsidRDefault="00912364" w:rsidP="00CC3B84">
      <w:pPr>
        <w:pStyle w:val="ListParagraph"/>
        <w:numPr>
          <w:ilvl w:val="0"/>
          <w:numId w:val="5"/>
        </w:numPr>
        <w:spacing w:after="0" w:line="360" w:lineRule="auto"/>
        <w:ind w:left="567"/>
        <w:jc w:val="both"/>
        <w:rPr>
          <w:rFonts w:ascii="Times New Roman" w:eastAsia="Times New Roman" w:hAnsi="Times New Roman" w:cs="Times New Roman"/>
          <w:b/>
          <w:i/>
          <w:sz w:val="24"/>
          <w:szCs w:val="24"/>
        </w:rPr>
      </w:pPr>
      <w:r w:rsidRPr="00912364">
        <w:rPr>
          <w:rFonts w:ascii="Times New Roman" w:eastAsia="Times New Roman" w:hAnsi="Times New Roman" w:cs="Times New Roman"/>
          <w:b/>
          <w:i/>
          <w:sz w:val="24"/>
          <w:szCs w:val="24"/>
        </w:rPr>
        <w:t xml:space="preserve">The South African </w:t>
      </w:r>
      <w:r w:rsidR="00697FAD">
        <w:rPr>
          <w:rFonts w:ascii="Times New Roman" w:eastAsia="Times New Roman" w:hAnsi="Times New Roman" w:cs="Times New Roman"/>
          <w:b/>
          <w:i/>
          <w:sz w:val="24"/>
          <w:szCs w:val="24"/>
        </w:rPr>
        <w:t>T</w:t>
      </w:r>
      <w:r w:rsidR="007B5580">
        <w:rPr>
          <w:rFonts w:ascii="Times New Roman" w:eastAsia="Times New Roman" w:hAnsi="Times New Roman" w:cs="Times New Roman"/>
          <w:b/>
          <w:i/>
          <w:sz w:val="24"/>
          <w:szCs w:val="24"/>
        </w:rPr>
        <w:t>ransitional-</w:t>
      </w:r>
      <w:r w:rsidR="00697FAD">
        <w:rPr>
          <w:rFonts w:ascii="Times New Roman" w:eastAsia="Times New Roman" w:hAnsi="Times New Roman" w:cs="Times New Roman"/>
          <w:b/>
          <w:i/>
          <w:sz w:val="24"/>
          <w:szCs w:val="24"/>
        </w:rPr>
        <w:t>J</w:t>
      </w:r>
      <w:r w:rsidR="007B5580">
        <w:rPr>
          <w:rFonts w:ascii="Times New Roman" w:eastAsia="Times New Roman" w:hAnsi="Times New Roman" w:cs="Times New Roman"/>
          <w:b/>
          <w:i/>
          <w:sz w:val="24"/>
          <w:szCs w:val="24"/>
        </w:rPr>
        <w:t xml:space="preserve">ustice </w:t>
      </w:r>
      <w:r w:rsidR="00697FAD">
        <w:rPr>
          <w:rFonts w:ascii="Times New Roman" w:eastAsia="Times New Roman" w:hAnsi="Times New Roman" w:cs="Times New Roman"/>
          <w:b/>
          <w:i/>
          <w:sz w:val="24"/>
          <w:szCs w:val="24"/>
        </w:rPr>
        <w:t>M</w:t>
      </w:r>
      <w:r w:rsidRPr="00912364">
        <w:rPr>
          <w:rFonts w:ascii="Times New Roman" w:eastAsia="Times New Roman" w:hAnsi="Times New Roman" w:cs="Times New Roman"/>
          <w:b/>
          <w:i/>
          <w:sz w:val="24"/>
          <w:szCs w:val="24"/>
        </w:rPr>
        <w:t xml:space="preserve">odel: </w:t>
      </w:r>
      <w:r w:rsidR="00BF66B8">
        <w:rPr>
          <w:rFonts w:ascii="Times New Roman" w:eastAsia="Times New Roman" w:hAnsi="Times New Roman" w:cs="Times New Roman"/>
          <w:b/>
          <w:i/>
          <w:sz w:val="24"/>
          <w:szCs w:val="24"/>
        </w:rPr>
        <w:t>I</w:t>
      </w:r>
      <w:r w:rsidRPr="00912364">
        <w:rPr>
          <w:rFonts w:ascii="Times New Roman" w:eastAsia="Times New Roman" w:hAnsi="Times New Roman" w:cs="Times New Roman"/>
          <w:b/>
          <w:i/>
          <w:sz w:val="24"/>
          <w:szCs w:val="24"/>
        </w:rPr>
        <w:t xml:space="preserve">n </w:t>
      </w:r>
      <w:r w:rsidR="00697FAD">
        <w:rPr>
          <w:rFonts w:ascii="Times New Roman" w:eastAsia="Times New Roman" w:hAnsi="Times New Roman" w:cs="Times New Roman"/>
          <w:b/>
          <w:i/>
          <w:sz w:val="24"/>
          <w:szCs w:val="24"/>
        </w:rPr>
        <w:t>T</w:t>
      </w:r>
      <w:r w:rsidRPr="00912364">
        <w:rPr>
          <w:rFonts w:ascii="Times New Roman" w:eastAsia="Times New Roman" w:hAnsi="Times New Roman" w:cs="Times New Roman"/>
          <w:b/>
          <w:i/>
          <w:sz w:val="24"/>
          <w:szCs w:val="24"/>
        </w:rPr>
        <w:t>heory and</w:t>
      </w:r>
      <w:r w:rsidR="00697FAD">
        <w:rPr>
          <w:rFonts w:ascii="Times New Roman" w:eastAsia="Times New Roman" w:hAnsi="Times New Roman" w:cs="Times New Roman"/>
          <w:b/>
          <w:i/>
          <w:sz w:val="24"/>
          <w:szCs w:val="24"/>
        </w:rPr>
        <w:t xml:space="preserve"> </w:t>
      </w:r>
      <w:r w:rsidR="00BF66B8">
        <w:rPr>
          <w:rFonts w:ascii="Times New Roman" w:eastAsia="Times New Roman" w:hAnsi="Times New Roman" w:cs="Times New Roman"/>
          <w:b/>
          <w:i/>
          <w:sz w:val="24"/>
          <w:szCs w:val="24"/>
        </w:rPr>
        <w:t xml:space="preserve">in </w:t>
      </w:r>
      <w:r w:rsidR="00697FAD">
        <w:rPr>
          <w:rFonts w:ascii="Times New Roman" w:eastAsia="Times New Roman" w:hAnsi="Times New Roman" w:cs="Times New Roman"/>
          <w:b/>
          <w:i/>
          <w:sz w:val="24"/>
          <w:szCs w:val="24"/>
        </w:rPr>
        <w:t>P</w:t>
      </w:r>
      <w:r w:rsidRPr="00912364">
        <w:rPr>
          <w:rFonts w:ascii="Times New Roman" w:eastAsia="Times New Roman" w:hAnsi="Times New Roman" w:cs="Times New Roman"/>
          <w:b/>
          <w:i/>
          <w:sz w:val="24"/>
          <w:szCs w:val="24"/>
        </w:rPr>
        <w:t>ractice</w:t>
      </w:r>
    </w:p>
    <w:p w14:paraId="2824F633" w14:textId="77777777" w:rsidR="00912364" w:rsidRDefault="003C08CA" w:rsidP="00CE71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design, the </w:t>
      </w:r>
      <w:r w:rsidR="009274F0" w:rsidRPr="00EF4C33">
        <w:rPr>
          <w:rFonts w:ascii="Times New Roman" w:eastAsia="Times New Roman" w:hAnsi="Times New Roman" w:cs="Times New Roman"/>
          <w:sz w:val="24"/>
          <w:szCs w:val="24"/>
        </w:rPr>
        <w:t xml:space="preserve">South African </w:t>
      </w:r>
      <w:r w:rsidR="00016C9B">
        <w:rPr>
          <w:rFonts w:ascii="Times New Roman" w:eastAsia="Times New Roman" w:hAnsi="Times New Roman" w:cs="Times New Roman"/>
          <w:sz w:val="24"/>
          <w:szCs w:val="24"/>
        </w:rPr>
        <w:t xml:space="preserve">transitional-justice </w:t>
      </w:r>
      <w:r w:rsidR="009274F0" w:rsidRPr="00EF4C33">
        <w:rPr>
          <w:rFonts w:ascii="Times New Roman" w:eastAsia="Times New Roman" w:hAnsi="Times New Roman" w:cs="Times New Roman"/>
          <w:sz w:val="24"/>
          <w:szCs w:val="24"/>
        </w:rPr>
        <w:t xml:space="preserve">model </w:t>
      </w:r>
      <w:r>
        <w:rPr>
          <w:rFonts w:ascii="Times New Roman" w:eastAsia="Times New Roman" w:hAnsi="Times New Roman" w:cs="Times New Roman"/>
          <w:sz w:val="24"/>
          <w:szCs w:val="24"/>
        </w:rPr>
        <w:t>is often portrayed</w:t>
      </w:r>
      <w:r w:rsidR="009274F0" w:rsidRPr="00EF4C33">
        <w:rPr>
          <w:rFonts w:ascii="Times New Roman" w:eastAsia="Times New Roman" w:hAnsi="Times New Roman" w:cs="Times New Roman"/>
          <w:sz w:val="24"/>
          <w:szCs w:val="24"/>
        </w:rPr>
        <w:t xml:space="preserve"> as one of amnesty in exchange for truth, mediated through a truth commission. </w:t>
      </w:r>
      <w:r w:rsidR="00705840">
        <w:rPr>
          <w:rFonts w:ascii="Times New Roman" w:eastAsia="Times New Roman" w:hAnsi="Times New Roman" w:cs="Times New Roman"/>
          <w:sz w:val="24"/>
          <w:szCs w:val="24"/>
        </w:rPr>
        <w:t>However, the truth-in-exchange-for-</w:t>
      </w:r>
      <w:r w:rsidR="009274F0" w:rsidRPr="00EF4C33">
        <w:rPr>
          <w:rFonts w:ascii="Times New Roman" w:eastAsia="Times New Roman" w:hAnsi="Times New Roman" w:cs="Times New Roman"/>
          <w:sz w:val="24"/>
          <w:szCs w:val="24"/>
        </w:rPr>
        <w:t xml:space="preserve">amnesty model was a relatively small part of a larger </w:t>
      </w:r>
      <w:r w:rsidR="00BF66B8">
        <w:rPr>
          <w:rFonts w:ascii="Times New Roman" w:eastAsia="Times New Roman" w:hAnsi="Times New Roman" w:cs="Times New Roman"/>
          <w:sz w:val="24"/>
          <w:szCs w:val="24"/>
        </w:rPr>
        <w:t>settlement</w:t>
      </w:r>
      <w:r w:rsidR="009274F0" w:rsidRPr="00EF4C33">
        <w:rPr>
          <w:rFonts w:ascii="Times New Roman" w:eastAsia="Times New Roman" w:hAnsi="Times New Roman" w:cs="Times New Roman"/>
          <w:sz w:val="24"/>
          <w:szCs w:val="24"/>
        </w:rPr>
        <w:t xml:space="preserve"> that required many more deviations from any duty to prosecute</w:t>
      </w:r>
      <w:r w:rsidR="00912364">
        <w:rPr>
          <w:rFonts w:ascii="Times New Roman" w:eastAsia="Times New Roman" w:hAnsi="Times New Roman" w:cs="Times New Roman"/>
          <w:sz w:val="24"/>
          <w:szCs w:val="24"/>
        </w:rPr>
        <w:t xml:space="preserve">. The </w:t>
      </w:r>
      <w:r w:rsidR="00BF66B8">
        <w:rPr>
          <w:rFonts w:ascii="Times New Roman" w:eastAsia="Times New Roman" w:hAnsi="Times New Roman" w:cs="Times New Roman"/>
          <w:sz w:val="24"/>
          <w:szCs w:val="24"/>
        </w:rPr>
        <w:t>essence</w:t>
      </w:r>
      <w:r w:rsidR="00912364">
        <w:rPr>
          <w:rFonts w:ascii="Times New Roman" w:eastAsia="Times New Roman" w:hAnsi="Times New Roman" w:cs="Times New Roman"/>
          <w:sz w:val="24"/>
          <w:szCs w:val="24"/>
        </w:rPr>
        <w:t xml:space="preserve"> of that </w:t>
      </w:r>
      <w:r w:rsidR="00BF66B8">
        <w:rPr>
          <w:rFonts w:ascii="Times New Roman" w:eastAsia="Times New Roman" w:hAnsi="Times New Roman" w:cs="Times New Roman"/>
          <w:sz w:val="24"/>
          <w:szCs w:val="24"/>
        </w:rPr>
        <w:t>settlement</w:t>
      </w:r>
      <w:r w:rsidR="00912364">
        <w:rPr>
          <w:rFonts w:ascii="Times New Roman" w:eastAsia="Times New Roman" w:hAnsi="Times New Roman" w:cs="Times New Roman"/>
          <w:sz w:val="24"/>
          <w:szCs w:val="24"/>
        </w:rPr>
        <w:t xml:space="preserve"> was that</w:t>
      </w:r>
      <w:r w:rsidR="00705840">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 xml:space="preserve">the National Party agreed to majority rule and dismantling apartheid, </w:t>
      </w:r>
      <w:r w:rsidR="00912364">
        <w:rPr>
          <w:rFonts w:ascii="Times New Roman" w:eastAsia="Times New Roman" w:hAnsi="Times New Roman" w:cs="Times New Roman"/>
          <w:sz w:val="24"/>
          <w:szCs w:val="24"/>
        </w:rPr>
        <w:t xml:space="preserve">in exchange for </w:t>
      </w:r>
      <w:r w:rsidR="009274F0" w:rsidRPr="00EF4C33">
        <w:rPr>
          <w:rFonts w:ascii="Times New Roman" w:eastAsia="Times New Roman" w:hAnsi="Times New Roman" w:cs="Times New Roman"/>
          <w:sz w:val="24"/>
          <w:szCs w:val="24"/>
        </w:rPr>
        <w:t xml:space="preserve">the ANC </w:t>
      </w:r>
      <w:r w:rsidR="00016C9B">
        <w:rPr>
          <w:rFonts w:ascii="Times New Roman" w:eastAsia="Times New Roman" w:hAnsi="Times New Roman" w:cs="Times New Roman"/>
          <w:sz w:val="24"/>
          <w:szCs w:val="24"/>
        </w:rPr>
        <w:t>not challeng</w:t>
      </w:r>
      <w:r w:rsidR="00912364">
        <w:rPr>
          <w:rFonts w:ascii="Times New Roman" w:eastAsia="Times New Roman" w:hAnsi="Times New Roman" w:cs="Times New Roman"/>
          <w:sz w:val="24"/>
          <w:szCs w:val="24"/>
        </w:rPr>
        <w:t>ing</w:t>
      </w:r>
      <w:r w:rsidR="00016C9B">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the legality of the previous legal regime</w:t>
      </w:r>
      <w:r w:rsidR="00016C9B">
        <w:rPr>
          <w:rFonts w:ascii="Times New Roman" w:eastAsia="Times New Roman" w:hAnsi="Times New Roman" w:cs="Times New Roman"/>
          <w:sz w:val="24"/>
          <w:szCs w:val="24"/>
        </w:rPr>
        <w:t>, along with everything that had occurred within the confines of law produced by that regime, including apartheid</w:t>
      </w:r>
      <w:r w:rsidR="00912364">
        <w:rPr>
          <w:rFonts w:ascii="Times New Roman" w:eastAsia="Times New Roman" w:hAnsi="Times New Roman" w:cs="Times New Roman"/>
          <w:sz w:val="24"/>
          <w:szCs w:val="24"/>
        </w:rPr>
        <w:t xml:space="preserve"> and the economic privilege of the white minority</w:t>
      </w:r>
      <w:r w:rsidR="00016C9B">
        <w:rPr>
          <w:rFonts w:ascii="Times New Roman" w:eastAsia="Times New Roman" w:hAnsi="Times New Roman" w:cs="Times New Roman"/>
          <w:sz w:val="24"/>
          <w:szCs w:val="24"/>
        </w:rPr>
        <w:t xml:space="preserve">. </w:t>
      </w:r>
      <w:r w:rsidR="00912364">
        <w:rPr>
          <w:rFonts w:ascii="Times New Roman" w:eastAsia="Times New Roman" w:hAnsi="Times New Roman" w:cs="Times New Roman"/>
          <w:sz w:val="24"/>
          <w:szCs w:val="24"/>
        </w:rPr>
        <w:t>In jurisprudential terms, the ANC adopted H</w:t>
      </w:r>
      <w:r w:rsidR="00BF66B8">
        <w:rPr>
          <w:rFonts w:ascii="Times New Roman" w:eastAsia="Times New Roman" w:hAnsi="Times New Roman" w:cs="Times New Roman"/>
          <w:sz w:val="24"/>
          <w:szCs w:val="24"/>
        </w:rPr>
        <w:t>.</w:t>
      </w:r>
      <w:r w:rsidR="00912364">
        <w:rPr>
          <w:rFonts w:ascii="Times New Roman" w:eastAsia="Times New Roman" w:hAnsi="Times New Roman" w:cs="Times New Roman"/>
          <w:sz w:val="24"/>
          <w:szCs w:val="24"/>
        </w:rPr>
        <w:t>L</w:t>
      </w:r>
      <w:r w:rsidR="00BF66B8">
        <w:rPr>
          <w:rFonts w:ascii="Times New Roman" w:eastAsia="Times New Roman" w:hAnsi="Times New Roman" w:cs="Times New Roman"/>
          <w:sz w:val="24"/>
          <w:szCs w:val="24"/>
        </w:rPr>
        <w:t>.</w:t>
      </w:r>
      <w:r w:rsidR="00912364">
        <w:rPr>
          <w:rFonts w:ascii="Times New Roman" w:eastAsia="Times New Roman" w:hAnsi="Times New Roman" w:cs="Times New Roman"/>
          <w:sz w:val="24"/>
          <w:szCs w:val="24"/>
        </w:rPr>
        <w:t>A</w:t>
      </w:r>
      <w:r w:rsidR="00BF66B8">
        <w:rPr>
          <w:rFonts w:ascii="Times New Roman" w:eastAsia="Times New Roman" w:hAnsi="Times New Roman" w:cs="Times New Roman"/>
          <w:sz w:val="24"/>
          <w:szCs w:val="24"/>
        </w:rPr>
        <w:t>.</w:t>
      </w:r>
      <w:r w:rsidR="00912364">
        <w:rPr>
          <w:rFonts w:ascii="Times New Roman" w:eastAsia="Times New Roman" w:hAnsi="Times New Roman" w:cs="Times New Roman"/>
          <w:sz w:val="24"/>
          <w:szCs w:val="24"/>
        </w:rPr>
        <w:t xml:space="preserve"> Hart’s approach to law, rather than that of Lon Fuller,</w:t>
      </w:r>
      <w:r w:rsidR="00912364">
        <w:rPr>
          <w:rStyle w:val="FootnoteReference"/>
          <w:rFonts w:ascii="Times New Roman" w:eastAsia="Times New Roman" w:hAnsi="Times New Roman" w:cs="Times New Roman"/>
          <w:sz w:val="24"/>
          <w:szCs w:val="24"/>
        </w:rPr>
        <w:footnoteReference w:id="14"/>
      </w:r>
      <w:r w:rsidR="00912364">
        <w:rPr>
          <w:rFonts w:ascii="Times New Roman" w:eastAsia="Times New Roman" w:hAnsi="Times New Roman" w:cs="Times New Roman"/>
          <w:sz w:val="24"/>
          <w:szCs w:val="24"/>
        </w:rPr>
        <w:t xml:space="preserve"> in that it accepted the previous regime’s legal acts as ‘law’ even though apartheid violated </w:t>
      </w:r>
      <w:r w:rsidR="0060131D">
        <w:rPr>
          <w:rFonts w:ascii="Times New Roman" w:eastAsia="Times New Roman" w:hAnsi="Times New Roman" w:cs="Times New Roman"/>
          <w:sz w:val="24"/>
          <w:szCs w:val="24"/>
        </w:rPr>
        <w:t>‘</w:t>
      </w:r>
      <w:r w:rsidR="00912364">
        <w:rPr>
          <w:rFonts w:ascii="Times New Roman" w:eastAsia="Times New Roman" w:hAnsi="Times New Roman" w:cs="Times New Roman"/>
          <w:sz w:val="24"/>
          <w:szCs w:val="24"/>
        </w:rPr>
        <w:t>the inner morality of law</w:t>
      </w:r>
      <w:r w:rsidR="0060131D">
        <w:rPr>
          <w:rFonts w:ascii="Times New Roman" w:eastAsia="Times New Roman" w:hAnsi="Times New Roman" w:cs="Times New Roman"/>
          <w:sz w:val="24"/>
          <w:szCs w:val="24"/>
        </w:rPr>
        <w:t>’</w:t>
      </w:r>
      <w:r w:rsidR="00912364">
        <w:rPr>
          <w:rFonts w:ascii="Times New Roman" w:eastAsia="Times New Roman" w:hAnsi="Times New Roman" w:cs="Times New Roman"/>
          <w:sz w:val="24"/>
          <w:szCs w:val="24"/>
        </w:rPr>
        <w:t>.</w:t>
      </w:r>
      <w:r w:rsidR="00912364">
        <w:rPr>
          <w:rStyle w:val="FootnoteReference"/>
          <w:rFonts w:ascii="Times New Roman" w:eastAsia="Times New Roman" w:hAnsi="Times New Roman" w:cs="Times New Roman"/>
          <w:sz w:val="24"/>
          <w:szCs w:val="24"/>
        </w:rPr>
        <w:footnoteReference w:id="15"/>
      </w:r>
      <w:r w:rsidR="00912364">
        <w:rPr>
          <w:rFonts w:ascii="Times New Roman" w:eastAsia="Times New Roman" w:hAnsi="Times New Roman" w:cs="Times New Roman"/>
          <w:sz w:val="24"/>
          <w:szCs w:val="24"/>
        </w:rPr>
        <w:t xml:space="preserve"> </w:t>
      </w:r>
      <w:r w:rsidR="004C244E">
        <w:rPr>
          <w:rFonts w:ascii="Times New Roman" w:eastAsia="Times New Roman" w:hAnsi="Times New Roman" w:cs="Times New Roman"/>
          <w:sz w:val="24"/>
          <w:szCs w:val="24"/>
        </w:rPr>
        <w:t xml:space="preserve">Indeed, it agreed not challenge the legality of the previous legal order even though the </w:t>
      </w:r>
      <w:r w:rsidR="009540F9">
        <w:rPr>
          <w:rFonts w:ascii="Times New Roman" w:eastAsia="Times New Roman" w:hAnsi="Times New Roman" w:cs="Times New Roman"/>
          <w:sz w:val="24"/>
          <w:szCs w:val="24"/>
        </w:rPr>
        <w:t xml:space="preserve">United Nations (UN) </w:t>
      </w:r>
      <w:r w:rsidR="004C244E">
        <w:rPr>
          <w:rFonts w:ascii="Times New Roman" w:eastAsia="Times New Roman" w:hAnsi="Times New Roman" w:cs="Times New Roman"/>
          <w:sz w:val="24"/>
          <w:szCs w:val="24"/>
        </w:rPr>
        <w:t xml:space="preserve"> Security Council had declared the 1983 Constitution, which had entrenched apartheid, as ‘null and void’.</w:t>
      </w:r>
      <w:r w:rsidR="004C244E">
        <w:rPr>
          <w:rStyle w:val="FootnoteReference"/>
          <w:rFonts w:ascii="Times New Roman" w:eastAsia="Times New Roman" w:hAnsi="Times New Roman" w:cs="Times New Roman"/>
          <w:sz w:val="24"/>
          <w:szCs w:val="24"/>
        </w:rPr>
        <w:footnoteReference w:id="16"/>
      </w:r>
    </w:p>
    <w:p w14:paraId="2D05B7A7" w14:textId="77777777" w:rsidR="000C45D8" w:rsidRDefault="009274F0" w:rsidP="00CE71D8">
      <w:pPr>
        <w:spacing w:after="0" w:line="360" w:lineRule="auto"/>
        <w:ind w:firstLine="36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The respect for the legality of the previous regime </w:t>
      </w:r>
      <w:r w:rsidR="00912364">
        <w:rPr>
          <w:rFonts w:ascii="Times New Roman" w:eastAsia="Times New Roman" w:hAnsi="Times New Roman" w:cs="Times New Roman"/>
          <w:sz w:val="24"/>
          <w:szCs w:val="24"/>
        </w:rPr>
        <w:t xml:space="preserve">influenced the boundaries of the </w:t>
      </w:r>
      <w:r w:rsidRPr="00EF4C33">
        <w:rPr>
          <w:rFonts w:ascii="Times New Roman" w:eastAsia="Times New Roman" w:hAnsi="Times New Roman" w:cs="Times New Roman"/>
          <w:sz w:val="24"/>
          <w:szCs w:val="24"/>
        </w:rPr>
        <w:t>truth commission’s mandate</w:t>
      </w:r>
      <w:r w:rsidR="00912364">
        <w:rPr>
          <w:rFonts w:ascii="Times New Roman" w:eastAsia="Times New Roman" w:hAnsi="Times New Roman" w:cs="Times New Roman"/>
          <w:sz w:val="24"/>
          <w:szCs w:val="24"/>
        </w:rPr>
        <w:t xml:space="preserve">. The category of ‘gross violations of human rights’ that it was mandated to investigate consisted only of </w:t>
      </w:r>
      <w:r w:rsidRPr="00EF4C33">
        <w:rPr>
          <w:rFonts w:ascii="Times New Roman" w:eastAsia="Times New Roman" w:hAnsi="Times New Roman" w:cs="Times New Roman"/>
          <w:sz w:val="24"/>
          <w:szCs w:val="24"/>
        </w:rPr>
        <w:t>acts that had been illegal under the previous regime (killing</w:t>
      </w:r>
      <w:r w:rsidR="001947DF">
        <w:rPr>
          <w:rFonts w:ascii="Times New Roman" w:eastAsia="Times New Roman" w:hAnsi="Times New Roman" w:cs="Times New Roman"/>
          <w:sz w:val="24"/>
          <w:szCs w:val="24"/>
        </w:rPr>
        <w:t>, abduction,</w:t>
      </w:r>
      <w:r w:rsidRPr="00EF4C33">
        <w:rPr>
          <w:rFonts w:ascii="Times New Roman" w:eastAsia="Times New Roman" w:hAnsi="Times New Roman" w:cs="Times New Roman"/>
          <w:sz w:val="24"/>
          <w:szCs w:val="24"/>
        </w:rPr>
        <w:t xml:space="preserve"> torture, or severe ill-treatment)</w:t>
      </w:r>
      <w:r w:rsidR="00912364">
        <w:rPr>
          <w:rFonts w:ascii="Times New Roman" w:eastAsia="Times New Roman" w:hAnsi="Times New Roman" w:cs="Times New Roman"/>
          <w:sz w:val="24"/>
          <w:szCs w:val="24"/>
        </w:rPr>
        <w:t>.</w:t>
      </w:r>
      <w:bookmarkStart w:id="6" w:name="_Ref393969707"/>
      <w:r w:rsidR="00813B32" w:rsidRPr="00EF4C33">
        <w:rPr>
          <w:rFonts w:ascii="Times New Roman" w:eastAsia="Times New Roman" w:hAnsi="Times New Roman" w:cs="Times New Roman"/>
          <w:sz w:val="24"/>
          <w:szCs w:val="24"/>
          <w:vertAlign w:val="superscript"/>
        </w:rPr>
        <w:footnoteReference w:id="17"/>
      </w:r>
      <w:bookmarkEnd w:id="6"/>
      <w:r w:rsidR="00912364">
        <w:rPr>
          <w:rFonts w:ascii="Times New Roman" w:eastAsia="Times New Roman" w:hAnsi="Times New Roman" w:cs="Times New Roman"/>
          <w:sz w:val="24"/>
          <w:szCs w:val="24"/>
        </w:rPr>
        <w:t xml:space="preserve"> It did not include </w:t>
      </w:r>
      <w:r w:rsidRPr="00EF4C33">
        <w:rPr>
          <w:rFonts w:ascii="Times New Roman" w:eastAsia="Times New Roman" w:hAnsi="Times New Roman" w:cs="Times New Roman"/>
          <w:sz w:val="24"/>
          <w:szCs w:val="24"/>
        </w:rPr>
        <w:t xml:space="preserve">the most widespread and </w:t>
      </w:r>
      <w:r w:rsidRPr="00EF4C33">
        <w:rPr>
          <w:rFonts w:ascii="Times New Roman" w:eastAsia="Times New Roman" w:hAnsi="Times New Roman" w:cs="Times New Roman"/>
          <w:sz w:val="24"/>
          <w:szCs w:val="24"/>
        </w:rPr>
        <w:lastRenderedPageBreak/>
        <w:t>systematic attack on the largest part of Sou</w:t>
      </w:r>
      <w:r w:rsidR="00912364">
        <w:rPr>
          <w:rFonts w:ascii="Times New Roman" w:eastAsia="Times New Roman" w:hAnsi="Times New Roman" w:cs="Times New Roman"/>
          <w:sz w:val="24"/>
          <w:szCs w:val="24"/>
        </w:rPr>
        <w:t>th Africa’s civilian population:</w:t>
      </w:r>
      <w:r w:rsidRPr="00EF4C33">
        <w:rPr>
          <w:rFonts w:ascii="Times New Roman" w:eastAsia="Times New Roman" w:hAnsi="Times New Roman" w:cs="Times New Roman"/>
          <w:sz w:val="24"/>
          <w:szCs w:val="24"/>
        </w:rPr>
        <w:t xml:space="preserve"> </w:t>
      </w:r>
      <w:r w:rsidR="00912364">
        <w:rPr>
          <w:rFonts w:ascii="Times New Roman" w:eastAsia="Times New Roman" w:hAnsi="Times New Roman" w:cs="Times New Roman"/>
          <w:sz w:val="24"/>
          <w:szCs w:val="24"/>
        </w:rPr>
        <w:t>apartheid,</w:t>
      </w:r>
      <w:r w:rsidR="00FD37D1">
        <w:rPr>
          <w:rStyle w:val="FootnoteReference"/>
          <w:rFonts w:ascii="Times New Roman" w:eastAsia="Times New Roman" w:hAnsi="Times New Roman" w:cs="Times New Roman"/>
          <w:sz w:val="24"/>
          <w:szCs w:val="24"/>
        </w:rPr>
        <w:footnoteReference w:id="18"/>
      </w:r>
      <w:r w:rsidR="00912364">
        <w:rPr>
          <w:rFonts w:ascii="Times New Roman" w:eastAsia="Times New Roman" w:hAnsi="Times New Roman" w:cs="Times New Roman"/>
          <w:sz w:val="24"/>
          <w:szCs w:val="24"/>
        </w:rPr>
        <w:t xml:space="preserve"> </w:t>
      </w:r>
      <w:r w:rsidR="00C87A41">
        <w:rPr>
          <w:rFonts w:ascii="Times New Roman" w:eastAsia="Times New Roman" w:hAnsi="Times New Roman" w:cs="Times New Roman"/>
          <w:sz w:val="24"/>
          <w:szCs w:val="24"/>
        </w:rPr>
        <w:t>probably</w:t>
      </w:r>
      <w:r w:rsidR="00912364">
        <w:rPr>
          <w:rFonts w:ascii="Times New Roman" w:eastAsia="Times New Roman" w:hAnsi="Times New Roman" w:cs="Times New Roman"/>
          <w:sz w:val="24"/>
          <w:szCs w:val="24"/>
        </w:rPr>
        <w:t xml:space="preserve"> already at that time a </w:t>
      </w:r>
      <w:r w:rsidRPr="00EF4C33">
        <w:rPr>
          <w:rFonts w:ascii="Times New Roman" w:eastAsia="Times New Roman" w:hAnsi="Times New Roman" w:cs="Times New Roman"/>
          <w:sz w:val="24"/>
          <w:szCs w:val="24"/>
        </w:rPr>
        <w:t>crime against humanity</w:t>
      </w:r>
      <w:r w:rsidR="00912364">
        <w:rPr>
          <w:rFonts w:ascii="Times New Roman" w:eastAsia="Times New Roman" w:hAnsi="Times New Roman" w:cs="Times New Roman"/>
          <w:sz w:val="24"/>
          <w:szCs w:val="24"/>
        </w:rPr>
        <w:t>.</w:t>
      </w:r>
      <w:bookmarkStart w:id="7" w:name="_Ref393969025"/>
      <w:r w:rsidR="00912364">
        <w:rPr>
          <w:rStyle w:val="FootnoteReference"/>
          <w:rFonts w:ascii="Times New Roman" w:eastAsia="Times New Roman" w:hAnsi="Times New Roman" w:cs="Times New Roman"/>
          <w:sz w:val="24"/>
          <w:szCs w:val="24"/>
        </w:rPr>
        <w:footnoteReference w:id="19"/>
      </w:r>
      <w:bookmarkEnd w:id="7"/>
      <w:r w:rsidRPr="00EF4C33">
        <w:rPr>
          <w:rFonts w:ascii="Times New Roman" w:eastAsia="Times New Roman" w:hAnsi="Times New Roman" w:cs="Times New Roman"/>
          <w:sz w:val="24"/>
          <w:szCs w:val="24"/>
        </w:rPr>
        <w:t xml:space="preserve"> </w:t>
      </w:r>
      <w:r w:rsidR="00912364">
        <w:rPr>
          <w:rFonts w:ascii="Times New Roman" w:eastAsia="Times New Roman" w:hAnsi="Times New Roman" w:cs="Times New Roman"/>
          <w:sz w:val="24"/>
          <w:szCs w:val="24"/>
        </w:rPr>
        <w:t xml:space="preserve">The respect for the legality of the previous regime </w:t>
      </w:r>
      <w:r w:rsidRPr="00EF4C33">
        <w:rPr>
          <w:rFonts w:ascii="Times New Roman" w:eastAsia="Times New Roman" w:hAnsi="Times New Roman" w:cs="Times New Roman"/>
          <w:sz w:val="24"/>
          <w:szCs w:val="24"/>
        </w:rPr>
        <w:t>also meant that multiple Indemnity Acts, provisions and regulations continued to shield members of the South African military from civil and criminal liability,</w:t>
      </w:r>
      <w:bookmarkStart w:id="8" w:name="_Ref393977057"/>
      <w:r w:rsidR="00705840" w:rsidRPr="00EF4C33">
        <w:rPr>
          <w:rFonts w:ascii="Times New Roman" w:eastAsia="Times New Roman" w:hAnsi="Times New Roman" w:cs="Times New Roman"/>
          <w:sz w:val="24"/>
          <w:szCs w:val="24"/>
          <w:vertAlign w:val="superscript"/>
        </w:rPr>
        <w:footnoteReference w:id="20"/>
      </w:r>
      <w:bookmarkEnd w:id="8"/>
      <w:r w:rsidRPr="00EF4C33">
        <w:rPr>
          <w:rFonts w:ascii="Times New Roman" w:eastAsia="Times New Roman" w:hAnsi="Times New Roman" w:cs="Times New Roman"/>
          <w:sz w:val="24"/>
          <w:szCs w:val="24"/>
        </w:rPr>
        <w:t xml:space="preserve"> obviating their need for an amnesty. </w:t>
      </w:r>
    </w:p>
    <w:p w14:paraId="4F635330" w14:textId="77777777" w:rsidR="00027F8F" w:rsidRPr="00EF4C33" w:rsidRDefault="00912364" w:rsidP="00CE71D8">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implementation, the South African transitional-justice model was only partially put into effect. The Truth and Reconciliation Commission (TRC) collected testimonies from victims, granted amnesties to those who applied for them</w:t>
      </w:r>
      <w:r w:rsidR="00BF66B8">
        <w:rPr>
          <w:rFonts w:ascii="Times New Roman" w:eastAsia="Times New Roman" w:hAnsi="Times New Roman" w:cs="Times New Roman"/>
          <w:sz w:val="24"/>
          <w:szCs w:val="24"/>
        </w:rPr>
        <w:t xml:space="preserve"> if they </w:t>
      </w:r>
      <w:r w:rsidR="000059DF">
        <w:rPr>
          <w:rFonts w:ascii="Times New Roman" w:eastAsia="Times New Roman" w:hAnsi="Times New Roman" w:cs="Times New Roman"/>
          <w:sz w:val="24"/>
          <w:szCs w:val="24"/>
        </w:rPr>
        <w:t>disclosed</w:t>
      </w:r>
      <w:r w:rsidR="009D7A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facts of their </w:t>
      </w:r>
      <w:r w:rsidR="00BF66B8">
        <w:rPr>
          <w:rFonts w:ascii="Times New Roman" w:eastAsia="Times New Roman" w:hAnsi="Times New Roman" w:cs="Times New Roman"/>
          <w:sz w:val="24"/>
          <w:szCs w:val="24"/>
        </w:rPr>
        <w:t>politically</w:t>
      </w:r>
      <w:r w:rsidR="00ED532D">
        <w:rPr>
          <w:rFonts w:ascii="Times New Roman" w:eastAsia="Times New Roman" w:hAnsi="Times New Roman" w:cs="Times New Roman"/>
          <w:sz w:val="24"/>
          <w:szCs w:val="24"/>
        </w:rPr>
        <w:t xml:space="preserve"> </w:t>
      </w:r>
      <w:r w:rsidR="00BF66B8">
        <w:rPr>
          <w:rFonts w:ascii="Times New Roman" w:eastAsia="Times New Roman" w:hAnsi="Times New Roman" w:cs="Times New Roman"/>
          <w:sz w:val="24"/>
          <w:szCs w:val="24"/>
        </w:rPr>
        <w:t xml:space="preserve">motivated </w:t>
      </w:r>
      <w:r>
        <w:rPr>
          <w:rFonts w:ascii="Times New Roman" w:eastAsia="Times New Roman" w:hAnsi="Times New Roman" w:cs="Times New Roman"/>
          <w:sz w:val="24"/>
          <w:szCs w:val="24"/>
        </w:rPr>
        <w:t xml:space="preserve">crimes, and published an extensive report, recommending, inter alia, that the state provide reparations to victims. However, the state instigated less than a dozen of criminal proceedings for </w:t>
      </w:r>
      <w:r w:rsidR="009274F0" w:rsidRPr="00EF4C33">
        <w:rPr>
          <w:rFonts w:ascii="Times New Roman" w:eastAsia="Times New Roman" w:hAnsi="Times New Roman" w:cs="Times New Roman"/>
          <w:sz w:val="24"/>
          <w:szCs w:val="24"/>
        </w:rPr>
        <w:t>the thousands of people who had defied the amnesty process, o</w:t>
      </w:r>
      <w:r>
        <w:rPr>
          <w:rFonts w:ascii="Times New Roman" w:eastAsia="Times New Roman" w:hAnsi="Times New Roman" w:cs="Times New Roman"/>
          <w:sz w:val="24"/>
          <w:szCs w:val="24"/>
        </w:rPr>
        <w:t xml:space="preserve">r whose amnesties were rejected. </w:t>
      </w:r>
      <w:r w:rsidR="009274F0" w:rsidRPr="00EF4C33">
        <w:rPr>
          <w:rFonts w:ascii="Times New Roman" w:eastAsia="Times New Roman" w:hAnsi="Times New Roman" w:cs="Times New Roman"/>
          <w:sz w:val="24"/>
          <w:szCs w:val="24"/>
        </w:rPr>
        <w:t>Most of these prosecutions failed or ended in a plea bargain.</w:t>
      </w:r>
      <w:r w:rsidR="009274F0" w:rsidRPr="00EF4C33">
        <w:rPr>
          <w:rFonts w:ascii="Times New Roman" w:eastAsia="Times New Roman" w:hAnsi="Times New Roman" w:cs="Times New Roman"/>
          <w:sz w:val="24"/>
          <w:szCs w:val="24"/>
          <w:vertAlign w:val="superscript"/>
        </w:rPr>
        <w:footnoteReference w:id="21"/>
      </w:r>
      <w:r w:rsidR="009274F0" w:rsidRPr="00EF4C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compared to what the TRC had recommended, the state paid only a very small amount of reparations. </w:t>
      </w:r>
    </w:p>
    <w:p w14:paraId="307B4A41" w14:textId="77777777" w:rsidR="00BF66B8" w:rsidRDefault="00BF66B8"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Five key implications emerge from t</w:t>
      </w:r>
      <w:r w:rsidR="009274F0" w:rsidRPr="00EF4C33">
        <w:rPr>
          <w:rFonts w:ascii="Times New Roman" w:eastAsia="Times New Roman" w:hAnsi="Times New Roman" w:cs="Times New Roman"/>
          <w:sz w:val="24"/>
          <w:szCs w:val="24"/>
        </w:rPr>
        <w:t>h</w:t>
      </w:r>
      <w:r w:rsidR="00912364">
        <w:rPr>
          <w:rFonts w:ascii="Times New Roman" w:eastAsia="Times New Roman" w:hAnsi="Times New Roman" w:cs="Times New Roman"/>
          <w:sz w:val="24"/>
          <w:szCs w:val="24"/>
        </w:rPr>
        <w:t xml:space="preserve">e negotiations of the South African settlement, the settlement itself, </w:t>
      </w:r>
      <w:r w:rsidR="009274F0" w:rsidRPr="00EF4C33">
        <w:rPr>
          <w:rFonts w:ascii="Times New Roman" w:eastAsia="Times New Roman" w:hAnsi="Times New Roman" w:cs="Times New Roman"/>
          <w:sz w:val="24"/>
          <w:szCs w:val="24"/>
        </w:rPr>
        <w:t xml:space="preserve">and its implementation </w:t>
      </w:r>
      <w:r>
        <w:rPr>
          <w:rFonts w:ascii="Times New Roman" w:eastAsia="Times New Roman" w:hAnsi="Times New Roman" w:cs="Times New Roman"/>
          <w:sz w:val="24"/>
          <w:szCs w:val="24"/>
        </w:rPr>
        <w:t>w</w:t>
      </w:r>
      <w:r w:rsidRPr="00EF4C33">
        <w:rPr>
          <w:rFonts w:ascii="Times New Roman" w:eastAsia="Times New Roman" w:hAnsi="Times New Roman" w:cs="Times New Roman"/>
          <w:sz w:val="24"/>
          <w:szCs w:val="24"/>
        </w:rPr>
        <w:t>hen</w:t>
      </w:r>
      <w:r>
        <w:rPr>
          <w:rFonts w:ascii="Times New Roman" w:eastAsia="Times New Roman" w:hAnsi="Times New Roman" w:cs="Times New Roman"/>
          <w:sz w:val="24"/>
          <w:szCs w:val="24"/>
        </w:rPr>
        <w:t xml:space="preserve"> they are</w:t>
      </w:r>
      <w:r w:rsidRPr="00EF4C33">
        <w:rPr>
          <w:rFonts w:ascii="Times New Roman" w:eastAsia="Times New Roman" w:hAnsi="Times New Roman" w:cs="Times New Roman"/>
          <w:sz w:val="24"/>
          <w:szCs w:val="24"/>
        </w:rPr>
        <w:t xml:space="preserve"> considered in light of the proposed duty to prosecute crimes against humanity</w:t>
      </w:r>
      <w:r>
        <w:rPr>
          <w:rFonts w:ascii="Times New Roman" w:eastAsia="Times New Roman" w:hAnsi="Times New Roman" w:cs="Times New Roman"/>
          <w:sz w:val="24"/>
          <w:szCs w:val="24"/>
        </w:rPr>
        <w:t xml:space="preserve">. </w:t>
      </w:r>
    </w:p>
    <w:p w14:paraId="04DC7616" w14:textId="77777777" w:rsidR="00912364" w:rsidRDefault="00912364"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First, </w:t>
      </w:r>
      <w:r w:rsidR="009274F0" w:rsidRPr="00EF4C33">
        <w:rPr>
          <w:rFonts w:ascii="Times New Roman" w:eastAsia="Times New Roman" w:hAnsi="Times New Roman" w:cs="Times New Roman"/>
          <w:sz w:val="24"/>
          <w:szCs w:val="24"/>
        </w:rPr>
        <w:t xml:space="preserve">the process of negotiating in and of itself required the parties to de-emphasise, if not abandon, the criminal frame: the pursuit of a negotiated settlement </w:t>
      </w:r>
      <w:r w:rsidR="00705840">
        <w:rPr>
          <w:rFonts w:ascii="Times New Roman" w:eastAsia="Times New Roman" w:hAnsi="Times New Roman" w:cs="Times New Roman"/>
          <w:sz w:val="24"/>
          <w:szCs w:val="24"/>
        </w:rPr>
        <w:t>necessitated</w:t>
      </w:r>
      <w:r w:rsidR="009274F0" w:rsidRPr="00EF4C33">
        <w:rPr>
          <w:rFonts w:ascii="Times New Roman" w:eastAsia="Times New Roman" w:hAnsi="Times New Roman" w:cs="Times New Roman"/>
          <w:sz w:val="24"/>
          <w:szCs w:val="24"/>
        </w:rPr>
        <w:t xml:space="preserve"> treating members of the other party as political, rather than criminal, opponents. The National Party had to change its frame of the ANC as a ‘terrorist organisation’, while the ANC could not approach the </w:t>
      </w:r>
      <w:r w:rsidR="00E2368B">
        <w:rPr>
          <w:rFonts w:ascii="Times New Roman" w:eastAsia="Times New Roman" w:hAnsi="Times New Roman" w:cs="Times New Roman"/>
          <w:sz w:val="24"/>
          <w:szCs w:val="24"/>
        </w:rPr>
        <w:t>National Party</w:t>
      </w:r>
      <w:r w:rsidR="00E2368B" w:rsidRPr="00EF4C33">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 xml:space="preserve">as a </w:t>
      </w:r>
      <w:proofErr w:type="spellStart"/>
      <w:r w:rsidR="009274F0" w:rsidRPr="00EF4C33">
        <w:rPr>
          <w:rFonts w:ascii="Times New Roman" w:eastAsia="Times New Roman" w:hAnsi="Times New Roman" w:cs="Times New Roman"/>
          <w:i/>
          <w:sz w:val="24"/>
          <w:szCs w:val="24"/>
        </w:rPr>
        <w:t>hostis</w:t>
      </w:r>
      <w:proofErr w:type="spellEnd"/>
      <w:r w:rsidR="009274F0" w:rsidRPr="00EF4C33">
        <w:rPr>
          <w:rFonts w:ascii="Times New Roman" w:eastAsia="Times New Roman" w:hAnsi="Times New Roman" w:cs="Times New Roman"/>
          <w:i/>
          <w:sz w:val="24"/>
          <w:szCs w:val="24"/>
        </w:rPr>
        <w:t xml:space="preserve"> </w:t>
      </w:r>
      <w:proofErr w:type="spellStart"/>
      <w:r w:rsidR="009274F0" w:rsidRPr="00EF4C33">
        <w:rPr>
          <w:rFonts w:ascii="Times New Roman" w:eastAsia="Times New Roman" w:hAnsi="Times New Roman" w:cs="Times New Roman"/>
          <w:i/>
          <w:sz w:val="24"/>
          <w:szCs w:val="24"/>
        </w:rPr>
        <w:t>humani</w:t>
      </w:r>
      <w:proofErr w:type="spellEnd"/>
      <w:r w:rsidR="009274F0" w:rsidRPr="00EF4C33">
        <w:rPr>
          <w:rFonts w:ascii="Times New Roman" w:eastAsia="Times New Roman" w:hAnsi="Times New Roman" w:cs="Times New Roman"/>
          <w:i/>
          <w:sz w:val="24"/>
          <w:szCs w:val="24"/>
        </w:rPr>
        <w:t xml:space="preserve"> generis </w:t>
      </w:r>
      <w:r w:rsidR="009274F0" w:rsidRPr="00EF4C33">
        <w:rPr>
          <w:rFonts w:ascii="Times New Roman" w:eastAsia="Times New Roman" w:hAnsi="Times New Roman" w:cs="Times New Roman"/>
          <w:sz w:val="24"/>
          <w:szCs w:val="24"/>
        </w:rPr>
        <w:t>that had committed crime</w:t>
      </w:r>
      <w:r w:rsidR="009540F9">
        <w:rPr>
          <w:rFonts w:ascii="Times New Roman" w:eastAsia="Times New Roman" w:hAnsi="Times New Roman" w:cs="Times New Roman"/>
          <w:sz w:val="24"/>
          <w:szCs w:val="24"/>
        </w:rPr>
        <w:t>s</w:t>
      </w:r>
      <w:r w:rsidR="009274F0" w:rsidRPr="00EF4C33">
        <w:rPr>
          <w:rFonts w:ascii="Times New Roman" w:eastAsia="Times New Roman" w:hAnsi="Times New Roman" w:cs="Times New Roman"/>
          <w:sz w:val="24"/>
          <w:szCs w:val="24"/>
        </w:rPr>
        <w:t xml:space="preserve"> against humanity</w:t>
      </w:r>
      <w:r w:rsidR="009540F9">
        <w:rPr>
          <w:rFonts w:ascii="Times New Roman" w:eastAsia="Times New Roman" w:hAnsi="Times New Roman" w:cs="Times New Roman"/>
          <w:sz w:val="24"/>
          <w:szCs w:val="24"/>
        </w:rPr>
        <w:t>, including</w:t>
      </w:r>
      <w:r w:rsidR="009274F0" w:rsidRPr="00EF4C33">
        <w:rPr>
          <w:rFonts w:ascii="Times New Roman" w:eastAsia="Times New Roman" w:hAnsi="Times New Roman" w:cs="Times New Roman"/>
          <w:sz w:val="24"/>
          <w:szCs w:val="24"/>
        </w:rPr>
        <w:t xml:space="preserve"> apartheid. </w:t>
      </w:r>
    </w:p>
    <w:p w14:paraId="18AACEA3" w14:textId="77777777" w:rsidR="00772F90" w:rsidRDefault="00772F90"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the South African negotiated settlement that was eventually reached prioritised, as Mahmood </w:t>
      </w:r>
      <w:proofErr w:type="spellStart"/>
      <w:r>
        <w:rPr>
          <w:rFonts w:ascii="Times New Roman" w:eastAsia="Times New Roman" w:hAnsi="Times New Roman" w:cs="Times New Roman"/>
          <w:sz w:val="24"/>
          <w:szCs w:val="24"/>
        </w:rPr>
        <w:t>Mamdani</w:t>
      </w:r>
      <w:proofErr w:type="spellEnd"/>
      <w:r w:rsidRPr="00EF4C33">
        <w:rPr>
          <w:rFonts w:ascii="Times New Roman" w:eastAsia="Times New Roman" w:hAnsi="Times New Roman" w:cs="Times New Roman"/>
          <w:sz w:val="24"/>
          <w:szCs w:val="24"/>
        </w:rPr>
        <w:t xml:space="preserve"> has argued, political justice over criminal and social justice.</w:t>
      </w:r>
      <w:r w:rsidRPr="00EF4C33">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That is to say, the primary objective was a transition in power. The settlement did not directly address the enormous economic inequality; this was believed to get remedied, over time, through the transition in power. Promoting reconciliation through truth telling was prioritised over criminal justice. </w:t>
      </w:r>
    </w:p>
    <w:p w14:paraId="6BC5EFDF" w14:textId="77777777" w:rsidR="00912364" w:rsidRDefault="00772F90"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Thirdly</w:t>
      </w:r>
      <w:r w:rsidR="00912364">
        <w:rPr>
          <w:rFonts w:ascii="Times New Roman" w:eastAsia="Times New Roman" w:hAnsi="Times New Roman" w:cs="Times New Roman"/>
          <w:sz w:val="24"/>
          <w:szCs w:val="24"/>
        </w:rPr>
        <w:t xml:space="preserve">, apartheid, </w:t>
      </w:r>
      <w:r w:rsidR="00912364" w:rsidRPr="00EF4C33">
        <w:rPr>
          <w:rFonts w:ascii="Times New Roman" w:eastAsia="Times New Roman" w:hAnsi="Times New Roman" w:cs="Times New Roman"/>
          <w:sz w:val="24"/>
          <w:szCs w:val="24"/>
        </w:rPr>
        <w:t>arguably the ‘grossest’ human rights violation of all, was not treated as a crime for the commission of which one risked prosecution if one did not apply for amnesty.</w:t>
      </w:r>
      <w:r w:rsidR="008C6833">
        <w:rPr>
          <w:rStyle w:val="FootnoteReference"/>
          <w:rFonts w:ascii="Times New Roman" w:eastAsia="Times New Roman" w:hAnsi="Times New Roman" w:cs="Times New Roman"/>
          <w:sz w:val="24"/>
          <w:szCs w:val="24"/>
        </w:rPr>
        <w:footnoteReference w:id="23"/>
      </w:r>
      <w:r w:rsidR="00912364" w:rsidRPr="00EF4C33">
        <w:rPr>
          <w:rFonts w:ascii="Times New Roman" w:eastAsia="Times New Roman" w:hAnsi="Times New Roman" w:cs="Times New Roman"/>
          <w:sz w:val="24"/>
          <w:szCs w:val="24"/>
        </w:rPr>
        <w:t xml:space="preserve"> A future without apartheid was one of the main objectives of the settlement, but it pursued this future by not challenging the fact that apartheid had been l</w:t>
      </w:r>
      <w:r w:rsidR="000D6822">
        <w:rPr>
          <w:rFonts w:ascii="Times New Roman" w:eastAsia="Times New Roman" w:hAnsi="Times New Roman" w:cs="Times New Roman"/>
          <w:sz w:val="24"/>
          <w:szCs w:val="24"/>
        </w:rPr>
        <w:t>egal</w:t>
      </w:r>
      <w:r w:rsidR="00912364" w:rsidRPr="00EF4C33">
        <w:rPr>
          <w:rFonts w:ascii="Times New Roman" w:eastAsia="Times New Roman" w:hAnsi="Times New Roman" w:cs="Times New Roman"/>
          <w:sz w:val="24"/>
          <w:szCs w:val="24"/>
        </w:rPr>
        <w:t xml:space="preserve"> under South African law.</w:t>
      </w:r>
      <w:r w:rsidR="00912364">
        <w:rPr>
          <w:rFonts w:ascii="Times New Roman" w:eastAsia="Times New Roman" w:hAnsi="Times New Roman" w:cs="Times New Roman"/>
          <w:sz w:val="24"/>
          <w:szCs w:val="24"/>
        </w:rPr>
        <w:t xml:space="preserve"> </w:t>
      </w:r>
    </w:p>
    <w:p w14:paraId="239021BE" w14:textId="77777777" w:rsidR="00772F90" w:rsidRDefault="00772F90"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Fourth</w:t>
      </w:r>
      <w:r w:rsidR="00912364">
        <w:rPr>
          <w:rFonts w:ascii="Times New Roman" w:eastAsia="Times New Roman" w:hAnsi="Times New Roman" w:cs="Times New Roman"/>
          <w:sz w:val="24"/>
          <w:szCs w:val="24"/>
        </w:rPr>
        <w:t xml:space="preserve">ly, while there may be controversy as to whether apartheid </w:t>
      </w:r>
      <w:r>
        <w:rPr>
          <w:rFonts w:ascii="Times New Roman" w:eastAsia="Times New Roman" w:hAnsi="Times New Roman" w:cs="Times New Roman"/>
          <w:sz w:val="24"/>
          <w:szCs w:val="24"/>
        </w:rPr>
        <w:t xml:space="preserve">as such </w:t>
      </w:r>
      <w:r w:rsidR="00912364">
        <w:rPr>
          <w:rFonts w:ascii="Times New Roman" w:eastAsia="Times New Roman" w:hAnsi="Times New Roman" w:cs="Times New Roman"/>
          <w:sz w:val="24"/>
          <w:szCs w:val="24"/>
        </w:rPr>
        <w:t>was at the time a crime</w:t>
      </w:r>
      <w:r>
        <w:rPr>
          <w:rFonts w:ascii="Times New Roman" w:eastAsia="Times New Roman" w:hAnsi="Times New Roman" w:cs="Times New Roman"/>
          <w:sz w:val="24"/>
          <w:szCs w:val="24"/>
        </w:rPr>
        <w:t xml:space="preserve"> against humanity</w:t>
      </w:r>
      <w:r w:rsidR="00912364">
        <w:rPr>
          <w:rFonts w:ascii="Times New Roman" w:eastAsia="Times New Roman" w:hAnsi="Times New Roman" w:cs="Times New Roman"/>
          <w:sz w:val="24"/>
          <w:szCs w:val="24"/>
        </w:rPr>
        <w:t>,</w:t>
      </w:r>
      <w:r w:rsidR="00912364">
        <w:rPr>
          <w:rStyle w:val="FootnoteReference"/>
          <w:rFonts w:ascii="Times New Roman" w:eastAsia="Times New Roman" w:hAnsi="Times New Roman" w:cs="Times New Roman"/>
          <w:sz w:val="24"/>
          <w:szCs w:val="24"/>
        </w:rPr>
        <w:footnoteReference w:id="24"/>
      </w:r>
      <w:r w:rsidR="009123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evident that other crimes against humanity</w:t>
      </w:r>
      <w:r w:rsidR="00164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6444C">
        <w:rPr>
          <w:rFonts w:ascii="Times New Roman" w:eastAsia="Times New Roman" w:hAnsi="Times New Roman" w:cs="Times New Roman"/>
          <w:sz w:val="24"/>
          <w:szCs w:val="24"/>
        </w:rPr>
        <w:t xml:space="preserve"> </w:t>
      </w:r>
      <w:r w:rsidRPr="00772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widespread and systematic persecution on racial grounds, torture, </w:t>
      </w:r>
      <w:r w:rsidR="00912364">
        <w:rPr>
          <w:rFonts w:ascii="Times New Roman" w:eastAsia="Times New Roman" w:hAnsi="Times New Roman" w:cs="Times New Roman"/>
          <w:sz w:val="24"/>
          <w:szCs w:val="24"/>
        </w:rPr>
        <w:t>enforced disappearances</w:t>
      </w:r>
      <w:r w:rsidR="00D90E3C">
        <w:rPr>
          <w:rFonts w:ascii="Times New Roman" w:eastAsia="Times New Roman" w:hAnsi="Times New Roman" w:cs="Times New Roman"/>
          <w:sz w:val="24"/>
          <w:szCs w:val="24"/>
        </w:rPr>
        <w:t xml:space="preserve"> and other inhumane acts of a similar character intentionally causing great suffering, or serious injury to body or to mental or physical health</w:t>
      </w:r>
      <w:r w:rsidR="00BF66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F66B8">
        <w:rPr>
          <w:rFonts w:ascii="Times New Roman" w:eastAsia="Times New Roman" w:hAnsi="Times New Roman" w:cs="Times New Roman"/>
          <w:sz w:val="24"/>
          <w:szCs w:val="24"/>
        </w:rPr>
        <w:t xml:space="preserve"> </w:t>
      </w:r>
      <w:r w:rsidR="00C960A8">
        <w:rPr>
          <w:rFonts w:ascii="Times New Roman" w:eastAsia="Times New Roman" w:hAnsi="Times New Roman" w:cs="Times New Roman"/>
          <w:sz w:val="24"/>
          <w:szCs w:val="24"/>
        </w:rPr>
        <w:t xml:space="preserve">were committed and yet not prosecuted. </w:t>
      </w:r>
    </w:p>
    <w:p w14:paraId="6B6B46DE" w14:textId="77777777" w:rsidR="006B0B36" w:rsidRDefault="00C960A8"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9274F0" w:rsidRPr="00EF4C33">
        <w:rPr>
          <w:rFonts w:ascii="Times New Roman" w:eastAsia="Times New Roman" w:hAnsi="Times New Roman" w:cs="Times New Roman"/>
          <w:sz w:val="24"/>
          <w:szCs w:val="24"/>
        </w:rPr>
        <w:t>, while the transitional-justice model that South Africa has become internationally famous for was one of truth telling induced by the carrot of individual amnesties and the stick of prosecution, the practice was one of hardly any prosecution, with or without amnesty.</w:t>
      </w:r>
    </w:p>
    <w:p w14:paraId="0D8AB27B" w14:textId="77777777" w:rsidR="00462022" w:rsidRDefault="00462022" w:rsidP="00CE71D8">
      <w:pPr>
        <w:spacing w:after="0" w:line="360" w:lineRule="auto"/>
        <w:ind w:firstLine="720"/>
        <w:jc w:val="both"/>
        <w:rPr>
          <w:rFonts w:ascii="Times New Roman" w:eastAsia="Times New Roman" w:hAnsi="Times New Roman" w:cs="Times New Roman"/>
          <w:sz w:val="24"/>
          <w:szCs w:val="24"/>
        </w:rPr>
      </w:pPr>
    </w:p>
    <w:p w14:paraId="1CEDC7AB" w14:textId="77777777" w:rsidR="00912364" w:rsidRPr="00912364" w:rsidRDefault="00912364" w:rsidP="00CC3B84">
      <w:pPr>
        <w:pStyle w:val="ListParagraph"/>
        <w:numPr>
          <w:ilvl w:val="0"/>
          <w:numId w:val="5"/>
        </w:numPr>
        <w:spacing w:after="0" w:line="360" w:lineRule="auto"/>
        <w:ind w:left="567"/>
        <w:jc w:val="both"/>
        <w:rPr>
          <w:rFonts w:ascii="Times New Roman" w:eastAsia="Times New Roman" w:hAnsi="Times New Roman" w:cs="Times New Roman"/>
          <w:b/>
          <w:i/>
          <w:sz w:val="24"/>
          <w:szCs w:val="24"/>
        </w:rPr>
      </w:pPr>
      <w:r w:rsidRPr="00912364">
        <w:rPr>
          <w:rFonts w:ascii="Times New Roman" w:eastAsia="Times New Roman" w:hAnsi="Times New Roman" w:cs="Times New Roman"/>
          <w:b/>
          <w:i/>
          <w:sz w:val="24"/>
          <w:szCs w:val="24"/>
        </w:rPr>
        <w:t xml:space="preserve">The International Response to the South African Transitional-Justice Model: </w:t>
      </w:r>
      <w:r w:rsidR="00C960A8">
        <w:rPr>
          <w:rFonts w:ascii="Times New Roman" w:eastAsia="Times New Roman" w:hAnsi="Times New Roman" w:cs="Times New Roman"/>
          <w:b/>
          <w:i/>
          <w:sz w:val="24"/>
          <w:szCs w:val="24"/>
        </w:rPr>
        <w:t>T</w:t>
      </w:r>
      <w:r w:rsidRPr="00912364">
        <w:rPr>
          <w:rFonts w:ascii="Times New Roman" w:eastAsia="Times New Roman" w:hAnsi="Times New Roman" w:cs="Times New Roman"/>
          <w:b/>
          <w:i/>
          <w:sz w:val="24"/>
          <w:szCs w:val="24"/>
        </w:rPr>
        <w:t xml:space="preserve">hen and </w:t>
      </w:r>
      <w:r w:rsidR="00C960A8">
        <w:rPr>
          <w:rFonts w:ascii="Times New Roman" w:eastAsia="Times New Roman" w:hAnsi="Times New Roman" w:cs="Times New Roman"/>
          <w:b/>
          <w:i/>
          <w:sz w:val="24"/>
          <w:szCs w:val="24"/>
        </w:rPr>
        <w:t>N</w:t>
      </w:r>
      <w:r w:rsidRPr="00912364">
        <w:rPr>
          <w:rFonts w:ascii="Times New Roman" w:eastAsia="Times New Roman" w:hAnsi="Times New Roman" w:cs="Times New Roman"/>
          <w:b/>
          <w:i/>
          <w:sz w:val="24"/>
          <w:szCs w:val="24"/>
        </w:rPr>
        <w:t>ow</w:t>
      </w:r>
    </w:p>
    <w:p w14:paraId="69119A53" w14:textId="77777777" w:rsidR="00027F8F" w:rsidRPr="00EF4C33" w:rsidRDefault="006C4026" w:rsidP="00CE71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w:t>
      </w:r>
      <w:r w:rsidR="009274F0" w:rsidRPr="00EF4C33">
        <w:rPr>
          <w:rFonts w:ascii="Times New Roman" w:eastAsia="Times New Roman" w:hAnsi="Times New Roman" w:cs="Times New Roman"/>
          <w:sz w:val="24"/>
          <w:szCs w:val="24"/>
        </w:rPr>
        <w:t xml:space="preserve"> some South Africans opposed the absence of systematic prosecutions and specifically the fact that the amnesty barred even civil claims,</w:t>
      </w:r>
      <w:r w:rsidR="009101BD">
        <w:rPr>
          <w:rStyle w:val="FootnoteReference"/>
          <w:rFonts w:ascii="Times New Roman" w:eastAsia="Times New Roman" w:hAnsi="Times New Roman" w:cs="Times New Roman"/>
          <w:sz w:val="24"/>
          <w:szCs w:val="24"/>
        </w:rPr>
        <w:footnoteReference w:id="25"/>
      </w:r>
      <w:r w:rsidR="009274F0" w:rsidRPr="00EF4C33">
        <w:rPr>
          <w:rFonts w:ascii="Times New Roman" w:eastAsia="Times New Roman" w:hAnsi="Times New Roman" w:cs="Times New Roman"/>
          <w:sz w:val="24"/>
          <w:szCs w:val="24"/>
        </w:rPr>
        <w:t xml:space="preserve"> internationally South Africa’s transition was widely admired.</w:t>
      </w:r>
      <w:r w:rsidR="00BC30F3">
        <w:rPr>
          <w:rStyle w:val="FootnoteReference"/>
          <w:rFonts w:ascii="Times New Roman" w:eastAsia="Times New Roman" w:hAnsi="Times New Roman" w:cs="Times New Roman"/>
          <w:sz w:val="24"/>
          <w:szCs w:val="24"/>
        </w:rPr>
        <w:footnoteReference w:id="26"/>
      </w:r>
      <w:r w:rsidR="009274F0" w:rsidRPr="00EF4C33">
        <w:rPr>
          <w:rFonts w:ascii="Times New Roman" w:eastAsia="Times New Roman" w:hAnsi="Times New Roman" w:cs="Times New Roman"/>
          <w:sz w:val="24"/>
          <w:szCs w:val="24"/>
        </w:rPr>
        <w:t xml:space="preserve"> It was not just the fact </w:t>
      </w:r>
      <w:r w:rsidR="009274F0" w:rsidRPr="00416C70">
        <w:rPr>
          <w:rFonts w:ascii="Times New Roman" w:eastAsia="Times New Roman" w:hAnsi="Times New Roman" w:cs="Times New Roman"/>
          <w:sz w:val="24"/>
          <w:szCs w:val="24"/>
        </w:rPr>
        <w:t>that</w:t>
      </w:r>
      <w:r w:rsidR="009274F0" w:rsidRPr="00EF4C33">
        <w:rPr>
          <w:rFonts w:ascii="Times New Roman" w:eastAsia="Times New Roman" w:hAnsi="Times New Roman" w:cs="Times New Roman"/>
          <w:i/>
          <w:sz w:val="24"/>
          <w:szCs w:val="24"/>
        </w:rPr>
        <w:t xml:space="preserve"> </w:t>
      </w:r>
      <w:r w:rsidR="009274F0" w:rsidRPr="00EF4C33">
        <w:rPr>
          <w:rFonts w:ascii="Times New Roman" w:eastAsia="Times New Roman" w:hAnsi="Times New Roman" w:cs="Times New Roman"/>
          <w:sz w:val="24"/>
          <w:szCs w:val="24"/>
        </w:rPr>
        <w:t xml:space="preserve">South Africa transitioned that received praise, but also </w:t>
      </w:r>
      <w:r w:rsidR="009274F0" w:rsidRPr="00416C70">
        <w:rPr>
          <w:rFonts w:ascii="Times New Roman" w:eastAsia="Times New Roman" w:hAnsi="Times New Roman" w:cs="Times New Roman"/>
          <w:sz w:val="24"/>
          <w:szCs w:val="24"/>
        </w:rPr>
        <w:t>how</w:t>
      </w:r>
      <w:r w:rsidR="009274F0" w:rsidRPr="00EF4C33">
        <w:rPr>
          <w:rFonts w:ascii="Times New Roman" w:eastAsia="Times New Roman" w:hAnsi="Times New Roman" w:cs="Times New Roman"/>
          <w:i/>
          <w:sz w:val="24"/>
          <w:szCs w:val="24"/>
        </w:rPr>
        <w:t xml:space="preserve"> </w:t>
      </w:r>
      <w:r w:rsidR="009274F0" w:rsidRPr="00EF4C33">
        <w:rPr>
          <w:rFonts w:ascii="Times New Roman" w:eastAsia="Times New Roman" w:hAnsi="Times New Roman" w:cs="Times New Roman"/>
          <w:sz w:val="24"/>
          <w:szCs w:val="24"/>
        </w:rPr>
        <w:t xml:space="preserve">it transitioned. After the transition, the </w:t>
      </w:r>
      <w:r w:rsidR="00712819">
        <w:rPr>
          <w:rFonts w:ascii="Times New Roman" w:eastAsia="Times New Roman" w:hAnsi="Times New Roman" w:cs="Times New Roman"/>
          <w:sz w:val="24"/>
          <w:szCs w:val="24"/>
        </w:rPr>
        <w:t>UN</w:t>
      </w:r>
      <w:r w:rsidR="00712819" w:rsidRPr="00EF4C33">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General Assembly welcomed the negotiating process and accepted its outcomes</w:t>
      </w:r>
      <w:r w:rsidR="007A1194">
        <w:rPr>
          <w:rFonts w:ascii="Times New Roman" w:eastAsia="Times New Roman" w:hAnsi="Times New Roman" w:cs="Times New Roman"/>
          <w:sz w:val="24"/>
          <w:szCs w:val="24"/>
        </w:rPr>
        <w:t>. It did so</w:t>
      </w:r>
      <w:r w:rsidR="009274F0" w:rsidRPr="00EF4C33">
        <w:rPr>
          <w:rFonts w:ascii="Times New Roman" w:eastAsia="Times New Roman" w:hAnsi="Times New Roman" w:cs="Times New Roman"/>
          <w:sz w:val="24"/>
          <w:szCs w:val="24"/>
        </w:rPr>
        <w:t xml:space="preserve"> even though prior to the transition, the General Assembly had labelled apartheid a crime against humanity and had adopted the Convention against Apartheid</w:t>
      </w:r>
      <w:r w:rsidR="001D08C1">
        <w:rPr>
          <w:rFonts w:ascii="Times New Roman" w:eastAsia="Times New Roman" w:hAnsi="Times New Roman" w:cs="Times New Roman"/>
          <w:sz w:val="24"/>
          <w:szCs w:val="24"/>
        </w:rPr>
        <w:t>,</w:t>
      </w:r>
      <w:r w:rsidR="009274F0" w:rsidRPr="00EF4C33">
        <w:rPr>
          <w:rFonts w:ascii="Times New Roman" w:eastAsia="Times New Roman" w:hAnsi="Times New Roman" w:cs="Times New Roman"/>
          <w:sz w:val="24"/>
          <w:szCs w:val="24"/>
        </w:rPr>
        <w:t xml:space="preserve"> which calls for its prosecution.</w:t>
      </w:r>
      <w:r w:rsidR="009274F0" w:rsidRPr="00EF4C33">
        <w:rPr>
          <w:rFonts w:ascii="Times New Roman" w:eastAsia="Times New Roman" w:hAnsi="Times New Roman" w:cs="Times New Roman"/>
          <w:sz w:val="24"/>
          <w:szCs w:val="24"/>
          <w:vertAlign w:val="superscript"/>
        </w:rPr>
        <w:footnoteReference w:id="27"/>
      </w:r>
      <w:r w:rsidR="009274F0" w:rsidRPr="00EF4C33">
        <w:rPr>
          <w:rFonts w:ascii="Times New Roman" w:eastAsia="Times New Roman" w:hAnsi="Times New Roman" w:cs="Times New Roman"/>
          <w:sz w:val="24"/>
          <w:szCs w:val="24"/>
        </w:rPr>
        <w:t xml:space="preserve"> Nelson Mandela became the world’s greatest political figure of his time not because he was seen as giving in to political necessity, but because he symbolised the presumed willingness of the oppressed majority to pursue reconciliation rather than vengeance, which in practice meant a different type of justice than criminal justice. Indeed, states did not argue that South Africa was under a duty to prosecute. Nor did states rely on extraterritorial grounds of jurisdiction to do so</w:t>
      </w:r>
      <w:r w:rsidR="00EF6D5B">
        <w:rPr>
          <w:rFonts w:ascii="Times New Roman" w:eastAsia="Times New Roman" w:hAnsi="Times New Roman" w:cs="Times New Roman"/>
          <w:sz w:val="24"/>
          <w:szCs w:val="24"/>
        </w:rPr>
        <w:t xml:space="preserve"> themselves</w:t>
      </w:r>
      <w:r w:rsidR="009274F0" w:rsidRPr="00EF4C33">
        <w:rPr>
          <w:rFonts w:ascii="Times New Roman" w:eastAsia="Times New Roman" w:hAnsi="Times New Roman" w:cs="Times New Roman"/>
          <w:sz w:val="24"/>
          <w:szCs w:val="24"/>
        </w:rPr>
        <w:t>, provisions in the Apartheid Convention notwithstanding.</w:t>
      </w:r>
      <w:r w:rsidR="009274F0" w:rsidRPr="00EF4C33">
        <w:rPr>
          <w:rFonts w:ascii="Times New Roman" w:eastAsia="Times New Roman" w:hAnsi="Times New Roman" w:cs="Times New Roman"/>
          <w:sz w:val="24"/>
          <w:szCs w:val="24"/>
          <w:vertAlign w:val="superscript"/>
        </w:rPr>
        <w:footnoteReference w:id="28"/>
      </w:r>
      <w:r w:rsidR="009274F0" w:rsidRPr="00EF4C33">
        <w:rPr>
          <w:rFonts w:ascii="Times New Roman" w:eastAsia="Times New Roman" w:hAnsi="Times New Roman" w:cs="Times New Roman"/>
          <w:sz w:val="24"/>
          <w:szCs w:val="24"/>
        </w:rPr>
        <w:t xml:space="preserve"> In not doing so, they respected the course that South Africa had chosen.</w:t>
      </w:r>
      <w:bookmarkStart w:id="9" w:name="_Ref393969203"/>
      <w:r w:rsidR="009274F0" w:rsidRPr="00EF4C33">
        <w:rPr>
          <w:rFonts w:ascii="Times New Roman" w:eastAsia="Times New Roman" w:hAnsi="Times New Roman" w:cs="Times New Roman"/>
          <w:sz w:val="24"/>
          <w:szCs w:val="24"/>
          <w:vertAlign w:val="superscript"/>
        </w:rPr>
        <w:footnoteReference w:id="29"/>
      </w:r>
      <w:bookmarkEnd w:id="9"/>
      <w:r w:rsidR="009274F0" w:rsidRPr="00EF4C33">
        <w:rPr>
          <w:rFonts w:ascii="Times New Roman" w:eastAsia="Times New Roman" w:hAnsi="Times New Roman" w:cs="Times New Roman"/>
          <w:sz w:val="24"/>
          <w:szCs w:val="24"/>
        </w:rPr>
        <w:t xml:space="preserve"> This was a respect for the overall policy; there was no international involvement suggesting ‘ok, amnesty for this person, but not for that person’. Such deference to national discretion was crucial; unravelling elements of the settlement could have undermined the entire settlement. </w:t>
      </w:r>
    </w:p>
    <w:p w14:paraId="635A4CA0"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lastRenderedPageBreak/>
        <w:t>If the argument is that now, 25 years after South Africa’s transition, there is international consensus that crimes against humanity must always be prosecuted</w:t>
      </w:r>
      <w:r w:rsidR="0016444C">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16444C">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i.e. that South Africa should have prosecuted the crimes against humanity that were committed and that had President F.W. De Klerk travelled to Oslo to collect his Nobel Peace Prize today, rather than in 1993, Norway should arrest him for </w:t>
      </w:r>
      <w:r w:rsidR="00416C70">
        <w:rPr>
          <w:rFonts w:ascii="Times New Roman" w:eastAsia="Times New Roman" w:hAnsi="Times New Roman" w:cs="Times New Roman"/>
          <w:sz w:val="24"/>
          <w:szCs w:val="24"/>
        </w:rPr>
        <w:t xml:space="preserve">involvement in </w:t>
      </w:r>
      <w:r w:rsidRPr="00EF4C33">
        <w:rPr>
          <w:rFonts w:ascii="Times New Roman" w:eastAsia="Times New Roman" w:hAnsi="Times New Roman" w:cs="Times New Roman"/>
          <w:sz w:val="24"/>
          <w:szCs w:val="24"/>
        </w:rPr>
        <w:t>crime</w:t>
      </w:r>
      <w:r w:rsidR="00416C70">
        <w:rPr>
          <w:rFonts w:ascii="Times New Roman" w:eastAsia="Times New Roman" w:hAnsi="Times New Roman" w:cs="Times New Roman"/>
          <w:sz w:val="24"/>
          <w:szCs w:val="24"/>
        </w:rPr>
        <w:t>s</w:t>
      </w:r>
      <w:r w:rsidR="00915970">
        <w:rPr>
          <w:rFonts w:ascii="Times New Roman" w:eastAsia="Times New Roman" w:hAnsi="Times New Roman" w:cs="Times New Roman"/>
          <w:sz w:val="24"/>
          <w:szCs w:val="24"/>
        </w:rPr>
        <w:t xml:space="preserve"> against humanity</w:t>
      </w:r>
      <w:r w:rsidR="0016444C">
        <w:rPr>
          <w:rFonts w:ascii="Times New Roman" w:eastAsia="Times New Roman" w:hAnsi="Times New Roman" w:cs="Times New Roman"/>
          <w:sz w:val="24"/>
          <w:szCs w:val="24"/>
        </w:rPr>
        <w:t xml:space="preserve"> </w:t>
      </w:r>
      <w:r w:rsidR="00915970">
        <w:rPr>
          <w:rFonts w:ascii="Times New Roman" w:eastAsia="Times New Roman" w:hAnsi="Times New Roman" w:cs="Times New Roman"/>
          <w:sz w:val="24"/>
          <w:szCs w:val="24"/>
        </w:rPr>
        <w:t>—</w:t>
      </w:r>
      <w:r w:rsidR="0016444C">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we must analyse the arguments that support this position. We can distinguish among two broad types of arguments.  </w:t>
      </w:r>
    </w:p>
    <w:p w14:paraId="1A3A743D" w14:textId="77777777" w:rsidR="006B0B36"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One set of arguments rests on empirical claims and relates to the consequences of, or need for, a particular transitional-justice arrangement. For instance, a report on amnesties by the UN High Commissioner for Human Rights states:</w:t>
      </w:r>
    </w:p>
    <w:p w14:paraId="4F8A0108"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 </w:t>
      </w:r>
    </w:p>
    <w:p w14:paraId="7C566492" w14:textId="77777777" w:rsidR="00027F8F" w:rsidRDefault="009274F0" w:rsidP="00B53BB1">
      <w:pPr>
        <w:spacing w:after="0" w:line="360" w:lineRule="auto"/>
        <w:ind w:left="567" w:right="567"/>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The United Nations policy of opposing amnesties for war crimes, crimes against humanity, genocide or gross violations of human rights, including in the context of peace negotiations, represents an important evolution, grounded in long experience. Amnesties that exempt from criminal sanction those responsible for atrocious crimes in the hope of securing peace have often failed to achieve their aim and have instead emboldened their beneficiaries to commit further crimes. Conversely, peace agreements have been reached without amnesty provisions in some situations where amnesty had been said to be a necessary condition of peace and where many had feared that indictments would prolong the conflict.</w:t>
      </w:r>
      <w:bookmarkStart w:id="10" w:name="_Ref393969172"/>
      <w:r w:rsidRPr="00EF4C33">
        <w:rPr>
          <w:rFonts w:ascii="Times New Roman" w:eastAsia="Times New Roman" w:hAnsi="Times New Roman" w:cs="Times New Roman"/>
          <w:sz w:val="24"/>
          <w:szCs w:val="24"/>
          <w:vertAlign w:val="superscript"/>
        </w:rPr>
        <w:footnoteReference w:id="30"/>
      </w:r>
      <w:bookmarkEnd w:id="10"/>
    </w:p>
    <w:p w14:paraId="195D3EFC" w14:textId="77777777" w:rsidR="006B0B36" w:rsidRPr="00EF4C33" w:rsidRDefault="006B0B36" w:rsidP="00CE71D8">
      <w:pPr>
        <w:spacing w:after="0" w:line="360" w:lineRule="auto"/>
        <w:jc w:val="both"/>
        <w:rPr>
          <w:rFonts w:ascii="Times New Roman" w:eastAsia="Times New Roman" w:hAnsi="Times New Roman" w:cs="Times New Roman"/>
          <w:sz w:val="24"/>
          <w:szCs w:val="24"/>
        </w:rPr>
      </w:pPr>
    </w:p>
    <w:p w14:paraId="29460C76" w14:textId="77777777" w:rsidR="00027F8F" w:rsidRPr="00EF4C33"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The problem with this type of argument is the weak social science on which it is based. With respect to the ‘failure’ argument, it shows no awareness of the risk of the attribution error that Mark Freeman has warned against: ‘citing amnesty as the cause of a bad situation rather than as merely the reflection of it’.</w:t>
      </w:r>
      <w:bookmarkStart w:id="11" w:name="_Ref393969180"/>
      <w:r w:rsidRPr="00EF4C33">
        <w:rPr>
          <w:rFonts w:ascii="Times New Roman" w:eastAsia="Times New Roman" w:hAnsi="Times New Roman" w:cs="Times New Roman"/>
          <w:sz w:val="24"/>
          <w:szCs w:val="24"/>
          <w:vertAlign w:val="superscript"/>
        </w:rPr>
        <w:footnoteReference w:id="31"/>
      </w:r>
      <w:bookmarkEnd w:id="11"/>
      <w:r w:rsidRPr="00EF4C33">
        <w:rPr>
          <w:rFonts w:ascii="Times New Roman" w:eastAsia="Times New Roman" w:hAnsi="Times New Roman" w:cs="Times New Roman"/>
          <w:sz w:val="24"/>
          <w:szCs w:val="24"/>
        </w:rPr>
        <w:t xml:space="preserve"> Vice versa, </w:t>
      </w:r>
      <w:r w:rsidR="00B26E17">
        <w:rPr>
          <w:rFonts w:ascii="Times New Roman" w:eastAsia="Times New Roman" w:hAnsi="Times New Roman" w:cs="Times New Roman"/>
          <w:sz w:val="24"/>
          <w:szCs w:val="24"/>
        </w:rPr>
        <w:t xml:space="preserve">the fact that </w:t>
      </w:r>
      <w:r w:rsidRPr="00EF4C33">
        <w:rPr>
          <w:rFonts w:ascii="Times New Roman" w:eastAsia="Times New Roman" w:hAnsi="Times New Roman" w:cs="Times New Roman"/>
          <w:sz w:val="24"/>
          <w:szCs w:val="24"/>
        </w:rPr>
        <w:t xml:space="preserve">amnesties </w:t>
      </w:r>
      <w:r w:rsidR="00B26E17">
        <w:rPr>
          <w:rFonts w:ascii="Times New Roman" w:eastAsia="Times New Roman" w:hAnsi="Times New Roman" w:cs="Times New Roman"/>
          <w:sz w:val="24"/>
          <w:szCs w:val="24"/>
        </w:rPr>
        <w:t xml:space="preserve">may sometimes not have been necessary could be the result of a </w:t>
      </w:r>
      <w:r w:rsidRPr="00EF4C33">
        <w:rPr>
          <w:rFonts w:ascii="Times New Roman" w:eastAsia="Times New Roman" w:hAnsi="Times New Roman" w:cs="Times New Roman"/>
          <w:sz w:val="24"/>
          <w:szCs w:val="24"/>
        </w:rPr>
        <w:t xml:space="preserve">better situation. </w:t>
      </w:r>
    </w:p>
    <w:p w14:paraId="7F58C635" w14:textId="77777777" w:rsidR="006B0B36"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A related argument is that states that have given amnesties often subsequently overturn these, or are under pressure to do so, because the demand for criminal accountability reverberates through generations.</w:t>
      </w:r>
      <w:r w:rsidRPr="00EF4C33">
        <w:rPr>
          <w:rFonts w:ascii="Times New Roman" w:eastAsia="Times New Roman" w:hAnsi="Times New Roman" w:cs="Times New Roman"/>
          <w:sz w:val="24"/>
          <w:szCs w:val="24"/>
          <w:vertAlign w:val="superscript"/>
        </w:rPr>
        <w:footnoteReference w:id="32"/>
      </w:r>
      <w:r w:rsidRPr="00EF4C33">
        <w:rPr>
          <w:rFonts w:ascii="Times New Roman" w:eastAsia="Times New Roman" w:hAnsi="Times New Roman" w:cs="Times New Roman"/>
          <w:sz w:val="24"/>
          <w:szCs w:val="24"/>
        </w:rPr>
        <w:t xml:space="preserve"> Argentina, Cambodia and Spain indeed provide telling illustrations. But again, that does not deny the necessity of the amnesty to achieve that transition </w:t>
      </w:r>
      <w:r w:rsidRPr="00EF4C33">
        <w:rPr>
          <w:rFonts w:ascii="Times New Roman" w:eastAsia="Times New Roman" w:hAnsi="Times New Roman" w:cs="Times New Roman"/>
          <w:sz w:val="24"/>
          <w:szCs w:val="24"/>
        </w:rPr>
        <w:lastRenderedPageBreak/>
        <w:t>in the first place. As stability increases, criminal justice may become more possible.</w:t>
      </w:r>
      <w:r w:rsidRPr="00EF4C33">
        <w:rPr>
          <w:rFonts w:ascii="Times New Roman" w:eastAsia="Times New Roman" w:hAnsi="Times New Roman" w:cs="Times New Roman"/>
          <w:sz w:val="24"/>
          <w:szCs w:val="24"/>
          <w:vertAlign w:val="superscript"/>
        </w:rPr>
        <w:footnoteReference w:id="33"/>
      </w:r>
      <w:r w:rsidRPr="00EF4C33">
        <w:rPr>
          <w:rFonts w:ascii="Times New Roman" w:eastAsia="Times New Roman" w:hAnsi="Times New Roman" w:cs="Times New Roman"/>
          <w:sz w:val="24"/>
          <w:szCs w:val="24"/>
        </w:rPr>
        <w:t xml:space="preserve"> Jack Snyder and Leslie </w:t>
      </w:r>
      <w:proofErr w:type="spellStart"/>
      <w:r w:rsidRPr="00EF4C33">
        <w:rPr>
          <w:rFonts w:ascii="Times New Roman" w:eastAsia="Times New Roman" w:hAnsi="Times New Roman" w:cs="Times New Roman"/>
          <w:sz w:val="24"/>
          <w:szCs w:val="24"/>
        </w:rPr>
        <w:t>Vinjamuri</w:t>
      </w:r>
      <w:proofErr w:type="spellEnd"/>
      <w:r w:rsidRPr="00EF4C33">
        <w:rPr>
          <w:rFonts w:ascii="Times New Roman" w:eastAsia="Times New Roman" w:hAnsi="Times New Roman" w:cs="Times New Roman"/>
          <w:sz w:val="24"/>
          <w:szCs w:val="24"/>
        </w:rPr>
        <w:t xml:space="preserve"> </w:t>
      </w:r>
      <w:r w:rsidR="00B26E17">
        <w:rPr>
          <w:rFonts w:ascii="Times New Roman" w:eastAsia="Times New Roman" w:hAnsi="Times New Roman" w:cs="Times New Roman"/>
          <w:sz w:val="24"/>
          <w:szCs w:val="24"/>
        </w:rPr>
        <w:t>argue</w:t>
      </w:r>
      <w:r w:rsidRPr="00EF4C33">
        <w:rPr>
          <w:rFonts w:ascii="Times New Roman" w:eastAsia="Times New Roman" w:hAnsi="Times New Roman" w:cs="Times New Roman"/>
          <w:sz w:val="24"/>
          <w:szCs w:val="24"/>
        </w:rPr>
        <w:t xml:space="preserve"> on the basis of an empirical analysis that the first step in creating a peaceful political order is not the universal adoption of just rules, but a political bargain among contending groups and the creation of robust administrative institutions that can predictably enforce the law. </w:t>
      </w:r>
      <w:r w:rsidRPr="00EF4C33">
        <w:rPr>
          <w:rFonts w:ascii="Times New Roman" w:eastAsia="Times New Roman" w:hAnsi="Times New Roman" w:cs="Times New Roman"/>
          <w:i/>
          <w:sz w:val="24"/>
          <w:szCs w:val="24"/>
        </w:rPr>
        <w:t>Ergo</w:t>
      </w:r>
      <w:r w:rsidRPr="00EF4C33">
        <w:rPr>
          <w:rFonts w:ascii="Times New Roman" w:eastAsia="Times New Roman" w:hAnsi="Times New Roman" w:cs="Times New Roman"/>
          <w:sz w:val="24"/>
          <w:szCs w:val="24"/>
        </w:rPr>
        <w:t>: ‘Justice does not lead; it follows’.</w:t>
      </w:r>
      <w:r w:rsidRPr="00EF4C33">
        <w:rPr>
          <w:rFonts w:ascii="Times New Roman" w:eastAsia="Times New Roman" w:hAnsi="Times New Roman" w:cs="Times New Roman"/>
          <w:sz w:val="24"/>
          <w:szCs w:val="24"/>
          <w:vertAlign w:val="superscript"/>
        </w:rPr>
        <w:footnoteReference w:id="34"/>
      </w:r>
      <w:r w:rsidR="00B26E17">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Historical understanding remains key, as Dan Markel reminds his assumed, and presumably western, readers of his 1999 article on the justice of amnesty:</w:t>
      </w:r>
    </w:p>
    <w:p w14:paraId="0BB8DA11"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 </w:t>
      </w:r>
    </w:p>
    <w:p w14:paraId="4D926690" w14:textId="77777777" w:rsidR="00027F8F" w:rsidRDefault="009274F0" w:rsidP="00B53BB1">
      <w:pPr>
        <w:spacing w:after="0" w:line="360" w:lineRule="auto"/>
        <w:ind w:left="567" w:right="567"/>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With the relative calm of our own period of post-war revitalization and reconciliation, we risk forgetting how precarious the existence of early modern life was and, indeed, how precarious political life still is in many parts of the world today, like South Africa. For this reason, it is necessary to recall our own cultural history to gain a little more understanding of the efforts towards reconciliation elsewhere in the world.</w:t>
      </w:r>
      <w:r w:rsidRPr="00EF4C33">
        <w:rPr>
          <w:rFonts w:ascii="Times New Roman" w:eastAsia="Times New Roman" w:hAnsi="Times New Roman" w:cs="Times New Roman"/>
          <w:sz w:val="24"/>
          <w:szCs w:val="24"/>
          <w:vertAlign w:val="superscript"/>
        </w:rPr>
        <w:footnoteReference w:id="35"/>
      </w:r>
    </w:p>
    <w:p w14:paraId="0475787C" w14:textId="77777777" w:rsidR="006B0B36" w:rsidRPr="00EF4C33" w:rsidRDefault="006B0B36" w:rsidP="00CE71D8">
      <w:pPr>
        <w:spacing w:after="0" w:line="360" w:lineRule="auto"/>
        <w:jc w:val="both"/>
        <w:rPr>
          <w:rFonts w:ascii="Times New Roman" w:eastAsia="Times New Roman" w:hAnsi="Times New Roman" w:cs="Times New Roman"/>
          <w:sz w:val="24"/>
          <w:szCs w:val="24"/>
        </w:rPr>
      </w:pPr>
    </w:p>
    <w:p w14:paraId="299BDC2E" w14:textId="77777777" w:rsidR="00E83521"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The more cogent type of argument for the prosecution of crimes against humanity rests on a normative, rather than empirical, claim: the ‘international community’ insists on </w:t>
      </w:r>
      <w:proofErr w:type="gramStart"/>
      <w:r w:rsidR="00EF6D5B">
        <w:rPr>
          <w:rFonts w:ascii="Times New Roman" w:eastAsia="Times New Roman" w:hAnsi="Times New Roman" w:cs="Times New Roman"/>
          <w:sz w:val="24"/>
          <w:szCs w:val="24"/>
        </w:rPr>
        <w:t xml:space="preserve">their </w:t>
      </w:r>
      <w:r w:rsidR="00EF6D5B"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prosecution</w:t>
      </w:r>
      <w:proofErr w:type="gramEnd"/>
      <w:r w:rsidRPr="00EF4C33">
        <w:rPr>
          <w:rFonts w:ascii="Times New Roman" w:eastAsia="Times New Roman" w:hAnsi="Times New Roman" w:cs="Times New Roman"/>
          <w:sz w:val="24"/>
          <w:szCs w:val="24"/>
        </w:rPr>
        <w:t xml:space="preserve"> because these are crimes under international law, irrespective of what the society directly affected considers the best way to address the</w:t>
      </w:r>
      <w:r w:rsidR="00EF6D5B">
        <w:rPr>
          <w:rFonts w:ascii="Times New Roman" w:eastAsia="Times New Roman" w:hAnsi="Times New Roman" w:cs="Times New Roman"/>
          <w:sz w:val="24"/>
          <w:szCs w:val="24"/>
        </w:rPr>
        <w:t>m</w:t>
      </w:r>
      <w:r w:rsidRPr="00EF4C33">
        <w:rPr>
          <w:rFonts w:ascii="Times New Roman" w:eastAsia="Times New Roman" w:hAnsi="Times New Roman" w:cs="Times New Roman"/>
          <w:sz w:val="24"/>
          <w:szCs w:val="24"/>
        </w:rPr>
        <w:t xml:space="preserve">. </w:t>
      </w:r>
      <w:r w:rsidR="00416C70">
        <w:rPr>
          <w:rFonts w:ascii="Times New Roman" w:eastAsia="Times New Roman" w:hAnsi="Times New Roman" w:cs="Times New Roman"/>
          <w:sz w:val="24"/>
          <w:szCs w:val="24"/>
        </w:rPr>
        <w:t xml:space="preserve">This accountability norm </w:t>
      </w:r>
      <w:r w:rsidR="00B04D96">
        <w:rPr>
          <w:rFonts w:ascii="Times New Roman" w:eastAsia="Times New Roman" w:hAnsi="Times New Roman" w:cs="Times New Roman"/>
          <w:sz w:val="24"/>
          <w:szCs w:val="24"/>
        </w:rPr>
        <w:t>has become stronger and more dominant over the past two decades</w:t>
      </w:r>
      <w:r w:rsidR="005334BE">
        <w:rPr>
          <w:rFonts w:ascii="Times New Roman" w:eastAsia="Times New Roman" w:hAnsi="Times New Roman" w:cs="Times New Roman"/>
          <w:sz w:val="24"/>
          <w:szCs w:val="24"/>
        </w:rPr>
        <w:t>, due to influential reports, the creation of international criminal tribunals and the case</w:t>
      </w:r>
      <w:r w:rsidR="00ED532D">
        <w:rPr>
          <w:rFonts w:ascii="Times New Roman" w:eastAsia="Times New Roman" w:hAnsi="Times New Roman" w:cs="Times New Roman"/>
          <w:sz w:val="24"/>
          <w:szCs w:val="24"/>
        </w:rPr>
        <w:t xml:space="preserve"> </w:t>
      </w:r>
      <w:r w:rsidR="005334BE">
        <w:rPr>
          <w:rFonts w:ascii="Times New Roman" w:eastAsia="Times New Roman" w:hAnsi="Times New Roman" w:cs="Times New Roman"/>
          <w:sz w:val="24"/>
          <w:szCs w:val="24"/>
        </w:rPr>
        <w:t>law of human rights courts.</w:t>
      </w:r>
      <w:bookmarkStart w:id="12" w:name="_Ref393969382"/>
      <w:r w:rsidR="005334BE">
        <w:rPr>
          <w:rStyle w:val="FootnoteReference"/>
          <w:rFonts w:ascii="Times New Roman" w:eastAsia="Times New Roman" w:hAnsi="Times New Roman" w:cs="Times New Roman"/>
          <w:sz w:val="24"/>
          <w:szCs w:val="24"/>
        </w:rPr>
        <w:footnoteReference w:id="36"/>
      </w:r>
      <w:bookmarkEnd w:id="12"/>
      <w:r w:rsidR="005334BE">
        <w:rPr>
          <w:rFonts w:ascii="Times New Roman" w:eastAsia="Times New Roman" w:hAnsi="Times New Roman" w:cs="Times New Roman"/>
          <w:sz w:val="24"/>
          <w:szCs w:val="24"/>
        </w:rPr>
        <w:t xml:space="preserve"> </w:t>
      </w:r>
      <w:r w:rsidR="00CE7662">
        <w:rPr>
          <w:rFonts w:ascii="Times New Roman" w:eastAsia="Times New Roman" w:hAnsi="Times New Roman" w:cs="Times New Roman"/>
          <w:sz w:val="24"/>
          <w:szCs w:val="24"/>
        </w:rPr>
        <w:t xml:space="preserve">The emergence of this norm over the last two decades </w:t>
      </w:r>
      <w:r w:rsidR="00B04D96">
        <w:rPr>
          <w:rFonts w:ascii="Times New Roman" w:eastAsia="Times New Roman" w:hAnsi="Times New Roman" w:cs="Times New Roman"/>
          <w:sz w:val="24"/>
          <w:szCs w:val="24"/>
        </w:rPr>
        <w:t>may explain why South Africa ‘got away’ with not prosecuting in the mid-1990s,</w:t>
      </w:r>
      <w:r w:rsidR="00424EC9">
        <w:rPr>
          <w:rStyle w:val="FootnoteReference"/>
          <w:rFonts w:ascii="Times New Roman" w:eastAsia="Times New Roman" w:hAnsi="Times New Roman" w:cs="Times New Roman"/>
          <w:sz w:val="24"/>
          <w:szCs w:val="24"/>
        </w:rPr>
        <w:footnoteReference w:id="37"/>
      </w:r>
      <w:r w:rsidR="00B04D96">
        <w:rPr>
          <w:rFonts w:ascii="Times New Roman" w:eastAsia="Times New Roman" w:hAnsi="Times New Roman" w:cs="Times New Roman"/>
          <w:sz w:val="24"/>
          <w:szCs w:val="24"/>
        </w:rPr>
        <w:t xml:space="preserve"> while it </w:t>
      </w:r>
      <w:r w:rsidR="00DA543A">
        <w:rPr>
          <w:rFonts w:ascii="Times New Roman" w:eastAsia="Times New Roman" w:hAnsi="Times New Roman" w:cs="Times New Roman"/>
          <w:sz w:val="24"/>
          <w:szCs w:val="24"/>
        </w:rPr>
        <w:t xml:space="preserve">is likely that it would face more international pressure </w:t>
      </w:r>
      <w:r w:rsidR="00DA543A">
        <w:rPr>
          <w:rFonts w:ascii="Times New Roman" w:eastAsia="Times New Roman" w:hAnsi="Times New Roman" w:cs="Times New Roman"/>
          <w:sz w:val="24"/>
          <w:szCs w:val="24"/>
        </w:rPr>
        <w:lastRenderedPageBreak/>
        <w:t xml:space="preserve">to prosecute </w:t>
      </w:r>
      <w:r w:rsidR="00B04D96">
        <w:rPr>
          <w:rFonts w:ascii="Times New Roman" w:eastAsia="Times New Roman" w:hAnsi="Times New Roman" w:cs="Times New Roman"/>
          <w:sz w:val="24"/>
          <w:szCs w:val="24"/>
        </w:rPr>
        <w:t>today.</w:t>
      </w:r>
      <w:r w:rsidR="00424EC9">
        <w:rPr>
          <w:rStyle w:val="FootnoteReference"/>
          <w:rFonts w:ascii="Times New Roman" w:eastAsia="Times New Roman" w:hAnsi="Times New Roman" w:cs="Times New Roman"/>
          <w:sz w:val="24"/>
          <w:szCs w:val="24"/>
        </w:rPr>
        <w:footnoteReference w:id="38"/>
      </w:r>
      <w:r w:rsidR="00B04D96">
        <w:rPr>
          <w:rFonts w:ascii="Times New Roman" w:eastAsia="Times New Roman" w:hAnsi="Times New Roman" w:cs="Times New Roman"/>
          <w:sz w:val="24"/>
          <w:szCs w:val="24"/>
        </w:rPr>
        <w:t xml:space="preserve"> </w:t>
      </w:r>
      <w:r w:rsidR="00CE7662">
        <w:rPr>
          <w:rFonts w:ascii="Times New Roman" w:eastAsia="Times New Roman" w:hAnsi="Times New Roman" w:cs="Times New Roman"/>
          <w:sz w:val="24"/>
          <w:szCs w:val="24"/>
        </w:rPr>
        <w:t>H</w:t>
      </w:r>
      <w:r w:rsidR="00DA543A">
        <w:rPr>
          <w:rFonts w:ascii="Times New Roman" w:eastAsia="Times New Roman" w:hAnsi="Times New Roman" w:cs="Times New Roman"/>
          <w:sz w:val="24"/>
          <w:szCs w:val="24"/>
        </w:rPr>
        <w:t xml:space="preserve">owever, even the strongest proponents of a duty to prosecute have </w:t>
      </w:r>
      <w:r w:rsidR="00CE7662">
        <w:rPr>
          <w:rFonts w:ascii="Times New Roman" w:eastAsia="Times New Roman" w:hAnsi="Times New Roman" w:cs="Times New Roman"/>
          <w:sz w:val="24"/>
          <w:szCs w:val="24"/>
        </w:rPr>
        <w:t>suggested</w:t>
      </w:r>
      <w:r w:rsidR="00DA543A">
        <w:rPr>
          <w:rFonts w:ascii="Times New Roman" w:eastAsia="Times New Roman" w:hAnsi="Times New Roman" w:cs="Times New Roman"/>
          <w:sz w:val="24"/>
          <w:szCs w:val="24"/>
        </w:rPr>
        <w:t xml:space="preserve"> that there should be </w:t>
      </w:r>
      <w:r w:rsidR="00BF66B8">
        <w:rPr>
          <w:rFonts w:ascii="Times New Roman" w:eastAsia="Times New Roman" w:hAnsi="Times New Roman" w:cs="Times New Roman"/>
          <w:sz w:val="24"/>
          <w:szCs w:val="24"/>
        </w:rPr>
        <w:t xml:space="preserve">an </w:t>
      </w:r>
      <w:r w:rsidR="00DA543A">
        <w:rPr>
          <w:rFonts w:ascii="Times New Roman" w:eastAsia="Times New Roman" w:hAnsi="Times New Roman" w:cs="Times New Roman"/>
          <w:sz w:val="24"/>
          <w:szCs w:val="24"/>
        </w:rPr>
        <w:t xml:space="preserve">exception for a situation </w:t>
      </w:r>
      <w:r w:rsidR="00CE7662">
        <w:rPr>
          <w:rFonts w:ascii="Times New Roman" w:eastAsia="Times New Roman" w:hAnsi="Times New Roman" w:cs="Times New Roman"/>
          <w:sz w:val="24"/>
          <w:szCs w:val="24"/>
        </w:rPr>
        <w:t>as in</w:t>
      </w:r>
      <w:r w:rsidR="00DA543A">
        <w:rPr>
          <w:rFonts w:ascii="Times New Roman" w:eastAsia="Times New Roman" w:hAnsi="Times New Roman" w:cs="Times New Roman"/>
          <w:sz w:val="24"/>
          <w:szCs w:val="24"/>
        </w:rPr>
        <w:t xml:space="preserve"> South A</w:t>
      </w:r>
      <w:r w:rsidR="00CE7662">
        <w:rPr>
          <w:rFonts w:ascii="Times New Roman" w:eastAsia="Times New Roman" w:hAnsi="Times New Roman" w:cs="Times New Roman"/>
          <w:sz w:val="24"/>
          <w:szCs w:val="24"/>
        </w:rPr>
        <w:t>frica.</w:t>
      </w:r>
      <w:bookmarkStart w:id="13" w:name="_Ref393969909"/>
      <w:r w:rsidR="00CE7662">
        <w:rPr>
          <w:rStyle w:val="FootnoteReference"/>
          <w:rFonts w:ascii="Times New Roman" w:eastAsia="Times New Roman" w:hAnsi="Times New Roman" w:cs="Times New Roman"/>
          <w:sz w:val="24"/>
          <w:szCs w:val="24"/>
        </w:rPr>
        <w:footnoteReference w:id="39"/>
      </w:r>
      <w:bookmarkEnd w:id="13"/>
      <w:r w:rsidR="00CE7662">
        <w:rPr>
          <w:rFonts w:ascii="Times New Roman" w:eastAsia="Times New Roman" w:hAnsi="Times New Roman" w:cs="Times New Roman"/>
          <w:sz w:val="24"/>
          <w:szCs w:val="24"/>
        </w:rPr>
        <w:t xml:space="preserve"> </w:t>
      </w:r>
      <w:r w:rsidR="00873264">
        <w:rPr>
          <w:rFonts w:ascii="Times New Roman" w:eastAsia="Times New Roman" w:hAnsi="Times New Roman" w:cs="Times New Roman"/>
          <w:sz w:val="24"/>
          <w:szCs w:val="24"/>
        </w:rPr>
        <w:t>This requires an evaluation of the justification</w:t>
      </w:r>
      <w:r w:rsidR="00BF66B8">
        <w:rPr>
          <w:rFonts w:ascii="Times New Roman" w:eastAsia="Times New Roman" w:hAnsi="Times New Roman" w:cs="Times New Roman"/>
          <w:sz w:val="24"/>
          <w:szCs w:val="24"/>
        </w:rPr>
        <w:t>s</w:t>
      </w:r>
      <w:r w:rsidR="00873264">
        <w:rPr>
          <w:rFonts w:ascii="Times New Roman" w:eastAsia="Times New Roman" w:hAnsi="Times New Roman" w:cs="Times New Roman"/>
          <w:sz w:val="24"/>
          <w:szCs w:val="24"/>
        </w:rPr>
        <w:t xml:space="preserve"> for the South African </w:t>
      </w:r>
      <w:r w:rsidR="00BF66B8">
        <w:rPr>
          <w:rFonts w:ascii="Times New Roman" w:eastAsia="Times New Roman" w:hAnsi="Times New Roman" w:cs="Times New Roman"/>
          <w:sz w:val="24"/>
          <w:szCs w:val="24"/>
        </w:rPr>
        <w:t>t</w:t>
      </w:r>
      <w:r w:rsidR="00873264">
        <w:rPr>
          <w:rFonts w:ascii="Times New Roman" w:eastAsia="Times New Roman" w:hAnsi="Times New Roman" w:cs="Times New Roman"/>
          <w:sz w:val="24"/>
          <w:szCs w:val="24"/>
        </w:rPr>
        <w:t>ransitional-</w:t>
      </w:r>
      <w:r w:rsidR="00BF66B8">
        <w:rPr>
          <w:rFonts w:ascii="Times New Roman" w:eastAsia="Times New Roman" w:hAnsi="Times New Roman" w:cs="Times New Roman"/>
          <w:sz w:val="24"/>
          <w:szCs w:val="24"/>
        </w:rPr>
        <w:t>j</w:t>
      </w:r>
      <w:r w:rsidR="00873264">
        <w:rPr>
          <w:rFonts w:ascii="Times New Roman" w:eastAsia="Times New Roman" w:hAnsi="Times New Roman" w:cs="Times New Roman"/>
          <w:sz w:val="24"/>
          <w:szCs w:val="24"/>
        </w:rPr>
        <w:t>ustice arrangement at the time: would they still hold today?</w:t>
      </w:r>
    </w:p>
    <w:p w14:paraId="5B5A8DDA" w14:textId="77777777" w:rsidR="00CE7662" w:rsidRPr="00EF4C33" w:rsidRDefault="00873264"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00C66D" w14:textId="77777777" w:rsidR="00912364" w:rsidRPr="00912364" w:rsidRDefault="00912364" w:rsidP="00CC3B84">
      <w:pPr>
        <w:pStyle w:val="ListParagraph"/>
        <w:numPr>
          <w:ilvl w:val="0"/>
          <w:numId w:val="5"/>
        </w:numPr>
        <w:spacing w:after="0" w:line="360" w:lineRule="auto"/>
        <w:ind w:left="567"/>
        <w:jc w:val="both"/>
        <w:rPr>
          <w:rFonts w:ascii="Times New Roman" w:eastAsia="Times New Roman" w:hAnsi="Times New Roman" w:cs="Times New Roman"/>
          <w:b/>
          <w:i/>
          <w:sz w:val="24"/>
          <w:szCs w:val="24"/>
        </w:rPr>
      </w:pPr>
      <w:r w:rsidRPr="00912364">
        <w:rPr>
          <w:rFonts w:ascii="Times New Roman" w:eastAsia="Times New Roman" w:hAnsi="Times New Roman" w:cs="Times New Roman"/>
          <w:b/>
          <w:i/>
          <w:sz w:val="24"/>
          <w:szCs w:val="24"/>
        </w:rPr>
        <w:t xml:space="preserve">Evaluating the Justifications </w:t>
      </w:r>
      <w:r w:rsidR="00873264">
        <w:rPr>
          <w:rFonts w:ascii="Times New Roman" w:eastAsia="Times New Roman" w:hAnsi="Times New Roman" w:cs="Times New Roman"/>
          <w:b/>
          <w:i/>
          <w:sz w:val="24"/>
          <w:szCs w:val="24"/>
        </w:rPr>
        <w:t xml:space="preserve">of the South African Transitional-Justice </w:t>
      </w:r>
      <w:r w:rsidRPr="00912364">
        <w:rPr>
          <w:rFonts w:ascii="Times New Roman" w:eastAsia="Times New Roman" w:hAnsi="Times New Roman" w:cs="Times New Roman"/>
          <w:b/>
          <w:i/>
          <w:sz w:val="24"/>
          <w:szCs w:val="24"/>
        </w:rPr>
        <w:t xml:space="preserve">Arrangement at the </w:t>
      </w:r>
      <w:r w:rsidR="002D5D51">
        <w:rPr>
          <w:rFonts w:ascii="Times New Roman" w:eastAsia="Times New Roman" w:hAnsi="Times New Roman" w:cs="Times New Roman"/>
          <w:b/>
          <w:i/>
          <w:sz w:val="24"/>
          <w:szCs w:val="24"/>
        </w:rPr>
        <w:t>T</w:t>
      </w:r>
      <w:r w:rsidRPr="00912364">
        <w:rPr>
          <w:rFonts w:ascii="Times New Roman" w:eastAsia="Times New Roman" w:hAnsi="Times New Roman" w:cs="Times New Roman"/>
          <w:b/>
          <w:i/>
          <w:sz w:val="24"/>
          <w:szCs w:val="24"/>
        </w:rPr>
        <w:t>ime</w:t>
      </w:r>
    </w:p>
    <w:p w14:paraId="04C92276" w14:textId="77777777" w:rsidR="00E609FD" w:rsidRDefault="00912364"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Prominent South Africans have defended the country’s way of dealing wit</w:t>
      </w:r>
      <w:r w:rsidR="00E609FD">
        <w:rPr>
          <w:rFonts w:ascii="Times New Roman" w:eastAsia="Times New Roman" w:hAnsi="Times New Roman" w:cs="Times New Roman"/>
          <w:sz w:val="24"/>
          <w:szCs w:val="24"/>
        </w:rPr>
        <w:t>h the past on different grounds. We can refer to these as: (</w:t>
      </w:r>
      <w:r w:rsidR="009200F2">
        <w:rPr>
          <w:rFonts w:ascii="Times New Roman" w:eastAsia="Times New Roman" w:hAnsi="Times New Roman" w:cs="Times New Roman"/>
          <w:sz w:val="24"/>
          <w:szCs w:val="24"/>
        </w:rPr>
        <w:t>1</w:t>
      </w:r>
      <w:r w:rsidR="00E609FD">
        <w:rPr>
          <w:rFonts w:ascii="Times New Roman" w:eastAsia="Times New Roman" w:hAnsi="Times New Roman" w:cs="Times New Roman"/>
          <w:sz w:val="24"/>
          <w:szCs w:val="24"/>
        </w:rPr>
        <w:t xml:space="preserve">) political necessity; (2) </w:t>
      </w:r>
      <w:r w:rsidR="008D1476">
        <w:rPr>
          <w:rFonts w:ascii="Times New Roman" w:eastAsia="Times New Roman" w:hAnsi="Times New Roman" w:cs="Times New Roman"/>
          <w:sz w:val="24"/>
          <w:szCs w:val="24"/>
        </w:rPr>
        <w:t>transitional</w:t>
      </w:r>
      <w:r w:rsidR="00BF66B8">
        <w:rPr>
          <w:rFonts w:ascii="Times New Roman" w:eastAsia="Times New Roman" w:hAnsi="Times New Roman" w:cs="Times New Roman"/>
          <w:sz w:val="24"/>
          <w:szCs w:val="24"/>
        </w:rPr>
        <w:t>-</w:t>
      </w:r>
      <w:r w:rsidR="008D1476">
        <w:rPr>
          <w:rFonts w:ascii="Times New Roman" w:eastAsia="Times New Roman" w:hAnsi="Times New Roman" w:cs="Times New Roman"/>
          <w:sz w:val="24"/>
          <w:szCs w:val="24"/>
        </w:rPr>
        <w:t>justice objectives</w:t>
      </w:r>
      <w:r w:rsidR="00620875">
        <w:rPr>
          <w:rFonts w:ascii="Times New Roman" w:eastAsia="Times New Roman" w:hAnsi="Times New Roman" w:cs="Times New Roman"/>
          <w:sz w:val="24"/>
          <w:szCs w:val="24"/>
        </w:rPr>
        <w:t>;</w:t>
      </w:r>
      <w:r w:rsidR="00E609FD">
        <w:rPr>
          <w:rFonts w:ascii="Times New Roman" w:eastAsia="Times New Roman" w:hAnsi="Times New Roman" w:cs="Times New Roman"/>
          <w:sz w:val="24"/>
          <w:szCs w:val="24"/>
        </w:rPr>
        <w:t xml:space="preserve"> </w:t>
      </w:r>
      <w:r w:rsidR="00620875">
        <w:rPr>
          <w:rFonts w:ascii="Times New Roman" w:eastAsia="Times New Roman" w:hAnsi="Times New Roman" w:cs="Times New Roman"/>
          <w:sz w:val="24"/>
          <w:szCs w:val="24"/>
        </w:rPr>
        <w:t xml:space="preserve">(3) the republican argument and (4) the practical argument. </w:t>
      </w:r>
      <w:r w:rsidR="00E609FD">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 </w:t>
      </w:r>
    </w:p>
    <w:p w14:paraId="333BBAB2" w14:textId="77777777" w:rsidR="00E609FD" w:rsidRDefault="00E609FD" w:rsidP="00CE71D8">
      <w:pPr>
        <w:spacing w:after="0" w:line="360" w:lineRule="auto"/>
        <w:ind w:firstLine="720"/>
        <w:jc w:val="both"/>
        <w:rPr>
          <w:rFonts w:ascii="Times New Roman" w:eastAsia="Times New Roman" w:hAnsi="Times New Roman" w:cs="Times New Roman"/>
          <w:sz w:val="24"/>
          <w:szCs w:val="24"/>
        </w:rPr>
      </w:pPr>
    </w:p>
    <w:p w14:paraId="1576107D" w14:textId="77777777" w:rsidR="00E609FD" w:rsidRPr="00E83521" w:rsidRDefault="009200F2" w:rsidP="00CC3B84">
      <w:pPr>
        <w:pStyle w:val="ListParagraph"/>
        <w:spacing w:after="0" w:line="360" w:lineRule="auto"/>
        <w:ind w:left="567" w:hanging="4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w:t>
      </w:r>
      <w:r w:rsidR="00E609FD" w:rsidRPr="009200F2">
        <w:rPr>
          <w:rFonts w:ascii="Times New Roman" w:eastAsia="Times New Roman" w:hAnsi="Times New Roman" w:cs="Times New Roman"/>
          <w:i/>
          <w:sz w:val="24"/>
          <w:szCs w:val="24"/>
        </w:rPr>
        <w:t xml:space="preserve">Political </w:t>
      </w:r>
      <w:r w:rsidR="00703557">
        <w:rPr>
          <w:rFonts w:ascii="Times New Roman" w:eastAsia="Times New Roman" w:hAnsi="Times New Roman" w:cs="Times New Roman"/>
          <w:i/>
          <w:sz w:val="24"/>
          <w:szCs w:val="24"/>
        </w:rPr>
        <w:t>N</w:t>
      </w:r>
      <w:r w:rsidR="00E609FD" w:rsidRPr="009200F2">
        <w:rPr>
          <w:rFonts w:ascii="Times New Roman" w:eastAsia="Times New Roman" w:hAnsi="Times New Roman" w:cs="Times New Roman"/>
          <w:i/>
          <w:sz w:val="24"/>
          <w:szCs w:val="24"/>
        </w:rPr>
        <w:t>ecessity</w:t>
      </w:r>
    </w:p>
    <w:p w14:paraId="6D634C5F" w14:textId="77777777" w:rsidR="00912364" w:rsidRDefault="00912364"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Writing the majority’s decision in the Constitutional Court case dealing with a challenge to the amnesty, Justice Mahomed DP adopted a </w:t>
      </w:r>
      <w:r w:rsidR="00DC2E35">
        <w:rPr>
          <w:rFonts w:ascii="Times New Roman" w:eastAsia="Times New Roman" w:hAnsi="Times New Roman" w:cs="Times New Roman"/>
          <w:sz w:val="24"/>
          <w:szCs w:val="24"/>
        </w:rPr>
        <w:t>‘r</w:t>
      </w:r>
      <w:r w:rsidRPr="00EF4C33">
        <w:rPr>
          <w:rFonts w:ascii="Times New Roman" w:eastAsia="Times New Roman" w:hAnsi="Times New Roman" w:cs="Times New Roman"/>
          <w:sz w:val="24"/>
          <w:szCs w:val="24"/>
        </w:rPr>
        <w:t>ealist</w:t>
      </w:r>
      <w:r w:rsidR="00DC2E35">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justification where he reasoned ‘but for a mechanism providing for amnesty, the “historic bridge” [the reference in the constitution to the transition from apartheid to democracy] itself might never have been erected’: the National Party would not have agreed to political reform including ending apartheid if it had not received reassurances that its key actors could avoid prosecution.</w:t>
      </w:r>
      <w:r w:rsidRPr="00EF4C33">
        <w:rPr>
          <w:rFonts w:ascii="Times New Roman" w:eastAsia="Times New Roman" w:hAnsi="Times New Roman" w:cs="Times New Roman"/>
          <w:sz w:val="24"/>
          <w:szCs w:val="24"/>
          <w:vertAlign w:val="superscript"/>
        </w:rPr>
        <w:footnoteReference w:id="40"/>
      </w:r>
      <w:r w:rsidRPr="00EF4C33">
        <w:rPr>
          <w:rFonts w:ascii="Times New Roman" w:eastAsia="Times New Roman" w:hAnsi="Times New Roman" w:cs="Times New Roman"/>
          <w:sz w:val="24"/>
          <w:szCs w:val="24"/>
        </w:rPr>
        <w:t xml:space="preserve"> </w:t>
      </w:r>
    </w:p>
    <w:p w14:paraId="1575C4DC" w14:textId="77777777" w:rsidR="00E609FD" w:rsidRPr="00EF4C33" w:rsidRDefault="008D1476"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609FD" w:rsidRPr="00EF4C33">
        <w:rPr>
          <w:rFonts w:ascii="Times New Roman" w:eastAsia="Times New Roman" w:hAnsi="Times New Roman" w:cs="Times New Roman"/>
          <w:sz w:val="24"/>
          <w:szCs w:val="24"/>
        </w:rPr>
        <w:t xml:space="preserve">s the claim of political necessity still an acceptable justification not to prosecute? Since the time of the South African transition, the argument that peace should prevail in case it clashes with criminal justice has been rejected not only on the basis of </w:t>
      </w:r>
      <w:r w:rsidR="00E83521">
        <w:rPr>
          <w:rFonts w:ascii="Times New Roman" w:eastAsia="Times New Roman" w:hAnsi="Times New Roman" w:cs="Times New Roman"/>
          <w:sz w:val="24"/>
          <w:szCs w:val="24"/>
        </w:rPr>
        <w:t xml:space="preserve">questionable </w:t>
      </w:r>
      <w:r w:rsidR="00E609FD" w:rsidRPr="00EF4C33">
        <w:rPr>
          <w:rFonts w:ascii="Times New Roman" w:eastAsia="Times New Roman" w:hAnsi="Times New Roman" w:cs="Times New Roman"/>
          <w:sz w:val="24"/>
          <w:szCs w:val="24"/>
        </w:rPr>
        <w:t xml:space="preserve">empirical </w:t>
      </w:r>
      <w:r w:rsidR="00E609FD" w:rsidRPr="00EF4C33">
        <w:rPr>
          <w:rFonts w:ascii="Times New Roman" w:eastAsia="Times New Roman" w:hAnsi="Times New Roman" w:cs="Times New Roman"/>
          <w:sz w:val="24"/>
          <w:szCs w:val="24"/>
        </w:rPr>
        <w:lastRenderedPageBreak/>
        <w:t>claims, discussed above, but also on normative arguments: peace built on a negotiated settlement that foregoes criminal prosecutions does not deserve the name peace. Unlike some of the empirical arguments mentioned above, this view recognises that political realities may be such that insistence on criminal justice might perpetuate bloodshed. However, it holds that law should not give in</w:t>
      </w:r>
      <w:r w:rsidR="00E609FD">
        <w:rPr>
          <w:rFonts w:ascii="Times New Roman" w:eastAsia="Times New Roman" w:hAnsi="Times New Roman" w:cs="Times New Roman"/>
          <w:sz w:val="24"/>
          <w:szCs w:val="24"/>
        </w:rPr>
        <w:t xml:space="preserve"> </w:t>
      </w:r>
      <w:r w:rsidR="00E609FD" w:rsidRPr="00EF4C33">
        <w:rPr>
          <w:rFonts w:ascii="Times New Roman" w:eastAsia="Times New Roman" w:hAnsi="Times New Roman" w:cs="Times New Roman"/>
          <w:sz w:val="24"/>
          <w:szCs w:val="24"/>
        </w:rPr>
        <w:t xml:space="preserve">to these realities. </w:t>
      </w:r>
    </w:p>
    <w:p w14:paraId="620DF892" w14:textId="77777777" w:rsidR="00E609FD" w:rsidRPr="00EF4C33" w:rsidRDefault="00E609FD"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There are two difficulties with this argument: one in terms of consequences; the other in terms of the implicit prioritization of values through a definition. In terms of consequences, this position effectively encourages parties to pursue a total victory rather than their second-best option of a negotiated settlement. First, by insisting on the criminal-law frame, this position may obstruct peace talks: as discussed above, negotiations usually require treating the opponents primarily as political, rather than as criminal, actors. Secondly, from a purely rational perspective it is unlikely that any negotiating party will accept an outcome that leads to life-long imprisonment for its key members. Unless international actors are willing and able actually to stop the </w:t>
      </w:r>
      <w:r>
        <w:rPr>
          <w:rFonts w:ascii="Times New Roman" w:eastAsia="Times New Roman" w:hAnsi="Times New Roman" w:cs="Times New Roman"/>
          <w:sz w:val="24"/>
          <w:szCs w:val="24"/>
        </w:rPr>
        <w:t xml:space="preserve">armed </w:t>
      </w:r>
      <w:r w:rsidRPr="00EF4C33">
        <w:rPr>
          <w:rFonts w:ascii="Times New Roman" w:eastAsia="Times New Roman" w:hAnsi="Times New Roman" w:cs="Times New Roman"/>
          <w:sz w:val="24"/>
          <w:szCs w:val="24"/>
        </w:rPr>
        <w:t xml:space="preserve">conflict, the outcome of a position that insists on criminal trials and ordinary criminal punishments will thus be continued </w:t>
      </w:r>
      <w:r>
        <w:rPr>
          <w:rFonts w:ascii="Times New Roman" w:eastAsia="Times New Roman" w:hAnsi="Times New Roman" w:cs="Times New Roman"/>
          <w:sz w:val="24"/>
          <w:szCs w:val="24"/>
        </w:rPr>
        <w:t>violence</w:t>
      </w:r>
      <w:r w:rsidRPr="00EF4C33">
        <w:rPr>
          <w:rFonts w:ascii="Times New Roman" w:eastAsia="Times New Roman" w:hAnsi="Times New Roman" w:cs="Times New Roman"/>
          <w:sz w:val="24"/>
          <w:szCs w:val="24"/>
        </w:rPr>
        <w:t>. How does one justify insistence on the must-prosecute-and-punish norm to those who suffer its consequences, and for whom ‘truce at gunpoint’ might have been preferable to no truce at all?</w:t>
      </w:r>
      <w:r w:rsidRPr="00EF4C33">
        <w:rPr>
          <w:rFonts w:ascii="Times New Roman" w:eastAsia="Times New Roman" w:hAnsi="Times New Roman" w:cs="Times New Roman"/>
          <w:sz w:val="24"/>
          <w:szCs w:val="24"/>
          <w:vertAlign w:val="superscript"/>
        </w:rPr>
        <w:footnoteReference w:id="41"/>
      </w:r>
      <w:r w:rsidRPr="00EF4C33">
        <w:rPr>
          <w:rFonts w:ascii="Times New Roman" w:eastAsia="Times New Roman" w:hAnsi="Times New Roman" w:cs="Times New Roman"/>
          <w:sz w:val="24"/>
          <w:szCs w:val="24"/>
        </w:rPr>
        <w:t xml:space="preserve"> </w:t>
      </w:r>
    </w:p>
    <w:p w14:paraId="4D05F246" w14:textId="77777777" w:rsidR="008D1476" w:rsidRPr="00EF4C33" w:rsidRDefault="00E609FD"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In terms of implicit prioritization of values, if peace is defined as peace only if criminal justice is done, peace in and of itself is no longer recognised as a value. It is true that while international law has traditionally been strong on promoting the value of peace among states, it has been much weaker in doing so for the value of peace within a state. It is, however, notable that particularly states trying to secure and internationally defend negotiated settlements have done so by stressing their responsibility to promote peace.</w:t>
      </w:r>
      <w:bookmarkStart w:id="14" w:name="_Ref393970061"/>
      <w:r w:rsidRPr="00EF4C33">
        <w:rPr>
          <w:rFonts w:ascii="Times New Roman" w:eastAsia="Times New Roman" w:hAnsi="Times New Roman" w:cs="Times New Roman"/>
          <w:sz w:val="24"/>
          <w:szCs w:val="24"/>
          <w:vertAlign w:val="superscript"/>
        </w:rPr>
        <w:footnoteReference w:id="42"/>
      </w:r>
      <w:bookmarkEnd w:id="14"/>
      <w:r w:rsidRPr="00EF4C33">
        <w:rPr>
          <w:rFonts w:ascii="Times New Roman" w:eastAsia="Times New Roman" w:hAnsi="Times New Roman" w:cs="Times New Roman"/>
          <w:sz w:val="24"/>
          <w:szCs w:val="24"/>
        </w:rPr>
        <w:t xml:space="preserve"> </w:t>
      </w:r>
      <w:r w:rsidR="00AF5CEC">
        <w:rPr>
          <w:rFonts w:ascii="Times New Roman" w:eastAsia="Times New Roman" w:hAnsi="Times New Roman" w:cs="Times New Roman"/>
          <w:sz w:val="24"/>
          <w:szCs w:val="24"/>
        </w:rPr>
        <w:t>Hitherto, j</w:t>
      </w:r>
      <w:r w:rsidR="008D1476">
        <w:rPr>
          <w:rFonts w:ascii="Times New Roman" w:eastAsia="Times New Roman" w:hAnsi="Times New Roman" w:cs="Times New Roman"/>
          <w:sz w:val="24"/>
          <w:szCs w:val="24"/>
        </w:rPr>
        <w:t xml:space="preserve">udicial opinion has been stronger in interpreting human rights provisions as requiring prosecutions, rather than peace. However, the fact that the majority </w:t>
      </w:r>
      <w:r w:rsidRPr="00EF4C33">
        <w:rPr>
          <w:rFonts w:ascii="Times New Roman" w:eastAsia="Times New Roman" w:hAnsi="Times New Roman" w:cs="Times New Roman"/>
          <w:sz w:val="24"/>
          <w:szCs w:val="24"/>
        </w:rPr>
        <w:t xml:space="preserve">of the judges of the </w:t>
      </w:r>
      <w:r w:rsidR="00860358">
        <w:rPr>
          <w:rFonts w:ascii="Times New Roman" w:eastAsia="Times New Roman" w:hAnsi="Times New Roman" w:cs="Times New Roman"/>
          <w:sz w:val="24"/>
          <w:szCs w:val="24"/>
        </w:rPr>
        <w:t xml:space="preserve">Inter-American Court of Human Rights, the </w:t>
      </w:r>
      <w:r w:rsidRPr="00EF4C33">
        <w:rPr>
          <w:rFonts w:ascii="Times New Roman" w:eastAsia="Times New Roman" w:hAnsi="Times New Roman" w:cs="Times New Roman"/>
          <w:sz w:val="24"/>
          <w:szCs w:val="24"/>
        </w:rPr>
        <w:t>international court kn</w:t>
      </w:r>
      <w:r w:rsidR="008D1476">
        <w:rPr>
          <w:rFonts w:ascii="Times New Roman" w:eastAsia="Times New Roman" w:hAnsi="Times New Roman" w:cs="Times New Roman"/>
          <w:sz w:val="24"/>
          <w:szCs w:val="24"/>
        </w:rPr>
        <w:t>own to be harshest on amnesties</w:t>
      </w:r>
      <w:r w:rsidR="00860358">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has joined a concurring opinion </w:t>
      </w:r>
      <w:r w:rsidR="008D1476">
        <w:rPr>
          <w:rFonts w:ascii="Times New Roman" w:eastAsia="Times New Roman" w:hAnsi="Times New Roman" w:cs="Times New Roman"/>
          <w:sz w:val="24"/>
          <w:szCs w:val="24"/>
        </w:rPr>
        <w:t xml:space="preserve">that </w:t>
      </w:r>
      <w:r w:rsidR="008D1476">
        <w:rPr>
          <w:rFonts w:ascii="Times New Roman" w:eastAsia="Times New Roman" w:hAnsi="Times New Roman" w:cs="Times New Roman"/>
          <w:sz w:val="24"/>
          <w:szCs w:val="24"/>
        </w:rPr>
        <w:lastRenderedPageBreak/>
        <w:t xml:space="preserve">advocated the idea of a human right to peace, does suggest an increasing awareness of the need to promote peace within a state as a value in and of itself. In the opinion, </w:t>
      </w:r>
      <w:r w:rsidR="001234C3" w:rsidRPr="00EF4C33">
        <w:rPr>
          <w:rFonts w:ascii="Times New Roman" w:eastAsia="Times New Roman" w:hAnsi="Times New Roman" w:cs="Times New Roman"/>
          <w:sz w:val="24"/>
          <w:szCs w:val="24"/>
        </w:rPr>
        <w:t>the</w:t>
      </w:r>
      <w:r w:rsidR="001234C3">
        <w:rPr>
          <w:rFonts w:ascii="Times New Roman" w:eastAsia="Times New Roman" w:hAnsi="Times New Roman" w:cs="Times New Roman"/>
          <w:sz w:val="24"/>
          <w:szCs w:val="24"/>
        </w:rPr>
        <w:t xml:space="preserve"> </w:t>
      </w:r>
      <w:r w:rsidR="00860358">
        <w:rPr>
          <w:rFonts w:ascii="Times New Roman" w:eastAsia="Times New Roman" w:hAnsi="Times New Roman" w:cs="Times New Roman"/>
          <w:sz w:val="24"/>
          <w:szCs w:val="24"/>
        </w:rPr>
        <w:t xml:space="preserve">Court’s </w:t>
      </w:r>
      <w:r w:rsidR="001234C3">
        <w:rPr>
          <w:rFonts w:ascii="Times New Roman" w:eastAsia="Times New Roman" w:hAnsi="Times New Roman" w:cs="Times New Roman"/>
          <w:sz w:val="24"/>
          <w:szCs w:val="24"/>
        </w:rPr>
        <w:t xml:space="preserve">President </w:t>
      </w:r>
      <w:r w:rsidRPr="00EF4C33">
        <w:rPr>
          <w:rFonts w:ascii="Times New Roman" w:eastAsia="Times New Roman" w:hAnsi="Times New Roman" w:cs="Times New Roman"/>
          <w:sz w:val="24"/>
          <w:szCs w:val="24"/>
        </w:rPr>
        <w:t xml:space="preserve">distinguished amnesties agreed upon in the context of a negotiated settlement from other types of amnesties, and </w:t>
      </w:r>
      <w:r w:rsidR="001234C3">
        <w:rPr>
          <w:rFonts w:ascii="Times New Roman" w:eastAsia="Times New Roman" w:hAnsi="Times New Roman" w:cs="Times New Roman"/>
          <w:sz w:val="24"/>
          <w:szCs w:val="24"/>
        </w:rPr>
        <w:t xml:space="preserve">argued: </w:t>
      </w:r>
    </w:p>
    <w:p w14:paraId="782C3D38" w14:textId="77777777" w:rsidR="00E609FD" w:rsidRDefault="00E609FD" w:rsidP="00CE71D8">
      <w:pPr>
        <w:spacing w:after="0" w:line="360" w:lineRule="auto"/>
        <w:jc w:val="both"/>
        <w:rPr>
          <w:rFonts w:ascii="Times New Roman" w:eastAsia="Times New Roman" w:hAnsi="Times New Roman" w:cs="Times New Roman"/>
          <w:sz w:val="24"/>
          <w:szCs w:val="24"/>
        </w:rPr>
      </w:pPr>
    </w:p>
    <w:p w14:paraId="54358CB9" w14:textId="77777777" w:rsidR="00E609FD" w:rsidRPr="00EF4C33" w:rsidRDefault="00E609FD" w:rsidP="00ED6005">
      <w:pPr>
        <w:spacing w:after="0" w:line="360" w:lineRule="auto"/>
        <w:ind w:left="567" w:right="567"/>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States have a legal obligation to address the rights of the victims and, with the same intensity, the obligation to prevent further acts of violence and to achieve peace in an armed conflict by the means at its disposal. Peace as a product of a negotiation is offered as a morally and politically superior alternative to peace as a result of the annihilation of the opponent. Therefore, international human rights law should consider that peace is a right and that the State must achieve it.</w:t>
      </w:r>
      <w:r w:rsidRPr="00EF4C33">
        <w:rPr>
          <w:rFonts w:ascii="Times New Roman" w:eastAsia="Times New Roman" w:hAnsi="Times New Roman" w:cs="Times New Roman"/>
          <w:sz w:val="24"/>
          <w:szCs w:val="24"/>
          <w:vertAlign w:val="superscript"/>
        </w:rPr>
        <w:footnoteReference w:id="43"/>
      </w:r>
    </w:p>
    <w:p w14:paraId="256466F5" w14:textId="77777777" w:rsidR="00E609FD" w:rsidRDefault="00E609FD" w:rsidP="00CE71D8">
      <w:pPr>
        <w:spacing w:after="0" w:line="360" w:lineRule="auto"/>
        <w:jc w:val="both"/>
        <w:rPr>
          <w:rFonts w:ascii="Times New Roman" w:eastAsia="Times New Roman" w:hAnsi="Times New Roman" w:cs="Times New Roman"/>
          <w:sz w:val="24"/>
          <w:szCs w:val="24"/>
        </w:rPr>
      </w:pPr>
    </w:p>
    <w:p w14:paraId="17CE7F00" w14:textId="77777777" w:rsidR="00E609FD" w:rsidRPr="00EF4C33" w:rsidRDefault="00E609FD"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Seen in this light, compromising criminal justice in the pursuit of peace is not a sacrifice of law on the altar of Realpolitik, but a </w:t>
      </w:r>
      <w:r w:rsidR="003E5B7C">
        <w:rPr>
          <w:rFonts w:ascii="Times New Roman" w:eastAsia="Times New Roman" w:hAnsi="Times New Roman" w:cs="Times New Roman"/>
          <w:sz w:val="24"/>
          <w:szCs w:val="24"/>
        </w:rPr>
        <w:t>settlement</w:t>
      </w:r>
      <w:r w:rsidR="003E5B7C"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within international law to promote its distinct values simultaneously. </w:t>
      </w:r>
    </w:p>
    <w:p w14:paraId="67EAED1A" w14:textId="77777777" w:rsidR="00E609FD" w:rsidRDefault="00E609FD" w:rsidP="00CE71D8">
      <w:pPr>
        <w:spacing w:after="0" w:line="360" w:lineRule="auto"/>
        <w:ind w:firstLine="720"/>
        <w:jc w:val="both"/>
        <w:rPr>
          <w:rFonts w:ascii="Times New Roman" w:eastAsia="Times New Roman" w:hAnsi="Times New Roman" w:cs="Times New Roman"/>
          <w:sz w:val="24"/>
          <w:szCs w:val="24"/>
        </w:rPr>
      </w:pPr>
    </w:p>
    <w:p w14:paraId="3A96F0F0" w14:textId="77777777" w:rsidR="00E609FD" w:rsidRPr="00ED6005" w:rsidRDefault="00860358" w:rsidP="00CC3B84">
      <w:pPr>
        <w:pStyle w:val="ListParagraph"/>
        <w:numPr>
          <w:ilvl w:val="0"/>
          <w:numId w:val="2"/>
        </w:numPr>
        <w:spacing w:after="0" w:line="36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Transitional-</w:t>
      </w:r>
      <w:r w:rsidR="001234C3" w:rsidRPr="009200F2">
        <w:rPr>
          <w:rFonts w:ascii="Times New Roman" w:eastAsia="Times New Roman" w:hAnsi="Times New Roman" w:cs="Times New Roman"/>
          <w:i/>
          <w:sz w:val="24"/>
          <w:szCs w:val="24"/>
        </w:rPr>
        <w:t>Justice Objectives</w:t>
      </w:r>
    </w:p>
    <w:p w14:paraId="4BA5EFA5" w14:textId="77777777" w:rsidR="001234C3" w:rsidRDefault="00912364"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South African institutions and individuals have also defended the country’s transitional-justice arran</w:t>
      </w:r>
      <w:r w:rsidR="001234C3">
        <w:rPr>
          <w:rFonts w:ascii="Times New Roman" w:eastAsia="Times New Roman" w:hAnsi="Times New Roman" w:cs="Times New Roman"/>
          <w:sz w:val="24"/>
          <w:szCs w:val="24"/>
        </w:rPr>
        <w:t xml:space="preserve">gement on the ground that it provided </w:t>
      </w:r>
      <w:r w:rsidR="00BF66B8">
        <w:rPr>
          <w:rFonts w:ascii="Times New Roman" w:eastAsia="Times New Roman" w:hAnsi="Times New Roman" w:cs="Times New Roman"/>
          <w:sz w:val="24"/>
          <w:szCs w:val="24"/>
        </w:rPr>
        <w:t xml:space="preserve">for those most affected </w:t>
      </w:r>
      <w:r w:rsidR="001234C3">
        <w:rPr>
          <w:rFonts w:ascii="Times New Roman" w:eastAsia="Times New Roman" w:hAnsi="Times New Roman" w:cs="Times New Roman"/>
          <w:sz w:val="24"/>
          <w:szCs w:val="24"/>
        </w:rPr>
        <w:t xml:space="preserve">a </w:t>
      </w:r>
      <w:r w:rsidR="001234C3" w:rsidRPr="00EF4C33">
        <w:rPr>
          <w:rFonts w:ascii="Times New Roman" w:eastAsia="Times New Roman" w:hAnsi="Times New Roman" w:cs="Times New Roman"/>
          <w:sz w:val="24"/>
          <w:szCs w:val="24"/>
        </w:rPr>
        <w:t>more meaningful form of justice</w:t>
      </w:r>
      <w:r w:rsidR="001234C3">
        <w:rPr>
          <w:rFonts w:ascii="Times New Roman" w:eastAsia="Times New Roman" w:hAnsi="Times New Roman" w:cs="Times New Roman"/>
          <w:sz w:val="24"/>
          <w:szCs w:val="24"/>
        </w:rPr>
        <w:t xml:space="preserve"> than criminal prosecutions</w:t>
      </w:r>
      <w:r w:rsidRPr="00EF4C33">
        <w:rPr>
          <w:rFonts w:ascii="Times New Roman" w:eastAsia="Times New Roman" w:hAnsi="Times New Roman" w:cs="Times New Roman"/>
          <w:sz w:val="24"/>
          <w:szCs w:val="24"/>
        </w:rPr>
        <w:t>.</w:t>
      </w:r>
      <w:bookmarkStart w:id="15" w:name="_Ref393969872"/>
      <w:r w:rsidR="0079721B">
        <w:rPr>
          <w:rStyle w:val="FootnoteReference"/>
          <w:rFonts w:ascii="Times New Roman" w:eastAsia="Times New Roman" w:hAnsi="Times New Roman" w:cs="Times New Roman"/>
          <w:sz w:val="24"/>
          <w:szCs w:val="24"/>
        </w:rPr>
        <w:footnoteReference w:id="44"/>
      </w:r>
      <w:bookmarkEnd w:id="15"/>
      <w:r w:rsidR="0008621B">
        <w:rPr>
          <w:rStyle w:val="CommentReference"/>
        </w:rPr>
        <w:t xml:space="preserve"> </w:t>
      </w:r>
      <w:r w:rsidR="009274F0" w:rsidRPr="00EF4C33">
        <w:rPr>
          <w:rFonts w:ascii="Times New Roman" w:eastAsia="Times New Roman" w:hAnsi="Times New Roman" w:cs="Times New Roman"/>
          <w:sz w:val="24"/>
          <w:szCs w:val="24"/>
        </w:rPr>
        <w:t xml:space="preserve">Two elements of this argument must be considered: who are considered those most affected, and different understandings of meaningful justice. </w:t>
      </w:r>
    </w:p>
    <w:p w14:paraId="37E75938" w14:textId="77777777" w:rsidR="00C30ACB" w:rsidRPr="00C30ACB" w:rsidRDefault="009274F0" w:rsidP="00C30ACB">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With respect to those most affected, human rights law tends to focus on the individual victims of specific human rights violations. The definition of victim in</w:t>
      </w:r>
      <w:r w:rsidR="00B26E17">
        <w:rPr>
          <w:rFonts w:ascii="Times New Roman" w:eastAsia="Times New Roman" w:hAnsi="Times New Roman" w:cs="Times New Roman"/>
          <w:sz w:val="24"/>
          <w:szCs w:val="24"/>
        </w:rPr>
        <w:t xml:space="preserve"> the South African transitional-</w:t>
      </w:r>
      <w:r w:rsidRPr="00EF4C33">
        <w:rPr>
          <w:rFonts w:ascii="Times New Roman" w:eastAsia="Times New Roman" w:hAnsi="Times New Roman" w:cs="Times New Roman"/>
          <w:sz w:val="24"/>
          <w:szCs w:val="24"/>
        </w:rPr>
        <w:t>justice arrang</w:t>
      </w:r>
      <w:r w:rsidR="00B26E17">
        <w:rPr>
          <w:rFonts w:ascii="Times New Roman" w:eastAsia="Times New Roman" w:hAnsi="Times New Roman" w:cs="Times New Roman"/>
          <w:sz w:val="24"/>
          <w:szCs w:val="24"/>
        </w:rPr>
        <w:t>ement followed this human-</w:t>
      </w:r>
      <w:r w:rsidRPr="00EF4C33">
        <w:rPr>
          <w:rFonts w:ascii="Times New Roman" w:eastAsia="Times New Roman" w:hAnsi="Times New Roman" w:cs="Times New Roman"/>
          <w:sz w:val="24"/>
          <w:szCs w:val="24"/>
        </w:rPr>
        <w:t>rights approach</w:t>
      </w:r>
      <w:r w:rsidR="008F6DF5">
        <w:rPr>
          <w:rFonts w:ascii="Times New Roman" w:eastAsia="Times New Roman" w:hAnsi="Times New Roman" w:cs="Times New Roman"/>
          <w:sz w:val="24"/>
          <w:szCs w:val="24"/>
        </w:rPr>
        <w:t>,</w:t>
      </w:r>
      <w:r w:rsidR="003E5B7C">
        <w:rPr>
          <w:rFonts w:ascii="Times New Roman" w:eastAsia="Times New Roman" w:hAnsi="Times New Roman" w:cs="Times New Roman"/>
          <w:sz w:val="24"/>
          <w:szCs w:val="24"/>
        </w:rPr>
        <w:t xml:space="preserve"> also in focusing on violations of human rights related to bodily integrity.</w:t>
      </w:r>
      <w:r w:rsidR="000C45D8">
        <w:rPr>
          <w:rStyle w:val="FootnoteReference"/>
          <w:rFonts w:ascii="Times New Roman" w:eastAsia="Times New Roman" w:hAnsi="Times New Roman" w:cs="Times New Roman"/>
          <w:sz w:val="24"/>
          <w:szCs w:val="24"/>
        </w:rPr>
        <w:footnoteReference w:id="45"/>
      </w:r>
      <w:r w:rsidRPr="00EF4C33">
        <w:rPr>
          <w:rFonts w:ascii="Times New Roman" w:eastAsia="Times New Roman" w:hAnsi="Times New Roman" w:cs="Times New Roman"/>
          <w:sz w:val="24"/>
          <w:szCs w:val="24"/>
        </w:rPr>
        <w:t xml:space="preserve"> </w:t>
      </w:r>
      <w:r w:rsidR="00C30ACB" w:rsidRPr="00C30ACB">
        <w:rPr>
          <w:rFonts w:ascii="Times New Roman" w:eastAsia="Times New Roman" w:hAnsi="Times New Roman" w:cs="Times New Roman"/>
          <w:sz w:val="24"/>
          <w:szCs w:val="24"/>
        </w:rPr>
        <w:t>However, the settlement as such was underpinned by a desire to serve the far broader community of people who had suffered under apartheid.</w:t>
      </w:r>
      <w:r w:rsidR="00C30ACB" w:rsidRPr="00C30ACB">
        <w:rPr>
          <w:rFonts w:ascii="Times New Roman" w:eastAsia="Times New Roman" w:hAnsi="Times New Roman" w:cs="Times New Roman"/>
          <w:sz w:val="24"/>
          <w:szCs w:val="24"/>
          <w:vertAlign w:val="superscript"/>
        </w:rPr>
        <w:footnoteReference w:id="46"/>
      </w:r>
      <w:r w:rsidR="00C30ACB" w:rsidRPr="00C30ACB">
        <w:rPr>
          <w:rFonts w:ascii="Times New Roman" w:eastAsia="Times New Roman" w:hAnsi="Times New Roman" w:cs="Times New Roman"/>
          <w:sz w:val="24"/>
          <w:szCs w:val="24"/>
        </w:rPr>
        <w:t xml:space="preserve"> While such suffering was not technically treated as a human-rights violation, the </w:t>
      </w:r>
      <w:r w:rsidR="00C30ACB" w:rsidRPr="00C30ACB">
        <w:rPr>
          <w:rFonts w:ascii="Times New Roman" w:eastAsia="Times New Roman" w:hAnsi="Times New Roman" w:cs="Times New Roman"/>
          <w:sz w:val="24"/>
          <w:szCs w:val="24"/>
        </w:rPr>
        <w:lastRenderedPageBreak/>
        <w:t xml:space="preserve">settlement made it possible to eradicate its root cause: apartheid. The South African transitional-justice arrangement thus tried to foster respect for both the human rights of individual victims of violations of bodily-integrity rights, and for the interests of society as a collective — interests that international human rights law, with its inherently individual focus, has challenges in </w:t>
      </w:r>
      <w:r w:rsidR="003E5B7C">
        <w:rPr>
          <w:rFonts w:ascii="Times New Roman" w:eastAsia="Times New Roman" w:hAnsi="Times New Roman" w:cs="Times New Roman"/>
          <w:sz w:val="24"/>
          <w:szCs w:val="24"/>
        </w:rPr>
        <w:t>protecting</w:t>
      </w:r>
      <w:r w:rsidR="00C30ACB" w:rsidRPr="00C30ACB">
        <w:rPr>
          <w:rFonts w:ascii="Times New Roman" w:eastAsia="Times New Roman" w:hAnsi="Times New Roman" w:cs="Times New Roman"/>
          <w:sz w:val="24"/>
          <w:szCs w:val="24"/>
        </w:rPr>
        <w:t>.</w:t>
      </w:r>
    </w:p>
    <w:p w14:paraId="41568FBC" w14:textId="77777777" w:rsidR="00027F8F" w:rsidRPr="00EF4C33" w:rsidRDefault="00C30ACB" w:rsidP="00C30ACB">
      <w:pPr>
        <w:spacing w:after="0" w:line="360" w:lineRule="auto"/>
        <w:ind w:firstLine="720"/>
        <w:jc w:val="both"/>
        <w:rPr>
          <w:rFonts w:ascii="Times New Roman" w:eastAsia="Times New Roman" w:hAnsi="Times New Roman" w:cs="Times New Roman"/>
          <w:sz w:val="24"/>
          <w:szCs w:val="24"/>
        </w:rPr>
      </w:pPr>
      <w:r w:rsidRPr="00C30ACB">
        <w:rPr>
          <w:rFonts w:ascii="Times New Roman" w:eastAsia="Times New Roman" w:hAnsi="Times New Roman" w:cs="Times New Roman"/>
          <w:sz w:val="24"/>
          <w:szCs w:val="24"/>
        </w:rPr>
        <w:t xml:space="preserve">Indeed, respect for the principle of </w:t>
      </w:r>
      <w:proofErr w:type="spellStart"/>
      <w:r w:rsidRPr="00C30ACB">
        <w:rPr>
          <w:rFonts w:ascii="Times New Roman" w:eastAsia="Times New Roman" w:hAnsi="Times New Roman" w:cs="Times New Roman"/>
          <w:i/>
          <w:sz w:val="24"/>
          <w:szCs w:val="24"/>
        </w:rPr>
        <w:t>ubuntu</w:t>
      </w:r>
      <w:proofErr w:type="spellEnd"/>
      <w:r w:rsidRPr="00C30ACB">
        <w:rPr>
          <w:rFonts w:ascii="Times New Roman" w:eastAsia="Times New Roman" w:hAnsi="Times New Roman" w:cs="Times New Roman"/>
          <w:sz w:val="24"/>
          <w:szCs w:val="24"/>
        </w:rPr>
        <w:t xml:space="preserve">, referred to in the constitutional </w:t>
      </w:r>
      <w:proofErr w:type="spellStart"/>
      <w:r w:rsidRPr="00C30ACB">
        <w:rPr>
          <w:rFonts w:ascii="Times New Roman" w:eastAsia="Times New Roman" w:hAnsi="Times New Roman" w:cs="Times New Roman"/>
          <w:sz w:val="24"/>
          <w:szCs w:val="24"/>
        </w:rPr>
        <w:t>postamble</w:t>
      </w:r>
      <w:proofErr w:type="spellEnd"/>
      <w:r w:rsidRPr="00C30ACB">
        <w:rPr>
          <w:rFonts w:ascii="Times New Roman" w:eastAsia="Times New Roman" w:hAnsi="Times New Roman" w:cs="Times New Roman"/>
          <w:sz w:val="24"/>
          <w:szCs w:val="24"/>
        </w:rPr>
        <w:t xml:space="preserve">, requires treating even perpetrators as part of a society affected by crimes. </w:t>
      </w:r>
      <w:r w:rsidRPr="00C30ACB">
        <w:rPr>
          <w:rFonts w:ascii="Times New Roman" w:eastAsia="Times New Roman" w:hAnsi="Times New Roman" w:cs="Times New Roman"/>
          <w:i/>
          <w:sz w:val="24"/>
          <w:szCs w:val="24"/>
        </w:rPr>
        <w:t>Ubuntu</w:t>
      </w:r>
      <w:r w:rsidRPr="00C30ACB">
        <w:rPr>
          <w:rFonts w:ascii="Times New Roman" w:eastAsia="Times New Roman" w:hAnsi="Times New Roman" w:cs="Times New Roman"/>
          <w:sz w:val="24"/>
          <w:szCs w:val="24"/>
        </w:rPr>
        <w:t xml:space="preserve"> implies, in the words of Bishop Tutu, chairman of the TRC, that ‘[w]hat dehumanizes you inexorably dehumanizes me’.</w:t>
      </w:r>
      <w:r w:rsidRPr="00C30ACB">
        <w:rPr>
          <w:rFonts w:ascii="Times New Roman" w:eastAsia="Times New Roman" w:hAnsi="Times New Roman" w:cs="Times New Roman"/>
          <w:sz w:val="24"/>
          <w:szCs w:val="24"/>
          <w:vertAlign w:val="superscript"/>
        </w:rPr>
        <w:footnoteReference w:id="47"/>
      </w:r>
      <w:r w:rsidRPr="00C30ACB">
        <w:rPr>
          <w:rFonts w:ascii="Times New Roman" w:eastAsia="Times New Roman" w:hAnsi="Times New Roman" w:cs="Times New Roman"/>
          <w:sz w:val="24"/>
          <w:szCs w:val="24"/>
        </w:rPr>
        <w:t xml:space="preserve"> </w:t>
      </w:r>
      <w:proofErr w:type="spellStart"/>
      <w:r w:rsidRPr="00C30ACB">
        <w:rPr>
          <w:rFonts w:ascii="Times New Roman" w:eastAsia="Times New Roman" w:hAnsi="Times New Roman" w:cs="Times New Roman"/>
          <w:sz w:val="24"/>
          <w:szCs w:val="24"/>
        </w:rPr>
        <w:t>Antjie</w:t>
      </w:r>
      <w:proofErr w:type="spellEnd"/>
      <w:r w:rsidRPr="00C30ACB">
        <w:rPr>
          <w:rFonts w:ascii="Times New Roman" w:eastAsia="Times New Roman" w:hAnsi="Times New Roman" w:cs="Times New Roman"/>
          <w:sz w:val="24"/>
          <w:szCs w:val="24"/>
        </w:rPr>
        <w:t xml:space="preserve"> </w:t>
      </w:r>
      <w:proofErr w:type="spellStart"/>
      <w:r w:rsidRPr="00C30ACB">
        <w:rPr>
          <w:rFonts w:ascii="Times New Roman" w:eastAsia="Times New Roman" w:hAnsi="Times New Roman" w:cs="Times New Roman"/>
          <w:sz w:val="24"/>
          <w:szCs w:val="24"/>
        </w:rPr>
        <w:t>Krog</w:t>
      </w:r>
      <w:proofErr w:type="spellEnd"/>
      <w:r w:rsidRPr="00C30ACB">
        <w:rPr>
          <w:rFonts w:ascii="Times New Roman" w:eastAsia="Times New Roman" w:hAnsi="Times New Roman" w:cs="Times New Roman"/>
          <w:sz w:val="24"/>
          <w:szCs w:val="24"/>
        </w:rPr>
        <w:t xml:space="preserve"> writes that this was ‘the unspoken foundation on which the TRC initially was built: that apartheid destroyed people’s humanity so that many people turned into murderers’.</w:t>
      </w:r>
      <w:r w:rsidRPr="00C30ACB">
        <w:rPr>
          <w:rFonts w:ascii="Times New Roman" w:eastAsia="Times New Roman" w:hAnsi="Times New Roman" w:cs="Times New Roman"/>
          <w:sz w:val="24"/>
          <w:szCs w:val="24"/>
          <w:vertAlign w:val="superscript"/>
        </w:rPr>
        <w:footnoteReference w:id="48"/>
      </w:r>
      <w:r w:rsidRPr="00C30ACB">
        <w:rPr>
          <w:rFonts w:ascii="Times New Roman" w:eastAsia="Times New Roman" w:hAnsi="Times New Roman" w:cs="Times New Roman"/>
          <w:sz w:val="24"/>
          <w:szCs w:val="24"/>
        </w:rPr>
        <w:t xml:space="preserve"> As a poignant illustration of this worldview, which she describes as ‘interconnectedness-towards-wholeness’, she provides an excerpt from a statement by</w:t>
      </w:r>
      <w:r w:rsidR="003E5B7C">
        <w:rPr>
          <w:rFonts w:ascii="Times New Roman" w:eastAsia="Times New Roman" w:hAnsi="Times New Roman" w:cs="Times New Roman"/>
          <w:sz w:val="24"/>
          <w:szCs w:val="24"/>
        </w:rPr>
        <w:t xml:space="preserve"> Cynthia </w:t>
      </w:r>
      <w:proofErr w:type="spellStart"/>
      <w:r w:rsidR="003E5B7C">
        <w:rPr>
          <w:rFonts w:ascii="Times New Roman" w:eastAsia="Times New Roman" w:hAnsi="Times New Roman" w:cs="Times New Roman"/>
          <w:sz w:val="24"/>
          <w:szCs w:val="24"/>
        </w:rPr>
        <w:t>Ngewu</w:t>
      </w:r>
      <w:proofErr w:type="spellEnd"/>
      <w:r w:rsidR="003E5B7C">
        <w:rPr>
          <w:rFonts w:ascii="Times New Roman" w:eastAsia="Times New Roman" w:hAnsi="Times New Roman" w:cs="Times New Roman"/>
          <w:sz w:val="24"/>
          <w:szCs w:val="24"/>
        </w:rPr>
        <w:t>,</w:t>
      </w:r>
      <w:r w:rsidRPr="00C30ACB">
        <w:rPr>
          <w:rFonts w:ascii="Times New Roman" w:eastAsia="Times New Roman" w:hAnsi="Times New Roman" w:cs="Times New Roman"/>
          <w:sz w:val="24"/>
          <w:szCs w:val="24"/>
        </w:rPr>
        <w:t xml:space="preserve"> a witness who testified to the TRC and whose son, Christopher Piet, had been murdered: ‘</w:t>
      </w:r>
      <w:r w:rsidR="005C0D51">
        <w:rPr>
          <w:rFonts w:ascii="Times New Roman" w:eastAsia="Times New Roman" w:hAnsi="Times New Roman" w:cs="Times New Roman"/>
          <w:sz w:val="24"/>
          <w:szCs w:val="24"/>
        </w:rPr>
        <w:t>[t]</w:t>
      </w:r>
      <w:r w:rsidRPr="00C30ACB">
        <w:rPr>
          <w:rFonts w:ascii="Times New Roman" w:eastAsia="Times New Roman" w:hAnsi="Times New Roman" w:cs="Times New Roman"/>
          <w:sz w:val="24"/>
          <w:szCs w:val="24"/>
        </w:rPr>
        <w:t>his thing called reconciliation … if I am understanding it correctly … if it means this perpetrator, this man who has killed Christopher Piet, if it means he becomes human again, this man, so that I, so that all of us, get our humanity back … then I agree, then I support it’.</w:t>
      </w:r>
      <w:r w:rsidRPr="00C30ACB">
        <w:rPr>
          <w:rFonts w:ascii="Times New Roman" w:eastAsia="Times New Roman" w:hAnsi="Times New Roman" w:cs="Times New Roman"/>
          <w:sz w:val="24"/>
          <w:szCs w:val="24"/>
          <w:vertAlign w:val="superscript"/>
        </w:rPr>
        <w:footnoteReference w:id="49"/>
      </w:r>
      <w:r w:rsidRPr="00C30ACB">
        <w:rPr>
          <w:rFonts w:ascii="Times New Roman" w:eastAsia="Times New Roman" w:hAnsi="Times New Roman" w:cs="Times New Roman"/>
          <w:sz w:val="24"/>
          <w:szCs w:val="24"/>
        </w:rPr>
        <w:t xml:space="preserve"> From the epistemological and ontological worldview of </w:t>
      </w:r>
      <w:proofErr w:type="spellStart"/>
      <w:r w:rsidR="00D30346">
        <w:rPr>
          <w:rFonts w:ascii="Times New Roman" w:eastAsia="Times New Roman" w:hAnsi="Times New Roman" w:cs="Times New Roman"/>
          <w:i/>
          <w:sz w:val="24"/>
          <w:szCs w:val="24"/>
        </w:rPr>
        <w:t>u</w:t>
      </w:r>
      <w:r w:rsidRPr="00C30ACB">
        <w:rPr>
          <w:rFonts w:ascii="Times New Roman" w:eastAsia="Times New Roman" w:hAnsi="Times New Roman" w:cs="Times New Roman"/>
          <w:i/>
          <w:sz w:val="24"/>
          <w:szCs w:val="24"/>
        </w:rPr>
        <w:t>buntu</w:t>
      </w:r>
      <w:proofErr w:type="spellEnd"/>
      <w:r w:rsidRPr="00C30ACB">
        <w:rPr>
          <w:rFonts w:ascii="Times New Roman" w:eastAsia="Times New Roman" w:hAnsi="Times New Roman" w:cs="Times New Roman"/>
          <w:sz w:val="24"/>
          <w:szCs w:val="24"/>
        </w:rPr>
        <w:t xml:space="preserve">, a key question with respect to ‘crimes against </w:t>
      </w:r>
      <w:r w:rsidRPr="00C30ACB">
        <w:rPr>
          <w:rFonts w:ascii="Times New Roman" w:eastAsia="Times New Roman" w:hAnsi="Times New Roman" w:cs="Times New Roman"/>
          <w:i/>
          <w:sz w:val="24"/>
          <w:szCs w:val="24"/>
        </w:rPr>
        <w:t>humanity</w:t>
      </w:r>
      <w:r w:rsidRPr="00C30ACB">
        <w:rPr>
          <w:rFonts w:ascii="Times New Roman" w:eastAsia="Times New Roman" w:hAnsi="Times New Roman" w:cs="Times New Roman"/>
          <w:sz w:val="24"/>
          <w:szCs w:val="24"/>
        </w:rPr>
        <w:t xml:space="preserve">’ would thus be how they </w:t>
      </w:r>
      <w:r w:rsidR="003E5B7C">
        <w:rPr>
          <w:rFonts w:ascii="Times New Roman" w:eastAsia="Times New Roman" w:hAnsi="Times New Roman" w:cs="Times New Roman"/>
          <w:sz w:val="24"/>
          <w:szCs w:val="24"/>
        </w:rPr>
        <w:t xml:space="preserve">can </w:t>
      </w:r>
      <w:r w:rsidRPr="00C30ACB">
        <w:rPr>
          <w:rFonts w:ascii="Times New Roman" w:eastAsia="Times New Roman" w:hAnsi="Times New Roman" w:cs="Times New Roman"/>
          <w:sz w:val="24"/>
          <w:szCs w:val="24"/>
        </w:rPr>
        <w:t>be responded to in a way that fosters ‘a fullness of humanity that includes all people’.</w:t>
      </w:r>
      <w:r w:rsidRPr="00C30ACB">
        <w:rPr>
          <w:rFonts w:ascii="Times New Roman" w:eastAsia="Times New Roman" w:hAnsi="Times New Roman" w:cs="Times New Roman"/>
          <w:sz w:val="24"/>
          <w:szCs w:val="24"/>
          <w:vertAlign w:val="superscript"/>
        </w:rPr>
        <w:footnoteReference w:id="50"/>
      </w:r>
      <w:r w:rsidRPr="00C30ACB">
        <w:rPr>
          <w:rFonts w:ascii="Times New Roman" w:eastAsia="Times New Roman" w:hAnsi="Times New Roman" w:cs="Times New Roman"/>
          <w:sz w:val="24"/>
          <w:szCs w:val="24"/>
        </w:rPr>
        <w:t xml:space="preserve"> </w:t>
      </w:r>
    </w:p>
    <w:p w14:paraId="30D509B2" w14:textId="77777777" w:rsidR="00A82CF5" w:rsidRDefault="003E5B7C"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Constitutional Court justices and the </w:t>
      </w:r>
      <w:r>
        <w:rPr>
          <w:rFonts w:ascii="Times New Roman" w:eastAsia="Times New Roman" w:hAnsi="Times New Roman" w:cs="Times New Roman"/>
          <w:sz w:val="24"/>
          <w:szCs w:val="24"/>
        </w:rPr>
        <w:t>TRC</w:t>
      </w:r>
      <w:r w:rsidRPr="00EF4C33">
        <w:rPr>
          <w:rFonts w:ascii="Times New Roman" w:eastAsia="Times New Roman" w:hAnsi="Times New Roman" w:cs="Times New Roman"/>
          <w:sz w:val="24"/>
          <w:szCs w:val="24"/>
        </w:rPr>
        <w:t xml:space="preserve"> have argued that the transitional-justice arrangement was also better in pursuing transitional-justice ideals</w:t>
      </w:r>
      <w:r>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truth, </w:t>
      </w:r>
      <w:r w:rsidRPr="00EF4C33">
        <w:rPr>
          <w:rFonts w:ascii="Times New Roman" w:eastAsia="Times New Roman" w:hAnsi="Times New Roman" w:cs="Times New Roman"/>
          <w:sz w:val="24"/>
          <w:szCs w:val="24"/>
        </w:rPr>
        <w:t>justice, reconciliation and reconstruction</w:t>
      </w:r>
      <w:r w:rsidRPr="00EF4C33">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 </w:t>
      </w:r>
      <w:r w:rsidRPr="00EF4C33">
        <w:rPr>
          <w:rFonts w:ascii="Times New Roman" w:eastAsia="Times New Roman" w:hAnsi="Times New Roman" w:cs="Times New Roman"/>
          <w:sz w:val="24"/>
          <w:szCs w:val="24"/>
        </w:rPr>
        <w:t xml:space="preserve">in line with the </w:t>
      </w:r>
      <w:proofErr w:type="spellStart"/>
      <w:r w:rsidRPr="00EF4C33">
        <w:rPr>
          <w:rFonts w:ascii="Times New Roman" w:eastAsia="Times New Roman" w:hAnsi="Times New Roman" w:cs="Times New Roman"/>
          <w:sz w:val="24"/>
          <w:szCs w:val="24"/>
        </w:rPr>
        <w:t>postambular</w:t>
      </w:r>
      <w:proofErr w:type="spellEnd"/>
      <w:r w:rsidRPr="00EF4C33">
        <w:rPr>
          <w:rFonts w:ascii="Times New Roman" w:eastAsia="Times New Roman" w:hAnsi="Times New Roman" w:cs="Times New Roman"/>
          <w:sz w:val="24"/>
          <w:szCs w:val="24"/>
        </w:rPr>
        <w:t xml:space="preserve"> consideration in the </w:t>
      </w:r>
      <w:r w:rsidRPr="002834C9">
        <w:rPr>
          <w:rFonts w:ascii="Times New Roman" w:eastAsia="Times New Roman" w:hAnsi="Times New Roman" w:cs="Times New Roman"/>
          <w:i/>
          <w:sz w:val="24"/>
          <w:szCs w:val="24"/>
        </w:rPr>
        <w:t>interim</w:t>
      </w:r>
      <w:r w:rsidRPr="00EF4C33">
        <w:rPr>
          <w:rFonts w:ascii="Times New Roman" w:eastAsia="Times New Roman" w:hAnsi="Times New Roman" w:cs="Times New Roman"/>
          <w:sz w:val="24"/>
          <w:szCs w:val="24"/>
        </w:rPr>
        <w:t xml:space="preserve"> constitution that there was ‘a need for understanding but not for vengeance, a need for reparation but not for retaliation, a need for </w:t>
      </w:r>
      <w:proofErr w:type="spellStart"/>
      <w:r w:rsidRPr="00EF4C33">
        <w:rPr>
          <w:rFonts w:ascii="Times New Roman" w:eastAsia="Times New Roman" w:hAnsi="Times New Roman" w:cs="Times New Roman"/>
          <w:sz w:val="24"/>
          <w:szCs w:val="24"/>
        </w:rPr>
        <w:t>ubuntu</w:t>
      </w:r>
      <w:proofErr w:type="spellEnd"/>
      <w:r w:rsidRPr="00EF4C33">
        <w:rPr>
          <w:rFonts w:ascii="Times New Roman" w:eastAsia="Times New Roman" w:hAnsi="Times New Roman" w:cs="Times New Roman"/>
          <w:sz w:val="24"/>
          <w:szCs w:val="24"/>
        </w:rPr>
        <w:t xml:space="preserve"> but not for victimization’.</w:t>
      </w:r>
      <w:r w:rsidRPr="00EF4C33">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w:t>
      </w:r>
      <w:r w:rsidR="009200F2" w:rsidRPr="00EF4C33">
        <w:rPr>
          <w:rFonts w:ascii="Times New Roman" w:eastAsia="Times New Roman" w:hAnsi="Times New Roman" w:cs="Times New Roman"/>
          <w:sz w:val="24"/>
          <w:szCs w:val="24"/>
        </w:rPr>
        <w:t>Justice Mahomed</w:t>
      </w:r>
      <w:r>
        <w:rPr>
          <w:rFonts w:ascii="Times New Roman" w:eastAsia="Times New Roman" w:hAnsi="Times New Roman" w:cs="Times New Roman"/>
          <w:sz w:val="24"/>
          <w:szCs w:val="24"/>
        </w:rPr>
        <w:t>, for instance,</w:t>
      </w:r>
      <w:r w:rsidR="009200F2" w:rsidRPr="00EF4C33">
        <w:rPr>
          <w:rFonts w:ascii="Times New Roman" w:eastAsia="Times New Roman" w:hAnsi="Times New Roman" w:cs="Times New Roman"/>
          <w:sz w:val="24"/>
          <w:szCs w:val="24"/>
        </w:rPr>
        <w:t xml:space="preserve"> argued that the chosen arrangement promoted the ideal of truth:</w:t>
      </w:r>
    </w:p>
    <w:p w14:paraId="77E1C8CD" w14:textId="77777777" w:rsidR="00A82CF5" w:rsidRDefault="009200F2"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 </w:t>
      </w:r>
    </w:p>
    <w:p w14:paraId="2BE16A31" w14:textId="77777777" w:rsidR="00A82CF5" w:rsidRDefault="009200F2" w:rsidP="00A82CF5">
      <w:pPr>
        <w:spacing w:after="0" w:line="360" w:lineRule="auto"/>
        <w:ind w:left="567" w:right="567"/>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lastRenderedPageBreak/>
        <w:t>That truth, which the victims of repression seek so desperately to know is, in the circumstances, much more likely to be forthcoming if those responsible for such monstrous deeds are encouraged to disclose the whole truth with the incentive that they will not receive the punishment which they undoubtedly deserve if they do.</w:t>
      </w:r>
      <w:r w:rsidRPr="00EF4C33">
        <w:rPr>
          <w:rFonts w:ascii="Times New Roman" w:eastAsia="Times New Roman" w:hAnsi="Times New Roman" w:cs="Times New Roman"/>
          <w:sz w:val="24"/>
          <w:szCs w:val="24"/>
          <w:vertAlign w:val="superscript"/>
        </w:rPr>
        <w:footnoteReference w:id="53"/>
      </w:r>
    </w:p>
    <w:p w14:paraId="01B3AE40" w14:textId="77777777" w:rsidR="00A82CF5" w:rsidRDefault="009200F2" w:rsidP="00A82CF5">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 </w:t>
      </w:r>
    </w:p>
    <w:p w14:paraId="6530758F" w14:textId="77777777" w:rsidR="003E5B7C" w:rsidRDefault="003E5B7C" w:rsidP="003E5B7C">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The significance of the argument that South Africa’s negotiated settlement provided a </w:t>
      </w:r>
      <w:r>
        <w:rPr>
          <w:rFonts w:ascii="Times New Roman" w:eastAsia="Times New Roman" w:hAnsi="Times New Roman" w:cs="Times New Roman"/>
          <w:sz w:val="24"/>
          <w:szCs w:val="24"/>
        </w:rPr>
        <w:t>more meaningful</w:t>
      </w:r>
      <w:r w:rsidRPr="00EF4C33">
        <w:rPr>
          <w:rFonts w:ascii="Times New Roman" w:eastAsia="Times New Roman" w:hAnsi="Times New Roman" w:cs="Times New Roman"/>
          <w:sz w:val="24"/>
          <w:szCs w:val="24"/>
        </w:rPr>
        <w:t xml:space="preserve"> form of justice than criminal justice is that it presents the tension not as peace versus justice but as criminal justice versus other forms of justice.</w:t>
      </w:r>
    </w:p>
    <w:p w14:paraId="0F1AE484" w14:textId="77777777" w:rsidR="009200F2" w:rsidRDefault="009200F2" w:rsidP="00CE71D8">
      <w:pPr>
        <w:spacing w:after="0" w:line="360" w:lineRule="auto"/>
        <w:ind w:firstLine="720"/>
        <w:jc w:val="both"/>
        <w:rPr>
          <w:rFonts w:ascii="Times New Roman" w:eastAsia="Times New Roman" w:hAnsi="Times New Roman" w:cs="Times New Roman"/>
          <w:sz w:val="24"/>
          <w:szCs w:val="24"/>
        </w:rPr>
      </w:pPr>
    </w:p>
    <w:p w14:paraId="15BD6636" w14:textId="77777777" w:rsidR="00E475F0" w:rsidRDefault="009274F0" w:rsidP="005760B1">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In other situations of conflict, </w:t>
      </w:r>
      <w:r w:rsidR="00912364">
        <w:rPr>
          <w:rFonts w:ascii="Times New Roman" w:eastAsia="Times New Roman" w:hAnsi="Times New Roman" w:cs="Times New Roman"/>
          <w:sz w:val="24"/>
          <w:szCs w:val="24"/>
        </w:rPr>
        <w:t xml:space="preserve">for instance, northern Uganda and Darfur, </w:t>
      </w:r>
      <w:r w:rsidRPr="00EF4C33">
        <w:rPr>
          <w:rFonts w:ascii="Times New Roman" w:eastAsia="Times New Roman" w:hAnsi="Times New Roman" w:cs="Times New Roman"/>
          <w:sz w:val="24"/>
          <w:szCs w:val="24"/>
        </w:rPr>
        <w:t xml:space="preserve">too, people have put forward diverging visions of which form of justice should be prioritised: the restoration of relationships, putting an end to ongoing abuses, redistribution, non-criminal law forms of punishment </w:t>
      </w:r>
      <w:r w:rsidR="00B26E17">
        <w:rPr>
          <w:rFonts w:ascii="Times New Roman" w:eastAsia="Times New Roman" w:hAnsi="Times New Roman" w:cs="Times New Roman"/>
          <w:sz w:val="24"/>
          <w:szCs w:val="24"/>
        </w:rPr>
        <w:t>or</w:t>
      </w:r>
      <w:r w:rsidRPr="00EF4C33">
        <w:rPr>
          <w:rFonts w:ascii="Times New Roman" w:eastAsia="Times New Roman" w:hAnsi="Times New Roman" w:cs="Times New Roman"/>
          <w:sz w:val="24"/>
          <w:szCs w:val="24"/>
        </w:rPr>
        <w:t xml:space="preserve"> equality.</w:t>
      </w:r>
      <w:bookmarkStart w:id="16" w:name="_Ref393969940"/>
      <w:r w:rsidRPr="00EF4C33">
        <w:rPr>
          <w:rFonts w:ascii="Times New Roman" w:eastAsia="Times New Roman" w:hAnsi="Times New Roman" w:cs="Times New Roman"/>
          <w:sz w:val="24"/>
          <w:szCs w:val="24"/>
          <w:vertAlign w:val="superscript"/>
        </w:rPr>
        <w:footnoteReference w:id="54"/>
      </w:r>
      <w:bookmarkEnd w:id="16"/>
      <w:r w:rsidRPr="00EF4C33">
        <w:rPr>
          <w:rFonts w:ascii="Times New Roman" w:eastAsia="Times New Roman" w:hAnsi="Times New Roman" w:cs="Times New Roman"/>
          <w:sz w:val="24"/>
          <w:szCs w:val="24"/>
        </w:rPr>
        <w:t xml:space="preserve"> The conceptions of justice are not necessarily mutually exclusive. But the real division is over which</w:t>
      </w:r>
      <w:r w:rsidR="007A1194">
        <w:rPr>
          <w:rFonts w:ascii="Times New Roman" w:eastAsia="Times New Roman" w:hAnsi="Times New Roman" w:cs="Times New Roman"/>
          <w:sz w:val="24"/>
          <w:szCs w:val="24"/>
        </w:rPr>
        <w:t xml:space="preserve"> — and whose — </w:t>
      </w:r>
      <w:r w:rsidRPr="00EF4C33">
        <w:rPr>
          <w:rFonts w:ascii="Times New Roman" w:eastAsia="Times New Roman" w:hAnsi="Times New Roman" w:cs="Times New Roman"/>
          <w:sz w:val="24"/>
          <w:szCs w:val="24"/>
        </w:rPr>
        <w:t xml:space="preserve">vision of justice should be prioritised if they clash in specific instances or if resources are limited. </w:t>
      </w:r>
      <w:r w:rsidR="00641A65">
        <w:rPr>
          <w:rFonts w:ascii="Times New Roman" w:eastAsia="Times New Roman" w:hAnsi="Times New Roman" w:cs="Times New Roman"/>
          <w:sz w:val="24"/>
          <w:szCs w:val="24"/>
        </w:rPr>
        <w:t>T</w:t>
      </w:r>
      <w:r w:rsidRPr="00EF4C33">
        <w:rPr>
          <w:rFonts w:ascii="Times New Roman" w:eastAsia="Times New Roman" w:hAnsi="Times New Roman" w:cs="Times New Roman"/>
          <w:sz w:val="24"/>
          <w:szCs w:val="24"/>
        </w:rPr>
        <w:t>he explanation for the differences in prioritisation of distinct conceptions of justice is not necessarily found in cultural differences; the alternative conceptions of justice probably exist, to a greater or lesser extent, in all societies.</w:t>
      </w:r>
      <w:r w:rsidR="00EE35EC">
        <w:rPr>
          <w:rStyle w:val="FootnoteReference"/>
          <w:rFonts w:ascii="Times New Roman" w:eastAsia="Times New Roman" w:hAnsi="Times New Roman" w:cs="Times New Roman"/>
          <w:sz w:val="24"/>
          <w:szCs w:val="24"/>
        </w:rPr>
        <w:footnoteReference w:id="55"/>
      </w:r>
      <w:r w:rsidRPr="00EF4C33">
        <w:rPr>
          <w:rFonts w:ascii="Times New Roman" w:eastAsia="Times New Roman" w:hAnsi="Times New Roman" w:cs="Times New Roman"/>
          <w:sz w:val="24"/>
          <w:szCs w:val="24"/>
        </w:rPr>
        <w:t xml:space="preserve"> How societies prioritise these conceptions of justice will depend on the particular demands of the particular context. </w:t>
      </w:r>
      <w:r w:rsidR="00641A65">
        <w:rPr>
          <w:rFonts w:ascii="Times New Roman" w:eastAsia="Times New Roman" w:hAnsi="Times New Roman" w:cs="Times New Roman"/>
          <w:sz w:val="24"/>
          <w:szCs w:val="24"/>
        </w:rPr>
        <w:t>A</w:t>
      </w:r>
      <w:r w:rsidRPr="00EF4C33">
        <w:rPr>
          <w:rFonts w:ascii="Times New Roman" w:eastAsia="Times New Roman" w:hAnsi="Times New Roman" w:cs="Times New Roman"/>
          <w:sz w:val="24"/>
          <w:szCs w:val="24"/>
        </w:rPr>
        <w:t>s instances in which societies have changed their views on the acceptability of a specific transitional-justice arrangement of the past illustrate</w:t>
      </w:r>
      <w:r w:rsidR="009200F2">
        <w:rPr>
          <w:rFonts w:ascii="Times New Roman" w:eastAsia="Times New Roman" w:hAnsi="Times New Roman" w:cs="Times New Roman"/>
          <w:sz w:val="24"/>
          <w:szCs w:val="24"/>
        </w:rPr>
        <w:t xml:space="preserve"> — consider Argentina, Spain, Cambodia — </w:t>
      </w:r>
      <w:r w:rsidRPr="00EF4C33">
        <w:rPr>
          <w:rFonts w:ascii="Times New Roman" w:eastAsia="Times New Roman" w:hAnsi="Times New Roman" w:cs="Times New Roman"/>
          <w:sz w:val="24"/>
          <w:szCs w:val="24"/>
        </w:rPr>
        <w:t xml:space="preserve">with changes in the context, the prioritisation of concepts of justice may also change. Neither this article nor even the ILC is going to solve the millennia-old debate over the best definition of justice. However, what matters for the purpose of drafting this Convention is to recognise that the matter has not yet been resolved. </w:t>
      </w:r>
    </w:p>
    <w:p w14:paraId="1E06D952" w14:textId="77777777" w:rsidR="001C234F" w:rsidRPr="00EF4C33" w:rsidRDefault="001C234F" w:rsidP="00CE71D8">
      <w:pPr>
        <w:spacing w:after="0" w:line="360" w:lineRule="auto"/>
        <w:ind w:firstLine="720"/>
        <w:jc w:val="both"/>
        <w:rPr>
          <w:rFonts w:ascii="Times New Roman" w:eastAsia="Times New Roman" w:hAnsi="Times New Roman" w:cs="Times New Roman"/>
          <w:sz w:val="24"/>
          <w:szCs w:val="24"/>
        </w:rPr>
      </w:pPr>
    </w:p>
    <w:p w14:paraId="07CBDF02" w14:textId="77777777" w:rsidR="001234C3" w:rsidRPr="009200F2" w:rsidRDefault="009200F2" w:rsidP="00CC3B84">
      <w:pPr>
        <w:pStyle w:val="ListParagraph"/>
        <w:numPr>
          <w:ilvl w:val="0"/>
          <w:numId w:val="2"/>
        </w:numPr>
        <w:spacing w:after="0" w:line="36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Republican </w:t>
      </w:r>
      <w:r w:rsidR="00703557">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rgument</w:t>
      </w:r>
    </w:p>
    <w:p w14:paraId="3336F664" w14:textId="77777777" w:rsidR="007D224D" w:rsidRDefault="00FD4019" w:rsidP="00CE71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200F2">
        <w:rPr>
          <w:rFonts w:ascii="Times New Roman" w:eastAsia="Times New Roman" w:hAnsi="Times New Roman" w:cs="Times New Roman"/>
          <w:sz w:val="24"/>
          <w:szCs w:val="24"/>
        </w:rPr>
        <w:t xml:space="preserve">he </w:t>
      </w:r>
      <w:r w:rsidR="00703557">
        <w:rPr>
          <w:rFonts w:ascii="Times New Roman" w:eastAsia="Times New Roman" w:hAnsi="Times New Roman" w:cs="Times New Roman"/>
          <w:sz w:val="24"/>
          <w:szCs w:val="24"/>
        </w:rPr>
        <w:t>‘r</w:t>
      </w:r>
      <w:r w:rsidR="009200F2">
        <w:rPr>
          <w:rFonts w:ascii="Times New Roman" w:eastAsia="Times New Roman" w:hAnsi="Times New Roman" w:cs="Times New Roman"/>
          <w:sz w:val="24"/>
          <w:szCs w:val="24"/>
        </w:rPr>
        <w:t>epublic</w:t>
      </w:r>
      <w:r w:rsidR="00703557">
        <w:rPr>
          <w:rFonts w:ascii="Times New Roman" w:eastAsia="Times New Roman" w:hAnsi="Times New Roman" w:cs="Times New Roman"/>
          <w:sz w:val="24"/>
          <w:szCs w:val="24"/>
        </w:rPr>
        <w:t>an’</w:t>
      </w:r>
      <w:r w:rsidR="009200F2">
        <w:rPr>
          <w:rFonts w:ascii="Times New Roman" w:eastAsia="Times New Roman" w:hAnsi="Times New Roman" w:cs="Times New Roman"/>
          <w:sz w:val="24"/>
          <w:szCs w:val="24"/>
        </w:rPr>
        <w:t xml:space="preserve"> argument </w:t>
      </w:r>
      <w:r>
        <w:rPr>
          <w:rFonts w:ascii="Times New Roman" w:eastAsia="Times New Roman" w:hAnsi="Times New Roman" w:cs="Times New Roman"/>
          <w:sz w:val="24"/>
          <w:szCs w:val="24"/>
        </w:rPr>
        <w:t xml:space="preserve">justifies the South African transitional </w:t>
      </w:r>
      <w:r w:rsidR="007D224D">
        <w:rPr>
          <w:rFonts w:ascii="Times New Roman" w:eastAsia="Times New Roman" w:hAnsi="Times New Roman" w:cs="Times New Roman"/>
          <w:sz w:val="24"/>
          <w:szCs w:val="24"/>
        </w:rPr>
        <w:t xml:space="preserve">arrangement on the basis that this was an arrangement agreed upon by the South African people and </w:t>
      </w:r>
      <w:r>
        <w:rPr>
          <w:rFonts w:ascii="Times New Roman" w:eastAsia="Times New Roman" w:hAnsi="Times New Roman" w:cs="Times New Roman"/>
          <w:sz w:val="24"/>
          <w:szCs w:val="24"/>
        </w:rPr>
        <w:t xml:space="preserve">came about through </w:t>
      </w:r>
      <w:r w:rsidR="009200F2">
        <w:rPr>
          <w:rFonts w:ascii="Times New Roman" w:eastAsia="Times New Roman" w:hAnsi="Times New Roman" w:cs="Times New Roman"/>
          <w:sz w:val="24"/>
          <w:szCs w:val="24"/>
        </w:rPr>
        <w:t xml:space="preserve">democratic </w:t>
      </w:r>
      <w:r w:rsidR="00A24B86">
        <w:rPr>
          <w:rFonts w:ascii="Times New Roman" w:eastAsia="Times New Roman" w:hAnsi="Times New Roman" w:cs="Times New Roman"/>
          <w:sz w:val="24"/>
          <w:szCs w:val="24"/>
        </w:rPr>
        <w:t xml:space="preserve">and inclusive </w:t>
      </w:r>
      <w:r w:rsidR="009200F2">
        <w:rPr>
          <w:rFonts w:ascii="Times New Roman" w:eastAsia="Times New Roman" w:hAnsi="Times New Roman" w:cs="Times New Roman"/>
          <w:sz w:val="24"/>
          <w:szCs w:val="24"/>
        </w:rPr>
        <w:t>processes</w:t>
      </w:r>
      <w:r w:rsidR="00A24B86">
        <w:rPr>
          <w:rFonts w:ascii="Times New Roman" w:eastAsia="Times New Roman" w:hAnsi="Times New Roman" w:cs="Times New Roman"/>
          <w:sz w:val="24"/>
          <w:szCs w:val="24"/>
        </w:rPr>
        <w:t>.</w:t>
      </w:r>
      <w:r w:rsidR="00424EC9">
        <w:rPr>
          <w:rStyle w:val="FootnoteReference"/>
          <w:rFonts w:ascii="Times New Roman" w:eastAsia="Times New Roman" w:hAnsi="Times New Roman" w:cs="Times New Roman"/>
          <w:sz w:val="24"/>
          <w:szCs w:val="24"/>
        </w:rPr>
        <w:footnoteReference w:id="56"/>
      </w:r>
      <w:r w:rsidR="009200F2">
        <w:rPr>
          <w:rFonts w:ascii="Times New Roman" w:eastAsia="Times New Roman" w:hAnsi="Times New Roman" w:cs="Times New Roman"/>
          <w:sz w:val="24"/>
          <w:szCs w:val="24"/>
        </w:rPr>
        <w:t xml:space="preserve"> </w:t>
      </w:r>
      <w:r w:rsidR="00A24B86">
        <w:rPr>
          <w:rFonts w:ascii="Times New Roman" w:eastAsia="Times New Roman" w:hAnsi="Times New Roman" w:cs="Times New Roman"/>
          <w:sz w:val="24"/>
          <w:szCs w:val="24"/>
        </w:rPr>
        <w:t xml:space="preserve">In and of itself, this argument cannot be sufficient: </w:t>
      </w:r>
      <w:r w:rsidR="00A24B86">
        <w:rPr>
          <w:rFonts w:ascii="Times New Roman" w:eastAsia="Times New Roman" w:hAnsi="Times New Roman" w:cs="Times New Roman"/>
          <w:sz w:val="24"/>
          <w:szCs w:val="24"/>
        </w:rPr>
        <w:lastRenderedPageBreak/>
        <w:t xml:space="preserve">democratic and inclusive processes can result in substantive injustices. However, the argument </w:t>
      </w:r>
      <w:r w:rsidR="00C05E51">
        <w:rPr>
          <w:rFonts w:ascii="Times New Roman" w:eastAsia="Times New Roman" w:hAnsi="Times New Roman" w:cs="Times New Roman"/>
          <w:sz w:val="24"/>
          <w:szCs w:val="24"/>
        </w:rPr>
        <w:t>can</w:t>
      </w:r>
      <w:r w:rsidR="00A24B86">
        <w:rPr>
          <w:rFonts w:ascii="Times New Roman" w:eastAsia="Times New Roman" w:hAnsi="Times New Roman" w:cs="Times New Roman"/>
          <w:sz w:val="24"/>
          <w:szCs w:val="24"/>
        </w:rPr>
        <w:t xml:space="preserve"> bolster the substantive argument</w:t>
      </w:r>
      <w:r w:rsidR="00C05E51">
        <w:rPr>
          <w:rFonts w:ascii="Times New Roman" w:eastAsia="Times New Roman" w:hAnsi="Times New Roman" w:cs="Times New Roman"/>
          <w:sz w:val="24"/>
          <w:szCs w:val="24"/>
        </w:rPr>
        <w:t>s</w:t>
      </w:r>
      <w:r w:rsidR="00A24B86">
        <w:rPr>
          <w:rFonts w:ascii="Times New Roman" w:eastAsia="Times New Roman" w:hAnsi="Times New Roman" w:cs="Times New Roman"/>
          <w:sz w:val="24"/>
          <w:szCs w:val="24"/>
        </w:rPr>
        <w:t xml:space="preserve"> discussed </w:t>
      </w:r>
      <w:r w:rsidR="00A221EA">
        <w:rPr>
          <w:rFonts w:ascii="Times New Roman" w:eastAsia="Times New Roman" w:hAnsi="Times New Roman" w:cs="Times New Roman"/>
          <w:sz w:val="24"/>
          <w:szCs w:val="24"/>
        </w:rPr>
        <w:t>above</w:t>
      </w:r>
      <w:r w:rsidR="00A24B86">
        <w:rPr>
          <w:rFonts w:ascii="Times New Roman" w:eastAsia="Times New Roman" w:hAnsi="Times New Roman" w:cs="Times New Roman"/>
          <w:sz w:val="24"/>
          <w:szCs w:val="24"/>
        </w:rPr>
        <w:t>.</w:t>
      </w:r>
      <w:r w:rsidR="007D224D">
        <w:rPr>
          <w:rFonts w:ascii="Times New Roman" w:eastAsia="Times New Roman" w:hAnsi="Times New Roman" w:cs="Times New Roman"/>
          <w:sz w:val="24"/>
          <w:szCs w:val="24"/>
        </w:rPr>
        <w:t xml:space="preserve"> </w:t>
      </w:r>
    </w:p>
    <w:p w14:paraId="5E9729AD" w14:textId="77777777" w:rsidR="001234C3" w:rsidRPr="00620875" w:rsidRDefault="00A24B86" w:rsidP="00CE71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26B965" w14:textId="77777777" w:rsidR="00A24B86" w:rsidRDefault="00620875" w:rsidP="00CC3B84">
      <w:pPr>
        <w:pStyle w:val="CommentText"/>
        <w:numPr>
          <w:ilvl w:val="0"/>
          <w:numId w:val="2"/>
        </w:numPr>
        <w:spacing w:after="0" w:line="360" w:lineRule="auto"/>
        <w:ind w:left="567"/>
        <w:rPr>
          <w:rFonts w:ascii="Times New Roman" w:eastAsia="Times New Roman" w:hAnsi="Times New Roman" w:cs="Times New Roman"/>
          <w:i/>
          <w:sz w:val="24"/>
          <w:szCs w:val="24"/>
        </w:rPr>
      </w:pPr>
      <w:r w:rsidRPr="00620875">
        <w:rPr>
          <w:rFonts w:ascii="Times New Roman" w:eastAsia="Times New Roman" w:hAnsi="Times New Roman" w:cs="Times New Roman"/>
          <w:i/>
          <w:sz w:val="24"/>
          <w:szCs w:val="24"/>
        </w:rPr>
        <w:t xml:space="preserve">The </w:t>
      </w:r>
      <w:r w:rsidR="00703557">
        <w:rPr>
          <w:rFonts w:ascii="Times New Roman" w:eastAsia="Times New Roman" w:hAnsi="Times New Roman" w:cs="Times New Roman"/>
          <w:i/>
          <w:sz w:val="24"/>
          <w:szCs w:val="24"/>
        </w:rPr>
        <w:t>P</w:t>
      </w:r>
      <w:r w:rsidRPr="00620875">
        <w:rPr>
          <w:rFonts w:ascii="Times New Roman" w:eastAsia="Times New Roman" w:hAnsi="Times New Roman" w:cs="Times New Roman"/>
          <w:i/>
          <w:sz w:val="24"/>
          <w:szCs w:val="24"/>
        </w:rPr>
        <w:t>ractical</w:t>
      </w:r>
      <w:r w:rsidR="00703557">
        <w:rPr>
          <w:rFonts w:ascii="Times New Roman" w:eastAsia="Times New Roman" w:hAnsi="Times New Roman" w:cs="Times New Roman"/>
          <w:i/>
          <w:sz w:val="24"/>
          <w:szCs w:val="24"/>
        </w:rPr>
        <w:t xml:space="preserve"> A</w:t>
      </w:r>
      <w:r w:rsidRPr="00620875">
        <w:rPr>
          <w:rFonts w:ascii="Times New Roman" w:eastAsia="Times New Roman" w:hAnsi="Times New Roman" w:cs="Times New Roman"/>
          <w:i/>
          <w:sz w:val="24"/>
          <w:szCs w:val="24"/>
        </w:rPr>
        <w:t xml:space="preserve">rgument </w:t>
      </w:r>
    </w:p>
    <w:p w14:paraId="30A358F2" w14:textId="77777777" w:rsidR="00C258AB" w:rsidRDefault="00C258AB" w:rsidP="005760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221EA">
        <w:rPr>
          <w:rFonts w:ascii="Times New Roman" w:eastAsia="Times New Roman" w:hAnsi="Times New Roman" w:cs="Times New Roman"/>
          <w:sz w:val="24"/>
          <w:szCs w:val="24"/>
        </w:rPr>
        <w:t>‘</w:t>
      </w:r>
      <w:r>
        <w:rPr>
          <w:rFonts w:ascii="Times New Roman" w:eastAsia="Times New Roman" w:hAnsi="Times New Roman" w:cs="Times New Roman"/>
          <w:sz w:val="24"/>
          <w:szCs w:val="24"/>
        </w:rPr>
        <w:t>practical</w:t>
      </w:r>
      <w:r w:rsidR="00A221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argument for the South African justice model is that prosecutions would have overwhelmed the criminal justice system, directing its limited human and financial resources away from contemporary crime</w:t>
      </w:r>
      <w:r w:rsidR="005F1522">
        <w:rPr>
          <w:rFonts w:ascii="Times New Roman" w:eastAsia="Times New Roman" w:hAnsi="Times New Roman" w:cs="Times New Roman"/>
          <w:sz w:val="24"/>
          <w:szCs w:val="24"/>
        </w:rPr>
        <w:t xml:space="preserve"> and would have often failed due to difficulties in securing evidence.</w:t>
      </w:r>
      <w:bookmarkStart w:id="17" w:name="_Ref393969950"/>
      <w:r w:rsidR="00202ECD">
        <w:rPr>
          <w:rStyle w:val="FootnoteReference"/>
          <w:rFonts w:ascii="Times New Roman" w:eastAsia="Times New Roman" w:hAnsi="Times New Roman" w:cs="Times New Roman"/>
          <w:sz w:val="24"/>
          <w:szCs w:val="24"/>
        </w:rPr>
        <w:footnoteReference w:id="57"/>
      </w:r>
      <w:bookmarkEnd w:id="17"/>
      <w:r w:rsidR="00202ECD">
        <w:rPr>
          <w:rFonts w:ascii="Times New Roman" w:eastAsia="Times New Roman" w:hAnsi="Times New Roman" w:cs="Times New Roman"/>
          <w:sz w:val="24"/>
          <w:szCs w:val="24"/>
        </w:rPr>
        <w:t xml:space="preserve"> </w:t>
      </w:r>
      <w:r w:rsidR="005F1522">
        <w:rPr>
          <w:rFonts w:ascii="Times New Roman" w:eastAsia="Times New Roman" w:hAnsi="Times New Roman" w:cs="Times New Roman"/>
          <w:sz w:val="24"/>
          <w:szCs w:val="24"/>
        </w:rPr>
        <w:t>This argument also goes some way in explaining t</w:t>
      </w:r>
      <w:r w:rsidRPr="00C258AB">
        <w:rPr>
          <w:rFonts w:ascii="Times New Roman" w:eastAsia="Times New Roman" w:hAnsi="Times New Roman" w:cs="Times New Roman"/>
          <w:sz w:val="24"/>
          <w:szCs w:val="24"/>
        </w:rPr>
        <w:t>he on</w:t>
      </w:r>
      <w:r>
        <w:rPr>
          <w:rFonts w:ascii="Times New Roman" w:eastAsia="Times New Roman" w:hAnsi="Times New Roman" w:cs="Times New Roman"/>
          <w:sz w:val="24"/>
          <w:szCs w:val="24"/>
        </w:rPr>
        <w:t>ly partial implementation of South Africa’s</w:t>
      </w:r>
      <w:r w:rsidRPr="00C258AB">
        <w:rPr>
          <w:rFonts w:ascii="Times New Roman" w:eastAsia="Times New Roman" w:hAnsi="Times New Roman" w:cs="Times New Roman"/>
          <w:sz w:val="24"/>
          <w:szCs w:val="24"/>
        </w:rPr>
        <w:t xml:space="preserve"> transitional-justice model, namely the very limited successful prosecution of those who did not apply for amnesty</w:t>
      </w:r>
      <w:r w:rsidR="00D129B9">
        <w:rPr>
          <w:rFonts w:ascii="Times New Roman" w:eastAsia="Times New Roman" w:hAnsi="Times New Roman" w:cs="Times New Roman"/>
          <w:sz w:val="24"/>
          <w:szCs w:val="24"/>
        </w:rPr>
        <w:t xml:space="preserve"> or whose applications were rejected</w:t>
      </w:r>
      <w:r w:rsidR="005F1522">
        <w:rPr>
          <w:rFonts w:ascii="Times New Roman" w:eastAsia="Times New Roman" w:hAnsi="Times New Roman" w:cs="Times New Roman"/>
          <w:sz w:val="24"/>
          <w:szCs w:val="24"/>
        </w:rPr>
        <w:t xml:space="preserve">. </w:t>
      </w:r>
      <w:r w:rsidR="00C05E51">
        <w:rPr>
          <w:rFonts w:ascii="Times New Roman" w:eastAsia="Times New Roman" w:hAnsi="Times New Roman" w:cs="Times New Roman"/>
          <w:sz w:val="24"/>
          <w:szCs w:val="24"/>
        </w:rPr>
        <w:t xml:space="preserve">The other explanation is that </w:t>
      </w:r>
      <w:r w:rsidRPr="00C258AB">
        <w:rPr>
          <w:rFonts w:ascii="Times New Roman" w:eastAsia="Times New Roman" w:hAnsi="Times New Roman" w:cs="Times New Roman"/>
          <w:sz w:val="24"/>
          <w:szCs w:val="24"/>
        </w:rPr>
        <w:t xml:space="preserve">prosecutions </w:t>
      </w:r>
      <w:r w:rsidR="000B3B38">
        <w:rPr>
          <w:rFonts w:ascii="Times New Roman" w:eastAsia="Times New Roman" w:hAnsi="Times New Roman" w:cs="Times New Roman"/>
          <w:sz w:val="24"/>
          <w:szCs w:val="24"/>
        </w:rPr>
        <w:t xml:space="preserve">were considered risky </w:t>
      </w:r>
      <w:r w:rsidR="000B3B38" w:rsidRPr="00C258AB">
        <w:rPr>
          <w:rFonts w:ascii="Times New Roman" w:eastAsia="Times New Roman" w:hAnsi="Times New Roman" w:cs="Times New Roman"/>
          <w:sz w:val="24"/>
          <w:szCs w:val="24"/>
        </w:rPr>
        <w:t>in light of the seeming fragility of the transition</w:t>
      </w:r>
      <w:r w:rsidR="000B3B38">
        <w:rPr>
          <w:rFonts w:ascii="Times New Roman" w:eastAsia="Times New Roman" w:hAnsi="Times New Roman" w:cs="Times New Roman"/>
          <w:sz w:val="24"/>
          <w:szCs w:val="24"/>
        </w:rPr>
        <w:t xml:space="preserve"> </w:t>
      </w:r>
      <w:r w:rsidR="000B3B38" w:rsidRPr="00C258AB">
        <w:rPr>
          <w:rFonts w:ascii="Times New Roman" w:eastAsia="Times New Roman" w:hAnsi="Times New Roman" w:cs="Times New Roman"/>
          <w:sz w:val="24"/>
          <w:szCs w:val="24"/>
        </w:rPr>
        <w:t>—</w:t>
      </w:r>
      <w:r w:rsidR="000B3B38">
        <w:rPr>
          <w:rFonts w:ascii="Times New Roman" w:eastAsia="Times New Roman" w:hAnsi="Times New Roman" w:cs="Times New Roman"/>
          <w:sz w:val="24"/>
          <w:szCs w:val="24"/>
        </w:rPr>
        <w:t xml:space="preserve"> </w:t>
      </w:r>
      <w:r w:rsidR="000B3B38" w:rsidRPr="00C258AB">
        <w:rPr>
          <w:rFonts w:ascii="Times New Roman" w:eastAsia="Times New Roman" w:hAnsi="Times New Roman" w:cs="Times New Roman"/>
          <w:sz w:val="24"/>
          <w:szCs w:val="24"/>
        </w:rPr>
        <w:t>former security members</w:t>
      </w:r>
      <w:r w:rsidR="000B3B38">
        <w:rPr>
          <w:rFonts w:ascii="Times New Roman" w:eastAsia="Times New Roman" w:hAnsi="Times New Roman" w:cs="Times New Roman"/>
          <w:sz w:val="24"/>
          <w:szCs w:val="24"/>
        </w:rPr>
        <w:t xml:space="preserve"> were still considered a threat</w:t>
      </w:r>
      <w:r w:rsidR="00490076" w:rsidRPr="00D129B9">
        <w:rPr>
          <w:sz w:val="24"/>
          <w:szCs w:val="24"/>
          <w:vertAlign w:val="superscript"/>
        </w:rPr>
        <w:footnoteReference w:id="58"/>
      </w:r>
      <w:r w:rsidR="00D129B9">
        <w:rPr>
          <w:rFonts w:ascii="Times New Roman" w:eastAsia="Times New Roman" w:hAnsi="Times New Roman" w:cs="Times New Roman"/>
          <w:sz w:val="24"/>
          <w:szCs w:val="24"/>
        </w:rPr>
        <w:t xml:space="preserve"> </w:t>
      </w:r>
      <w:r w:rsidR="00D129B9" w:rsidRPr="00C258AB">
        <w:rPr>
          <w:rFonts w:ascii="Times New Roman" w:eastAsia="Times New Roman" w:hAnsi="Times New Roman" w:cs="Times New Roman"/>
          <w:sz w:val="24"/>
          <w:szCs w:val="24"/>
        </w:rPr>
        <w:t>—</w:t>
      </w:r>
      <w:r w:rsidR="000B3B38">
        <w:rPr>
          <w:rFonts w:ascii="Times New Roman" w:eastAsia="Times New Roman" w:hAnsi="Times New Roman" w:cs="Times New Roman"/>
          <w:sz w:val="24"/>
          <w:szCs w:val="24"/>
        </w:rPr>
        <w:t xml:space="preserve"> and </w:t>
      </w:r>
      <w:r w:rsidRPr="00C258AB">
        <w:rPr>
          <w:rFonts w:ascii="Times New Roman" w:eastAsia="Times New Roman" w:hAnsi="Times New Roman" w:cs="Times New Roman"/>
          <w:sz w:val="24"/>
          <w:szCs w:val="24"/>
        </w:rPr>
        <w:t>were not what the ANC wanted to be focusing on: prosecutions can be financially, politically and socially costly, and the new government wanted to invest in the future.</w:t>
      </w:r>
    </w:p>
    <w:p w14:paraId="0597FC0E" w14:textId="77777777" w:rsidR="00C258AB" w:rsidRPr="00620875" w:rsidRDefault="00C258AB" w:rsidP="00CE71D8">
      <w:pPr>
        <w:pStyle w:val="CommentText"/>
        <w:spacing w:after="0" w:line="360" w:lineRule="auto"/>
        <w:rPr>
          <w:rFonts w:ascii="Times New Roman" w:eastAsia="Times New Roman" w:hAnsi="Times New Roman" w:cs="Times New Roman"/>
          <w:i/>
          <w:sz w:val="24"/>
          <w:szCs w:val="24"/>
        </w:rPr>
      </w:pPr>
    </w:p>
    <w:p w14:paraId="32AD6B25" w14:textId="77777777" w:rsidR="00056F19" w:rsidRPr="005760B1" w:rsidRDefault="00912364" w:rsidP="00CC3B84">
      <w:pPr>
        <w:pStyle w:val="CommentText"/>
        <w:numPr>
          <w:ilvl w:val="0"/>
          <w:numId w:val="5"/>
        </w:numPr>
        <w:spacing w:after="0" w:line="360" w:lineRule="auto"/>
        <w:ind w:left="567"/>
        <w:rPr>
          <w:rFonts w:ascii="Times New Roman" w:eastAsia="Times New Roman" w:hAnsi="Times New Roman" w:cs="Times New Roman"/>
          <w:b/>
          <w:i/>
          <w:sz w:val="24"/>
          <w:szCs w:val="24"/>
        </w:rPr>
      </w:pPr>
      <w:r w:rsidRPr="00912364">
        <w:rPr>
          <w:rFonts w:ascii="Times New Roman" w:eastAsia="Times New Roman" w:hAnsi="Times New Roman" w:cs="Times New Roman"/>
          <w:b/>
          <w:i/>
          <w:sz w:val="24"/>
          <w:szCs w:val="24"/>
        </w:rPr>
        <w:t xml:space="preserve">What </w:t>
      </w:r>
      <w:r>
        <w:rPr>
          <w:rFonts w:ascii="Times New Roman" w:eastAsia="Times New Roman" w:hAnsi="Times New Roman" w:cs="Times New Roman"/>
          <w:b/>
          <w:sz w:val="24"/>
          <w:szCs w:val="24"/>
        </w:rPr>
        <w:t xml:space="preserve">Exactly </w:t>
      </w:r>
      <w:r>
        <w:rPr>
          <w:rFonts w:ascii="Times New Roman" w:eastAsia="Times New Roman" w:hAnsi="Times New Roman" w:cs="Times New Roman"/>
          <w:b/>
          <w:i/>
          <w:sz w:val="24"/>
          <w:szCs w:val="24"/>
        </w:rPr>
        <w:t xml:space="preserve">is the Convention after? </w:t>
      </w:r>
    </w:p>
    <w:p w14:paraId="41F43DE9" w14:textId="1B32B184" w:rsidR="00027F8F" w:rsidRPr="00EF4C33"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In searching for a substantive bottom line in how states should respond to crimes against humanity, it may be helpful openly to discuss </w:t>
      </w:r>
      <w:r w:rsidR="002C2CD3">
        <w:rPr>
          <w:rFonts w:ascii="Times New Roman" w:eastAsia="Times New Roman" w:hAnsi="Times New Roman" w:cs="Times New Roman"/>
          <w:sz w:val="24"/>
          <w:szCs w:val="24"/>
        </w:rPr>
        <w:t xml:space="preserve">the philosophy of international criminal law that </w:t>
      </w:r>
      <w:r w:rsidR="007C3CCA">
        <w:rPr>
          <w:rFonts w:ascii="Times New Roman" w:eastAsia="Times New Roman" w:hAnsi="Times New Roman" w:cs="Times New Roman"/>
          <w:sz w:val="24"/>
          <w:szCs w:val="24"/>
        </w:rPr>
        <w:t>should underpin</w:t>
      </w:r>
      <w:r w:rsidR="00D37E82">
        <w:rPr>
          <w:rFonts w:ascii="Times New Roman" w:eastAsia="Times New Roman" w:hAnsi="Times New Roman" w:cs="Times New Roman"/>
          <w:sz w:val="24"/>
          <w:szCs w:val="24"/>
        </w:rPr>
        <w:t xml:space="preserve"> </w:t>
      </w:r>
      <w:r w:rsidR="002C2CD3">
        <w:rPr>
          <w:rFonts w:ascii="Times New Roman" w:eastAsia="Times New Roman" w:hAnsi="Times New Roman" w:cs="Times New Roman"/>
          <w:sz w:val="24"/>
          <w:szCs w:val="24"/>
        </w:rPr>
        <w:t xml:space="preserve">the </w:t>
      </w:r>
      <w:r w:rsidR="003862A4">
        <w:rPr>
          <w:rFonts w:ascii="Times New Roman" w:eastAsia="Times New Roman" w:hAnsi="Times New Roman" w:cs="Times New Roman"/>
          <w:sz w:val="24"/>
          <w:szCs w:val="24"/>
        </w:rPr>
        <w:t>future</w:t>
      </w:r>
      <w:r w:rsidR="003E5B7C">
        <w:rPr>
          <w:rFonts w:ascii="Times New Roman" w:eastAsia="Times New Roman" w:hAnsi="Times New Roman" w:cs="Times New Roman"/>
          <w:sz w:val="24"/>
          <w:szCs w:val="24"/>
        </w:rPr>
        <w:t xml:space="preserve"> </w:t>
      </w:r>
      <w:r w:rsidR="00A24B86" w:rsidRPr="00EF4C33">
        <w:rPr>
          <w:rFonts w:ascii="Times New Roman" w:eastAsia="Times New Roman" w:hAnsi="Times New Roman" w:cs="Times New Roman"/>
          <w:sz w:val="24"/>
          <w:szCs w:val="24"/>
        </w:rPr>
        <w:t>Convention</w:t>
      </w:r>
      <w:r w:rsidR="002C2CD3">
        <w:rPr>
          <w:rFonts w:ascii="Times New Roman" w:eastAsia="Times New Roman" w:hAnsi="Times New Roman" w:cs="Times New Roman"/>
          <w:sz w:val="24"/>
          <w:szCs w:val="24"/>
        </w:rPr>
        <w:t xml:space="preserve">. What exactly </w:t>
      </w:r>
      <w:r w:rsidR="007C3CCA">
        <w:rPr>
          <w:rFonts w:ascii="Times New Roman" w:eastAsia="Times New Roman" w:hAnsi="Times New Roman" w:cs="Times New Roman"/>
          <w:sz w:val="24"/>
          <w:szCs w:val="24"/>
        </w:rPr>
        <w:t>should</w:t>
      </w:r>
      <w:r w:rsidR="002C2CD3">
        <w:rPr>
          <w:rFonts w:ascii="Times New Roman" w:eastAsia="Times New Roman" w:hAnsi="Times New Roman" w:cs="Times New Roman"/>
          <w:sz w:val="24"/>
          <w:szCs w:val="24"/>
        </w:rPr>
        <w:t xml:space="preserve"> the proposed Convention </w:t>
      </w:r>
      <w:r w:rsidR="007C3CCA">
        <w:rPr>
          <w:rFonts w:ascii="Times New Roman" w:eastAsia="Times New Roman" w:hAnsi="Times New Roman" w:cs="Times New Roman"/>
          <w:sz w:val="24"/>
          <w:szCs w:val="24"/>
        </w:rPr>
        <w:t xml:space="preserve">be </w:t>
      </w:r>
      <w:r w:rsidR="002C2CD3">
        <w:rPr>
          <w:rFonts w:ascii="Times New Roman" w:eastAsia="Times New Roman" w:hAnsi="Times New Roman" w:cs="Times New Roman"/>
          <w:sz w:val="24"/>
          <w:szCs w:val="24"/>
        </w:rPr>
        <w:t>after?</w:t>
      </w:r>
      <w:r w:rsidR="00A24B86">
        <w:rPr>
          <w:rFonts w:ascii="Times New Roman" w:eastAsia="Times New Roman" w:hAnsi="Times New Roman" w:cs="Times New Roman"/>
          <w:sz w:val="24"/>
          <w:szCs w:val="24"/>
        </w:rPr>
        <w:t xml:space="preserve"> </w:t>
      </w:r>
      <w:r w:rsidR="007C3CCA">
        <w:rPr>
          <w:rFonts w:ascii="Times New Roman" w:eastAsia="Times New Roman" w:hAnsi="Times New Roman" w:cs="Times New Roman"/>
          <w:sz w:val="24"/>
          <w:szCs w:val="24"/>
        </w:rPr>
        <w:t xml:space="preserve">Should </w:t>
      </w:r>
      <w:r w:rsidR="002C2CD3">
        <w:rPr>
          <w:rFonts w:ascii="Times New Roman" w:eastAsia="Times New Roman" w:hAnsi="Times New Roman" w:cs="Times New Roman"/>
          <w:sz w:val="24"/>
          <w:szCs w:val="24"/>
        </w:rPr>
        <w:t>it</w:t>
      </w:r>
      <w:r w:rsidR="007C3CCA">
        <w:rPr>
          <w:rFonts w:ascii="Times New Roman" w:eastAsia="Times New Roman" w:hAnsi="Times New Roman" w:cs="Times New Roman"/>
          <w:sz w:val="24"/>
          <w:szCs w:val="24"/>
        </w:rPr>
        <w:t xml:space="preserve"> be</w:t>
      </w:r>
      <w:r w:rsidR="003765CF">
        <w:rPr>
          <w:rFonts w:ascii="Times New Roman" w:eastAsia="Times New Roman" w:hAnsi="Times New Roman" w:cs="Times New Roman"/>
          <w:sz w:val="24"/>
          <w:szCs w:val="24"/>
        </w:rPr>
        <w:t xml:space="preserve"> </w:t>
      </w:r>
      <w:r w:rsidR="00A24B86">
        <w:rPr>
          <w:rFonts w:ascii="Times New Roman" w:eastAsia="Times New Roman" w:hAnsi="Times New Roman" w:cs="Times New Roman"/>
          <w:sz w:val="24"/>
          <w:szCs w:val="24"/>
        </w:rPr>
        <w:t>about punishment, and if so,</w:t>
      </w:r>
      <w:r w:rsidR="00D129B9">
        <w:rPr>
          <w:rFonts w:ascii="Times New Roman" w:eastAsia="Times New Roman" w:hAnsi="Times New Roman" w:cs="Times New Roman"/>
          <w:sz w:val="24"/>
          <w:szCs w:val="24"/>
        </w:rPr>
        <w:t xml:space="preserve"> what </w:t>
      </w:r>
      <w:r w:rsidR="007C3CCA">
        <w:rPr>
          <w:rFonts w:ascii="Times New Roman" w:eastAsia="Times New Roman" w:hAnsi="Times New Roman" w:cs="Times New Roman"/>
          <w:sz w:val="24"/>
          <w:szCs w:val="24"/>
        </w:rPr>
        <w:t xml:space="preserve">should be </w:t>
      </w:r>
      <w:r w:rsidR="00D129B9">
        <w:rPr>
          <w:rFonts w:ascii="Times New Roman" w:eastAsia="Times New Roman" w:hAnsi="Times New Roman" w:cs="Times New Roman"/>
          <w:sz w:val="24"/>
          <w:szCs w:val="24"/>
        </w:rPr>
        <w:t>considered punishment?</w:t>
      </w:r>
      <w:r w:rsidR="00D83362">
        <w:rPr>
          <w:rFonts w:ascii="Times New Roman" w:eastAsia="Times New Roman" w:hAnsi="Times New Roman" w:cs="Times New Roman"/>
          <w:sz w:val="24"/>
          <w:szCs w:val="24"/>
        </w:rPr>
        <w:t xml:space="preserve"> </w:t>
      </w:r>
      <w:r w:rsidR="007C3CCA">
        <w:rPr>
          <w:rFonts w:ascii="Times New Roman" w:eastAsia="Times New Roman" w:hAnsi="Times New Roman" w:cs="Times New Roman"/>
          <w:sz w:val="24"/>
          <w:szCs w:val="24"/>
        </w:rPr>
        <w:t xml:space="preserve">Should </w:t>
      </w:r>
      <w:r w:rsidR="00D129B9">
        <w:rPr>
          <w:rFonts w:ascii="Times New Roman" w:eastAsia="Times New Roman" w:hAnsi="Times New Roman" w:cs="Times New Roman"/>
          <w:sz w:val="24"/>
          <w:szCs w:val="24"/>
        </w:rPr>
        <w:t>it</w:t>
      </w:r>
      <w:r w:rsidR="007C3CCA">
        <w:rPr>
          <w:rFonts w:ascii="Times New Roman" w:eastAsia="Times New Roman" w:hAnsi="Times New Roman" w:cs="Times New Roman"/>
          <w:sz w:val="24"/>
          <w:szCs w:val="24"/>
        </w:rPr>
        <w:t xml:space="preserve"> be</w:t>
      </w:r>
      <w:r w:rsidR="00D129B9">
        <w:rPr>
          <w:rFonts w:ascii="Times New Roman" w:eastAsia="Times New Roman" w:hAnsi="Times New Roman" w:cs="Times New Roman"/>
          <w:sz w:val="24"/>
          <w:szCs w:val="24"/>
        </w:rPr>
        <w:t xml:space="preserve"> about accountability?</w:t>
      </w:r>
      <w:r w:rsidR="00A24B86">
        <w:rPr>
          <w:rFonts w:ascii="Times New Roman" w:eastAsia="Times New Roman" w:hAnsi="Times New Roman" w:cs="Times New Roman"/>
          <w:sz w:val="24"/>
          <w:szCs w:val="24"/>
        </w:rPr>
        <w:t xml:space="preserve"> </w:t>
      </w:r>
      <w:r w:rsidR="007C3CCA">
        <w:rPr>
          <w:rFonts w:ascii="Times New Roman" w:eastAsia="Times New Roman" w:hAnsi="Times New Roman" w:cs="Times New Roman"/>
          <w:sz w:val="24"/>
          <w:szCs w:val="24"/>
        </w:rPr>
        <w:t xml:space="preserve">Should </w:t>
      </w:r>
      <w:r w:rsidR="002C2CD3">
        <w:rPr>
          <w:rFonts w:ascii="Times New Roman" w:eastAsia="Times New Roman" w:hAnsi="Times New Roman" w:cs="Times New Roman"/>
          <w:sz w:val="24"/>
          <w:szCs w:val="24"/>
        </w:rPr>
        <w:t>it</w:t>
      </w:r>
      <w:r w:rsidR="003765CF">
        <w:rPr>
          <w:rFonts w:ascii="Times New Roman" w:eastAsia="Times New Roman" w:hAnsi="Times New Roman" w:cs="Times New Roman"/>
          <w:sz w:val="24"/>
          <w:szCs w:val="24"/>
        </w:rPr>
        <w:t xml:space="preserve"> </w:t>
      </w:r>
      <w:r w:rsidR="007C3CCA">
        <w:rPr>
          <w:rFonts w:ascii="Times New Roman" w:eastAsia="Times New Roman" w:hAnsi="Times New Roman" w:cs="Times New Roman"/>
          <w:sz w:val="24"/>
          <w:szCs w:val="24"/>
        </w:rPr>
        <w:t xml:space="preserve">be </w:t>
      </w:r>
      <w:r w:rsidR="00D129B9">
        <w:rPr>
          <w:rFonts w:ascii="Times New Roman" w:eastAsia="Times New Roman" w:hAnsi="Times New Roman" w:cs="Times New Roman"/>
          <w:sz w:val="24"/>
          <w:szCs w:val="24"/>
        </w:rPr>
        <w:t>about condemning conduct?</w:t>
      </w:r>
      <w:r w:rsidR="00A24B86">
        <w:rPr>
          <w:rFonts w:ascii="Times New Roman" w:eastAsia="Times New Roman" w:hAnsi="Times New Roman" w:cs="Times New Roman"/>
          <w:sz w:val="24"/>
          <w:szCs w:val="24"/>
        </w:rPr>
        <w:t xml:space="preserve"> </w:t>
      </w:r>
      <w:r w:rsidR="007C3CCA">
        <w:rPr>
          <w:rFonts w:ascii="Times New Roman" w:eastAsia="Times New Roman" w:hAnsi="Times New Roman" w:cs="Times New Roman"/>
          <w:sz w:val="24"/>
          <w:szCs w:val="24"/>
        </w:rPr>
        <w:t xml:space="preserve">Should </w:t>
      </w:r>
      <w:r w:rsidR="003765CF">
        <w:rPr>
          <w:rFonts w:ascii="Times New Roman" w:eastAsia="Times New Roman" w:hAnsi="Times New Roman" w:cs="Times New Roman"/>
          <w:sz w:val="24"/>
          <w:szCs w:val="24"/>
        </w:rPr>
        <w:t xml:space="preserve">it </w:t>
      </w:r>
      <w:r w:rsidR="007C3CCA">
        <w:rPr>
          <w:rFonts w:ascii="Times New Roman" w:eastAsia="Times New Roman" w:hAnsi="Times New Roman" w:cs="Times New Roman"/>
          <w:sz w:val="24"/>
          <w:szCs w:val="24"/>
        </w:rPr>
        <w:t xml:space="preserve">be </w:t>
      </w:r>
      <w:r w:rsidR="002C2CD3">
        <w:rPr>
          <w:rFonts w:ascii="Times New Roman" w:eastAsia="Times New Roman" w:hAnsi="Times New Roman" w:cs="Times New Roman"/>
          <w:sz w:val="24"/>
          <w:szCs w:val="24"/>
        </w:rPr>
        <w:t>primarily</w:t>
      </w:r>
      <w:r w:rsidR="003765CF">
        <w:rPr>
          <w:rFonts w:ascii="Times New Roman" w:eastAsia="Times New Roman" w:hAnsi="Times New Roman" w:cs="Times New Roman"/>
          <w:sz w:val="24"/>
          <w:szCs w:val="24"/>
        </w:rPr>
        <w:t xml:space="preserve"> </w:t>
      </w:r>
      <w:r w:rsidR="00A24B86">
        <w:rPr>
          <w:rFonts w:ascii="Times New Roman" w:eastAsia="Times New Roman" w:hAnsi="Times New Roman" w:cs="Times New Roman"/>
          <w:sz w:val="24"/>
          <w:szCs w:val="24"/>
        </w:rPr>
        <w:t xml:space="preserve">about victims? </w:t>
      </w:r>
      <w:r w:rsidR="002C2CD3">
        <w:rPr>
          <w:rFonts w:ascii="Times New Roman" w:eastAsia="Times New Roman" w:hAnsi="Times New Roman" w:cs="Times New Roman"/>
          <w:sz w:val="24"/>
          <w:szCs w:val="24"/>
        </w:rPr>
        <w:t>If</w:t>
      </w:r>
      <w:r w:rsidR="009E780B" w:rsidRPr="00EF4C33">
        <w:rPr>
          <w:rFonts w:ascii="Times New Roman" w:eastAsia="Times New Roman" w:hAnsi="Times New Roman" w:cs="Times New Roman"/>
          <w:sz w:val="24"/>
          <w:szCs w:val="24"/>
        </w:rPr>
        <w:t xml:space="preserve"> </w:t>
      </w:r>
      <w:r w:rsidR="007C3CCA">
        <w:rPr>
          <w:rFonts w:ascii="Times New Roman" w:eastAsia="Times New Roman" w:hAnsi="Times New Roman" w:cs="Times New Roman"/>
          <w:sz w:val="24"/>
          <w:szCs w:val="24"/>
        </w:rPr>
        <w:t xml:space="preserve">it is agreed that </w:t>
      </w:r>
      <w:r w:rsidR="00D83362">
        <w:rPr>
          <w:rFonts w:ascii="Times New Roman" w:eastAsia="Times New Roman" w:hAnsi="Times New Roman" w:cs="Times New Roman"/>
          <w:sz w:val="24"/>
          <w:szCs w:val="24"/>
        </w:rPr>
        <w:t xml:space="preserve">the </w:t>
      </w:r>
      <w:r w:rsidR="002C2CD3">
        <w:rPr>
          <w:rFonts w:ascii="Times New Roman" w:eastAsia="Times New Roman" w:hAnsi="Times New Roman" w:cs="Times New Roman"/>
          <w:sz w:val="24"/>
          <w:szCs w:val="24"/>
        </w:rPr>
        <w:t xml:space="preserve">proposed </w:t>
      </w:r>
      <w:r w:rsidR="00D83362">
        <w:rPr>
          <w:rFonts w:ascii="Times New Roman" w:eastAsia="Times New Roman" w:hAnsi="Times New Roman" w:cs="Times New Roman"/>
          <w:sz w:val="24"/>
          <w:szCs w:val="24"/>
        </w:rPr>
        <w:t xml:space="preserve">Convention </w:t>
      </w:r>
      <w:r w:rsidR="007C3CCA">
        <w:rPr>
          <w:rFonts w:ascii="Times New Roman" w:eastAsia="Times New Roman" w:hAnsi="Times New Roman" w:cs="Times New Roman"/>
          <w:sz w:val="24"/>
          <w:szCs w:val="24"/>
        </w:rPr>
        <w:t>must be</w:t>
      </w:r>
      <w:r w:rsidR="007C3CCA"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about putting pe</w:t>
      </w:r>
      <w:r w:rsidR="002C2CD3">
        <w:rPr>
          <w:rFonts w:ascii="Times New Roman" w:eastAsia="Times New Roman" w:hAnsi="Times New Roman" w:cs="Times New Roman"/>
          <w:sz w:val="24"/>
          <w:szCs w:val="24"/>
        </w:rPr>
        <w:t xml:space="preserve">ople in prison, then </w:t>
      </w:r>
      <w:r w:rsidR="003E5B7C">
        <w:rPr>
          <w:rFonts w:ascii="Times New Roman" w:eastAsia="Times New Roman" w:hAnsi="Times New Roman" w:cs="Times New Roman"/>
          <w:sz w:val="24"/>
          <w:szCs w:val="24"/>
        </w:rPr>
        <w:t xml:space="preserve">the draft articles should </w:t>
      </w:r>
      <w:r w:rsidR="002C2CD3">
        <w:rPr>
          <w:rFonts w:ascii="Times New Roman" w:eastAsia="Times New Roman" w:hAnsi="Times New Roman" w:cs="Times New Roman"/>
          <w:sz w:val="24"/>
          <w:szCs w:val="24"/>
        </w:rPr>
        <w:t>indeed</w:t>
      </w:r>
      <w:r w:rsidR="003E5B7C">
        <w:rPr>
          <w:rFonts w:ascii="Times New Roman" w:eastAsia="Times New Roman" w:hAnsi="Times New Roman" w:cs="Times New Roman"/>
          <w:sz w:val="24"/>
          <w:szCs w:val="24"/>
        </w:rPr>
        <w:t xml:space="preserve"> not provide much </w:t>
      </w:r>
      <w:r w:rsidRPr="00EF4C33">
        <w:rPr>
          <w:rFonts w:ascii="Times New Roman" w:eastAsia="Times New Roman" w:hAnsi="Times New Roman" w:cs="Times New Roman"/>
          <w:sz w:val="24"/>
          <w:szCs w:val="24"/>
        </w:rPr>
        <w:t xml:space="preserve">scope to allow </w:t>
      </w:r>
      <w:r w:rsidR="002C2CD3">
        <w:rPr>
          <w:rFonts w:ascii="Times New Roman" w:eastAsia="Times New Roman" w:hAnsi="Times New Roman" w:cs="Times New Roman"/>
          <w:sz w:val="24"/>
          <w:szCs w:val="24"/>
        </w:rPr>
        <w:t xml:space="preserve">alternative </w:t>
      </w:r>
      <w:r w:rsidRPr="00EF4C33">
        <w:rPr>
          <w:rFonts w:ascii="Times New Roman" w:eastAsia="Times New Roman" w:hAnsi="Times New Roman" w:cs="Times New Roman"/>
          <w:sz w:val="24"/>
          <w:szCs w:val="24"/>
        </w:rPr>
        <w:t xml:space="preserve">conceptions of justice </w:t>
      </w:r>
      <w:r w:rsidR="002C2CD3">
        <w:rPr>
          <w:rFonts w:ascii="Times New Roman" w:eastAsia="Times New Roman" w:hAnsi="Times New Roman" w:cs="Times New Roman"/>
          <w:sz w:val="24"/>
          <w:szCs w:val="24"/>
        </w:rPr>
        <w:t>to substitute criminal justice</w:t>
      </w:r>
      <w:r w:rsidRPr="00EF4C33">
        <w:rPr>
          <w:rFonts w:ascii="Times New Roman" w:eastAsia="Times New Roman" w:hAnsi="Times New Roman" w:cs="Times New Roman"/>
          <w:sz w:val="24"/>
          <w:szCs w:val="24"/>
        </w:rPr>
        <w:t xml:space="preserve">. But all the other objectives could be served, and </w:t>
      </w:r>
      <w:r w:rsidR="00D83362">
        <w:rPr>
          <w:rFonts w:ascii="Times New Roman" w:eastAsia="Times New Roman" w:hAnsi="Times New Roman" w:cs="Times New Roman"/>
          <w:sz w:val="24"/>
          <w:szCs w:val="24"/>
        </w:rPr>
        <w:t>sometimes</w:t>
      </w:r>
      <w:r w:rsidRPr="00EF4C33">
        <w:rPr>
          <w:rFonts w:ascii="Times New Roman" w:eastAsia="Times New Roman" w:hAnsi="Times New Roman" w:cs="Times New Roman"/>
          <w:sz w:val="24"/>
          <w:szCs w:val="24"/>
        </w:rPr>
        <w:t xml:space="preserve"> be served better, by avenues that do not necessarily involve incarceration. </w:t>
      </w:r>
    </w:p>
    <w:p w14:paraId="51F7FAD2"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Some people have for instance argued that punishment should not be about locking offenders up, but confronting them on a day-to-day basis with the havoc they have wrought and </w:t>
      </w:r>
      <w:r w:rsidR="00641A65">
        <w:rPr>
          <w:rFonts w:ascii="Times New Roman" w:eastAsia="Times New Roman" w:hAnsi="Times New Roman" w:cs="Times New Roman"/>
          <w:sz w:val="24"/>
          <w:szCs w:val="24"/>
        </w:rPr>
        <w:t>working for</w:t>
      </w:r>
      <w:r w:rsidRPr="00EF4C33">
        <w:rPr>
          <w:rFonts w:ascii="Times New Roman" w:eastAsia="Times New Roman" w:hAnsi="Times New Roman" w:cs="Times New Roman"/>
          <w:sz w:val="24"/>
          <w:szCs w:val="24"/>
        </w:rPr>
        <w:t xml:space="preserve"> </w:t>
      </w:r>
      <w:r w:rsidR="00B26E17">
        <w:rPr>
          <w:rFonts w:ascii="Times New Roman" w:eastAsia="Times New Roman" w:hAnsi="Times New Roman" w:cs="Times New Roman"/>
          <w:sz w:val="24"/>
          <w:szCs w:val="24"/>
        </w:rPr>
        <w:t>the affected</w:t>
      </w:r>
      <w:r w:rsidRPr="00EF4C33">
        <w:rPr>
          <w:rFonts w:ascii="Times New Roman" w:eastAsia="Times New Roman" w:hAnsi="Times New Roman" w:cs="Times New Roman"/>
          <w:sz w:val="24"/>
          <w:szCs w:val="24"/>
        </w:rPr>
        <w:t xml:space="preserve"> communities.</w:t>
      </w:r>
      <w:r w:rsidRPr="00EF4C33">
        <w:rPr>
          <w:rFonts w:ascii="Times New Roman" w:eastAsia="Times New Roman" w:hAnsi="Times New Roman" w:cs="Times New Roman"/>
          <w:sz w:val="24"/>
          <w:szCs w:val="24"/>
          <w:vertAlign w:val="superscript"/>
        </w:rPr>
        <w:footnoteReference w:id="59"/>
      </w:r>
      <w:r w:rsidRPr="00EF4C33">
        <w:rPr>
          <w:rFonts w:ascii="Times New Roman" w:eastAsia="Times New Roman" w:hAnsi="Times New Roman" w:cs="Times New Roman"/>
          <w:sz w:val="24"/>
          <w:szCs w:val="24"/>
        </w:rPr>
        <w:t xml:space="preserve"> Accountability </w:t>
      </w:r>
      <w:r w:rsidR="00D83362">
        <w:rPr>
          <w:rFonts w:ascii="Times New Roman" w:eastAsia="Times New Roman" w:hAnsi="Times New Roman" w:cs="Times New Roman"/>
          <w:sz w:val="24"/>
          <w:szCs w:val="24"/>
        </w:rPr>
        <w:t xml:space="preserve">can be pursued in venues other </w:t>
      </w:r>
      <w:r w:rsidR="00D83362">
        <w:rPr>
          <w:rFonts w:ascii="Times New Roman" w:eastAsia="Times New Roman" w:hAnsi="Times New Roman" w:cs="Times New Roman"/>
          <w:sz w:val="24"/>
          <w:szCs w:val="24"/>
        </w:rPr>
        <w:lastRenderedPageBreak/>
        <w:t>than criminal trials.</w:t>
      </w:r>
      <w:r w:rsidR="00D83362">
        <w:rPr>
          <w:rStyle w:val="FootnoteReference"/>
          <w:rFonts w:ascii="Times New Roman" w:eastAsia="Times New Roman" w:hAnsi="Times New Roman" w:cs="Times New Roman"/>
          <w:sz w:val="24"/>
          <w:szCs w:val="24"/>
        </w:rPr>
        <w:footnoteReference w:id="60"/>
      </w:r>
      <w:r w:rsidR="00D83362">
        <w:rPr>
          <w:rFonts w:ascii="Times New Roman" w:eastAsia="Times New Roman" w:hAnsi="Times New Roman" w:cs="Times New Roman"/>
          <w:sz w:val="24"/>
          <w:szCs w:val="24"/>
        </w:rPr>
        <w:t xml:space="preserve"> It </w:t>
      </w:r>
      <w:r w:rsidRPr="00EF4C33">
        <w:rPr>
          <w:rFonts w:ascii="Times New Roman" w:eastAsia="Times New Roman" w:hAnsi="Times New Roman" w:cs="Times New Roman"/>
          <w:sz w:val="24"/>
          <w:szCs w:val="24"/>
        </w:rPr>
        <w:t>could be served</w:t>
      </w:r>
      <w:r w:rsidR="00D83362">
        <w:rPr>
          <w:rFonts w:ascii="Times New Roman" w:eastAsia="Times New Roman" w:hAnsi="Times New Roman" w:cs="Times New Roman"/>
          <w:sz w:val="24"/>
          <w:szCs w:val="24"/>
        </w:rPr>
        <w:t>, for instance,</w:t>
      </w:r>
      <w:r w:rsidRPr="00EF4C33">
        <w:rPr>
          <w:rFonts w:ascii="Times New Roman" w:eastAsia="Times New Roman" w:hAnsi="Times New Roman" w:cs="Times New Roman"/>
          <w:sz w:val="24"/>
          <w:szCs w:val="24"/>
        </w:rPr>
        <w:t xml:space="preserve"> by amnesties conditional upon truth telling since, in the words of the South African TRC, ‘[t]he amnesty applicant has to admit responsibility for the act for which amnesty is being sought’.</w:t>
      </w:r>
      <w:r w:rsidRPr="00EF4C33">
        <w:rPr>
          <w:rFonts w:ascii="Times New Roman" w:eastAsia="Times New Roman" w:hAnsi="Times New Roman" w:cs="Times New Roman"/>
          <w:sz w:val="24"/>
          <w:szCs w:val="24"/>
          <w:vertAlign w:val="superscript"/>
        </w:rPr>
        <w:footnoteReference w:id="61"/>
      </w:r>
      <w:r w:rsidRPr="00EF4C33">
        <w:rPr>
          <w:rFonts w:ascii="Times New Roman" w:eastAsia="Times New Roman" w:hAnsi="Times New Roman" w:cs="Times New Roman"/>
          <w:sz w:val="24"/>
          <w:szCs w:val="24"/>
        </w:rPr>
        <w:t xml:space="preserve"> Moreover, as Antje du Bois-</w:t>
      </w:r>
      <w:proofErr w:type="spellStart"/>
      <w:r w:rsidRPr="00EF4C33">
        <w:rPr>
          <w:rFonts w:ascii="Times New Roman" w:eastAsia="Times New Roman" w:hAnsi="Times New Roman" w:cs="Times New Roman"/>
          <w:sz w:val="24"/>
          <w:szCs w:val="24"/>
        </w:rPr>
        <w:t>Pedain</w:t>
      </w:r>
      <w:proofErr w:type="spellEnd"/>
      <w:r w:rsidRPr="00EF4C33">
        <w:rPr>
          <w:rFonts w:ascii="Times New Roman" w:eastAsia="Times New Roman" w:hAnsi="Times New Roman" w:cs="Times New Roman"/>
          <w:sz w:val="24"/>
          <w:szCs w:val="24"/>
        </w:rPr>
        <w:t xml:space="preserve"> has also argued, amnesty mechanisms such as the South African one where the applicant had to prove the political objective of their act by demonstrating belonging to a political group</w:t>
      </w:r>
      <w:r w:rsidR="00D129B9">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had the effect of also creating a form of accountability for organizations and institutions behind the applicant, thus recognising the collective dimensions of the crimes</w:t>
      </w:r>
      <w:r w:rsidR="008D2835">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8D2835">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a</w:t>
      </w:r>
      <w:r w:rsidR="00B26E17">
        <w:rPr>
          <w:rFonts w:ascii="Times New Roman" w:eastAsia="Times New Roman" w:hAnsi="Times New Roman" w:cs="Times New Roman"/>
          <w:sz w:val="24"/>
          <w:szCs w:val="24"/>
        </w:rPr>
        <w:t xml:space="preserve">n inherent </w:t>
      </w:r>
      <w:r w:rsidRPr="00EF4C33">
        <w:rPr>
          <w:rFonts w:ascii="Times New Roman" w:eastAsia="Times New Roman" w:hAnsi="Times New Roman" w:cs="Times New Roman"/>
          <w:sz w:val="24"/>
          <w:szCs w:val="24"/>
        </w:rPr>
        <w:t xml:space="preserve">weakness of criminal justice, </w:t>
      </w:r>
      <w:r w:rsidR="00B26E17">
        <w:rPr>
          <w:rFonts w:ascii="Times New Roman" w:eastAsia="Times New Roman" w:hAnsi="Times New Roman" w:cs="Times New Roman"/>
          <w:sz w:val="24"/>
          <w:szCs w:val="24"/>
        </w:rPr>
        <w:t>which must</w:t>
      </w:r>
      <w:r w:rsidRPr="00EF4C33">
        <w:rPr>
          <w:rFonts w:ascii="Times New Roman" w:eastAsia="Times New Roman" w:hAnsi="Times New Roman" w:cs="Times New Roman"/>
          <w:sz w:val="24"/>
          <w:szCs w:val="24"/>
        </w:rPr>
        <w:t xml:space="preserve"> focus on the individual.</w:t>
      </w:r>
      <w:r w:rsidRPr="00EF4C33">
        <w:rPr>
          <w:rFonts w:ascii="Times New Roman" w:eastAsia="Times New Roman" w:hAnsi="Times New Roman" w:cs="Times New Roman"/>
          <w:sz w:val="24"/>
          <w:szCs w:val="24"/>
          <w:vertAlign w:val="superscript"/>
        </w:rPr>
        <w:footnoteReference w:id="62"/>
      </w:r>
      <w:r w:rsidRPr="00EF4C33">
        <w:rPr>
          <w:rFonts w:ascii="Times New Roman" w:eastAsia="Times New Roman" w:hAnsi="Times New Roman" w:cs="Times New Roman"/>
          <w:sz w:val="24"/>
          <w:szCs w:val="24"/>
        </w:rPr>
        <w:t xml:space="preserve"> </w:t>
      </w:r>
    </w:p>
    <w:p w14:paraId="315E28B3"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Conduct can be condemned, too, without putting offenders in prison. The word ‘only’ in the oft-cited quote from the Nuremberg judgment that ‘crimes against International Law are committed by men, not by abstract entities, and only by punishing individuals who commit such crimes can the provisions of International Law be enforced’ leads to an exaggeration. In some instances, non-criminal sanctions may be more effective in enforcing international law than individual punishment. Perhaps the best way of condemning conduct, for instance apartheid, is by radically breaking with it</w:t>
      </w:r>
      <w:r w:rsidR="001E09BF">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w:t>
      </w:r>
      <w:r w:rsidR="001E09BF">
        <w:rPr>
          <w:rFonts w:ascii="Times New Roman" w:eastAsia="Times New Roman" w:hAnsi="Times New Roman" w:cs="Times New Roman"/>
          <w:sz w:val="24"/>
          <w:szCs w:val="24"/>
        </w:rPr>
        <w:t>I</w:t>
      </w:r>
      <w:r w:rsidRPr="00EF4C33">
        <w:rPr>
          <w:rFonts w:ascii="Times New Roman" w:eastAsia="Times New Roman" w:hAnsi="Times New Roman" w:cs="Times New Roman"/>
          <w:sz w:val="24"/>
          <w:szCs w:val="24"/>
        </w:rPr>
        <w:t xml:space="preserve">f trials are an obstacle to doing so, they are not the ultimate condemnation. </w:t>
      </w:r>
    </w:p>
    <w:p w14:paraId="044C2FC6" w14:textId="77777777" w:rsidR="00027F8F"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Finally, respect for victims’ rights does not necessarily require criminal proceedings and sanctions either. An often neglected element of respect for victims’ rights is the duty not to assume that victims want one particular thing.</w:t>
      </w:r>
      <w:r w:rsidRPr="00EF4C33">
        <w:rPr>
          <w:rFonts w:ascii="Times New Roman" w:eastAsia="Times New Roman" w:hAnsi="Times New Roman" w:cs="Times New Roman"/>
          <w:sz w:val="24"/>
          <w:szCs w:val="24"/>
          <w:vertAlign w:val="superscript"/>
        </w:rPr>
        <w:footnoteReference w:id="63"/>
      </w:r>
      <w:r w:rsidRPr="00EF4C33">
        <w:rPr>
          <w:rFonts w:ascii="Times New Roman" w:eastAsia="Times New Roman" w:hAnsi="Times New Roman" w:cs="Times New Roman"/>
          <w:sz w:val="24"/>
          <w:szCs w:val="24"/>
        </w:rPr>
        <w:t xml:space="preserve"> To paraphrase one of Kamari Clarke’s interlocutors: when victims want justice, that need not mean they want law.</w:t>
      </w:r>
      <w:r w:rsidRPr="00EF4C33">
        <w:rPr>
          <w:rFonts w:ascii="Times New Roman" w:eastAsia="Times New Roman" w:hAnsi="Times New Roman" w:cs="Times New Roman"/>
          <w:sz w:val="24"/>
          <w:szCs w:val="24"/>
          <w:vertAlign w:val="superscript"/>
        </w:rPr>
        <w:footnoteReference w:id="64"/>
      </w:r>
      <w:r w:rsidRPr="00EF4C33">
        <w:rPr>
          <w:rFonts w:ascii="Times New Roman" w:eastAsia="Times New Roman" w:hAnsi="Times New Roman" w:cs="Times New Roman"/>
          <w:sz w:val="24"/>
          <w:szCs w:val="24"/>
        </w:rPr>
        <w:t xml:space="preserve"> Victims will often have diverging wishes and needs, especially when the category is broadly conceived.</w:t>
      </w:r>
      <w:bookmarkStart w:id="18" w:name="_Ref393970024"/>
      <w:r w:rsidR="00BF762F">
        <w:rPr>
          <w:rStyle w:val="FootnoteReference"/>
          <w:rFonts w:ascii="Times New Roman" w:eastAsia="Times New Roman" w:hAnsi="Times New Roman" w:cs="Times New Roman"/>
          <w:sz w:val="24"/>
          <w:szCs w:val="24"/>
        </w:rPr>
        <w:footnoteReference w:id="65"/>
      </w:r>
      <w:bookmarkEnd w:id="18"/>
      <w:r w:rsidRPr="00EF4C33">
        <w:rPr>
          <w:rFonts w:ascii="Times New Roman" w:eastAsia="Times New Roman" w:hAnsi="Times New Roman" w:cs="Times New Roman"/>
          <w:sz w:val="24"/>
          <w:szCs w:val="24"/>
        </w:rPr>
        <w:t xml:space="preserve"> Armed conflict, for instance, may not have been labelled a crime in and of itself, but usually still creates its own ‘victims’ as it involves enormous limitations if not abuses of human rights. A state trying to transition from conflict or oppression to a situation of the absence of violence and </w:t>
      </w:r>
      <w:r w:rsidRPr="00EF4C33">
        <w:rPr>
          <w:rFonts w:ascii="Times New Roman" w:eastAsia="Times New Roman" w:hAnsi="Times New Roman" w:cs="Times New Roman"/>
          <w:sz w:val="24"/>
          <w:szCs w:val="24"/>
        </w:rPr>
        <w:lastRenderedPageBreak/>
        <w:t>inclusive democracy should consider the interests of those ‘victims’ too, and indeed, also of those potential future victims: ‘</w:t>
      </w:r>
      <w:r w:rsidR="00A56375">
        <w:rPr>
          <w:rFonts w:ascii="Times New Roman" w:eastAsia="Times New Roman" w:hAnsi="Times New Roman" w:cs="Times New Roman"/>
          <w:sz w:val="24"/>
          <w:szCs w:val="24"/>
        </w:rPr>
        <w:t>[t]</w:t>
      </w:r>
      <w:r w:rsidRPr="00EF4C33">
        <w:rPr>
          <w:rFonts w:ascii="Times New Roman" w:eastAsia="Times New Roman" w:hAnsi="Times New Roman" w:cs="Times New Roman"/>
          <w:sz w:val="24"/>
          <w:szCs w:val="24"/>
        </w:rPr>
        <w:t>he quest for justice for yesterday’s victims of atrocities should not be pursued in such a manner that it makes today’s living the dead of tomorrow.’</w:t>
      </w:r>
      <w:r w:rsidRPr="00EF4C33">
        <w:rPr>
          <w:rFonts w:ascii="Times New Roman" w:eastAsia="Times New Roman" w:hAnsi="Times New Roman" w:cs="Times New Roman"/>
          <w:sz w:val="24"/>
          <w:szCs w:val="24"/>
          <w:vertAlign w:val="superscript"/>
        </w:rPr>
        <w:footnoteReference w:id="66"/>
      </w:r>
      <w:r w:rsidRPr="00EF4C33">
        <w:rPr>
          <w:rFonts w:ascii="Times New Roman" w:eastAsia="Times New Roman" w:hAnsi="Times New Roman" w:cs="Times New Roman"/>
          <w:sz w:val="24"/>
          <w:szCs w:val="24"/>
        </w:rPr>
        <w:t xml:space="preserve"> States face the daunting challenge of </w:t>
      </w:r>
      <w:r w:rsidR="00B26E17">
        <w:rPr>
          <w:rFonts w:ascii="Times New Roman" w:eastAsia="Times New Roman" w:hAnsi="Times New Roman" w:cs="Times New Roman"/>
          <w:sz w:val="24"/>
          <w:szCs w:val="24"/>
        </w:rPr>
        <w:t>ensuring the rights of all these ‘victims’, as much as possible</w:t>
      </w:r>
      <w:r w:rsidRPr="00EF4C33">
        <w:rPr>
          <w:rFonts w:ascii="Times New Roman" w:eastAsia="Times New Roman" w:hAnsi="Times New Roman" w:cs="Times New Roman"/>
          <w:sz w:val="24"/>
          <w:szCs w:val="24"/>
        </w:rPr>
        <w:t>.</w:t>
      </w:r>
      <w:r w:rsidR="00BF762F">
        <w:rPr>
          <w:rStyle w:val="FootnoteReference"/>
          <w:rFonts w:ascii="Times New Roman" w:eastAsia="Times New Roman" w:hAnsi="Times New Roman" w:cs="Times New Roman"/>
          <w:sz w:val="24"/>
          <w:szCs w:val="24"/>
        </w:rPr>
        <w:footnoteReference w:id="67"/>
      </w:r>
      <w:r w:rsidRPr="00EF4C33">
        <w:rPr>
          <w:rFonts w:ascii="Times New Roman" w:eastAsia="Times New Roman" w:hAnsi="Times New Roman" w:cs="Times New Roman"/>
          <w:sz w:val="24"/>
          <w:szCs w:val="24"/>
        </w:rPr>
        <w:t xml:space="preserve"> </w:t>
      </w:r>
    </w:p>
    <w:p w14:paraId="79D1831C" w14:textId="77777777" w:rsidR="006B0B36" w:rsidRDefault="006B0B36" w:rsidP="00CE71D8">
      <w:pPr>
        <w:spacing w:after="0" w:line="360" w:lineRule="auto"/>
        <w:ind w:firstLine="720"/>
        <w:jc w:val="both"/>
        <w:rPr>
          <w:rFonts w:ascii="Times New Roman" w:eastAsia="Times New Roman" w:hAnsi="Times New Roman" w:cs="Times New Roman"/>
          <w:sz w:val="24"/>
          <w:szCs w:val="24"/>
        </w:rPr>
      </w:pPr>
    </w:p>
    <w:p w14:paraId="759FD49C" w14:textId="77777777" w:rsidR="00912364" w:rsidRPr="00912364" w:rsidRDefault="00912364" w:rsidP="00CC3B84">
      <w:pPr>
        <w:pStyle w:val="ListParagraph"/>
        <w:numPr>
          <w:ilvl w:val="0"/>
          <w:numId w:val="5"/>
        </w:numPr>
        <w:spacing w:after="0" w:line="360" w:lineRule="auto"/>
        <w:ind w:left="567"/>
        <w:jc w:val="both"/>
        <w:rPr>
          <w:rFonts w:ascii="Times New Roman" w:eastAsia="Times New Roman" w:hAnsi="Times New Roman" w:cs="Times New Roman"/>
          <w:b/>
          <w:i/>
          <w:sz w:val="24"/>
          <w:szCs w:val="24"/>
        </w:rPr>
      </w:pPr>
      <w:r w:rsidRPr="00912364">
        <w:rPr>
          <w:rFonts w:ascii="Times New Roman" w:eastAsia="Times New Roman" w:hAnsi="Times New Roman" w:cs="Times New Roman"/>
          <w:b/>
          <w:i/>
          <w:sz w:val="24"/>
          <w:szCs w:val="24"/>
        </w:rPr>
        <w:t xml:space="preserve">Who </w:t>
      </w:r>
      <w:r w:rsidR="00A24B86">
        <w:rPr>
          <w:rFonts w:ascii="Times New Roman" w:eastAsia="Times New Roman" w:hAnsi="Times New Roman" w:cs="Times New Roman"/>
          <w:b/>
          <w:i/>
          <w:sz w:val="24"/>
          <w:szCs w:val="24"/>
        </w:rPr>
        <w:t>S</w:t>
      </w:r>
      <w:r w:rsidRPr="00912364">
        <w:rPr>
          <w:rFonts w:ascii="Times New Roman" w:eastAsia="Times New Roman" w:hAnsi="Times New Roman" w:cs="Times New Roman"/>
          <w:b/>
          <w:i/>
          <w:sz w:val="24"/>
          <w:szCs w:val="24"/>
        </w:rPr>
        <w:t xml:space="preserve">hould </w:t>
      </w:r>
      <w:r w:rsidR="002D5D51">
        <w:rPr>
          <w:rFonts w:ascii="Times New Roman" w:eastAsia="Times New Roman" w:hAnsi="Times New Roman" w:cs="Times New Roman"/>
          <w:b/>
          <w:i/>
          <w:sz w:val="24"/>
          <w:szCs w:val="24"/>
        </w:rPr>
        <w:t>H</w:t>
      </w:r>
      <w:r w:rsidRPr="00912364">
        <w:rPr>
          <w:rFonts w:ascii="Times New Roman" w:eastAsia="Times New Roman" w:hAnsi="Times New Roman" w:cs="Times New Roman"/>
          <w:b/>
          <w:i/>
          <w:sz w:val="24"/>
          <w:szCs w:val="24"/>
        </w:rPr>
        <w:t xml:space="preserve">ave the </w:t>
      </w:r>
      <w:r w:rsidR="002D5D51">
        <w:rPr>
          <w:rFonts w:ascii="Times New Roman" w:eastAsia="Times New Roman" w:hAnsi="Times New Roman" w:cs="Times New Roman"/>
          <w:b/>
          <w:i/>
          <w:sz w:val="24"/>
          <w:szCs w:val="24"/>
        </w:rPr>
        <w:t>F</w:t>
      </w:r>
      <w:r w:rsidRPr="00912364">
        <w:rPr>
          <w:rFonts w:ascii="Times New Roman" w:eastAsia="Times New Roman" w:hAnsi="Times New Roman" w:cs="Times New Roman"/>
          <w:b/>
          <w:i/>
          <w:sz w:val="24"/>
          <w:szCs w:val="24"/>
        </w:rPr>
        <w:t xml:space="preserve">inal </w:t>
      </w:r>
      <w:r w:rsidR="002D5D51">
        <w:rPr>
          <w:rFonts w:ascii="Times New Roman" w:eastAsia="Times New Roman" w:hAnsi="Times New Roman" w:cs="Times New Roman"/>
          <w:b/>
          <w:i/>
          <w:sz w:val="24"/>
          <w:szCs w:val="24"/>
        </w:rPr>
        <w:t>S</w:t>
      </w:r>
      <w:r w:rsidRPr="00912364">
        <w:rPr>
          <w:rFonts w:ascii="Times New Roman" w:eastAsia="Times New Roman" w:hAnsi="Times New Roman" w:cs="Times New Roman"/>
          <w:b/>
          <w:i/>
          <w:sz w:val="24"/>
          <w:szCs w:val="24"/>
        </w:rPr>
        <w:t>ay?</w:t>
      </w:r>
    </w:p>
    <w:p w14:paraId="0FAC663A" w14:textId="77777777" w:rsidR="00620875" w:rsidRDefault="00620875" w:rsidP="00CE71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‘victims’ play an increasing role in international criminal law, the field’s primary objective is upholding international legal norms through criminal proceedings for the benefit of international society at large.</w:t>
      </w:r>
      <w:r>
        <w:rPr>
          <w:rStyle w:val="FootnoteReference"/>
          <w:rFonts w:ascii="Times New Roman" w:eastAsia="Times New Roman" w:hAnsi="Times New Roman" w:cs="Times New Roman"/>
          <w:sz w:val="24"/>
          <w:szCs w:val="24"/>
        </w:rPr>
        <w:footnoteReference w:id="68"/>
      </w:r>
      <w:r w:rsidR="00D129B9">
        <w:rPr>
          <w:rFonts w:ascii="Times New Roman" w:eastAsia="Times New Roman" w:hAnsi="Times New Roman" w:cs="Times New Roman"/>
          <w:sz w:val="24"/>
          <w:szCs w:val="24"/>
        </w:rPr>
        <w:t xml:space="preserve"> But prosecutions, </w:t>
      </w:r>
      <w:r>
        <w:rPr>
          <w:rFonts w:ascii="Times New Roman" w:eastAsia="Times New Roman" w:hAnsi="Times New Roman" w:cs="Times New Roman"/>
          <w:sz w:val="24"/>
          <w:szCs w:val="24"/>
        </w:rPr>
        <w:t xml:space="preserve">even </w:t>
      </w:r>
      <w:r w:rsidR="00D129B9">
        <w:rPr>
          <w:rFonts w:ascii="Times New Roman" w:eastAsia="Times New Roman" w:hAnsi="Times New Roman" w:cs="Times New Roman"/>
          <w:sz w:val="24"/>
          <w:szCs w:val="24"/>
        </w:rPr>
        <w:t xml:space="preserve">mere </w:t>
      </w:r>
      <w:r>
        <w:rPr>
          <w:rFonts w:ascii="Times New Roman" w:eastAsia="Times New Roman" w:hAnsi="Times New Roman" w:cs="Times New Roman"/>
          <w:sz w:val="24"/>
          <w:szCs w:val="24"/>
        </w:rPr>
        <w:t>threat</w:t>
      </w:r>
      <w:r w:rsidR="00D129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prosecution, have an impact on specific people and specific societies in concrete situations. W</w:t>
      </w:r>
      <w:r w:rsidR="009274F0" w:rsidRPr="00EF4C33">
        <w:rPr>
          <w:rFonts w:ascii="Times New Roman" w:eastAsia="Times New Roman" w:hAnsi="Times New Roman" w:cs="Times New Roman"/>
          <w:sz w:val="24"/>
          <w:szCs w:val="24"/>
        </w:rPr>
        <w:t>ho should have the final say if the demands for justice among victims and survivors, the local, national, regional and international society diverge</w:t>
      </w:r>
      <w:r>
        <w:rPr>
          <w:rFonts w:ascii="Times New Roman" w:eastAsia="Times New Roman" w:hAnsi="Times New Roman" w:cs="Times New Roman"/>
          <w:sz w:val="24"/>
          <w:szCs w:val="24"/>
        </w:rPr>
        <w:t>? And i</w:t>
      </w:r>
      <w:r w:rsidR="009274F0" w:rsidRPr="00EF4C33">
        <w:rPr>
          <w:rFonts w:ascii="Times New Roman" w:eastAsia="Times New Roman" w:hAnsi="Times New Roman" w:cs="Times New Roman"/>
          <w:sz w:val="24"/>
          <w:szCs w:val="24"/>
        </w:rPr>
        <w:t xml:space="preserve">s it possible to determine now that </w:t>
      </w:r>
      <w:r w:rsidR="0015762F">
        <w:rPr>
          <w:rFonts w:ascii="Times New Roman" w:eastAsia="Times New Roman" w:hAnsi="Times New Roman" w:cs="Times New Roman"/>
          <w:sz w:val="24"/>
          <w:szCs w:val="24"/>
        </w:rPr>
        <w:t xml:space="preserve">crimes against humanity must always be prosecuted, </w:t>
      </w:r>
      <w:r w:rsidR="0015762F" w:rsidRPr="00EF4C33">
        <w:rPr>
          <w:rFonts w:ascii="Times New Roman" w:eastAsia="Times New Roman" w:hAnsi="Times New Roman" w:cs="Times New Roman"/>
          <w:sz w:val="24"/>
          <w:szCs w:val="24"/>
        </w:rPr>
        <w:t xml:space="preserve">given the diversity of contexts within which </w:t>
      </w:r>
      <w:r w:rsidR="0015762F">
        <w:rPr>
          <w:rFonts w:ascii="Times New Roman" w:eastAsia="Times New Roman" w:hAnsi="Times New Roman" w:cs="Times New Roman"/>
          <w:sz w:val="24"/>
          <w:szCs w:val="24"/>
        </w:rPr>
        <w:t>they are committed?</w:t>
      </w:r>
      <w:r>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 xml:space="preserve">Acknowledging the validity of these questions does not mean abandoning the project of a draft </w:t>
      </w:r>
      <w:r w:rsidR="00F60079">
        <w:rPr>
          <w:rFonts w:ascii="Times New Roman" w:eastAsia="Times New Roman" w:hAnsi="Times New Roman" w:cs="Times New Roman"/>
          <w:sz w:val="24"/>
          <w:szCs w:val="24"/>
        </w:rPr>
        <w:t>c</w:t>
      </w:r>
      <w:r w:rsidR="009274F0" w:rsidRPr="00EF4C33">
        <w:rPr>
          <w:rFonts w:ascii="Times New Roman" w:eastAsia="Times New Roman" w:hAnsi="Times New Roman" w:cs="Times New Roman"/>
          <w:sz w:val="24"/>
          <w:szCs w:val="24"/>
        </w:rPr>
        <w:t xml:space="preserve">onvention on </w:t>
      </w:r>
      <w:r w:rsidR="00F60079">
        <w:rPr>
          <w:rFonts w:ascii="Times New Roman" w:eastAsia="Times New Roman" w:hAnsi="Times New Roman" w:cs="Times New Roman"/>
          <w:sz w:val="24"/>
          <w:szCs w:val="24"/>
        </w:rPr>
        <w:t>c</w:t>
      </w:r>
      <w:r w:rsidR="009274F0" w:rsidRPr="00EF4C33">
        <w:rPr>
          <w:rFonts w:ascii="Times New Roman" w:eastAsia="Times New Roman" w:hAnsi="Times New Roman" w:cs="Times New Roman"/>
          <w:sz w:val="24"/>
          <w:szCs w:val="24"/>
        </w:rPr>
        <w:t xml:space="preserve">rimes against </w:t>
      </w:r>
      <w:r w:rsidR="00F60079">
        <w:rPr>
          <w:rFonts w:ascii="Times New Roman" w:eastAsia="Times New Roman" w:hAnsi="Times New Roman" w:cs="Times New Roman"/>
          <w:sz w:val="24"/>
          <w:szCs w:val="24"/>
        </w:rPr>
        <w:t>h</w:t>
      </w:r>
      <w:r w:rsidR="009274F0" w:rsidRPr="00EF4C33">
        <w:rPr>
          <w:rFonts w:ascii="Times New Roman" w:eastAsia="Times New Roman" w:hAnsi="Times New Roman" w:cs="Times New Roman"/>
          <w:sz w:val="24"/>
          <w:szCs w:val="24"/>
        </w:rPr>
        <w:t xml:space="preserve">umanity. All that is needed is ensuring that the text of the </w:t>
      </w:r>
      <w:r w:rsidR="00F60079">
        <w:rPr>
          <w:rFonts w:ascii="Times New Roman" w:eastAsia="Times New Roman" w:hAnsi="Times New Roman" w:cs="Times New Roman"/>
          <w:sz w:val="24"/>
          <w:szCs w:val="24"/>
        </w:rPr>
        <w:t xml:space="preserve">future </w:t>
      </w:r>
      <w:r w:rsidR="009274F0" w:rsidRPr="00EF4C33">
        <w:rPr>
          <w:rFonts w:ascii="Times New Roman" w:eastAsia="Times New Roman" w:hAnsi="Times New Roman" w:cs="Times New Roman"/>
          <w:sz w:val="24"/>
          <w:szCs w:val="24"/>
        </w:rPr>
        <w:t xml:space="preserve">Convention sufficiently qualifies the duty to prosecute to consider the demands of, and possibly diverging views about, a negotiated settlement. </w:t>
      </w:r>
    </w:p>
    <w:p w14:paraId="63DA74CB" w14:textId="77777777" w:rsidR="00027F8F" w:rsidRDefault="009274F0" w:rsidP="00B721D4">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Against this background, we now turn to assessing whether the draft articles as currently formulated allow for deviations from the </w:t>
      </w:r>
      <w:r w:rsidR="003E5B7C">
        <w:rPr>
          <w:rFonts w:ascii="Times New Roman" w:eastAsia="Times New Roman" w:hAnsi="Times New Roman" w:cs="Times New Roman"/>
          <w:sz w:val="24"/>
          <w:szCs w:val="24"/>
        </w:rPr>
        <w:t>must-</w:t>
      </w:r>
      <w:r w:rsidRPr="00EF4C33">
        <w:rPr>
          <w:rFonts w:ascii="Times New Roman" w:eastAsia="Times New Roman" w:hAnsi="Times New Roman" w:cs="Times New Roman"/>
          <w:sz w:val="24"/>
          <w:szCs w:val="24"/>
        </w:rPr>
        <w:t>prosecute-and-punish model in the context of a negotiated settlement.</w:t>
      </w:r>
    </w:p>
    <w:p w14:paraId="4EBF72A7" w14:textId="77777777" w:rsidR="006B0B36" w:rsidRPr="00EF4C33" w:rsidRDefault="006B0B36" w:rsidP="00CE71D8">
      <w:pPr>
        <w:spacing w:after="0" w:line="360" w:lineRule="auto"/>
        <w:ind w:firstLine="720"/>
        <w:jc w:val="both"/>
        <w:rPr>
          <w:rFonts w:ascii="Times New Roman" w:eastAsia="Times New Roman" w:hAnsi="Times New Roman" w:cs="Times New Roman"/>
          <w:sz w:val="24"/>
          <w:szCs w:val="24"/>
        </w:rPr>
      </w:pPr>
    </w:p>
    <w:p w14:paraId="219E4185" w14:textId="77777777" w:rsidR="00027F8F" w:rsidRPr="00EF4C33" w:rsidRDefault="009274F0" w:rsidP="00CC3B84">
      <w:pPr>
        <w:pBdr>
          <w:top w:val="nil"/>
          <w:left w:val="nil"/>
          <w:bottom w:val="nil"/>
          <w:right w:val="nil"/>
          <w:between w:val="nil"/>
        </w:pBdr>
        <w:spacing w:after="0" w:line="360" w:lineRule="auto"/>
        <w:ind w:left="567" w:hanging="425"/>
        <w:jc w:val="both"/>
        <w:rPr>
          <w:rFonts w:ascii="Times New Roman" w:eastAsia="Times New Roman" w:hAnsi="Times New Roman" w:cs="Times New Roman"/>
          <w:color w:val="000000"/>
          <w:sz w:val="24"/>
          <w:szCs w:val="24"/>
        </w:rPr>
      </w:pPr>
      <w:r w:rsidRPr="00EF4C33">
        <w:rPr>
          <w:rFonts w:ascii="Times New Roman" w:eastAsia="Times New Roman" w:hAnsi="Times New Roman" w:cs="Times New Roman"/>
          <w:b/>
          <w:sz w:val="24"/>
          <w:szCs w:val="24"/>
        </w:rPr>
        <w:t xml:space="preserve">3. </w:t>
      </w:r>
      <w:r w:rsidRPr="00EF4C33">
        <w:rPr>
          <w:rFonts w:ascii="Times New Roman" w:eastAsia="Times New Roman" w:hAnsi="Times New Roman" w:cs="Times New Roman"/>
          <w:b/>
          <w:color w:val="000000"/>
          <w:sz w:val="24"/>
          <w:szCs w:val="24"/>
        </w:rPr>
        <w:t>A</w:t>
      </w:r>
      <w:r w:rsidRPr="00EF4C33">
        <w:rPr>
          <w:rFonts w:ascii="Times New Roman" w:eastAsia="Times New Roman" w:hAnsi="Times New Roman" w:cs="Times New Roman"/>
          <w:b/>
          <w:sz w:val="24"/>
          <w:szCs w:val="24"/>
        </w:rPr>
        <w:t xml:space="preserve">n </w:t>
      </w:r>
      <w:r w:rsidRPr="00EF4C33">
        <w:rPr>
          <w:rFonts w:ascii="Times New Roman" w:eastAsia="Times New Roman" w:hAnsi="Times New Roman" w:cs="Times New Roman"/>
          <w:b/>
          <w:color w:val="000000"/>
          <w:sz w:val="24"/>
          <w:szCs w:val="24"/>
        </w:rPr>
        <w:t>Anal</w:t>
      </w:r>
      <w:r w:rsidRPr="00EF4C33">
        <w:rPr>
          <w:rFonts w:ascii="Times New Roman" w:eastAsia="Times New Roman" w:hAnsi="Times New Roman" w:cs="Times New Roman"/>
          <w:b/>
          <w:sz w:val="24"/>
          <w:szCs w:val="24"/>
        </w:rPr>
        <w:t xml:space="preserve">ysis </w:t>
      </w:r>
      <w:r w:rsidRPr="00EF4C33">
        <w:rPr>
          <w:rFonts w:ascii="Times New Roman" w:eastAsia="Times New Roman" w:hAnsi="Times New Roman" w:cs="Times New Roman"/>
          <w:b/>
          <w:color w:val="000000"/>
          <w:sz w:val="24"/>
          <w:szCs w:val="24"/>
        </w:rPr>
        <w:t xml:space="preserve">of the Draft Articles and </w:t>
      </w:r>
      <w:r w:rsidRPr="00EF4C33">
        <w:rPr>
          <w:rFonts w:ascii="Times New Roman" w:eastAsia="Times New Roman" w:hAnsi="Times New Roman" w:cs="Times New Roman"/>
          <w:b/>
          <w:sz w:val="24"/>
          <w:szCs w:val="24"/>
        </w:rPr>
        <w:t>a Doctrinal Question for the ILC</w:t>
      </w:r>
    </w:p>
    <w:p w14:paraId="4F443E6B" w14:textId="77777777" w:rsidR="00027F8F" w:rsidRPr="00EF4C33"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Let us walk through the draft articles with four different scenarios in mind. First, one in which a state adopts a general amnesty for crimes committed during a civil war or oppressive regime without making an exception for crimes against humanity (for instance, Mozambique, after the conclusion of the General Peace Agreement in 1992).</w:t>
      </w:r>
      <w:r w:rsidRPr="00EF4C33">
        <w:rPr>
          <w:rFonts w:ascii="Times New Roman" w:eastAsia="Times New Roman" w:hAnsi="Times New Roman" w:cs="Times New Roman"/>
          <w:sz w:val="24"/>
          <w:szCs w:val="24"/>
          <w:vertAlign w:val="superscript"/>
        </w:rPr>
        <w:footnoteReference w:id="69"/>
      </w:r>
      <w:r w:rsidRPr="00EF4C33">
        <w:rPr>
          <w:rFonts w:ascii="Times New Roman" w:eastAsia="Times New Roman" w:hAnsi="Times New Roman" w:cs="Times New Roman"/>
          <w:sz w:val="24"/>
          <w:szCs w:val="24"/>
        </w:rPr>
        <w:t xml:space="preserve"> Secondly, a scenario in which a state adopts an amnesty act that allows for the grant of an individual amnesty in respect of acts and offences, not excluding crimes against humanity, associated with political objectives committed in the course of past conflict, if certain conditions are fulfilled, for instance, full </w:t>
      </w:r>
      <w:r w:rsidRPr="00EF4C33">
        <w:rPr>
          <w:rFonts w:ascii="Times New Roman" w:eastAsia="Times New Roman" w:hAnsi="Times New Roman" w:cs="Times New Roman"/>
          <w:sz w:val="24"/>
          <w:szCs w:val="24"/>
        </w:rPr>
        <w:lastRenderedPageBreak/>
        <w:t>disclosure of all the relevant facts (</w:t>
      </w:r>
      <w:r w:rsidR="00C57DC3">
        <w:rPr>
          <w:rFonts w:ascii="Times New Roman" w:eastAsia="Times New Roman" w:hAnsi="Times New Roman" w:cs="Times New Roman"/>
          <w:sz w:val="24"/>
          <w:szCs w:val="24"/>
        </w:rPr>
        <w:t>for example,</w:t>
      </w:r>
      <w:r w:rsidR="00175B10">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South Africa </w:t>
      </w:r>
      <w:r w:rsidR="00175B10">
        <w:rPr>
          <w:rFonts w:ascii="Times New Roman" w:eastAsia="Times New Roman" w:hAnsi="Times New Roman" w:cs="Times New Roman"/>
          <w:sz w:val="24"/>
          <w:szCs w:val="24"/>
        </w:rPr>
        <w:t xml:space="preserve">in </w:t>
      </w:r>
      <w:r w:rsidRPr="00EF4C33">
        <w:rPr>
          <w:rFonts w:ascii="Times New Roman" w:eastAsia="Times New Roman" w:hAnsi="Times New Roman" w:cs="Times New Roman"/>
          <w:sz w:val="24"/>
          <w:szCs w:val="24"/>
        </w:rPr>
        <w:t>1995).</w:t>
      </w:r>
      <w:r w:rsidRPr="00EF4C33">
        <w:rPr>
          <w:rFonts w:ascii="Times New Roman" w:eastAsia="Times New Roman" w:hAnsi="Times New Roman" w:cs="Times New Roman"/>
          <w:sz w:val="24"/>
          <w:szCs w:val="24"/>
          <w:vertAlign w:val="superscript"/>
        </w:rPr>
        <w:footnoteReference w:id="70"/>
      </w:r>
      <w:r w:rsidRPr="00EF4C33">
        <w:rPr>
          <w:rFonts w:ascii="Times New Roman" w:eastAsia="Times New Roman" w:hAnsi="Times New Roman" w:cs="Times New Roman"/>
          <w:sz w:val="24"/>
          <w:szCs w:val="24"/>
        </w:rPr>
        <w:t xml:space="preserve"> Thirdly, a scenario in which there is no amnesty for crimes committed during the conflict, but no criminal proceedings either (</w:t>
      </w:r>
      <w:r w:rsidR="00175B10">
        <w:rPr>
          <w:rFonts w:ascii="Times New Roman" w:eastAsia="Times New Roman" w:hAnsi="Times New Roman" w:cs="Times New Roman"/>
          <w:sz w:val="24"/>
          <w:szCs w:val="24"/>
        </w:rPr>
        <w:t xml:space="preserve">like in </w:t>
      </w:r>
      <w:r w:rsidRPr="00EF4C33">
        <w:rPr>
          <w:rFonts w:ascii="Times New Roman" w:eastAsia="Times New Roman" w:hAnsi="Times New Roman" w:cs="Times New Roman"/>
          <w:sz w:val="24"/>
          <w:szCs w:val="24"/>
        </w:rPr>
        <w:t>Sudan and South Sudan after the 2005 Comprehensive Peace Agreement). Finally, a scenario in which a peace agreement provides for investigations and prosecutions, but also for ‘special and alternative sanctions’, for</w:t>
      </w:r>
      <w:r w:rsidR="00641A65">
        <w:rPr>
          <w:rFonts w:ascii="Times New Roman" w:eastAsia="Times New Roman" w:hAnsi="Times New Roman" w:cs="Times New Roman"/>
          <w:sz w:val="24"/>
          <w:szCs w:val="24"/>
        </w:rPr>
        <w:t xml:space="preserve"> example, community service and</w:t>
      </w:r>
      <w:r w:rsidRPr="00EF4C33">
        <w:rPr>
          <w:rFonts w:ascii="Times New Roman" w:eastAsia="Times New Roman" w:hAnsi="Times New Roman" w:cs="Times New Roman"/>
          <w:sz w:val="24"/>
          <w:szCs w:val="24"/>
        </w:rPr>
        <w:t xml:space="preserve"> house arrest instead of imprisonment</w:t>
      </w:r>
      <w:r w:rsidR="00D129B9">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and a reduced maximum term of sanctions, if the individual concerned has fulfilled certain conditions, for instance providing the full truth, reparations to victims and guarantees of non-recurrence (</w:t>
      </w:r>
      <w:r w:rsidR="00C57DC3">
        <w:rPr>
          <w:rFonts w:ascii="Times New Roman" w:eastAsia="Times New Roman" w:hAnsi="Times New Roman" w:cs="Times New Roman"/>
          <w:sz w:val="24"/>
          <w:szCs w:val="24"/>
        </w:rPr>
        <w:t>consider</w:t>
      </w:r>
      <w:r w:rsidR="00175B10">
        <w:rPr>
          <w:rFonts w:ascii="Times New Roman" w:eastAsia="Times New Roman" w:hAnsi="Times New Roman" w:cs="Times New Roman"/>
          <w:sz w:val="24"/>
          <w:szCs w:val="24"/>
        </w:rPr>
        <w:t xml:space="preserve"> the </w:t>
      </w:r>
      <w:r w:rsidR="00175B10" w:rsidRPr="00EF4C33">
        <w:rPr>
          <w:rFonts w:ascii="Times New Roman" w:eastAsia="Times New Roman" w:hAnsi="Times New Roman" w:cs="Times New Roman"/>
          <w:sz w:val="24"/>
          <w:szCs w:val="24"/>
        </w:rPr>
        <w:t>2016</w:t>
      </w:r>
      <w:r w:rsidR="00175B10">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Colombian Peace Agreement with the FARC-EP).</w:t>
      </w:r>
      <w:r w:rsidRPr="00EF4C33">
        <w:rPr>
          <w:rFonts w:ascii="Times New Roman" w:eastAsia="Times New Roman" w:hAnsi="Times New Roman" w:cs="Times New Roman"/>
          <w:sz w:val="24"/>
          <w:szCs w:val="24"/>
          <w:vertAlign w:val="superscript"/>
        </w:rPr>
        <w:footnoteReference w:id="71"/>
      </w:r>
      <w:r w:rsidRPr="00EF4C33">
        <w:rPr>
          <w:rFonts w:ascii="Times New Roman" w:eastAsia="Times New Roman" w:hAnsi="Times New Roman" w:cs="Times New Roman"/>
          <w:sz w:val="24"/>
          <w:szCs w:val="24"/>
        </w:rPr>
        <w:t xml:space="preserve">    </w:t>
      </w:r>
    </w:p>
    <w:p w14:paraId="081B6411" w14:textId="77777777" w:rsidR="006B0B36" w:rsidRDefault="009274F0" w:rsidP="004B01B5">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In analysing the draft articles, </w:t>
      </w:r>
      <w:r w:rsidR="00B26E17">
        <w:rPr>
          <w:rFonts w:ascii="Times New Roman" w:eastAsia="Times New Roman" w:hAnsi="Times New Roman" w:cs="Times New Roman"/>
          <w:sz w:val="24"/>
          <w:szCs w:val="24"/>
        </w:rPr>
        <w:t>it may be helpful to</w:t>
      </w:r>
      <w:r w:rsidRPr="00EF4C33">
        <w:rPr>
          <w:rFonts w:ascii="Times New Roman" w:eastAsia="Times New Roman" w:hAnsi="Times New Roman" w:cs="Times New Roman"/>
          <w:sz w:val="24"/>
          <w:szCs w:val="24"/>
        </w:rPr>
        <w:t xml:space="preserve"> distinguish between obligations on the state in the territory of which the crimes were committed and states</w:t>
      </w:r>
      <w:r w:rsidR="00D129B9">
        <w:rPr>
          <w:rFonts w:ascii="Times New Roman" w:eastAsia="Times New Roman" w:hAnsi="Times New Roman" w:cs="Times New Roman"/>
          <w:sz w:val="24"/>
          <w:szCs w:val="24"/>
        </w:rPr>
        <w:t xml:space="preserve"> where alleged perpetrators are present other than the state on the territory of which the crimes were committed</w:t>
      </w:r>
      <w:r w:rsidRPr="00EF4C33">
        <w:rPr>
          <w:rFonts w:ascii="Times New Roman" w:eastAsia="Times New Roman" w:hAnsi="Times New Roman" w:cs="Times New Roman"/>
          <w:sz w:val="24"/>
          <w:szCs w:val="24"/>
        </w:rPr>
        <w:t>.</w:t>
      </w:r>
    </w:p>
    <w:p w14:paraId="1DDAA7CF" w14:textId="77777777" w:rsidR="00CE71D8" w:rsidRDefault="00CE71D8" w:rsidP="00CE71D8">
      <w:pPr>
        <w:spacing w:after="0" w:line="360" w:lineRule="auto"/>
        <w:ind w:firstLine="720"/>
        <w:jc w:val="both"/>
        <w:rPr>
          <w:rFonts w:ascii="Times New Roman" w:eastAsia="Times New Roman" w:hAnsi="Times New Roman" w:cs="Times New Roman"/>
          <w:sz w:val="24"/>
          <w:szCs w:val="24"/>
        </w:rPr>
      </w:pPr>
    </w:p>
    <w:p w14:paraId="68647C8D" w14:textId="77777777" w:rsidR="00027F8F" w:rsidRPr="00EF4C33" w:rsidRDefault="009274F0" w:rsidP="00CC3B84">
      <w:pPr>
        <w:numPr>
          <w:ilvl w:val="0"/>
          <w:numId w:val="3"/>
        </w:numPr>
        <w:pBdr>
          <w:top w:val="nil"/>
          <w:left w:val="nil"/>
          <w:bottom w:val="nil"/>
          <w:right w:val="nil"/>
          <w:between w:val="nil"/>
        </w:pBdr>
        <w:spacing w:after="0" w:line="360" w:lineRule="auto"/>
        <w:ind w:left="567"/>
        <w:contextualSpacing/>
        <w:jc w:val="both"/>
        <w:rPr>
          <w:rFonts w:ascii="Times New Roman" w:eastAsia="Times New Roman" w:hAnsi="Times New Roman" w:cs="Times New Roman"/>
          <w:b/>
          <w:i/>
          <w:color w:val="000000"/>
          <w:sz w:val="24"/>
          <w:szCs w:val="24"/>
        </w:rPr>
      </w:pPr>
      <w:r w:rsidRPr="00EF4C33">
        <w:rPr>
          <w:rFonts w:ascii="Times New Roman" w:eastAsia="Times New Roman" w:hAnsi="Times New Roman" w:cs="Times New Roman"/>
          <w:b/>
          <w:i/>
          <w:color w:val="000000"/>
          <w:sz w:val="24"/>
          <w:szCs w:val="24"/>
        </w:rPr>
        <w:t>The State on the Territory of which the Crimes were Committed</w:t>
      </w:r>
    </w:p>
    <w:p w14:paraId="720B0A95" w14:textId="77777777" w:rsidR="00CE71D8"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We can </w:t>
      </w:r>
      <w:r w:rsidR="003E5B7C">
        <w:rPr>
          <w:rFonts w:ascii="Times New Roman" w:eastAsia="Times New Roman" w:hAnsi="Times New Roman" w:cs="Times New Roman"/>
          <w:sz w:val="24"/>
          <w:szCs w:val="24"/>
        </w:rPr>
        <w:t>go straight to</w:t>
      </w:r>
      <w:r w:rsidRPr="00EF4C33">
        <w:rPr>
          <w:rFonts w:ascii="Times New Roman" w:eastAsia="Times New Roman" w:hAnsi="Times New Roman" w:cs="Times New Roman"/>
          <w:sz w:val="24"/>
          <w:szCs w:val="24"/>
        </w:rPr>
        <w:t xml:space="preserve"> the draft articles related to investigation and prosecution. While South Africa’s transitional arrangement was in part made possible by the fact that apartheid was not a crime against humanity under domestic law, the duty to initiate criminal proceedings, rather than the duty to criminalise as such, would have been the biggest obstacle to the settlement.</w:t>
      </w:r>
    </w:p>
    <w:p w14:paraId="2CA1DC68" w14:textId="77777777" w:rsidR="00027F8F" w:rsidRPr="00EF4C33"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 </w:t>
      </w:r>
    </w:p>
    <w:p w14:paraId="5891595F" w14:textId="77777777" w:rsidR="00101F4C" w:rsidRPr="00101F4C" w:rsidRDefault="00101F4C" w:rsidP="00CC3B84">
      <w:pPr>
        <w:pStyle w:val="ListParagraph"/>
        <w:numPr>
          <w:ilvl w:val="3"/>
          <w:numId w:val="3"/>
        </w:numPr>
        <w:spacing w:after="0" w:line="360" w:lineRule="auto"/>
        <w:ind w:left="567"/>
        <w:jc w:val="both"/>
        <w:rPr>
          <w:rFonts w:ascii="Times New Roman" w:eastAsia="Times New Roman" w:hAnsi="Times New Roman" w:cs="Times New Roman"/>
          <w:i/>
          <w:sz w:val="24"/>
          <w:szCs w:val="24"/>
        </w:rPr>
      </w:pPr>
      <w:r w:rsidRPr="00101F4C">
        <w:rPr>
          <w:rFonts w:ascii="Times New Roman" w:eastAsia="Times New Roman" w:hAnsi="Times New Roman" w:cs="Times New Roman"/>
          <w:i/>
          <w:sz w:val="24"/>
          <w:szCs w:val="24"/>
        </w:rPr>
        <w:t>The Duty to Investigate</w:t>
      </w:r>
    </w:p>
    <w:p w14:paraId="5B1E7850" w14:textId="77777777" w:rsidR="00027F8F"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Draft </w:t>
      </w:r>
      <w:r w:rsidR="00112266">
        <w:rPr>
          <w:rFonts w:ascii="Times New Roman" w:eastAsia="Times New Roman" w:hAnsi="Times New Roman" w:cs="Times New Roman"/>
          <w:sz w:val="24"/>
          <w:szCs w:val="24"/>
        </w:rPr>
        <w:t>A</w:t>
      </w:r>
      <w:r w:rsidRPr="00EF4C33">
        <w:rPr>
          <w:rFonts w:ascii="Times New Roman" w:eastAsia="Times New Roman" w:hAnsi="Times New Roman" w:cs="Times New Roman"/>
          <w:sz w:val="24"/>
          <w:szCs w:val="24"/>
        </w:rPr>
        <w:t>rticle 8 obliges the state to ‘ensure that its competent authorities proceed to a prompt and impartial investigation whenever there is a reasonable ground to believe that acts constituting crimes against humanity have been or are being committed in any territory under its jurisdiction’.</w:t>
      </w:r>
      <w:bookmarkStart w:id="19" w:name="_Ref393972564"/>
      <w:r w:rsidRPr="00EF4C33">
        <w:rPr>
          <w:rFonts w:ascii="Times New Roman" w:eastAsia="Times New Roman" w:hAnsi="Times New Roman" w:cs="Times New Roman"/>
          <w:sz w:val="24"/>
          <w:szCs w:val="24"/>
          <w:vertAlign w:val="superscript"/>
        </w:rPr>
        <w:footnoteReference w:id="72"/>
      </w:r>
      <w:bookmarkEnd w:id="19"/>
      <w:r w:rsidRPr="00EF4C33">
        <w:rPr>
          <w:rFonts w:ascii="Times New Roman" w:eastAsia="Times New Roman" w:hAnsi="Times New Roman" w:cs="Times New Roman"/>
          <w:sz w:val="24"/>
          <w:szCs w:val="24"/>
        </w:rPr>
        <w:t xml:space="preserve"> The text of the provision itself does not suggest that these investigations in and of themselves must be criminal investigations; impartial investigations could also be carried out by, for instance, a truth commission or fact-finding commission. Accordingly, the Mozambique and Sudan-South Sudan scenarios would be in violation of the obligation in </w:t>
      </w:r>
      <w:r w:rsidR="003E5B7C">
        <w:rPr>
          <w:rFonts w:ascii="Times New Roman" w:eastAsia="Times New Roman" w:hAnsi="Times New Roman" w:cs="Times New Roman"/>
          <w:sz w:val="24"/>
          <w:szCs w:val="24"/>
        </w:rPr>
        <w:lastRenderedPageBreak/>
        <w:t>A</w:t>
      </w:r>
      <w:r w:rsidR="003E5B7C" w:rsidRPr="00EF4C33">
        <w:rPr>
          <w:rFonts w:ascii="Times New Roman" w:eastAsia="Times New Roman" w:hAnsi="Times New Roman" w:cs="Times New Roman"/>
          <w:sz w:val="24"/>
          <w:szCs w:val="24"/>
        </w:rPr>
        <w:t xml:space="preserve">rticle </w:t>
      </w:r>
      <w:r w:rsidRPr="00EF4C33">
        <w:rPr>
          <w:rFonts w:ascii="Times New Roman" w:eastAsia="Times New Roman" w:hAnsi="Times New Roman" w:cs="Times New Roman"/>
          <w:sz w:val="24"/>
          <w:szCs w:val="24"/>
        </w:rPr>
        <w:t xml:space="preserve">8 due to the absence of any investigation, but the South African one </w:t>
      </w:r>
      <w:r w:rsidR="00112266">
        <w:rPr>
          <w:rFonts w:ascii="Times New Roman" w:eastAsia="Times New Roman" w:hAnsi="Times New Roman" w:cs="Times New Roman"/>
          <w:sz w:val="24"/>
          <w:szCs w:val="24"/>
        </w:rPr>
        <w:t xml:space="preserve">would </w:t>
      </w:r>
      <w:r w:rsidRPr="00EF4C33">
        <w:rPr>
          <w:rFonts w:ascii="Times New Roman" w:eastAsia="Times New Roman" w:hAnsi="Times New Roman" w:cs="Times New Roman"/>
          <w:sz w:val="24"/>
          <w:szCs w:val="24"/>
        </w:rPr>
        <w:t>not.</w:t>
      </w:r>
      <w:r w:rsidRPr="00EF4C33">
        <w:rPr>
          <w:rFonts w:ascii="Times New Roman" w:eastAsia="Times New Roman" w:hAnsi="Times New Roman" w:cs="Times New Roman"/>
          <w:sz w:val="24"/>
          <w:szCs w:val="24"/>
          <w:vertAlign w:val="superscript"/>
        </w:rPr>
        <w:footnoteReference w:id="73"/>
      </w:r>
      <w:r w:rsidRPr="00EF4C33">
        <w:rPr>
          <w:rFonts w:ascii="Times New Roman" w:eastAsia="Times New Roman" w:hAnsi="Times New Roman" w:cs="Times New Roman"/>
          <w:sz w:val="24"/>
          <w:szCs w:val="24"/>
        </w:rPr>
        <w:t xml:space="preserve"> However, wi</w:t>
      </w:r>
      <w:r w:rsidR="00D129B9">
        <w:rPr>
          <w:rFonts w:ascii="Times New Roman" w:eastAsia="Times New Roman" w:hAnsi="Times New Roman" w:cs="Times New Roman"/>
          <w:sz w:val="24"/>
          <w:szCs w:val="24"/>
        </w:rPr>
        <w:t xml:space="preserve">thout specifying the </w:t>
      </w:r>
      <w:r w:rsidR="00641A65">
        <w:rPr>
          <w:rFonts w:ascii="Times New Roman" w:eastAsia="Times New Roman" w:hAnsi="Times New Roman" w:cs="Times New Roman"/>
          <w:sz w:val="24"/>
          <w:szCs w:val="24"/>
        </w:rPr>
        <w:t xml:space="preserve">take </w:t>
      </w:r>
      <w:r w:rsidRPr="00EF4C33">
        <w:rPr>
          <w:rFonts w:ascii="Times New Roman" w:eastAsia="Times New Roman" w:hAnsi="Times New Roman" w:cs="Times New Roman"/>
          <w:sz w:val="24"/>
          <w:szCs w:val="24"/>
        </w:rPr>
        <w:t xml:space="preserve">away from these quotes, the </w:t>
      </w:r>
      <w:r w:rsidR="009704E1">
        <w:rPr>
          <w:rFonts w:ascii="Times New Roman" w:eastAsia="Times New Roman" w:hAnsi="Times New Roman" w:cs="Times New Roman"/>
          <w:sz w:val="24"/>
          <w:szCs w:val="24"/>
        </w:rPr>
        <w:t>c</w:t>
      </w:r>
      <w:r w:rsidR="009704E1" w:rsidRPr="00EF4C33">
        <w:rPr>
          <w:rFonts w:ascii="Times New Roman" w:eastAsia="Times New Roman" w:hAnsi="Times New Roman" w:cs="Times New Roman"/>
          <w:sz w:val="24"/>
          <w:szCs w:val="24"/>
        </w:rPr>
        <w:t xml:space="preserve">ommentary </w:t>
      </w:r>
      <w:r w:rsidRPr="00EF4C33">
        <w:rPr>
          <w:rFonts w:ascii="Times New Roman" w:eastAsia="Times New Roman" w:hAnsi="Times New Roman" w:cs="Times New Roman"/>
          <w:sz w:val="24"/>
          <w:szCs w:val="24"/>
        </w:rPr>
        <w:t>cites a recommendation made by the Committee against Torture that would suggest that a truth commission’s investigations might not comply with the duty to investigate, as it requires that investigations be ‘under the direct supervision of independent members of the judiciary’.</w:t>
      </w:r>
      <w:r w:rsidRPr="00EF4C33">
        <w:rPr>
          <w:rFonts w:ascii="Times New Roman" w:eastAsia="Times New Roman" w:hAnsi="Times New Roman" w:cs="Times New Roman"/>
          <w:sz w:val="24"/>
          <w:szCs w:val="24"/>
          <w:vertAlign w:val="superscript"/>
        </w:rPr>
        <w:footnoteReference w:id="74"/>
      </w:r>
      <w:r w:rsidRPr="00EF4C33">
        <w:rPr>
          <w:rFonts w:ascii="Times New Roman" w:eastAsia="Times New Roman" w:hAnsi="Times New Roman" w:cs="Times New Roman"/>
          <w:sz w:val="24"/>
          <w:szCs w:val="24"/>
        </w:rPr>
        <w:t xml:space="preserve"> </w:t>
      </w:r>
    </w:p>
    <w:p w14:paraId="3AFA76FF" w14:textId="77777777" w:rsidR="00B721D4" w:rsidRPr="00EF4C33" w:rsidRDefault="00B721D4" w:rsidP="00CE71D8">
      <w:pPr>
        <w:spacing w:after="0" w:line="360" w:lineRule="auto"/>
        <w:jc w:val="both"/>
        <w:rPr>
          <w:rFonts w:ascii="Times New Roman" w:eastAsia="Times New Roman" w:hAnsi="Times New Roman" w:cs="Times New Roman"/>
          <w:sz w:val="24"/>
          <w:szCs w:val="24"/>
        </w:rPr>
      </w:pPr>
    </w:p>
    <w:p w14:paraId="35B3D7A0" w14:textId="77777777" w:rsidR="00101F4C" w:rsidRPr="00101F4C" w:rsidRDefault="00101F4C" w:rsidP="00CC3B84">
      <w:pPr>
        <w:pStyle w:val="ListParagraph"/>
        <w:numPr>
          <w:ilvl w:val="3"/>
          <w:numId w:val="3"/>
        </w:numPr>
        <w:spacing w:after="0" w:line="360" w:lineRule="auto"/>
        <w:ind w:left="567"/>
        <w:jc w:val="both"/>
        <w:rPr>
          <w:rFonts w:ascii="Times New Roman" w:eastAsia="Times New Roman" w:hAnsi="Times New Roman" w:cs="Times New Roman"/>
          <w:i/>
          <w:sz w:val="24"/>
          <w:szCs w:val="24"/>
        </w:rPr>
      </w:pPr>
      <w:r w:rsidRPr="00101F4C">
        <w:rPr>
          <w:rFonts w:ascii="Times New Roman" w:eastAsia="Times New Roman" w:hAnsi="Times New Roman" w:cs="Times New Roman"/>
          <w:i/>
          <w:sz w:val="24"/>
          <w:szCs w:val="24"/>
        </w:rPr>
        <w:t>The Duty to Take Preliminary Measures</w:t>
      </w:r>
    </w:p>
    <w:p w14:paraId="4F63D770" w14:textId="77777777" w:rsidR="00B13A1D"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Draft </w:t>
      </w:r>
      <w:r w:rsidR="00112266">
        <w:rPr>
          <w:rFonts w:ascii="Times New Roman" w:eastAsia="Times New Roman" w:hAnsi="Times New Roman" w:cs="Times New Roman"/>
          <w:sz w:val="24"/>
          <w:szCs w:val="24"/>
        </w:rPr>
        <w:t>A</w:t>
      </w:r>
      <w:r w:rsidRPr="00EF4C33">
        <w:rPr>
          <w:rFonts w:ascii="Times New Roman" w:eastAsia="Times New Roman" w:hAnsi="Times New Roman" w:cs="Times New Roman"/>
          <w:sz w:val="24"/>
          <w:szCs w:val="24"/>
        </w:rPr>
        <w:t>rticle 9 obliges a state to take preliminary measures when allegations have been made against a specific offender and this offender is on its territory. These preliminary measures include, ‘upon being satisfied … that the circumstances so warrant’ to take the person into custody, and to make immediately a preliminary inquiry into the facts. An exception to the obligation could be embodied in the phrase ‘upon being satisfied … that the circumstances so warrant’</w:t>
      </w:r>
      <w:r w:rsidR="00112266">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112266">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a phrase the </w:t>
      </w:r>
      <w:r w:rsidR="00724770">
        <w:rPr>
          <w:rFonts w:ascii="Times New Roman" w:eastAsia="Times New Roman" w:hAnsi="Times New Roman" w:cs="Times New Roman"/>
          <w:sz w:val="24"/>
          <w:szCs w:val="24"/>
        </w:rPr>
        <w:t>ILC’s c</w:t>
      </w:r>
      <w:r w:rsidRPr="00EF4C33">
        <w:rPr>
          <w:rFonts w:ascii="Times New Roman" w:eastAsia="Times New Roman" w:hAnsi="Times New Roman" w:cs="Times New Roman"/>
          <w:sz w:val="24"/>
          <w:szCs w:val="24"/>
        </w:rPr>
        <w:t xml:space="preserve">ommentary leaves unexplained. It probably refers to the evidentiary threshold for taking people into custody set by the state’s domestic law, rather than any considerations of the interests of a negotiated settlement. The </w:t>
      </w:r>
      <w:r w:rsidR="00724770">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 xml:space="preserve">ommentary cites the International Court of Justice </w:t>
      </w:r>
      <w:r w:rsidR="0033548A">
        <w:rPr>
          <w:rFonts w:ascii="Times New Roman" w:eastAsia="Times New Roman" w:hAnsi="Times New Roman" w:cs="Times New Roman"/>
          <w:sz w:val="24"/>
          <w:szCs w:val="24"/>
        </w:rPr>
        <w:t xml:space="preserve">(ICJ) </w:t>
      </w:r>
      <w:r w:rsidRPr="00EF4C33">
        <w:rPr>
          <w:rFonts w:ascii="Times New Roman" w:eastAsia="Times New Roman" w:hAnsi="Times New Roman" w:cs="Times New Roman"/>
          <w:sz w:val="24"/>
          <w:szCs w:val="24"/>
        </w:rPr>
        <w:t>which has analysed a similar provision in the Convention against Torture to the effect that ‘the choice of means for conducting the inquiry remains in the hands of the States Parties’,</w:t>
      </w:r>
      <w:bookmarkStart w:id="20" w:name="_Ref393972928"/>
      <w:r w:rsidRPr="00EF4C33">
        <w:rPr>
          <w:rFonts w:ascii="Times New Roman" w:eastAsia="Times New Roman" w:hAnsi="Times New Roman" w:cs="Times New Roman"/>
          <w:sz w:val="24"/>
          <w:szCs w:val="24"/>
          <w:vertAlign w:val="superscript"/>
        </w:rPr>
        <w:footnoteReference w:id="75"/>
      </w:r>
      <w:bookmarkEnd w:id="20"/>
      <w:r w:rsidRPr="00EF4C33">
        <w:rPr>
          <w:rFonts w:ascii="Times New Roman" w:eastAsia="Times New Roman" w:hAnsi="Times New Roman" w:cs="Times New Roman"/>
          <w:sz w:val="24"/>
          <w:szCs w:val="24"/>
        </w:rPr>
        <w:t xml:space="preserve"> but the requirement of custody suggests that the article does not allow alternatives to criminal proceedings. Indeed, the </w:t>
      </w:r>
      <w:r w:rsidR="00724770">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ommentary also quotes the ICJ in the same case to argue that the purpose of the preliminary measures is ‘to enable proceedings to be brought against the suspect … and to achieve the object and purpose of the Convention, which is to make more effective the struggle against torture by avoiding impunity for the perpetrators of such acts.’</w:t>
      </w:r>
      <w:r w:rsidRPr="00EF4C33">
        <w:rPr>
          <w:rFonts w:ascii="Times New Roman" w:eastAsia="Times New Roman" w:hAnsi="Times New Roman" w:cs="Times New Roman"/>
          <w:sz w:val="24"/>
          <w:szCs w:val="24"/>
          <w:vertAlign w:val="superscript"/>
        </w:rPr>
        <w:footnoteReference w:id="76"/>
      </w:r>
      <w:r w:rsidRPr="00EF4C33">
        <w:rPr>
          <w:rFonts w:ascii="Times New Roman" w:eastAsia="Times New Roman" w:hAnsi="Times New Roman" w:cs="Times New Roman"/>
          <w:sz w:val="24"/>
          <w:szCs w:val="24"/>
        </w:rPr>
        <w:t xml:space="preserve"> Whereas in a broad understanding</w:t>
      </w:r>
      <w:r w:rsidR="00D129B9">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impunity can be countered in ways other than through criminal trials, in the context of the proposed </w:t>
      </w:r>
      <w:r w:rsidR="005414EC">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 xml:space="preserve">onvention with its focus on criminal justice, </w:t>
      </w:r>
      <w:r w:rsidR="00724770">
        <w:rPr>
          <w:rFonts w:ascii="Times New Roman" w:eastAsia="Times New Roman" w:hAnsi="Times New Roman" w:cs="Times New Roman"/>
          <w:sz w:val="24"/>
          <w:szCs w:val="24"/>
        </w:rPr>
        <w:t>A</w:t>
      </w:r>
      <w:r w:rsidRPr="00EF4C33">
        <w:rPr>
          <w:rFonts w:ascii="Times New Roman" w:eastAsia="Times New Roman" w:hAnsi="Times New Roman" w:cs="Times New Roman"/>
          <w:sz w:val="24"/>
          <w:szCs w:val="24"/>
        </w:rPr>
        <w:t>rticle 9 is likely to be interpreted to require preparations for criminal trials.</w:t>
      </w:r>
    </w:p>
    <w:p w14:paraId="444CB403" w14:textId="77777777" w:rsidR="00027F8F" w:rsidRPr="00EF4C33"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 </w:t>
      </w:r>
    </w:p>
    <w:p w14:paraId="4DA2A624" w14:textId="77777777" w:rsidR="00101F4C" w:rsidRPr="00101F4C" w:rsidRDefault="00101F4C" w:rsidP="00CC3B84">
      <w:pPr>
        <w:pStyle w:val="ListParagraph"/>
        <w:spacing w:after="0" w:line="360" w:lineRule="auto"/>
        <w:ind w:left="567" w:hanging="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w:t>
      </w:r>
      <w:r w:rsidRPr="00101F4C">
        <w:rPr>
          <w:rFonts w:ascii="Times New Roman" w:eastAsia="Times New Roman" w:hAnsi="Times New Roman" w:cs="Times New Roman"/>
          <w:i/>
          <w:sz w:val="24"/>
          <w:szCs w:val="24"/>
        </w:rPr>
        <w:t>The Duty to Submit the Case for Prosecution</w:t>
      </w:r>
      <w:r>
        <w:rPr>
          <w:rFonts w:ascii="Times New Roman" w:eastAsia="Times New Roman" w:hAnsi="Times New Roman" w:cs="Times New Roman"/>
          <w:i/>
          <w:sz w:val="24"/>
          <w:szCs w:val="24"/>
        </w:rPr>
        <w:t xml:space="preserve"> or Extradite</w:t>
      </w:r>
      <w:r w:rsidR="009274F0" w:rsidRPr="00101F4C">
        <w:rPr>
          <w:rFonts w:ascii="Times New Roman" w:eastAsia="Times New Roman" w:hAnsi="Times New Roman" w:cs="Times New Roman"/>
          <w:i/>
          <w:sz w:val="24"/>
          <w:szCs w:val="24"/>
        </w:rPr>
        <w:tab/>
      </w:r>
    </w:p>
    <w:p w14:paraId="73CC7EC1" w14:textId="77777777" w:rsidR="00027F8F" w:rsidRPr="00EF4C33" w:rsidRDefault="00F43A6B" w:rsidP="00CE71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Draft </w:t>
      </w:r>
      <w:r w:rsidR="009274F0" w:rsidRPr="00EF4C33">
        <w:rPr>
          <w:rFonts w:ascii="Times New Roman" w:eastAsia="Times New Roman" w:hAnsi="Times New Roman" w:cs="Times New Roman"/>
          <w:sz w:val="24"/>
          <w:szCs w:val="24"/>
        </w:rPr>
        <w:t>Article 10 provides the crux of the regime: the obligation to ‘submit the case to [the] competent authorities for the purpose of prosecution’, the only exception to which is extradition or surrender to another state or international criminal tribunal. The article gives some leeway in that it does not require prosecution; it obliges only to ‘submit the case … for the purpose of prosecution’. Prosecutorial authorities may decide to prosecute, or not to.</w:t>
      </w:r>
      <w:r w:rsidR="009274F0" w:rsidRPr="00EF4C33">
        <w:rPr>
          <w:rFonts w:ascii="Times New Roman" w:eastAsia="Times New Roman" w:hAnsi="Times New Roman" w:cs="Times New Roman"/>
          <w:sz w:val="24"/>
          <w:szCs w:val="24"/>
          <w:vertAlign w:val="superscript"/>
        </w:rPr>
        <w:footnoteReference w:id="77"/>
      </w:r>
      <w:r w:rsidR="009274F0" w:rsidRPr="00EF4C33">
        <w:rPr>
          <w:rFonts w:ascii="Times New Roman" w:eastAsia="Times New Roman" w:hAnsi="Times New Roman" w:cs="Times New Roman"/>
          <w:sz w:val="24"/>
          <w:szCs w:val="24"/>
        </w:rPr>
        <w:t xml:space="preserve"> The </w:t>
      </w:r>
      <w:r w:rsidR="00101756">
        <w:rPr>
          <w:rFonts w:ascii="Times New Roman" w:eastAsia="Times New Roman" w:hAnsi="Times New Roman" w:cs="Times New Roman"/>
          <w:sz w:val="24"/>
          <w:szCs w:val="24"/>
        </w:rPr>
        <w:t>c</w:t>
      </w:r>
      <w:r w:rsidR="009274F0" w:rsidRPr="00EF4C33">
        <w:rPr>
          <w:rFonts w:ascii="Times New Roman" w:eastAsia="Times New Roman" w:hAnsi="Times New Roman" w:cs="Times New Roman"/>
          <w:sz w:val="24"/>
          <w:szCs w:val="24"/>
        </w:rPr>
        <w:t>ommentary mentions as one relevant factor the sufficiency of evidence of guilt.</w:t>
      </w:r>
      <w:r w:rsidR="009274F0" w:rsidRPr="00EF4C33">
        <w:rPr>
          <w:rFonts w:ascii="Times New Roman" w:eastAsia="Times New Roman" w:hAnsi="Times New Roman" w:cs="Times New Roman"/>
          <w:sz w:val="24"/>
          <w:szCs w:val="24"/>
          <w:vertAlign w:val="superscript"/>
        </w:rPr>
        <w:footnoteReference w:id="78"/>
      </w:r>
      <w:r w:rsidR="009274F0" w:rsidRPr="00EF4C33">
        <w:rPr>
          <w:rFonts w:ascii="Times New Roman" w:eastAsia="Times New Roman" w:hAnsi="Times New Roman" w:cs="Times New Roman"/>
          <w:sz w:val="24"/>
          <w:szCs w:val="24"/>
        </w:rPr>
        <w:t xml:space="preserve"> The </w:t>
      </w:r>
      <w:r w:rsidR="00101756">
        <w:rPr>
          <w:rFonts w:ascii="Times New Roman" w:eastAsia="Times New Roman" w:hAnsi="Times New Roman" w:cs="Times New Roman"/>
          <w:sz w:val="24"/>
          <w:szCs w:val="24"/>
        </w:rPr>
        <w:t>c</w:t>
      </w:r>
      <w:r w:rsidR="009274F0" w:rsidRPr="00EF4C33">
        <w:rPr>
          <w:rFonts w:ascii="Times New Roman" w:eastAsia="Times New Roman" w:hAnsi="Times New Roman" w:cs="Times New Roman"/>
          <w:sz w:val="24"/>
          <w:szCs w:val="24"/>
        </w:rPr>
        <w:t>ommentary cites the ICJ again where it interprets the analogous obligation in the Convention against Torture and the Convention for the Suppression of Unlawful Seizure of Aircraft to explain that the formulation was meant to ‘respect … the independence of States parties’ judicial systems’.</w:t>
      </w:r>
      <w:r w:rsidR="009274F0" w:rsidRPr="00EF4C33">
        <w:rPr>
          <w:rFonts w:ascii="Times New Roman" w:eastAsia="Times New Roman" w:hAnsi="Times New Roman" w:cs="Times New Roman"/>
          <w:sz w:val="24"/>
          <w:szCs w:val="24"/>
          <w:vertAlign w:val="superscript"/>
        </w:rPr>
        <w:footnoteReference w:id="79"/>
      </w:r>
      <w:r w:rsidR="009274F0" w:rsidRPr="00EF4C33">
        <w:rPr>
          <w:rFonts w:ascii="Times New Roman" w:eastAsia="Times New Roman" w:hAnsi="Times New Roman" w:cs="Times New Roman"/>
          <w:sz w:val="24"/>
          <w:szCs w:val="24"/>
        </w:rPr>
        <w:t xml:space="preserve"> However, the discretion is limited by the second sentence of the relevant provisions in those conventions, and of Article 10 in the </w:t>
      </w:r>
      <w:r w:rsidR="009704E1">
        <w:rPr>
          <w:rFonts w:ascii="Times New Roman" w:eastAsia="Times New Roman" w:hAnsi="Times New Roman" w:cs="Times New Roman"/>
          <w:sz w:val="24"/>
          <w:szCs w:val="24"/>
        </w:rPr>
        <w:t>draft articles on crimes against humanity</w:t>
      </w:r>
      <w:r w:rsidR="009274F0" w:rsidRPr="00EF4C33">
        <w:rPr>
          <w:rFonts w:ascii="Times New Roman" w:eastAsia="Times New Roman" w:hAnsi="Times New Roman" w:cs="Times New Roman"/>
          <w:sz w:val="24"/>
          <w:szCs w:val="24"/>
        </w:rPr>
        <w:t xml:space="preserve">, providing as it does that the authorities ‘shall take their decision in the same manner as in the case of any other offence of a grave nature under the law of that State’. Still, if the domestic law grants prosecutorial authorities substantive discretion even in the case of serious crimes, or allows amnesties for other grave crimes, crimes against humanity would not always have to be prosecuted. </w:t>
      </w:r>
    </w:p>
    <w:p w14:paraId="07279D7D"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The real issue arises sooner, however, in that the effect of an amnesty is likely to be that a case will not even be submitted for prosecution. Indeed, the </w:t>
      </w:r>
      <w:r w:rsidR="00E75F23">
        <w:rPr>
          <w:rFonts w:ascii="Times New Roman" w:eastAsia="Times New Roman" w:hAnsi="Times New Roman" w:cs="Times New Roman"/>
          <w:sz w:val="24"/>
          <w:szCs w:val="24"/>
        </w:rPr>
        <w:t>ILC’s c</w:t>
      </w:r>
      <w:r w:rsidRPr="00EF4C33">
        <w:rPr>
          <w:rFonts w:ascii="Times New Roman" w:eastAsia="Times New Roman" w:hAnsi="Times New Roman" w:cs="Times New Roman"/>
          <w:sz w:val="24"/>
          <w:szCs w:val="24"/>
        </w:rPr>
        <w:t>ommentary e</w:t>
      </w:r>
      <w:r w:rsidR="00274A30">
        <w:rPr>
          <w:rFonts w:ascii="Times New Roman" w:eastAsia="Times New Roman" w:hAnsi="Times New Roman" w:cs="Times New Roman"/>
          <w:sz w:val="24"/>
          <w:szCs w:val="24"/>
        </w:rPr>
        <w:t>xplicitly acknowledges that the</w:t>
      </w:r>
      <w:r w:rsidRPr="00EF4C33">
        <w:rPr>
          <w:rFonts w:ascii="Times New Roman" w:eastAsia="Times New Roman" w:hAnsi="Times New Roman" w:cs="Times New Roman"/>
          <w:sz w:val="24"/>
          <w:szCs w:val="24"/>
        </w:rPr>
        <w:t xml:space="preserve"> obligation</w:t>
      </w:r>
      <w:r w:rsidR="00274A30">
        <w:rPr>
          <w:rFonts w:ascii="Times New Roman" w:eastAsia="Times New Roman" w:hAnsi="Times New Roman" w:cs="Times New Roman"/>
          <w:sz w:val="24"/>
          <w:szCs w:val="24"/>
        </w:rPr>
        <w:t xml:space="preserve"> contained in </w:t>
      </w:r>
      <w:r w:rsidR="00E75F23">
        <w:rPr>
          <w:rFonts w:ascii="Times New Roman" w:eastAsia="Times New Roman" w:hAnsi="Times New Roman" w:cs="Times New Roman"/>
          <w:sz w:val="24"/>
          <w:szCs w:val="24"/>
        </w:rPr>
        <w:t>A</w:t>
      </w:r>
      <w:r w:rsidR="00274A30">
        <w:rPr>
          <w:rFonts w:ascii="Times New Roman" w:eastAsia="Times New Roman" w:hAnsi="Times New Roman" w:cs="Times New Roman"/>
          <w:sz w:val="24"/>
          <w:szCs w:val="24"/>
        </w:rPr>
        <w:t>rticle 10</w:t>
      </w:r>
      <w:r w:rsidRPr="00EF4C33">
        <w:rPr>
          <w:rFonts w:ascii="Times New Roman" w:eastAsia="Times New Roman" w:hAnsi="Times New Roman" w:cs="Times New Roman"/>
          <w:sz w:val="24"/>
          <w:szCs w:val="24"/>
        </w:rPr>
        <w:t xml:space="preserve"> ‘may conflict with the ability of the State to implement an amnesty’.</w:t>
      </w:r>
      <w:r w:rsidRPr="00EF4C33">
        <w:rPr>
          <w:rFonts w:ascii="Times New Roman" w:eastAsia="Times New Roman" w:hAnsi="Times New Roman" w:cs="Times New Roman"/>
          <w:sz w:val="24"/>
          <w:szCs w:val="24"/>
          <w:vertAlign w:val="superscript"/>
        </w:rPr>
        <w:footnoteReference w:id="80"/>
      </w:r>
      <w:r w:rsidRPr="00EF4C33">
        <w:rPr>
          <w:rFonts w:ascii="Times New Roman" w:eastAsia="Times New Roman" w:hAnsi="Times New Roman" w:cs="Times New Roman"/>
          <w:sz w:val="24"/>
          <w:szCs w:val="24"/>
        </w:rPr>
        <w:t xml:space="preserve"> It is in this respect that the </w:t>
      </w:r>
      <w:r w:rsidR="002C1CD1">
        <w:rPr>
          <w:rFonts w:ascii="Times New Roman" w:eastAsia="Times New Roman" w:hAnsi="Times New Roman" w:cs="Times New Roman"/>
          <w:sz w:val="24"/>
          <w:szCs w:val="24"/>
        </w:rPr>
        <w:t xml:space="preserve">proposed </w:t>
      </w:r>
      <w:r w:rsidRPr="00EF4C33">
        <w:rPr>
          <w:rFonts w:ascii="Times New Roman" w:eastAsia="Times New Roman" w:hAnsi="Times New Roman" w:cs="Times New Roman"/>
          <w:sz w:val="24"/>
          <w:szCs w:val="24"/>
        </w:rPr>
        <w:t xml:space="preserve">Convention </w:t>
      </w:r>
      <w:r w:rsidR="00AB4D62">
        <w:rPr>
          <w:rFonts w:ascii="Times New Roman" w:eastAsia="Times New Roman" w:hAnsi="Times New Roman" w:cs="Times New Roman"/>
          <w:sz w:val="24"/>
          <w:szCs w:val="24"/>
        </w:rPr>
        <w:t xml:space="preserve">could </w:t>
      </w:r>
      <w:r w:rsidRPr="00EF4C33">
        <w:rPr>
          <w:rFonts w:ascii="Times New Roman" w:eastAsia="Times New Roman" w:hAnsi="Times New Roman" w:cs="Times New Roman"/>
          <w:sz w:val="24"/>
          <w:szCs w:val="24"/>
        </w:rPr>
        <w:t xml:space="preserve">change the normative landscape fundamentally. Whether </w:t>
      </w:r>
      <w:r w:rsidR="00AB4D62">
        <w:rPr>
          <w:rFonts w:ascii="Times New Roman" w:eastAsia="Times New Roman" w:hAnsi="Times New Roman" w:cs="Times New Roman"/>
          <w:sz w:val="24"/>
          <w:szCs w:val="24"/>
        </w:rPr>
        <w:t>this change will</w:t>
      </w:r>
      <w:r w:rsidRPr="00EF4C33">
        <w:rPr>
          <w:rFonts w:ascii="Times New Roman" w:eastAsia="Times New Roman" w:hAnsi="Times New Roman" w:cs="Times New Roman"/>
          <w:sz w:val="24"/>
          <w:szCs w:val="24"/>
        </w:rPr>
        <w:t xml:space="preserve"> indeed </w:t>
      </w:r>
      <w:r w:rsidR="00AB4D62">
        <w:rPr>
          <w:rFonts w:ascii="Times New Roman" w:eastAsia="Times New Roman" w:hAnsi="Times New Roman" w:cs="Times New Roman"/>
          <w:sz w:val="24"/>
          <w:szCs w:val="24"/>
        </w:rPr>
        <w:t xml:space="preserve">be </w:t>
      </w:r>
      <w:r w:rsidRPr="00EF4C33">
        <w:rPr>
          <w:rFonts w:ascii="Times New Roman" w:eastAsia="Times New Roman" w:hAnsi="Times New Roman" w:cs="Times New Roman"/>
          <w:sz w:val="24"/>
          <w:szCs w:val="24"/>
        </w:rPr>
        <w:t xml:space="preserve">fundamental depends on whether </w:t>
      </w:r>
      <w:r w:rsidR="00AB4D62">
        <w:rPr>
          <w:rFonts w:ascii="Times New Roman" w:eastAsia="Times New Roman" w:hAnsi="Times New Roman" w:cs="Times New Roman"/>
          <w:sz w:val="24"/>
          <w:szCs w:val="24"/>
        </w:rPr>
        <w:t>the said</w:t>
      </w:r>
      <w:r w:rsidR="00AB4D62"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obligation codifi</w:t>
      </w:r>
      <w:r w:rsidR="00AB4D62">
        <w:rPr>
          <w:rFonts w:ascii="Times New Roman" w:eastAsia="Times New Roman" w:hAnsi="Times New Roman" w:cs="Times New Roman"/>
          <w:sz w:val="24"/>
          <w:szCs w:val="24"/>
        </w:rPr>
        <w:t>es</w:t>
      </w:r>
      <w:r w:rsidRPr="00EF4C33">
        <w:rPr>
          <w:rFonts w:ascii="Times New Roman" w:eastAsia="Times New Roman" w:hAnsi="Times New Roman" w:cs="Times New Roman"/>
          <w:sz w:val="24"/>
          <w:szCs w:val="24"/>
        </w:rPr>
        <w:t xml:space="preserve"> or pro</w:t>
      </w:r>
      <w:r w:rsidR="00C95DF6">
        <w:rPr>
          <w:rFonts w:ascii="Times New Roman" w:eastAsia="Times New Roman" w:hAnsi="Times New Roman" w:cs="Times New Roman"/>
          <w:sz w:val="24"/>
          <w:szCs w:val="24"/>
        </w:rPr>
        <w:t>gressive</w:t>
      </w:r>
      <w:r w:rsidR="00AB4D62">
        <w:rPr>
          <w:rFonts w:ascii="Times New Roman" w:eastAsia="Times New Roman" w:hAnsi="Times New Roman" w:cs="Times New Roman"/>
          <w:sz w:val="24"/>
          <w:szCs w:val="24"/>
        </w:rPr>
        <w:t>ly</w:t>
      </w:r>
      <w:r w:rsidR="00C95DF6">
        <w:rPr>
          <w:rFonts w:ascii="Times New Roman" w:eastAsia="Times New Roman" w:hAnsi="Times New Roman" w:cs="Times New Roman"/>
          <w:sz w:val="24"/>
          <w:szCs w:val="24"/>
        </w:rPr>
        <w:t xml:space="preserve"> develo</w:t>
      </w:r>
      <w:r w:rsidR="00AB4D62">
        <w:rPr>
          <w:rFonts w:ascii="Times New Roman" w:eastAsia="Times New Roman" w:hAnsi="Times New Roman" w:cs="Times New Roman"/>
          <w:sz w:val="24"/>
          <w:szCs w:val="24"/>
        </w:rPr>
        <w:t>ps</w:t>
      </w:r>
      <w:r w:rsidR="00C95DF6">
        <w:rPr>
          <w:rFonts w:ascii="Times New Roman" w:eastAsia="Times New Roman" w:hAnsi="Times New Roman" w:cs="Times New Roman"/>
          <w:sz w:val="24"/>
          <w:szCs w:val="24"/>
        </w:rPr>
        <w:t xml:space="preserve"> the law</w:t>
      </w:r>
      <w:r w:rsidRPr="00EF4C33">
        <w:rPr>
          <w:rFonts w:ascii="Times New Roman" w:eastAsia="Times New Roman" w:hAnsi="Times New Roman" w:cs="Times New Roman"/>
          <w:sz w:val="24"/>
          <w:szCs w:val="24"/>
        </w:rPr>
        <w:t xml:space="preserve"> and, specifically, on </w:t>
      </w:r>
      <w:r w:rsidR="002C1CD1">
        <w:rPr>
          <w:rFonts w:ascii="Times New Roman" w:eastAsia="Times New Roman" w:hAnsi="Times New Roman" w:cs="Times New Roman"/>
          <w:sz w:val="24"/>
          <w:szCs w:val="24"/>
        </w:rPr>
        <w:t xml:space="preserve">international law’s </w:t>
      </w:r>
      <w:r w:rsidRPr="00EF4C33">
        <w:rPr>
          <w:rFonts w:ascii="Times New Roman" w:eastAsia="Times New Roman" w:hAnsi="Times New Roman" w:cs="Times New Roman"/>
          <w:sz w:val="24"/>
          <w:szCs w:val="24"/>
        </w:rPr>
        <w:t xml:space="preserve">current </w:t>
      </w:r>
      <w:r w:rsidR="002C1CD1" w:rsidRPr="00EF4C33">
        <w:rPr>
          <w:rFonts w:ascii="Times New Roman" w:eastAsia="Times New Roman" w:hAnsi="Times New Roman" w:cs="Times New Roman"/>
          <w:sz w:val="24"/>
          <w:szCs w:val="24"/>
        </w:rPr>
        <w:t>position on</w:t>
      </w:r>
      <w:r w:rsidRPr="00EF4C33">
        <w:rPr>
          <w:rFonts w:ascii="Times New Roman" w:eastAsia="Times New Roman" w:hAnsi="Times New Roman" w:cs="Times New Roman"/>
          <w:sz w:val="24"/>
          <w:szCs w:val="24"/>
        </w:rPr>
        <w:t xml:space="preserve"> amnesties. </w:t>
      </w:r>
    </w:p>
    <w:p w14:paraId="15D18321"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The ILC’s </w:t>
      </w:r>
      <w:r w:rsidR="004A3081">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ommentary leaves the issue open. It dedicates three paragraphs to observations about amnesties</w:t>
      </w:r>
      <w:r w:rsidR="004A3081">
        <w:rPr>
          <w:rFonts w:ascii="Times New Roman" w:eastAsia="Times New Roman" w:hAnsi="Times New Roman" w:cs="Times New Roman"/>
          <w:sz w:val="24"/>
          <w:szCs w:val="24"/>
        </w:rPr>
        <w:t xml:space="preserve">, </w:t>
      </w:r>
      <w:r w:rsidR="002C1CD1">
        <w:rPr>
          <w:rFonts w:ascii="Times New Roman" w:eastAsia="Times New Roman" w:hAnsi="Times New Roman" w:cs="Times New Roman"/>
          <w:sz w:val="24"/>
          <w:szCs w:val="24"/>
        </w:rPr>
        <w:t>setting forth</w:t>
      </w:r>
      <w:r w:rsidRPr="00EF4C33">
        <w:rPr>
          <w:rFonts w:ascii="Times New Roman" w:eastAsia="Times New Roman" w:hAnsi="Times New Roman" w:cs="Times New Roman"/>
          <w:sz w:val="24"/>
          <w:szCs w:val="24"/>
        </w:rPr>
        <w:t xml:space="preserve"> that there are several kinds of amnesties; that the possibility of including a provision on amnesty was debated during the negotiation of the </w:t>
      </w:r>
      <w:r w:rsidR="004A3081">
        <w:rPr>
          <w:rFonts w:ascii="Times New Roman" w:eastAsia="Times New Roman" w:hAnsi="Times New Roman" w:cs="Times New Roman"/>
          <w:sz w:val="24"/>
          <w:szCs w:val="24"/>
        </w:rPr>
        <w:t>ICC</w:t>
      </w:r>
      <w:r w:rsidR="004A3081"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Statute and the Convention on Enforced Disappearance but that no such provision was included; what international courts have said about amnesties; the position of the UN </w:t>
      </w:r>
      <w:r w:rsidRPr="00EF4C33">
        <w:rPr>
          <w:rFonts w:ascii="Times New Roman" w:eastAsia="Times New Roman" w:hAnsi="Times New Roman" w:cs="Times New Roman"/>
          <w:sz w:val="24"/>
          <w:szCs w:val="24"/>
        </w:rPr>
        <w:lastRenderedPageBreak/>
        <w:t xml:space="preserve">Secretariat; and some state practice prohibiting amnesties. But it </w:t>
      </w:r>
      <w:r w:rsidR="00C95DF6">
        <w:rPr>
          <w:rFonts w:ascii="Times New Roman" w:eastAsia="Times New Roman" w:hAnsi="Times New Roman" w:cs="Times New Roman"/>
          <w:sz w:val="24"/>
          <w:szCs w:val="24"/>
        </w:rPr>
        <w:t xml:space="preserve">does not specify the legal take </w:t>
      </w:r>
      <w:r w:rsidRPr="00EF4C33">
        <w:rPr>
          <w:rFonts w:ascii="Times New Roman" w:eastAsia="Times New Roman" w:hAnsi="Times New Roman" w:cs="Times New Roman"/>
          <w:sz w:val="24"/>
          <w:szCs w:val="24"/>
        </w:rPr>
        <w:t xml:space="preserve">away from these observations. Rather, it concludes its observations in a fourth paragraph: </w:t>
      </w:r>
    </w:p>
    <w:p w14:paraId="21A03DBD" w14:textId="77777777" w:rsidR="00B13A1D" w:rsidRDefault="00B13A1D" w:rsidP="00CE71D8">
      <w:pPr>
        <w:spacing w:after="0" w:line="360" w:lineRule="auto"/>
        <w:jc w:val="both"/>
        <w:rPr>
          <w:rFonts w:ascii="Times New Roman" w:eastAsia="Times New Roman" w:hAnsi="Times New Roman" w:cs="Times New Roman"/>
          <w:sz w:val="24"/>
          <w:szCs w:val="24"/>
        </w:rPr>
      </w:pPr>
    </w:p>
    <w:p w14:paraId="1B6D50B5" w14:textId="77777777" w:rsidR="00027F8F" w:rsidRPr="00EF4C33" w:rsidRDefault="009274F0" w:rsidP="00B13A1D">
      <w:pPr>
        <w:spacing w:after="0" w:line="360" w:lineRule="auto"/>
        <w:ind w:left="567" w:right="567"/>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With respect to the present draft articles, it is noted that an amnesty adopted by one State would not bar prosecution by another State with concurrent jurisdiction over the offence. Within the State that has adopted the amnesty, its permissibility would need to be evaluated, </w:t>
      </w:r>
      <w:r w:rsidRPr="00EF4C33">
        <w:rPr>
          <w:rFonts w:ascii="Times New Roman" w:eastAsia="Times New Roman" w:hAnsi="Times New Roman" w:cs="Times New Roman"/>
          <w:i/>
          <w:sz w:val="24"/>
          <w:szCs w:val="24"/>
        </w:rPr>
        <w:t>inter alia</w:t>
      </w:r>
      <w:r w:rsidRPr="00EF4C33">
        <w:rPr>
          <w:rFonts w:ascii="Times New Roman" w:eastAsia="Times New Roman" w:hAnsi="Times New Roman" w:cs="Times New Roman"/>
          <w:sz w:val="24"/>
          <w:szCs w:val="24"/>
        </w:rPr>
        <w:t xml:space="preserve">, in the light of that State’s obligations under the present draft articles to criminalize crimes against humanity, to comply with its </w:t>
      </w:r>
      <w:proofErr w:type="spellStart"/>
      <w:r w:rsidRPr="00EF4C33">
        <w:rPr>
          <w:rFonts w:ascii="Times New Roman" w:eastAsia="Times New Roman" w:hAnsi="Times New Roman" w:cs="Times New Roman"/>
          <w:i/>
          <w:sz w:val="24"/>
          <w:szCs w:val="24"/>
        </w:rPr>
        <w:t>aut</w:t>
      </w:r>
      <w:proofErr w:type="spellEnd"/>
      <w:r w:rsidRPr="00EF4C33">
        <w:rPr>
          <w:rFonts w:ascii="Times New Roman" w:eastAsia="Times New Roman" w:hAnsi="Times New Roman" w:cs="Times New Roman"/>
          <w:i/>
          <w:sz w:val="24"/>
          <w:szCs w:val="24"/>
        </w:rPr>
        <w:t xml:space="preserve"> </w:t>
      </w:r>
      <w:proofErr w:type="spellStart"/>
      <w:r w:rsidRPr="00EF4C33">
        <w:rPr>
          <w:rFonts w:ascii="Times New Roman" w:eastAsia="Times New Roman" w:hAnsi="Times New Roman" w:cs="Times New Roman"/>
          <w:i/>
          <w:sz w:val="24"/>
          <w:szCs w:val="24"/>
        </w:rPr>
        <w:t>dedere</w:t>
      </w:r>
      <w:proofErr w:type="spellEnd"/>
      <w:r w:rsidRPr="00EF4C33">
        <w:rPr>
          <w:rFonts w:ascii="Times New Roman" w:eastAsia="Times New Roman" w:hAnsi="Times New Roman" w:cs="Times New Roman"/>
          <w:i/>
          <w:sz w:val="24"/>
          <w:szCs w:val="24"/>
        </w:rPr>
        <w:t xml:space="preserve"> </w:t>
      </w:r>
      <w:proofErr w:type="spellStart"/>
      <w:r w:rsidRPr="00EF4C33">
        <w:rPr>
          <w:rFonts w:ascii="Times New Roman" w:eastAsia="Times New Roman" w:hAnsi="Times New Roman" w:cs="Times New Roman"/>
          <w:i/>
          <w:sz w:val="24"/>
          <w:szCs w:val="24"/>
        </w:rPr>
        <w:t>aut</w:t>
      </w:r>
      <w:proofErr w:type="spellEnd"/>
      <w:r w:rsidRPr="00EF4C33">
        <w:rPr>
          <w:rFonts w:ascii="Times New Roman" w:eastAsia="Times New Roman" w:hAnsi="Times New Roman" w:cs="Times New Roman"/>
          <w:i/>
          <w:sz w:val="24"/>
          <w:szCs w:val="24"/>
        </w:rPr>
        <w:t xml:space="preserve"> </w:t>
      </w:r>
      <w:proofErr w:type="spellStart"/>
      <w:r w:rsidRPr="00EF4C33">
        <w:rPr>
          <w:rFonts w:ascii="Times New Roman" w:eastAsia="Times New Roman" w:hAnsi="Times New Roman" w:cs="Times New Roman"/>
          <w:i/>
          <w:sz w:val="24"/>
          <w:szCs w:val="24"/>
        </w:rPr>
        <w:t>judicare</w:t>
      </w:r>
      <w:proofErr w:type="spellEnd"/>
      <w:r w:rsidRPr="00EF4C33">
        <w:rPr>
          <w:rFonts w:ascii="Times New Roman" w:eastAsia="Times New Roman" w:hAnsi="Times New Roman" w:cs="Times New Roman"/>
          <w:i/>
          <w:sz w:val="24"/>
          <w:szCs w:val="24"/>
        </w:rPr>
        <w:t xml:space="preserve"> </w:t>
      </w:r>
      <w:r w:rsidRPr="00EF4C33">
        <w:rPr>
          <w:rFonts w:ascii="Times New Roman" w:eastAsia="Times New Roman" w:hAnsi="Times New Roman" w:cs="Times New Roman"/>
          <w:sz w:val="24"/>
          <w:szCs w:val="24"/>
        </w:rPr>
        <w:t>obligation, and to fulfil its obligations to victims and others.</w:t>
      </w:r>
      <w:r w:rsidRPr="00EF4C33">
        <w:rPr>
          <w:rFonts w:ascii="Times New Roman" w:eastAsia="Times New Roman" w:hAnsi="Times New Roman" w:cs="Times New Roman"/>
          <w:sz w:val="24"/>
          <w:szCs w:val="24"/>
          <w:vertAlign w:val="superscript"/>
        </w:rPr>
        <w:footnoteReference w:id="81"/>
      </w:r>
    </w:p>
    <w:p w14:paraId="4BBDE973" w14:textId="77777777" w:rsidR="00B13A1D" w:rsidRDefault="00B13A1D" w:rsidP="00CE71D8">
      <w:pPr>
        <w:spacing w:after="0" w:line="360" w:lineRule="auto"/>
        <w:ind w:firstLine="720"/>
        <w:jc w:val="both"/>
        <w:rPr>
          <w:rFonts w:ascii="Times New Roman" w:eastAsia="Times New Roman" w:hAnsi="Times New Roman" w:cs="Times New Roman"/>
          <w:sz w:val="24"/>
          <w:szCs w:val="24"/>
        </w:rPr>
      </w:pPr>
    </w:p>
    <w:p w14:paraId="4FB1B55F"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The first sentence of this conclusion is true and obvious: amnesties </w:t>
      </w:r>
      <w:r w:rsidR="00C95DF6">
        <w:rPr>
          <w:rFonts w:ascii="Times New Roman" w:eastAsia="Times New Roman" w:hAnsi="Times New Roman" w:cs="Times New Roman"/>
          <w:sz w:val="24"/>
          <w:szCs w:val="24"/>
        </w:rPr>
        <w:t>granted</w:t>
      </w:r>
      <w:r w:rsidRPr="00EF4C33">
        <w:rPr>
          <w:rFonts w:ascii="Times New Roman" w:eastAsia="Times New Roman" w:hAnsi="Times New Roman" w:cs="Times New Roman"/>
          <w:sz w:val="24"/>
          <w:szCs w:val="24"/>
        </w:rPr>
        <w:t xml:space="preserve"> in national instruments do not bind other states. The second sentence, however, begs the question: can amnesties be compatible with the obligations to criminalise, to fulfil victims’ rights and to prosecute or extradite? An amnesty does not run counter to criminalisation; it does not render conduct in accordance with the law, but removes the ordinary criminal-law consequences of such conduct, and only for those who benefit from the amnesty. Indeed, an amnesty can be given only on the basis that conduct is considered criminal in the first place. With respect to victims’ rights,</w:t>
      </w:r>
      <w:r w:rsidR="00F516AF">
        <w:rPr>
          <w:rStyle w:val="CommentReference"/>
        </w:rPr>
        <w:t xml:space="preserve"> </w:t>
      </w:r>
      <w:r w:rsidRPr="00EF4C33">
        <w:rPr>
          <w:rFonts w:ascii="Times New Roman" w:eastAsia="Times New Roman" w:hAnsi="Times New Roman" w:cs="Times New Roman"/>
          <w:sz w:val="24"/>
          <w:szCs w:val="24"/>
        </w:rPr>
        <w:t>while victims have the right to obtain reparation, it is less clear that they also have a right to crimi</w:t>
      </w:r>
      <w:r w:rsidR="00C95DF6">
        <w:rPr>
          <w:rFonts w:ascii="Times New Roman" w:eastAsia="Times New Roman" w:hAnsi="Times New Roman" w:cs="Times New Roman"/>
          <w:sz w:val="24"/>
          <w:szCs w:val="24"/>
        </w:rPr>
        <w:t xml:space="preserve">nal proceedings. While the case </w:t>
      </w:r>
      <w:r w:rsidRPr="00EF4C33">
        <w:rPr>
          <w:rFonts w:ascii="Times New Roman" w:eastAsia="Times New Roman" w:hAnsi="Times New Roman" w:cs="Times New Roman"/>
          <w:sz w:val="24"/>
          <w:szCs w:val="24"/>
        </w:rPr>
        <w:t xml:space="preserve">law of human rights courts is mixed, the draft article pertaining to victims’ rights in the </w:t>
      </w:r>
      <w:r w:rsidR="00E722F7">
        <w:rPr>
          <w:rFonts w:ascii="Times New Roman" w:eastAsia="Times New Roman" w:hAnsi="Times New Roman" w:cs="Times New Roman"/>
          <w:sz w:val="24"/>
          <w:szCs w:val="24"/>
        </w:rPr>
        <w:t xml:space="preserve">ILC’s </w:t>
      </w:r>
      <w:r w:rsidR="00073B57">
        <w:rPr>
          <w:rFonts w:ascii="Times New Roman" w:eastAsia="Times New Roman" w:hAnsi="Times New Roman" w:cs="Times New Roman"/>
          <w:sz w:val="24"/>
          <w:szCs w:val="24"/>
        </w:rPr>
        <w:t>articles on crimes against humanity</w:t>
      </w:r>
      <w:r w:rsidR="00E722F7"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does not create such a right.</w:t>
      </w:r>
      <w:r w:rsidRPr="00EF4C33">
        <w:rPr>
          <w:rFonts w:ascii="Times New Roman" w:eastAsia="Times New Roman" w:hAnsi="Times New Roman" w:cs="Times New Roman"/>
          <w:sz w:val="24"/>
          <w:szCs w:val="24"/>
          <w:vertAlign w:val="superscript"/>
        </w:rPr>
        <w:footnoteReference w:id="82"/>
      </w:r>
      <w:r w:rsidRPr="00EF4C33">
        <w:rPr>
          <w:rFonts w:ascii="Times New Roman" w:eastAsia="Times New Roman" w:hAnsi="Times New Roman" w:cs="Times New Roman"/>
          <w:sz w:val="24"/>
          <w:szCs w:val="24"/>
        </w:rPr>
        <w:t xml:space="preserve"> </w:t>
      </w:r>
    </w:p>
    <w:p w14:paraId="6F87DA1F" w14:textId="77777777" w:rsidR="00027F8F" w:rsidRPr="00EF4C33"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ab/>
        <w:t>The essential outstanding question is thus whether an amnesty, or more specifically, some forms of amn</w:t>
      </w:r>
      <w:r w:rsidR="00C95DF6">
        <w:rPr>
          <w:rFonts w:ascii="Times New Roman" w:eastAsia="Times New Roman" w:hAnsi="Times New Roman" w:cs="Times New Roman"/>
          <w:sz w:val="24"/>
          <w:szCs w:val="24"/>
        </w:rPr>
        <w:t>esty, can be compatible with a s</w:t>
      </w:r>
      <w:r w:rsidRPr="00EF4C33">
        <w:rPr>
          <w:rFonts w:ascii="Times New Roman" w:eastAsia="Times New Roman" w:hAnsi="Times New Roman" w:cs="Times New Roman"/>
          <w:sz w:val="24"/>
          <w:szCs w:val="24"/>
        </w:rPr>
        <w:t>tate’s obligations under the present draft article to submit a case for prosecution or extradite. It is in this area that the ILC could make a crucial contribution. Composed of the world’s leading international lawyers, it could analyse the legal implications of all the factors that it lists. For instance, it mentions that amnesties can have different legal origins and be general or conditioned by certain require</w:t>
      </w:r>
      <w:r w:rsidR="00C95DF6">
        <w:rPr>
          <w:rFonts w:ascii="Times New Roman" w:eastAsia="Times New Roman" w:hAnsi="Times New Roman" w:cs="Times New Roman"/>
          <w:sz w:val="24"/>
          <w:szCs w:val="24"/>
        </w:rPr>
        <w:t>ments. Do the conditions that the ILC</w:t>
      </w:r>
      <w:r w:rsidRPr="00EF4C33">
        <w:rPr>
          <w:rFonts w:ascii="Times New Roman" w:eastAsia="Times New Roman" w:hAnsi="Times New Roman" w:cs="Times New Roman"/>
          <w:sz w:val="24"/>
          <w:szCs w:val="24"/>
        </w:rPr>
        <w:t xml:space="preserve"> gives by way of example</w:t>
      </w:r>
      <w:r w:rsidR="00B13A1D">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B13A1D">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‘disarmament of a non-State actor group, a willingness of an alleged offender to testify in public to the crimes committed, or an expression of apology to the victims or their families by the alleged offender’</w:t>
      </w:r>
      <w:r w:rsidR="00B13A1D">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B13A1D">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actually matter </w:t>
      </w:r>
      <w:r w:rsidRPr="00EF4C33">
        <w:rPr>
          <w:rFonts w:ascii="Times New Roman" w:eastAsia="Times New Roman" w:hAnsi="Times New Roman" w:cs="Times New Roman"/>
          <w:sz w:val="24"/>
          <w:szCs w:val="24"/>
        </w:rPr>
        <w:lastRenderedPageBreak/>
        <w:t xml:space="preserve">for the obligation contained in </w:t>
      </w:r>
      <w:r w:rsidR="00F40605">
        <w:rPr>
          <w:rFonts w:ascii="Times New Roman" w:eastAsia="Times New Roman" w:hAnsi="Times New Roman" w:cs="Times New Roman"/>
          <w:sz w:val="24"/>
          <w:szCs w:val="24"/>
        </w:rPr>
        <w:t>draft A</w:t>
      </w:r>
      <w:r w:rsidRPr="00EF4C33">
        <w:rPr>
          <w:rFonts w:ascii="Times New Roman" w:eastAsia="Times New Roman" w:hAnsi="Times New Roman" w:cs="Times New Roman"/>
          <w:sz w:val="24"/>
          <w:szCs w:val="24"/>
        </w:rPr>
        <w:t>rticle 10 and</w:t>
      </w:r>
      <w:r w:rsidR="00F40605">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if so, how? Which words</w:t>
      </w:r>
      <w:r w:rsidR="003E5B7C">
        <w:rPr>
          <w:rFonts w:ascii="Times New Roman" w:eastAsia="Times New Roman" w:hAnsi="Times New Roman" w:cs="Times New Roman"/>
          <w:sz w:val="24"/>
          <w:szCs w:val="24"/>
        </w:rPr>
        <w:t xml:space="preserve"> in draft article 10</w:t>
      </w:r>
      <w:r w:rsidRPr="00EF4C33">
        <w:rPr>
          <w:rFonts w:ascii="Times New Roman" w:eastAsia="Times New Roman" w:hAnsi="Times New Roman" w:cs="Times New Roman"/>
          <w:sz w:val="24"/>
          <w:szCs w:val="24"/>
        </w:rPr>
        <w:t xml:space="preserve"> </w:t>
      </w:r>
      <w:r w:rsidR="003E5B7C">
        <w:rPr>
          <w:rFonts w:ascii="Times New Roman" w:eastAsia="Times New Roman" w:hAnsi="Times New Roman" w:cs="Times New Roman"/>
          <w:sz w:val="24"/>
          <w:szCs w:val="24"/>
        </w:rPr>
        <w:t>make these relevant</w:t>
      </w:r>
      <w:r w:rsidRPr="00EF4C33">
        <w:rPr>
          <w:rFonts w:ascii="Times New Roman" w:eastAsia="Times New Roman" w:hAnsi="Times New Roman" w:cs="Times New Roman"/>
          <w:sz w:val="24"/>
          <w:szCs w:val="24"/>
        </w:rPr>
        <w:t xml:space="preserve"> consideration</w:t>
      </w:r>
      <w:r w:rsidR="003E5B7C">
        <w:rPr>
          <w:rFonts w:ascii="Times New Roman" w:eastAsia="Times New Roman" w:hAnsi="Times New Roman" w:cs="Times New Roman"/>
          <w:sz w:val="24"/>
          <w:szCs w:val="24"/>
        </w:rPr>
        <w:t>s</w:t>
      </w:r>
      <w:r w:rsidRPr="00EF4C33">
        <w:rPr>
          <w:rFonts w:ascii="Times New Roman" w:eastAsia="Times New Roman" w:hAnsi="Times New Roman" w:cs="Times New Roman"/>
          <w:sz w:val="24"/>
          <w:szCs w:val="24"/>
        </w:rPr>
        <w:t xml:space="preserve">? And do all of the conditions have to be fulfilled, or are some enough? For instance, the South African amnesty was conditional upon disclosure of facts, not an apology. </w:t>
      </w:r>
    </w:p>
    <w:p w14:paraId="49C7C495"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Similarly, what is the legal take away of the fact that provisions on amnesties were discussed in the context of the </w:t>
      </w:r>
      <w:r w:rsidR="00D33A5D">
        <w:rPr>
          <w:rFonts w:ascii="Times New Roman" w:eastAsia="Times New Roman" w:hAnsi="Times New Roman" w:cs="Times New Roman"/>
          <w:sz w:val="24"/>
          <w:szCs w:val="24"/>
        </w:rPr>
        <w:t>ICC</w:t>
      </w:r>
      <w:r w:rsidR="00D33A5D"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Statute and the Convention on Enforced Disappearances, but not included? And what is the significance of the </w:t>
      </w:r>
      <w:r w:rsidR="00ED6876">
        <w:rPr>
          <w:rFonts w:ascii="Times New Roman" w:eastAsia="Times New Roman" w:hAnsi="Times New Roman" w:cs="Times New Roman"/>
          <w:sz w:val="24"/>
          <w:szCs w:val="24"/>
        </w:rPr>
        <w:t xml:space="preserve">International Criminal Tribunal for the former Yugoslavia </w:t>
      </w:r>
      <w:r w:rsidRPr="00EF4C33">
        <w:rPr>
          <w:rFonts w:ascii="Times New Roman" w:eastAsia="Times New Roman" w:hAnsi="Times New Roman" w:cs="Times New Roman"/>
          <w:sz w:val="24"/>
          <w:szCs w:val="24"/>
        </w:rPr>
        <w:t>stating that an amnesty adopted in national law in relation to the offence of torture ‘would not be accorded international legal recognition’?</w:t>
      </w:r>
      <w:bookmarkStart w:id="21" w:name="_Ref393976575"/>
      <w:r w:rsidR="00022669">
        <w:rPr>
          <w:rStyle w:val="FootnoteReference"/>
          <w:rFonts w:ascii="Times New Roman" w:eastAsia="Times New Roman" w:hAnsi="Times New Roman" w:cs="Times New Roman"/>
          <w:sz w:val="24"/>
          <w:szCs w:val="24"/>
        </w:rPr>
        <w:footnoteReference w:id="83"/>
      </w:r>
      <w:bookmarkEnd w:id="21"/>
      <w:r w:rsidRPr="00EF4C33">
        <w:rPr>
          <w:rFonts w:ascii="Times New Roman" w:eastAsia="Times New Roman" w:hAnsi="Times New Roman" w:cs="Times New Roman"/>
          <w:sz w:val="24"/>
          <w:szCs w:val="24"/>
        </w:rPr>
        <w:t xml:space="preserve"> Does it say anything more than the obvious </w:t>
      </w:r>
      <w:r w:rsidR="00C95DF6">
        <w:rPr>
          <w:rFonts w:ascii="Times New Roman" w:eastAsia="Times New Roman" w:hAnsi="Times New Roman" w:cs="Times New Roman"/>
          <w:sz w:val="24"/>
          <w:szCs w:val="24"/>
        </w:rPr>
        <w:t xml:space="preserve">fact </w:t>
      </w:r>
      <w:r w:rsidRPr="00EF4C33">
        <w:rPr>
          <w:rFonts w:ascii="Times New Roman" w:eastAsia="Times New Roman" w:hAnsi="Times New Roman" w:cs="Times New Roman"/>
          <w:sz w:val="24"/>
          <w:szCs w:val="24"/>
        </w:rPr>
        <w:t>that an international criminal court would not be bound by a domestic amnesty instrument</w:t>
      </w:r>
      <w:r w:rsidR="00C95DF6">
        <w:rPr>
          <w:rFonts w:ascii="Times New Roman" w:eastAsia="Times New Roman" w:hAnsi="Times New Roman" w:cs="Times New Roman"/>
          <w:sz w:val="24"/>
          <w:szCs w:val="24"/>
        </w:rPr>
        <w:t xml:space="preserve"> (unless its </w:t>
      </w:r>
      <w:r w:rsidR="00537964">
        <w:rPr>
          <w:rFonts w:ascii="Times New Roman" w:eastAsia="Times New Roman" w:hAnsi="Times New Roman" w:cs="Times New Roman"/>
          <w:sz w:val="24"/>
          <w:szCs w:val="24"/>
        </w:rPr>
        <w:t>s</w:t>
      </w:r>
      <w:r w:rsidR="00C95DF6">
        <w:rPr>
          <w:rFonts w:ascii="Times New Roman" w:eastAsia="Times New Roman" w:hAnsi="Times New Roman" w:cs="Times New Roman"/>
          <w:sz w:val="24"/>
          <w:szCs w:val="24"/>
        </w:rPr>
        <w:t>tatute provides for its applicability)</w:t>
      </w:r>
      <w:r w:rsidRPr="00EF4C33">
        <w:rPr>
          <w:rFonts w:ascii="Times New Roman" w:eastAsia="Times New Roman" w:hAnsi="Times New Roman" w:cs="Times New Roman"/>
          <w:sz w:val="24"/>
          <w:szCs w:val="24"/>
        </w:rPr>
        <w:t>? The fact that a foreign or international court does not have to apply a domestic legal instrument does not render that instrument per se prohibited under international law. The same issue arises with respect to the ILC’s observation that the instrument establishing the Special Court for Sierra Leone (SCSL) provided that an amnesty adopted in national law is not a bar to the Court’s jurisdiction.</w:t>
      </w:r>
      <w:r w:rsidR="00073B57">
        <w:rPr>
          <w:rStyle w:val="FootnoteReference"/>
          <w:rFonts w:ascii="Times New Roman" w:eastAsia="Times New Roman" w:hAnsi="Times New Roman" w:cs="Times New Roman"/>
          <w:sz w:val="24"/>
          <w:szCs w:val="24"/>
        </w:rPr>
        <w:footnoteReference w:id="84"/>
      </w:r>
      <w:r w:rsidRPr="00EF4C33">
        <w:rPr>
          <w:rFonts w:ascii="Times New Roman" w:eastAsia="Times New Roman" w:hAnsi="Times New Roman" w:cs="Times New Roman"/>
          <w:sz w:val="24"/>
          <w:szCs w:val="24"/>
        </w:rPr>
        <w:t xml:space="preserve"> </w:t>
      </w:r>
    </w:p>
    <w:p w14:paraId="0FCD6292"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The </w:t>
      </w:r>
      <w:r w:rsidR="007522B2">
        <w:rPr>
          <w:rFonts w:ascii="Times New Roman" w:eastAsia="Times New Roman" w:hAnsi="Times New Roman" w:cs="Times New Roman"/>
          <w:sz w:val="24"/>
          <w:szCs w:val="24"/>
        </w:rPr>
        <w:t>ILC’s c</w:t>
      </w:r>
      <w:r w:rsidRPr="00EF4C33">
        <w:rPr>
          <w:rFonts w:ascii="Times New Roman" w:eastAsia="Times New Roman" w:hAnsi="Times New Roman" w:cs="Times New Roman"/>
          <w:sz w:val="24"/>
          <w:szCs w:val="24"/>
        </w:rPr>
        <w:t>ommentary equates in this respect the SCSL with the Extraordinary Chambers in the Courts of Cambodia</w:t>
      </w:r>
      <w:r w:rsidR="00C95DF6">
        <w:rPr>
          <w:rFonts w:ascii="Times New Roman" w:eastAsia="Times New Roman" w:hAnsi="Times New Roman" w:cs="Times New Roman"/>
          <w:sz w:val="24"/>
          <w:szCs w:val="24"/>
        </w:rPr>
        <w:t xml:space="preserve"> (ECCC)</w:t>
      </w:r>
      <w:r w:rsidRPr="00EF4C33">
        <w:rPr>
          <w:rFonts w:ascii="Times New Roman" w:eastAsia="Times New Roman" w:hAnsi="Times New Roman" w:cs="Times New Roman"/>
          <w:sz w:val="24"/>
          <w:szCs w:val="24"/>
        </w:rPr>
        <w:t xml:space="preserve"> but this is factually incorrect. </w:t>
      </w:r>
      <w:r w:rsidR="003E5B7C">
        <w:rPr>
          <w:rFonts w:ascii="Times New Roman" w:eastAsia="Times New Roman" w:hAnsi="Times New Roman" w:cs="Times New Roman"/>
          <w:sz w:val="24"/>
          <w:szCs w:val="24"/>
        </w:rPr>
        <w:t>A</w:t>
      </w:r>
      <w:r w:rsidR="003E5B7C" w:rsidRPr="00EF4C33">
        <w:rPr>
          <w:rFonts w:ascii="Times New Roman" w:eastAsia="Times New Roman" w:hAnsi="Times New Roman" w:cs="Times New Roman"/>
          <w:sz w:val="24"/>
          <w:szCs w:val="24"/>
        </w:rPr>
        <w:t xml:space="preserve">s </w:t>
      </w:r>
      <w:r w:rsidR="003E5B7C">
        <w:rPr>
          <w:rFonts w:ascii="Times New Roman" w:eastAsia="Times New Roman" w:hAnsi="Times New Roman" w:cs="Times New Roman"/>
          <w:sz w:val="24"/>
          <w:szCs w:val="24"/>
        </w:rPr>
        <w:t xml:space="preserve">a </w:t>
      </w:r>
      <w:r w:rsidR="003E5B7C" w:rsidRPr="00EF4C33">
        <w:rPr>
          <w:rFonts w:ascii="Times New Roman" w:eastAsia="Times New Roman" w:hAnsi="Times New Roman" w:cs="Times New Roman"/>
          <w:sz w:val="24"/>
          <w:szCs w:val="24"/>
        </w:rPr>
        <w:t>footnote</w:t>
      </w:r>
      <w:r w:rsidR="003E5B7C">
        <w:rPr>
          <w:rFonts w:ascii="Times New Roman" w:eastAsia="Times New Roman" w:hAnsi="Times New Roman" w:cs="Times New Roman"/>
          <w:sz w:val="24"/>
          <w:szCs w:val="24"/>
        </w:rPr>
        <w:t xml:space="preserve"> in the ILC’s commentary</w:t>
      </w:r>
      <w:r w:rsidR="003E5B7C" w:rsidRPr="00EF4C33">
        <w:rPr>
          <w:rFonts w:ascii="Times New Roman" w:eastAsia="Times New Roman" w:hAnsi="Times New Roman" w:cs="Times New Roman"/>
          <w:sz w:val="24"/>
          <w:szCs w:val="24"/>
        </w:rPr>
        <w:t xml:space="preserve"> reflects,</w:t>
      </w:r>
      <w:r w:rsidR="003E5B7C">
        <w:rPr>
          <w:rFonts w:ascii="Times New Roman" w:eastAsia="Times New Roman" w:hAnsi="Times New Roman" w:cs="Times New Roman"/>
          <w:sz w:val="24"/>
          <w:szCs w:val="24"/>
        </w:rPr>
        <w:t xml:space="preserve"> t</w:t>
      </w:r>
      <w:r w:rsidRPr="00EF4C33">
        <w:rPr>
          <w:rFonts w:ascii="Times New Roman" w:eastAsia="Times New Roman" w:hAnsi="Times New Roman" w:cs="Times New Roman"/>
          <w:sz w:val="24"/>
          <w:szCs w:val="24"/>
        </w:rPr>
        <w:t>he law establishing the E</w:t>
      </w:r>
      <w:r w:rsidR="00C95DF6">
        <w:rPr>
          <w:rFonts w:ascii="Times New Roman" w:eastAsia="Times New Roman" w:hAnsi="Times New Roman" w:cs="Times New Roman"/>
          <w:sz w:val="24"/>
          <w:szCs w:val="24"/>
        </w:rPr>
        <w:t>CCC</w:t>
      </w:r>
      <w:r w:rsidRPr="00EF4C33">
        <w:rPr>
          <w:rFonts w:ascii="Times New Roman" w:eastAsia="Times New Roman" w:hAnsi="Times New Roman" w:cs="Times New Roman"/>
          <w:sz w:val="24"/>
          <w:szCs w:val="24"/>
        </w:rPr>
        <w:t xml:space="preserve"> provides that ‘[t]he scope of any amnesty or pardon that may have been granted prior to the enactment of this Law is a matter to be decided by the Extraordinary Chambers.’</w:t>
      </w:r>
      <w:r w:rsidR="00C95DF6" w:rsidRPr="00EF4C33">
        <w:rPr>
          <w:rFonts w:ascii="Times New Roman" w:eastAsia="Times New Roman" w:hAnsi="Times New Roman" w:cs="Times New Roman"/>
          <w:sz w:val="24"/>
          <w:szCs w:val="24"/>
          <w:vertAlign w:val="superscript"/>
        </w:rPr>
        <w:footnoteReference w:id="85"/>
      </w:r>
      <w:r w:rsidRPr="00EF4C33">
        <w:rPr>
          <w:rFonts w:ascii="Times New Roman" w:eastAsia="Times New Roman" w:hAnsi="Times New Roman" w:cs="Times New Roman"/>
          <w:sz w:val="24"/>
          <w:szCs w:val="24"/>
        </w:rPr>
        <w:t xml:space="preserve"> In other words, precisely because these Chambers are part of the domestic legal system rather than an international court</w:t>
      </w:r>
      <w:r w:rsidR="004873B8">
        <w:rPr>
          <w:rFonts w:ascii="Times New Roman" w:eastAsia="Times New Roman" w:hAnsi="Times New Roman" w:cs="Times New Roman"/>
          <w:sz w:val="24"/>
          <w:szCs w:val="24"/>
        </w:rPr>
        <w:t xml:space="preserve"> — and in that sense fundamentally different from the SCSL — </w:t>
      </w:r>
      <w:r w:rsidRPr="00EF4C33">
        <w:rPr>
          <w:rFonts w:ascii="Times New Roman" w:eastAsia="Times New Roman" w:hAnsi="Times New Roman" w:cs="Times New Roman"/>
          <w:sz w:val="24"/>
          <w:szCs w:val="24"/>
        </w:rPr>
        <w:t xml:space="preserve">domestic legal instruments granting amnesty could not </w:t>
      </w:r>
      <w:r w:rsidRPr="00EF4C33">
        <w:rPr>
          <w:rFonts w:ascii="Times New Roman" w:eastAsia="Times New Roman" w:hAnsi="Times New Roman" w:cs="Times New Roman"/>
          <w:i/>
          <w:sz w:val="24"/>
          <w:szCs w:val="24"/>
        </w:rPr>
        <w:t xml:space="preserve">a priori </w:t>
      </w:r>
      <w:r w:rsidRPr="00EF4C33">
        <w:rPr>
          <w:rFonts w:ascii="Times New Roman" w:eastAsia="Times New Roman" w:hAnsi="Times New Roman" w:cs="Times New Roman"/>
          <w:sz w:val="24"/>
          <w:szCs w:val="24"/>
        </w:rPr>
        <w:t xml:space="preserve">be ignored. In the </w:t>
      </w:r>
      <w:proofErr w:type="spellStart"/>
      <w:r w:rsidRPr="00EF4C33">
        <w:rPr>
          <w:rFonts w:ascii="Times New Roman" w:eastAsia="Times New Roman" w:hAnsi="Times New Roman" w:cs="Times New Roman"/>
          <w:i/>
          <w:sz w:val="24"/>
          <w:szCs w:val="24"/>
        </w:rPr>
        <w:t>Ieng</w:t>
      </w:r>
      <w:proofErr w:type="spellEnd"/>
      <w:r w:rsidRPr="00EF4C33">
        <w:rPr>
          <w:rFonts w:ascii="Times New Roman" w:eastAsia="Times New Roman" w:hAnsi="Times New Roman" w:cs="Times New Roman"/>
          <w:i/>
          <w:sz w:val="24"/>
          <w:szCs w:val="24"/>
        </w:rPr>
        <w:t xml:space="preserve"> </w:t>
      </w:r>
      <w:proofErr w:type="spellStart"/>
      <w:r w:rsidRPr="00EF4C33">
        <w:rPr>
          <w:rFonts w:ascii="Times New Roman" w:eastAsia="Times New Roman" w:hAnsi="Times New Roman" w:cs="Times New Roman"/>
          <w:i/>
          <w:sz w:val="24"/>
          <w:szCs w:val="24"/>
        </w:rPr>
        <w:t>Sary</w:t>
      </w:r>
      <w:proofErr w:type="spellEnd"/>
      <w:r w:rsidRPr="00EF4C33">
        <w:rPr>
          <w:rFonts w:ascii="Times New Roman" w:eastAsia="Times New Roman" w:hAnsi="Times New Roman" w:cs="Times New Roman"/>
          <w:i/>
          <w:sz w:val="24"/>
          <w:szCs w:val="24"/>
        </w:rPr>
        <w:t xml:space="preserve"> </w:t>
      </w:r>
      <w:r w:rsidRPr="00EF4C33">
        <w:rPr>
          <w:rFonts w:ascii="Times New Roman" w:eastAsia="Times New Roman" w:hAnsi="Times New Roman" w:cs="Times New Roman"/>
          <w:sz w:val="24"/>
          <w:szCs w:val="24"/>
        </w:rPr>
        <w:t xml:space="preserve">decision that the </w:t>
      </w:r>
      <w:r w:rsidR="00272611">
        <w:rPr>
          <w:rFonts w:ascii="Times New Roman" w:eastAsia="Times New Roman" w:hAnsi="Times New Roman" w:cs="Times New Roman"/>
          <w:sz w:val="24"/>
          <w:szCs w:val="24"/>
        </w:rPr>
        <w:t>ILC’s c</w:t>
      </w:r>
      <w:r w:rsidRPr="00EF4C33">
        <w:rPr>
          <w:rFonts w:ascii="Times New Roman" w:eastAsia="Times New Roman" w:hAnsi="Times New Roman" w:cs="Times New Roman"/>
          <w:sz w:val="24"/>
          <w:szCs w:val="24"/>
        </w:rPr>
        <w:t xml:space="preserve">ommentary also cites, the ECCC found that it could sidestep domestic amnesties, but </w:t>
      </w:r>
      <w:r w:rsidR="004873B8">
        <w:rPr>
          <w:rFonts w:ascii="Times New Roman" w:eastAsia="Times New Roman" w:hAnsi="Times New Roman" w:cs="Times New Roman"/>
          <w:sz w:val="24"/>
          <w:szCs w:val="24"/>
        </w:rPr>
        <w:t>the ECCC’s</w:t>
      </w:r>
      <w:r w:rsidR="004873B8"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reasoning suffers from adopting considerations from other courts without justifying the application of those legal grounds in the proceedings at hand</w:t>
      </w:r>
      <w:r w:rsidR="00641A65">
        <w:rPr>
          <w:rFonts w:ascii="Times New Roman" w:eastAsia="Times New Roman" w:hAnsi="Times New Roman" w:cs="Times New Roman"/>
          <w:sz w:val="24"/>
          <w:szCs w:val="24"/>
        </w:rPr>
        <w:t xml:space="preserve">. Moreover, </w:t>
      </w:r>
      <w:r w:rsidR="00FC76D1">
        <w:rPr>
          <w:rFonts w:ascii="Times New Roman" w:eastAsia="Times New Roman" w:hAnsi="Times New Roman" w:cs="Times New Roman"/>
          <w:sz w:val="24"/>
          <w:szCs w:val="24"/>
        </w:rPr>
        <w:t xml:space="preserve">in </w:t>
      </w:r>
      <w:proofErr w:type="spellStart"/>
      <w:r w:rsidR="00AF5AE6" w:rsidRPr="00AF5AE6">
        <w:rPr>
          <w:rFonts w:ascii="Times New Roman" w:eastAsia="Times New Roman" w:hAnsi="Times New Roman" w:cs="Times New Roman"/>
          <w:i/>
          <w:sz w:val="24"/>
          <w:szCs w:val="24"/>
        </w:rPr>
        <w:t>Ieng</w:t>
      </w:r>
      <w:proofErr w:type="spellEnd"/>
      <w:r w:rsidR="00AF5AE6" w:rsidRPr="00AF5AE6">
        <w:rPr>
          <w:rFonts w:ascii="Times New Roman" w:eastAsia="Times New Roman" w:hAnsi="Times New Roman" w:cs="Times New Roman"/>
          <w:i/>
          <w:sz w:val="24"/>
          <w:szCs w:val="24"/>
        </w:rPr>
        <w:t xml:space="preserve"> </w:t>
      </w:r>
      <w:proofErr w:type="spellStart"/>
      <w:r w:rsidR="00AF5AE6" w:rsidRPr="00AF5AE6">
        <w:rPr>
          <w:rFonts w:ascii="Times New Roman" w:eastAsia="Times New Roman" w:hAnsi="Times New Roman" w:cs="Times New Roman"/>
          <w:i/>
          <w:sz w:val="24"/>
          <w:szCs w:val="24"/>
        </w:rPr>
        <w:t>Sary</w:t>
      </w:r>
      <w:proofErr w:type="spellEnd"/>
      <w:r w:rsidR="00FC76D1">
        <w:rPr>
          <w:rFonts w:ascii="Times New Roman" w:eastAsia="Times New Roman" w:hAnsi="Times New Roman" w:cs="Times New Roman"/>
          <w:sz w:val="24"/>
          <w:szCs w:val="24"/>
        </w:rPr>
        <w:t>, the ECCC</w:t>
      </w:r>
      <w:r w:rsidR="00AF5AE6">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distinguish</w:t>
      </w:r>
      <w:r w:rsidR="00641A65">
        <w:rPr>
          <w:rFonts w:ascii="Times New Roman" w:eastAsia="Times New Roman" w:hAnsi="Times New Roman" w:cs="Times New Roman"/>
          <w:sz w:val="24"/>
          <w:szCs w:val="24"/>
        </w:rPr>
        <w:t>ed</w:t>
      </w:r>
      <w:r w:rsidRPr="00EF4C33">
        <w:rPr>
          <w:rFonts w:ascii="Times New Roman" w:eastAsia="Times New Roman" w:hAnsi="Times New Roman" w:cs="Times New Roman"/>
          <w:sz w:val="24"/>
          <w:szCs w:val="24"/>
        </w:rPr>
        <w:t xml:space="preserve"> cases that upheld amnesties on grounds on which they c</w:t>
      </w:r>
      <w:r w:rsidR="00641A65">
        <w:rPr>
          <w:rFonts w:ascii="Times New Roman" w:eastAsia="Times New Roman" w:hAnsi="Times New Roman" w:cs="Times New Roman"/>
          <w:sz w:val="24"/>
          <w:szCs w:val="24"/>
        </w:rPr>
        <w:t>an</w:t>
      </w:r>
      <w:r w:rsidRPr="00EF4C33">
        <w:rPr>
          <w:rFonts w:ascii="Times New Roman" w:eastAsia="Times New Roman" w:hAnsi="Times New Roman" w:cs="Times New Roman"/>
          <w:sz w:val="24"/>
          <w:szCs w:val="24"/>
        </w:rPr>
        <w:t xml:space="preserve"> hardly be distinguished.</w:t>
      </w:r>
      <w:r w:rsidRPr="00EF4C33">
        <w:rPr>
          <w:rFonts w:ascii="Times New Roman" w:eastAsia="Times New Roman" w:hAnsi="Times New Roman" w:cs="Times New Roman"/>
          <w:sz w:val="24"/>
          <w:szCs w:val="24"/>
          <w:vertAlign w:val="superscript"/>
        </w:rPr>
        <w:footnoteReference w:id="86"/>
      </w:r>
      <w:r w:rsidRPr="00EF4C33">
        <w:rPr>
          <w:rFonts w:ascii="Times New Roman" w:eastAsia="Times New Roman" w:hAnsi="Times New Roman" w:cs="Times New Roman"/>
          <w:sz w:val="24"/>
          <w:szCs w:val="24"/>
        </w:rPr>
        <w:t xml:space="preserve"> </w:t>
      </w:r>
    </w:p>
    <w:p w14:paraId="554B37BB" w14:textId="77777777" w:rsidR="00027F8F" w:rsidRPr="00EF4C33" w:rsidRDefault="00C95DF6"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9274F0" w:rsidRPr="00EF4C33">
        <w:rPr>
          <w:rFonts w:ascii="Times New Roman" w:eastAsia="Times New Roman" w:hAnsi="Times New Roman" w:cs="Times New Roman"/>
          <w:sz w:val="24"/>
          <w:szCs w:val="24"/>
        </w:rPr>
        <w:t xml:space="preserve"> weakness </w:t>
      </w:r>
      <w:r>
        <w:rPr>
          <w:rFonts w:ascii="Times New Roman" w:eastAsia="Times New Roman" w:hAnsi="Times New Roman" w:cs="Times New Roman"/>
          <w:sz w:val="24"/>
          <w:szCs w:val="24"/>
        </w:rPr>
        <w:t xml:space="preserve">of the </w:t>
      </w:r>
      <w:proofErr w:type="spellStart"/>
      <w:r>
        <w:rPr>
          <w:rFonts w:ascii="Times New Roman" w:eastAsia="Times New Roman" w:hAnsi="Times New Roman" w:cs="Times New Roman"/>
          <w:i/>
          <w:sz w:val="24"/>
          <w:szCs w:val="24"/>
        </w:rPr>
        <w:t>Ieng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Sary</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decision </w:t>
      </w:r>
      <w:r w:rsidR="009274F0" w:rsidRPr="00EF4C33">
        <w:rPr>
          <w:rFonts w:ascii="Times New Roman" w:eastAsia="Times New Roman" w:hAnsi="Times New Roman" w:cs="Times New Roman"/>
          <w:sz w:val="24"/>
          <w:szCs w:val="24"/>
        </w:rPr>
        <w:t xml:space="preserve">is characteristic </w:t>
      </w:r>
      <w:r w:rsidR="00641A65">
        <w:rPr>
          <w:rFonts w:ascii="Times New Roman" w:eastAsia="Times New Roman" w:hAnsi="Times New Roman" w:cs="Times New Roman"/>
          <w:sz w:val="24"/>
          <w:szCs w:val="24"/>
        </w:rPr>
        <w:t>of</w:t>
      </w:r>
      <w:r w:rsidR="009274F0" w:rsidRPr="00EF4C33">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weakness of the argumentation on which the</w:t>
      </w:r>
      <w:r w:rsidR="009274F0" w:rsidRPr="00EF4C33">
        <w:rPr>
          <w:rFonts w:ascii="Times New Roman" w:eastAsia="Times New Roman" w:hAnsi="Times New Roman" w:cs="Times New Roman"/>
          <w:sz w:val="24"/>
          <w:szCs w:val="24"/>
        </w:rPr>
        <w:t xml:space="preserve"> ‘emerging consensus’ against amnesties</w:t>
      </w:r>
      <w:r w:rsidR="004873B8">
        <w:rPr>
          <w:rFonts w:ascii="Times New Roman" w:eastAsia="Times New Roman" w:hAnsi="Times New Roman" w:cs="Times New Roman"/>
          <w:sz w:val="24"/>
          <w:szCs w:val="24"/>
        </w:rPr>
        <w:t>,</w:t>
      </w:r>
      <w:r w:rsidR="009274F0" w:rsidRPr="00EF4C33">
        <w:rPr>
          <w:rFonts w:ascii="Times New Roman" w:eastAsia="Times New Roman" w:hAnsi="Times New Roman" w:cs="Times New Roman"/>
          <w:sz w:val="24"/>
          <w:szCs w:val="24"/>
        </w:rPr>
        <w:t xml:space="preserve"> to which the </w:t>
      </w:r>
      <w:r w:rsidR="00C61326">
        <w:rPr>
          <w:rFonts w:ascii="Times New Roman" w:eastAsia="Times New Roman" w:hAnsi="Times New Roman" w:cs="Times New Roman"/>
          <w:sz w:val="24"/>
          <w:szCs w:val="24"/>
        </w:rPr>
        <w:t>ILC’s c</w:t>
      </w:r>
      <w:r w:rsidR="009274F0" w:rsidRPr="00EF4C33">
        <w:rPr>
          <w:rFonts w:ascii="Times New Roman" w:eastAsia="Times New Roman" w:hAnsi="Times New Roman" w:cs="Times New Roman"/>
          <w:sz w:val="24"/>
          <w:szCs w:val="24"/>
        </w:rPr>
        <w:t>ommentary refers</w:t>
      </w:r>
      <w:r w:rsidR="004873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been built: </w:t>
      </w:r>
      <w:r w:rsidR="009274F0" w:rsidRPr="00EF4C33">
        <w:rPr>
          <w:rFonts w:ascii="Times New Roman" w:eastAsia="Times New Roman" w:hAnsi="Times New Roman" w:cs="Times New Roman"/>
          <w:sz w:val="24"/>
          <w:szCs w:val="24"/>
        </w:rPr>
        <w:t xml:space="preserve">it is based on an amalgamation of incommensurable legal arguments. The </w:t>
      </w:r>
      <w:r w:rsidR="00C61326">
        <w:rPr>
          <w:rFonts w:ascii="Times New Roman" w:eastAsia="Times New Roman" w:hAnsi="Times New Roman" w:cs="Times New Roman"/>
          <w:sz w:val="24"/>
          <w:szCs w:val="24"/>
        </w:rPr>
        <w:t>c</w:t>
      </w:r>
      <w:r w:rsidR="009274F0" w:rsidRPr="00EF4C33">
        <w:rPr>
          <w:rFonts w:ascii="Times New Roman" w:eastAsia="Times New Roman" w:hAnsi="Times New Roman" w:cs="Times New Roman"/>
          <w:sz w:val="24"/>
          <w:szCs w:val="24"/>
        </w:rPr>
        <w:t>ommentary illustrates this where it says that ‘the European Court of Human Rights and the African Commission on Human and Peoples’ Rights … have found amnesties to be impermissible or as not precluding accountability under regional human rights treaties’:</w:t>
      </w:r>
      <w:r w:rsidR="00FC76D1">
        <w:rPr>
          <w:rStyle w:val="FootnoteReference"/>
          <w:rFonts w:ascii="Times New Roman" w:eastAsia="Times New Roman" w:hAnsi="Times New Roman" w:cs="Times New Roman"/>
          <w:sz w:val="24"/>
          <w:szCs w:val="24"/>
        </w:rPr>
        <w:footnoteReference w:id="87"/>
      </w:r>
      <w:r w:rsidR="009274F0" w:rsidRPr="00EF4C33">
        <w:rPr>
          <w:rFonts w:ascii="Times New Roman" w:eastAsia="Times New Roman" w:hAnsi="Times New Roman" w:cs="Times New Roman"/>
          <w:sz w:val="24"/>
          <w:szCs w:val="24"/>
        </w:rPr>
        <w:t xml:space="preserve"> impermissible and not precluding are two different things that cannot be added up in order to get to a prohibition on amnesties. Similarly, (obiter) arguments that try to construct a prohibition on amnesties on the basis of the </w:t>
      </w:r>
      <w:r w:rsidR="009274F0" w:rsidRPr="00EF4C33">
        <w:rPr>
          <w:rFonts w:ascii="Times New Roman" w:eastAsia="Times New Roman" w:hAnsi="Times New Roman" w:cs="Times New Roman"/>
          <w:i/>
          <w:sz w:val="24"/>
          <w:szCs w:val="24"/>
        </w:rPr>
        <w:t xml:space="preserve">jus </w:t>
      </w:r>
      <w:proofErr w:type="spellStart"/>
      <w:r w:rsidR="009274F0" w:rsidRPr="00EF4C33">
        <w:rPr>
          <w:rFonts w:ascii="Times New Roman" w:eastAsia="Times New Roman" w:hAnsi="Times New Roman" w:cs="Times New Roman"/>
          <w:i/>
          <w:sz w:val="24"/>
          <w:szCs w:val="24"/>
        </w:rPr>
        <w:t>cogens</w:t>
      </w:r>
      <w:proofErr w:type="spellEnd"/>
      <w:r w:rsidR="009274F0" w:rsidRPr="00EF4C33">
        <w:rPr>
          <w:rFonts w:ascii="Times New Roman" w:eastAsia="Times New Roman" w:hAnsi="Times New Roman" w:cs="Times New Roman"/>
          <w:i/>
          <w:sz w:val="24"/>
          <w:szCs w:val="24"/>
        </w:rPr>
        <w:t xml:space="preserve"> </w:t>
      </w:r>
      <w:r w:rsidR="009274F0" w:rsidRPr="00EF4C33">
        <w:rPr>
          <w:rFonts w:ascii="Times New Roman" w:eastAsia="Times New Roman" w:hAnsi="Times New Roman" w:cs="Times New Roman"/>
          <w:sz w:val="24"/>
          <w:szCs w:val="24"/>
        </w:rPr>
        <w:t>status of a crime</w:t>
      </w:r>
      <w:r w:rsidR="00641A65">
        <w:rPr>
          <w:rStyle w:val="FootnoteReference"/>
          <w:rFonts w:ascii="Times New Roman" w:eastAsia="Times New Roman" w:hAnsi="Times New Roman" w:cs="Times New Roman"/>
          <w:sz w:val="24"/>
          <w:szCs w:val="24"/>
        </w:rPr>
        <w:footnoteReference w:id="88"/>
      </w:r>
      <w:r w:rsidR="00D129B9">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w:t>
      </w:r>
      <w:r w:rsidR="00D129B9">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 xml:space="preserve">arguably suffering from similar weaknesses as the ICJ identified in arguments to deny immunities on the basis of a </w:t>
      </w:r>
      <w:r w:rsidR="009274F0" w:rsidRPr="00EF4C33">
        <w:rPr>
          <w:rFonts w:ascii="Times New Roman" w:eastAsia="Times New Roman" w:hAnsi="Times New Roman" w:cs="Times New Roman"/>
          <w:i/>
          <w:sz w:val="24"/>
          <w:szCs w:val="24"/>
        </w:rPr>
        <w:t xml:space="preserve">jus </w:t>
      </w:r>
      <w:proofErr w:type="spellStart"/>
      <w:r w:rsidR="009274F0" w:rsidRPr="00EF4C33">
        <w:rPr>
          <w:rFonts w:ascii="Times New Roman" w:eastAsia="Times New Roman" w:hAnsi="Times New Roman" w:cs="Times New Roman"/>
          <w:i/>
          <w:sz w:val="24"/>
          <w:szCs w:val="24"/>
        </w:rPr>
        <w:t>cogens</w:t>
      </w:r>
      <w:proofErr w:type="spellEnd"/>
      <w:r w:rsidR="009274F0" w:rsidRPr="00EF4C33">
        <w:rPr>
          <w:rFonts w:ascii="Times New Roman" w:eastAsia="Times New Roman" w:hAnsi="Times New Roman" w:cs="Times New Roman"/>
          <w:sz w:val="24"/>
          <w:szCs w:val="24"/>
        </w:rPr>
        <w:t xml:space="preserve"> </w:t>
      </w:r>
      <w:r w:rsidR="00C10DE9">
        <w:rPr>
          <w:rFonts w:ascii="Times New Roman" w:eastAsia="Times New Roman" w:hAnsi="Times New Roman" w:cs="Times New Roman"/>
          <w:sz w:val="24"/>
          <w:szCs w:val="24"/>
        </w:rPr>
        <w:t>prohibition of the alleged conduct</w:t>
      </w:r>
      <w:r w:rsidR="009274F0" w:rsidRPr="00EF4C33">
        <w:rPr>
          <w:rFonts w:ascii="Times New Roman" w:eastAsia="Times New Roman" w:hAnsi="Times New Roman" w:cs="Times New Roman"/>
          <w:sz w:val="24"/>
          <w:szCs w:val="24"/>
          <w:vertAlign w:val="superscript"/>
        </w:rPr>
        <w:footnoteReference w:id="89"/>
      </w:r>
      <w:r w:rsidR="00D129B9">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w:t>
      </w:r>
      <w:r w:rsidR="00D129B9">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are fundamentally different in character from those that hold that amnesties are incompatible with a duty to prosecute under conventional international human rights law. The latter’s existence, scope and legal basis var</w:t>
      </w:r>
      <w:r w:rsidR="00D129B9">
        <w:rPr>
          <w:rFonts w:ascii="Times New Roman" w:eastAsia="Times New Roman" w:hAnsi="Times New Roman" w:cs="Times New Roman"/>
          <w:sz w:val="24"/>
          <w:szCs w:val="24"/>
        </w:rPr>
        <w:t>y</w:t>
      </w:r>
      <w:r w:rsidR="009274F0" w:rsidRPr="00EF4C33">
        <w:rPr>
          <w:rFonts w:ascii="Times New Roman" w:eastAsia="Times New Roman" w:hAnsi="Times New Roman" w:cs="Times New Roman"/>
          <w:sz w:val="24"/>
          <w:szCs w:val="24"/>
        </w:rPr>
        <w:t xml:space="preserve"> per region in the world and human rights duties to prosecute might be subject to derogations under human rights law. As Miles Jackson has persuasively argued, the fact that some human rights are absolute does not automatically lead to duties flowing from that right, for instance, a duty to prosecute, enjoying the same status.</w:t>
      </w:r>
      <w:r w:rsidR="009274F0" w:rsidRPr="00EF4C33">
        <w:rPr>
          <w:rFonts w:ascii="Times New Roman" w:eastAsia="Times New Roman" w:hAnsi="Times New Roman" w:cs="Times New Roman"/>
          <w:sz w:val="24"/>
          <w:szCs w:val="24"/>
          <w:vertAlign w:val="superscript"/>
        </w:rPr>
        <w:footnoteReference w:id="90"/>
      </w:r>
    </w:p>
    <w:p w14:paraId="41A5DFB8"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Since</w:t>
      </w:r>
      <w:r w:rsidR="002B4826">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w:t>
      </w:r>
      <w:r w:rsidR="007C3144">
        <w:rPr>
          <w:rFonts w:ascii="Times New Roman" w:eastAsia="Times New Roman" w:hAnsi="Times New Roman" w:cs="Times New Roman"/>
          <w:sz w:val="24"/>
          <w:szCs w:val="24"/>
        </w:rPr>
        <w:t>in the system</w:t>
      </w:r>
      <w:r w:rsidRPr="00EF4C33">
        <w:rPr>
          <w:rFonts w:ascii="Times New Roman" w:eastAsia="Times New Roman" w:hAnsi="Times New Roman" w:cs="Times New Roman"/>
          <w:sz w:val="24"/>
          <w:szCs w:val="24"/>
        </w:rPr>
        <w:t xml:space="preserve"> of </w:t>
      </w:r>
      <w:r w:rsidR="00D20FBB">
        <w:rPr>
          <w:rFonts w:ascii="Times New Roman" w:eastAsia="Times New Roman" w:hAnsi="Times New Roman" w:cs="Times New Roman"/>
          <w:sz w:val="24"/>
          <w:szCs w:val="24"/>
        </w:rPr>
        <w:t xml:space="preserve">sources of </w:t>
      </w:r>
      <w:r w:rsidRPr="00EF4C33">
        <w:rPr>
          <w:rFonts w:ascii="Times New Roman" w:eastAsia="Times New Roman" w:hAnsi="Times New Roman" w:cs="Times New Roman"/>
          <w:sz w:val="24"/>
          <w:szCs w:val="24"/>
        </w:rPr>
        <w:t xml:space="preserve">international law, the value of decisions of international courts </w:t>
      </w:r>
      <w:r w:rsidR="002C4730">
        <w:rPr>
          <w:rFonts w:ascii="Times New Roman" w:eastAsia="Times New Roman" w:hAnsi="Times New Roman" w:cs="Times New Roman"/>
          <w:sz w:val="24"/>
          <w:szCs w:val="24"/>
        </w:rPr>
        <w:t xml:space="preserve">lies </w:t>
      </w:r>
      <w:r w:rsidRPr="00EF4C33">
        <w:rPr>
          <w:rFonts w:ascii="Times New Roman" w:eastAsia="Times New Roman" w:hAnsi="Times New Roman" w:cs="Times New Roman"/>
          <w:sz w:val="24"/>
          <w:szCs w:val="24"/>
        </w:rPr>
        <w:t xml:space="preserve">not </w:t>
      </w:r>
      <w:r w:rsidR="002C4730">
        <w:rPr>
          <w:rFonts w:ascii="Times New Roman" w:eastAsia="Times New Roman" w:hAnsi="Times New Roman" w:cs="Times New Roman"/>
          <w:sz w:val="24"/>
          <w:szCs w:val="24"/>
        </w:rPr>
        <w:t xml:space="preserve">in the </w:t>
      </w:r>
      <w:r w:rsidRPr="00EF4C33">
        <w:rPr>
          <w:rFonts w:ascii="Times New Roman" w:eastAsia="Times New Roman" w:hAnsi="Times New Roman" w:cs="Times New Roman"/>
          <w:sz w:val="24"/>
          <w:szCs w:val="24"/>
        </w:rPr>
        <w:t xml:space="preserve">outcome </w:t>
      </w:r>
      <w:r w:rsidR="002C4730">
        <w:rPr>
          <w:rFonts w:ascii="Times New Roman" w:eastAsia="Times New Roman" w:hAnsi="Times New Roman" w:cs="Times New Roman"/>
          <w:sz w:val="24"/>
          <w:szCs w:val="24"/>
        </w:rPr>
        <w:t xml:space="preserve">but in the </w:t>
      </w:r>
      <w:r w:rsidRPr="00EF4C33">
        <w:rPr>
          <w:rFonts w:ascii="Times New Roman" w:eastAsia="Times New Roman" w:hAnsi="Times New Roman" w:cs="Times New Roman"/>
          <w:sz w:val="24"/>
          <w:szCs w:val="24"/>
        </w:rPr>
        <w:t>reasoning,</w:t>
      </w:r>
      <w:r w:rsidR="002C4730" w:rsidRPr="00EF4C33">
        <w:rPr>
          <w:rFonts w:ascii="Times New Roman" w:eastAsia="Times New Roman" w:hAnsi="Times New Roman" w:cs="Times New Roman"/>
          <w:sz w:val="24"/>
          <w:szCs w:val="24"/>
          <w:vertAlign w:val="superscript"/>
        </w:rPr>
        <w:footnoteReference w:id="91"/>
      </w:r>
      <w:r w:rsidRPr="00EF4C33">
        <w:rPr>
          <w:rFonts w:ascii="Times New Roman" w:eastAsia="Times New Roman" w:hAnsi="Times New Roman" w:cs="Times New Roman"/>
          <w:sz w:val="24"/>
          <w:szCs w:val="24"/>
        </w:rPr>
        <w:t xml:space="preserve"> the ILC could make a crucial contribution by evaluating the various decisions that the </w:t>
      </w:r>
      <w:r w:rsidR="007C3144">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 xml:space="preserve">ommentary now merely lists. It would be good if </w:t>
      </w:r>
      <w:r w:rsidR="007C3144">
        <w:rPr>
          <w:rFonts w:ascii="Times New Roman" w:eastAsia="Times New Roman" w:hAnsi="Times New Roman" w:cs="Times New Roman"/>
          <w:sz w:val="24"/>
          <w:szCs w:val="24"/>
        </w:rPr>
        <w:t>the ILC</w:t>
      </w:r>
      <w:r w:rsidR="007C3144"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could </w:t>
      </w:r>
      <w:r w:rsidR="007C3144">
        <w:rPr>
          <w:rFonts w:ascii="Times New Roman" w:eastAsia="Times New Roman" w:hAnsi="Times New Roman" w:cs="Times New Roman"/>
          <w:sz w:val="24"/>
          <w:szCs w:val="24"/>
        </w:rPr>
        <w:t>examine</w:t>
      </w:r>
      <w:r w:rsidR="007C3144"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not only the </w:t>
      </w:r>
      <w:r w:rsidR="00D129B9">
        <w:rPr>
          <w:rFonts w:ascii="Times New Roman" w:eastAsia="Times New Roman" w:hAnsi="Times New Roman" w:cs="Times New Roman"/>
          <w:sz w:val="24"/>
          <w:szCs w:val="24"/>
        </w:rPr>
        <w:t xml:space="preserve">judicial </w:t>
      </w:r>
      <w:r w:rsidRPr="00EF4C33">
        <w:rPr>
          <w:rFonts w:ascii="Times New Roman" w:eastAsia="Times New Roman" w:hAnsi="Times New Roman" w:cs="Times New Roman"/>
          <w:sz w:val="24"/>
          <w:szCs w:val="24"/>
        </w:rPr>
        <w:t xml:space="preserve">considerations against amnesties, but also those in favour. A footnote in the current </w:t>
      </w:r>
      <w:r w:rsidR="007C3144">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 xml:space="preserve">ommentary cites the European Court of Human </w:t>
      </w:r>
      <w:r w:rsidRPr="00EF4C33">
        <w:rPr>
          <w:rFonts w:ascii="Times New Roman" w:eastAsia="Times New Roman" w:hAnsi="Times New Roman" w:cs="Times New Roman"/>
          <w:sz w:val="24"/>
          <w:szCs w:val="24"/>
        </w:rPr>
        <w:lastRenderedPageBreak/>
        <w:t xml:space="preserve">Rights in </w:t>
      </w:r>
      <w:proofErr w:type="spellStart"/>
      <w:r w:rsidRPr="00EF4C33">
        <w:rPr>
          <w:rFonts w:ascii="Times New Roman" w:eastAsia="Times New Roman" w:hAnsi="Times New Roman" w:cs="Times New Roman"/>
          <w:i/>
          <w:sz w:val="24"/>
          <w:szCs w:val="24"/>
        </w:rPr>
        <w:t>Marguš</w:t>
      </w:r>
      <w:proofErr w:type="spellEnd"/>
      <w:r w:rsidRPr="00EF4C33">
        <w:rPr>
          <w:rFonts w:ascii="Times New Roman" w:eastAsia="Times New Roman" w:hAnsi="Times New Roman" w:cs="Times New Roman"/>
          <w:i/>
          <w:sz w:val="24"/>
          <w:szCs w:val="24"/>
        </w:rPr>
        <w:t xml:space="preserve"> </w:t>
      </w:r>
      <w:r w:rsidRPr="00EF4C33">
        <w:rPr>
          <w:rFonts w:ascii="Times New Roman" w:eastAsia="Times New Roman" w:hAnsi="Times New Roman" w:cs="Times New Roman"/>
          <w:sz w:val="24"/>
          <w:szCs w:val="24"/>
        </w:rPr>
        <w:t>where it speaks of a ‘growing tendency in international law’ against amnesties, but omits the judgment’s subsequent sentence, which seems to leave the door open for some types of amnesties</w:t>
      </w:r>
      <w:r w:rsidR="003C17D5">
        <w:rPr>
          <w:rFonts w:ascii="Times New Roman" w:eastAsia="Times New Roman" w:hAnsi="Times New Roman" w:cs="Times New Roman"/>
          <w:sz w:val="24"/>
          <w:szCs w:val="24"/>
        </w:rPr>
        <w:t xml:space="preserve"> where it</w:t>
      </w:r>
      <w:r w:rsidR="003A35D5">
        <w:rPr>
          <w:rFonts w:ascii="Times New Roman" w:eastAsia="Times New Roman" w:hAnsi="Times New Roman" w:cs="Times New Roman"/>
          <w:sz w:val="24"/>
          <w:szCs w:val="24"/>
        </w:rPr>
        <w:t xml:space="preserve"> consider</w:t>
      </w:r>
      <w:r w:rsidR="003C17D5">
        <w:rPr>
          <w:rFonts w:ascii="Times New Roman" w:eastAsia="Times New Roman" w:hAnsi="Times New Roman" w:cs="Times New Roman"/>
          <w:sz w:val="24"/>
          <w:szCs w:val="24"/>
        </w:rPr>
        <w:t>s</w:t>
      </w:r>
      <w:r w:rsidRPr="00EF4C33">
        <w:rPr>
          <w:rFonts w:ascii="Times New Roman" w:eastAsia="Times New Roman" w:hAnsi="Times New Roman" w:cs="Times New Roman"/>
          <w:sz w:val="24"/>
          <w:szCs w:val="24"/>
        </w:rPr>
        <w:t>: ‘</w:t>
      </w:r>
      <w:r w:rsidR="00AC2564" w:rsidRPr="00EF4C33">
        <w:rPr>
          <w:rFonts w:ascii="Times New Roman" w:eastAsia="Times New Roman" w:hAnsi="Times New Roman" w:cs="Times New Roman"/>
          <w:sz w:val="24"/>
          <w:szCs w:val="24"/>
        </w:rPr>
        <w:t xml:space="preserve">Even if it were to be accepted that amnesties are possible </w:t>
      </w:r>
      <w:r w:rsidRPr="00EF4C33">
        <w:rPr>
          <w:rFonts w:ascii="Times New Roman" w:eastAsia="Times New Roman" w:hAnsi="Times New Roman" w:cs="Times New Roman"/>
          <w:sz w:val="24"/>
          <w:szCs w:val="24"/>
        </w:rPr>
        <w:t>where there are some particular circumstances, such as a reconciliation process and/or a form of compensation to the victims…’.</w:t>
      </w:r>
      <w:r w:rsidRPr="00EF4C33">
        <w:rPr>
          <w:rFonts w:ascii="Times New Roman" w:eastAsia="Times New Roman" w:hAnsi="Times New Roman" w:cs="Times New Roman"/>
          <w:sz w:val="24"/>
          <w:szCs w:val="24"/>
          <w:vertAlign w:val="superscript"/>
        </w:rPr>
        <w:footnoteReference w:id="92"/>
      </w:r>
      <w:r w:rsidRPr="00EF4C33">
        <w:rPr>
          <w:rFonts w:ascii="Times New Roman" w:eastAsia="Times New Roman" w:hAnsi="Times New Roman" w:cs="Times New Roman"/>
          <w:sz w:val="24"/>
          <w:szCs w:val="24"/>
        </w:rPr>
        <w:t xml:space="preserve"> </w:t>
      </w:r>
    </w:p>
    <w:p w14:paraId="13846712" w14:textId="77777777" w:rsidR="00027F8F" w:rsidRDefault="00C95DF6" w:rsidP="00CE71D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Equally, with respect to </w:t>
      </w:r>
      <w:r w:rsidR="009274F0" w:rsidRPr="00EF4C33">
        <w:rPr>
          <w:rFonts w:ascii="Times New Roman" w:eastAsia="Times New Roman" w:hAnsi="Times New Roman" w:cs="Times New Roman"/>
          <w:sz w:val="24"/>
          <w:szCs w:val="24"/>
        </w:rPr>
        <w:t xml:space="preserve">state practice, the ILC should then pay attention </w:t>
      </w:r>
      <w:r w:rsidR="002C4730">
        <w:rPr>
          <w:rFonts w:ascii="Times New Roman" w:eastAsia="Times New Roman" w:hAnsi="Times New Roman" w:cs="Times New Roman"/>
          <w:sz w:val="24"/>
          <w:szCs w:val="24"/>
        </w:rPr>
        <w:t xml:space="preserve">not </w:t>
      </w:r>
      <w:r w:rsidR="009274F0" w:rsidRPr="00EF4C33">
        <w:rPr>
          <w:rFonts w:ascii="Times New Roman" w:eastAsia="Times New Roman" w:hAnsi="Times New Roman" w:cs="Times New Roman"/>
          <w:sz w:val="24"/>
          <w:szCs w:val="24"/>
        </w:rPr>
        <w:t>only to states that have adopted laws that prohibit amnesties, but also to states that have adopted amnesties that do not exclude crimes against humanity from their scope.</w:t>
      </w:r>
      <w:r w:rsidR="009274F0" w:rsidRPr="00EF4C33">
        <w:rPr>
          <w:rFonts w:ascii="Times New Roman" w:eastAsia="Times New Roman" w:hAnsi="Times New Roman" w:cs="Times New Roman"/>
          <w:sz w:val="24"/>
          <w:szCs w:val="24"/>
          <w:vertAlign w:val="superscript"/>
        </w:rPr>
        <w:footnoteReference w:id="93"/>
      </w:r>
      <w:r w:rsidR="009274F0" w:rsidRPr="00EF4C33">
        <w:rPr>
          <w:rFonts w:ascii="Times New Roman" w:eastAsia="Times New Roman" w:hAnsi="Times New Roman" w:cs="Times New Roman"/>
          <w:sz w:val="24"/>
          <w:szCs w:val="24"/>
        </w:rPr>
        <w:t xml:space="preserve"> Similarly, it should recognise that some of the states that have adopted laws prohibiting amnesties have also adopted differently-titled instruments with the same effect as an amnesty.</w:t>
      </w:r>
      <w:r w:rsidR="009274F0" w:rsidRPr="00EF4C33">
        <w:rPr>
          <w:rFonts w:ascii="Times New Roman" w:eastAsia="Times New Roman" w:hAnsi="Times New Roman" w:cs="Times New Roman"/>
          <w:sz w:val="24"/>
          <w:szCs w:val="24"/>
          <w:vertAlign w:val="superscript"/>
        </w:rPr>
        <w:footnoteReference w:id="94"/>
      </w:r>
      <w:r w:rsidR="00C960A8" w:rsidRPr="00C960A8">
        <w:rPr>
          <w:rStyle w:val="FootnoteReference"/>
          <w:rFonts w:ascii="Times New Roman" w:hAnsi="Times New Roman" w:cs="Times New Roman"/>
          <w:iCs/>
          <w:sz w:val="24"/>
          <w:szCs w:val="24"/>
        </w:rPr>
        <w:t xml:space="preserve"> </w:t>
      </w:r>
      <w:r w:rsidR="009273F8">
        <w:rPr>
          <w:rFonts w:ascii="Times New Roman" w:hAnsi="Times New Roman" w:cs="Times New Roman"/>
          <w:iCs/>
          <w:sz w:val="24"/>
          <w:szCs w:val="24"/>
        </w:rPr>
        <w:t>It could also consider as relevant practice that the framework decision on the European Arrest Warrant provides amnesties as a mandatory ground for refusal to execute, without excepting the crimes within the jurisdictio</w:t>
      </w:r>
      <w:r w:rsidR="00677262">
        <w:rPr>
          <w:rFonts w:ascii="Times New Roman" w:hAnsi="Times New Roman" w:cs="Times New Roman"/>
          <w:iCs/>
          <w:sz w:val="24"/>
          <w:szCs w:val="24"/>
        </w:rPr>
        <w:t xml:space="preserve">n of the ICC, which normally </w:t>
      </w:r>
      <w:r w:rsidR="009273F8">
        <w:rPr>
          <w:rFonts w:ascii="Times New Roman" w:hAnsi="Times New Roman" w:cs="Times New Roman"/>
          <w:iCs/>
          <w:sz w:val="24"/>
          <w:szCs w:val="24"/>
        </w:rPr>
        <w:t>give rise to surrender pursuant to the European Arrest Warrant.</w:t>
      </w:r>
      <w:r w:rsidR="009273F8">
        <w:rPr>
          <w:rStyle w:val="FootnoteReference"/>
          <w:rFonts w:ascii="Times New Roman" w:hAnsi="Times New Roman" w:cs="Times New Roman"/>
          <w:iCs/>
          <w:sz w:val="24"/>
          <w:szCs w:val="24"/>
        </w:rPr>
        <w:footnoteReference w:id="95"/>
      </w:r>
      <w:r w:rsidR="009273F8">
        <w:rPr>
          <w:rFonts w:ascii="Times New Roman" w:hAnsi="Times New Roman" w:cs="Times New Roman"/>
          <w:iCs/>
          <w:sz w:val="24"/>
          <w:szCs w:val="24"/>
        </w:rPr>
        <w:t xml:space="preserve"> </w:t>
      </w:r>
      <w:r w:rsidR="009274F0" w:rsidRPr="00EF4C33">
        <w:rPr>
          <w:rFonts w:ascii="Times New Roman" w:eastAsia="Times New Roman" w:hAnsi="Times New Roman" w:cs="Times New Roman"/>
          <w:sz w:val="24"/>
          <w:szCs w:val="24"/>
        </w:rPr>
        <w:t>And it would be helpful to see the ILC’s view on the legal significance of the</w:t>
      </w:r>
      <w:r w:rsidR="002C4730">
        <w:rPr>
          <w:rFonts w:ascii="Times New Roman" w:eastAsia="Times New Roman" w:hAnsi="Times New Roman" w:cs="Times New Roman"/>
          <w:sz w:val="24"/>
          <w:szCs w:val="24"/>
        </w:rPr>
        <w:t xml:space="preserve"> UN’s position on amnesties:</w:t>
      </w:r>
      <w:r w:rsidR="009274F0" w:rsidRPr="00EF4C33">
        <w:rPr>
          <w:rFonts w:ascii="Times New Roman" w:eastAsia="Times New Roman" w:hAnsi="Times New Roman" w:cs="Times New Roman"/>
          <w:sz w:val="24"/>
          <w:szCs w:val="24"/>
        </w:rPr>
        <w:t xml:space="preserve"> a UN policy not to support peace agreements that contain amnesties </w:t>
      </w:r>
      <w:r w:rsidR="005E617C">
        <w:rPr>
          <w:rFonts w:ascii="Times New Roman" w:eastAsia="Times New Roman" w:hAnsi="Times New Roman" w:cs="Times New Roman"/>
          <w:sz w:val="24"/>
          <w:szCs w:val="24"/>
        </w:rPr>
        <w:t>is just that</w:t>
      </w:r>
      <w:r w:rsidR="00BC1DFA">
        <w:rPr>
          <w:rFonts w:ascii="Times New Roman" w:eastAsia="Times New Roman" w:hAnsi="Times New Roman" w:cs="Times New Roman"/>
          <w:sz w:val="24"/>
          <w:szCs w:val="24"/>
        </w:rPr>
        <w:t xml:space="preserve"> </w:t>
      </w:r>
      <w:r w:rsidR="005E617C">
        <w:rPr>
          <w:rFonts w:ascii="Times New Roman" w:eastAsia="Times New Roman" w:hAnsi="Times New Roman" w:cs="Times New Roman"/>
          <w:sz w:val="24"/>
          <w:szCs w:val="24"/>
        </w:rPr>
        <w:t>—</w:t>
      </w:r>
      <w:r w:rsidR="00BC1DFA">
        <w:rPr>
          <w:rFonts w:ascii="Times New Roman" w:eastAsia="Times New Roman" w:hAnsi="Times New Roman" w:cs="Times New Roman"/>
          <w:sz w:val="24"/>
          <w:szCs w:val="24"/>
        </w:rPr>
        <w:t xml:space="preserve"> </w:t>
      </w:r>
      <w:r w:rsidR="005E617C">
        <w:rPr>
          <w:rFonts w:ascii="Times New Roman" w:eastAsia="Times New Roman" w:hAnsi="Times New Roman" w:cs="Times New Roman"/>
          <w:sz w:val="24"/>
          <w:szCs w:val="24"/>
        </w:rPr>
        <w:t xml:space="preserve">a policy; it </w:t>
      </w:r>
      <w:r w:rsidR="009274F0" w:rsidRPr="00EF4C33">
        <w:rPr>
          <w:rFonts w:ascii="Times New Roman" w:eastAsia="Times New Roman" w:hAnsi="Times New Roman" w:cs="Times New Roman"/>
          <w:sz w:val="24"/>
          <w:szCs w:val="24"/>
        </w:rPr>
        <w:t xml:space="preserve">does not translate into an international legal prohibition on amnesties. Moreover, UN practice has shown that its opposition to amnesties is more </w:t>
      </w:r>
      <w:r w:rsidR="00641A65">
        <w:rPr>
          <w:rFonts w:ascii="Times New Roman" w:eastAsia="Times New Roman" w:hAnsi="Times New Roman" w:cs="Times New Roman"/>
          <w:sz w:val="24"/>
          <w:szCs w:val="24"/>
        </w:rPr>
        <w:t xml:space="preserve">a matter of form than substance: </w:t>
      </w:r>
      <w:r w:rsidR="009274F0" w:rsidRPr="00EF4C33">
        <w:rPr>
          <w:rFonts w:ascii="Times New Roman" w:eastAsia="Times New Roman" w:hAnsi="Times New Roman" w:cs="Times New Roman"/>
          <w:sz w:val="24"/>
          <w:szCs w:val="24"/>
        </w:rPr>
        <w:t>it has been willing to be involved in the implementation of peace agreements accompanied by an amnesty, as long as that amnesty was incorporated in a separate document.</w:t>
      </w:r>
      <w:r w:rsidR="009274F0" w:rsidRPr="00EF4C33">
        <w:rPr>
          <w:rFonts w:ascii="Times New Roman" w:eastAsia="Times New Roman" w:hAnsi="Times New Roman" w:cs="Times New Roman"/>
          <w:sz w:val="24"/>
          <w:szCs w:val="24"/>
          <w:vertAlign w:val="superscript"/>
        </w:rPr>
        <w:footnoteReference w:id="96"/>
      </w:r>
      <w:r w:rsidR="009274F0" w:rsidRPr="00EF4C33">
        <w:rPr>
          <w:rFonts w:ascii="Times New Roman" w:eastAsia="Times New Roman" w:hAnsi="Times New Roman" w:cs="Times New Roman"/>
          <w:sz w:val="24"/>
          <w:szCs w:val="24"/>
        </w:rPr>
        <w:t xml:space="preserve"> </w:t>
      </w:r>
    </w:p>
    <w:p w14:paraId="5972CD1E" w14:textId="77777777" w:rsidR="009841B3" w:rsidRDefault="00101F4C" w:rsidP="00CE71D8">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iCs/>
          <w:sz w:val="24"/>
          <w:szCs w:val="24"/>
        </w:rPr>
        <w:t>Whi</w:t>
      </w:r>
      <w:r w:rsidR="009274F0" w:rsidRPr="00EF4C33">
        <w:rPr>
          <w:rFonts w:ascii="Times New Roman" w:eastAsia="Times New Roman" w:hAnsi="Times New Roman" w:cs="Times New Roman"/>
          <w:sz w:val="24"/>
          <w:szCs w:val="24"/>
        </w:rPr>
        <w:t xml:space="preserve">le the status of amnesties under customary and conventional law remains controversial, it is clear that </w:t>
      </w:r>
      <w:r w:rsidR="003C17D5">
        <w:rPr>
          <w:rFonts w:ascii="Times New Roman" w:eastAsia="Times New Roman" w:hAnsi="Times New Roman" w:cs="Times New Roman"/>
          <w:sz w:val="24"/>
          <w:szCs w:val="24"/>
        </w:rPr>
        <w:t>draft Article 10</w:t>
      </w:r>
      <w:r w:rsidR="009274F0" w:rsidRPr="00EF4C33">
        <w:rPr>
          <w:rFonts w:ascii="Times New Roman" w:eastAsia="Times New Roman" w:hAnsi="Times New Roman" w:cs="Times New Roman"/>
          <w:sz w:val="24"/>
          <w:szCs w:val="24"/>
        </w:rPr>
        <w:t>’s wording of a duty to submit a case to the authorities would run counter to the negotiated settlement in three of our four scenarios.</w:t>
      </w:r>
      <w:bookmarkStart w:id="22" w:name="_Ref393980246"/>
      <w:r w:rsidR="001E7785">
        <w:rPr>
          <w:rStyle w:val="FootnoteReference"/>
          <w:rFonts w:ascii="Times New Roman" w:eastAsia="Times New Roman" w:hAnsi="Times New Roman" w:cs="Times New Roman"/>
          <w:sz w:val="24"/>
          <w:szCs w:val="24"/>
        </w:rPr>
        <w:footnoteReference w:id="97"/>
      </w:r>
      <w:bookmarkEnd w:id="22"/>
      <w:r w:rsidR="009274F0" w:rsidRPr="00EF4C33">
        <w:rPr>
          <w:rFonts w:ascii="Times New Roman" w:eastAsia="Times New Roman" w:hAnsi="Times New Roman" w:cs="Times New Roman"/>
          <w:sz w:val="24"/>
          <w:szCs w:val="24"/>
        </w:rPr>
        <w:t xml:space="preserve"> In </w:t>
      </w:r>
      <w:r w:rsidR="009274F0" w:rsidRPr="00EF4C33">
        <w:rPr>
          <w:rFonts w:ascii="Times New Roman" w:eastAsia="Times New Roman" w:hAnsi="Times New Roman" w:cs="Times New Roman"/>
          <w:sz w:val="24"/>
          <w:szCs w:val="24"/>
        </w:rPr>
        <w:lastRenderedPageBreak/>
        <w:t xml:space="preserve">situations of </w:t>
      </w:r>
      <w:r w:rsidR="009274F0" w:rsidRPr="00EF4C33">
        <w:rPr>
          <w:rFonts w:ascii="Times New Roman" w:eastAsia="Times New Roman" w:hAnsi="Times New Roman" w:cs="Times New Roman"/>
          <w:i/>
          <w:sz w:val="24"/>
          <w:szCs w:val="24"/>
        </w:rPr>
        <w:t xml:space="preserve">de facto </w:t>
      </w:r>
      <w:r w:rsidR="009274F0" w:rsidRPr="00EF4C33">
        <w:rPr>
          <w:rFonts w:ascii="Times New Roman" w:eastAsia="Times New Roman" w:hAnsi="Times New Roman" w:cs="Times New Roman"/>
          <w:sz w:val="24"/>
          <w:szCs w:val="24"/>
        </w:rPr>
        <w:t xml:space="preserve">amnesty, no one was prosecuted. In situations of </w:t>
      </w:r>
      <w:r w:rsidR="009274F0" w:rsidRPr="00EF4C33">
        <w:rPr>
          <w:rFonts w:ascii="Times New Roman" w:eastAsia="Times New Roman" w:hAnsi="Times New Roman" w:cs="Times New Roman"/>
          <w:i/>
          <w:sz w:val="24"/>
          <w:szCs w:val="24"/>
        </w:rPr>
        <w:t xml:space="preserve">de jure </w:t>
      </w:r>
      <w:r w:rsidR="009274F0" w:rsidRPr="00EF4C33">
        <w:rPr>
          <w:rFonts w:ascii="Times New Roman" w:eastAsia="Times New Roman" w:hAnsi="Times New Roman" w:cs="Times New Roman"/>
          <w:sz w:val="24"/>
          <w:szCs w:val="24"/>
        </w:rPr>
        <w:t>amnesty, the amnesty act barred cases being put forward for prosecution. And indeed, in South Africa, even individuals who did not apply for an amnesty were still not prosecuted for practical and political reasons.</w:t>
      </w:r>
    </w:p>
    <w:p w14:paraId="2433DEDA" w14:textId="77777777" w:rsidR="00027F8F"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 </w:t>
      </w:r>
    </w:p>
    <w:p w14:paraId="74F91AB2" w14:textId="77777777" w:rsidR="00101F4C" w:rsidRPr="00101F4C" w:rsidRDefault="00101F4C" w:rsidP="00CC3B84">
      <w:pPr>
        <w:spacing w:after="0" w:line="360" w:lineRule="auto"/>
        <w:ind w:left="567" w:hanging="425"/>
        <w:jc w:val="both"/>
        <w:rPr>
          <w:rFonts w:ascii="Times New Roman" w:eastAsia="Times New Roman" w:hAnsi="Times New Roman" w:cs="Times New Roman"/>
          <w:i/>
          <w:sz w:val="24"/>
          <w:szCs w:val="24"/>
        </w:rPr>
      </w:pPr>
      <w:r w:rsidRPr="00101F4C">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A Duty to Punish?</w:t>
      </w:r>
    </w:p>
    <w:p w14:paraId="13822623" w14:textId="77777777" w:rsidR="00027F8F" w:rsidRPr="00EF4C33" w:rsidRDefault="00E3645C" w:rsidP="00CE71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our four scenarios, only the Colombian one is thus far compatible with the obligations in the </w:t>
      </w:r>
      <w:r w:rsidR="0083357E">
        <w:rPr>
          <w:rFonts w:ascii="Times New Roman" w:eastAsia="Times New Roman" w:hAnsi="Times New Roman" w:cs="Times New Roman"/>
          <w:sz w:val="24"/>
          <w:szCs w:val="24"/>
        </w:rPr>
        <w:t xml:space="preserve">ILC’s </w:t>
      </w:r>
      <w:r>
        <w:rPr>
          <w:rFonts w:ascii="Times New Roman" w:eastAsia="Times New Roman" w:hAnsi="Times New Roman" w:cs="Times New Roman"/>
          <w:sz w:val="24"/>
          <w:szCs w:val="24"/>
        </w:rPr>
        <w:t xml:space="preserve">draft </w:t>
      </w:r>
      <w:r w:rsidR="0083357E">
        <w:rPr>
          <w:rFonts w:ascii="Times New Roman" w:eastAsia="Times New Roman" w:hAnsi="Times New Roman" w:cs="Times New Roman"/>
          <w:sz w:val="24"/>
          <w:szCs w:val="24"/>
        </w:rPr>
        <w:t>articles on crimes against humanity</w:t>
      </w:r>
      <w:r>
        <w:rPr>
          <w:rFonts w:ascii="Times New Roman" w:eastAsia="Times New Roman" w:hAnsi="Times New Roman" w:cs="Times New Roman"/>
          <w:sz w:val="24"/>
          <w:szCs w:val="24"/>
        </w:rPr>
        <w:t xml:space="preserve">. </w:t>
      </w:r>
      <w:r w:rsidR="00677262">
        <w:rPr>
          <w:rFonts w:ascii="Times New Roman" w:eastAsia="Times New Roman" w:hAnsi="Times New Roman" w:cs="Times New Roman"/>
          <w:sz w:val="24"/>
          <w:szCs w:val="24"/>
        </w:rPr>
        <w:t xml:space="preserve">The </w:t>
      </w:r>
      <w:r w:rsidR="009274F0" w:rsidRPr="00EF4C33">
        <w:rPr>
          <w:rFonts w:ascii="Times New Roman" w:eastAsia="Times New Roman" w:hAnsi="Times New Roman" w:cs="Times New Roman"/>
          <w:sz w:val="24"/>
          <w:szCs w:val="24"/>
        </w:rPr>
        <w:t>Colombian agreement does envisage investigation and prosecution, but the question arises whether its alternative</w:t>
      </w:r>
      <w:r w:rsidR="003C17D5">
        <w:rPr>
          <w:rFonts w:ascii="Times New Roman" w:eastAsia="Times New Roman" w:hAnsi="Times New Roman" w:cs="Times New Roman"/>
          <w:sz w:val="24"/>
          <w:szCs w:val="24"/>
        </w:rPr>
        <w:t>-</w:t>
      </w:r>
      <w:r w:rsidR="009274F0" w:rsidRPr="00EF4C33">
        <w:rPr>
          <w:rFonts w:ascii="Times New Roman" w:eastAsia="Times New Roman" w:hAnsi="Times New Roman" w:cs="Times New Roman"/>
          <w:sz w:val="24"/>
          <w:szCs w:val="24"/>
        </w:rPr>
        <w:t xml:space="preserve">sanctions regime would be considered compatible with </w:t>
      </w:r>
      <w:r w:rsidR="003E6C5D">
        <w:rPr>
          <w:rFonts w:ascii="Times New Roman" w:eastAsia="Times New Roman" w:hAnsi="Times New Roman" w:cs="Times New Roman"/>
          <w:sz w:val="24"/>
          <w:szCs w:val="24"/>
        </w:rPr>
        <w:t>a future</w:t>
      </w:r>
      <w:r w:rsidR="003E6C5D" w:rsidRPr="00EF4C33">
        <w:rPr>
          <w:rFonts w:ascii="Times New Roman" w:eastAsia="Times New Roman" w:hAnsi="Times New Roman" w:cs="Times New Roman"/>
          <w:sz w:val="24"/>
          <w:szCs w:val="24"/>
        </w:rPr>
        <w:t xml:space="preserve"> </w:t>
      </w:r>
      <w:r w:rsidR="003E6C5D">
        <w:rPr>
          <w:rFonts w:ascii="Times New Roman" w:eastAsia="Times New Roman" w:hAnsi="Times New Roman" w:cs="Times New Roman"/>
          <w:sz w:val="24"/>
          <w:szCs w:val="24"/>
        </w:rPr>
        <w:t>c</w:t>
      </w:r>
      <w:r w:rsidR="009274F0" w:rsidRPr="00EF4C33">
        <w:rPr>
          <w:rFonts w:ascii="Times New Roman" w:eastAsia="Times New Roman" w:hAnsi="Times New Roman" w:cs="Times New Roman"/>
          <w:sz w:val="24"/>
          <w:szCs w:val="24"/>
        </w:rPr>
        <w:t>onvention</w:t>
      </w:r>
      <w:r w:rsidR="003E6C5D">
        <w:rPr>
          <w:rFonts w:ascii="Times New Roman" w:eastAsia="Times New Roman" w:hAnsi="Times New Roman" w:cs="Times New Roman"/>
          <w:sz w:val="24"/>
          <w:szCs w:val="24"/>
        </w:rPr>
        <w:t xml:space="preserve"> on crimes against humanity</w:t>
      </w:r>
      <w:r w:rsidR="009274F0" w:rsidRPr="00EF4C33">
        <w:rPr>
          <w:rFonts w:ascii="Times New Roman" w:eastAsia="Times New Roman" w:hAnsi="Times New Roman" w:cs="Times New Roman"/>
          <w:sz w:val="24"/>
          <w:szCs w:val="24"/>
        </w:rPr>
        <w:t xml:space="preserve">. Draft </w:t>
      </w:r>
      <w:r w:rsidR="003E6C5D">
        <w:rPr>
          <w:rFonts w:ascii="Times New Roman" w:eastAsia="Times New Roman" w:hAnsi="Times New Roman" w:cs="Times New Roman"/>
          <w:sz w:val="24"/>
          <w:szCs w:val="24"/>
        </w:rPr>
        <w:t>A</w:t>
      </w:r>
      <w:r w:rsidR="009274F0" w:rsidRPr="00EF4C33">
        <w:rPr>
          <w:rFonts w:ascii="Times New Roman" w:eastAsia="Times New Roman" w:hAnsi="Times New Roman" w:cs="Times New Roman"/>
          <w:sz w:val="24"/>
          <w:szCs w:val="24"/>
        </w:rPr>
        <w:t>rticle 6(7) provides that ‘[e]ach State shall take the necessary measures to ensure that, under its criminal law, the offences referred to in this draft article shall be punishable by appropriate penalties that take into account their grave nature.’ Assuming that a state has legislated accordingly, it could be argued that a subsequent settlement t</w:t>
      </w:r>
      <w:r w:rsidR="002C4730">
        <w:rPr>
          <w:rFonts w:ascii="Times New Roman" w:eastAsia="Times New Roman" w:hAnsi="Times New Roman" w:cs="Times New Roman"/>
          <w:sz w:val="24"/>
          <w:szCs w:val="24"/>
        </w:rPr>
        <w:t>hat provides for an alternative</w:t>
      </w:r>
      <w:r w:rsidR="003C17D5">
        <w:rPr>
          <w:rFonts w:ascii="Times New Roman" w:eastAsia="Times New Roman" w:hAnsi="Times New Roman" w:cs="Times New Roman"/>
          <w:sz w:val="24"/>
          <w:szCs w:val="24"/>
        </w:rPr>
        <w:t>-</w:t>
      </w:r>
      <w:r w:rsidR="009274F0" w:rsidRPr="00EF4C33">
        <w:rPr>
          <w:rFonts w:ascii="Times New Roman" w:eastAsia="Times New Roman" w:hAnsi="Times New Roman" w:cs="Times New Roman"/>
          <w:sz w:val="24"/>
          <w:szCs w:val="24"/>
        </w:rPr>
        <w:t xml:space="preserve">sanctions regime for a specific context (for instance, house arrest or community service) does not necessarily contradict this obligation.  </w:t>
      </w:r>
    </w:p>
    <w:p w14:paraId="02FDCFC8" w14:textId="77777777" w:rsidR="00027F8F"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ab/>
        <w:t xml:space="preserve">That said, </w:t>
      </w:r>
      <w:r w:rsidR="007C2E39" w:rsidRPr="007C2E39">
        <w:rPr>
          <w:rFonts w:ascii="Times New Roman" w:eastAsia="Times New Roman" w:hAnsi="Times New Roman" w:cs="Times New Roman"/>
          <w:sz w:val="24"/>
          <w:szCs w:val="24"/>
        </w:rPr>
        <w:t xml:space="preserve">given the emphasis on punishment in the </w:t>
      </w:r>
      <w:r w:rsidR="009704E1">
        <w:rPr>
          <w:rFonts w:ascii="Times New Roman" w:eastAsia="Times New Roman" w:hAnsi="Times New Roman" w:cs="Times New Roman"/>
          <w:sz w:val="24"/>
          <w:szCs w:val="24"/>
        </w:rPr>
        <w:t xml:space="preserve">working title of the </w:t>
      </w:r>
      <w:r w:rsidR="007C2E39">
        <w:rPr>
          <w:rFonts w:ascii="Times New Roman" w:eastAsia="Times New Roman" w:hAnsi="Times New Roman" w:cs="Times New Roman"/>
          <w:sz w:val="24"/>
          <w:szCs w:val="24"/>
        </w:rPr>
        <w:t xml:space="preserve">future </w:t>
      </w:r>
      <w:r w:rsidR="007C2E39" w:rsidRPr="007C2E39">
        <w:rPr>
          <w:rFonts w:ascii="Times New Roman" w:eastAsia="Times New Roman" w:hAnsi="Times New Roman" w:cs="Times New Roman"/>
          <w:sz w:val="24"/>
          <w:szCs w:val="24"/>
        </w:rPr>
        <w:t>Convention and</w:t>
      </w:r>
      <w:r w:rsidR="0096382E">
        <w:rPr>
          <w:rFonts w:ascii="Times New Roman" w:eastAsia="Times New Roman" w:hAnsi="Times New Roman" w:cs="Times New Roman"/>
          <w:sz w:val="24"/>
          <w:szCs w:val="24"/>
        </w:rPr>
        <w:t xml:space="preserve"> in</w:t>
      </w:r>
      <w:r w:rsidR="007C2E39" w:rsidRPr="007C2E39">
        <w:rPr>
          <w:rFonts w:ascii="Times New Roman" w:eastAsia="Times New Roman" w:hAnsi="Times New Roman" w:cs="Times New Roman"/>
          <w:sz w:val="24"/>
          <w:szCs w:val="24"/>
        </w:rPr>
        <w:t xml:space="preserve"> the article setting forth the ‘general obligation’ under the Convention combined with </w:t>
      </w:r>
      <w:r w:rsidRPr="00EF4C33">
        <w:rPr>
          <w:rFonts w:ascii="Times New Roman" w:eastAsia="Times New Roman" w:hAnsi="Times New Roman" w:cs="Times New Roman"/>
          <w:sz w:val="24"/>
          <w:szCs w:val="24"/>
        </w:rPr>
        <w:t xml:space="preserve">the </w:t>
      </w:r>
      <w:proofErr w:type="spellStart"/>
      <w:r w:rsidRPr="00EF4C33">
        <w:rPr>
          <w:rFonts w:ascii="Times New Roman" w:eastAsia="Times New Roman" w:hAnsi="Times New Roman" w:cs="Times New Roman"/>
          <w:sz w:val="24"/>
          <w:szCs w:val="24"/>
        </w:rPr>
        <w:t>preambular</w:t>
      </w:r>
      <w:proofErr w:type="spellEnd"/>
      <w:r w:rsidRPr="00EF4C33">
        <w:rPr>
          <w:rFonts w:ascii="Times New Roman" w:eastAsia="Times New Roman" w:hAnsi="Times New Roman" w:cs="Times New Roman"/>
          <w:sz w:val="24"/>
          <w:szCs w:val="24"/>
        </w:rPr>
        <w:t xml:space="preserve"> anti-impunity commitment and impunity</w:t>
      </w:r>
      <w:r w:rsidR="0096382E">
        <w:rPr>
          <w:rFonts w:ascii="Times New Roman" w:eastAsia="Times New Roman" w:hAnsi="Times New Roman" w:cs="Times New Roman"/>
          <w:sz w:val="24"/>
          <w:szCs w:val="24"/>
        </w:rPr>
        <w:t xml:space="preserve"> literally meaning</w:t>
      </w:r>
      <w:r w:rsidRPr="00EF4C33">
        <w:rPr>
          <w:rFonts w:ascii="Times New Roman" w:eastAsia="Times New Roman" w:hAnsi="Times New Roman" w:cs="Times New Roman"/>
          <w:sz w:val="24"/>
          <w:szCs w:val="24"/>
        </w:rPr>
        <w:t xml:space="preserve"> </w:t>
      </w:r>
      <w:r w:rsidR="00C70F43">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freedom from punishment</w:t>
      </w:r>
      <w:r w:rsidR="00C70F43">
        <w:rPr>
          <w:rFonts w:ascii="Times New Roman" w:eastAsia="Times New Roman" w:hAnsi="Times New Roman" w:cs="Times New Roman"/>
          <w:sz w:val="24"/>
          <w:szCs w:val="24"/>
        </w:rPr>
        <w:t>’</w:t>
      </w:r>
      <w:r w:rsidR="003C17D5">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there is a real chance that interpreters of the Convention will take a more a restrictive reading. In the different but related context of the </w:t>
      </w:r>
      <w:r w:rsidR="002C4730">
        <w:rPr>
          <w:rFonts w:ascii="Times New Roman" w:eastAsia="Times New Roman" w:hAnsi="Times New Roman" w:cs="Times New Roman"/>
          <w:sz w:val="24"/>
          <w:szCs w:val="24"/>
        </w:rPr>
        <w:t>ICC</w:t>
      </w:r>
      <w:r w:rsidRPr="00EF4C33">
        <w:rPr>
          <w:rFonts w:ascii="Times New Roman" w:eastAsia="Times New Roman" w:hAnsi="Times New Roman" w:cs="Times New Roman"/>
          <w:sz w:val="24"/>
          <w:szCs w:val="24"/>
        </w:rPr>
        <w:t xml:space="preserve"> we have seen a similar tendency. The Office of the Prosecutor</w:t>
      </w:r>
      <w:r w:rsidR="002C4730">
        <w:rPr>
          <w:rFonts w:ascii="Times New Roman" w:eastAsia="Times New Roman" w:hAnsi="Times New Roman" w:cs="Times New Roman"/>
          <w:sz w:val="24"/>
          <w:szCs w:val="24"/>
        </w:rPr>
        <w:t xml:space="preserve"> (OTP)</w:t>
      </w:r>
      <w:r w:rsidRPr="00EF4C33">
        <w:rPr>
          <w:rFonts w:ascii="Times New Roman" w:eastAsia="Times New Roman" w:hAnsi="Times New Roman" w:cs="Times New Roman"/>
          <w:sz w:val="24"/>
          <w:szCs w:val="24"/>
        </w:rPr>
        <w:t xml:space="preserve"> has indicated that</w:t>
      </w:r>
      <w:r w:rsidR="00C70F4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 for the purposes of rendering a case inadmissible on grounds of complementarity</w:t>
      </w:r>
      <w:r w:rsidR="00C70F4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 the sentences imposed at the domestic level must be consistent ‘with a genuine intent to bring the convicted persons to justice’, and that this means that they ‘adequately serve appropriate sentencing objectives for the most serious crimes.’</w:t>
      </w:r>
      <w:r w:rsidRPr="00EF4C33">
        <w:rPr>
          <w:rFonts w:ascii="Times New Roman" w:eastAsia="Times New Roman" w:hAnsi="Times New Roman" w:cs="Times New Roman"/>
          <w:sz w:val="24"/>
          <w:szCs w:val="24"/>
          <w:vertAlign w:val="superscript"/>
        </w:rPr>
        <w:footnoteReference w:id="98"/>
      </w:r>
      <w:r w:rsidRPr="00EF4C33">
        <w:rPr>
          <w:rFonts w:ascii="Times New Roman" w:eastAsia="Times New Roman" w:hAnsi="Times New Roman" w:cs="Times New Roman"/>
          <w:sz w:val="24"/>
          <w:szCs w:val="24"/>
        </w:rPr>
        <w:t xml:space="preserve"> In other words,</w:t>
      </w:r>
      <w:r w:rsidR="0010186F">
        <w:rPr>
          <w:rFonts w:ascii="Times New Roman" w:eastAsia="Times New Roman" w:hAnsi="Times New Roman" w:cs="Times New Roman"/>
          <w:sz w:val="24"/>
          <w:szCs w:val="24"/>
        </w:rPr>
        <w:t xml:space="preserve"> the OTP reads</w:t>
      </w:r>
      <w:r w:rsidRPr="00EF4C33">
        <w:rPr>
          <w:rFonts w:ascii="Times New Roman" w:eastAsia="Times New Roman" w:hAnsi="Times New Roman" w:cs="Times New Roman"/>
          <w:sz w:val="24"/>
          <w:szCs w:val="24"/>
        </w:rPr>
        <w:t xml:space="preserve"> ‘to bring … to justice’ as meeting sentencing objectives.</w:t>
      </w:r>
      <w:r w:rsidRPr="00EF4C33">
        <w:rPr>
          <w:rFonts w:ascii="Times New Roman" w:eastAsia="Times New Roman" w:hAnsi="Times New Roman" w:cs="Times New Roman"/>
          <w:sz w:val="24"/>
          <w:szCs w:val="24"/>
          <w:vertAlign w:val="superscript"/>
        </w:rPr>
        <w:footnoteReference w:id="99"/>
      </w:r>
    </w:p>
    <w:p w14:paraId="5E18CE92" w14:textId="77777777" w:rsidR="009841B3" w:rsidRDefault="009841B3" w:rsidP="00CE71D8">
      <w:pPr>
        <w:spacing w:after="0" w:line="360" w:lineRule="auto"/>
        <w:jc w:val="both"/>
        <w:rPr>
          <w:rFonts w:ascii="Times New Roman" w:eastAsia="Times New Roman" w:hAnsi="Times New Roman" w:cs="Times New Roman"/>
          <w:sz w:val="24"/>
          <w:szCs w:val="24"/>
        </w:rPr>
      </w:pPr>
    </w:p>
    <w:p w14:paraId="78B9A99B" w14:textId="77777777" w:rsidR="00E3645C" w:rsidRPr="00E3645C" w:rsidRDefault="00E3645C" w:rsidP="00CC3B84">
      <w:pPr>
        <w:pStyle w:val="ListParagraph"/>
        <w:numPr>
          <w:ilvl w:val="0"/>
          <w:numId w:val="2"/>
        </w:numPr>
        <w:spacing w:after="0" w:line="36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Implications of the Obligations for </w:t>
      </w:r>
      <w:r w:rsidRPr="00E3645C">
        <w:rPr>
          <w:rFonts w:ascii="Times New Roman" w:eastAsia="Times New Roman" w:hAnsi="Times New Roman" w:cs="Times New Roman"/>
          <w:i/>
          <w:sz w:val="24"/>
          <w:szCs w:val="24"/>
        </w:rPr>
        <w:t>States on the Territory of which the Crimes have been Committed</w:t>
      </w:r>
      <w:r>
        <w:rPr>
          <w:rFonts w:ascii="Times New Roman" w:eastAsia="Times New Roman" w:hAnsi="Times New Roman" w:cs="Times New Roman"/>
          <w:i/>
          <w:sz w:val="24"/>
          <w:szCs w:val="24"/>
        </w:rPr>
        <w:t xml:space="preserve"> for Negotiated Settlements</w:t>
      </w:r>
    </w:p>
    <w:p w14:paraId="05AC85BD" w14:textId="77777777" w:rsidR="00027F8F" w:rsidRDefault="00E3645C" w:rsidP="00CE71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274F0" w:rsidRPr="00EF4C33">
        <w:rPr>
          <w:rFonts w:ascii="Times New Roman" w:eastAsia="Times New Roman" w:hAnsi="Times New Roman" w:cs="Times New Roman"/>
          <w:sz w:val="24"/>
          <w:szCs w:val="24"/>
        </w:rPr>
        <w:t xml:space="preserve">he draft articles seem to provide </w:t>
      </w:r>
      <w:r>
        <w:rPr>
          <w:rFonts w:ascii="Times New Roman" w:eastAsia="Times New Roman" w:hAnsi="Times New Roman" w:cs="Times New Roman"/>
          <w:sz w:val="24"/>
          <w:szCs w:val="24"/>
        </w:rPr>
        <w:t xml:space="preserve">only </w:t>
      </w:r>
      <w:r w:rsidR="00232EEF">
        <w:rPr>
          <w:rFonts w:ascii="Times New Roman" w:eastAsia="Times New Roman" w:hAnsi="Times New Roman" w:cs="Times New Roman"/>
          <w:sz w:val="24"/>
          <w:szCs w:val="24"/>
        </w:rPr>
        <w:t xml:space="preserve">limited </w:t>
      </w:r>
      <w:r w:rsidR="009274F0" w:rsidRPr="00EF4C33">
        <w:rPr>
          <w:rFonts w:ascii="Times New Roman" w:eastAsia="Times New Roman" w:hAnsi="Times New Roman" w:cs="Times New Roman"/>
          <w:sz w:val="24"/>
          <w:szCs w:val="24"/>
        </w:rPr>
        <w:t>leeway for negotiated settlements</w:t>
      </w:r>
      <w:r>
        <w:rPr>
          <w:rFonts w:ascii="Times New Roman" w:eastAsia="Times New Roman" w:hAnsi="Times New Roman" w:cs="Times New Roman"/>
          <w:sz w:val="24"/>
          <w:szCs w:val="24"/>
        </w:rPr>
        <w:t>. T</w:t>
      </w:r>
      <w:r w:rsidR="009274F0" w:rsidRPr="00EF4C33">
        <w:rPr>
          <w:rFonts w:ascii="Times New Roman" w:eastAsia="Times New Roman" w:hAnsi="Times New Roman" w:cs="Times New Roman"/>
          <w:sz w:val="24"/>
          <w:szCs w:val="24"/>
        </w:rPr>
        <w:t>hey oblige authorities to submit a case for prosecution rather than to prosecute, and it could be argued that they leave scope for deviat</w:t>
      </w:r>
      <w:r w:rsidR="00BC0504">
        <w:rPr>
          <w:rFonts w:ascii="Times New Roman" w:eastAsia="Times New Roman" w:hAnsi="Times New Roman" w:cs="Times New Roman"/>
          <w:sz w:val="24"/>
          <w:szCs w:val="24"/>
        </w:rPr>
        <w:t>ing from standard punishments. However, f</w:t>
      </w:r>
      <w:r w:rsidR="009274F0" w:rsidRPr="00EF4C33">
        <w:rPr>
          <w:rFonts w:ascii="Times New Roman" w:eastAsia="Times New Roman" w:hAnsi="Times New Roman" w:cs="Times New Roman"/>
          <w:sz w:val="24"/>
          <w:szCs w:val="24"/>
        </w:rPr>
        <w:t>rom the perspective of negotiating a settlement</w:t>
      </w:r>
      <w:r>
        <w:rPr>
          <w:rFonts w:ascii="Times New Roman" w:eastAsia="Times New Roman" w:hAnsi="Times New Roman" w:cs="Times New Roman"/>
          <w:sz w:val="24"/>
          <w:szCs w:val="24"/>
        </w:rPr>
        <w:t xml:space="preserve">, this </w:t>
      </w:r>
      <w:r w:rsidR="00BC0504">
        <w:rPr>
          <w:rFonts w:ascii="Times New Roman" w:eastAsia="Times New Roman" w:hAnsi="Times New Roman" w:cs="Times New Roman"/>
          <w:sz w:val="24"/>
          <w:szCs w:val="24"/>
        </w:rPr>
        <w:t xml:space="preserve">limited leeway </w:t>
      </w:r>
      <w:r>
        <w:rPr>
          <w:rFonts w:ascii="Times New Roman" w:eastAsia="Times New Roman" w:hAnsi="Times New Roman" w:cs="Times New Roman"/>
          <w:sz w:val="24"/>
          <w:szCs w:val="24"/>
        </w:rPr>
        <w:t xml:space="preserve">will usually provide insufficient guarantees. </w:t>
      </w:r>
      <w:r w:rsidR="009274F0" w:rsidRPr="00EF4C33">
        <w:rPr>
          <w:rFonts w:ascii="Times New Roman" w:eastAsia="Times New Roman" w:hAnsi="Times New Roman" w:cs="Times New Roman"/>
          <w:sz w:val="24"/>
          <w:szCs w:val="24"/>
        </w:rPr>
        <w:t xml:space="preserve">First, as already discussed above, submitting cases for prosecution means accepting the criminal frame that parties to a negotiated settlement may wish, and need, to avoid. </w:t>
      </w:r>
      <w:r>
        <w:rPr>
          <w:rFonts w:ascii="Times New Roman" w:eastAsia="Times New Roman" w:hAnsi="Times New Roman" w:cs="Times New Roman"/>
          <w:sz w:val="24"/>
          <w:szCs w:val="24"/>
        </w:rPr>
        <w:t xml:space="preserve">Secondly, parties may not be willing to sign if they risk prosecution. </w:t>
      </w:r>
    </w:p>
    <w:p w14:paraId="469362D3" w14:textId="77777777" w:rsidR="00027F8F" w:rsidRPr="00EF4C33" w:rsidRDefault="00E3645C" w:rsidP="00CE71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Moreover, </w:t>
      </w:r>
      <w:r w:rsidR="009274F0" w:rsidRPr="00EF4C33">
        <w:rPr>
          <w:rFonts w:ascii="Times New Roman" w:eastAsia="Times New Roman" w:hAnsi="Times New Roman" w:cs="Times New Roman"/>
          <w:sz w:val="24"/>
          <w:szCs w:val="24"/>
        </w:rPr>
        <w:t xml:space="preserve">it is very likely that the interpreters of the future Convention will adopt an interpretation that prioritises the criminal approach, thereby </w:t>
      </w:r>
      <w:r>
        <w:rPr>
          <w:rFonts w:ascii="Times New Roman" w:eastAsia="Times New Roman" w:hAnsi="Times New Roman" w:cs="Times New Roman"/>
          <w:sz w:val="24"/>
          <w:szCs w:val="24"/>
        </w:rPr>
        <w:t>narrowing</w:t>
      </w:r>
      <w:r w:rsidR="009274F0" w:rsidRPr="00EF4C33">
        <w:rPr>
          <w:rFonts w:ascii="Times New Roman" w:eastAsia="Times New Roman" w:hAnsi="Times New Roman" w:cs="Times New Roman"/>
          <w:sz w:val="24"/>
          <w:szCs w:val="24"/>
        </w:rPr>
        <w:t xml:space="preserve"> the limited leeway that </w:t>
      </w:r>
      <w:r w:rsidR="0010186F">
        <w:rPr>
          <w:rFonts w:ascii="Times New Roman" w:eastAsia="Times New Roman" w:hAnsi="Times New Roman" w:cs="Times New Roman"/>
          <w:sz w:val="24"/>
          <w:szCs w:val="24"/>
        </w:rPr>
        <w:t xml:space="preserve">the wording </w:t>
      </w:r>
      <w:r w:rsidR="009274F0" w:rsidRPr="00EF4C33">
        <w:rPr>
          <w:rFonts w:ascii="Times New Roman" w:eastAsia="Times New Roman" w:hAnsi="Times New Roman" w:cs="Times New Roman"/>
          <w:sz w:val="24"/>
          <w:szCs w:val="24"/>
        </w:rPr>
        <w:t>of the current draft articles</w:t>
      </w:r>
      <w:r w:rsidR="0010186F">
        <w:rPr>
          <w:rFonts w:ascii="Times New Roman" w:eastAsia="Times New Roman" w:hAnsi="Times New Roman" w:cs="Times New Roman"/>
          <w:sz w:val="24"/>
          <w:szCs w:val="24"/>
        </w:rPr>
        <w:t xml:space="preserve"> may grant</w:t>
      </w:r>
      <w:r w:rsidR="009274F0" w:rsidRPr="00EF4C33">
        <w:rPr>
          <w:rFonts w:ascii="Times New Roman" w:eastAsia="Times New Roman" w:hAnsi="Times New Roman" w:cs="Times New Roman"/>
          <w:sz w:val="24"/>
          <w:szCs w:val="24"/>
        </w:rPr>
        <w:t xml:space="preserve">. The ILC’s </w:t>
      </w:r>
      <w:r w:rsidR="003705EE">
        <w:rPr>
          <w:rFonts w:ascii="Times New Roman" w:eastAsia="Times New Roman" w:hAnsi="Times New Roman" w:cs="Times New Roman"/>
          <w:sz w:val="24"/>
          <w:szCs w:val="24"/>
        </w:rPr>
        <w:t>c</w:t>
      </w:r>
      <w:r w:rsidR="009274F0" w:rsidRPr="00EF4C33">
        <w:rPr>
          <w:rFonts w:ascii="Times New Roman" w:eastAsia="Times New Roman" w:hAnsi="Times New Roman" w:cs="Times New Roman"/>
          <w:sz w:val="24"/>
          <w:szCs w:val="24"/>
        </w:rPr>
        <w:t>ommentar</w:t>
      </w:r>
      <w:r w:rsidR="003C17D5">
        <w:rPr>
          <w:rFonts w:ascii="Times New Roman" w:eastAsia="Times New Roman" w:hAnsi="Times New Roman" w:cs="Times New Roman"/>
          <w:sz w:val="24"/>
          <w:szCs w:val="24"/>
        </w:rPr>
        <w:t>ies themselves</w:t>
      </w:r>
      <w:r w:rsidR="009274F0" w:rsidRPr="00EF4C33">
        <w:rPr>
          <w:rFonts w:ascii="Times New Roman" w:eastAsia="Times New Roman" w:hAnsi="Times New Roman" w:cs="Times New Roman"/>
          <w:sz w:val="24"/>
          <w:szCs w:val="24"/>
        </w:rPr>
        <w:t xml:space="preserve"> </w:t>
      </w:r>
      <w:r w:rsidR="003C17D5">
        <w:rPr>
          <w:rFonts w:ascii="Times New Roman" w:eastAsia="Times New Roman" w:hAnsi="Times New Roman" w:cs="Times New Roman"/>
          <w:sz w:val="24"/>
          <w:szCs w:val="24"/>
        </w:rPr>
        <w:t>foreshadow</w:t>
      </w:r>
      <w:r w:rsidR="009274F0" w:rsidRPr="00EF4C33">
        <w:rPr>
          <w:rFonts w:ascii="Times New Roman" w:eastAsia="Times New Roman" w:hAnsi="Times New Roman" w:cs="Times New Roman"/>
          <w:sz w:val="24"/>
          <w:szCs w:val="24"/>
        </w:rPr>
        <w:t xml:space="preserve"> this</w:t>
      </w:r>
      <w:r w:rsidR="003C17D5">
        <w:rPr>
          <w:rFonts w:ascii="Times New Roman" w:eastAsia="Times New Roman" w:hAnsi="Times New Roman" w:cs="Times New Roman"/>
          <w:sz w:val="24"/>
          <w:szCs w:val="24"/>
        </w:rPr>
        <w:t xml:space="preserve"> risk by </w:t>
      </w:r>
      <w:r w:rsidR="009274F0" w:rsidRPr="00EF4C33">
        <w:rPr>
          <w:rFonts w:ascii="Times New Roman" w:eastAsia="Times New Roman" w:hAnsi="Times New Roman" w:cs="Times New Roman"/>
          <w:sz w:val="24"/>
          <w:szCs w:val="24"/>
        </w:rPr>
        <w:t>extensively draw</w:t>
      </w:r>
      <w:r w:rsidR="003C17D5">
        <w:rPr>
          <w:rFonts w:ascii="Times New Roman" w:eastAsia="Times New Roman" w:hAnsi="Times New Roman" w:cs="Times New Roman"/>
          <w:sz w:val="24"/>
          <w:szCs w:val="24"/>
        </w:rPr>
        <w:t>ing</w:t>
      </w:r>
      <w:r w:rsidR="009274F0" w:rsidRPr="00EF4C33">
        <w:rPr>
          <w:rFonts w:ascii="Times New Roman" w:eastAsia="Times New Roman" w:hAnsi="Times New Roman" w:cs="Times New Roman"/>
          <w:sz w:val="24"/>
          <w:szCs w:val="24"/>
        </w:rPr>
        <w:t xml:space="preserve"> on analogies with other suppression treaties, especially the Convention against Torture, without considering the different characters of the crimes addressed</w:t>
      </w:r>
      <w:r w:rsidR="00641A65">
        <w:rPr>
          <w:rFonts w:ascii="Times New Roman" w:eastAsia="Times New Roman" w:hAnsi="Times New Roman" w:cs="Times New Roman"/>
          <w:sz w:val="24"/>
          <w:szCs w:val="24"/>
        </w:rPr>
        <w:t>.</w:t>
      </w:r>
      <w:r w:rsidR="001921A1">
        <w:rPr>
          <w:rStyle w:val="FootnoteReference"/>
          <w:rFonts w:ascii="Times New Roman" w:eastAsia="Times New Roman" w:hAnsi="Times New Roman" w:cs="Times New Roman"/>
          <w:sz w:val="24"/>
          <w:szCs w:val="24"/>
        </w:rPr>
        <w:footnoteReference w:id="100"/>
      </w:r>
      <w:r w:rsidR="009274F0" w:rsidRPr="00EF4C33">
        <w:rPr>
          <w:rFonts w:ascii="Times New Roman" w:eastAsia="Times New Roman" w:hAnsi="Times New Roman" w:cs="Times New Roman"/>
          <w:sz w:val="24"/>
          <w:szCs w:val="24"/>
        </w:rPr>
        <w:t xml:space="preserve"> In other words, the interpretation on the basis of analogy is based on the parallel response (criminal trials and punishment) rather than the underlying acts. Experience with the interpretation of the </w:t>
      </w:r>
      <w:r w:rsidR="00D658F8">
        <w:rPr>
          <w:rFonts w:ascii="Times New Roman" w:eastAsia="Times New Roman" w:hAnsi="Times New Roman" w:cs="Times New Roman"/>
          <w:sz w:val="24"/>
          <w:szCs w:val="24"/>
        </w:rPr>
        <w:t>ICC</w:t>
      </w:r>
      <w:r w:rsidR="00D658F8" w:rsidRPr="00EF4C33">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Statute also suggests that the interpretation of provisions in a treaty with a stated objective of ending impunity tends to further the criminal approach, to the detriment of alternatives.</w:t>
      </w:r>
      <w:r w:rsidR="009274F0" w:rsidRPr="00EF4C33">
        <w:rPr>
          <w:rFonts w:ascii="Times New Roman" w:eastAsia="Times New Roman" w:hAnsi="Times New Roman" w:cs="Times New Roman"/>
          <w:sz w:val="24"/>
          <w:szCs w:val="24"/>
          <w:vertAlign w:val="superscript"/>
        </w:rPr>
        <w:footnoteReference w:id="101"/>
      </w:r>
      <w:r w:rsidR="009274F0" w:rsidRPr="00EF4C33">
        <w:rPr>
          <w:rFonts w:ascii="Times New Roman" w:eastAsia="Times New Roman" w:hAnsi="Times New Roman" w:cs="Times New Roman"/>
          <w:sz w:val="24"/>
          <w:szCs w:val="24"/>
        </w:rPr>
        <w:t xml:space="preserve"> For instance, the </w:t>
      </w:r>
      <w:r w:rsidR="00D658F8">
        <w:rPr>
          <w:rFonts w:ascii="Times New Roman" w:eastAsia="Times New Roman" w:hAnsi="Times New Roman" w:cs="Times New Roman"/>
          <w:sz w:val="24"/>
          <w:szCs w:val="24"/>
        </w:rPr>
        <w:t>ICC</w:t>
      </w:r>
      <w:r w:rsidR="00D658F8" w:rsidRPr="00EF4C33">
        <w:rPr>
          <w:rFonts w:ascii="Times New Roman" w:eastAsia="Times New Roman" w:hAnsi="Times New Roman" w:cs="Times New Roman"/>
          <w:sz w:val="24"/>
          <w:szCs w:val="24"/>
        </w:rPr>
        <w:t xml:space="preserve"> </w:t>
      </w:r>
      <w:r w:rsidR="009274F0" w:rsidRPr="00EF4C33">
        <w:rPr>
          <w:rFonts w:ascii="Times New Roman" w:eastAsia="Times New Roman" w:hAnsi="Times New Roman" w:cs="Times New Roman"/>
          <w:sz w:val="24"/>
          <w:szCs w:val="24"/>
        </w:rPr>
        <w:t>Statute grants the Prosecutor discretion not to investigate and prosecute if that would not serve the ‘interests of justice’.</w:t>
      </w:r>
      <w:r w:rsidR="009274F0" w:rsidRPr="00EF4C33">
        <w:rPr>
          <w:rFonts w:ascii="Times New Roman" w:eastAsia="Times New Roman" w:hAnsi="Times New Roman" w:cs="Times New Roman"/>
          <w:sz w:val="24"/>
          <w:szCs w:val="24"/>
          <w:vertAlign w:val="superscript"/>
        </w:rPr>
        <w:footnoteReference w:id="102"/>
      </w:r>
      <w:r w:rsidR="009274F0" w:rsidRPr="00EF4C33">
        <w:rPr>
          <w:rFonts w:ascii="Times New Roman" w:eastAsia="Times New Roman" w:hAnsi="Times New Roman" w:cs="Times New Roman"/>
          <w:sz w:val="24"/>
          <w:szCs w:val="24"/>
        </w:rPr>
        <w:t xml:space="preserve"> Some states might have hoped that</w:t>
      </w:r>
      <w:r w:rsidR="002C4730">
        <w:rPr>
          <w:rFonts w:ascii="Times New Roman" w:eastAsia="Times New Roman" w:hAnsi="Times New Roman" w:cs="Times New Roman"/>
          <w:sz w:val="24"/>
          <w:szCs w:val="24"/>
        </w:rPr>
        <w:t xml:space="preserve"> this would encourage, or at </w:t>
      </w:r>
      <w:r w:rsidR="009274F0" w:rsidRPr="00EF4C33">
        <w:rPr>
          <w:rFonts w:ascii="Times New Roman" w:eastAsia="Times New Roman" w:hAnsi="Times New Roman" w:cs="Times New Roman"/>
          <w:sz w:val="24"/>
          <w:szCs w:val="24"/>
        </w:rPr>
        <w:t xml:space="preserve">least allow, the Prosecutor not to intervene in, for instance, a situation </w:t>
      </w:r>
      <w:r w:rsidR="00CD1449">
        <w:rPr>
          <w:rFonts w:ascii="Times New Roman" w:eastAsia="Times New Roman" w:hAnsi="Times New Roman" w:cs="Times New Roman"/>
          <w:sz w:val="24"/>
          <w:szCs w:val="24"/>
        </w:rPr>
        <w:t>like</w:t>
      </w:r>
      <w:r w:rsidR="009274F0" w:rsidRPr="00EF4C33">
        <w:rPr>
          <w:rFonts w:ascii="Times New Roman" w:eastAsia="Times New Roman" w:hAnsi="Times New Roman" w:cs="Times New Roman"/>
          <w:sz w:val="24"/>
          <w:szCs w:val="24"/>
        </w:rPr>
        <w:t xml:space="preserve"> South Africa. However, the </w:t>
      </w:r>
      <w:r w:rsidR="002C4730">
        <w:rPr>
          <w:rFonts w:ascii="Times New Roman" w:eastAsia="Times New Roman" w:hAnsi="Times New Roman" w:cs="Times New Roman"/>
          <w:sz w:val="24"/>
          <w:szCs w:val="24"/>
        </w:rPr>
        <w:t>OTP</w:t>
      </w:r>
      <w:r w:rsidR="009274F0" w:rsidRPr="00EF4C33">
        <w:rPr>
          <w:rFonts w:ascii="Times New Roman" w:eastAsia="Times New Roman" w:hAnsi="Times New Roman" w:cs="Times New Roman"/>
          <w:sz w:val="24"/>
          <w:szCs w:val="24"/>
        </w:rPr>
        <w:t xml:space="preserve"> has interpreted the concept of the interests of justice </w:t>
      </w:r>
      <w:r w:rsidR="0010186F">
        <w:rPr>
          <w:rFonts w:ascii="Times New Roman" w:eastAsia="Times New Roman" w:hAnsi="Times New Roman" w:cs="Times New Roman"/>
          <w:sz w:val="24"/>
          <w:szCs w:val="24"/>
        </w:rPr>
        <w:t>narrowly</w:t>
      </w:r>
      <w:r w:rsidR="009274F0" w:rsidRPr="00EF4C33">
        <w:rPr>
          <w:rFonts w:ascii="Times New Roman" w:eastAsia="Times New Roman" w:hAnsi="Times New Roman" w:cs="Times New Roman"/>
          <w:sz w:val="24"/>
          <w:szCs w:val="24"/>
        </w:rPr>
        <w:t>, on the ground that as a starting point prosecution must be considered in the interests of justice and that a consideration of the interests of justice does not include a consideration of the interests of peace.</w:t>
      </w:r>
      <w:r w:rsidR="009274F0" w:rsidRPr="00EF4C33">
        <w:rPr>
          <w:rFonts w:ascii="Times New Roman" w:eastAsia="Times New Roman" w:hAnsi="Times New Roman" w:cs="Times New Roman"/>
          <w:sz w:val="24"/>
          <w:szCs w:val="24"/>
          <w:vertAlign w:val="superscript"/>
        </w:rPr>
        <w:footnoteReference w:id="103"/>
      </w:r>
    </w:p>
    <w:p w14:paraId="1F431737" w14:textId="77777777" w:rsidR="00027F8F" w:rsidRPr="00EF4C33"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ab/>
      </w:r>
      <w:r w:rsidR="001E7785">
        <w:rPr>
          <w:rFonts w:ascii="Times New Roman" w:eastAsia="Times New Roman" w:hAnsi="Times New Roman" w:cs="Times New Roman"/>
          <w:sz w:val="24"/>
          <w:szCs w:val="24"/>
        </w:rPr>
        <w:t>With or without leeway, o</w:t>
      </w:r>
      <w:r w:rsidRPr="00EF4C33">
        <w:rPr>
          <w:rFonts w:ascii="Times New Roman" w:eastAsia="Times New Roman" w:hAnsi="Times New Roman" w:cs="Times New Roman"/>
          <w:sz w:val="24"/>
          <w:szCs w:val="24"/>
        </w:rPr>
        <w:t xml:space="preserve">ne key challenge that the draft articles pose for states trying to negotiate a settlement is that </w:t>
      </w:r>
      <w:r w:rsidR="00677262">
        <w:rPr>
          <w:rFonts w:ascii="Times New Roman" w:eastAsia="Times New Roman" w:hAnsi="Times New Roman" w:cs="Times New Roman"/>
          <w:sz w:val="24"/>
          <w:szCs w:val="24"/>
        </w:rPr>
        <w:t>the</w:t>
      </w:r>
      <w:r w:rsidR="003A35D5">
        <w:rPr>
          <w:rFonts w:ascii="Times New Roman" w:eastAsia="Times New Roman" w:hAnsi="Times New Roman" w:cs="Times New Roman"/>
          <w:sz w:val="24"/>
          <w:szCs w:val="24"/>
        </w:rPr>
        <w:t>y</w:t>
      </w:r>
      <w:r w:rsidR="00677262">
        <w:rPr>
          <w:rFonts w:ascii="Times New Roman" w:eastAsia="Times New Roman" w:hAnsi="Times New Roman" w:cs="Times New Roman"/>
          <w:sz w:val="24"/>
          <w:szCs w:val="24"/>
        </w:rPr>
        <w:t xml:space="preserve"> focus</w:t>
      </w:r>
      <w:r w:rsidRPr="00EF4C33">
        <w:rPr>
          <w:rFonts w:ascii="Times New Roman" w:eastAsia="Times New Roman" w:hAnsi="Times New Roman" w:cs="Times New Roman"/>
          <w:sz w:val="24"/>
          <w:szCs w:val="24"/>
        </w:rPr>
        <w:t xml:space="preserve"> on individual suspects, rather than on a state’s overall transitional-justice policy. Draft </w:t>
      </w:r>
      <w:r w:rsidR="000D3B52">
        <w:rPr>
          <w:rFonts w:ascii="Times New Roman" w:eastAsia="Times New Roman" w:hAnsi="Times New Roman" w:cs="Times New Roman"/>
          <w:sz w:val="24"/>
          <w:szCs w:val="24"/>
        </w:rPr>
        <w:t>A</w:t>
      </w:r>
      <w:r w:rsidRPr="00EF4C33">
        <w:rPr>
          <w:rFonts w:ascii="Times New Roman" w:eastAsia="Times New Roman" w:hAnsi="Times New Roman" w:cs="Times New Roman"/>
          <w:sz w:val="24"/>
          <w:szCs w:val="24"/>
        </w:rPr>
        <w:t xml:space="preserve">rticles 9 and 10 create obligations to investigate and </w:t>
      </w:r>
      <w:r w:rsidRPr="00EF4C33">
        <w:rPr>
          <w:rFonts w:ascii="Times New Roman" w:eastAsia="Times New Roman" w:hAnsi="Times New Roman" w:cs="Times New Roman"/>
          <w:sz w:val="24"/>
          <w:szCs w:val="24"/>
        </w:rPr>
        <w:lastRenderedPageBreak/>
        <w:t>prosecute, or extradite, specific individuals suspected of crimes against humanity, the inquiry into the</w:t>
      </w:r>
      <w:r w:rsidR="00641A65">
        <w:rPr>
          <w:rFonts w:ascii="Times New Roman" w:eastAsia="Times New Roman" w:hAnsi="Times New Roman" w:cs="Times New Roman"/>
          <w:sz w:val="24"/>
          <w:szCs w:val="24"/>
        </w:rPr>
        <w:t xml:space="preserve"> facts having to be ‘immediate</w:t>
      </w:r>
      <w:r w:rsidRPr="00EF4C33">
        <w:rPr>
          <w:rFonts w:ascii="Times New Roman" w:eastAsia="Times New Roman" w:hAnsi="Times New Roman" w:cs="Times New Roman"/>
          <w:sz w:val="24"/>
          <w:szCs w:val="24"/>
        </w:rPr>
        <w:t>’. Even if states decide to take the criminal route and prosecute some people for crimes against humanity, they could still be held in violation of the Convention if they did not immediately consider the cases of others.</w:t>
      </w:r>
      <w:r w:rsidRPr="00EF4C33">
        <w:rPr>
          <w:rFonts w:ascii="Times New Roman" w:eastAsia="Times New Roman" w:hAnsi="Times New Roman" w:cs="Times New Roman"/>
          <w:sz w:val="24"/>
          <w:szCs w:val="24"/>
          <w:vertAlign w:val="superscript"/>
        </w:rPr>
        <w:footnoteReference w:id="104"/>
      </w:r>
      <w:r w:rsidRPr="00EF4C33">
        <w:rPr>
          <w:rFonts w:ascii="Times New Roman" w:eastAsia="Times New Roman" w:hAnsi="Times New Roman" w:cs="Times New Roman"/>
          <w:sz w:val="24"/>
          <w:szCs w:val="24"/>
        </w:rPr>
        <w:t xml:space="preserve"> Negotiated settlements often concern situations in which many people have been involved in the commission of crime</w:t>
      </w:r>
      <w:r w:rsidR="002C4730">
        <w:rPr>
          <w:rFonts w:ascii="Times New Roman" w:eastAsia="Times New Roman" w:hAnsi="Times New Roman" w:cs="Times New Roman"/>
          <w:sz w:val="24"/>
          <w:szCs w:val="24"/>
        </w:rPr>
        <w:t>s against humanity. Even the ICC</w:t>
      </w:r>
      <w:r w:rsidRPr="00EF4C33">
        <w:rPr>
          <w:rFonts w:ascii="Times New Roman" w:eastAsia="Times New Roman" w:hAnsi="Times New Roman" w:cs="Times New Roman"/>
          <w:sz w:val="24"/>
          <w:szCs w:val="24"/>
        </w:rPr>
        <w:t xml:space="preserve">, with a budget of more than 150 million euros per year and a staff specialised in international crimes, prosecutes less than a handful of accused per year. It might be desirable for the </w:t>
      </w:r>
      <w:r w:rsidR="005414EC">
        <w:rPr>
          <w:rFonts w:ascii="Times New Roman" w:eastAsia="Times New Roman" w:hAnsi="Times New Roman" w:cs="Times New Roman"/>
          <w:sz w:val="24"/>
          <w:szCs w:val="24"/>
        </w:rPr>
        <w:t>future C</w:t>
      </w:r>
      <w:r w:rsidRPr="00EF4C33">
        <w:rPr>
          <w:rFonts w:ascii="Times New Roman" w:eastAsia="Times New Roman" w:hAnsi="Times New Roman" w:cs="Times New Roman"/>
          <w:sz w:val="24"/>
          <w:szCs w:val="24"/>
        </w:rPr>
        <w:t>onvention to reflect in the duties it creates the nature of the events it is addressing: the large number of people often involved in crimes against humanity. States trying to emerge from conflict or oppression need a transitional-justice</w:t>
      </w:r>
      <w:r w:rsidR="0010186F">
        <w:rPr>
          <w:rFonts w:ascii="Times New Roman" w:eastAsia="Times New Roman" w:hAnsi="Times New Roman" w:cs="Times New Roman"/>
          <w:sz w:val="24"/>
          <w:szCs w:val="24"/>
        </w:rPr>
        <w:t xml:space="preserve"> policy, part of which addresses</w:t>
      </w:r>
      <w:r w:rsidRPr="00EF4C33">
        <w:rPr>
          <w:rFonts w:ascii="Times New Roman" w:eastAsia="Times New Roman" w:hAnsi="Times New Roman" w:cs="Times New Roman"/>
          <w:sz w:val="24"/>
          <w:szCs w:val="24"/>
        </w:rPr>
        <w:t xml:space="preserve"> how the prosecutorial task should be approached. </w:t>
      </w:r>
    </w:p>
    <w:p w14:paraId="6BDE554C" w14:textId="77777777" w:rsidR="00027F8F"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ab/>
        <w:t xml:space="preserve">The need for consideration of an overall transitional-justice policy, rather than an assessment as to whether a state has adequately addressed each and every individual potential offender, is inspired not just by the number of people involved. It is also inherent in the need for the simultaneous pursuit of the sometimes conflicting objectives of peace, justice (in its multiple dimensions), truth and reconciliation to the maximum extent, with specifically designed procedures for the interaction among the various transitional-justice mechanisms (for instance, a truth commission and courts), a logical timeline, and ultimately, finality, providing legal certainty to all involved. As it stands, with </w:t>
      </w:r>
      <w:r w:rsidR="009266A3">
        <w:rPr>
          <w:rFonts w:ascii="Times New Roman" w:eastAsia="Times New Roman" w:hAnsi="Times New Roman" w:cs="Times New Roman"/>
          <w:sz w:val="24"/>
          <w:szCs w:val="24"/>
        </w:rPr>
        <w:t>their</w:t>
      </w:r>
      <w:r w:rsidR="009266A3"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focus on individual suspects, the </w:t>
      </w:r>
      <w:r w:rsidR="009266A3">
        <w:rPr>
          <w:rFonts w:ascii="Times New Roman" w:eastAsia="Times New Roman" w:hAnsi="Times New Roman" w:cs="Times New Roman"/>
          <w:sz w:val="24"/>
          <w:szCs w:val="24"/>
        </w:rPr>
        <w:t>current draft articles</w:t>
      </w:r>
      <w:r w:rsidRPr="00EF4C33">
        <w:rPr>
          <w:rFonts w:ascii="Times New Roman" w:eastAsia="Times New Roman" w:hAnsi="Times New Roman" w:cs="Times New Roman"/>
          <w:sz w:val="24"/>
          <w:szCs w:val="24"/>
        </w:rPr>
        <w:t xml:space="preserve"> seem to grant little leeway to take such an overall policy into account. Nor is there consideration for timing or the need for respect for the finality of a transitional-justice arrangement as a whole.</w:t>
      </w:r>
    </w:p>
    <w:p w14:paraId="4B7B26EA" w14:textId="77777777" w:rsidR="009841B3" w:rsidRDefault="009841B3" w:rsidP="00CE71D8">
      <w:pPr>
        <w:spacing w:after="0" w:line="360" w:lineRule="auto"/>
        <w:jc w:val="both"/>
        <w:rPr>
          <w:rFonts w:ascii="Times New Roman" w:eastAsia="Times New Roman" w:hAnsi="Times New Roman" w:cs="Times New Roman"/>
          <w:sz w:val="24"/>
          <w:szCs w:val="24"/>
        </w:rPr>
      </w:pPr>
    </w:p>
    <w:p w14:paraId="4E90C4D6" w14:textId="77777777" w:rsidR="00027F8F" w:rsidRPr="00EF4C33" w:rsidRDefault="009274F0" w:rsidP="00CC3B84">
      <w:pPr>
        <w:numPr>
          <w:ilvl w:val="0"/>
          <w:numId w:val="3"/>
        </w:numPr>
        <w:pBdr>
          <w:top w:val="nil"/>
          <w:left w:val="nil"/>
          <w:bottom w:val="nil"/>
          <w:right w:val="nil"/>
          <w:between w:val="nil"/>
        </w:pBdr>
        <w:spacing w:after="0" w:line="360" w:lineRule="auto"/>
        <w:ind w:left="567"/>
        <w:contextualSpacing/>
        <w:jc w:val="both"/>
        <w:rPr>
          <w:rFonts w:ascii="Times New Roman" w:eastAsia="Times New Roman" w:hAnsi="Times New Roman" w:cs="Times New Roman"/>
          <w:b/>
          <w:i/>
          <w:color w:val="000000"/>
          <w:sz w:val="24"/>
          <w:szCs w:val="24"/>
        </w:rPr>
      </w:pPr>
      <w:r w:rsidRPr="00EF4C33">
        <w:rPr>
          <w:rFonts w:ascii="Times New Roman" w:eastAsia="Times New Roman" w:hAnsi="Times New Roman" w:cs="Times New Roman"/>
          <w:b/>
          <w:i/>
          <w:color w:val="000000"/>
          <w:sz w:val="24"/>
          <w:szCs w:val="24"/>
        </w:rPr>
        <w:t xml:space="preserve">States </w:t>
      </w:r>
      <w:r w:rsidR="00677262">
        <w:rPr>
          <w:rFonts w:ascii="Times New Roman" w:eastAsia="Times New Roman" w:hAnsi="Times New Roman" w:cs="Times New Roman"/>
          <w:b/>
          <w:i/>
          <w:color w:val="000000"/>
          <w:sz w:val="24"/>
          <w:szCs w:val="24"/>
        </w:rPr>
        <w:t>where Alleged Perpetrators are Present, Outside</w:t>
      </w:r>
      <w:r w:rsidRPr="00EF4C33">
        <w:rPr>
          <w:rFonts w:ascii="Times New Roman" w:eastAsia="Times New Roman" w:hAnsi="Times New Roman" w:cs="Times New Roman"/>
          <w:b/>
          <w:i/>
          <w:color w:val="000000"/>
          <w:sz w:val="24"/>
          <w:szCs w:val="24"/>
        </w:rPr>
        <w:t xml:space="preserve"> the State on the Territory of which the Crimes were Committed</w:t>
      </w:r>
    </w:p>
    <w:p w14:paraId="22DC19D0" w14:textId="77777777" w:rsidR="00027F8F" w:rsidRPr="00EF4C33"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With respect to the category of states other than the state where the crimes were committed, for instance the case of Norway receiving F.W. De Klerk, we can be brief. The same </w:t>
      </w:r>
      <w:r w:rsidR="000D2D7C">
        <w:rPr>
          <w:rFonts w:ascii="Times New Roman" w:eastAsia="Times New Roman" w:hAnsi="Times New Roman" w:cs="Times New Roman"/>
          <w:sz w:val="24"/>
          <w:szCs w:val="24"/>
        </w:rPr>
        <w:t>A</w:t>
      </w:r>
      <w:r w:rsidRPr="00EF4C33">
        <w:rPr>
          <w:rFonts w:ascii="Times New Roman" w:eastAsia="Times New Roman" w:hAnsi="Times New Roman" w:cs="Times New Roman"/>
          <w:sz w:val="24"/>
          <w:szCs w:val="24"/>
        </w:rPr>
        <w:t xml:space="preserve">rticles 9 and 10 apply, thus the same duties to take suspects into custody and to submit their case for prosecution or to extradite them. Due to the obligation to take these decisions in accordance </w:t>
      </w:r>
      <w:r w:rsidRPr="00EF4C33">
        <w:rPr>
          <w:rFonts w:ascii="Times New Roman" w:eastAsia="Times New Roman" w:hAnsi="Times New Roman" w:cs="Times New Roman"/>
          <w:sz w:val="24"/>
          <w:szCs w:val="24"/>
        </w:rPr>
        <w:lastRenderedPageBreak/>
        <w:t xml:space="preserve">with domestic law, and ‘in the same manner as in the case of any other offence of a grave nature under the law of that State’, the foreign state is unlikely to have much legal ground not to prosecute in the interests of a </w:t>
      </w:r>
      <w:r w:rsidRPr="00EF4C33">
        <w:rPr>
          <w:rFonts w:ascii="Times New Roman" w:eastAsia="Times New Roman" w:hAnsi="Times New Roman" w:cs="Times New Roman"/>
          <w:i/>
          <w:sz w:val="24"/>
          <w:szCs w:val="24"/>
        </w:rPr>
        <w:t xml:space="preserve">foreign </w:t>
      </w:r>
      <w:r w:rsidRPr="00EF4C33">
        <w:rPr>
          <w:rFonts w:ascii="Times New Roman" w:eastAsia="Times New Roman" w:hAnsi="Times New Roman" w:cs="Times New Roman"/>
          <w:sz w:val="24"/>
          <w:szCs w:val="24"/>
        </w:rPr>
        <w:t>negotiated settlement.</w:t>
      </w:r>
      <w:r w:rsidR="0031453C">
        <w:rPr>
          <w:rStyle w:val="FootnoteReference"/>
          <w:rFonts w:ascii="Times New Roman" w:eastAsia="Times New Roman" w:hAnsi="Times New Roman" w:cs="Times New Roman"/>
          <w:sz w:val="24"/>
          <w:szCs w:val="24"/>
        </w:rPr>
        <w:footnoteReference w:id="105"/>
      </w:r>
      <w:r w:rsidRPr="00EF4C33">
        <w:rPr>
          <w:rFonts w:ascii="Times New Roman" w:eastAsia="Times New Roman" w:hAnsi="Times New Roman" w:cs="Times New Roman"/>
          <w:sz w:val="24"/>
          <w:szCs w:val="24"/>
        </w:rPr>
        <w:t xml:space="preserve"> </w:t>
      </w:r>
    </w:p>
    <w:p w14:paraId="70D712C2" w14:textId="77777777" w:rsidR="00027F8F" w:rsidRPr="00EF4C33"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The shift in the normative landscape for foreign states is both less and more significant than with respect to the state where the crimes were committed. It is less significant in that states were never bound to respect foreign negotiated settlements or foreign legal instruments, such as amnesties, emanating from those settlements. It is more significant, however, in that foreign states were far less likely to prosecute in the first place, whe</w:t>
      </w:r>
      <w:r w:rsidR="0010186F">
        <w:rPr>
          <w:rFonts w:ascii="Times New Roman" w:eastAsia="Times New Roman" w:hAnsi="Times New Roman" w:cs="Times New Roman"/>
          <w:sz w:val="24"/>
          <w:szCs w:val="24"/>
        </w:rPr>
        <w:t xml:space="preserve">reas the proposed </w:t>
      </w:r>
      <w:r w:rsidR="000D2D7C">
        <w:rPr>
          <w:rFonts w:ascii="Times New Roman" w:eastAsia="Times New Roman" w:hAnsi="Times New Roman" w:cs="Times New Roman"/>
          <w:sz w:val="24"/>
          <w:szCs w:val="24"/>
        </w:rPr>
        <w:t>C</w:t>
      </w:r>
      <w:r w:rsidR="0010186F">
        <w:rPr>
          <w:rFonts w:ascii="Times New Roman" w:eastAsia="Times New Roman" w:hAnsi="Times New Roman" w:cs="Times New Roman"/>
          <w:sz w:val="24"/>
          <w:szCs w:val="24"/>
        </w:rPr>
        <w:t>onvention would oblige</w:t>
      </w:r>
      <w:r w:rsidRPr="00EF4C33">
        <w:rPr>
          <w:rFonts w:ascii="Times New Roman" w:eastAsia="Times New Roman" w:hAnsi="Times New Roman" w:cs="Times New Roman"/>
          <w:sz w:val="24"/>
          <w:szCs w:val="24"/>
        </w:rPr>
        <w:t xml:space="preserve"> them to arrest the alleged offender if on their territory and to submit the case for prosecution or extradite. In other words, </w:t>
      </w:r>
      <w:r w:rsidR="00677262">
        <w:rPr>
          <w:rFonts w:ascii="Times New Roman" w:eastAsia="Times New Roman" w:hAnsi="Times New Roman" w:cs="Times New Roman"/>
          <w:sz w:val="24"/>
          <w:szCs w:val="24"/>
        </w:rPr>
        <w:t xml:space="preserve">if a state party, </w:t>
      </w:r>
      <w:r w:rsidRPr="00EF4C33">
        <w:rPr>
          <w:rFonts w:ascii="Times New Roman" w:eastAsia="Times New Roman" w:hAnsi="Times New Roman" w:cs="Times New Roman"/>
          <w:sz w:val="24"/>
          <w:szCs w:val="24"/>
        </w:rPr>
        <w:t xml:space="preserve">Norway would have to arrest De Klerk. </w:t>
      </w:r>
    </w:p>
    <w:p w14:paraId="05F78049" w14:textId="77777777" w:rsidR="00677262"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States should consider the consequences of this normative shift, again in light of considerations of Realpolitik</w:t>
      </w:r>
      <w:r w:rsidR="00990C82">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xml:space="preserve"> ideals</w:t>
      </w:r>
      <w:r w:rsidR="00990C82">
        <w:rPr>
          <w:rFonts w:ascii="Times New Roman" w:eastAsia="Times New Roman" w:hAnsi="Times New Roman" w:cs="Times New Roman"/>
          <w:sz w:val="24"/>
          <w:szCs w:val="24"/>
        </w:rPr>
        <w:t xml:space="preserve"> and the republican and practical argument</w:t>
      </w:r>
      <w:r w:rsidRPr="00EF4C33">
        <w:rPr>
          <w:rFonts w:ascii="Times New Roman" w:eastAsia="Times New Roman" w:hAnsi="Times New Roman" w:cs="Times New Roman"/>
          <w:sz w:val="24"/>
          <w:szCs w:val="24"/>
        </w:rPr>
        <w:t>. With respect to the Realpolitik argument about the impact on a negotiated settlement, it could be argued that the risk of foreign prosecution is less destabilising to a negotiated settlement than that of domestic prosecution. Suspects would just have to accept that foreign travel has become risk</w:t>
      </w:r>
      <w:r w:rsidR="00C071CE">
        <w:rPr>
          <w:rFonts w:ascii="Times New Roman" w:eastAsia="Times New Roman" w:hAnsi="Times New Roman" w:cs="Times New Roman"/>
          <w:sz w:val="24"/>
          <w:szCs w:val="24"/>
        </w:rPr>
        <w:t>ier</w:t>
      </w:r>
      <w:r w:rsidRPr="00EF4C33">
        <w:rPr>
          <w:rFonts w:ascii="Times New Roman" w:eastAsia="Times New Roman" w:hAnsi="Times New Roman" w:cs="Times New Roman"/>
          <w:sz w:val="24"/>
          <w:szCs w:val="24"/>
        </w:rPr>
        <w:t xml:space="preserve"> than it was and possibly pay the price of a </w:t>
      </w:r>
      <w:r w:rsidRPr="00EF4C33">
        <w:rPr>
          <w:rFonts w:ascii="Times New Roman" w:eastAsia="Times New Roman" w:hAnsi="Times New Roman" w:cs="Times New Roman"/>
          <w:i/>
          <w:sz w:val="24"/>
          <w:szCs w:val="24"/>
        </w:rPr>
        <w:t xml:space="preserve">de facto </w:t>
      </w:r>
      <w:r w:rsidRPr="00EF4C33">
        <w:rPr>
          <w:rFonts w:ascii="Times New Roman" w:eastAsia="Times New Roman" w:hAnsi="Times New Roman" w:cs="Times New Roman"/>
          <w:sz w:val="24"/>
          <w:szCs w:val="24"/>
        </w:rPr>
        <w:t xml:space="preserve">‘country arrest’. On the other hand, negotiated settlements that depend on finding a foreign safe haven would become more difficult in the case of widespread ratification of the proposed Convention. </w:t>
      </w:r>
    </w:p>
    <w:p w14:paraId="030121E7" w14:textId="77777777" w:rsidR="00027F8F" w:rsidRDefault="009274F0" w:rsidP="00CE71D8">
      <w:pPr>
        <w:spacing w:after="0" w:line="360" w:lineRule="auto"/>
        <w:ind w:firstLine="72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From the perspective of promoting ideals, however, foreign states themselves may not wish to be under a duty to prosecute if in some instances they actually want to pay tribute to a state’s negotiated settlement. Do states now want to be under an obligation to prosecute members of the FARC, instead of congratulating Colombia on the settlement it has reached? Negotiated settlements often involve multiple values</w:t>
      </w:r>
      <w:r w:rsidR="00153377">
        <w:rPr>
          <w:rFonts w:ascii="Times New Roman" w:eastAsia="Times New Roman" w:hAnsi="Times New Roman" w:cs="Times New Roman"/>
          <w:sz w:val="24"/>
          <w:szCs w:val="24"/>
        </w:rPr>
        <w:t xml:space="preserve"> and multiple understandings of some of those values</w:t>
      </w:r>
      <w:r w:rsidR="009C4DD0">
        <w:rPr>
          <w:rFonts w:ascii="Times New Roman" w:eastAsia="Times New Roman" w:hAnsi="Times New Roman" w:cs="Times New Roman"/>
          <w:sz w:val="24"/>
          <w:szCs w:val="24"/>
        </w:rPr>
        <w:t xml:space="preserve"> —</w:t>
      </w:r>
      <w:r w:rsidR="00153377">
        <w:rPr>
          <w:rFonts w:ascii="Times New Roman" w:eastAsia="Times New Roman" w:hAnsi="Times New Roman" w:cs="Times New Roman"/>
          <w:sz w:val="24"/>
          <w:szCs w:val="24"/>
        </w:rPr>
        <w:t xml:space="preserve"> for instance</w:t>
      </w:r>
      <w:r w:rsidRPr="00EF4C33">
        <w:rPr>
          <w:rFonts w:ascii="Times New Roman" w:eastAsia="Times New Roman" w:hAnsi="Times New Roman" w:cs="Times New Roman"/>
          <w:sz w:val="24"/>
          <w:szCs w:val="24"/>
        </w:rPr>
        <w:t>,</w:t>
      </w:r>
      <w:r w:rsidR="00153377">
        <w:rPr>
          <w:rFonts w:ascii="Times New Roman" w:eastAsia="Times New Roman" w:hAnsi="Times New Roman" w:cs="Times New Roman"/>
          <w:sz w:val="24"/>
          <w:szCs w:val="24"/>
        </w:rPr>
        <w:t xml:space="preserve"> justice. E</w:t>
      </w:r>
      <w:r w:rsidRPr="00EF4C33">
        <w:rPr>
          <w:rFonts w:ascii="Times New Roman" w:eastAsia="Times New Roman" w:hAnsi="Times New Roman" w:cs="Times New Roman"/>
          <w:sz w:val="24"/>
          <w:szCs w:val="24"/>
        </w:rPr>
        <w:t xml:space="preserve">ven though </w:t>
      </w:r>
      <w:r w:rsidR="00153377">
        <w:rPr>
          <w:rFonts w:ascii="Times New Roman" w:eastAsia="Times New Roman" w:hAnsi="Times New Roman" w:cs="Times New Roman"/>
          <w:sz w:val="24"/>
          <w:szCs w:val="24"/>
        </w:rPr>
        <w:t>most of these values and understandings</w:t>
      </w:r>
      <w:r w:rsidRPr="00EF4C33">
        <w:rPr>
          <w:rFonts w:ascii="Times New Roman" w:eastAsia="Times New Roman" w:hAnsi="Times New Roman" w:cs="Times New Roman"/>
          <w:sz w:val="24"/>
          <w:szCs w:val="24"/>
        </w:rPr>
        <w:t xml:space="preserve"> find some protection in international law, </w:t>
      </w:r>
      <w:r w:rsidR="00153377">
        <w:rPr>
          <w:rFonts w:ascii="Times New Roman" w:eastAsia="Times New Roman" w:hAnsi="Times New Roman" w:cs="Times New Roman"/>
          <w:sz w:val="24"/>
          <w:szCs w:val="24"/>
        </w:rPr>
        <w:t xml:space="preserve">they </w:t>
      </w:r>
      <w:r w:rsidRPr="00EF4C33">
        <w:rPr>
          <w:rFonts w:ascii="Times New Roman" w:eastAsia="Times New Roman" w:hAnsi="Times New Roman" w:cs="Times New Roman"/>
          <w:sz w:val="24"/>
          <w:szCs w:val="24"/>
        </w:rPr>
        <w:t xml:space="preserve">at times compete. If states want to continue to be able to balance these carefully, also in their foreign relations, </w:t>
      </w:r>
      <w:r w:rsidR="00153377">
        <w:rPr>
          <w:rFonts w:ascii="Times New Roman" w:eastAsia="Times New Roman" w:hAnsi="Times New Roman" w:cs="Times New Roman"/>
          <w:sz w:val="24"/>
          <w:szCs w:val="24"/>
        </w:rPr>
        <w:t xml:space="preserve">on a case by case basis, </w:t>
      </w:r>
      <w:r w:rsidR="003A35D5">
        <w:rPr>
          <w:rFonts w:ascii="Times New Roman" w:eastAsia="Times New Roman" w:hAnsi="Times New Roman" w:cs="Times New Roman"/>
          <w:sz w:val="24"/>
          <w:szCs w:val="24"/>
        </w:rPr>
        <w:t>a</w:t>
      </w:r>
      <w:r w:rsidR="00BA69F9">
        <w:rPr>
          <w:rFonts w:ascii="Times New Roman" w:eastAsia="Times New Roman" w:hAnsi="Times New Roman" w:cs="Times New Roman"/>
          <w:sz w:val="24"/>
          <w:szCs w:val="24"/>
        </w:rPr>
        <w:t xml:space="preserve"> future</w:t>
      </w:r>
      <w:r w:rsidR="00BA69F9"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Convention</w:t>
      </w:r>
      <w:r w:rsidR="00BA69F9">
        <w:rPr>
          <w:rFonts w:ascii="Times New Roman" w:eastAsia="Times New Roman" w:hAnsi="Times New Roman" w:cs="Times New Roman"/>
          <w:sz w:val="24"/>
          <w:szCs w:val="24"/>
        </w:rPr>
        <w:t xml:space="preserve"> on crimes against humanity</w:t>
      </w:r>
      <w:r w:rsidR="003A35D5">
        <w:rPr>
          <w:rFonts w:ascii="Times New Roman" w:eastAsia="Times New Roman" w:hAnsi="Times New Roman" w:cs="Times New Roman"/>
          <w:sz w:val="24"/>
          <w:szCs w:val="24"/>
        </w:rPr>
        <w:t xml:space="preserve"> must accommodate this</w:t>
      </w:r>
      <w:r w:rsidRPr="00EF4C33">
        <w:rPr>
          <w:rFonts w:ascii="Times New Roman" w:eastAsia="Times New Roman" w:hAnsi="Times New Roman" w:cs="Times New Roman"/>
          <w:sz w:val="24"/>
          <w:szCs w:val="24"/>
        </w:rPr>
        <w:t xml:space="preserve">. </w:t>
      </w:r>
    </w:p>
    <w:p w14:paraId="5D7E42EE" w14:textId="4E1741C7" w:rsidR="009841B3" w:rsidRDefault="009841B3" w:rsidP="00CE71D8">
      <w:pPr>
        <w:spacing w:after="0" w:line="360" w:lineRule="auto"/>
        <w:ind w:firstLine="720"/>
        <w:jc w:val="both"/>
        <w:rPr>
          <w:rFonts w:ascii="Times New Roman" w:eastAsia="Times New Roman" w:hAnsi="Times New Roman" w:cs="Times New Roman"/>
          <w:sz w:val="24"/>
          <w:szCs w:val="24"/>
        </w:rPr>
      </w:pPr>
    </w:p>
    <w:p w14:paraId="6D4350C6" w14:textId="6C53E75C" w:rsidR="006279A1" w:rsidRDefault="006279A1" w:rsidP="00CE71D8">
      <w:pPr>
        <w:spacing w:after="0" w:line="360" w:lineRule="auto"/>
        <w:ind w:firstLine="720"/>
        <w:jc w:val="both"/>
        <w:rPr>
          <w:rFonts w:ascii="Times New Roman" w:eastAsia="Times New Roman" w:hAnsi="Times New Roman" w:cs="Times New Roman"/>
          <w:sz w:val="24"/>
          <w:szCs w:val="24"/>
        </w:rPr>
      </w:pPr>
    </w:p>
    <w:p w14:paraId="69DF92A4" w14:textId="77777777" w:rsidR="006279A1" w:rsidRPr="00EF4C33" w:rsidRDefault="006279A1" w:rsidP="00CE71D8">
      <w:pPr>
        <w:spacing w:after="0" w:line="360" w:lineRule="auto"/>
        <w:ind w:firstLine="720"/>
        <w:jc w:val="both"/>
        <w:rPr>
          <w:rFonts w:ascii="Times New Roman" w:eastAsia="Times New Roman" w:hAnsi="Times New Roman" w:cs="Times New Roman"/>
          <w:sz w:val="24"/>
          <w:szCs w:val="24"/>
        </w:rPr>
      </w:pPr>
    </w:p>
    <w:p w14:paraId="4FDA7E27" w14:textId="77777777" w:rsidR="00027F8F" w:rsidRPr="00EF4C33" w:rsidRDefault="009274F0" w:rsidP="00CC3B84">
      <w:pPr>
        <w:pBdr>
          <w:top w:val="nil"/>
          <w:left w:val="nil"/>
          <w:bottom w:val="nil"/>
          <w:right w:val="nil"/>
          <w:between w:val="nil"/>
        </w:pBdr>
        <w:spacing w:after="0" w:line="360" w:lineRule="auto"/>
        <w:ind w:left="567" w:hanging="425"/>
        <w:jc w:val="both"/>
        <w:rPr>
          <w:rFonts w:ascii="Times New Roman" w:eastAsia="Times New Roman" w:hAnsi="Times New Roman" w:cs="Times New Roman"/>
          <w:b/>
          <w:color w:val="000000"/>
          <w:sz w:val="24"/>
          <w:szCs w:val="24"/>
        </w:rPr>
      </w:pPr>
      <w:r w:rsidRPr="00EF4C33">
        <w:rPr>
          <w:rFonts w:ascii="Times New Roman" w:eastAsia="Times New Roman" w:hAnsi="Times New Roman" w:cs="Times New Roman"/>
          <w:b/>
          <w:sz w:val="24"/>
          <w:szCs w:val="24"/>
        </w:rPr>
        <w:t xml:space="preserve">4. </w:t>
      </w:r>
      <w:r w:rsidRPr="00EF4C33">
        <w:rPr>
          <w:rFonts w:ascii="Times New Roman" w:eastAsia="Times New Roman" w:hAnsi="Times New Roman" w:cs="Times New Roman"/>
          <w:b/>
          <w:color w:val="000000"/>
          <w:sz w:val="24"/>
          <w:szCs w:val="24"/>
        </w:rPr>
        <w:t>Conclusion</w:t>
      </w:r>
    </w:p>
    <w:p w14:paraId="0C2678E9" w14:textId="77777777" w:rsidR="00027F8F" w:rsidRPr="00EF4C33" w:rsidRDefault="009274F0" w:rsidP="00CE71D8">
      <w:pPr>
        <w:spacing w:after="0" w:line="360" w:lineRule="auto"/>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As the ILC’s open-ended </w:t>
      </w:r>
      <w:r w:rsidR="00BA69F9">
        <w:rPr>
          <w:rFonts w:ascii="Times New Roman" w:eastAsia="Times New Roman" w:hAnsi="Times New Roman" w:cs="Times New Roman"/>
          <w:sz w:val="24"/>
          <w:szCs w:val="24"/>
        </w:rPr>
        <w:t>c</w:t>
      </w:r>
      <w:r w:rsidRPr="00EF4C33">
        <w:rPr>
          <w:rFonts w:ascii="Times New Roman" w:eastAsia="Times New Roman" w:hAnsi="Times New Roman" w:cs="Times New Roman"/>
          <w:sz w:val="24"/>
          <w:szCs w:val="24"/>
        </w:rPr>
        <w:t xml:space="preserve">ommentary on the current status of international law on amnesties illustrates, the draft Convention on Crimes against Humanity is more an exercise in the ‘progressive development of international law’ than </w:t>
      </w:r>
      <w:r w:rsidR="00BA69F9">
        <w:rPr>
          <w:rFonts w:ascii="Times New Roman" w:eastAsia="Times New Roman" w:hAnsi="Times New Roman" w:cs="Times New Roman"/>
          <w:sz w:val="24"/>
          <w:szCs w:val="24"/>
        </w:rPr>
        <w:t xml:space="preserve">in </w:t>
      </w:r>
      <w:r w:rsidRPr="00EF4C33">
        <w:rPr>
          <w:rFonts w:ascii="Times New Roman" w:eastAsia="Times New Roman" w:hAnsi="Times New Roman" w:cs="Times New Roman"/>
          <w:sz w:val="24"/>
          <w:szCs w:val="24"/>
        </w:rPr>
        <w:t xml:space="preserve">its codification. But progressive development of law can be a dangerous experiment, and some people will be </w:t>
      </w:r>
      <w:r w:rsidR="00990C82">
        <w:rPr>
          <w:rFonts w:ascii="Times New Roman" w:eastAsia="Times New Roman" w:hAnsi="Times New Roman" w:cs="Times New Roman"/>
          <w:sz w:val="24"/>
          <w:szCs w:val="24"/>
        </w:rPr>
        <w:t>its subjects</w:t>
      </w:r>
      <w:r w:rsidRPr="00EF4C33">
        <w:rPr>
          <w:rFonts w:ascii="Times New Roman" w:eastAsia="Times New Roman" w:hAnsi="Times New Roman" w:cs="Times New Roman"/>
          <w:sz w:val="24"/>
          <w:szCs w:val="24"/>
        </w:rPr>
        <w:t xml:space="preserve">. All the more important is a thorough debate among states and within states about the fundamentally political choices that are being made in </w:t>
      </w:r>
      <w:r w:rsidR="00990C82" w:rsidRPr="00EF4C33">
        <w:rPr>
          <w:rFonts w:ascii="Times New Roman" w:eastAsia="Times New Roman" w:hAnsi="Times New Roman" w:cs="Times New Roman"/>
          <w:sz w:val="24"/>
          <w:szCs w:val="24"/>
        </w:rPr>
        <w:t>th</w:t>
      </w:r>
      <w:r w:rsidR="00990C82">
        <w:rPr>
          <w:rFonts w:ascii="Times New Roman" w:eastAsia="Times New Roman" w:hAnsi="Times New Roman" w:cs="Times New Roman"/>
          <w:sz w:val="24"/>
          <w:szCs w:val="24"/>
        </w:rPr>
        <w:t>ese</w:t>
      </w:r>
      <w:r w:rsidR="00990C82"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draft </w:t>
      </w:r>
      <w:r w:rsidR="00990C82">
        <w:rPr>
          <w:rFonts w:ascii="Times New Roman" w:eastAsia="Times New Roman" w:hAnsi="Times New Roman" w:cs="Times New Roman"/>
          <w:sz w:val="24"/>
          <w:szCs w:val="24"/>
        </w:rPr>
        <w:t xml:space="preserve">articles </w:t>
      </w:r>
      <w:r w:rsidRPr="00EF4C33">
        <w:rPr>
          <w:rFonts w:ascii="Times New Roman" w:eastAsia="Times New Roman" w:hAnsi="Times New Roman" w:cs="Times New Roman"/>
          <w:sz w:val="24"/>
          <w:szCs w:val="24"/>
        </w:rPr>
        <w:t>about how to address crimes against humanity. This debate could take place once states negotiate the envisaged treaty. In practice, however, that stage is likely to be too late to address fundamental questions about the object and purpose of the entire endeavour</w:t>
      </w:r>
      <w:r w:rsidR="00677262">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677262">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the train will be considered to have left the station.</w:t>
      </w:r>
      <w:r w:rsidRPr="00EF4C33">
        <w:rPr>
          <w:rFonts w:ascii="Times New Roman" w:eastAsia="Times New Roman" w:hAnsi="Times New Roman" w:cs="Times New Roman"/>
          <w:sz w:val="24"/>
          <w:szCs w:val="24"/>
          <w:vertAlign w:val="superscript"/>
        </w:rPr>
        <w:footnoteReference w:id="106"/>
      </w:r>
    </w:p>
    <w:p w14:paraId="3AF934D9" w14:textId="77777777" w:rsidR="00027F8F" w:rsidRPr="00EF4C33" w:rsidRDefault="009274F0" w:rsidP="00CE71D8">
      <w:pPr>
        <w:spacing w:after="0" w:line="360" w:lineRule="auto"/>
        <w:ind w:firstLine="36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Engaging with the fundamental political questions that this article has raised will strengthen, rather than weaken, the proposed Convention. More of a risk to the Convention is that states</w:t>
      </w:r>
      <w:r w:rsidR="00245FCC">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t>
      </w:r>
      <w:r w:rsidR="00245FCC">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which are not single-issue organizations</w:t>
      </w:r>
      <w:r w:rsidR="00245FCC">
        <w:rPr>
          <w:rFonts w:ascii="Times New Roman" w:eastAsia="Times New Roman" w:hAnsi="Times New Roman" w:cs="Times New Roman"/>
          <w:sz w:val="24"/>
          <w:szCs w:val="24"/>
        </w:rPr>
        <w:t xml:space="preserve"> </w:t>
      </w:r>
      <w:r w:rsidR="009841B3" w:rsidRPr="00EF4C33">
        <w:rPr>
          <w:rFonts w:ascii="Times New Roman" w:eastAsia="Times New Roman" w:hAnsi="Times New Roman" w:cs="Times New Roman"/>
          <w:sz w:val="24"/>
          <w:szCs w:val="24"/>
        </w:rPr>
        <w:t>—</w:t>
      </w:r>
      <w:r w:rsidR="00245FCC">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will not want to lose political capital by being seen as challenging the ascendant anti-impunity mantra and instead challenge the Convention at the later stages of ratification or implementation. That is, they will let this train leave the station on an unaltered track, but then either decide not to ratify </w:t>
      </w:r>
      <w:r w:rsidR="0010186F">
        <w:rPr>
          <w:rFonts w:ascii="Times New Roman" w:eastAsia="Times New Roman" w:hAnsi="Times New Roman" w:cs="Times New Roman"/>
          <w:sz w:val="24"/>
          <w:szCs w:val="24"/>
        </w:rPr>
        <w:t>the Convention</w:t>
      </w:r>
      <w:r w:rsidRPr="00EF4C33">
        <w:rPr>
          <w:rFonts w:ascii="Times New Roman" w:eastAsia="Times New Roman" w:hAnsi="Times New Roman" w:cs="Times New Roman"/>
          <w:sz w:val="24"/>
          <w:szCs w:val="24"/>
        </w:rPr>
        <w:t xml:space="preserve">, or to ratify it in the expectation to ignore </w:t>
      </w:r>
      <w:r w:rsidR="0010186F">
        <w:rPr>
          <w:rFonts w:ascii="Times New Roman" w:eastAsia="Times New Roman" w:hAnsi="Times New Roman" w:cs="Times New Roman"/>
          <w:sz w:val="24"/>
          <w:szCs w:val="24"/>
        </w:rPr>
        <w:t>it</w:t>
      </w:r>
      <w:r w:rsidRPr="00EF4C33">
        <w:rPr>
          <w:rFonts w:ascii="Times New Roman" w:eastAsia="Times New Roman" w:hAnsi="Times New Roman" w:cs="Times New Roman"/>
          <w:sz w:val="24"/>
          <w:szCs w:val="24"/>
        </w:rPr>
        <w:t xml:space="preserve"> if </w:t>
      </w:r>
      <w:r w:rsidR="0010186F">
        <w:rPr>
          <w:rFonts w:ascii="Times New Roman" w:eastAsia="Times New Roman" w:hAnsi="Times New Roman" w:cs="Times New Roman"/>
          <w:sz w:val="24"/>
          <w:szCs w:val="24"/>
        </w:rPr>
        <w:t>that</w:t>
      </w:r>
      <w:r w:rsidRPr="00EF4C33">
        <w:rPr>
          <w:rFonts w:ascii="Times New Roman" w:eastAsia="Times New Roman" w:hAnsi="Times New Roman" w:cs="Times New Roman"/>
          <w:sz w:val="24"/>
          <w:szCs w:val="24"/>
        </w:rPr>
        <w:t xml:space="preserve"> ever became necessary in a concrete case. </w:t>
      </w:r>
      <w:r w:rsidR="00641A65">
        <w:rPr>
          <w:rFonts w:ascii="Times New Roman" w:eastAsia="Times New Roman" w:hAnsi="Times New Roman" w:cs="Times New Roman"/>
          <w:sz w:val="24"/>
          <w:szCs w:val="24"/>
        </w:rPr>
        <w:t>E</w:t>
      </w:r>
      <w:r w:rsidRPr="00EF4C33">
        <w:rPr>
          <w:rFonts w:ascii="Times New Roman" w:eastAsia="Times New Roman" w:hAnsi="Times New Roman" w:cs="Times New Roman"/>
          <w:sz w:val="24"/>
          <w:szCs w:val="24"/>
        </w:rPr>
        <w:t xml:space="preserve">ven if states did ratify, implement and comply with the Convention, the Convention could hardly be considered </w:t>
      </w:r>
      <w:r w:rsidR="00245FCC">
        <w:rPr>
          <w:rFonts w:ascii="Times New Roman" w:eastAsia="Times New Roman" w:hAnsi="Times New Roman" w:cs="Times New Roman"/>
          <w:sz w:val="24"/>
          <w:szCs w:val="24"/>
        </w:rPr>
        <w:t>‘progress’</w:t>
      </w:r>
      <w:r w:rsidRPr="00EF4C33">
        <w:rPr>
          <w:rFonts w:ascii="Times New Roman" w:eastAsia="Times New Roman" w:hAnsi="Times New Roman" w:cs="Times New Roman"/>
          <w:sz w:val="24"/>
          <w:szCs w:val="24"/>
        </w:rPr>
        <w:t xml:space="preserve"> if, due to </w:t>
      </w:r>
      <w:r w:rsidR="00677262">
        <w:rPr>
          <w:rFonts w:ascii="Times New Roman" w:eastAsia="Times New Roman" w:hAnsi="Times New Roman" w:cs="Times New Roman"/>
          <w:sz w:val="24"/>
          <w:szCs w:val="24"/>
        </w:rPr>
        <w:t>insufficient</w:t>
      </w:r>
      <w:r w:rsidRPr="00EF4C33">
        <w:rPr>
          <w:rFonts w:ascii="Times New Roman" w:eastAsia="Times New Roman" w:hAnsi="Times New Roman" w:cs="Times New Roman"/>
          <w:sz w:val="24"/>
          <w:szCs w:val="24"/>
        </w:rPr>
        <w:t xml:space="preserve"> qualifications </w:t>
      </w:r>
      <w:r w:rsidR="00677262">
        <w:rPr>
          <w:rFonts w:ascii="Times New Roman" w:eastAsia="Times New Roman" w:hAnsi="Times New Roman" w:cs="Times New Roman"/>
          <w:sz w:val="24"/>
          <w:szCs w:val="24"/>
        </w:rPr>
        <w:t>of</w:t>
      </w:r>
      <w:r w:rsidRPr="00EF4C33">
        <w:rPr>
          <w:rFonts w:ascii="Times New Roman" w:eastAsia="Times New Roman" w:hAnsi="Times New Roman" w:cs="Times New Roman"/>
          <w:sz w:val="24"/>
          <w:szCs w:val="24"/>
        </w:rPr>
        <w:t xml:space="preserve"> a duty to prosecute, it foreclosed negotiated settlements, thereby possibly becoming an obstacle to ending crimes against humanity.</w:t>
      </w:r>
      <w:r w:rsidR="009841B3" w:rsidRPr="009841B3">
        <w:rPr>
          <w:rFonts w:ascii="Times New Roman" w:eastAsia="Times New Roman" w:hAnsi="Times New Roman" w:cs="Times New Roman"/>
          <w:sz w:val="24"/>
          <w:szCs w:val="24"/>
        </w:rPr>
        <w:t xml:space="preserve"> </w:t>
      </w:r>
    </w:p>
    <w:p w14:paraId="056D3723" w14:textId="77777777" w:rsidR="00027F8F" w:rsidRPr="00EF4C33" w:rsidRDefault="009274F0" w:rsidP="00CE71D8">
      <w:pPr>
        <w:spacing w:after="0" w:line="360" w:lineRule="auto"/>
        <w:ind w:firstLine="36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In not explicitly considering situations of a negotiated settlement, the current draft </w:t>
      </w:r>
      <w:r w:rsidR="00990C82">
        <w:rPr>
          <w:rFonts w:ascii="Times New Roman" w:eastAsia="Times New Roman" w:hAnsi="Times New Roman" w:cs="Times New Roman"/>
          <w:sz w:val="24"/>
          <w:szCs w:val="24"/>
        </w:rPr>
        <w:t>articles</w:t>
      </w:r>
      <w:r w:rsidR="00990C82" w:rsidRPr="00EF4C33">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follow what Oren Gross and </w:t>
      </w:r>
      <w:proofErr w:type="spellStart"/>
      <w:r w:rsidRPr="00EF4C33">
        <w:rPr>
          <w:rFonts w:ascii="Times New Roman" w:eastAsia="Times New Roman" w:hAnsi="Times New Roman" w:cs="Times New Roman"/>
          <w:sz w:val="24"/>
          <w:szCs w:val="24"/>
        </w:rPr>
        <w:t>Fionnuala</w:t>
      </w:r>
      <w:proofErr w:type="spellEnd"/>
      <w:r w:rsidRPr="00EF4C33">
        <w:rPr>
          <w:rFonts w:ascii="Times New Roman" w:eastAsia="Times New Roman" w:hAnsi="Times New Roman" w:cs="Times New Roman"/>
          <w:sz w:val="24"/>
          <w:szCs w:val="24"/>
        </w:rPr>
        <w:t xml:space="preserve"> </w:t>
      </w:r>
      <w:proofErr w:type="spellStart"/>
      <w:r w:rsidR="005310AB" w:rsidRPr="005310AB">
        <w:rPr>
          <w:rFonts w:ascii="Times New Roman" w:eastAsia="Times New Roman" w:hAnsi="Times New Roman" w:cs="Times New Roman"/>
          <w:sz w:val="24"/>
          <w:szCs w:val="24"/>
          <w:shd w:val="clear" w:color="auto" w:fill="FFFFFF"/>
          <w:lang w:val="en-US" w:eastAsia="en-US"/>
        </w:rPr>
        <w:t>Ní</w:t>
      </w:r>
      <w:proofErr w:type="spellEnd"/>
      <w:r w:rsidR="005310AB" w:rsidRPr="005310AB">
        <w:rPr>
          <w:rFonts w:ascii="Times New Roman" w:eastAsia="Times New Roman" w:hAnsi="Times New Roman" w:cs="Times New Roman"/>
          <w:sz w:val="24"/>
          <w:szCs w:val="24"/>
          <w:shd w:val="clear" w:color="auto" w:fill="FFFFFF"/>
          <w:lang w:val="en-US" w:eastAsia="en-US"/>
        </w:rPr>
        <w:t xml:space="preserve"> </w:t>
      </w:r>
      <w:proofErr w:type="spellStart"/>
      <w:r w:rsidR="005310AB" w:rsidRPr="005310AB">
        <w:rPr>
          <w:rFonts w:ascii="Times New Roman" w:eastAsia="Times New Roman" w:hAnsi="Times New Roman" w:cs="Times New Roman"/>
          <w:sz w:val="24"/>
          <w:szCs w:val="24"/>
          <w:shd w:val="clear" w:color="auto" w:fill="FFFFFF"/>
          <w:lang w:val="en-US" w:eastAsia="en-US"/>
        </w:rPr>
        <w:t>Aoláin</w:t>
      </w:r>
      <w:proofErr w:type="spellEnd"/>
      <w:r w:rsidR="005310AB" w:rsidRPr="005310AB">
        <w:rPr>
          <w:rFonts w:ascii="Times New Roman" w:eastAsia="Times New Roman" w:hAnsi="Times New Roman" w:cs="Times New Roman"/>
          <w:sz w:val="24"/>
          <w:szCs w:val="24"/>
        </w:rPr>
        <w:t xml:space="preserve"> </w:t>
      </w:r>
      <w:r w:rsidRPr="00EF4C33">
        <w:rPr>
          <w:rFonts w:ascii="Times New Roman" w:eastAsia="Times New Roman" w:hAnsi="Times New Roman" w:cs="Times New Roman"/>
          <w:sz w:val="24"/>
          <w:szCs w:val="24"/>
        </w:rPr>
        <w:t xml:space="preserve">have labelled in the context of </w:t>
      </w:r>
      <w:r w:rsidR="00990C82">
        <w:rPr>
          <w:rFonts w:ascii="Times New Roman" w:eastAsia="Times New Roman" w:hAnsi="Times New Roman" w:cs="Times New Roman"/>
          <w:sz w:val="24"/>
          <w:szCs w:val="24"/>
        </w:rPr>
        <w:t xml:space="preserve">human rights in a </w:t>
      </w:r>
      <w:r w:rsidRPr="00EF4C33">
        <w:rPr>
          <w:rFonts w:ascii="Times New Roman" w:eastAsia="Times New Roman" w:hAnsi="Times New Roman" w:cs="Times New Roman"/>
          <w:sz w:val="24"/>
          <w:szCs w:val="24"/>
        </w:rPr>
        <w:t>state of emergency as the ‘business as usual model’: in not providing for a right to derogate from human rights obligations in times of emergency, the legal instrument aspires to a perfect reality.</w:t>
      </w:r>
      <w:r w:rsidRPr="00EF4C33">
        <w:rPr>
          <w:rFonts w:ascii="Times New Roman" w:eastAsia="Times New Roman" w:hAnsi="Times New Roman" w:cs="Times New Roman"/>
          <w:sz w:val="24"/>
          <w:szCs w:val="24"/>
          <w:vertAlign w:val="superscript"/>
        </w:rPr>
        <w:footnoteReference w:id="107"/>
      </w:r>
      <w:r w:rsidRPr="00EF4C33">
        <w:rPr>
          <w:rFonts w:ascii="Times New Roman" w:eastAsia="Times New Roman" w:hAnsi="Times New Roman" w:cs="Times New Roman"/>
          <w:sz w:val="24"/>
          <w:szCs w:val="24"/>
        </w:rPr>
        <w:t xml:space="preserve"> However, the consequence is, so they argue, that in times of emergency the system will be adjusted in less transparent ways. A second model that they present is that of ‘extra-legal measures’, in which ‘under extreme circumstances, public officials may act extra-legally </w:t>
      </w:r>
      <w:r w:rsidRPr="00EF4C33">
        <w:rPr>
          <w:rFonts w:ascii="Times New Roman" w:eastAsia="Times New Roman" w:hAnsi="Times New Roman" w:cs="Times New Roman"/>
          <w:sz w:val="24"/>
          <w:szCs w:val="24"/>
        </w:rPr>
        <w:lastRenderedPageBreak/>
        <w:t>when they believe that such action is necessary for protection and the public in the face of calamity’.</w:t>
      </w:r>
      <w:r w:rsidR="00DA376D">
        <w:rPr>
          <w:rStyle w:val="FootnoteReference"/>
          <w:rFonts w:ascii="Times New Roman" w:eastAsia="Times New Roman" w:hAnsi="Times New Roman" w:cs="Times New Roman"/>
          <w:sz w:val="24"/>
          <w:szCs w:val="24"/>
        </w:rPr>
        <w:footnoteReference w:id="108"/>
      </w:r>
      <w:r w:rsidRPr="00EF4C33">
        <w:rPr>
          <w:rFonts w:ascii="Times New Roman" w:eastAsia="Times New Roman" w:hAnsi="Times New Roman" w:cs="Times New Roman"/>
          <w:sz w:val="24"/>
          <w:szCs w:val="24"/>
        </w:rPr>
        <w:t xml:space="preserve"> It is then up to ‘the people’ to decide whether to treat the conduct as extra-legal or to give it a stamp of approval. Apart from the problem that this partially subverts law’s power as law, it is also questionable, in the context of international law, whether there is one ‘people’ and how to deal with multiple ‘peoples’ disagreeing with each other on whether or not the extra-legal conduct should be retroactively brought within the boundaries of the law. This article is based on the premise that</w:t>
      </w:r>
      <w:r w:rsidR="0070684E">
        <w:rPr>
          <w:rFonts w:ascii="Times New Roman" w:eastAsia="Times New Roman" w:hAnsi="Times New Roman" w:cs="Times New Roman"/>
          <w:sz w:val="24"/>
          <w:szCs w:val="24"/>
        </w:rPr>
        <w:t>, in the context of negotiated settlements,</w:t>
      </w:r>
      <w:r w:rsidRPr="00EF4C33">
        <w:rPr>
          <w:rFonts w:ascii="Times New Roman" w:eastAsia="Times New Roman" w:hAnsi="Times New Roman" w:cs="Times New Roman"/>
          <w:sz w:val="24"/>
          <w:szCs w:val="24"/>
        </w:rPr>
        <w:t xml:space="preserve"> the third category that Gross </w:t>
      </w:r>
      <w:r w:rsidRPr="005310AB">
        <w:rPr>
          <w:rFonts w:ascii="Times New Roman" w:eastAsia="Times New Roman" w:hAnsi="Times New Roman" w:cs="Times New Roman"/>
          <w:sz w:val="24"/>
          <w:szCs w:val="24"/>
        </w:rPr>
        <w:t xml:space="preserve">and </w:t>
      </w:r>
      <w:proofErr w:type="spellStart"/>
      <w:r w:rsidR="005310AB" w:rsidRPr="005310AB">
        <w:rPr>
          <w:rFonts w:ascii="Times New Roman" w:eastAsia="Times New Roman" w:hAnsi="Times New Roman" w:cs="Times New Roman"/>
          <w:sz w:val="24"/>
          <w:szCs w:val="24"/>
          <w:shd w:val="clear" w:color="auto" w:fill="FFFFFF"/>
          <w:lang w:val="en-US" w:eastAsia="en-US"/>
        </w:rPr>
        <w:t>Ní</w:t>
      </w:r>
      <w:proofErr w:type="spellEnd"/>
      <w:r w:rsidR="005310AB" w:rsidRPr="005310AB">
        <w:rPr>
          <w:rFonts w:ascii="Times New Roman" w:eastAsia="Times New Roman" w:hAnsi="Times New Roman" w:cs="Times New Roman"/>
          <w:sz w:val="24"/>
          <w:szCs w:val="24"/>
          <w:shd w:val="clear" w:color="auto" w:fill="FFFFFF"/>
          <w:lang w:val="en-US" w:eastAsia="en-US"/>
        </w:rPr>
        <w:t xml:space="preserve"> </w:t>
      </w:r>
      <w:proofErr w:type="spellStart"/>
      <w:r w:rsidR="005310AB" w:rsidRPr="005310AB">
        <w:rPr>
          <w:rFonts w:ascii="Times New Roman" w:eastAsia="Times New Roman" w:hAnsi="Times New Roman" w:cs="Times New Roman"/>
          <w:sz w:val="24"/>
          <w:szCs w:val="24"/>
          <w:shd w:val="clear" w:color="auto" w:fill="FFFFFF"/>
          <w:lang w:val="en-US" w:eastAsia="en-US"/>
        </w:rPr>
        <w:t>Aoláin</w:t>
      </w:r>
      <w:proofErr w:type="spellEnd"/>
      <w:r w:rsidR="005310AB" w:rsidRPr="005310AB">
        <w:rPr>
          <w:rFonts w:ascii="Times New Roman" w:eastAsia="Times New Roman" w:hAnsi="Times New Roman" w:cs="Times New Roman"/>
          <w:sz w:val="24"/>
          <w:szCs w:val="24"/>
        </w:rPr>
        <w:t xml:space="preserve"> </w:t>
      </w:r>
      <w:r w:rsidRPr="005310AB">
        <w:rPr>
          <w:rFonts w:ascii="Times New Roman" w:eastAsia="Times New Roman" w:hAnsi="Times New Roman" w:cs="Times New Roman"/>
          <w:sz w:val="24"/>
          <w:szCs w:val="24"/>
        </w:rPr>
        <w:t>identify</w:t>
      </w:r>
      <w:r w:rsidRPr="00EF4C33">
        <w:rPr>
          <w:rFonts w:ascii="Times New Roman" w:eastAsia="Times New Roman" w:hAnsi="Times New Roman" w:cs="Times New Roman"/>
          <w:sz w:val="24"/>
          <w:szCs w:val="24"/>
        </w:rPr>
        <w:t xml:space="preserve"> is preferable, namely that of </w:t>
      </w:r>
      <w:r w:rsidR="002116A5">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accommodation</w:t>
      </w:r>
      <w:r w:rsidR="002116A5">
        <w:rPr>
          <w:rFonts w:ascii="Times New Roman" w:eastAsia="Times New Roman" w:hAnsi="Times New Roman" w:cs="Times New Roman"/>
          <w:sz w:val="24"/>
          <w:szCs w:val="24"/>
        </w:rPr>
        <w:t>’</w:t>
      </w:r>
      <w:r w:rsidRPr="00EF4C33">
        <w:rPr>
          <w:rFonts w:ascii="Times New Roman" w:eastAsia="Times New Roman" w:hAnsi="Times New Roman" w:cs="Times New Roman"/>
          <w:sz w:val="24"/>
          <w:szCs w:val="24"/>
        </w:rPr>
        <w:t>: by providing for qualifications of the duty to prosecute within the law, the point is also to regulate and restrict the exceptions.</w:t>
      </w:r>
      <w:r w:rsidRPr="00EF4C33">
        <w:rPr>
          <w:rFonts w:ascii="Times New Roman" w:eastAsia="Times New Roman" w:hAnsi="Times New Roman" w:cs="Times New Roman"/>
          <w:sz w:val="24"/>
          <w:szCs w:val="24"/>
          <w:vertAlign w:val="superscript"/>
        </w:rPr>
        <w:footnoteReference w:id="109"/>
      </w:r>
      <w:r w:rsidRPr="00EF4C33">
        <w:rPr>
          <w:rFonts w:ascii="Times New Roman" w:eastAsia="Times New Roman" w:hAnsi="Times New Roman" w:cs="Times New Roman"/>
          <w:sz w:val="24"/>
          <w:szCs w:val="24"/>
        </w:rPr>
        <w:t xml:space="preserve"> It is precisely because of respect for the law that the law itself should provide for the exception.  </w:t>
      </w:r>
    </w:p>
    <w:p w14:paraId="49E8E612" w14:textId="77777777" w:rsidR="00027F8F" w:rsidRDefault="009274F0" w:rsidP="00CE71D8">
      <w:pPr>
        <w:spacing w:after="0" w:line="360" w:lineRule="auto"/>
        <w:ind w:firstLine="360"/>
        <w:jc w:val="both"/>
        <w:rPr>
          <w:rFonts w:ascii="Times New Roman" w:eastAsia="Times New Roman" w:hAnsi="Times New Roman" w:cs="Times New Roman"/>
          <w:sz w:val="24"/>
          <w:szCs w:val="24"/>
        </w:rPr>
      </w:pPr>
      <w:r w:rsidRPr="00EF4C33">
        <w:rPr>
          <w:rFonts w:ascii="Times New Roman" w:eastAsia="Times New Roman" w:hAnsi="Times New Roman" w:cs="Times New Roman"/>
          <w:sz w:val="24"/>
          <w:szCs w:val="24"/>
        </w:rPr>
        <w:t xml:space="preserve">This does not require a fundamental overhaul of the </w:t>
      </w:r>
      <w:r w:rsidR="00990C82">
        <w:rPr>
          <w:rFonts w:ascii="Times New Roman" w:eastAsia="Times New Roman" w:hAnsi="Times New Roman" w:cs="Times New Roman"/>
          <w:sz w:val="24"/>
          <w:szCs w:val="24"/>
        </w:rPr>
        <w:t>draft articles</w:t>
      </w:r>
      <w:r w:rsidRPr="00EF4C33">
        <w:rPr>
          <w:rFonts w:ascii="Times New Roman" w:eastAsia="Times New Roman" w:hAnsi="Times New Roman" w:cs="Times New Roman"/>
          <w:sz w:val="24"/>
          <w:szCs w:val="24"/>
        </w:rPr>
        <w:t xml:space="preserve">. Indeed, a few words could suffice. The exact provisions and language would depend on the outcome of the debate that this article has sought to stimulate. If states suggest, for instance, that potential cases must be submitted for prosecution, but that prosecutors should have leeway not to prosecute </w:t>
      </w:r>
      <w:r w:rsidR="0070684E">
        <w:rPr>
          <w:rFonts w:ascii="Times New Roman" w:eastAsia="Times New Roman" w:hAnsi="Times New Roman" w:cs="Times New Roman"/>
          <w:sz w:val="24"/>
          <w:szCs w:val="24"/>
        </w:rPr>
        <w:t>out of</w:t>
      </w:r>
      <w:r w:rsidRPr="00EF4C33">
        <w:rPr>
          <w:rFonts w:ascii="Times New Roman" w:eastAsia="Times New Roman" w:hAnsi="Times New Roman" w:cs="Times New Roman"/>
          <w:sz w:val="24"/>
          <w:szCs w:val="24"/>
        </w:rPr>
        <w:t xml:space="preserve"> respect </w:t>
      </w:r>
      <w:r w:rsidR="0070684E">
        <w:rPr>
          <w:rFonts w:ascii="Times New Roman" w:eastAsia="Times New Roman" w:hAnsi="Times New Roman" w:cs="Times New Roman"/>
          <w:sz w:val="24"/>
          <w:szCs w:val="24"/>
        </w:rPr>
        <w:t xml:space="preserve">for </w:t>
      </w:r>
      <w:r w:rsidRPr="00EF4C33">
        <w:rPr>
          <w:rFonts w:ascii="Times New Roman" w:eastAsia="Times New Roman" w:hAnsi="Times New Roman" w:cs="Times New Roman"/>
          <w:sz w:val="24"/>
          <w:szCs w:val="24"/>
        </w:rPr>
        <w:t xml:space="preserve">a negotiated settlement, it could be phrased along the following lines: </w:t>
      </w:r>
    </w:p>
    <w:p w14:paraId="06CF2EC3" w14:textId="77777777" w:rsidR="008817A7" w:rsidRPr="00EF4C33" w:rsidRDefault="008817A7" w:rsidP="00CE71D8">
      <w:pPr>
        <w:spacing w:after="0" w:line="360" w:lineRule="auto"/>
        <w:ind w:firstLine="360"/>
        <w:jc w:val="both"/>
        <w:rPr>
          <w:rFonts w:ascii="Times New Roman" w:eastAsia="Times New Roman" w:hAnsi="Times New Roman" w:cs="Times New Roman"/>
          <w:sz w:val="24"/>
          <w:szCs w:val="24"/>
        </w:rPr>
      </w:pPr>
    </w:p>
    <w:p w14:paraId="5541A9BC" w14:textId="77777777" w:rsidR="00027F8F" w:rsidRPr="00EF4C33" w:rsidRDefault="009274F0" w:rsidP="007A7C7D">
      <w:pPr>
        <w:numPr>
          <w:ilvl w:val="0"/>
          <w:numId w:val="1"/>
        </w:numPr>
        <w:pBdr>
          <w:top w:val="nil"/>
          <w:left w:val="nil"/>
          <w:bottom w:val="nil"/>
          <w:right w:val="nil"/>
          <w:between w:val="nil"/>
        </w:pBdr>
        <w:spacing w:after="0" w:line="360" w:lineRule="auto"/>
        <w:ind w:left="924" w:right="567" w:hanging="357"/>
        <w:contextualSpacing/>
        <w:jc w:val="both"/>
        <w:rPr>
          <w:rFonts w:ascii="Times New Roman" w:eastAsia="Times New Roman" w:hAnsi="Times New Roman" w:cs="Times New Roman"/>
          <w:color w:val="000000"/>
          <w:sz w:val="24"/>
          <w:szCs w:val="24"/>
        </w:rPr>
      </w:pPr>
      <w:r w:rsidRPr="00EF4C33">
        <w:rPr>
          <w:rFonts w:ascii="Times New Roman" w:eastAsia="Times New Roman" w:hAnsi="Times New Roman" w:cs="Times New Roman"/>
          <w:color w:val="000000"/>
          <w:sz w:val="24"/>
          <w:szCs w:val="24"/>
        </w:rPr>
        <w:t>The State in the territory under whose jurisdiction the alleged offender is present shall submit the case to its competent authorities for the purpose of prosecution, unless it extradites or surrenders the person to another State or competent international criminal tribunal. Subject to paragraph 2, those authorities shall take their decision in the same manner as in the case of any other offence of a grave nature under the law of that State.</w:t>
      </w:r>
    </w:p>
    <w:p w14:paraId="5319624B" w14:textId="77777777" w:rsidR="00946DF2" w:rsidRDefault="009274F0" w:rsidP="007A7C7D">
      <w:pPr>
        <w:numPr>
          <w:ilvl w:val="0"/>
          <w:numId w:val="1"/>
        </w:numPr>
        <w:pBdr>
          <w:top w:val="nil"/>
          <w:left w:val="nil"/>
          <w:bottom w:val="nil"/>
          <w:right w:val="nil"/>
          <w:between w:val="nil"/>
        </w:pBdr>
        <w:spacing w:after="0" w:line="360" w:lineRule="auto"/>
        <w:ind w:left="924" w:right="567" w:hanging="357"/>
        <w:contextualSpacing/>
        <w:jc w:val="both"/>
        <w:rPr>
          <w:rFonts w:ascii="Times New Roman" w:eastAsia="Times New Roman" w:hAnsi="Times New Roman" w:cs="Times New Roman"/>
          <w:color w:val="000000"/>
          <w:sz w:val="24"/>
          <w:szCs w:val="24"/>
        </w:rPr>
      </w:pPr>
      <w:r w:rsidRPr="00EF4C33">
        <w:rPr>
          <w:rFonts w:ascii="Times New Roman" w:eastAsia="Times New Roman" w:hAnsi="Times New Roman" w:cs="Times New Roman"/>
          <w:color w:val="000000"/>
          <w:sz w:val="24"/>
          <w:szCs w:val="24"/>
        </w:rPr>
        <w:t xml:space="preserve">Where a State, in the fulfilment of its duties </w:t>
      </w:r>
      <w:r w:rsidRPr="00EF4C33">
        <w:rPr>
          <w:rFonts w:ascii="Times New Roman" w:eastAsia="Times New Roman" w:hAnsi="Times New Roman" w:cs="Times New Roman"/>
          <w:sz w:val="24"/>
          <w:szCs w:val="24"/>
        </w:rPr>
        <w:t xml:space="preserve">to promote human rights and </w:t>
      </w:r>
      <w:r w:rsidRPr="00EF4C33">
        <w:rPr>
          <w:rFonts w:ascii="Times New Roman" w:eastAsia="Times New Roman" w:hAnsi="Times New Roman" w:cs="Times New Roman"/>
          <w:color w:val="000000"/>
          <w:sz w:val="24"/>
          <w:szCs w:val="24"/>
        </w:rPr>
        <w:t xml:space="preserve">to end crimes against humanity, oppression </w:t>
      </w:r>
      <w:r w:rsidR="00946DF2">
        <w:rPr>
          <w:rFonts w:ascii="Times New Roman" w:eastAsia="Times New Roman" w:hAnsi="Times New Roman" w:cs="Times New Roman"/>
          <w:sz w:val="24"/>
          <w:szCs w:val="24"/>
        </w:rPr>
        <w:t>and</w:t>
      </w:r>
      <w:r w:rsidRPr="00EF4C33">
        <w:rPr>
          <w:rFonts w:ascii="Times New Roman" w:eastAsia="Times New Roman" w:hAnsi="Times New Roman" w:cs="Times New Roman"/>
          <w:color w:val="000000"/>
          <w:sz w:val="24"/>
          <w:szCs w:val="24"/>
        </w:rPr>
        <w:t xml:space="preserve"> armed conflict, has adopted accountability processes other than criminal pro</w:t>
      </w:r>
      <w:r w:rsidRPr="00EF4C33">
        <w:rPr>
          <w:rFonts w:ascii="Times New Roman" w:eastAsia="Times New Roman" w:hAnsi="Times New Roman" w:cs="Times New Roman"/>
          <w:sz w:val="24"/>
          <w:szCs w:val="24"/>
        </w:rPr>
        <w:t>ceedings</w:t>
      </w:r>
      <w:r w:rsidRPr="00EF4C33">
        <w:rPr>
          <w:rFonts w:ascii="Times New Roman" w:eastAsia="Times New Roman" w:hAnsi="Times New Roman" w:cs="Times New Roman"/>
          <w:color w:val="000000"/>
          <w:sz w:val="24"/>
          <w:szCs w:val="24"/>
        </w:rPr>
        <w:t xml:space="preserve">, the competent authorities mentioned in paragraph 1 may determine that it is not in the interests of justice to prosecute. In taking this decision, the competent authorities </w:t>
      </w:r>
      <w:r w:rsidR="00990C82" w:rsidRPr="00EF4C33">
        <w:rPr>
          <w:rFonts w:ascii="Times New Roman" w:eastAsia="Times New Roman" w:hAnsi="Times New Roman" w:cs="Times New Roman"/>
          <w:color w:val="000000"/>
          <w:sz w:val="24"/>
          <w:szCs w:val="24"/>
        </w:rPr>
        <w:t>m</w:t>
      </w:r>
      <w:r w:rsidR="00990C82">
        <w:rPr>
          <w:rFonts w:ascii="Times New Roman" w:eastAsia="Times New Roman" w:hAnsi="Times New Roman" w:cs="Times New Roman"/>
          <w:color w:val="000000"/>
          <w:sz w:val="24"/>
          <w:szCs w:val="24"/>
        </w:rPr>
        <w:t>ust</w:t>
      </w:r>
      <w:r w:rsidR="00990C82" w:rsidRPr="00EF4C33">
        <w:rPr>
          <w:rFonts w:ascii="Times New Roman" w:eastAsia="Times New Roman" w:hAnsi="Times New Roman" w:cs="Times New Roman"/>
          <w:color w:val="000000"/>
          <w:sz w:val="24"/>
          <w:szCs w:val="24"/>
        </w:rPr>
        <w:t xml:space="preserve"> </w:t>
      </w:r>
      <w:r w:rsidRPr="00EF4C33">
        <w:rPr>
          <w:rFonts w:ascii="Times New Roman" w:eastAsia="Times New Roman" w:hAnsi="Times New Roman" w:cs="Times New Roman"/>
          <w:color w:val="000000"/>
          <w:sz w:val="24"/>
          <w:szCs w:val="24"/>
        </w:rPr>
        <w:t>consider, among others, the procedures that led to or followed the adoption of the processes other than criminal pro</w:t>
      </w:r>
      <w:r w:rsidR="00CB0DA9">
        <w:rPr>
          <w:rFonts w:ascii="Times New Roman" w:eastAsia="Times New Roman" w:hAnsi="Times New Roman" w:cs="Times New Roman"/>
          <w:color w:val="000000"/>
          <w:sz w:val="24"/>
          <w:szCs w:val="24"/>
        </w:rPr>
        <w:t>ceedings</w:t>
      </w:r>
      <w:r w:rsidRPr="00EF4C33">
        <w:rPr>
          <w:rFonts w:ascii="Times New Roman" w:eastAsia="Times New Roman" w:hAnsi="Times New Roman" w:cs="Times New Roman"/>
          <w:color w:val="000000"/>
          <w:sz w:val="24"/>
          <w:szCs w:val="24"/>
        </w:rPr>
        <w:t>, the objectives pursued and</w:t>
      </w:r>
      <w:r w:rsidR="00946DF2">
        <w:rPr>
          <w:rFonts w:ascii="Times New Roman" w:eastAsia="Times New Roman" w:hAnsi="Times New Roman" w:cs="Times New Roman"/>
          <w:color w:val="000000"/>
          <w:sz w:val="24"/>
          <w:szCs w:val="24"/>
        </w:rPr>
        <w:t xml:space="preserve"> respect for victims’ rights.  </w:t>
      </w:r>
    </w:p>
    <w:p w14:paraId="0FDCBEA7" w14:textId="77777777" w:rsidR="00946DF2" w:rsidRDefault="00946DF2" w:rsidP="00946DF2">
      <w:p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p>
    <w:p w14:paraId="228AB342" w14:textId="77777777" w:rsidR="00B873AF" w:rsidRPr="00946DF2" w:rsidRDefault="009274F0" w:rsidP="00946DF2">
      <w:p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sidRPr="00946DF2">
        <w:rPr>
          <w:rFonts w:ascii="Times New Roman" w:eastAsia="Times New Roman" w:hAnsi="Times New Roman" w:cs="Times New Roman"/>
          <w:sz w:val="24"/>
          <w:szCs w:val="24"/>
        </w:rPr>
        <w:t>Similarly, provisions could be included to allow for the consideration of mitigating circumstances in decisions about punishment,</w:t>
      </w:r>
      <w:r w:rsidRPr="00EF4C33">
        <w:rPr>
          <w:rFonts w:ascii="Times New Roman" w:eastAsia="Times New Roman" w:hAnsi="Times New Roman" w:cs="Times New Roman"/>
          <w:sz w:val="24"/>
          <w:szCs w:val="24"/>
          <w:vertAlign w:val="superscript"/>
        </w:rPr>
        <w:footnoteReference w:id="110"/>
      </w:r>
      <w:r w:rsidRPr="00946DF2">
        <w:rPr>
          <w:rFonts w:ascii="Times New Roman" w:eastAsia="Times New Roman" w:hAnsi="Times New Roman" w:cs="Times New Roman"/>
          <w:sz w:val="24"/>
          <w:szCs w:val="24"/>
        </w:rPr>
        <w:t xml:space="preserve"> or alternatives to criminal investigations. </w:t>
      </w:r>
    </w:p>
    <w:p w14:paraId="3E0BB35C" w14:textId="77777777" w:rsidR="00A24B86" w:rsidRPr="00946DF2" w:rsidRDefault="00A24B86" w:rsidP="00946DF2">
      <w:pPr>
        <w:spacing w:after="0" w:line="360" w:lineRule="auto"/>
        <w:rPr>
          <w:rFonts w:ascii="Times New Roman" w:eastAsia="Times New Roman" w:hAnsi="Times New Roman" w:cs="Times New Roman"/>
          <w:sz w:val="24"/>
          <w:szCs w:val="24"/>
        </w:rPr>
      </w:pPr>
    </w:p>
    <w:sectPr w:rsidR="00A24B86" w:rsidRPr="00946DF2">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7D982" w14:textId="77777777" w:rsidR="00660B14" w:rsidRDefault="00660B14">
      <w:pPr>
        <w:spacing w:after="0" w:line="240" w:lineRule="auto"/>
      </w:pPr>
      <w:r>
        <w:separator/>
      </w:r>
    </w:p>
  </w:endnote>
  <w:endnote w:type="continuationSeparator" w:id="0">
    <w:p w14:paraId="0DF4FB11" w14:textId="77777777" w:rsidR="00660B14" w:rsidRDefault="0066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F8DE" w14:textId="520C2E56" w:rsidR="00F64BB3" w:rsidRPr="002834C9" w:rsidRDefault="00F64BB3" w:rsidP="002834C9">
    <w:pPr>
      <w:pBdr>
        <w:top w:val="nil"/>
        <w:left w:val="nil"/>
        <w:bottom w:val="nil"/>
        <w:right w:val="nil"/>
        <w:between w:val="nil"/>
      </w:pBdr>
      <w:tabs>
        <w:tab w:val="center" w:pos="4513"/>
        <w:tab w:val="right" w:pos="9026"/>
      </w:tabs>
      <w:spacing w:after="0" w:line="240" w:lineRule="auto"/>
      <w:jc w:val="center"/>
      <w:rPr>
        <w:rFonts w:ascii="Times New Roman" w:hAnsi="Times New Roman" w:cs="Times New Roman"/>
        <w:color w:val="000000"/>
        <w:sz w:val="24"/>
      </w:rPr>
    </w:pPr>
    <w:r w:rsidRPr="002834C9">
      <w:rPr>
        <w:rFonts w:ascii="Times New Roman" w:hAnsi="Times New Roman" w:cs="Times New Roman"/>
        <w:color w:val="000000"/>
        <w:sz w:val="24"/>
      </w:rPr>
      <w:fldChar w:fldCharType="begin"/>
    </w:r>
    <w:r w:rsidRPr="002834C9">
      <w:rPr>
        <w:rFonts w:ascii="Times New Roman" w:hAnsi="Times New Roman" w:cs="Times New Roman"/>
        <w:color w:val="000000"/>
        <w:sz w:val="24"/>
      </w:rPr>
      <w:instrText>PAGE</w:instrText>
    </w:r>
    <w:r w:rsidRPr="002834C9">
      <w:rPr>
        <w:rFonts w:ascii="Times New Roman" w:hAnsi="Times New Roman" w:cs="Times New Roman"/>
        <w:color w:val="000000"/>
        <w:sz w:val="24"/>
      </w:rPr>
      <w:fldChar w:fldCharType="separate"/>
    </w:r>
    <w:r w:rsidR="009329EC">
      <w:rPr>
        <w:rFonts w:ascii="Times New Roman" w:hAnsi="Times New Roman" w:cs="Times New Roman"/>
        <w:noProof/>
        <w:color w:val="000000"/>
        <w:sz w:val="24"/>
      </w:rPr>
      <w:t>1</w:t>
    </w:r>
    <w:r w:rsidRPr="002834C9">
      <w:rPr>
        <w:rFonts w:ascii="Times New Roman" w:hAnsi="Times New Roman" w:cs="Times New Roman"/>
        <w:color w:val="000000"/>
        <w:sz w:val="24"/>
      </w:rPr>
      <w:fldChar w:fldCharType="end"/>
    </w:r>
  </w:p>
  <w:p w14:paraId="51C317EA" w14:textId="77777777" w:rsidR="00F64BB3" w:rsidRDefault="00F64BB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85FF1" w14:textId="77777777" w:rsidR="00660B14" w:rsidRDefault="00660B14">
      <w:pPr>
        <w:spacing w:after="0" w:line="240" w:lineRule="auto"/>
      </w:pPr>
      <w:r>
        <w:separator/>
      </w:r>
    </w:p>
  </w:footnote>
  <w:footnote w:type="continuationSeparator" w:id="0">
    <w:p w14:paraId="7198B84F" w14:textId="77777777" w:rsidR="00660B14" w:rsidRDefault="00660B14">
      <w:pPr>
        <w:spacing w:after="0" w:line="240" w:lineRule="auto"/>
      </w:pPr>
      <w:r>
        <w:continuationSeparator/>
      </w:r>
    </w:p>
  </w:footnote>
  <w:footnote w:id="1">
    <w:p w14:paraId="74F6214F" w14:textId="0AD70EED" w:rsidR="00F64BB3" w:rsidRPr="001C513C" w:rsidRDefault="00F64BB3" w:rsidP="0056670A">
      <w:pPr>
        <w:spacing w:after="0" w:line="240" w:lineRule="auto"/>
        <w:jc w:val="both"/>
        <w:rPr>
          <w:rFonts w:ascii="Times New Roman" w:eastAsia="Times New Roman" w:hAnsi="Times New Roman" w:cs="Times New Roman"/>
          <w:sz w:val="20"/>
          <w:szCs w:val="20"/>
        </w:rPr>
      </w:pPr>
      <w:r w:rsidRPr="001C513C">
        <w:rPr>
          <w:rStyle w:val="FootnoteReference"/>
          <w:sz w:val="20"/>
          <w:szCs w:val="20"/>
        </w:rPr>
        <w:t>*</w:t>
      </w:r>
      <w:r w:rsidRPr="001C513C">
        <w:rPr>
          <w:rFonts w:ascii="Times New Roman" w:eastAsia="Times New Roman" w:hAnsi="Times New Roman" w:cs="Times New Roman"/>
          <w:sz w:val="20"/>
          <w:szCs w:val="20"/>
        </w:rPr>
        <w:t xml:space="preserve"> Senior Lecturer in Law, Co-Deputy Director of the Lauterpacht Centre for International Law (LCIL), University of Cambridge, and Fellow of Pembroke College, smhn3@cam.ac.uk. This article was written as part of a research programme supported by the Economic and Social Research Council (ES/L010976/1), the Leverhulme Trust (PLP-2014-067), and the Isaac Newton Trust (RG79578). This paper has benefited from feedback in several venues where I presented it, in particular: the LCIL’s Fellows’ lunch-time seminars and its 2018 Authors’ Workshop; the Hay Festival 2018 and the International Law Workshop of Tel Aviv University. I am also tremendously grateful to an anonymous reviewer, Barney </w:t>
      </w:r>
      <w:proofErr w:type="spellStart"/>
      <w:r w:rsidRPr="001C513C">
        <w:rPr>
          <w:rFonts w:ascii="Times New Roman" w:eastAsia="Times New Roman" w:hAnsi="Times New Roman" w:cs="Times New Roman"/>
          <w:sz w:val="20"/>
          <w:szCs w:val="20"/>
        </w:rPr>
        <w:t>Afako</w:t>
      </w:r>
      <w:proofErr w:type="spellEnd"/>
      <w:r w:rsidRPr="001C513C">
        <w:rPr>
          <w:rFonts w:ascii="Times New Roman" w:eastAsia="Times New Roman" w:hAnsi="Times New Roman" w:cs="Times New Roman"/>
          <w:sz w:val="20"/>
          <w:szCs w:val="20"/>
        </w:rPr>
        <w:t xml:space="preserve">, John </w:t>
      </w:r>
      <w:proofErr w:type="spellStart"/>
      <w:r w:rsidRPr="001C513C">
        <w:rPr>
          <w:rFonts w:ascii="Times New Roman" w:eastAsia="Times New Roman" w:hAnsi="Times New Roman" w:cs="Times New Roman"/>
          <w:sz w:val="20"/>
          <w:szCs w:val="20"/>
        </w:rPr>
        <w:t>Dugard</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Sévane</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Garibian</w:t>
      </w:r>
      <w:proofErr w:type="spellEnd"/>
      <w:r w:rsidRPr="001C513C">
        <w:rPr>
          <w:rFonts w:ascii="Times New Roman" w:eastAsia="Times New Roman" w:hAnsi="Times New Roman" w:cs="Times New Roman"/>
          <w:sz w:val="20"/>
          <w:szCs w:val="20"/>
        </w:rPr>
        <w:t>, Sara Kendall</w:t>
      </w:r>
      <w:r>
        <w:rPr>
          <w:rFonts w:ascii="Times New Roman" w:eastAsia="Times New Roman" w:hAnsi="Times New Roman" w:cs="Times New Roman"/>
          <w:sz w:val="20"/>
          <w:szCs w:val="20"/>
        </w:rPr>
        <w:t xml:space="preserve"> and</w:t>
      </w:r>
      <w:r w:rsidRPr="001C513C">
        <w:rPr>
          <w:rFonts w:ascii="Times New Roman" w:eastAsia="Times New Roman" w:hAnsi="Times New Roman" w:cs="Times New Roman"/>
          <w:sz w:val="20"/>
          <w:szCs w:val="20"/>
        </w:rPr>
        <w:t xml:space="preserve"> Claus </w:t>
      </w:r>
      <w:proofErr w:type="spellStart"/>
      <w:r w:rsidRPr="001C513C">
        <w:rPr>
          <w:rFonts w:ascii="Times New Roman" w:eastAsia="Times New Roman" w:hAnsi="Times New Roman" w:cs="Times New Roman"/>
          <w:sz w:val="20"/>
          <w:szCs w:val="20"/>
        </w:rPr>
        <w:t>Kreß</w:t>
      </w:r>
      <w:proofErr w:type="spellEnd"/>
      <w:r w:rsidRPr="001C513C">
        <w:rPr>
          <w:rFonts w:ascii="Times New Roman" w:eastAsia="Times New Roman" w:hAnsi="Times New Roman" w:cs="Times New Roman"/>
          <w:sz w:val="20"/>
          <w:szCs w:val="20"/>
        </w:rPr>
        <w:t xml:space="preserve"> for commenting on earlier versions of this piece and, in doing so, improving it. </w:t>
      </w:r>
      <w:proofErr w:type="spellStart"/>
      <w:r w:rsidRPr="001C513C">
        <w:rPr>
          <w:rFonts w:ascii="Times New Roman" w:eastAsia="Times New Roman" w:hAnsi="Times New Roman" w:cs="Times New Roman"/>
          <w:sz w:val="20"/>
          <w:szCs w:val="20"/>
        </w:rPr>
        <w:t>Orfeas</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Chasapis</w:t>
      </w:r>
      <w:proofErr w:type="spellEnd"/>
      <w:r w:rsidR="00DB2654">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Tassinis</w:t>
      </w:r>
      <w:proofErr w:type="spellEnd"/>
      <w:r w:rsidRPr="001C513C">
        <w:rPr>
          <w:rFonts w:ascii="Times New Roman" w:eastAsia="Times New Roman" w:hAnsi="Times New Roman" w:cs="Times New Roman"/>
          <w:sz w:val="20"/>
          <w:szCs w:val="20"/>
        </w:rPr>
        <w:t xml:space="preserve"> provided research and editorial assistance beyond the call of duty. </w:t>
      </w:r>
    </w:p>
  </w:footnote>
  <w:footnote w:id="2">
    <w:p w14:paraId="2168D733"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For genocide, see </w:t>
      </w:r>
      <w:r w:rsidRPr="001C513C">
        <w:rPr>
          <w:rFonts w:ascii="Times New Roman" w:hAnsi="Times New Roman" w:cs="Times New Roman"/>
          <w:sz w:val="20"/>
          <w:szCs w:val="20"/>
        </w:rPr>
        <w:t>Convention on the Prevention and Punishment of the Crime of Genocide, 9 December 1948, 78 UNTS 277. With respect to war crimes, suppression-treaty obligations exist only for one category of war crimes, namely the so-called ‘grave breaches’: see Geneva Conventions I-IV, all dated 12 August 1949, 75 UNTS 31 and onwards</w:t>
      </w:r>
      <w:r>
        <w:rPr>
          <w:rFonts w:ascii="Times New Roman" w:hAnsi="Times New Roman" w:cs="Times New Roman"/>
          <w:sz w:val="20"/>
          <w:szCs w:val="20"/>
        </w:rPr>
        <w:t>, and Protocol I, 8 June 1977, 1125 UNTS 3</w:t>
      </w:r>
      <w:r w:rsidRPr="001C513C">
        <w:rPr>
          <w:rFonts w:ascii="Times New Roman" w:hAnsi="Times New Roman" w:cs="Times New Roman"/>
          <w:sz w:val="20"/>
          <w:szCs w:val="20"/>
        </w:rPr>
        <w:t xml:space="preserve">. </w:t>
      </w:r>
      <w:r w:rsidRPr="001C513C">
        <w:rPr>
          <w:rFonts w:ascii="Times New Roman" w:eastAsia="Times New Roman" w:hAnsi="Times New Roman" w:cs="Times New Roman"/>
          <w:sz w:val="20"/>
          <w:szCs w:val="20"/>
        </w:rPr>
        <w:t>On the idea of ‘siblings’, see S.D. Murphy, ‘Foreword’, in this</w:t>
      </w:r>
      <w:r>
        <w:rPr>
          <w:rFonts w:ascii="Times New Roman" w:eastAsia="Times New Roman" w:hAnsi="Times New Roman" w:cs="Times New Roman"/>
          <w:sz w:val="20"/>
          <w:szCs w:val="20"/>
        </w:rPr>
        <w:t xml:space="preserve"> special</w:t>
      </w:r>
      <w:r w:rsidRPr="001C513C">
        <w:rPr>
          <w:rFonts w:ascii="Times New Roman" w:eastAsia="Times New Roman" w:hAnsi="Times New Roman" w:cs="Times New Roman"/>
          <w:sz w:val="20"/>
          <w:szCs w:val="20"/>
        </w:rPr>
        <w:t xml:space="preserve"> issue</w:t>
      </w:r>
      <w:r>
        <w:rPr>
          <w:rFonts w:ascii="Times New Roman" w:eastAsia="Times New Roman" w:hAnsi="Times New Roman" w:cs="Times New Roman"/>
          <w:sz w:val="20"/>
          <w:szCs w:val="20"/>
        </w:rPr>
        <w:t xml:space="preserve"> of the </w:t>
      </w:r>
      <w:r>
        <w:rPr>
          <w:rFonts w:ascii="Times New Roman" w:eastAsia="Times New Roman" w:hAnsi="Times New Roman" w:cs="Times New Roman"/>
          <w:i/>
          <w:sz w:val="20"/>
          <w:szCs w:val="20"/>
        </w:rPr>
        <w:t>Journal</w:t>
      </w:r>
      <w:r>
        <w:rPr>
          <w:rFonts w:ascii="Times New Roman" w:eastAsia="Times New Roman" w:hAnsi="Times New Roman" w:cs="Times New Roman"/>
          <w:sz w:val="20"/>
          <w:szCs w:val="20"/>
        </w:rPr>
        <w:t>.</w:t>
      </w:r>
    </w:p>
  </w:footnote>
  <w:footnote w:id="3">
    <w:p w14:paraId="4E1490F9" w14:textId="77777777" w:rsidR="00F64BB3" w:rsidRPr="00535D35"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This is acknowledged implicitly by Special Rapporteur S.D. Murphy in the </w:t>
      </w:r>
      <w:r w:rsidRPr="001C513C">
        <w:rPr>
          <w:rFonts w:ascii="Times New Roman" w:eastAsia="Times New Roman" w:hAnsi="Times New Roman" w:cs="Times New Roman"/>
          <w:i/>
          <w:sz w:val="20"/>
          <w:szCs w:val="20"/>
        </w:rPr>
        <w:t>Third report on crimes against humanity</w:t>
      </w:r>
      <w:r w:rsidRPr="001C513C">
        <w:rPr>
          <w:rFonts w:ascii="Times New Roman" w:eastAsia="Times New Roman" w:hAnsi="Times New Roman" w:cs="Times New Roman"/>
          <w:sz w:val="20"/>
          <w:szCs w:val="20"/>
        </w:rPr>
        <w:t xml:space="preserve">, UN Doc. A/CN.4/704, 23 January 2017, at 139. </w:t>
      </w:r>
      <w:r>
        <w:rPr>
          <w:rFonts w:ascii="Times New Roman" w:eastAsia="Times New Roman" w:hAnsi="Times New Roman" w:cs="Times New Roman"/>
          <w:sz w:val="20"/>
          <w:szCs w:val="20"/>
        </w:rPr>
        <w:t xml:space="preserve">The fact that the draft articles’ seventh </w:t>
      </w:r>
      <w:proofErr w:type="spellStart"/>
      <w:r>
        <w:rPr>
          <w:rFonts w:ascii="Times New Roman" w:eastAsia="Times New Roman" w:hAnsi="Times New Roman" w:cs="Times New Roman"/>
          <w:sz w:val="20"/>
          <w:szCs w:val="20"/>
        </w:rPr>
        <w:t>preambular</w:t>
      </w:r>
      <w:proofErr w:type="spellEnd"/>
      <w:r>
        <w:rPr>
          <w:rFonts w:ascii="Times New Roman" w:eastAsia="Times New Roman" w:hAnsi="Times New Roman" w:cs="Times New Roman"/>
          <w:sz w:val="20"/>
          <w:szCs w:val="20"/>
        </w:rPr>
        <w:t xml:space="preserve"> recital (‘recall[s] that it is the duty of every State to exercise its criminal jurisdiction with respect to crimes against humanity’) uses ‘recalls’ might suggest that the ILC believes there already is such a duty. The commentary, however, gives no evidence for this statement, instead explaining that the recital ‘foreshadows’ obligations set forth in the draft articles. </w:t>
      </w:r>
      <w:r w:rsidRPr="002834C9">
        <w:rPr>
          <w:rFonts w:ascii="Times New Roman" w:hAnsi="Times New Roman" w:cs="Times New Roman"/>
          <w:i/>
          <w:sz w:val="20"/>
          <w:szCs w:val="20"/>
        </w:rPr>
        <w:t>Report of the International Law Commission, Sixty-Ninth Session (1 May-2 June and 3 July-4 August 2017)</w:t>
      </w:r>
      <w:r w:rsidRPr="00573569">
        <w:rPr>
          <w:rFonts w:ascii="Times New Roman" w:hAnsi="Times New Roman" w:cs="Times New Roman"/>
          <w:sz w:val="20"/>
          <w:szCs w:val="20"/>
        </w:rPr>
        <w:t xml:space="preserve">, UN Doc. A/72/10, </w:t>
      </w:r>
      <w:r>
        <w:rPr>
          <w:rFonts w:ascii="Times New Roman" w:hAnsi="Times New Roman" w:cs="Times New Roman"/>
          <w:sz w:val="20"/>
          <w:szCs w:val="20"/>
        </w:rPr>
        <w:t>9</w:t>
      </w:r>
      <w:r w:rsidRPr="00573569">
        <w:rPr>
          <w:rFonts w:ascii="Times New Roman" w:hAnsi="Times New Roman" w:cs="Times New Roman"/>
          <w:sz w:val="20"/>
          <w:szCs w:val="20"/>
        </w:rPr>
        <w:t xml:space="preserve"> (hereinafter ‘2017 ILC Report’), </w:t>
      </w:r>
      <w:r>
        <w:rPr>
          <w:rFonts w:ascii="Times New Roman" w:eastAsia="Times New Roman" w:hAnsi="Times New Roman" w:cs="Times New Roman"/>
          <w:sz w:val="20"/>
          <w:szCs w:val="20"/>
        </w:rPr>
        <w:t>c</w:t>
      </w:r>
      <w:r w:rsidRPr="001C513C">
        <w:rPr>
          <w:rFonts w:ascii="Times New Roman" w:eastAsia="Times New Roman" w:hAnsi="Times New Roman" w:cs="Times New Roman"/>
          <w:sz w:val="20"/>
          <w:szCs w:val="20"/>
        </w:rPr>
        <w:t xml:space="preserve">ommentary </w:t>
      </w:r>
      <w:r>
        <w:rPr>
          <w:rFonts w:ascii="Times New Roman" w:eastAsia="Times New Roman" w:hAnsi="Times New Roman" w:cs="Times New Roman"/>
          <w:sz w:val="20"/>
          <w:szCs w:val="20"/>
        </w:rPr>
        <w:t xml:space="preserve">to the Preamble, at 24, </w:t>
      </w:r>
      <w:r w:rsidRPr="00CE71D8">
        <w:rPr>
          <w:rFonts w:ascii="Times New Roman" w:hAnsi="Times New Roman" w:cs="Times New Roman"/>
          <w:sz w:val="20"/>
          <w:szCs w:val="20"/>
          <w:lang w:val="en-US"/>
        </w:rPr>
        <w:t>§</w:t>
      </w:r>
      <w:r>
        <w:rPr>
          <w:rFonts w:ascii="Times New Roman" w:hAnsi="Times New Roman" w:cs="Times New Roman"/>
          <w:sz w:val="20"/>
          <w:szCs w:val="20"/>
          <w:lang w:val="en-US"/>
        </w:rPr>
        <w:t xml:space="preserve"> 8.</w:t>
      </w:r>
    </w:p>
  </w:footnote>
  <w:footnote w:id="4">
    <w:p w14:paraId="060A8B4F" w14:textId="77777777" w:rsidR="00F64BB3" w:rsidRPr="00535D35" w:rsidRDefault="00F64BB3">
      <w:pPr>
        <w:pStyle w:val="FootnoteText"/>
      </w:pPr>
      <w:r w:rsidRPr="00535D35">
        <w:rPr>
          <w:rStyle w:val="FootnoteReference"/>
          <w:rFonts w:ascii="Times New Roman" w:hAnsi="Times New Roman" w:cs="Times New Roman"/>
        </w:rPr>
        <w:footnoteRef/>
      </w:r>
      <w:r w:rsidRPr="00535D35">
        <w:rPr>
          <w:rFonts w:ascii="Times New Roman" w:hAnsi="Times New Roman" w:cs="Times New Roman"/>
        </w:rPr>
        <w:t xml:space="preserve"> See also, with respect to the ILC’s work more generally, K. </w:t>
      </w:r>
      <w:proofErr w:type="spellStart"/>
      <w:r w:rsidRPr="00535D35">
        <w:rPr>
          <w:rFonts w:ascii="Times New Roman" w:hAnsi="Times New Roman" w:cs="Times New Roman"/>
        </w:rPr>
        <w:t>Daugirdas</w:t>
      </w:r>
      <w:proofErr w:type="spellEnd"/>
      <w:r w:rsidRPr="00535D35">
        <w:rPr>
          <w:rFonts w:ascii="Times New Roman" w:hAnsi="Times New Roman" w:cs="Times New Roman"/>
        </w:rPr>
        <w:t xml:space="preserve">, ‘The International Law Commission Reinvents Itself, 108 </w:t>
      </w:r>
      <w:r w:rsidRPr="00535D35">
        <w:rPr>
          <w:rFonts w:ascii="Times New Roman" w:hAnsi="Times New Roman" w:cs="Times New Roman"/>
          <w:i/>
        </w:rPr>
        <w:t xml:space="preserve">AJIL Unbound </w:t>
      </w:r>
      <w:r w:rsidRPr="00535D35">
        <w:rPr>
          <w:rFonts w:ascii="Times New Roman" w:hAnsi="Times New Roman" w:cs="Times New Roman"/>
        </w:rPr>
        <w:t xml:space="preserve">(2014) 79, at 80.  </w:t>
      </w:r>
    </w:p>
  </w:footnote>
  <w:footnote w:id="5">
    <w:p w14:paraId="5D8F09EC" w14:textId="77777777" w:rsidR="00F64BB3" w:rsidRPr="002834C9" w:rsidRDefault="00F64BB3">
      <w:pPr>
        <w:widowControl w:val="0"/>
        <w:autoSpaceDE w:val="0"/>
        <w:autoSpaceDN w:val="0"/>
        <w:adjustRightInd w:val="0"/>
        <w:spacing w:after="0" w:line="240" w:lineRule="auto"/>
        <w:jc w:val="both"/>
        <w:rPr>
          <w:rFonts w:ascii="Times New Roman" w:hAnsi="Times New Roman" w:cs="Times New Roman"/>
          <w:sz w:val="20"/>
          <w:szCs w:val="20"/>
        </w:rPr>
      </w:pPr>
      <w:r w:rsidRPr="001C513C">
        <w:rPr>
          <w:rStyle w:val="FootnoteReference"/>
          <w:rFonts w:ascii="Times New Roman" w:hAnsi="Times New Roman" w:cs="Times New Roman"/>
          <w:sz w:val="20"/>
          <w:szCs w:val="20"/>
        </w:rPr>
        <w:footnoteRef/>
      </w:r>
      <w:r w:rsidRPr="001C513C">
        <w:rPr>
          <w:rFonts w:ascii="Times New Roman" w:hAnsi="Times New Roman" w:cs="Times New Roman"/>
          <w:sz w:val="20"/>
          <w:szCs w:val="20"/>
        </w:rPr>
        <w:t xml:space="preserve"> R. O’Keefe, </w:t>
      </w:r>
      <w:r w:rsidRPr="001C513C">
        <w:rPr>
          <w:rFonts w:ascii="Times New Roman" w:hAnsi="Times New Roman" w:cs="Times New Roman"/>
          <w:i/>
          <w:sz w:val="20"/>
          <w:szCs w:val="20"/>
        </w:rPr>
        <w:t>International Criminal Law</w:t>
      </w:r>
      <w:r w:rsidRPr="001C513C">
        <w:rPr>
          <w:rFonts w:ascii="Times New Roman" w:hAnsi="Times New Roman" w:cs="Times New Roman"/>
          <w:sz w:val="20"/>
          <w:szCs w:val="20"/>
        </w:rPr>
        <w:t xml:space="preserve"> (Oxford University Press, 2015) at 48, § 2.4.  </w:t>
      </w:r>
    </w:p>
  </w:footnote>
  <w:footnote w:id="6">
    <w:p w14:paraId="537C93BA"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See also</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and more generally, M. </w:t>
      </w:r>
      <w:proofErr w:type="spellStart"/>
      <w:r w:rsidRPr="001C513C">
        <w:rPr>
          <w:rFonts w:ascii="Times New Roman" w:eastAsia="Times New Roman" w:hAnsi="Times New Roman" w:cs="Times New Roman"/>
          <w:sz w:val="20"/>
          <w:szCs w:val="20"/>
        </w:rPr>
        <w:t>Drumbl</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Atrocity, Punishment, and International Law</w:t>
      </w:r>
      <w:r w:rsidRPr="001C513C">
        <w:rPr>
          <w:rFonts w:ascii="Times New Roman" w:eastAsia="Times New Roman" w:hAnsi="Times New Roman" w:cs="Times New Roman"/>
          <w:sz w:val="20"/>
          <w:szCs w:val="20"/>
        </w:rPr>
        <w:t xml:space="preserve"> (Cambridge University Press, 2007). </w:t>
      </w:r>
    </w:p>
  </w:footnote>
  <w:footnote w:id="7">
    <w:p w14:paraId="6D3C1D1C" w14:textId="77777777" w:rsidR="00F64BB3" w:rsidRPr="002834C9" w:rsidRDefault="00F64BB3" w:rsidP="002834C9">
      <w:pPr>
        <w:pStyle w:val="FootnoteText"/>
        <w:jc w:val="both"/>
        <w:rPr>
          <w:rFonts w:ascii="Times New Roman" w:hAnsi="Times New Roman" w:cs="Times New Roman"/>
        </w:rPr>
      </w:pPr>
      <w:r w:rsidRPr="002834C9">
        <w:rPr>
          <w:rStyle w:val="FootnoteReference"/>
          <w:rFonts w:ascii="Times New Roman" w:hAnsi="Times New Roman" w:cs="Times New Roman"/>
        </w:rPr>
        <w:footnoteRef/>
      </w:r>
      <w:r w:rsidRPr="002834C9">
        <w:rPr>
          <w:rFonts w:ascii="Times New Roman" w:hAnsi="Times New Roman" w:cs="Times New Roman"/>
        </w:rPr>
        <w:t xml:space="preserve"> </w:t>
      </w:r>
      <w:r w:rsidRPr="00AC2564">
        <w:rPr>
          <w:rFonts w:ascii="Times New Roman" w:hAnsi="Times New Roman" w:cs="Times New Roman"/>
          <w:i/>
        </w:rPr>
        <w:t>Cf</w:t>
      </w:r>
      <w:r>
        <w:rPr>
          <w:rFonts w:ascii="Times New Roman" w:hAnsi="Times New Roman" w:cs="Times New Roman"/>
          <w:i/>
        </w:rPr>
        <w:t>.</w:t>
      </w:r>
      <w:r w:rsidRPr="00AC2564">
        <w:rPr>
          <w:rFonts w:ascii="Times New Roman" w:hAnsi="Times New Roman" w:cs="Times New Roman"/>
          <w:i/>
        </w:rPr>
        <w:t xml:space="preserve"> contra</w:t>
      </w:r>
      <w:r>
        <w:rPr>
          <w:rFonts w:ascii="Times New Roman" w:hAnsi="Times New Roman" w:cs="Times New Roman"/>
        </w:rPr>
        <w:t xml:space="preserve"> </w:t>
      </w:r>
      <w:r w:rsidRPr="002834C9">
        <w:rPr>
          <w:rFonts w:ascii="Times New Roman" w:hAnsi="Times New Roman" w:cs="Times New Roman"/>
        </w:rPr>
        <w:t>A. Coco, ‘The Universal Duty to Establish Jurisdiction over, and Investigate, Crimes against Humanity: Preliminary Remarks on draft Articles 7, 8, 9 and 11 by the International Law Commission’, in this special issue</w:t>
      </w:r>
      <w:r>
        <w:rPr>
          <w:rFonts w:ascii="Times New Roman" w:hAnsi="Times New Roman" w:cs="Times New Roman"/>
        </w:rPr>
        <w:t xml:space="preserve"> of the </w:t>
      </w:r>
      <w:r>
        <w:rPr>
          <w:rFonts w:ascii="Times New Roman" w:hAnsi="Times New Roman" w:cs="Times New Roman"/>
          <w:i/>
        </w:rPr>
        <w:t>Journal</w:t>
      </w:r>
      <w:r>
        <w:rPr>
          <w:rFonts w:ascii="Times New Roman" w:hAnsi="Times New Roman" w:cs="Times New Roman"/>
        </w:rPr>
        <w:t>, arguing that such a duty exists already as a matter of customary law.</w:t>
      </w:r>
    </w:p>
  </w:footnote>
  <w:footnote w:id="8">
    <w:p w14:paraId="3635B382"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K. Engle, Z. Miller and D.M. Davis, ‘Introduction’, in K. Engle, Z. Miller and D.M. Davis (</w:t>
      </w:r>
      <w:proofErr w:type="spellStart"/>
      <w:r w:rsidRPr="001C513C">
        <w:rPr>
          <w:rFonts w:ascii="Times New Roman" w:eastAsia="Times New Roman" w:hAnsi="Times New Roman" w:cs="Times New Roman"/>
          <w:sz w:val="20"/>
          <w:szCs w:val="20"/>
        </w:rPr>
        <w:t>eds</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Anti-Impunity and the Human Rights Agenda</w:t>
      </w:r>
      <w:r w:rsidRPr="001C513C">
        <w:rPr>
          <w:rFonts w:ascii="Times New Roman" w:eastAsia="Times New Roman" w:hAnsi="Times New Roman" w:cs="Times New Roman"/>
          <w:sz w:val="20"/>
          <w:szCs w:val="20"/>
        </w:rPr>
        <w:t xml:space="preserve"> (Cambridge University Press, 2016) 1, at 1. </w:t>
      </w:r>
    </w:p>
  </w:footnote>
  <w:footnote w:id="9">
    <w:p w14:paraId="45345147" w14:textId="0AE93F8B"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K. Engle, ‘Anti-Impunity and the Turn to Criminal Law in Human Rights’, 100 </w:t>
      </w:r>
      <w:r w:rsidRPr="001C513C">
        <w:rPr>
          <w:rFonts w:ascii="Times New Roman" w:eastAsia="Times New Roman" w:hAnsi="Times New Roman" w:cs="Times New Roman"/>
          <w:i/>
          <w:sz w:val="20"/>
          <w:szCs w:val="20"/>
        </w:rPr>
        <w:t>Cornell Law Review</w:t>
      </w:r>
      <w:r w:rsidRPr="001C513C">
        <w:rPr>
          <w:rFonts w:ascii="Times New Roman" w:eastAsia="Times New Roman" w:hAnsi="Times New Roman" w:cs="Times New Roman"/>
          <w:sz w:val="20"/>
          <w:szCs w:val="20"/>
        </w:rPr>
        <w:t xml:space="preserve"> (2015) 1069; S. </w:t>
      </w:r>
      <w:proofErr w:type="spellStart"/>
      <w:r w:rsidRPr="001C513C">
        <w:rPr>
          <w:rFonts w:ascii="Times New Roman" w:eastAsia="Times New Roman" w:hAnsi="Times New Roman" w:cs="Times New Roman"/>
          <w:sz w:val="20"/>
          <w:szCs w:val="20"/>
        </w:rPr>
        <w:t>Moyn</w:t>
      </w:r>
      <w:proofErr w:type="spellEnd"/>
      <w:r w:rsidRPr="001C513C">
        <w:rPr>
          <w:rFonts w:ascii="Times New Roman" w:eastAsia="Times New Roman" w:hAnsi="Times New Roman" w:cs="Times New Roman"/>
          <w:sz w:val="20"/>
          <w:szCs w:val="20"/>
        </w:rPr>
        <w:t>, ‘Anti-Impunity as Deflection of Argument’, in K. Engle</w:t>
      </w:r>
      <w:r>
        <w:rPr>
          <w:rFonts w:ascii="Times New Roman" w:eastAsia="Times New Roman" w:hAnsi="Times New Roman" w:cs="Times New Roman"/>
          <w:sz w:val="20"/>
          <w:szCs w:val="20"/>
        </w:rPr>
        <w:t xml:space="preserve"> </w:t>
      </w:r>
      <w:r w:rsidRPr="002834C9">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w:t>
      </w:r>
      <w:r w:rsidRPr="002834C9">
        <w:rPr>
          <w:rFonts w:ascii="Times New Roman" w:eastAsia="Times New Roman" w:hAnsi="Times New Roman" w:cs="Times New Roman"/>
          <w:i/>
          <w:sz w:val="20"/>
          <w:szCs w:val="20"/>
        </w:rPr>
        <w:t>Anti-Impunity</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7</w:t>
      </w:r>
      <w:r w:rsidRPr="001C513C">
        <w:rPr>
          <w:rFonts w:ascii="Times New Roman" w:eastAsia="Times New Roman" w:hAnsi="Times New Roman" w:cs="Times New Roman"/>
          <w:sz w:val="20"/>
          <w:szCs w:val="20"/>
        </w:rPr>
        <w:t xml:space="preserve">, 68. </w:t>
      </w:r>
    </w:p>
  </w:footnote>
  <w:footnote w:id="10">
    <w:p w14:paraId="031EDC79" w14:textId="77777777" w:rsidR="00F64BB3" w:rsidRPr="009540F9"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2017 ILC Report, </w:t>
      </w:r>
      <w:r>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 xml:space="preserve">note 2, at 22, fourth </w:t>
      </w:r>
      <w:proofErr w:type="spellStart"/>
      <w:r>
        <w:rPr>
          <w:rFonts w:ascii="Times New Roman" w:eastAsia="Times New Roman" w:hAnsi="Times New Roman" w:cs="Times New Roman"/>
          <w:sz w:val="20"/>
          <w:szCs w:val="20"/>
        </w:rPr>
        <w:t>preambular</w:t>
      </w:r>
      <w:proofErr w:type="spellEnd"/>
      <w:r>
        <w:rPr>
          <w:rFonts w:ascii="Times New Roman" w:eastAsia="Times New Roman" w:hAnsi="Times New Roman" w:cs="Times New Roman"/>
          <w:sz w:val="20"/>
          <w:szCs w:val="20"/>
        </w:rPr>
        <w:t xml:space="preserve"> recital.</w:t>
      </w:r>
    </w:p>
  </w:footnote>
  <w:footnote w:id="11">
    <w:p w14:paraId="51FCD2F7"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w:t>
      </w:r>
      <w:r w:rsidRPr="001C513C">
        <w:rPr>
          <w:rFonts w:ascii="Times New Roman" w:hAnsi="Times New Roman" w:cs="Times New Roman"/>
          <w:bCs/>
        </w:rPr>
        <w:t xml:space="preserve">H.A. </w:t>
      </w:r>
      <w:proofErr w:type="spellStart"/>
      <w:r w:rsidRPr="001C513C">
        <w:rPr>
          <w:rFonts w:ascii="Times New Roman" w:hAnsi="Times New Roman" w:cs="Times New Roman"/>
          <w:bCs/>
        </w:rPr>
        <w:t>Relva</w:t>
      </w:r>
      <w:proofErr w:type="spellEnd"/>
      <w:r w:rsidRPr="001C513C">
        <w:rPr>
          <w:rFonts w:ascii="Times New Roman" w:hAnsi="Times New Roman" w:cs="Times New Roman"/>
          <w:bCs/>
        </w:rPr>
        <w:t xml:space="preserve">, ‘Three Propositions for the Convention on Crimes Against Humanity to Become an Effective Tool Against Impunity’, </w:t>
      </w:r>
      <w:r>
        <w:rPr>
          <w:rFonts w:ascii="Times New Roman" w:hAnsi="Times New Roman" w:cs="Times New Roman"/>
          <w:bCs/>
        </w:rPr>
        <w:t xml:space="preserve">in this special issue of the </w:t>
      </w:r>
      <w:r>
        <w:rPr>
          <w:rFonts w:ascii="Times New Roman" w:hAnsi="Times New Roman" w:cs="Times New Roman"/>
          <w:bCs/>
          <w:i/>
        </w:rPr>
        <w:t>Journal</w:t>
      </w:r>
      <w:r w:rsidRPr="001C513C">
        <w:rPr>
          <w:rFonts w:ascii="Times New Roman" w:hAnsi="Times New Roman" w:cs="Times New Roman"/>
          <w:bCs/>
        </w:rPr>
        <w:t>.</w:t>
      </w:r>
      <w:r w:rsidRPr="001C513C">
        <w:rPr>
          <w:rFonts w:ascii="Times New Roman" w:hAnsi="Times New Roman" w:cs="Times New Roman"/>
        </w:rPr>
        <w:t xml:space="preserve"> </w:t>
      </w:r>
    </w:p>
  </w:footnote>
  <w:footnote w:id="12">
    <w:p w14:paraId="6B3632BC"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For the idea that the ICC must have respect for transitional-justice arrangements as in South Africa, see for instance Kofi Annan, speaking in his capacity as UN Secretary-General: ‘</w:t>
      </w:r>
      <w:r w:rsidRPr="001C513C">
        <w:rPr>
          <w:rFonts w:ascii="Times New Roman" w:hAnsi="Times New Roman" w:cs="Times New Roman"/>
          <w:sz w:val="20"/>
          <w:szCs w:val="20"/>
        </w:rPr>
        <w:t xml:space="preserve">Some people [...] have suggested that in the future such an exemplary process of national reconciliation might be torpedoed, since the Statute empowers the Court to intervene in cases where a State is “unwilling or unable” to exercise its national jurisdiction. … [T]hat argument is a travesty. The purpose of that clause in the Statute is to ensure that mass murderers and other arch-criminals cannot shelter behind a State run by themselves or their cronies, or take advantage of a general breakdown of law and order. No one should imagine that it would apply to a case like South Africa’s, where the regime and the conflict which caused the crimes have come to an end, and the victims have inherited power. It is inconceivable that, in such a case, the Court would seek to substitute its judgement for that of a whole nation which is seeking the best way to put a traumatic past behind it and build a better future.’ See UN Press Release, ‘Secretary-General Urges “Like-Minded” States to Ratify Statute of International Criminal Court’, (SG/SM/6686), 1 September 1998, available online at </w:t>
      </w:r>
      <w:hyperlink r:id="rId1" w:history="1">
        <w:r w:rsidRPr="001C513C">
          <w:rPr>
            <w:rStyle w:val="Hyperlink"/>
            <w:rFonts w:ascii="Times New Roman" w:hAnsi="Times New Roman" w:cs="Times New Roman"/>
            <w:color w:val="auto"/>
            <w:sz w:val="20"/>
            <w:szCs w:val="20"/>
            <w:u w:val="none"/>
          </w:rPr>
          <w:t>https://www.un.org/press/en/1998/19980901.sgsm6686.html</w:t>
        </w:r>
      </w:hyperlink>
      <w:r w:rsidRPr="001C513C">
        <w:rPr>
          <w:rFonts w:ascii="Times New Roman" w:hAnsi="Times New Roman" w:cs="Times New Roman"/>
          <w:sz w:val="20"/>
          <w:szCs w:val="20"/>
        </w:rPr>
        <w:t xml:space="preserve"> (last visited </w:t>
      </w:r>
      <w:r>
        <w:rPr>
          <w:rFonts w:ascii="Times New Roman" w:hAnsi="Times New Roman" w:cs="Times New Roman"/>
          <w:sz w:val="20"/>
          <w:szCs w:val="20"/>
        </w:rPr>
        <w:t>23</w:t>
      </w:r>
      <w:r w:rsidRPr="001C513C">
        <w:rPr>
          <w:rFonts w:ascii="Times New Roman" w:hAnsi="Times New Roman" w:cs="Times New Roman"/>
          <w:sz w:val="20"/>
          <w:szCs w:val="20"/>
        </w:rPr>
        <w:t xml:space="preserve"> July 2018). For discussion of the legal significance of the South African amnesty law having received widespread international approval</w:t>
      </w:r>
      <w:r>
        <w:rPr>
          <w:rFonts w:ascii="Times New Roman" w:hAnsi="Times New Roman" w:cs="Times New Roman"/>
          <w:sz w:val="20"/>
          <w:szCs w:val="20"/>
        </w:rPr>
        <w:t>,</w:t>
      </w:r>
      <w:r w:rsidRPr="001C513C">
        <w:rPr>
          <w:rFonts w:ascii="Times New Roman" w:hAnsi="Times New Roman" w:cs="Times New Roman"/>
          <w:sz w:val="20"/>
          <w:szCs w:val="20"/>
        </w:rPr>
        <w:t xml:space="preserve"> see</w:t>
      </w:r>
      <w:r>
        <w:rPr>
          <w:rFonts w:ascii="Times New Roman" w:hAnsi="Times New Roman" w:cs="Times New Roman"/>
          <w:sz w:val="20"/>
          <w:szCs w:val="20"/>
        </w:rPr>
        <w:t>,</w:t>
      </w:r>
      <w:r w:rsidRPr="001C513C">
        <w:rPr>
          <w:rFonts w:ascii="Times New Roman" w:eastAsia="Times New Roman" w:hAnsi="Times New Roman" w:cs="Times New Roman"/>
          <w:sz w:val="20"/>
          <w:szCs w:val="20"/>
        </w:rPr>
        <w:t xml:space="preserve"> for instance, in judicial opinion, Decision on </w:t>
      </w:r>
      <w:proofErr w:type="spellStart"/>
      <w:r w:rsidRPr="001C513C">
        <w:rPr>
          <w:rFonts w:ascii="Times New Roman" w:eastAsia="Times New Roman" w:hAnsi="Times New Roman" w:cs="Times New Roman"/>
          <w:sz w:val="20"/>
          <w:szCs w:val="20"/>
        </w:rPr>
        <w:t>Ieng</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Sary’s</w:t>
      </w:r>
      <w:proofErr w:type="spellEnd"/>
      <w:r w:rsidRPr="001C513C">
        <w:rPr>
          <w:rFonts w:ascii="Times New Roman" w:eastAsia="Times New Roman" w:hAnsi="Times New Roman" w:cs="Times New Roman"/>
          <w:sz w:val="20"/>
          <w:szCs w:val="20"/>
        </w:rPr>
        <w:t xml:space="preserve"> Rule 89 Preliminary Objections (</w:t>
      </w:r>
      <w:r w:rsidRPr="001C513C">
        <w:rPr>
          <w:rFonts w:ascii="Times New Roman" w:eastAsia="Times New Roman" w:hAnsi="Times New Roman" w:cs="Times New Roman"/>
          <w:i/>
          <w:sz w:val="20"/>
          <w:szCs w:val="20"/>
        </w:rPr>
        <w:t xml:space="preserve">Ne </w:t>
      </w:r>
      <w:proofErr w:type="spellStart"/>
      <w:r w:rsidRPr="001C513C">
        <w:rPr>
          <w:rFonts w:ascii="Times New Roman" w:eastAsia="Times New Roman" w:hAnsi="Times New Roman" w:cs="Times New Roman"/>
          <w:i/>
          <w:sz w:val="20"/>
          <w:szCs w:val="20"/>
        </w:rPr>
        <w:t>Bis</w:t>
      </w:r>
      <w:proofErr w:type="spellEnd"/>
      <w:r w:rsidRPr="001C513C">
        <w:rPr>
          <w:rFonts w:ascii="Times New Roman" w:eastAsia="Times New Roman" w:hAnsi="Times New Roman" w:cs="Times New Roman"/>
          <w:i/>
          <w:sz w:val="20"/>
          <w:szCs w:val="20"/>
        </w:rPr>
        <w:t xml:space="preserve"> in Idem </w:t>
      </w:r>
      <w:r w:rsidRPr="001C513C">
        <w:rPr>
          <w:rFonts w:ascii="Times New Roman" w:eastAsia="Times New Roman" w:hAnsi="Times New Roman" w:cs="Times New Roman"/>
          <w:sz w:val="20"/>
          <w:szCs w:val="20"/>
        </w:rPr>
        <w:t>and Amnesty and Pardon)</w:t>
      </w:r>
      <w:r>
        <w:rPr>
          <w:rFonts w:ascii="Times New Roman" w:eastAsia="Times New Roman" w:hAnsi="Times New Roman" w:cs="Times New Roman"/>
          <w:sz w:val="20"/>
          <w:szCs w:val="20"/>
        </w:rPr>
        <w:t xml:space="preserve">, </w:t>
      </w:r>
      <w:proofErr w:type="spellStart"/>
      <w:r w:rsidRPr="002834C9">
        <w:rPr>
          <w:rFonts w:ascii="Times New Roman" w:eastAsia="Times New Roman" w:hAnsi="Times New Roman" w:cs="Times New Roman"/>
          <w:i/>
          <w:sz w:val="20"/>
          <w:szCs w:val="20"/>
        </w:rPr>
        <w:t>Ieng</w:t>
      </w:r>
      <w:proofErr w:type="spellEnd"/>
      <w:r w:rsidRPr="002834C9">
        <w:rPr>
          <w:rFonts w:ascii="Times New Roman" w:eastAsia="Times New Roman" w:hAnsi="Times New Roman" w:cs="Times New Roman"/>
          <w:i/>
          <w:sz w:val="20"/>
          <w:szCs w:val="20"/>
        </w:rPr>
        <w:t xml:space="preserve"> </w:t>
      </w:r>
      <w:proofErr w:type="spellStart"/>
      <w:r w:rsidRPr="002834C9">
        <w:rPr>
          <w:rFonts w:ascii="Times New Roman" w:eastAsia="Times New Roman" w:hAnsi="Times New Roman" w:cs="Times New Roman"/>
          <w:i/>
          <w:sz w:val="20"/>
          <w:szCs w:val="20"/>
        </w:rPr>
        <w:t>Sary</w:t>
      </w:r>
      <w:proofErr w:type="spellEnd"/>
      <w:r w:rsidRPr="001C513C">
        <w:rPr>
          <w:rFonts w:ascii="Times New Roman" w:eastAsia="Times New Roman" w:hAnsi="Times New Roman" w:cs="Times New Roman"/>
          <w:sz w:val="20"/>
          <w:szCs w:val="20"/>
        </w:rPr>
        <w:t xml:space="preserve"> (002/19-09-2007/ECCC/TC), Trial Chamber, 3 November 2011,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52 and</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in the scholarly literature, C. </w:t>
      </w:r>
      <w:proofErr w:type="spellStart"/>
      <w:r w:rsidRPr="001C513C">
        <w:rPr>
          <w:rFonts w:ascii="Times New Roman" w:eastAsia="Times New Roman" w:hAnsi="Times New Roman" w:cs="Times New Roman"/>
          <w:sz w:val="20"/>
          <w:szCs w:val="20"/>
        </w:rPr>
        <w:t>Kreß</w:t>
      </w:r>
      <w:proofErr w:type="spellEnd"/>
      <w:r w:rsidRPr="001C513C">
        <w:rPr>
          <w:rFonts w:ascii="Times New Roman" w:eastAsia="Times New Roman" w:hAnsi="Times New Roman" w:cs="Times New Roman"/>
          <w:sz w:val="20"/>
          <w:szCs w:val="20"/>
        </w:rPr>
        <w:t xml:space="preserve"> and L. Grover, ‘International Criminal Law Restraints in Peace Talks to End Armed Conflicts of a Non-International Character’, in M. </w:t>
      </w:r>
      <w:proofErr w:type="spellStart"/>
      <w:r w:rsidRPr="001C513C">
        <w:rPr>
          <w:rFonts w:ascii="Times New Roman" w:eastAsia="Times New Roman" w:hAnsi="Times New Roman" w:cs="Times New Roman"/>
          <w:sz w:val="20"/>
          <w:szCs w:val="20"/>
        </w:rPr>
        <w:t>Bergsmo</w:t>
      </w:r>
      <w:proofErr w:type="spellEnd"/>
      <w:r w:rsidRPr="001C513C">
        <w:rPr>
          <w:rFonts w:ascii="Times New Roman" w:eastAsia="Times New Roman" w:hAnsi="Times New Roman" w:cs="Times New Roman"/>
          <w:sz w:val="20"/>
          <w:szCs w:val="20"/>
        </w:rPr>
        <w:t xml:space="preserve"> and P. </w:t>
      </w:r>
      <w:proofErr w:type="spellStart"/>
      <w:r w:rsidRPr="001C513C">
        <w:rPr>
          <w:rFonts w:ascii="Times New Roman" w:eastAsia="Times New Roman" w:hAnsi="Times New Roman" w:cs="Times New Roman"/>
          <w:sz w:val="20"/>
          <w:szCs w:val="20"/>
        </w:rPr>
        <w:t>Kalmanovitz</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eds</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Law in Peace Negotiations</w:t>
      </w:r>
      <w:r w:rsidRPr="001C513C">
        <w:rPr>
          <w:rFonts w:ascii="Times New Roman" w:eastAsia="Times New Roman" w:hAnsi="Times New Roman" w:cs="Times New Roman"/>
          <w:sz w:val="20"/>
          <w:szCs w:val="20"/>
        </w:rPr>
        <w:t xml:space="preserve"> (2nd </w:t>
      </w:r>
      <w:proofErr w:type="spellStart"/>
      <w:r w:rsidRPr="001C513C">
        <w:rPr>
          <w:rFonts w:ascii="Times New Roman" w:eastAsia="Times New Roman" w:hAnsi="Times New Roman" w:cs="Times New Roman"/>
          <w:sz w:val="20"/>
          <w:szCs w:val="20"/>
        </w:rPr>
        <w:t>edn</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Torkel</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Opsahl</w:t>
      </w:r>
      <w:proofErr w:type="spellEnd"/>
      <w:r w:rsidRPr="001C513C">
        <w:rPr>
          <w:rFonts w:ascii="Times New Roman" w:eastAsia="Times New Roman" w:hAnsi="Times New Roman" w:cs="Times New Roman"/>
          <w:sz w:val="20"/>
          <w:szCs w:val="20"/>
        </w:rPr>
        <w:t xml:space="preserve"> Academic </w:t>
      </w:r>
      <w:proofErr w:type="spellStart"/>
      <w:r w:rsidRPr="001C513C">
        <w:rPr>
          <w:rFonts w:ascii="Times New Roman" w:eastAsia="Times New Roman" w:hAnsi="Times New Roman" w:cs="Times New Roman"/>
          <w:sz w:val="20"/>
          <w:szCs w:val="20"/>
        </w:rPr>
        <w:t>EPublisher</w:t>
      </w:r>
      <w:proofErr w:type="spellEnd"/>
      <w:r w:rsidRPr="001C513C">
        <w:rPr>
          <w:rFonts w:ascii="Times New Roman" w:eastAsia="Times New Roman" w:hAnsi="Times New Roman" w:cs="Times New Roman"/>
          <w:sz w:val="20"/>
          <w:szCs w:val="20"/>
        </w:rPr>
        <w:t xml:space="preserve">, 2010) 41, at 50. </w:t>
      </w:r>
    </w:p>
  </w:footnote>
  <w:footnote w:id="13">
    <w:p w14:paraId="19454172" w14:textId="77777777" w:rsidR="00F64BB3" w:rsidRPr="001C513C" w:rsidRDefault="00F64BB3">
      <w:pPr>
        <w:spacing w:after="0"/>
        <w:jc w:val="both"/>
        <w:rPr>
          <w:rFonts w:eastAsia="Times New Roman" w:cs="Times New Roman"/>
          <w:sz w:val="20"/>
          <w:szCs w:val="20"/>
        </w:rPr>
      </w:pPr>
      <w:r w:rsidRPr="001C513C">
        <w:rPr>
          <w:rStyle w:val="FootnoteReference"/>
          <w:rFonts w:ascii="Times New Roman" w:hAnsi="Times New Roman" w:cs="Times New Roman"/>
          <w:sz w:val="20"/>
          <w:szCs w:val="20"/>
        </w:rPr>
        <w:footnoteRef/>
      </w:r>
      <w:r w:rsidRPr="001C513C">
        <w:rPr>
          <w:rFonts w:ascii="Times New Roman" w:hAnsi="Times New Roman" w:cs="Times New Roman"/>
          <w:sz w:val="20"/>
          <w:szCs w:val="20"/>
        </w:rPr>
        <w:t xml:space="preserve"> The South African transitional-justice model has been criticised on various grounds. Some criticism goes to the negotiated settlement, which prioritised political justice over social and criminal justice (see </w:t>
      </w:r>
      <w:r w:rsidRPr="001C513C">
        <w:rPr>
          <w:rFonts w:ascii="Times New Roman" w:eastAsia="Times New Roman" w:hAnsi="Times New Roman" w:cs="Times New Roman"/>
          <w:sz w:val="20"/>
          <w:szCs w:val="20"/>
        </w:rPr>
        <w:t xml:space="preserve">M. </w:t>
      </w:r>
      <w:proofErr w:type="spellStart"/>
      <w:r w:rsidRPr="001C513C">
        <w:rPr>
          <w:rFonts w:ascii="Times New Roman" w:eastAsia="Times New Roman" w:hAnsi="Times New Roman" w:cs="Times New Roman"/>
          <w:sz w:val="20"/>
          <w:szCs w:val="20"/>
        </w:rPr>
        <w:t>Mamdani</w:t>
      </w:r>
      <w:proofErr w:type="spellEnd"/>
      <w:r w:rsidRPr="001C513C">
        <w:rPr>
          <w:rFonts w:ascii="Times New Roman" w:eastAsia="Times New Roman" w:hAnsi="Times New Roman" w:cs="Times New Roman"/>
          <w:sz w:val="20"/>
          <w:szCs w:val="20"/>
        </w:rPr>
        <w:t xml:space="preserve">, ‘Beyond Nuremberg: The Historical Significance of the Post-Apartheid Transition in South Africa’, 43(1) </w:t>
      </w:r>
      <w:r w:rsidRPr="001C513C">
        <w:rPr>
          <w:rFonts w:ascii="Times New Roman" w:eastAsia="Times New Roman" w:hAnsi="Times New Roman" w:cs="Times New Roman"/>
          <w:i/>
          <w:sz w:val="20"/>
          <w:szCs w:val="20"/>
        </w:rPr>
        <w:t>Politics &amp; Society</w:t>
      </w:r>
      <w:r w:rsidRPr="001C513C">
        <w:rPr>
          <w:rFonts w:ascii="Times New Roman" w:eastAsia="Times New Roman" w:hAnsi="Times New Roman" w:cs="Times New Roman"/>
          <w:sz w:val="20"/>
          <w:szCs w:val="20"/>
        </w:rPr>
        <w:t xml:space="preserve"> (2015) 61</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at 67</w:t>
      </w:r>
      <w:r w:rsidRPr="001C513C">
        <w:rPr>
          <w:rFonts w:ascii="Times New Roman" w:hAnsi="Times New Roman" w:cs="Times New Roman"/>
          <w:sz w:val="20"/>
          <w:szCs w:val="20"/>
        </w:rPr>
        <w:t xml:space="preserve">). Those who criticise this prioritisation usually do not argue, however, that there has not been enough criminal justice, but that there has not been enough socio-economic justice. </w:t>
      </w:r>
      <w:r>
        <w:rPr>
          <w:rFonts w:ascii="Times New Roman" w:hAnsi="Times New Roman" w:cs="Times New Roman"/>
          <w:sz w:val="20"/>
          <w:szCs w:val="20"/>
        </w:rPr>
        <w:t xml:space="preserve">See, for instance, W. </w:t>
      </w:r>
      <w:proofErr w:type="spellStart"/>
      <w:r>
        <w:rPr>
          <w:rFonts w:ascii="Times New Roman" w:hAnsi="Times New Roman" w:cs="Times New Roman"/>
          <w:sz w:val="20"/>
          <w:szCs w:val="20"/>
        </w:rPr>
        <w:t>Gumede</w:t>
      </w:r>
      <w:proofErr w:type="spellEnd"/>
      <w:r>
        <w:rPr>
          <w:rFonts w:ascii="Times New Roman" w:hAnsi="Times New Roman" w:cs="Times New Roman"/>
          <w:sz w:val="20"/>
          <w:szCs w:val="20"/>
        </w:rPr>
        <w:t xml:space="preserve">, ‘Failure to Pursue Economic Reparations has, and Will Continue to Undermine Racial Reconciliation’, in: M. Swart and K. van </w:t>
      </w:r>
      <w:proofErr w:type="spellStart"/>
      <w:r>
        <w:rPr>
          <w:rFonts w:ascii="Times New Roman" w:hAnsi="Times New Roman" w:cs="Times New Roman"/>
          <w:sz w:val="20"/>
          <w:szCs w:val="20"/>
        </w:rPr>
        <w:t>Marle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eds</w:t>
      </w:r>
      <w:proofErr w:type="spellEnd"/>
      <w:r>
        <w:rPr>
          <w:rFonts w:ascii="Times New Roman" w:hAnsi="Times New Roman" w:cs="Times New Roman"/>
          <w:sz w:val="20"/>
          <w:szCs w:val="20"/>
        </w:rPr>
        <w:t xml:space="preserve">), </w:t>
      </w:r>
      <w:r>
        <w:rPr>
          <w:rFonts w:ascii="Times New Roman" w:hAnsi="Times New Roman" w:cs="Times New Roman"/>
          <w:i/>
          <w:sz w:val="20"/>
          <w:szCs w:val="20"/>
        </w:rPr>
        <w:t>The Limits of Transition: The South African Truth and Reconciliation Commission 20 Years On</w:t>
      </w:r>
      <w:r>
        <w:rPr>
          <w:rFonts w:ascii="Times New Roman" w:hAnsi="Times New Roman" w:cs="Times New Roman"/>
          <w:sz w:val="20"/>
          <w:szCs w:val="20"/>
        </w:rPr>
        <w:t xml:space="preserve"> (Brill </w:t>
      </w:r>
      <w:proofErr w:type="spellStart"/>
      <w:r>
        <w:rPr>
          <w:rFonts w:ascii="Times New Roman" w:hAnsi="Times New Roman" w:cs="Times New Roman"/>
          <w:sz w:val="20"/>
          <w:szCs w:val="20"/>
        </w:rPr>
        <w:t>Nijhoff</w:t>
      </w:r>
      <w:proofErr w:type="spellEnd"/>
      <w:r>
        <w:rPr>
          <w:rFonts w:ascii="Times New Roman" w:hAnsi="Times New Roman" w:cs="Times New Roman"/>
          <w:sz w:val="20"/>
          <w:szCs w:val="20"/>
        </w:rPr>
        <w:t xml:space="preserve">, 2017) 59. </w:t>
      </w:r>
      <w:r w:rsidRPr="001C513C">
        <w:rPr>
          <w:rFonts w:ascii="Times New Roman" w:hAnsi="Times New Roman" w:cs="Times New Roman"/>
          <w:sz w:val="20"/>
          <w:szCs w:val="20"/>
        </w:rPr>
        <w:t xml:space="preserve">Also often criticised are the limitations on the mandate of the Truth and Reconciliation Commission (TRC), or the TRC’s interpretation of its own mandate (see e.g. M. </w:t>
      </w:r>
      <w:proofErr w:type="spellStart"/>
      <w:r w:rsidRPr="001C513C">
        <w:rPr>
          <w:rFonts w:ascii="Times New Roman" w:hAnsi="Times New Roman" w:cs="Times New Roman"/>
          <w:sz w:val="20"/>
          <w:szCs w:val="20"/>
        </w:rPr>
        <w:t>Mamdani</w:t>
      </w:r>
      <w:proofErr w:type="spellEnd"/>
      <w:r w:rsidRPr="001C513C">
        <w:rPr>
          <w:rFonts w:ascii="Times New Roman" w:hAnsi="Times New Roman" w:cs="Times New Roman"/>
          <w:sz w:val="20"/>
          <w:szCs w:val="20"/>
        </w:rPr>
        <w:t xml:space="preserve">, ‘Amnesty or Impunity? A Preliminary Critique of the Report of the Truth and Reconciliation Commission of South Africa’, 32 </w:t>
      </w:r>
      <w:r w:rsidRPr="001C513C">
        <w:rPr>
          <w:rFonts w:ascii="Times New Roman" w:hAnsi="Times New Roman" w:cs="Times New Roman"/>
          <w:i/>
          <w:sz w:val="20"/>
          <w:szCs w:val="20"/>
        </w:rPr>
        <w:t xml:space="preserve">Diacritics </w:t>
      </w:r>
      <w:r w:rsidRPr="001C513C">
        <w:rPr>
          <w:rFonts w:ascii="Times New Roman" w:hAnsi="Times New Roman" w:cs="Times New Roman"/>
          <w:sz w:val="20"/>
          <w:szCs w:val="20"/>
        </w:rPr>
        <w:t>(2002) 32)</w:t>
      </w:r>
      <w:r>
        <w:rPr>
          <w:rFonts w:ascii="Times New Roman" w:hAnsi="Times New Roman" w:cs="Times New Roman"/>
          <w:sz w:val="20"/>
          <w:szCs w:val="20"/>
        </w:rPr>
        <w:t xml:space="preserve"> and the TRC’s epistemology and methodology (see e.g. C. Bundy, ‘The Beast of the Past: History and the TRC’, in W. James and L. Van de </w:t>
      </w:r>
      <w:proofErr w:type="spellStart"/>
      <w:r>
        <w:rPr>
          <w:rFonts w:ascii="Times New Roman" w:hAnsi="Times New Roman" w:cs="Times New Roman"/>
          <w:sz w:val="20"/>
          <w:szCs w:val="20"/>
        </w:rPr>
        <w:t>Vijver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eds</w:t>
      </w:r>
      <w:proofErr w:type="spellEnd"/>
      <w:r>
        <w:rPr>
          <w:rFonts w:ascii="Times New Roman" w:hAnsi="Times New Roman" w:cs="Times New Roman"/>
          <w:sz w:val="20"/>
          <w:szCs w:val="20"/>
        </w:rPr>
        <w:t xml:space="preserve">), </w:t>
      </w:r>
      <w:r>
        <w:rPr>
          <w:rFonts w:ascii="Times New Roman" w:hAnsi="Times New Roman" w:cs="Times New Roman"/>
          <w:i/>
          <w:sz w:val="20"/>
          <w:szCs w:val="20"/>
        </w:rPr>
        <w:t>After the TRC: Reflections on Truth and Reconciliation in South Africa</w:t>
      </w:r>
      <w:r>
        <w:rPr>
          <w:rFonts w:ascii="Times New Roman" w:hAnsi="Times New Roman" w:cs="Times New Roman"/>
          <w:sz w:val="20"/>
          <w:szCs w:val="20"/>
        </w:rPr>
        <w:t xml:space="preserve"> (Ohio University Press/David Philip Publishers, 2000) 9</w:t>
      </w:r>
      <w:r w:rsidRPr="001C513C">
        <w:rPr>
          <w:rFonts w:ascii="Times New Roman" w:hAnsi="Times New Roman" w:cs="Times New Roman"/>
          <w:sz w:val="20"/>
          <w:szCs w:val="20"/>
        </w:rPr>
        <w:t>. But again, th</w:t>
      </w:r>
      <w:r>
        <w:rPr>
          <w:rFonts w:ascii="Times New Roman" w:hAnsi="Times New Roman" w:cs="Times New Roman"/>
          <w:sz w:val="20"/>
          <w:szCs w:val="20"/>
        </w:rPr>
        <w:t>e</w:t>
      </w:r>
      <w:r w:rsidRPr="001C513C">
        <w:rPr>
          <w:rFonts w:ascii="Times New Roman" w:hAnsi="Times New Roman" w:cs="Times New Roman"/>
          <w:sz w:val="20"/>
          <w:szCs w:val="20"/>
        </w:rPr>
        <w:t>s</w:t>
      </w:r>
      <w:r>
        <w:rPr>
          <w:rFonts w:ascii="Times New Roman" w:hAnsi="Times New Roman" w:cs="Times New Roman"/>
          <w:sz w:val="20"/>
          <w:szCs w:val="20"/>
        </w:rPr>
        <w:t>e</w:t>
      </w:r>
      <w:r w:rsidRPr="001C513C">
        <w:rPr>
          <w:rFonts w:ascii="Times New Roman" w:hAnsi="Times New Roman" w:cs="Times New Roman"/>
          <w:sz w:val="20"/>
          <w:szCs w:val="20"/>
        </w:rPr>
        <w:t xml:space="preserve"> criticism</w:t>
      </w:r>
      <w:r>
        <w:rPr>
          <w:rFonts w:ascii="Times New Roman" w:hAnsi="Times New Roman" w:cs="Times New Roman"/>
          <w:sz w:val="20"/>
          <w:szCs w:val="20"/>
        </w:rPr>
        <w:t>s</w:t>
      </w:r>
      <w:r w:rsidRPr="001C513C">
        <w:rPr>
          <w:rFonts w:ascii="Times New Roman" w:hAnsi="Times New Roman" w:cs="Times New Roman"/>
          <w:sz w:val="20"/>
          <w:szCs w:val="20"/>
        </w:rPr>
        <w:t xml:space="preserve"> do not imply that there should have been more criminal justice. The same applies to the criticism that the government failed to pay sufficient reparations, especially in light of the fact that it had barred civil cases, a criticism levelled even by commissioners of the TRC (see e.g. A. </w:t>
      </w:r>
      <w:proofErr w:type="spellStart"/>
      <w:r w:rsidRPr="001C513C">
        <w:rPr>
          <w:rFonts w:ascii="Times New Roman" w:hAnsi="Times New Roman" w:cs="Times New Roman"/>
          <w:sz w:val="20"/>
          <w:szCs w:val="20"/>
        </w:rPr>
        <w:t>Boraine</w:t>
      </w:r>
      <w:proofErr w:type="spellEnd"/>
      <w:r w:rsidRPr="001C513C">
        <w:rPr>
          <w:rFonts w:ascii="Times New Roman" w:hAnsi="Times New Roman" w:cs="Times New Roman"/>
          <w:sz w:val="20"/>
          <w:szCs w:val="20"/>
        </w:rPr>
        <w:t xml:space="preserve">, ‘South Africa’s Truth and Reconciliation Commission from a Global Perspective’, in C. </w:t>
      </w:r>
      <w:proofErr w:type="spellStart"/>
      <w:r w:rsidRPr="001C513C">
        <w:rPr>
          <w:rFonts w:ascii="Times New Roman" w:hAnsi="Times New Roman" w:cs="Times New Roman"/>
          <w:sz w:val="20"/>
          <w:szCs w:val="20"/>
        </w:rPr>
        <w:t>Sriram</w:t>
      </w:r>
      <w:proofErr w:type="spellEnd"/>
      <w:r w:rsidRPr="001C513C">
        <w:rPr>
          <w:rFonts w:ascii="Times New Roman" w:hAnsi="Times New Roman" w:cs="Times New Roman"/>
          <w:sz w:val="20"/>
          <w:szCs w:val="20"/>
        </w:rPr>
        <w:t xml:space="preserve"> and S. Pillay (</w:t>
      </w:r>
      <w:proofErr w:type="spellStart"/>
      <w:r w:rsidRPr="001C513C">
        <w:rPr>
          <w:rFonts w:ascii="Times New Roman" w:hAnsi="Times New Roman" w:cs="Times New Roman"/>
          <w:sz w:val="20"/>
          <w:szCs w:val="20"/>
        </w:rPr>
        <w:t>eds</w:t>
      </w:r>
      <w:proofErr w:type="spellEnd"/>
      <w:r w:rsidRPr="001C513C">
        <w:rPr>
          <w:rFonts w:ascii="Times New Roman" w:hAnsi="Times New Roman" w:cs="Times New Roman"/>
          <w:sz w:val="20"/>
          <w:szCs w:val="20"/>
        </w:rPr>
        <w:t xml:space="preserve">), </w:t>
      </w:r>
      <w:r w:rsidRPr="001C513C">
        <w:rPr>
          <w:rFonts w:ascii="Times New Roman" w:hAnsi="Times New Roman" w:cs="Times New Roman"/>
          <w:i/>
          <w:sz w:val="20"/>
          <w:szCs w:val="20"/>
        </w:rPr>
        <w:t>Peace versus Justice</w:t>
      </w:r>
      <w:r w:rsidRPr="001C513C">
        <w:rPr>
          <w:rFonts w:ascii="Times New Roman" w:hAnsi="Times New Roman" w:cs="Times New Roman"/>
          <w:sz w:val="20"/>
          <w:szCs w:val="20"/>
        </w:rPr>
        <w:t xml:space="preserve"> (University of KwaZulu-Natal Press, 2009) 137, at 139-140 and 150</w:t>
      </w:r>
      <w:r>
        <w:rPr>
          <w:rFonts w:ascii="Times New Roman" w:hAnsi="Times New Roman" w:cs="Times New Roman"/>
          <w:sz w:val="20"/>
          <w:szCs w:val="20"/>
        </w:rPr>
        <w:t>)</w:t>
      </w:r>
      <w:r w:rsidRPr="001C513C">
        <w:rPr>
          <w:rFonts w:ascii="Times New Roman" w:hAnsi="Times New Roman" w:cs="Times New Roman"/>
          <w:sz w:val="20"/>
          <w:szCs w:val="20"/>
        </w:rPr>
        <w:t xml:space="preserve">. </w:t>
      </w:r>
      <w:r>
        <w:rPr>
          <w:rFonts w:ascii="Times New Roman" w:hAnsi="Times New Roman" w:cs="Times New Roman"/>
          <w:sz w:val="20"/>
          <w:szCs w:val="20"/>
        </w:rPr>
        <w:t xml:space="preserve">The criticism that the South African process failed to target ‘beneficiaries’ of apartheid is not a criticism of a lack of prosecution either (M. </w:t>
      </w:r>
      <w:proofErr w:type="spellStart"/>
      <w:r>
        <w:rPr>
          <w:rFonts w:ascii="Times New Roman" w:hAnsi="Times New Roman" w:cs="Times New Roman"/>
          <w:sz w:val="20"/>
          <w:szCs w:val="20"/>
        </w:rPr>
        <w:t>Mamdani</w:t>
      </w:r>
      <w:proofErr w:type="spellEnd"/>
      <w:r>
        <w:rPr>
          <w:rFonts w:ascii="Times New Roman" w:hAnsi="Times New Roman" w:cs="Times New Roman"/>
          <w:sz w:val="20"/>
          <w:szCs w:val="20"/>
        </w:rPr>
        <w:t xml:space="preserve"> at a panel discussion reflected in A. </w:t>
      </w:r>
      <w:proofErr w:type="spellStart"/>
      <w:r>
        <w:rPr>
          <w:rFonts w:ascii="Times New Roman" w:hAnsi="Times New Roman" w:cs="Times New Roman"/>
          <w:sz w:val="20"/>
          <w:szCs w:val="20"/>
        </w:rPr>
        <w:t>Krog</w:t>
      </w:r>
      <w:proofErr w:type="spellEnd"/>
      <w:r>
        <w:rPr>
          <w:rFonts w:ascii="Times New Roman" w:hAnsi="Times New Roman" w:cs="Times New Roman"/>
          <w:sz w:val="20"/>
          <w:szCs w:val="20"/>
        </w:rPr>
        <w:t xml:space="preserve">, </w:t>
      </w:r>
      <w:r>
        <w:rPr>
          <w:rFonts w:ascii="Times New Roman" w:hAnsi="Times New Roman" w:cs="Times New Roman"/>
          <w:i/>
          <w:sz w:val="20"/>
          <w:szCs w:val="20"/>
        </w:rPr>
        <w:t>Country of My Skull</w:t>
      </w:r>
      <w:r>
        <w:rPr>
          <w:rFonts w:ascii="Times New Roman" w:hAnsi="Times New Roman" w:cs="Times New Roman"/>
          <w:sz w:val="20"/>
          <w:szCs w:val="20"/>
        </w:rPr>
        <w:t xml:space="preserve"> (2</w:t>
      </w:r>
      <w:r w:rsidRPr="00384D85">
        <w:rPr>
          <w:rFonts w:ascii="Times New Roman" w:hAnsi="Times New Roman" w:cs="Times New Roman"/>
          <w:sz w:val="20"/>
          <w:szCs w:val="20"/>
          <w:vertAlign w:val="superscript"/>
        </w:rPr>
        <w:t>nd</w:t>
      </w:r>
      <w:r>
        <w:rPr>
          <w:rFonts w:ascii="Times New Roman" w:hAnsi="Times New Roman" w:cs="Times New Roman"/>
          <w:sz w:val="20"/>
          <w:szCs w:val="20"/>
        </w:rPr>
        <w:t xml:space="preserve"> </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xml:space="preserve">, Johannesburg: Random House, 2002) at 112-113). </w:t>
      </w:r>
      <w:r w:rsidRPr="001C513C">
        <w:rPr>
          <w:rFonts w:ascii="Times New Roman" w:hAnsi="Times New Roman" w:cs="Times New Roman"/>
          <w:sz w:val="20"/>
          <w:szCs w:val="20"/>
        </w:rPr>
        <w:t xml:space="preserve">Criticism that does go directly to the amnesty comes from those who had wanted prosecutions or at least have the possibility of civil claims (see </w:t>
      </w:r>
      <w:r w:rsidRPr="001C513C">
        <w:rPr>
          <w:rFonts w:ascii="Times New Roman" w:eastAsia="Times New Roman" w:hAnsi="Times New Roman" w:cs="Times New Roman"/>
          <w:color w:val="000000"/>
          <w:sz w:val="20"/>
          <w:szCs w:val="20"/>
        </w:rPr>
        <w:t xml:space="preserve">Constitutional Court of South Africa, CCT 17/96, Judgment of 25 July 1996, in </w:t>
      </w:r>
      <w:proofErr w:type="spellStart"/>
      <w:r w:rsidRPr="001C513C">
        <w:rPr>
          <w:rFonts w:ascii="Times New Roman" w:eastAsia="Times New Roman" w:hAnsi="Times New Roman" w:cs="Times New Roman"/>
          <w:i/>
          <w:iCs/>
          <w:color w:val="000000"/>
          <w:sz w:val="20"/>
          <w:szCs w:val="20"/>
        </w:rPr>
        <w:t>Azanian</w:t>
      </w:r>
      <w:proofErr w:type="spellEnd"/>
      <w:r w:rsidRPr="001C513C">
        <w:rPr>
          <w:rFonts w:ascii="Times New Roman" w:eastAsia="Times New Roman" w:hAnsi="Times New Roman" w:cs="Times New Roman"/>
          <w:i/>
          <w:iCs/>
          <w:color w:val="000000"/>
          <w:sz w:val="20"/>
          <w:szCs w:val="20"/>
        </w:rPr>
        <w:t xml:space="preserve"> People’s Organization (AZAPO) and Others v President of the Republic of South Africa and Others</w:t>
      </w:r>
      <w:r w:rsidRPr="001C513C">
        <w:rPr>
          <w:rFonts w:ascii="Times New Roman" w:eastAsia="Times New Roman" w:hAnsi="Times New Roman" w:cs="Times New Roman"/>
          <w:color w:val="000000"/>
          <w:sz w:val="20"/>
          <w:szCs w:val="20"/>
        </w:rPr>
        <w:t xml:space="preserve"> [1997] 4 LRC 40, at 53 (§19) (</w:t>
      </w:r>
      <w:r>
        <w:rPr>
          <w:rFonts w:ascii="Times New Roman" w:eastAsia="Times New Roman" w:hAnsi="Times New Roman" w:cs="Times New Roman"/>
          <w:color w:val="000000"/>
          <w:sz w:val="20"/>
          <w:szCs w:val="20"/>
        </w:rPr>
        <w:t>hereinafter, ‘</w:t>
      </w:r>
      <w:r w:rsidRPr="001C513C">
        <w:rPr>
          <w:rFonts w:ascii="Times New Roman" w:eastAsia="Times New Roman" w:hAnsi="Times New Roman" w:cs="Times New Roman"/>
          <w:i/>
          <w:color w:val="000000"/>
          <w:sz w:val="20"/>
          <w:szCs w:val="20"/>
        </w:rPr>
        <w:t>AZAPO</w:t>
      </w:r>
      <w:r w:rsidRPr="00AC2564">
        <w:rPr>
          <w:rFonts w:ascii="Times New Roman" w:eastAsia="Times New Roman" w:hAnsi="Times New Roman" w:cs="Times New Roman"/>
          <w:color w:val="000000"/>
          <w:sz w:val="20"/>
          <w:szCs w:val="20"/>
        </w:rPr>
        <w:t>’</w:t>
      </w:r>
      <w:r w:rsidRPr="001C51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and those who argue that the amnesty was incompatible with international law </w:t>
      </w:r>
      <w:r>
        <w:rPr>
          <w:rFonts w:ascii="Times New Roman" w:hAnsi="Times New Roman" w:cs="Times New Roman"/>
          <w:sz w:val="20"/>
          <w:szCs w:val="20"/>
        </w:rPr>
        <w:t>(</w:t>
      </w:r>
      <w:r w:rsidRPr="001C513C">
        <w:rPr>
          <w:rFonts w:ascii="Times New Roman" w:hAnsi="Times New Roman" w:cs="Times New Roman"/>
          <w:sz w:val="20"/>
          <w:szCs w:val="20"/>
        </w:rPr>
        <w:t xml:space="preserve">Z. </w:t>
      </w:r>
      <w:proofErr w:type="spellStart"/>
      <w:r w:rsidRPr="001C513C">
        <w:rPr>
          <w:rFonts w:ascii="Times New Roman" w:hAnsi="Times New Roman" w:cs="Times New Roman"/>
          <w:sz w:val="20"/>
          <w:szCs w:val="20"/>
        </w:rPr>
        <w:t>Motala</w:t>
      </w:r>
      <w:proofErr w:type="spellEnd"/>
      <w:r w:rsidRPr="001C513C">
        <w:rPr>
          <w:rFonts w:ascii="Times New Roman" w:hAnsi="Times New Roman" w:cs="Times New Roman"/>
          <w:sz w:val="20"/>
          <w:szCs w:val="20"/>
        </w:rPr>
        <w:t xml:space="preserve">, ‘The Promotion of National Unity and Reconciliation Act, the Constitution and International Law’, 28 </w:t>
      </w:r>
      <w:r w:rsidRPr="001C513C">
        <w:rPr>
          <w:rFonts w:ascii="Times New Roman" w:hAnsi="Times New Roman" w:cs="Times New Roman"/>
          <w:i/>
          <w:iCs/>
          <w:sz w:val="20"/>
          <w:szCs w:val="20"/>
        </w:rPr>
        <w:t xml:space="preserve">International Law Journal of Southern Africa </w:t>
      </w:r>
      <w:r w:rsidRPr="001C513C">
        <w:rPr>
          <w:rFonts w:ascii="Times New Roman" w:hAnsi="Times New Roman" w:cs="Times New Roman"/>
          <w:iCs/>
          <w:sz w:val="20"/>
          <w:szCs w:val="20"/>
        </w:rPr>
        <w:t>(</w:t>
      </w:r>
      <w:r w:rsidRPr="001C513C">
        <w:rPr>
          <w:rFonts w:ascii="Times New Roman" w:hAnsi="Times New Roman" w:cs="Times New Roman"/>
          <w:sz w:val="20"/>
          <w:szCs w:val="20"/>
        </w:rPr>
        <w:t>1995</w:t>
      </w:r>
      <w:r w:rsidRPr="001C513C">
        <w:rPr>
          <w:rFonts w:ascii="Times New Roman" w:hAnsi="Times New Roman" w:cs="Times New Roman"/>
          <w:iCs/>
          <w:sz w:val="20"/>
          <w:szCs w:val="20"/>
        </w:rPr>
        <w:t>)</w:t>
      </w:r>
      <w:r w:rsidRPr="001C513C">
        <w:rPr>
          <w:rFonts w:ascii="Times New Roman" w:hAnsi="Times New Roman" w:cs="Times New Roman"/>
          <w:sz w:val="20"/>
          <w:szCs w:val="20"/>
        </w:rPr>
        <w:t xml:space="preserve"> 338, at 339-340)</w:t>
      </w:r>
      <w:r>
        <w:rPr>
          <w:rFonts w:ascii="Times New Roman" w:hAnsi="Times New Roman" w:cs="Times New Roman"/>
          <w:sz w:val="20"/>
          <w:szCs w:val="20"/>
        </w:rPr>
        <w:t xml:space="preserve">. Others have criticised </w:t>
      </w:r>
      <w:r w:rsidRPr="001C513C">
        <w:rPr>
          <w:rFonts w:ascii="Times New Roman" w:hAnsi="Times New Roman" w:cs="Times New Roman"/>
          <w:sz w:val="20"/>
          <w:szCs w:val="20"/>
        </w:rPr>
        <w:t xml:space="preserve">the fact that </w:t>
      </w:r>
      <w:r>
        <w:rPr>
          <w:rFonts w:ascii="Times New Roman" w:hAnsi="Times New Roman" w:cs="Times New Roman"/>
          <w:sz w:val="20"/>
          <w:szCs w:val="20"/>
        </w:rPr>
        <w:t>individuals</w:t>
      </w:r>
      <w:r w:rsidRPr="001C513C">
        <w:rPr>
          <w:rFonts w:ascii="Times New Roman" w:hAnsi="Times New Roman" w:cs="Times New Roman"/>
          <w:sz w:val="20"/>
          <w:szCs w:val="20"/>
        </w:rPr>
        <w:t xml:space="preserve"> who did not, or not successfully, apply for amnesty were not prosecuted either, or indeed, were subsequently granted pardons (see e.g. A. </w:t>
      </w:r>
      <w:proofErr w:type="spellStart"/>
      <w:r w:rsidRPr="001C513C">
        <w:rPr>
          <w:rFonts w:ascii="Times New Roman" w:hAnsi="Times New Roman" w:cs="Times New Roman"/>
          <w:sz w:val="20"/>
          <w:szCs w:val="20"/>
        </w:rPr>
        <w:t>Mudukuti</w:t>
      </w:r>
      <w:proofErr w:type="spellEnd"/>
      <w:r w:rsidRPr="001C513C">
        <w:rPr>
          <w:rFonts w:ascii="Times New Roman" w:hAnsi="Times New Roman" w:cs="Times New Roman"/>
          <w:sz w:val="20"/>
          <w:szCs w:val="20"/>
        </w:rPr>
        <w:t xml:space="preserve">, ‘Apartheid-era crimes still haunt us’, </w:t>
      </w:r>
      <w:r w:rsidRPr="001C513C">
        <w:rPr>
          <w:rFonts w:ascii="Times New Roman" w:hAnsi="Times New Roman" w:cs="Times New Roman"/>
          <w:i/>
          <w:sz w:val="20"/>
          <w:szCs w:val="20"/>
        </w:rPr>
        <w:t>The Star</w:t>
      </w:r>
      <w:r w:rsidRPr="001C513C">
        <w:rPr>
          <w:rFonts w:ascii="Times New Roman" w:hAnsi="Times New Roman" w:cs="Times New Roman"/>
          <w:sz w:val="20"/>
          <w:szCs w:val="20"/>
        </w:rPr>
        <w:t xml:space="preserve">, 13 August 2015, available online at https://www.iol.co.za/the-star/apartheid-era-crimes-still-haunt-us-1899266 (last visited </w:t>
      </w:r>
      <w:r>
        <w:rPr>
          <w:rFonts w:ascii="Times New Roman" w:hAnsi="Times New Roman" w:cs="Times New Roman"/>
          <w:sz w:val="20"/>
          <w:szCs w:val="20"/>
        </w:rPr>
        <w:t>23</w:t>
      </w:r>
      <w:r w:rsidRPr="001C513C">
        <w:rPr>
          <w:rFonts w:ascii="Times New Roman" w:hAnsi="Times New Roman" w:cs="Times New Roman"/>
          <w:sz w:val="20"/>
          <w:szCs w:val="20"/>
        </w:rPr>
        <w:t xml:space="preserve"> July 2018)</w:t>
      </w:r>
      <w:r>
        <w:rPr>
          <w:rFonts w:ascii="Times New Roman" w:hAnsi="Times New Roman" w:cs="Times New Roman"/>
          <w:sz w:val="20"/>
          <w:szCs w:val="20"/>
        </w:rPr>
        <w:t>)</w:t>
      </w:r>
      <w:r w:rsidRPr="001C513C">
        <w:rPr>
          <w:rFonts w:ascii="Times New Roman" w:hAnsi="Times New Roman" w:cs="Times New Roman"/>
          <w:sz w:val="20"/>
          <w:szCs w:val="20"/>
        </w:rPr>
        <w:t>. Others have argued that the amnesty arrangement has been hijacked: ‘</w:t>
      </w:r>
      <w:r>
        <w:rPr>
          <w:rFonts w:ascii="Times New Roman" w:hAnsi="Times New Roman" w:cs="Times New Roman"/>
          <w:color w:val="000000"/>
          <w:sz w:val="20"/>
          <w:szCs w:val="20"/>
        </w:rPr>
        <w:t>[t]</w:t>
      </w:r>
      <w:r w:rsidRPr="001C513C">
        <w:rPr>
          <w:rFonts w:ascii="Times New Roman" w:hAnsi="Times New Roman" w:cs="Times New Roman"/>
          <w:color w:val="000000"/>
          <w:sz w:val="20"/>
          <w:szCs w:val="20"/>
        </w:rPr>
        <w:t xml:space="preserve">he proponents of restorative justice have, it seems, been outmanoeuvred by those who see the value of amnesty/forgiveness for lubricating the apparatuses of political and state power.’ (H. van der Merwe and M. B. </w:t>
      </w:r>
      <w:proofErr w:type="spellStart"/>
      <w:r w:rsidRPr="001C513C">
        <w:rPr>
          <w:rFonts w:ascii="Times New Roman" w:hAnsi="Times New Roman" w:cs="Times New Roman"/>
          <w:color w:val="000000"/>
          <w:sz w:val="20"/>
          <w:szCs w:val="20"/>
        </w:rPr>
        <w:t>Lykes</w:t>
      </w:r>
      <w:proofErr w:type="spellEnd"/>
      <w:r w:rsidRPr="001C513C">
        <w:rPr>
          <w:rFonts w:ascii="Times New Roman" w:hAnsi="Times New Roman" w:cs="Times New Roman"/>
          <w:color w:val="000000"/>
          <w:sz w:val="20"/>
          <w:szCs w:val="20"/>
        </w:rPr>
        <w:t xml:space="preserve">, </w:t>
      </w:r>
      <w:r w:rsidRPr="001C513C">
        <w:rPr>
          <w:rFonts w:ascii="Times New Roman" w:hAnsi="Times New Roman" w:cs="Times New Roman"/>
          <w:sz w:val="20"/>
          <w:szCs w:val="20"/>
        </w:rPr>
        <w:t>‘Transitional Justice Processes as Teachable Moments</w:t>
      </w:r>
      <w:r>
        <w:rPr>
          <w:rFonts w:ascii="Times New Roman" w:hAnsi="Times New Roman" w:cs="Times New Roman"/>
          <w:sz w:val="20"/>
          <w:szCs w:val="20"/>
        </w:rPr>
        <w:t>’</w:t>
      </w:r>
      <w:r w:rsidRPr="001C513C">
        <w:rPr>
          <w:rFonts w:ascii="Times New Roman" w:hAnsi="Times New Roman" w:cs="Times New Roman"/>
          <w:sz w:val="20"/>
          <w:szCs w:val="20"/>
        </w:rPr>
        <w:t xml:space="preserve">, 10 </w:t>
      </w:r>
      <w:r w:rsidRPr="001C513C">
        <w:rPr>
          <w:rFonts w:ascii="Times New Roman" w:hAnsi="Times New Roman" w:cs="Times New Roman"/>
          <w:i/>
          <w:iCs/>
          <w:sz w:val="20"/>
          <w:szCs w:val="20"/>
        </w:rPr>
        <w:t xml:space="preserve">International Journal of Transitional Justice </w:t>
      </w:r>
      <w:r w:rsidRPr="001C513C">
        <w:rPr>
          <w:rFonts w:ascii="Times New Roman" w:hAnsi="Times New Roman" w:cs="Times New Roman"/>
          <w:iCs/>
          <w:sz w:val="20"/>
          <w:szCs w:val="20"/>
        </w:rPr>
        <w:t>(</w:t>
      </w:r>
      <w:r w:rsidRPr="001C513C">
        <w:rPr>
          <w:rFonts w:ascii="Times New Roman" w:hAnsi="Times New Roman" w:cs="Times New Roman"/>
          <w:i/>
          <w:iCs/>
          <w:sz w:val="20"/>
          <w:szCs w:val="20"/>
        </w:rPr>
        <w:t>IJTJ</w:t>
      </w:r>
      <w:r w:rsidRPr="001C513C">
        <w:rPr>
          <w:rFonts w:ascii="Times New Roman" w:hAnsi="Times New Roman" w:cs="Times New Roman"/>
          <w:iCs/>
          <w:sz w:val="20"/>
          <w:szCs w:val="20"/>
        </w:rPr>
        <w:t>)</w:t>
      </w:r>
      <w:r w:rsidRPr="001C513C">
        <w:rPr>
          <w:rFonts w:ascii="Times New Roman" w:hAnsi="Times New Roman" w:cs="Times New Roman"/>
          <w:sz w:val="20"/>
          <w:szCs w:val="20"/>
        </w:rPr>
        <w:t xml:space="preserve"> (2016) 361, at 363). </w:t>
      </w:r>
      <w:r>
        <w:rPr>
          <w:rFonts w:ascii="Times New Roman" w:hAnsi="Times New Roman" w:cs="Times New Roman"/>
          <w:sz w:val="20"/>
          <w:szCs w:val="20"/>
        </w:rPr>
        <w:t xml:space="preserve">Again others have criticised the process for imposing </w:t>
      </w:r>
      <w:r w:rsidRPr="00BF66B8">
        <w:rPr>
          <w:rFonts w:ascii="Times New Roman" w:hAnsi="Times New Roman" w:cs="Times New Roman"/>
          <w:sz w:val="20"/>
          <w:szCs w:val="20"/>
        </w:rPr>
        <w:t xml:space="preserve">reconciliation on victims (see R.A. Wilson, </w:t>
      </w:r>
      <w:r w:rsidRPr="00BF66B8">
        <w:rPr>
          <w:rFonts w:ascii="Times New Roman" w:hAnsi="Times New Roman" w:cs="Times New Roman"/>
          <w:i/>
          <w:sz w:val="20"/>
          <w:szCs w:val="20"/>
        </w:rPr>
        <w:t>The Politics of Truth and Reconciliation in South Africa: Legitimizing the Post-Apartheid State</w:t>
      </w:r>
      <w:r w:rsidRPr="00BF66B8">
        <w:rPr>
          <w:rFonts w:ascii="Times New Roman" w:hAnsi="Times New Roman" w:cs="Times New Roman"/>
          <w:sz w:val="20"/>
          <w:szCs w:val="20"/>
        </w:rPr>
        <w:t xml:space="preserve"> (Cambridge University Press, 2001)</w:t>
      </w:r>
      <w:r>
        <w:rPr>
          <w:rFonts w:ascii="Times New Roman" w:hAnsi="Times New Roman" w:cs="Times New Roman"/>
          <w:sz w:val="20"/>
          <w:szCs w:val="20"/>
        </w:rPr>
        <w:t>)</w:t>
      </w:r>
      <w:r w:rsidRPr="00BF66B8">
        <w:rPr>
          <w:rFonts w:ascii="Times New Roman" w:hAnsi="Times New Roman" w:cs="Times New Roman"/>
          <w:sz w:val="20"/>
          <w:szCs w:val="20"/>
        </w:rPr>
        <w:t xml:space="preserve">. </w:t>
      </w:r>
      <w:r>
        <w:rPr>
          <w:rFonts w:ascii="Times New Roman" w:hAnsi="Times New Roman" w:cs="Times New Roman"/>
          <w:sz w:val="20"/>
          <w:szCs w:val="20"/>
        </w:rPr>
        <w:t xml:space="preserve">But see, for the counterargument that this criticism fails to recognise the </w:t>
      </w:r>
      <w:proofErr w:type="spellStart"/>
      <w:r>
        <w:rPr>
          <w:rFonts w:ascii="Times New Roman" w:hAnsi="Times New Roman" w:cs="Times New Roman"/>
          <w:i/>
          <w:sz w:val="20"/>
          <w:szCs w:val="20"/>
        </w:rPr>
        <w:t>Weltanschauung</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within which reconciliation at that time in that place must be interpreted, A. </w:t>
      </w:r>
      <w:proofErr w:type="spellStart"/>
      <w:r>
        <w:rPr>
          <w:rFonts w:ascii="Times New Roman" w:hAnsi="Times New Roman" w:cs="Times New Roman"/>
          <w:sz w:val="20"/>
          <w:szCs w:val="20"/>
        </w:rPr>
        <w:t>Krog</w:t>
      </w:r>
      <w:proofErr w:type="spellEnd"/>
      <w:r>
        <w:rPr>
          <w:rFonts w:ascii="Times New Roman" w:hAnsi="Times New Roman" w:cs="Times New Roman"/>
          <w:sz w:val="20"/>
          <w:szCs w:val="20"/>
        </w:rPr>
        <w:t xml:space="preserve">, ‘Rethinking Reconciliation and Forgiveness at the South African Truth and Reconciliation Commission’, in Swart and Van </w:t>
      </w:r>
      <w:proofErr w:type="spellStart"/>
      <w:r>
        <w:rPr>
          <w:rFonts w:ascii="Times New Roman" w:hAnsi="Times New Roman" w:cs="Times New Roman"/>
          <w:sz w:val="20"/>
          <w:szCs w:val="20"/>
        </w:rPr>
        <w:t>Marle</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 xml:space="preserve">in this footnote, 11. </w:t>
      </w:r>
      <w:proofErr w:type="spellStart"/>
      <w:r>
        <w:rPr>
          <w:rFonts w:ascii="Times New Roman" w:hAnsi="Times New Roman" w:cs="Times New Roman"/>
          <w:sz w:val="20"/>
          <w:szCs w:val="20"/>
        </w:rPr>
        <w:t>Krog</w:t>
      </w:r>
      <w:proofErr w:type="spellEnd"/>
      <w:r>
        <w:rPr>
          <w:rFonts w:ascii="Times New Roman" w:hAnsi="Times New Roman" w:cs="Times New Roman"/>
          <w:sz w:val="20"/>
          <w:szCs w:val="20"/>
        </w:rPr>
        <w:t xml:space="preserve"> (at 13) also argues that black people’s disillusionment with the transition is due to white people not fulfilling their part of the deal: ‘Black people … opted for reconciliation, because they assumed white people would change and take up their responsibility to repair and restore what they had destroyed. After twenty years of democracy it has become clear that whites are </w:t>
      </w:r>
      <w:r>
        <w:rPr>
          <w:rFonts w:ascii="Times New Roman" w:hAnsi="Times New Roman" w:cs="Times New Roman"/>
          <w:i/>
          <w:sz w:val="20"/>
          <w:szCs w:val="20"/>
        </w:rPr>
        <w:t xml:space="preserve">not </w:t>
      </w:r>
      <w:r>
        <w:rPr>
          <w:rFonts w:ascii="Times New Roman" w:hAnsi="Times New Roman" w:cs="Times New Roman"/>
          <w:sz w:val="20"/>
          <w:szCs w:val="20"/>
        </w:rPr>
        <w:t xml:space="preserve">changing to that extent and this ignites the ire.’ </w:t>
      </w:r>
    </w:p>
  </w:footnote>
  <w:footnote w:id="14">
    <w:p w14:paraId="10EC82AA" w14:textId="77777777" w:rsidR="00F64BB3" w:rsidRPr="001C513C" w:rsidRDefault="00F64BB3">
      <w:pPr>
        <w:autoSpaceDE w:val="0"/>
        <w:autoSpaceDN w:val="0"/>
        <w:adjustRightInd w:val="0"/>
        <w:spacing w:after="0" w:line="240" w:lineRule="auto"/>
        <w:jc w:val="both"/>
        <w:rPr>
          <w:rFonts w:ascii="Times New Roman" w:hAnsi="Times New Roman" w:cs="Times New Roman"/>
          <w:sz w:val="20"/>
          <w:szCs w:val="20"/>
        </w:rPr>
      </w:pPr>
      <w:r w:rsidRPr="001C513C">
        <w:rPr>
          <w:rStyle w:val="FootnoteReference"/>
          <w:rFonts w:ascii="Times New Roman" w:hAnsi="Times New Roman" w:cs="Times New Roman"/>
          <w:sz w:val="20"/>
          <w:szCs w:val="20"/>
        </w:rPr>
        <w:footnoteRef/>
      </w:r>
      <w:r w:rsidRPr="001C513C">
        <w:rPr>
          <w:rFonts w:ascii="Times New Roman" w:hAnsi="Times New Roman" w:cs="Times New Roman"/>
          <w:sz w:val="20"/>
          <w:szCs w:val="20"/>
        </w:rPr>
        <w:t xml:space="preserve"> </w:t>
      </w:r>
      <w:r w:rsidRPr="001C513C">
        <w:rPr>
          <w:rFonts w:ascii="Times New Roman" w:hAnsi="Times New Roman" w:cs="Times New Roman"/>
          <w:iCs/>
          <w:sz w:val="20"/>
          <w:szCs w:val="20"/>
        </w:rPr>
        <w:t>See</w:t>
      </w:r>
      <w:r w:rsidRPr="001C513C">
        <w:rPr>
          <w:rFonts w:ascii="Times New Roman" w:hAnsi="Times New Roman" w:cs="Times New Roman"/>
          <w:i/>
          <w:iCs/>
          <w:sz w:val="20"/>
          <w:szCs w:val="20"/>
        </w:rPr>
        <w:t xml:space="preserve"> </w:t>
      </w:r>
      <w:r w:rsidRPr="001C513C">
        <w:rPr>
          <w:rFonts w:ascii="Times New Roman" w:hAnsi="Times New Roman" w:cs="Times New Roman"/>
          <w:iCs/>
          <w:sz w:val="20"/>
          <w:szCs w:val="20"/>
        </w:rPr>
        <w:t xml:space="preserve">H.L.A. </w:t>
      </w:r>
      <w:r w:rsidRPr="001C513C">
        <w:rPr>
          <w:rFonts w:ascii="Times New Roman" w:hAnsi="Times New Roman" w:cs="Times New Roman"/>
          <w:sz w:val="20"/>
          <w:szCs w:val="20"/>
        </w:rPr>
        <w:t>Hart, ‘</w:t>
      </w:r>
      <w:r w:rsidRPr="001C513C">
        <w:rPr>
          <w:rFonts w:ascii="Times New Roman" w:hAnsi="Times New Roman" w:cs="Times New Roman"/>
          <w:iCs/>
          <w:sz w:val="20"/>
          <w:szCs w:val="20"/>
        </w:rPr>
        <w:t xml:space="preserve">Positivism and </w:t>
      </w:r>
      <w:r w:rsidRPr="001C513C">
        <w:rPr>
          <w:rFonts w:ascii="Times New Roman" w:hAnsi="Times New Roman" w:cs="Times New Roman"/>
          <w:bCs/>
          <w:iCs/>
          <w:sz w:val="20"/>
          <w:szCs w:val="20"/>
        </w:rPr>
        <w:t xml:space="preserve">the </w:t>
      </w:r>
      <w:r w:rsidRPr="001C513C">
        <w:rPr>
          <w:rFonts w:ascii="Times New Roman" w:hAnsi="Times New Roman" w:cs="Times New Roman"/>
          <w:iCs/>
          <w:sz w:val="20"/>
          <w:szCs w:val="20"/>
        </w:rPr>
        <w:t>Separation of Law and Morals’,</w:t>
      </w:r>
      <w:r w:rsidRPr="001C513C">
        <w:rPr>
          <w:rFonts w:ascii="Times New Roman" w:hAnsi="Times New Roman" w:cs="Times New Roman"/>
          <w:i/>
          <w:iCs/>
          <w:sz w:val="20"/>
          <w:szCs w:val="20"/>
        </w:rPr>
        <w:t xml:space="preserve"> </w:t>
      </w:r>
      <w:r w:rsidRPr="001C513C">
        <w:rPr>
          <w:rFonts w:ascii="Times New Roman" w:hAnsi="Times New Roman" w:cs="Times New Roman"/>
          <w:sz w:val="20"/>
          <w:szCs w:val="20"/>
        </w:rPr>
        <w:t xml:space="preserve">71 </w:t>
      </w:r>
      <w:r w:rsidRPr="001C513C">
        <w:rPr>
          <w:rFonts w:ascii="Times New Roman" w:hAnsi="Times New Roman" w:cs="Times New Roman"/>
          <w:bCs/>
          <w:i/>
          <w:sz w:val="20"/>
          <w:szCs w:val="20"/>
        </w:rPr>
        <w:t>Harvard Law Review</w:t>
      </w:r>
      <w:r w:rsidRPr="001C513C">
        <w:rPr>
          <w:rFonts w:ascii="Times New Roman" w:hAnsi="Times New Roman" w:cs="Times New Roman"/>
          <w:sz w:val="20"/>
          <w:szCs w:val="20"/>
        </w:rPr>
        <w:t xml:space="preserve"> (1958) 593; and L.L. Fuller, ‘</w:t>
      </w:r>
      <w:r w:rsidRPr="001C513C">
        <w:rPr>
          <w:rFonts w:ascii="Times New Roman" w:hAnsi="Times New Roman" w:cs="Times New Roman"/>
          <w:iCs/>
          <w:sz w:val="20"/>
          <w:szCs w:val="20"/>
        </w:rPr>
        <w:t>Positivism and Fidelity to Law―a Reply to Professor Hart’</w:t>
      </w:r>
      <w:r w:rsidRPr="001C513C">
        <w:rPr>
          <w:rFonts w:ascii="Times New Roman" w:hAnsi="Times New Roman" w:cs="Times New Roman"/>
          <w:i/>
          <w:iCs/>
          <w:sz w:val="20"/>
          <w:szCs w:val="20"/>
        </w:rPr>
        <w:t xml:space="preserve">, </w:t>
      </w:r>
      <w:r w:rsidRPr="001C513C">
        <w:rPr>
          <w:rFonts w:ascii="Times New Roman" w:hAnsi="Times New Roman" w:cs="Times New Roman"/>
          <w:sz w:val="20"/>
          <w:szCs w:val="20"/>
        </w:rPr>
        <w:t xml:space="preserve">71 </w:t>
      </w:r>
      <w:r w:rsidRPr="001C513C">
        <w:rPr>
          <w:rFonts w:ascii="Times New Roman" w:hAnsi="Times New Roman" w:cs="Times New Roman"/>
          <w:bCs/>
          <w:i/>
          <w:sz w:val="20"/>
          <w:szCs w:val="20"/>
        </w:rPr>
        <w:t>Harvard Law Review</w:t>
      </w:r>
      <w:r w:rsidRPr="001C513C">
        <w:rPr>
          <w:rFonts w:ascii="Times New Roman" w:hAnsi="Times New Roman" w:cs="Times New Roman"/>
          <w:sz w:val="20"/>
          <w:szCs w:val="20"/>
        </w:rPr>
        <w:t xml:space="preserve"> (1958) 630. </w:t>
      </w:r>
    </w:p>
  </w:footnote>
  <w:footnote w:id="15">
    <w:p w14:paraId="5C5D7BD6"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L.L. Fuller, </w:t>
      </w:r>
      <w:r w:rsidRPr="001C513C">
        <w:rPr>
          <w:rFonts w:ascii="Times New Roman" w:hAnsi="Times New Roman" w:cs="Times New Roman"/>
          <w:i/>
        </w:rPr>
        <w:t>The Morality of Law</w:t>
      </w:r>
      <w:r w:rsidRPr="001C513C">
        <w:rPr>
          <w:rFonts w:ascii="Times New Roman" w:hAnsi="Times New Roman" w:cs="Times New Roman"/>
        </w:rPr>
        <w:t xml:space="preserve"> (Yale University Press, 1963), at 159-160.</w:t>
      </w:r>
    </w:p>
  </w:footnote>
  <w:footnote w:id="16">
    <w:p w14:paraId="0964B6E8" w14:textId="77777777" w:rsidR="00F64BB3" w:rsidRPr="00E82C63" w:rsidRDefault="00F64BB3" w:rsidP="004C244E">
      <w:pPr>
        <w:pStyle w:val="FootnoteText"/>
        <w:rPr>
          <w:rFonts w:ascii="Times New Roman" w:hAnsi="Times New Roman" w:cs="Times New Roman"/>
        </w:rPr>
      </w:pPr>
      <w:r w:rsidRPr="00E82C63">
        <w:rPr>
          <w:rStyle w:val="FootnoteReference"/>
          <w:rFonts w:ascii="Times New Roman" w:hAnsi="Times New Roman" w:cs="Times New Roman"/>
        </w:rPr>
        <w:footnoteRef/>
      </w:r>
      <w:r w:rsidRPr="00E82C63">
        <w:rPr>
          <w:rFonts w:ascii="Times New Roman" w:hAnsi="Times New Roman" w:cs="Times New Roman"/>
        </w:rPr>
        <w:t xml:space="preserve"> See SC Res. 554, 17 August 1984, § 2.</w:t>
      </w:r>
    </w:p>
  </w:footnote>
  <w:footnote w:id="17">
    <w:p w14:paraId="77C9A6EA" w14:textId="77777777" w:rsidR="00F64BB3" w:rsidRPr="00FD37D1" w:rsidRDefault="00F64BB3">
      <w:pPr>
        <w:spacing w:after="0" w:line="240" w:lineRule="auto"/>
        <w:jc w:val="both"/>
        <w:rPr>
          <w:rFonts w:ascii="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hAnsi="Times New Roman" w:cs="Times New Roman"/>
          <w:sz w:val="20"/>
          <w:szCs w:val="20"/>
        </w:rPr>
        <w:t xml:space="preserve"> </w:t>
      </w:r>
      <w:r w:rsidRPr="001C513C">
        <w:rPr>
          <w:rFonts w:ascii="Times New Roman" w:eastAsia="Times New Roman" w:hAnsi="Times New Roman" w:cs="Times New Roman"/>
          <w:sz w:val="20"/>
          <w:szCs w:val="20"/>
        </w:rPr>
        <w:t>Promotion of National Unity and Reconciliation Act, Act 34 of 1995, s</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1(1). The TRC encouraged F.W. De Klerk to apply for an amnesty, but he relied exactly on the position that what he had done had not been criminal: ‘[A]</w:t>
      </w:r>
      <w:proofErr w:type="spellStart"/>
      <w:r w:rsidRPr="001C513C">
        <w:rPr>
          <w:rFonts w:ascii="Times New Roman" w:eastAsia="Times New Roman" w:hAnsi="Times New Roman" w:cs="Times New Roman"/>
          <w:sz w:val="20"/>
          <w:szCs w:val="20"/>
        </w:rPr>
        <w:t>mnesty</w:t>
      </w:r>
      <w:proofErr w:type="spellEnd"/>
      <w:r w:rsidRPr="001C513C">
        <w:rPr>
          <w:rFonts w:ascii="Times New Roman" w:eastAsia="Times New Roman" w:hAnsi="Times New Roman" w:cs="Times New Roman"/>
          <w:sz w:val="20"/>
          <w:szCs w:val="20"/>
        </w:rPr>
        <w:t xml:space="preserve"> is there to get a pardon for a crime of which you believe you could be found guilty in court. … Amnesty is not there, that is, [it is] not the correct channel in which to express your sorrow, your acceptance of responsibility, your repentance for things which are not crimes.’ Discussed and cited in A. </w:t>
      </w:r>
      <w:proofErr w:type="spellStart"/>
      <w:r w:rsidRPr="001C513C">
        <w:rPr>
          <w:rFonts w:ascii="Times New Roman" w:eastAsia="Times New Roman" w:hAnsi="Times New Roman" w:cs="Times New Roman"/>
          <w:sz w:val="20"/>
          <w:szCs w:val="20"/>
        </w:rPr>
        <w:t>Boraine</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A Country Unmasked</w:t>
      </w:r>
      <w:r w:rsidRPr="001C513C">
        <w:rPr>
          <w:rFonts w:ascii="Times New Roman" w:eastAsia="Times New Roman" w:hAnsi="Times New Roman" w:cs="Times New Roman"/>
          <w:sz w:val="20"/>
          <w:szCs w:val="20"/>
        </w:rPr>
        <w:t xml:space="preserve"> (Oxford University Press, 2000) at 159.</w:t>
      </w:r>
    </w:p>
  </w:footnote>
  <w:footnote w:id="18">
    <w:p w14:paraId="0E154789" w14:textId="387E43FB" w:rsidR="00F64BB3" w:rsidRDefault="00F64BB3">
      <w:pPr>
        <w:pStyle w:val="FootnoteText"/>
        <w:rPr>
          <w:rFonts w:ascii="Times New Roman" w:hAnsi="Times New Roman" w:cs="Times New Roman"/>
        </w:rPr>
      </w:pPr>
      <w:r w:rsidRPr="00AC2564">
        <w:rPr>
          <w:rStyle w:val="FootnoteReference"/>
          <w:rFonts w:ascii="Times New Roman" w:hAnsi="Times New Roman" w:cs="Times New Roman"/>
        </w:rPr>
        <w:footnoteRef/>
      </w:r>
      <w:r w:rsidRPr="00AC2564">
        <w:rPr>
          <w:rFonts w:ascii="Times New Roman" w:hAnsi="Times New Roman" w:cs="Times New Roman"/>
        </w:rPr>
        <w:t xml:space="preserve"> </w:t>
      </w:r>
      <w:r>
        <w:rPr>
          <w:rFonts w:ascii="Times New Roman" w:hAnsi="Times New Roman" w:cs="Times New Roman"/>
        </w:rPr>
        <w:t xml:space="preserve">For an example of the disillusioning consequences in practice, see the observation of </w:t>
      </w:r>
      <w:proofErr w:type="spellStart"/>
      <w:r>
        <w:rPr>
          <w:rFonts w:ascii="Times New Roman" w:hAnsi="Times New Roman" w:cs="Times New Roman"/>
        </w:rPr>
        <w:t>Mahlubi</w:t>
      </w:r>
      <w:proofErr w:type="spellEnd"/>
      <w:r>
        <w:rPr>
          <w:rFonts w:ascii="Times New Roman" w:hAnsi="Times New Roman" w:cs="Times New Roman"/>
        </w:rPr>
        <w:t xml:space="preserve"> </w:t>
      </w:r>
      <w:proofErr w:type="spellStart"/>
      <w:r>
        <w:rPr>
          <w:rFonts w:ascii="Times New Roman" w:hAnsi="Times New Roman" w:cs="Times New Roman"/>
        </w:rPr>
        <w:t>Mabizela</w:t>
      </w:r>
      <w:proofErr w:type="spellEnd"/>
      <w:r>
        <w:rPr>
          <w:rFonts w:ascii="Times New Roman" w:hAnsi="Times New Roman" w:cs="Times New Roman"/>
        </w:rPr>
        <w:t xml:space="preserve">, a member of the TRC’s research department: ‘Farm labourers saw the TRC’s coming as a sort of Messiah. But the policy decision was that their suffering was not covered by the Act, it was not a gross violation. The statement takers were the ones who had to say, sorry, we are not talking to you.’ (quoted in Bundy, </w:t>
      </w:r>
      <w:r>
        <w:rPr>
          <w:rFonts w:ascii="Times New Roman" w:hAnsi="Times New Roman" w:cs="Times New Roman"/>
          <w:i/>
        </w:rPr>
        <w:t xml:space="preserve">supra </w:t>
      </w:r>
      <w:r>
        <w:rPr>
          <w:rFonts w:ascii="Times New Roman" w:hAnsi="Times New Roman" w:cs="Times New Roman"/>
        </w:rPr>
        <w:t xml:space="preserve">note 12, at 19). </w:t>
      </w:r>
    </w:p>
    <w:p w14:paraId="6166153B" w14:textId="25CC09DF" w:rsidR="00F64BB3" w:rsidRPr="00AC2564" w:rsidRDefault="00F64BB3">
      <w:pPr>
        <w:pStyle w:val="FootnoteText"/>
        <w:rPr>
          <w:u w:val="single"/>
        </w:rPr>
      </w:pPr>
      <w:r w:rsidRPr="00AC2564">
        <w:rPr>
          <w:rFonts w:ascii="Times New Roman" w:hAnsi="Times New Roman" w:cs="Times New Roman"/>
        </w:rPr>
        <w:t>Criticising the TRC</w:t>
      </w:r>
      <w:r w:rsidRPr="0060131D">
        <w:rPr>
          <w:rFonts w:ascii="Times New Roman" w:hAnsi="Times New Roman" w:cs="Times New Roman"/>
        </w:rPr>
        <w:t xml:space="preserve"> for </w:t>
      </w:r>
      <w:r>
        <w:rPr>
          <w:rFonts w:ascii="Times New Roman" w:hAnsi="Times New Roman" w:cs="Times New Roman"/>
        </w:rPr>
        <w:t>staying within the boundaries set by the TRC Act and based upon respecting the legality of the previous legal order</w:t>
      </w:r>
      <w:r w:rsidRPr="00AC2564">
        <w:rPr>
          <w:rFonts w:ascii="Times New Roman" w:hAnsi="Times New Roman" w:cs="Times New Roman"/>
        </w:rPr>
        <w:t xml:space="preserve">, Mahmood </w:t>
      </w:r>
      <w:proofErr w:type="spellStart"/>
      <w:r w:rsidRPr="00AC2564">
        <w:rPr>
          <w:rFonts w:ascii="Times New Roman" w:hAnsi="Times New Roman" w:cs="Times New Roman"/>
        </w:rPr>
        <w:t>Mamdani</w:t>
      </w:r>
      <w:proofErr w:type="spellEnd"/>
      <w:r w:rsidRPr="00AC2564">
        <w:rPr>
          <w:rFonts w:ascii="Times New Roman" w:hAnsi="Times New Roman" w:cs="Times New Roman"/>
        </w:rPr>
        <w:t xml:space="preserve"> </w:t>
      </w:r>
      <w:r>
        <w:rPr>
          <w:rFonts w:ascii="Times New Roman" w:hAnsi="Times New Roman" w:cs="Times New Roman"/>
        </w:rPr>
        <w:t xml:space="preserve">has </w:t>
      </w:r>
      <w:r w:rsidRPr="00AC2564">
        <w:rPr>
          <w:rFonts w:ascii="Times New Roman" w:hAnsi="Times New Roman" w:cs="Times New Roman"/>
        </w:rPr>
        <w:t xml:space="preserve">invoked a question posed by Hannah Arendt with respect to the Holocaust: ‘What happens when crime is legal, when criminals can enthusiastically enforce the law? Perhaps the greatest moral compromise the TRC made was to embrace the legal fetishism of apartheid. In doing so, it made little distinction between what is legal and what is legitimate, between law and right.’ M. </w:t>
      </w:r>
      <w:proofErr w:type="spellStart"/>
      <w:r w:rsidRPr="00AC2564">
        <w:rPr>
          <w:rFonts w:ascii="Times New Roman" w:hAnsi="Times New Roman" w:cs="Times New Roman"/>
        </w:rPr>
        <w:t>Mamdani</w:t>
      </w:r>
      <w:proofErr w:type="spellEnd"/>
      <w:r w:rsidRPr="00AC2564">
        <w:rPr>
          <w:rFonts w:ascii="Times New Roman" w:hAnsi="Times New Roman" w:cs="Times New Roman"/>
        </w:rPr>
        <w:t xml:space="preserve">, ‘A Diminished Truth’, in James and Van de </w:t>
      </w:r>
      <w:proofErr w:type="spellStart"/>
      <w:r w:rsidRPr="00AC2564">
        <w:rPr>
          <w:rFonts w:ascii="Times New Roman" w:hAnsi="Times New Roman" w:cs="Times New Roman"/>
        </w:rPr>
        <w:t>Vijver</w:t>
      </w:r>
      <w:proofErr w:type="spellEnd"/>
      <w:r w:rsidRPr="00AC2564">
        <w:rPr>
          <w:rFonts w:ascii="Times New Roman" w:hAnsi="Times New Roman" w:cs="Times New Roman"/>
        </w:rPr>
        <w:t xml:space="preserve"> (</w:t>
      </w:r>
      <w:proofErr w:type="spellStart"/>
      <w:r w:rsidRPr="00AC2564">
        <w:rPr>
          <w:rFonts w:ascii="Times New Roman" w:hAnsi="Times New Roman" w:cs="Times New Roman"/>
        </w:rPr>
        <w:t>eds</w:t>
      </w:r>
      <w:proofErr w:type="spellEnd"/>
      <w:r w:rsidRPr="00AC2564">
        <w:rPr>
          <w:rFonts w:ascii="Times New Roman" w:hAnsi="Times New Roman" w:cs="Times New Roman"/>
        </w:rPr>
        <w:t xml:space="preserve">), </w:t>
      </w:r>
      <w:r w:rsidRPr="00805456">
        <w:rPr>
          <w:rFonts w:ascii="Times New Roman" w:hAnsi="Times New Roman" w:cs="Times New Roman"/>
          <w:i/>
        </w:rPr>
        <w:t>supra</w:t>
      </w:r>
      <w:r w:rsidRPr="00805456">
        <w:rPr>
          <w:rFonts w:ascii="Times New Roman" w:hAnsi="Times New Roman" w:cs="Times New Roman"/>
        </w:rPr>
        <w:t xml:space="preserve"> note 12, 58 at 60.</w:t>
      </w:r>
      <w:r w:rsidRPr="00AC2564">
        <w:rPr>
          <w:rFonts w:ascii="Times New Roman" w:hAnsi="Times New Roman" w:cs="Times New Roman"/>
          <w:u w:val="single"/>
        </w:rPr>
        <w:t xml:space="preserve"> </w:t>
      </w:r>
    </w:p>
  </w:footnote>
  <w:footnote w:id="19">
    <w:p w14:paraId="244956B2"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‘Memorandum of Law in Support of Concluding that Apartheid is a Crime against Humanity under International Law’, reproduced in R. </w:t>
      </w:r>
      <w:proofErr w:type="spellStart"/>
      <w:r w:rsidRPr="001C513C">
        <w:rPr>
          <w:rFonts w:ascii="Times New Roman" w:hAnsi="Times New Roman" w:cs="Times New Roman"/>
        </w:rPr>
        <w:t>Slye</w:t>
      </w:r>
      <w:proofErr w:type="spellEnd"/>
      <w:r w:rsidRPr="001C513C">
        <w:rPr>
          <w:rFonts w:ascii="Times New Roman" w:hAnsi="Times New Roman" w:cs="Times New Roman"/>
        </w:rPr>
        <w:t xml:space="preserve">, ‘Apartheid as a Crime Against Humanity: A Submission to the South African Truth and Reconciliation Commission’, 20 </w:t>
      </w:r>
      <w:r w:rsidRPr="001C513C">
        <w:rPr>
          <w:rFonts w:ascii="Times New Roman" w:hAnsi="Times New Roman" w:cs="Times New Roman"/>
          <w:i/>
        </w:rPr>
        <w:t xml:space="preserve">Michigan Journal of International Law </w:t>
      </w:r>
      <w:r w:rsidRPr="001C513C">
        <w:rPr>
          <w:rFonts w:ascii="Times New Roman" w:hAnsi="Times New Roman" w:cs="Times New Roman"/>
        </w:rPr>
        <w:t xml:space="preserve">(1999) 267. </w:t>
      </w:r>
      <w:proofErr w:type="spellStart"/>
      <w:r w:rsidRPr="001C513C">
        <w:rPr>
          <w:rFonts w:ascii="Times New Roman" w:hAnsi="Times New Roman" w:cs="Times New Roman"/>
          <w:i/>
        </w:rPr>
        <w:t>Cf</w:t>
      </w:r>
      <w:proofErr w:type="spellEnd"/>
      <w:r w:rsidRPr="001C513C">
        <w:rPr>
          <w:rFonts w:ascii="Times New Roman" w:hAnsi="Times New Roman" w:cs="Times New Roman"/>
          <w:i/>
        </w:rPr>
        <w:t xml:space="preserve"> contra</w:t>
      </w:r>
      <w:r w:rsidRPr="001C513C">
        <w:rPr>
          <w:rFonts w:ascii="Times New Roman" w:hAnsi="Times New Roman" w:cs="Times New Roman"/>
        </w:rPr>
        <w:t xml:space="preserve"> P. Eden, </w:t>
      </w:r>
      <w:r>
        <w:rPr>
          <w:rFonts w:ascii="Times New Roman" w:hAnsi="Times New Roman" w:cs="Times New Roman"/>
        </w:rPr>
        <w:t>‘</w:t>
      </w:r>
      <w:r w:rsidRPr="001C513C">
        <w:rPr>
          <w:rFonts w:ascii="Times New Roman" w:hAnsi="Times New Roman" w:cs="Times New Roman"/>
        </w:rPr>
        <w:t>The Role of the Rome Statute in the Criminalization of Apartheid</w:t>
      </w:r>
      <w:r>
        <w:rPr>
          <w:rFonts w:ascii="Times New Roman" w:hAnsi="Times New Roman" w:cs="Times New Roman"/>
        </w:rPr>
        <w:t>’</w:t>
      </w:r>
      <w:r w:rsidRPr="001C513C">
        <w:rPr>
          <w:rFonts w:ascii="Times New Roman" w:hAnsi="Times New Roman" w:cs="Times New Roman"/>
        </w:rPr>
        <w:t xml:space="preserve">, 12 </w:t>
      </w:r>
      <w:r w:rsidRPr="002834C9">
        <w:rPr>
          <w:rFonts w:ascii="Times New Roman" w:hAnsi="Times New Roman" w:cs="Times New Roman"/>
          <w:i/>
        </w:rPr>
        <w:t>Journal of International Criminal Justic</w:t>
      </w:r>
      <w:r>
        <w:rPr>
          <w:rFonts w:ascii="Times New Roman" w:hAnsi="Times New Roman" w:cs="Times New Roman"/>
        </w:rPr>
        <w:t>e (</w:t>
      </w:r>
      <w:r w:rsidRPr="001C513C">
        <w:rPr>
          <w:rFonts w:ascii="Times New Roman" w:hAnsi="Times New Roman" w:cs="Times New Roman"/>
          <w:i/>
        </w:rPr>
        <w:t>JICJ</w:t>
      </w:r>
      <w:r>
        <w:rPr>
          <w:rFonts w:ascii="Times New Roman" w:hAnsi="Times New Roman" w:cs="Times New Roman"/>
          <w:i/>
        </w:rPr>
        <w:t>)</w:t>
      </w:r>
      <w:r w:rsidRPr="001C513C">
        <w:rPr>
          <w:rFonts w:ascii="Times New Roman" w:hAnsi="Times New Roman" w:cs="Times New Roman"/>
          <w:i/>
        </w:rPr>
        <w:t xml:space="preserve"> </w:t>
      </w:r>
      <w:r w:rsidRPr="001C513C">
        <w:rPr>
          <w:rFonts w:ascii="Times New Roman" w:hAnsi="Times New Roman" w:cs="Times New Roman"/>
        </w:rPr>
        <w:t xml:space="preserve">(2014) 171. </w:t>
      </w:r>
      <w:r w:rsidRPr="001C513C">
        <w:rPr>
          <w:rFonts w:ascii="Times New Roman" w:hAnsi="Times New Roman" w:cs="Times New Roman"/>
          <w:i/>
        </w:rPr>
        <w:t xml:space="preserve"> </w:t>
      </w:r>
      <w:r w:rsidRPr="001C513C">
        <w:rPr>
          <w:rFonts w:ascii="Times New Roman" w:hAnsi="Times New Roman" w:cs="Times New Roman"/>
        </w:rPr>
        <w:t xml:space="preserve"> </w:t>
      </w:r>
    </w:p>
  </w:footnote>
  <w:footnote w:id="20">
    <w:p w14:paraId="2C8FB179"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On which, see A. du Bois-</w:t>
      </w:r>
      <w:proofErr w:type="spellStart"/>
      <w:r w:rsidRPr="001C513C">
        <w:rPr>
          <w:rFonts w:ascii="Times New Roman" w:eastAsia="Times New Roman" w:hAnsi="Times New Roman" w:cs="Times New Roman"/>
          <w:sz w:val="20"/>
          <w:szCs w:val="20"/>
        </w:rPr>
        <w:t>Pedain</w:t>
      </w:r>
      <w:proofErr w:type="spellEnd"/>
      <w:r w:rsidRPr="001C513C">
        <w:rPr>
          <w:rFonts w:ascii="Times New Roman" w:eastAsia="Times New Roman" w:hAnsi="Times New Roman" w:cs="Times New Roman"/>
          <w:sz w:val="20"/>
          <w:szCs w:val="20"/>
        </w:rPr>
        <w:t xml:space="preserve">, ‘Accountability through Conditional Amnesty: The Case of South Africa’, in F. </w:t>
      </w:r>
      <w:proofErr w:type="spellStart"/>
      <w:r w:rsidRPr="001C513C">
        <w:rPr>
          <w:rFonts w:ascii="Times New Roman" w:eastAsia="Times New Roman" w:hAnsi="Times New Roman" w:cs="Times New Roman"/>
          <w:sz w:val="20"/>
          <w:szCs w:val="20"/>
        </w:rPr>
        <w:t>Lessa</w:t>
      </w:r>
      <w:proofErr w:type="spellEnd"/>
      <w:r w:rsidRPr="001C513C">
        <w:rPr>
          <w:rFonts w:ascii="Times New Roman" w:eastAsia="Times New Roman" w:hAnsi="Times New Roman" w:cs="Times New Roman"/>
          <w:sz w:val="20"/>
          <w:szCs w:val="20"/>
        </w:rPr>
        <w:t xml:space="preserve"> and L. A. Payne (</w:t>
      </w:r>
      <w:proofErr w:type="spellStart"/>
      <w:r w:rsidRPr="001C513C">
        <w:rPr>
          <w:rFonts w:ascii="Times New Roman" w:eastAsia="Times New Roman" w:hAnsi="Times New Roman" w:cs="Times New Roman"/>
          <w:sz w:val="20"/>
          <w:szCs w:val="20"/>
        </w:rPr>
        <w:t>eds</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Amnesty in the Age of Human Rights Accountability: Comparative and International Perspectives</w:t>
      </w:r>
      <w:r w:rsidRPr="001C513C">
        <w:rPr>
          <w:rFonts w:ascii="Times New Roman" w:eastAsia="Times New Roman" w:hAnsi="Times New Roman" w:cs="Times New Roman"/>
          <w:sz w:val="20"/>
          <w:szCs w:val="20"/>
        </w:rPr>
        <w:t xml:space="preserve"> (Cambridge University Press, 2012) 238, at 244-245.  </w:t>
      </w:r>
    </w:p>
  </w:footnote>
  <w:footnote w:id="21">
    <w:p w14:paraId="1F983B63"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See O. </w:t>
      </w:r>
      <w:proofErr w:type="spellStart"/>
      <w:r w:rsidRPr="001C513C">
        <w:rPr>
          <w:rFonts w:ascii="Times New Roman" w:eastAsia="Times New Roman" w:hAnsi="Times New Roman" w:cs="Times New Roman"/>
          <w:sz w:val="20"/>
          <w:szCs w:val="20"/>
        </w:rPr>
        <w:t>Bubenzer</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Post-TRC Prosecutions in South Africa: Accountability for Political Crimes after the Truth and Reconciliation Commission’s Amnesty Process</w:t>
      </w:r>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Martinus</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Nijhoff</w:t>
      </w:r>
      <w:proofErr w:type="spellEnd"/>
      <w:r w:rsidRPr="001C513C">
        <w:rPr>
          <w:rFonts w:ascii="Times New Roman" w:eastAsia="Times New Roman" w:hAnsi="Times New Roman" w:cs="Times New Roman"/>
          <w:sz w:val="20"/>
          <w:szCs w:val="20"/>
        </w:rPr>
        <w:t xml:space="preserve"> Publishers, 2009); A. du Bois-</w:t>
      </w:r>
      <w:proofErr w:type="spellStart"/>
      <w:r w:rsidRPr="001C513C">
        <w:rPr>
          <w:rFonts w:ascii="Times New Roman" w:eastAsia="Times New Roman" w:hAnsi="Times New Roman" w:cs="Times New Roman"/>
          <w:sz w:val="20"/>
          <w:szCs w:val="20"/>
        </w:rPr>
        <w:t>Pedain</w:t>
      </w:r>
      <w:proofErr w:type="spellEnd"/>
      <w:r w:rsidRPr="001C513C">
        <w:rPr>
          <w:rFonts w:ascii="Times New Roman" w:eastAsia="Times New Roman" w:hAnsi="Times New Roman" w:cs="Times New Roman"/>
          <w:sz w:val="20"/>
          <w:szCs w:val="20"/>
        </w:rPr>
        <w:t>, ‘Post-Conflict Accountability and the Demands of Justice: Can Conditional Amnesties Take the Place of Criminal Prosecutions?’ in N. Palmer, P. Clark and D. Granville (</w:t>
      </w:r>
      <w:proofErr w:type="spellStart"/>
      <w:r w:rsidRPr="001C513C">
        <w:rPr>
          <w:rFonts w:ascii="Times New Roman" w:eastAsia="Times New Roman" w:hAnsi="Times New Roman" w:cs="Times New Roman"/>
          <w:sz w:val="20"/>
          <w:szCs w:val="20"/>
        </w:rPr>
        <w:t>eds</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Critical Perspectives in Transitional Justice</w:t>
      </w:r>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Intersentia</w:t>
      </w:r>
      <w:proofErr w:type="spellEnd"/>
      <w:r w:rsidRPr="001C513C">
        <w:rPr>
          <w:rFonts w:ascii="Times New Roman" w:eastAsia="Times New Roman" w:hAnsi="Times New Roman" w:cs="Times New Roman"/>
          <w:sz w:val="20"/>
          <w:szCs w:val="20"/>
        </w:rPr>
        <w:t>, 2012) 459. A former National Director of Public Prosecutions has testified how the ANC government intervened to discourage criminal proceedings in apartheid-era cases (</w:t>
      </w:r>
      <w:r w:rsidRPr="001C513C">
        <w:rPr>
          <w:rFonts w:ascii="Times New Roman" w:hAnsi="Times New Roman" w:cs="Times New Roman"/>
          <w:sz w:val="20"/>
          <w:szCs w:val="20"/>
        </w:rPr>
        <w:t xml:space="preserve">Sworn affidavit </w:t>
      </w:r>
      <w:proofErr w:type="spellStart"/>
      <w:r w:rsidRPr="001C513C">
        <w:rPr>
          <w:rFonts w:ascii="Times New Roman" w:hAnsi="Times New Roman" w:cs="Times New Roman"/>
          <w:sz w:val="20"/>
          <w:szCs w:val="20"/>
        </w:rPr>
        <w:t>Vusi</w:t>
      </w:r>
      <w:proofErr w:type="spellEnd"/>
      <w:r w:rsidRPr="001C513C">
        <w:rPr>
          <w:rFonts w:ascii="Times New Roman" w:hAnsi="Times New Roman" w:cs="Times New Roman"/>
          <w:sz w:val="20"/>
          <w:szCs w:val="20"/>
        </w:rPr>
        <w:t xml:space="preserve"> </w:t>
      </w:r>
      <w:proofErr w:type="spellStart"/>
      <w:r w:rsidRPr="001C513C">
        <w:rPr>
          <w:rFonts w:ascii="Times New Roman" w:hAnsi="Times New Roman" w:cs="Times New Roman"/>
          <w:sz w:val="20"/>
          <w:szCs w:val="20"/>
        </w:rPr>
        <w:t>Pikoli</w:t>
      </w:r>
      <w:proofErr w:type="spellEnd"/>
      <w:r w:rsidRPr="001C513C">
        <w:rPr>
          <w:rFonts w:ascii="Times New Roman" w:hAnsi="Times New Roman" w:cs="Times New Roman"/>
          <w:sz w:val="20"/>
          <w:szCs w:val="20"/>
        </w:rPr>
        <w:t xml:space="preserve"> in the case of </w:t>
      </w:r>
      <w:proofErr w:type="spellStart"/>
      <w:r w:rsidRPr="001C513C">
        <w:rPr>
          <w:rFonts w:ascii="Times New Roman" w:hAnsi="Times New Roman" w:cs="Times New Roman"/>
          <w:sz w:val="20"/>
          <w:szCs w:val="20"/>
        </w:rPr>
        <w:t>Thembisile</w:t>
      </w:r>
      <w:proofErr w:type="spellEnd"/>
      <w:r w:rsidRPr="001C513C">
        <w:rPr>
          <w:rFonts w:ascii="Times New Roman" w:hAnsi="Times New Roman" w:cs="Times New Roman"/>
          <w:sz w:val="20"/>
          <w:szCs w:val="20"/>
        </w:rPr>
        <w:t xml:space="preserve"> </w:t>
      </w:r>
      <w:proofErr w:type="spellStart"/>
      <w:r w:rsidRPr="001C513C">
        <w:rPr>
          <w:rFonts w:ascii="Times New Roman" w:hAnsi="Times New Roman" w:cs="Times New Roman"/>
          <w:sz w:val="20"/>
          <w:szCs w:val="20"/>
        </w:rPr>
        <w:t>Nkadimeng</w:t>
      </w:r>
      <w:proofErr w:type="spellEnd"/>
      <w:r w:rsidRPr="001C513C">
        <w:rPr>
          <w:rFonts w:ascii="Times New Roman" w:hAnsi="Times New Roman" w:cs="Times New Roman"/>
          <w:sz w:val="20"/>
          <w:szCs w:val="20"/>
        </w:rPr>
        <w:t xml:space="preserve"> v the NDPP and others, available online at </w:t>
      </w:r>
      <w:hyperlink r:id="rId2">
        <w:r w:rsidRPr="001C513C">
          <w:rPr>
            <w:rFonts w:ascii="Times New Roman" w:hAnsi="Times New Roman" w:cs="Times New Roman"/>
            <w:sz w:val="20"/>
            <w:szCs w:val="20"/>
          </w:rPr>
          <w:t>http://www.southernafricalitigationcentre.org/wp-content/uploads/2017/08/Vusi-Pikoli-Affidavit-Simelane.pdf</w:t>
        </w:r>
      </w:hyperlink>
      <w:r w:rsidRPr="001C513C">
        <w:rPr>
          <w:rFonts w:ascii="Times New Roman" w:hAnsi="Times New Roman" w:cs="Times New Roman"/>
          <w:sz w:val="20"/>
          <w:szCs w:val="20"/>
        </w:rPr>
        <w:t xml:space="preserve"> (last visited 2</w:t>
      </w:r>
      <w:r>
        <w:rPr>
          <w:rFonts w:ascii="Times New Roman" w:hAnsi="Times New Roman" w:cs="Times New Roman"/>
          <w:sz w:val="20"/>
          <w:szCs w:val="20"/>
        </w:rPr>
        <w:t>3</w:t>
      </w:r>
      <w:r w:rsidRPr="001C513C">
        <w:rPr>
          <w:rFonts w:ascii="Times New Roman" w:hAnsi="Times New Roman" w:cs="Times New Roman"/>
          <w:sz w:val="20"/>
          <w:szCs w:val="20"/>
        </w:rPr>
        <w:t xml:space="preserve"> Ju</w:t>
      </w:r>
      <w:r>
        <w:rPr>
          <w:rFonts w:ascii="Times New Roman" w:hAnsi="Times New Roman" w:cs="Times New Roman"/>
          <w:sz w:val="20"/>
          <w:szCs w:val="20"/>
        </w:rPr>
        <w:t>ly</w:t>
      </w:r>
      <w:r w:rsidRPr="001C513C">
        <w:rPr>
          <w:rFonts w:ascii="Times New Roman" w:hAnsi="Times New Roman" w:cs="Times New Roman"/>
          <w:sz w:val="20"/>
          <w:szCs w:val="20"/>
        </w:rPr>
        <w:t xml:space="preserve"> 2018)). </w:t>
      </w:r>
      <w:r w:rsidRPr="001C513C">
        <w:rPr>
          <w:rFonts w:ascii="Times New Roman" w:eastAsia="Times New Roman" w:hAnsi="Times New Roman" w:cs="Times New Roman"/>
          <w:sz w:val="20"/>
          <w:szCs w:val="20"/>
        </w:rPr>
        <w:t xml:space="preserve"> </w:t>
      </w:r>
    </w:p>
  </w:footnote>
  <w:footnote w:id="22">
    <w:p w14:paraId="2E2B02EF" w14:textId="327113D5"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Mamdani</w:t>
      </w:r>
      <w:proofErr w:type="spellEnd"/>
      <w:r w:rsidRPr="001C513C">
        <w:rPr>
          <w:rFonts w:ascii="Times New Roman" w:eastAsia="Times New Roman" w:hAnsi="Times New Roman" w:cs="Times New Roman"/>
          <w:sz w:val="20"/>
          <w:szCs w:val="20"/>
        </w:rPr>
        <w:t xml:space="preserve">, </w:t>
      </w:r>
      <w:r w:rsidRPr="002834C9">
        <w:rPr>
          <w:rFonts w:ascii="Times New Roman" w:eastAsia="Times New Roman" w:hAnsi="Times New Roman" w:cs="Times New Roman"/>
          <w:i/>
          <w:sz w:val="20"/>
          <w:szCs w:val="20"/>
        </w:rPr>
        <w:t>Beyond Nuremberg</w:t>
      </w:r>
      <w:r w:rsidRPr="001C513C">
        <w:rPr>
          <w:rFonts w:ascii="Times New Roman" w:eastAsia="Times New Roman" w:hAnsi="Times New Roman" w:cs="Times New Roman"/>
          <w:sz w:val="20"/>
          <w:szCs w:val="20"/>
        </w:rPr>
        <w:t xml:space="preserve">, </w:t>
      </w:r>
      <w:r w:rsidRPr="00FD37D1">
        <w:rPr>
          <w:rFonts w:ascii="Times New Roman" w:eastAsia="Times New Roman" w:hAnsi="Times New Roman" w:cs="Times New Roman"/>
          <w:i/>
          <w:sz w:val="20"/>
          <w:szCs w:val="20"/>
        </w:rPr>
        <w:t>supra</w:t>
      </w:r>
      <w:r w:rsidRPr="001C513C">
        <w:rPr>
          <w:rFonts w:ascii="Times New Roman" w:eastAsia="Times New Roman" w:hAnsi="Times New Roman" w:cs="Times New Roman"/>
          <w:i/>
          <w:sz w:val="20"/>
          <w:szCs w:val="20"/>
        </w:rPr>
        <w:t xml:space="preserve">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 xml:space="preserve">12, and Bundy, </w:t>
      </w:r>
      <w:r>
        <w:rPr>
          <w:rFonts w:ascii="Times New Roman" w:eastAsia="Times New Roman" w:hAnsi="Times New Roman" w:cs="Times New Roman"/>
          <w:i/>
          <w:sz w:val="20"/>
          <w:szCs w:val="20"/>
        </w:rPr>
        <w:t xml:space="preserve">The </w:t>
      </w:r>
      <w:r w:rsidRPr="00FD37D1">
        <w:rPr>
          <w:rFonts w:ascii="Times New Roman" w:eastAsia="Times New Roman" w:hAnsi="Times New Roman" w:cs="Times New Roman"/>
          <w:i/>
          <w:sz w:val="20"/>
          <w:szCs w:val="20"/>
        </w:rPr>
        <w:t>Beast</w:t>
      </w:r>
      <w:r>
        <w:rPr>
          <w:rFonts w:ascii="Times New Roman" w:eastAsia="Times New Roman" w:hAnsi="Times New Roman" w:cs="Times New Roman"/>
          <w:sz w:val="20"/>
          <w:szCs w:val="20"/>
        </w:rPr>
        <w:t xml:space="preserve">, </w:t>
      </w:r>
      <w:r w:rsidRPr="00FD37D1">
        <w:rPr>
          <w:rFonts w:ascii="Times New Roman" w:eastAsia="Times New Roman" w:hAnsi="Times New Roman" w:cs="Times New Roman"/>
          <w:i/>
          <w:sz w:val="20"/>
          <w:szCs w:val="20"/>
        </w:rPr>
        <w:t>supra</w:t>
      </w:r>
      <w:r w:rsidRPr="001C513C">
        <w:rPr>
          <w:rFonts w:ascii="Times New Roman" w:eastAsia="Times New Roman" w:hAnsi="Times New Roman" w:cs="Times New Roman"/>
          <w:i/>
          <w:sz w:val="20"/>
          <w:szCs w:val="20"/>
        </w:rPr>
        <w:t xml:space="preserve">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12, at 11-12</w:t>
      </w:r>
      <w:r w:rsidRPr="001C513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 </w:t>
      </w:r>
    </w:p>
  </w:footnote>
  <w:footnote w:id="23">
    <w:p w14:paraId="431C469E"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also J. </w:t>
      </w:r>
      <w:proofErr w:type="spellStart"/>
      <w:r w:rsidRPr="001C513C">
        <w:rPr>
          <w:rFonts w:ascii="Times New Roman" w:hAnsi="Times New Roman" w:cs="Times New Roman"/>
        </w:rPr>
        <w:t>Dugard</w:t>
      </w:r>
      <w:proofErr w:type="spellEnd"/>
      <w:r w:rsidRPr="001C513C">
        <w:rPr>
          <w:rFonts w:ascii="Times New Roman" w:hAnsi="Times New Roman" w:cs="Times New Roman"/>
        </w:rPr>
        <w:t xml:space="preserve">, ‘Reconciliation and Justice: The South African Experience’, 8(2) </w:t>
      </w:r>
      <w:r w:rsidRPr="001C513C">
        <w:rPr>
          <w:rFonts w:ascii="Times New Roman" w:hAnsi="Times New Roman" w:cs="Times New Roman"/>
          <w:i/>
          <w:iCs/>
        </w:rPr>
        <w:t>Transnational Law &amp; Contemporary Problems</w:t>
      </w:r>
      <w:r w:rsidRPr="001C513C">
        <w:rPr>
          <w:rFonts w:ascii="Times New Roman" w:hAnsi="Times New Roman" w:cs="Times New Roman"/>
        </w:rPr>
        <w:t xml:space="preserve"> (1998) 277, at 296. </w:t>
      </w:r>
    </w:p>
  </w:footnote>
  <w:footnote w:id="24">
    <w:p w14:paraId="2ECDF34A" w14:textId="3412E549"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w:t>
      </w:r>
      <w:r>
        <w:rPr>
          <w:rFonts w:ascii="Times New Roman" w:hAnsi="Times New Roman" w:cs="Times New Roman"/>
        </w:rPr>
        <w:t xml:space="preserve">the articles by </w:t>
      </w:r>
      <w:proofErr w:type="spellStart"/>
      <w:r>
        <w:rPr>
          <w:rFonts w:ascii="Times New Roman" w:hAnsi="Times New Roman" w:cs="Times New Roman"/>
        </w:rPr>
        <w:t>Slye</w:t>
      </w:r>
      <w:proofErr w:type="spellEnd"/>
      <w:r>
        <w:rPr>
          <w:rFonts w:ascii="Times New Roman" w:hAnsi="Times New Roman" w:cs="Times New Roman"/>
        </w:rPr>
        <w:t xml:space="preserve"> and Eden cited </w:t>
      </w:r>
      <w:r w:rsidRPr="001C513C">
        <w:rPr>
          <w:rFonts w:ascii="Times New Roman" w:hAnsi="Times New Roman" w:cs="Times New Roman"/>
          <w:i/>
        </w:rPr>
        <w:t>supra</w:t>
      </w:r>
      <w:r>
        <w:rPr>
          <w:rFonts w:ascii="Times New Roman" w:hAnsi="Times New Roman" w:cs="Times New Roman"/>
        </w:rPr>
        <w:t>,</w:t>
      </w:r>
      <w:r w:rsidRPr="001C513C">
        <w:rPr>
          <w:rFonts w:ascii="Times New Roman" w:hAnsi="Times New Roman" w:cs="Times New Roman"/>
          <w:i/>
        </w:rPr>
        <w:t xml:space="preserve"> </w:t>
      </w:r>
      <w:r w:rsidRPr="001C513C">
        <w:rPr>
          <w:rFonts w:ascii="Times New Roman" w:hAnsi="Times New Roman" w:cs="Times New Roman"/>
        </w:rPr>
        <w:t xml:space="preserve">note </w:t>
      </w:r>
      <w:r>
        <w:rPr>
          <w:rFonts w:ascii="Times New Roman" w:hAnsi="Times New Roman" w:cs="Times New Roman"/>
        </w:rPr>
        <w:t>18</w:t>
      </w:r>
      <w:r w:rsidRPr="001C513C">
        <w:rPr>
          <w:rFonts w:ascii="Times New Roman" w:hAnsi="Times New Roman" w:cs="Times New Roman"/>
        </w:rPr>
        <w:t>. The controversy mostly depends on the standards adopted for the formation of customary international law and</w:t>
      </w:r>
      <w:r>
        <w:rPr>
          <w:rFonts w:ascii="Times New Roman" w:hAnsi="Times New Roman" w:cs="Times New Roman"/>
        </w:rPr>
        <w:t>,</w:t>
      </w:r>
      <w:r w:rsidRPr="001C513C">
        <w:rPr>
          <w:rFonts w:ascii="Times New Roman" w:hAnsi="Times New Roman" w:cs="Times New Roman"/>
        </w:rPr>
        <w:t xml:space="preserve"> particularly, </w:t>
      </w:r>
      <w:r w:rsidRPr="001C513C">
        <w:rPr>
          <w:rFonts w:ascii="Times New Roman" w:hAnsi="Times New Roman" w:cs="Times New Roman"/>
          <w:i/>
        </w:rPr>
        <w:t xml:space="preserve">jus </w:t>
      </w:r>
      <w:proofErr w:type="spellStart"/>
      <w:r w:rsidRPr="001C513C">
        <w:rPr>
          <w:rFonts w:ascii="Times New Roman" w:hAnsi="Times New Roman" w:cs="Times New Roman"/>
          <w:i/>
        </w:rPr>
        <w:t>cogens</w:t>
      </w:r>
      <w:proofErr w:type="spellEnd"/>
      <w:r w:rsidRPr="001C513C">
        <w:rPr>
          <w:rFonts w:ascii="Times New Roman" w:hAnsi="Times New Roman" w:cs="Times New Roman"/>
        </w:rPr>
        <w:t>.</w:t>
      </w:r>
      <w:r w:rsidRPr="002834C9">
        <w:rPr>
          <w:rFonts w:ascii="Times New Roman" w:hAnsi="Times New Roman" w:cs="Times New Roman"/>
          <w:i/>
        </w:rPr>
        <w:t xml:space="preserve">  </w:t>
      </w:r>
    </w:p>
  </w:footnote>
  <w:footnote w:id="25">
    <w:p w14:paraId="2DFB3A32"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w:t>
      </w:r>
      <w:r>
        <w:rPr>
          <w:rFonts w:ascii="Times New Roman" w:hAnsi="Times New Roman" w:cs="Times New Roman"/>
        </w:rPr>
        <w:t xml:space="preserve"> e.g. </w:t>
      </w:r>
      <w:r>
        <w:rPr>
          <w:rFonts w:ascii="Times New Roman" w:hAnsi="Times New Roman" w:cs="Times New Roman"/>
          <w:i/>
        </w:rPr>
        <w:t>AZAPO</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12. See</w:t>
      </w:r>
      <w:r w:rsidRPr="001C513C">
        <w:rPr>
          <w:rFonts w:ascii="Times New Roman" w:hAnsi="Times New Roman" w:cs="Times New Roman"/>
        </w:rPr>
        <w:t xml:space="preserve"> also J. </w:t>
      </w:r>
      <w:proofErr w:type="spellStart"/>
      <w:r w:rsidRPr="001C513C">
        <w:rPr>
          <w:rFonts w:ascii="Times New Roman" w:hAnsi="Times New Roman" w:cs="Times New Roman"/>
        </w:rPr>
        <w:t>Sarkin</w:t>
      </w:r>
      <w:proofErr w:type="spellEnd"/>
      <w:r w:rsidRPr="001C513C">
        <w:rPr>
          <w:rFonts w:ascii="Times New Roman" w:hAnsi="Times New Roman" w:cs="Times New Roman"/>
        </w:rPr>
        <w:t xml:space="preserve">, </w:t>
      </w:r>
      <w:r w:rsidRPr="001C513C">
        <w:rPr>
          <w:rFonts w:ascii="Times New Roman" w:hAnsi="Times New Roman" w:cs="Times New Roman"/>
          <w:i/>
        </w:rPr>
        <w:t>Carrots and Sticks: The TRC and the South African Amnesty Process</w:t>
      </w:r>
      <w:r w:rsidRPr="001C513C">
        <w:rPr>
          <w:rFonts w:ascii="Times New Roman" w:hAnsi="Times New Roman" w:cs="Times New Roman"/>
        </w:rPr>
        <w:t xml:space="preserve"> (</w:t>
      </w:r>
      <w:proofErr w:type="spellStart"/>
      <w:r w:rsidRPr="001C513C">
        <w:rPr>
          <w:rFonts w:ascii="Times New Roman" w:hAnsi="Times New Roman" w:cs="Times New Roman"/>
        </w:rPr>
        <w:t>Intersentia</w:t>
      </w:r>
      <w:proofErr w:type="spellEnd"/>
      <w:r w:rsidRPr="001C513C">
        <w:rPr>
          <w:rFonts w:ascii="Times New Roman" w:hAnsi="Times New Roman" w:cs="Times New Roman"/>
        </w:rPr>
        <w:t xml:space="preserve">, 2004) 6.   </w:t>
      </w:r>
    </w:p>
  </w:footnote>
  <w:footnote w:id="26">
    <w:p w14:paraId="19F4619D" w14:textId="77777777" w:rsidR="00F64BB3" w:rsidRPr="002834C9" w:rsidRDefault="00F64BB3">
      <w:pPr>
        <w:pStyle w:val="HTMLPreformatted"/>
        <w:jc w:val="both"/>
        <w:rPr>
          <w:rFonts w:ascii="Times New Roman" w:hAnsi="Times New Roman" w:cs="Times New Roman"/>
          <w:lang w:eastAsia="en-US"/>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e.g. GA Res 48/258</w:t>
      </w:r>
      <w:r>
        <w:rPr>
          <w:rFonts w:ascii="Times New Roman" w:hAnsi="Times New Roman" w:cs="Times New Roman"/>
        </w:rPr>
        <w:t xml:space="preserve">, </w:t>
      </w:r>
      <w:r w:rsidRPr="001C513C">
        <w:rPr>
          <w:rFonts w:ascii="Times New Roman" w:hAnsi="Times New Roman" w:cs="Times New Roman"/>
        </w:rPr>
        <w:t>6 July 1994, passed without a vote, operative clauses 1 &amp; 2, according to which the GA: ‘</w:t>
      </w:r>
      <w:r w:rsidRPr="002834C9">
        <w:rPr>
          <w:rFonts w:ascii="Times New Roman" w:eastAsia="Calibri" w:hAnsi="Times New Roman" w:cs="Times New Roman"/>
          <w:lang w:eastAsia="en-US"/>
        </w:rPr>
        <w:t>Expresses its profound satisfaction at the entry into force of South Africa’s first non-racial and democratic constitution…’ and</w:t>
      </w:r>
      <w:r w:rsidRPr="001C513C">
        <w:rPr>
          <w:rFonts w:ascii="Times New Roman" w:hAnsi="Times New Roman" w:cs="Times New Roman"/>
        </w:rPr>
        <w:t xml:space="preserve"> ‘</w:t>
      </w:r>
      <w:r w:rsidRPr="002834C9">
        <w:rPr>
          <w:rFonts w:ascii="Times New Roman" w:eastAsia="Calibri" w:hAnsi="Times New Roman" w:cs="Times New Roman"/>
          <w:lang w:eastAsia="en-US"/>
        </w:rPr>
        <w:t>Congratulates all South Africans and their political leaders on their success in bringing apartheid to an end and in laying, through broad-based negotiations, the foundations for a new, non-racial and democratic South Africa with equal and guaranteed rights for each and all</w:t>
      </w:r>
      <w:r w:rsidRPr="001C513C">
        <w:rPr>
          <w:rFonts w:ascii="Times New Roman" w:hAnsi="Times New Roman" w:cs="Times New Roman"/>
        </w:rPr>
        <w:t>’. See also GA Res 48/159 A</w:t>
      </w:r>
      <w:r>
        <w:rPr>
          <w:rFonts w:ascii="Times New Roman" w:hAnsi="Times New Roman" w:cs="Times New Roman"/>
        </w:rPr>
        <w:t xml:space="preserve">, </w:t>
      </w:r>
      <w:r w:rsidRPr="001C513C">
        <w:rPr>
          <w:rFonts w:ascii="Times New Roman" w:hAnsi="Times New Roman" w:cs="Times New Roman"/>
        </w:rPr>
        <w:t>24 January 1994</w:t>
      </w:r>
      <w:r>
        <w:rPr>
          <w:rFonts w:ascii="Times New Roman" w:hAnsi="Times New Roman" w:cs="Times New Roman"/>
        </w:rPr>
        <w:t>,</w:t>
      </w:r>
      <w:r w:rsidRPr="001C513C">
        <w:rPr>
          <w:rFonts w:ascii="Times New Roman" w:hAnsi="Times New Roman" w:cs="Times New Roman"/>
        </w:rPr>
        <w:t xml:space="preserve"> </w:t>
      </w:r>
      <w:r>
        <w:rPr>
          <w:rFonts w:ascii="Times New Roman" w:hAnsi="Times New Roman" w:cs="Times New Roman"/>
        </w:rPr>
        <w:t>which</w:t>
      </w:r>
      <w:r w:rsidRPr="001C513C">
        <w:rPr>
          <w:rFonts w:ascii="Times New Roman" w:hAnsi="Times New Roman" w:cs="Times New Roman"/>
        </w:rPr>
        <w:t xml:space="preserve"> was passed, also without a vote, during the negotiating stages of the transition.  </w:t>
      </w:r>
    </w:p>
  </w:footnote>
  <w:footnote w:id="27">
    <w:p w14:paraId="4F518885"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J. </w:t>
      </w:r>
      <w:proofErr w:type="spellStart"/>
      <w:r w:rsidRPr="001C513C">
        <w:rPr>
          <w:rFonts w:ascii="Times New Roman" w:eastAsia="Times New Roman" w:hAnsi="Times New Roman" w:cs="Times New Roman"/>
          <w:sz w:val="20"/>
          <w:szCs w:val="20"/>
        </w:rPr>
        <w:t>Gavron</w:t>
      </w:r>
      <w:proofErr w:type="spellEnd"/>
      <w:r w:rsidRPr="001C513C">
        <w:rPr>
          <w:rFonts w:ascii="Times New Roman" w:eastAsia="Times New Roman" w:hAnsi="Times New Roman" w:cs="Times New Roman"/>
          <w:sz w:val="20"/>
          <w:szCs w:val="20"/>
        </w:rPr>
        <w:t xml:space="preserve">, ‘Amnesties in the Light of Developments in International Law and the Establishment of the International Criminal Court’, 51 </w:t>
      </w:r>
      <w:r w:rsidRPr="001C513C">
        <w:rPr>
          <w:rFonts w:ascii="Times New Roman" w:eastAsia="Times New Roman" w:hAnsi="Times New Roman" w:cs="Times New Roman"/>
          <w:i/>
          <w:sz w:val="20"/>
          <w:szCs w:val="20"/>
        </w:rPr>
        <w:t xml:space="preserve">International and Comparative Law Quarterly </w:t>
      </w:r>
      <w:r w:rsidRPr="001C513C">
        <w:rPr>
          <w:rFonts w:ascii="Times New Roman" w:eastAsia="Times New Roman" w:hAnsi="Times New Roman" w:cs="Times New Roman"/>
          <w:sz w:val="20"/>
          <w:szCs w:val="20"/>
        </w:rPr>
        <w:t>(2001) 91, at 115.</w:t>
      </w:r>
    </w:p>
  </w:footnote>
  <w:footnote w:id="28">
    <w:p w14:paraId="05EF30E9" w14:textId="77777777" w:rsidR="00F64BB3" w:rsidRPr="001C513C" w:rsidRDefault="00F64BB3">
      <w:pPr>
        <w:spacing w:after="0" w:line="240" w:lineRule="auto"/>
        <w:jc w:val="both"/>
        <w:rPr>
          <w:rFonts w:ascii="Times New Roman" w:eastAsia="Times New Roman" w:hAnsi="Times New Roman" w:cs="Times New Roman"/>
          <w:sz w:val="20"/>
          <w:szCs w:val="20"/>
          <w:highlight w:val="yellow"/>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Some foreign involvement in South Africa’s transitional justice arrangement emerged a decade after the transition when South African victims’ organisations brought </w:t>
      </w:r>
      <w:r w:rsidRPr="001C513C">
        <w:rPr>
          <w:rFonts w:ascii="Times New Roman" w:eastAsia="Times New Roman" w:hAnsi="Times New Roman" w:cs="Times New Roman"/>
          <w:i/>
          <w:sz w:val="20"/>
          <w:szCs w:val="20"/>
        </w:rPr>
        <w:t>civil</w:t>
      </w:r>
      <w:r w:rsidRPr="001C513C">
        <w:rPr>
          <w:rFonts w:ascii="Times New Roman" w:eastAsia="Times New Roman" w:hAnsi="Times New Roman" w:cs="Times New Roman"/>
          <w:sz w:val="20"/>
          <w:szCs w:val="20"/>
        </w:rPr>
        <w:t xml:space="preserve"> cases against foreign companies under the US Alien Tort Statute. See e.g. </w:t>
      </w:r>
      <w:proofErr w:type="spellStart"/>
      <w:r w:rsidRPr="001C513C">
        <w:rPr>
          <w:rFonts w:ascii="Times New Roman" w:eastAsia="Times New Roman" w:hAnsi="Times New Roman" w:cs="Times New Roman"/>
          <w:i/>
          <w:sz w:val="20"/>
          <w:szCs w:val="20"/>
        </w:rPr>
        <w:t>Khulumani</w:t>
      </w:r>
      <w:proofErr w:type="spellEnd"/>
      <w:r w:rsidRPr="001C513C">
        <w:rPr>
          <w:rFonts w:ascii="Times New Roman" w:eastAsia="Times New Roman" w:hAnsi="Times New Roman" w:cs="Times New Roman"/>
          <w:i/>
          <w:sz w:val="20"/>
          <w:szCs w:val="20"/>
        </w:rPr>
        <w:t xml:space="preserve"> v. Barclays National Bank Ltd</w:t>
      </w:r>
      <w:r w:rsidRPr="001C513C">
        <w:rPr>
          <w:rFonts w:ascii="Times New Roman" w:eastAsia="Times New Roman" w:hAnsi="Times New Roman" w:cs="Times New Roman"/>
          <w:sz w:val="20"/>
          <w:szCs w:val="20"/>
          <w:highlight w:val="white"/>
        </w:rPr>
        <w:t>, 504 F. 3d 254 (2d Cir. 2007)</w:t>
      </w:r>
      <w:r w:rsidRPr="001C513C">
        <w:rPr>
          <w:rFonts w:ascii="Times New Roman" w:eastAsia="Times New Roman" w:hAnsi="Times New Roman" w:cs="Times New Roman"/>
          <w:sz w:val="20"/>
          <w:szCs w:val="20"/>
        </w:rPr>
        <w:t xml:space="preserve">. These eventually failed due to the US Supreme Court’s restrictive reading of the Statute in </w:t>
      </w:r>
      <w:proofErr w:type="spellStart"/>
      <w:r w:rsidRPr="001C513C">
        <w:rPr>
          <w:rFonts w:ascii="Times New Roman" w:eastAsia="Times New Roman" w:hAnsi="Times New Roman" w:cs="Times New Roman"/>
          <w:i/>
          <w:sz w:val="20"/>
          <w:szCs w:val="20"/>
        </w:rPr>
        <w:t>Kiobel</w:t>
      </w:r>
      <w:proofErr w:type="spellEnd"/>
      <w:r w:rsidRPr="001C513C">
        <w:rPr>
          <w:rFonts w:ascii="Times New Roman" w:eastAsia="Times New Roman" w:hAnsi="Times New Roman" w:cs="Times New Roman"/>
          <w:i/>
          <w:sz w:val="20"/>
          <w:szCs w:val="20"/>
        </w:rPr>
        <w:t xml:space="preserve"> et al. v. Royal Dutch Petroleum Co. et al.</w:t>
      </w:r>
      <w:r w:rsidRPr="001C513C">
        <w:rPr>
          <w:rFonts w:ascii="Times New Roman" w:eastAsia="Times New Roman" w:hAnsi="Times New Roman" w:cs="Times New Roman"/>
          <w:sz w:val="20"/>
          <w:szCs w:val="20"/>
        </w:rPr>
        <w:t xml:space="preserve">, 569 U.S. 1 (2012). On the controversy about the impact of this litigation on South Africa’s transitional arrangement, see R. Kesselring, </w:t>
      </w:r>
      <w:r w:rsidRPr="001C513C">
        <w:rPr>
          <w:rFonts w:ascii="Times New Roman" w:eastAsia="Times New Roman" w:hAnsi="Times New Roman" w:cs="Times New Roman"/>
          <w:i/>
          <w:sz w:val="20"/>
          <w:szCs w:val="20"/>
        </w:rPr>
        <w:t>Bodies of Truth: Law, Memory, and Emancipation in Post-Apartheid South Africa</w:t>
      </w:r>
      <w:r w:rsidRPr="001C513C">
        <w:rPr>
          <w:rFonts w:ascii="Times New Roman" w:eastAsia="Times New Roman" w:hAnsi="Times New Roman" w:cs="Times New Roman"/>
          <w:sz w:val="20"/>
          <w:szCs w:val="20"/>
        </w:rPr>
        <w:t xml:space="preserve"> (Stanford University Press, 2017), Chapter 1</w:t>
      </w:r>
      <w:r w:rsidRPr="001C513C">
        <w:rPr>
          <w:rFonts w:ascii="Times New Roman" w:eastAsia="Times New Roman" w:hAnsi="Times New Roman" w:cs="Times New Roman"/>
          <w:sz w:val="20"/>
          <w:szCs w:val="20"/>
          <w:highlight w:val="white"/>
        </w:rPr>
        <w:t xml:space="preserve">. </w:t>
      </w:r>
      <w:r w:rsidRPr="001C513C">
        <w:rPr>
          <w:rFonts w:ascii="Times New Roman" w:eastAsia="Times New Roman" w:hAnsi="Times New Roman" w:cs="Times New Roman"/>
          <w:sz w:val="20"/>
          <w:szCs w:val="20"/>
          <w:highlight w:val="yellow"/>
        </w:rPr>
        <w:t xml:space="preserve">  </w:t>
      </w:r>
    </w:p>
  </w:footnote>
  <w:footnote w:id="29">
    <w:p w14:paraId="4433FEE9"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See also the call to this effect in Truth and Reconciliation Commission of South Africa, </w:t>
      </w:r>
      <w:r w:rsidRPr="001C513C">
        <w:rPr>
          <w:rFonts w:ascii="Times New Roman" w:eastAsia="Times New Roman" w:hAnsi="Times New Roman" w:cs="Times New Roman"/>
          <w:i/>
          <w:sz w:val="20"/>
          <w:szCs w:val="20"/>
        </w:rPr>
        <w:t>Report</w:t>
      </w:r>
      <w:r w:rsidRPr="001C513C">
        <w:rPr>
          <w:rFonts w:ascii="Times New Roman" w:eastAsia="Times New Roman" w:hAnsi="Times New Roman" w:cs="Times New Roman"/>
          <w:sz w:val="20"/>
          <w:szCs w:val="20"/>
        </w:rPr>
        <w:t xml:space="preserve"> (1998) (</w:t>
      </w:r>
      <w:r>
        <w:rPr>
          <w:rFonts w:ascii="Times New Roman" w:eastAsia="Times New Roman" w:hAnsi="Times New Roman" w:cs="Times New Roman"/>
          <w:sz w:val="20"/>
          <w:szCs w:val="20"/>
        </w:rPr>
        <w:t>hereinafter, ‘</w:t>
      </w:r>
      <w:r w:rsidRPr="001C513C">
        <w:rPr>
          <w:rFonts w:ascii="Times New Roman" w:eastAsia="Times New Roman" w:hAnsi="Times New Roman" w:cs="Times New Roman"/>
          <w:sz w:val="20"/>
          <w:szCs w:val="20"/>
        </w:rPr>
        <w:t>TRC Report</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Vol. 5, Chapter 8, at 349, §114: ‘The definition of apartheid as a crime against humanity has given rise to a concern that persons who are seen to have been responsible for apartheid policies and practices might become liable to international prosecutions. The Commission believes that international recognition should be given to the fact that the Promotion of National Unity and Reconciliation Act, and the processes of this Commission itself, have sought to deal appropriately with the matter of responsibility for such policies.’ See also Vol. 1, appendix, at 94,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1-2: ‘[T]he Commission </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as part of the international human rights community </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affirms its judgement that apartheid ... was a crime against humanity. … This sharing of the international community’s basic moral and legal position on apartheid should not be understood as a call for international criminal prosecution of those who formulated and implemented apartheid policies. Indeed, such a course would militate against the very principles on which this Commission was established.’</w:t>
      </w:r>
    </w:p>
  </w:footnote>
  <w:footnote w:id="30">
    <w:p w14:paraId="19C70730"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Office of the High Commissioner for Human Rights,</w:t>
      </w:r>
      <w:r w:rsidRPr="001C513C">
        <w:rPr>
          <w:rFonts w:ascii="Times New Roman" w:eastAsia="Times New Roman" w:hAnsi="Times New Roman" w:cs="Times New Roman"/>
          <w:i/>
          <w:sz w:val="20"/>
          <w:szCs w:val="20"/>
        </w:rPr>
        <w:t xml:space="preserve"> Rule-of-Law Tools for Post-Conflict States: Amnesties</w:t>
      </w:r>
      <w:r w:rsidRPr="001C513C">
        <w:rPr>
          <w:rFonts w:ascii="Times New Roman" w:eastAsia="Times New Roman" w:hAnsi="Times New Roman" w:cs="Times New Roman"/>
          <w:sz w:val="20"/>
          <w:szCs w:val="20"/>
        </w:rPr>
        <w:t xml:space="preserve">, HR/PUB/09/1 (2009), at </w:t>
      </w:r>
      <w:r w:rsidRPr="002834C9">
        <w:rPr>
          <w:rFonts w:ascii="Times New Roman" w:eastAsia="Times New Roman" w:hAnsi="Times New Roman" w:cs="Times New Roman"/>
          <w:i/>
          <w:sz w:val="20"/>
          <w:szCs w:val="20"/>
        </w:rPr>
        <w:t>v</w:t>
      </w:r>
      <w:r w:rsidRPr="001C513C">
        <w:rPr>
          <w:rFonts w:ascii="Times New Roman" w:eastAsia="Times New Roman" w:hAnsi="Times New Roman" w:cs="Times New Roman"/>
          <w:sz w:val="20"/>
          <w:szCs w:val="20"/>
        </w:rPr>
        <w:t>.</w:t>
      </w:r>
    </w:p>
  </w:footnote>
  <w:footnote w:id="31">
    <w:p w14:paraId="036B8E6A"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M. Freeman, </w:t>
      </w:r>
      <w:r w:rsidRPr="001C513C">
        <w:rPr>
          <w:rFonts w:ascii="Times New Roman" w:eastAsia="Times New Roman" w:hAnsi="Times New Roman" w:cs="Times New Roman"/>
          <w:i/>
          <w:sz w:val="20"/>
          <w:szCs w:val="20"/>
        </w:rPr>
        <w:t>Necessary Evils: Amnesties and the Search for Justice</w:t>
      </w:r>
      <w:r w:rsidRPr="001C513C">
        <w:rPr>
          <w:rFonts w:ascii="Times New Roman" w:eastAsia="Times New Roman" w:hAnsi="Times New Roman" w:cs="Times New Roman"/>
          <w:sz w:val="20"/>
          <w:szCs w:val="20"/>
        </w:rPr>
        <w:t xml:space="preserve"> (Cambridge University Press, 2009), at 26. </w:t>
      </w:r>
    </w:p>
  </w:footnote>
  <w:footnote w:id="32">
    <w:p w14:paraId="5043210B" w14:textId="350E0484"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Rule-of-Law Tools</w:t>
      </w:r>
      <w:r w:rsidRPr="001C513C">
        <w:rPr>
          <w:rFonts w:ascii="Times New Roman" w:eastAsia="Times New Roman" w:hAnsi="Times New Roman" w:cs="Times New Roman"/>
          <w:sz w:val="20"/>
          <w:szCs w:val="20"/>
        </w:rPr>
        <w:t>,</w:t>
      </w:r>
      <w:r w:rsidRPr="001C513C">
        <w:rPr>
          <w:rFonts w:ascii="Times New Roman" w:eastAsia="Times New Roman" w:hAnsi="Times New Roman" w:cs="Times New Roman"/>
          <w:i/>
          <w:sz w:val="20"/>
          <w:szCs w:val="20"/>
        </w:rPr>
        <w:t xml:space="preserve"> supra</w:t>
      </w:r>
      <w:r w:rsidRPr="001C513C">
        <w:rPr>
          <w:rFonts w:ascii="Times New Roman" w:eastAsia="Times New Roman" w:hAnsi="Times New Roman" w:cs="Times New Roman"/>
          <w:sz w:val="20"/>
          <w:szCs w:val="20"/>
        </w:rPr>
        <w:t xml:space="preserve"> note</w:t>
      </w:r>
      <w:r>
        <w:rPr>
          <w:rFonts w:ascii="Times New Roman" w:eastAsia="Times New Roman" w:hAnsi="Times New Roman" w:cs="Times New Roman"/>
          <w:sz w:val="20"/>
          <w:szCs w:val="20"/>
        </w:rPr>
        <w:t xml:space="preserve"> 31</w:t>
      </w:r>
      <w:r w:rsidRPr="001C513C">
        <w:rPr>
          <w:rFonts w:ascii="Times New Roman" w:eastAsia="Times New Roman" w:hAnsi="Times New Roman" w:cs="Times New Roman"/>
          <w:sz w:val="20"/>
          <w:szCs w:val="20"/>
        </w:rPr>
        <w:t xml:space="preserve">, at 1-2, claiming that amnesties are often not sustainable, giving Argentina as example. </w:t>
      </w:r>
    </w:p>
  </w:footnote>
  <w:footnote w:id="33">
    <w:p w14:paraId="3A57871A" w14:textId="5A7DEF96"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See also Freeman, </w:t>
      </w:r>
      <w:r w:rsidRPr="001C513C">
        <w:rPr>
          <w:rFonts w:ascii="Times New Roman" w:eastAsia="Times New Roman" w:hAnsi="Times New Roman" w:cs="Times New Roman"/>
          <w:i/>
          <w:sz w:val="20"/>
          <w:szCs w:val="20"/>
        </w:rPr>
        <w:t>supra</w:t>
      </w:r>
      <w:r w:rsidRPr="001C513C">
        <w:rPr>
          <w:rFonts w:ascii="Times New Roman" w:eastAsia="Times New Roman" w:hAnsi="Times New Roman" w:cs="Times New Roman"/>
          <w:sz w:val="20"/>
          <w:szCs w:val="20"/>
        </w:rPr>
        <w:t xml:space="preserve"> note</w:t>
      </w:r>
      <w:r>
        <w:rPr>
          <w:rFonts w:ascii="Times New Roman" w:eastAsia="Times New Roman" w:hAnsi="Times New Roman" w:cs="Times New Roman"/>
          <w:sz w:val="20"/>
          <w:szCs w:val="20"/>
        </w:rPr>
        <w:t xml:space="preserve"> 30</w:t>
      </w:r>
      <w:r w:rsidRPr="001C513C">
        <w:rPr>
          <w:rFonts w:ascii="Times New Roman" w:eastAsia="Times New Roman" w:hAnsi="Times New Roman" w:cs="Times New Roman"/>
          <w:sz w:val="20"/>
          <w:szCs w:val="20"/>
        </w:rPr>
        <w:t xml:space="preserve">, at 26. </w:t>
      </w:r>
    </w:p>
  </w:footnote>
  <w:footnote w:id="34">
    <w:p w14:paraId="4AE6BDB2" w14:textId="77777777" w:rsidR="00F64BB3" w:rsidRPr="001C513C" w:rsidRDefault="00F64BB3">
      <w:pPr>
        <w:spacing w:after="0" w:line="240" w:lineRule="auto"/>
        <w:jc w:val="both"/>
        <w:rPr>
          <w:rFonts w:ascii="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J. Snyder and L. </w:t>
      </w:r>
      <w:proofErr w:type="spellStart"/>
      <w:r w:rsidRPr="001C513C">
        <w:rPr>
          <w:rFonts w:ascii="Times New Roman" w:eastAsia="Times New Roman" w:hAnsi="Times New Roman" w:cs="Times New Roman"/>
          <w:sz w:val="20"/>
          <w:szCs w:val="20"/>
        </w:rPr>
        <w:t>Vinjamuri</w:t>
      </w:r>
      <w:proofErr w:type="spellEnd"/>
      <w:r w:rsidRPr="001C513C">
        <w:rPr>
          <w:rFonts w:ascii="Times New Roman" w:eastAsia="Times New Roman" w:hAnsi="Times New Roman" w:cs="Times New Roman"/>
          <w:sz w:val="20"/>
          <w:szCs w:val="20"/>
        </w:rPr>
        <w:t xml:space="preserve">, ‘Trials and Errors: Principle and Pragmatism in Strategies of International Justice’, 28(3) </w:t>
      </w:r>
      <w:r w:rsidRPr="001C513C">
        <w:rPr>
          <w:rFonts w:ascii="Times New Roman" w:eastAsia="Times New Roman" w:hAnsi="Times New Roman" w:cs="Times New Roman"/>
          <w:i/>
          <w:sz w:val="20"/>
          <w:szCs w:val="20"/>
        </w:rPr>
        <w:t>International Security</w:t>
      </w:r>
      <w:r w:rsidRPr="001C513C">
        <w:rPr>
          <w:rFonts w:ascii="Times New Roman" w:eastAsia="Times New Roman" w:hAnsi="Times New Roman" w:cs="Times New Roman"/>
          <w:sz w:val="20"/>
          <w:szCs w:val="20"/>
        </w:rPr>
        <w:t xml:space="preserve"> (2003) 5, at 6. </w:t>
      </w:r>
    </w:p>
  </w:footnote>
  <w:footnote w:id="35">
    <w:p w14:paraId="110839EC" w14:textId="43BB42DC"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D. Markel, ‘The Justice of Amnesty? Towards a Theory of Retributivism in Recovering States’, 49 </w:t>
      </w:r>
      <w:r w:rsidRPr="001C513C">
        <w:rPr>
          <w:rFonts w:ascii="Times New Roman" w:eastAsia="Times New Roman" w:hAnsi="Times New Roman" w:cs="Times New Roman"/>
          <w:i/>
          <w:sz w:val="20"/>
          <w:szCs w:val="20"/>
        </w:rPr>
        <w:t>University of Toronto Law Journal</w:t>
      </w:r>
      <w:r w:rsidRPr="001C513C">
        <w:rPr>
          <w:rFonts w:ascii="Times New Roman" w:eastAsia="Times New Roman" w:hAnsi="Times New Roman" w:cs="Times New Roman"/>
          <w:sz w:val="20"/>
          <w:szCs w:val="20"/>
        </w:rPr>
        <w:t xml:space="preserve"> (1999) 389, at 445. See also TRC Report (</w:t>
      </w:r>
      <w:r w:rsidRPr="001C513C">
        <w:rPr>
          <w:rFonts w:ascii="Times New Roman" w:eastAsia="Times New Roman" w:hAnsi="Times New Roman" w:cs="Times New Roman"/>
          <w:i/>
          <w:sz w:val="20"/>
          <w:szCs w:val="20"/>
        </w:rPr>
        <w:t>supra</w:t>
      </w:r>
      <w:r w:rsidRPr="001C513C">
        <w:rPr>
          <w:rFonts w:ascii="Times New Roman" w:eastAsia="Times New Roman" w:hAnsi="Times New Roman" w:cs="Times New Roman"/>
          <w:sz w:val="20"/>
          <w:szCs w:val="20"/>
        </w:rPr>
        <w:t xml:space="preserve"> note </w:t>
      </w:r>
      <w:r>
        <w:rPr>
          <w:rFonts w:ascii="Times New Roman" w:eastAsia="Times New Roman" w:hAnsi="Times New Roman" w:cs="Times New Roman"/>
          <w:sz w:val="20"/>
          <w:szCs w:val="20"/>
        </w:rPr>
        <w:t>28</w:t>
      </w:r>
      <w:r w:rsidRPr="001C513C">
        <w:rPr>
          <w:rFonts w:ascii="Times New Roman" w:eastAsia="Times New Roman" w:hAnsi="Times New Roman" w:cs="Times New Roman"/>
          <w:sz w:val="20"/>
          <w:szCs w:val="20"/>
        </w:rPr>
        <w:t>) Vol. 1, Chapter 1, at 5,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22: ‘We have the luxury of being able to complain [about the amnesty] because we are now reaping the benefits of a stable and democratic dispensation.’</w:t>
      </w:r>
    </w:p>
  </w:footnote>
  <w:footnote w:id="36">
    <w:p w14:paraId="03A2C790"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inter alia, L. </w:t>
      </w:r>
      <w:proofErr w:type="spellStart"/>
      <w:r w:rsidRPr="001C513C">
        <w:rPr>
          <w:rFonts w:ascii="Times New Roman" w:hAnsi="Times New Roman" w:cs="Times New Roman"/>
        </w:rPr>
        <w:t>Joinet</w:t>
      </w:r>
      <w:proofErr w:type="spellEnd"/>
      <w:r w:rsidRPr="001C513C">
        <w:rPr>
          <w:rFonts w:ascii="Times New Roman" w:hAnsi="Times New Roman" w:cs="Times New Roman"/>
        </w:rPr>
        <w:t xml:space="preserve">, </w:t>
      </w:r>
      <w:r w:rsidRPr="001C513C">
        <w:rPr>
          <w:rFonts w:ascii="Times New Roman" w:hAnsi="Times New Roman" w:cs="Times New Roman"/>
          <w:i/>
        </w:rPr>
        <w:t>The Administration of Justice and the Human Rights of Detainees: Question of the Impunity of Perpetrators of Human Rights Violations (Civil and Political</w:t>
      </w:r>
      <w:r w:rsidRPr="001C513C">
        <w:rPr>
          <w:rFonts w:ascii="Times New Roman" w:hAnsi="Times New Roman" w:cs="Times New Roman"/>
        </w:rPr>
        <w:t xml:space="preserve">), UN Doc. E/CN.4/Sub.2/1997/20/Rev.1, 26 June 1997; D. </w:t>
      </w:r>
      <w:proofErr w:type="spellStart"/>
      <w:r w:rsidRPr="001C513C">
        <w:rPr>
          <w:rFonts w:ascii="Times New Roman" w:hAnsi="Times New Roman" w:cs="Times New Roman"/>
        </w:rPr>
        <w:t>Orentlicher</w:t>
      </w:r>
      <w:proofErr w:type="spellEnd"/>
      <w:r w:rsidRPr="001C513C">
        <w:rPr>
          <w:rFonts w:ascii="Times New Roman" w:hAnsi="Times New Roman" w:cs="Times New Roman"/>
        </w:rPr>
        <w:t xml:space="preserve">, </w:t>
      </w:r>
      <w:r w:rsidRPr="001C513C">
        <w:rPr>
          <w:rFonts w:ascii="Times New Roman" w:hAnsi="Times New Roman" w:cs="Times New Roman"/>
          <w:i/>
        </w:rPr>
        <w:t>Promotion and Protection of Human Rights: Impunity</w:t>
      </w:r>
      <w:r w:rsidRPr="001C513C">
        <w:rPr>
          <w:rFonts w:ascii="Times New Roman" w:hAnsi="Times New Roman" w:cs="Times New Roman"/>
        </w:rPr>
        <w:t xml:space="preserve">, UN Doc. E/CN/4/2004/88, 27 February 2004. Those studies, especially </w:t>
      </w:r>
      <w:proofErr w:type="spellStart"/>
      <w:r w:rsidRPr="001C513C">
        <w:rPr>
          <w:rFonts w:ascii="Times New Roman" w:hAnsi="Times New Roman" w:cs="Times New Roman"/>
        </w:rPr>
        <w:t>Orentlicher’s</w:t>
      </w:r>
      <w:proofErr w:type="spellEnd"/>
      <w:r w:rsidRPr="001C513C">
        <w:rPr>
          <w:rFonts w:ascii="Times New Roman" w:hAnsi="Times New Roman" w:cs="Times New Roman"/>
        </w:rPr>
        <w:t xml:space="preserve">, argued that there was a growing trend of combating impunity through criminal prosecution, at the exclusion of amnesties. For other encapsulations of this view, see L. N. Sadat, ‘Exile, Amnesty, and International Law’, 81 </w:t>
      </w:r>
      <w:r w:rsidRPr="001C513C">
        <w:rPr>
          <w:rFonts w:ascii="Times New Roman" w:hAnsi="Times New Roman" w:cs="Times New Roman"/>
          <w:i/>
        </w:rPr>
        <w:t xml:space="preserve">Notre Dame Law Review </w:t>
      </w:r>
      <w:r w:rsidRPr="001C513C">
        <w:rPr>
          <w:rFonts w:ascii="Times New Roman" w:hAnsi="Times New Roman" w:cs="Times New Roman"/>
        </w:rPr>
        <w:t xml:space="preserve">(2006) 955; and L. J. </w:t>
      </w:r>
      <w:proofErr w:type="spellStart"/>
      <w:r w:rsidRPr="001C513C">
        <w:rPr>
          <w:rFonts w:ascii="Times New Roman" w:hAnsi="Times New Roman" w:cs="Times New Roman"/>
        </w:rPr>
        <w:t>LaPlante</w:t>
      </w:r>
      <w:proofErr w:type="spellEnd"/>
      <w:r w:rsidRPr="001C513C">
        <w:rPr>
          <w:rFonts w:ascii="Times New Roman" w:hAnsi="Times New Roman" w:cs="Times New Roman"/>
        </w:rPr>
        <w:t>, ‘</w:t>
      </w:r>
      <w:r w:rsidRPr="001C513C">
        <w:rPr>
          <w:rFonts w:ascii="Times New Roman" w:hAnsi="Times New Roman" w:cs="Times New Roman"/>
          <w:iCs/>
        </w:rPr>
        <w:t>Outlawing Amnesty: The Return of Criminal Justice in Transitional Justice Schemes’</w:t>
      </w:r>
      <w:r w:rsidRPr="001C513C">
        <w:rPr>
          <w:rFonts w:ascii="Times New Roman" w:hAnsi="Times New Roman" w:cs="Times New Roman"/>
        </w:rPr>
        <w:t xml:space="preserve">, 49 </w:t>
      </w:r>
      <w:r w:rsidRPr="001C513C">
        <w:rPr>
          <w:rFonts w:ascii="Times New Roman" w:hAnsi="Times New Roman" w:cs="Times New Roman"/>
          <w:i/>
        </w:rPr>
        <w:t>Vanderbilt Journal of International Law</w:t>
      </w:r>
      <w:r w:rsidRPr="001C513C">
        <w:rPr>
          <w:rFonts w:ascii="Times New Roman" w:hAnsi="Times New Roman" w:cs="Times New Roman"/>
        </w:rPr>
        <w:t xml:space="preserve"> (2009) 915.</w:t>
      </w:r>
    </w:p>
  </w:footnote>
  <w:footnote w:id="37">
    <w:p w14:paraId="16CE94F7" w14:textId="77777777" w:rsidR="00F64BB3" w:rsidRPr="001C513C" w:rsidRDefault="00F64BB3">
      <w:pPr>
        <w:pStyle w:val="FootnoteText"/>
        <w:jc w:val="both"/>
        <w:rPr>
          <w:rFonts w:ascii="Times New Roman" w:eastAsia="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‘Norm’ is used here in the political</w:t>
      </w:r>
      <w:r>
        <w:rPr>
          <w:rFonts w:ascii="Times New Roman" w:hAnsi="Times New Roman" w:cs="Times New Roman"/>
        </w:rPr>
        <w:t>-</w:t>
      </w:r>
      <w:r w:rsidRPr="001C513C">
        <w:rPr>
          <w:rFonts w:ascii="Times New Roman" w:hAnsi="Times New Roman" w:cs="Times New Roman"/>
        </w:rPr>
        <w:t xml:space="preserve">science, rather than legal, understanding of the term, namely as </w:t>
      </w:r>
      <w:r w:rsidRPr="001C513C">
        <w:rPr>
          <w:rFonts w:ascii="Times New Roman" w:eastAsia="Times New Roman" w:hAnsi="Times New Roman" w:cs="Times New Roman"/>
        </w:rPr>
        <w:t xml:space="preserve">‘collective expectations for the proper behaviour of actions with a given identity’. See P.J. </w:t>
      </w:r>
      <w:proofErr w:type="spellStart"/>
      <w:r w:rsidRPr="001C513C">
        <w:rPr>
          <w:rFonts w:ascii="Times New Roman" w:eastAsia="Times New Roman" w:hAnsi="Times New Roman" w:cs="Times New Roman"/>
        </w:rPr>
        <w:t>Katzenstein</w:t>
      </w:r>
      <w:proofErr w:type="spellEnd"/>
      <w:r w:rsidRPr="001C513C">
        <w:rPr>
          <w:rFonts w:ascii="Times New Roman" w:eastAsia="Times New Roman" w:hAnsi="Times New Roman" w:cs="Times New Roman"/>
        </w:rPr>
        <w:t>, ‘</w:t>
      </w:r>
      <w:r w:rsidRPr="001C513C">
        <w:rPr>
          <w:rFonts w:ascii="Times New Roman" w:hAnsi="Times New Roman" w:cs="Times New Roman"/>
        </w:rPr>
        <w:t xml:space="preserve">Introduction: Alternative Perspectives on National Security’ in </w:t>
      </w:r>
      <w:r w:rsidRPr="001C513C">
        <w:rPr>
          <w:rFonts w:ascii="Times New Roman" w:eastAsia="Times New Roman" w:hAnsi="Times New Roman" w:cs="Times New Roman"/>
        </w:rPr>
        <w:t xml:space="preserve">P.J. </w:t>
      </w:r>
      <w:proofErr w:type="spellStart"/>
      <w:r w:rsidRPr="001C513C">
        <w:rPr>
          <w:rFonts w:ascii="Times New Roman" w:eastAsia="Times New Roman" w:hAnsi="Times New Roman" w:cs="Times New Roman"/>
        </w:rPr>
        <w:t>Katzenstein</w:t>
      </w:r>
      <w:proofErr w:type="spellEnd"/>
      <w:r w:rsidRPr="001C513C">
        <w:rPr>
          <w:rFonts w:ascii="Times New Roman" w:eastAsia="Times New Roman" w:hAnsi="Times New Roman" w:cs="Times New Roman"/>
        </w:rPr>
        <w:t xml:space="preserve"> (ed.), </w:t>
      </w:r>
      <w:r w:rsidRPr="001C513C">
        <w:rPr>
          <w:rFonts w:ascii="Times New Roman" w:hAnsi="Times New Roman" w:cs="Times New Roman"/>
          <w:i/>
        </w:rPr>
        <w:t xml:space="preserve">The Culture of National Security: Norms and Identity in World Politics </w:t>
      </w:r>
      <w:r w:rsidRPr="001C513C">
        <w:rPr>
          <w:rFonts w:ascii="Times New Roman" w:hAnsi="Times New Roman" w:cs="Times New Roman"/>
        </w:rPr>
        <w:t xml:space="preserve">(Columbia University Press, 1996) at 5.    </w:t>
      </w:r>
    </w:p>
  </w:footnote>
  <w:footnote w:id="38">
    <w:p w14:paraId="0E357D4F" w14:textId="3644D40D" w:rsidR="00F64BB3" w:rsidRPr="002834C9" w:rsidRDefault="00F64BB3">
      <w:pPr>
        <w:widowControl w:val="0"/>
        <w:autoSpaceDE w:val="0"/>
        <w:autoSpaceDN w:val="0"/>
        <w:adjustRightInd w:val="0"/>
        <w:spacing w:after="0" w:line="240" w:lineRule="auto"/>
        <w:jc w:val="both"/>
        <w:rPr>
          <w:rFonts w:ascii="Times" w:hAnsi="Times" w:cs="Times"/>
          <w:sz w:val="24"/>
          <w:szCs w:val="24"/>
        </w:rPr>
      </w:pPr>
      <w:r w:rsidRPr="001C513C">
        <w:rPr>
          <w:rStyle w:val="FootnoteReference"/>
          <w:rFonts w:ascii="Times New Roman" w:hAnsi="Times New Roman" w:cs="Times New Roman"/>
          <w:sz w:val="20"/>
          <w:szCs w:val="20"/>
        </w:rPr>
        <w:footnoteRef/>
      </w:r>
      <w:r w:rsidRPr="001C513C">
        <w:rPr>
          <w:rFonts w:ascii="Times New Roman" w:hAnsi="Times New Roman" w:cs="Times New Roman"/>
          <w:sz w:val="20"/>
          <w:szCs w:val="20"/>
        </w:rPr>
        <w:t xml:space="preserve"> In her report, </w:t>
      </w:r>
      <w:proofErr w:type="spellStart"/>
      <w:r w:rsidRPr="001C513C">
        <w:rPr>
          <w:rFonts w:ascii="Times New Roman" w:hAnsi="Times New Roman" w:cs="Times New Roman"/>
          <w:sz w:val="20"/>
          <w:szCs w:val="20"/>
        </w:rPr>
        <w:t>Orentlicher</w:t>
      </w:r>
      <w:proofErr w:type="spellEnd"/>
      <w:r w:rsidRPr="001C513C">
        <w:rPr>
          <w:rFonts w:ascii="Times New Roman" w:hAnsi="Times New Roman" w:cs="Times New Roman"/>
          <w:sz w:val="20"/>
          <w:szCs w:val="20"/>
        </w:rPr>
        <w:t xml:space="preserve"> praised the South African TRC on various accounts, but implied that truth and reconciliation commissions w</w:t>
      </w:r>
      <w:r>
        <w:rPr>
          <w:rFonts w:ascii="Times New Roman" w:hAnsi="Times New Roman" w:cs="Times New Roman"/>
          <w:sz w:val="20"/>
          <w:szCs w:val="20"/>
        </w:rPr>
        <w:t>ere</w:t>
      </w:r>
      <w:r w:rsidRPr="001C513C">
        <w:rPr>
          <w:rFonts w:ascii="Times New Roman" w:hAnsi="Times New Roman" w:cs="Times New Roman"/>
          <w:sz w:val="20"/>
          <w:szCs w:val="20"/>
        </w:rPr>
        <w:t xml:space="preserve"> no longer acceptable as an alternative, but only as a complement to criminal trials. See </w:t>
      </w:r>
      <w:proofErr w:type="spellStart"/>
      <w:r w:rsidRPr="001C513C">
        <w:rPr>
          <w:rFonts w:ascii="Times New Roman" w:hAnsi="Times New Roman" w:cs="Times New Roman"/>
          <w:sz w:val="20"/>
          <w:szCs w:val="20"/>
        </w:rPr>
        <w:t>Orentlicher</w:t>
      </w:r>
      <w:proofErr w:type="spellEnd"/>
      <w:r w:rsidRPr="001C513C">
        <w:rPr>
          <w:rFonts w:ascii="Times New Roman" w:hAnsi="Times New Roman" w:cs="Times New Roman"/>
          <w:sz w:val="20"/>
          <w:szCs w:val="20"/>
        </w:rPr>
        <w:t>,</w:t>
      </w:r>
      <w:r w:rsidRPr="002834C9">
        <w:rPr>
          <w:rFonts w:ascii="Times New Roman" w:hAnsi="Times New Roman" w:cs="Times New Roman"/>
          <w:i/>
          <w:sz w:val="20"/>
          <w:szCs w:val="20"/>
        </w:rPr>
        <w:t xml:space="preserve"> supra </w:t>
      </w:r>
      <w:r w:rsidRPr="002834C9">
        <w:rPr>
          <w:rFonts w:ascii="Times New Roman" w:hAnsi="Times New Roman" w:cs="Times New Roman"/>
          <w:sz w:val="20"/>
          <w:szCs w:val="20"/>
        </w:rPr>
        <w:t xml:space="preserve">note </w:t>
      </w:r>
      <w:r>
        <w:rPr>
          <w:rFonts w:ascii="Times New Roman" w:hAnsi="Times New Roman" w:cs="Times New Roman"/>
          <w:sz w:val="20"/>
          <w:szCs w:val="20"/>
        </w:rPr>
        <w:t>35</w:t>
      </w:r>
      <w:r w:rsidRPr="002834C9">
        <w:rPr>
          <w:rFonts w:ascii="Times New Roman" w:hAnsi="Times New Roman" w:cs="Times New Roman"/>
          <w:sz w:val="20"/>
          <w:szCs w:val="20"/>
        </w:rPr>
        <w:t>, §10</w:t>
      </w:r>
      <w:r w:rsidRPr="001C513C">
        <w:rPr>
          <w:rFonts w:ascii="Times New Roman" w:hAnsi="Times New Roman" w:cs="Times New Roman"/>
          <w:sz w:val="20"/>
          <w:szCs w:val="20"/>
        </w:rPr>
        <w:t xml:space="preserve">. Note, however, that in her scholarly work, </w:t>
      </w:r>
      <w:proofErr w:type="spellStart"/>
      <w:r w:rsidRPr="001C513C">
        <w:rPr>
          <w:rFonts w:ascii="Times New Roman" w:hAnsi="Times New Roman" w:cs="Times New Roman"/>
          <w:sz w:val="20"/>
          <w:szCs w:val="20"/>
        </w:rPr>
        <w:t>Orentlicher</w:t>
      </w:r>
      <w:proofErr w:type="spellEnd"/>
      <w:r w:rsidRPr="001C513C">
        <w:rPr>
          <w:rFonts w:ascii="Times New Roman" w:hAnsi="Times New Roman" w:cs="Times New Roman"/>
          <w:sz w:val="20"/>
          <w:szCs w:val="20"/>
        </w:rPr>
        <w:t xml:space="preserve"> said she would not insist ‘on prosecutions if doing so would block a peace agreement that would end human carnage’. D. </w:t>
      </w:r>
      <w:proofErr w:type="spellStart"/>
      <w:r w:rsidRPr="001C513C">
        <w:rPr>
          <w:rFonts w:ascii="Times New Roman" w:hAnsi="Times New Roman" w:cs="Times New Roman"/>
          <w:sz w:val="20"/>
          <w:szCs w:val="20"/>
        </w:rPr>
        <w:t>Orentlicher</w:t>
      </w:r>
      <w:proofErr w:type="spellEnd"/>
      <w:r w:rsidRPr="001C513C">
        <w:rPr>
          <w:rFonts w:ascii="Times New Roman" w:hAnsi="Times New Roman" w:cs="Times New Roman"/>
          <w:sz w:val="20"/>
          <w:szCs w:val="20"/>
        </w:rPr>
        <w:t xml:space="preserve">, ‘Settling Accounts’ Revisited: Reconciling Global Norms with Local Agency’, 1(1) </w:t>
      </w:r>
      <w:r w:rsidRPr="001C513C">
        <w:rPr>
          <w:rFonts w:ascii="Times New Roman" w:hAnsi="Times New Roman" w:cs="Times New Roman"/>
          <w:i/>
          <w:sz w:val="20"/>
          <w:szCs w:val="20"/>
        </w:rPr>
        <w:t xml:space="preserve">IJTJ </w:t>
      </w:r>
      <w:r w:rsidRPr="001C513C">
        <w:rPr>
          <w:rFonts w:ascii="Times New Roman" w:hAnsi="Times New Roman" w:cs="Times New Roman"/>
          <w:sz w:val="20"/>
          <w:szCs w:val="20"/>
        </w:rPr>
        <w:t xml:space="preserve">(2007) 10, at 21. It is unclear whether the South African arrangement was considered to have ended ‘human carnage’. </w:t>
      </w:r>
    </w:p>
  </w:footnote>
  <w:footnote w:id="39">
    <w:p w14:paraId="3514EE4E" w14:textId="6A2620A5" w:rsidR="00F64BB3" w:rsidRPr="002834C9"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e.g. Sadat</w:t>
      </w:r>
      <w:r>
        <w:rPr>
          <w:rFonts w:ascii="Times New Roman" w:hAnsi="Times New Roman" w:cs="Times New Roman"/>
        </w:rPr>
        <w:t>,</w:t>
      </w:r>
      <w:r w:rsidRPr="002834C9">
        <w:rPr>
          <w:rFonts w:ascii="Times New Roman" w:hAnsi="Times New Roman" w:cs="Times New Roman"/>
        </w:rPr>
        <w:t xml:space="preserve"> </w:t>
      </w:r>
      <w:r w:rsidRPr="002834C9">
        <w:rPr>
          <w:rFonts w:ascii="Times New Roman" w:hAnsi="Times New Roman" w:cs="Times New Roman"/>
          <w:i/>
        </w:rPr>
        <w:t xml:space="preserve">supra </w:t>
      </w:r>
      <w:r w:rsidRPr="002834C9">
        <w:rPr>
          <w:rFonts w:ascii="Times New Roman" w:hAnsi="Times New Roman" w:cs="Times New Roman"/>
        </w:rPr>
        <w:t>note</w:t>
      </w:r>
      <w:r w:rsidRPr="002834C9">
        <w:rPr>
          <w:rFonts w:ascii="Times New Roman" w:hAnsi="Times New Roman" w:cs="Times New Roman"/>
          <w:i/>
        </w:rPr>
        <w:t xml:space="preserve"> </w:t>
      </w:r>
      <w:r>
        <w:rPr>
          <w:rFonts w:ascii="Times New Roman" w:hAnsi="Times New Roman" w:cs="Times New Roman"/>
        </w:rPr>
        <w:t>35</w:t>
      </w:r>
      <w:r w:rsidRPr="002834C9">
        <w:rPr>
          <w:rFonts w:ascii="Times New Roman" w:hAnsi="Times New Roman" w:cs="Times New Roman"/>
        </w:rPr>
        <w:t>, at 1034, noting that ‘</w:t>
      </w:r>
      <w:r>
        <w:rPr>
          <w:rFonts w:ascii="Times New Roman" w:hAnsi="Times New Roman" w:cs="Times New Roman"/>
        </w:rPr>
        <w:t>[y]</w:t>
      </w:r>
      <w:r w:rsidRPr="001C513C">
        <w:rPr>
          <w:rFonts w:ascii="Times New Roman" w:hAnsi="Times New Roman" w:cs="Times New Roman"/>
        </w:rPr>
        <w:t xml:space="preserve">et international criminal justice is not and should not be a “one size fits all” proposition, nor is it a panacea for the world’s ills. The South African experience suggests that although the criminal law is an important tool, where a society is able to come together in a democratic process and engage in deliberation concerning the fate of perpetrators of atrocities under a former regime, some of which may be prosecuted, others not, that decision should be respected.’ See also at 987.  </w:t>
      </w:r>
    </w:p>
  </w:footnote>
  <w:footnote w:id="40">
    <w:p w14:paraId="7F06FF6C" w14:textId="2B819E02"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AZAPO</w:t>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12</w:t>
      </w:r>
      <w:r w:rsidRPr="001C513C">
        <w:rPr>
          <w:rFonts w:ascii="Times New Roman" w:eastAsia="Times New Roman" w:hAnsi="Times New Roman" w:cs="Times New Roman"/>
          <w:sz w:val="20"/>
          <w:szCs w:val="20"/>
        </w:rPr>
        <w:t>, at 53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19). See also TRC Report,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28</w:t>
      </w:r>
      <w:r w:rsidRPr="001C513C">
        <w:rPr>
          <w:rFonts w:ascii="Times New Roman" w:eastAsia="Times New Roman" w:hAnsi="Times New Roman" w:cs="Times New Roman"/>
          <w:sz w:val="20"/>
          <w:szCs w:val="20"/>
        </w:rPr>
        <w:t xml:space="preserve">, Vol. 1, Chapter 1, at 5, §21: ‘There were those who believed that we should follow the post World War II example of putting those guilty of gross violations of human rights on trial as the allies did at Nuremberg. In South Africa, where we had a military stalemate, that was clearly an impossible option. Neither side in the struggle (the state nor the liberation movements) had defeated the other and hence nobody was in a position to enforce so-called victor’s justice.’ See also A. </w:t>
      </w:r>
      <w:proofErr w:type="spellStart"/>
      <w:r w:rsidRPr="001C513C">
        <w:rPr>
          <w:rFonts w:ascii="Times New Roman" w:eastAsia="Times New Roman" w:hAnsi="Times New Roman" w:cs="Times New Roman"/>
          <w:sz w:val="20"/>
          <w:szCs w:val="20"/>
        </w:rPr>
        <w:t>Boraine</w:t>
      </w:r>
      <w:proofErr w:type="spellEnd"/>
      <w:r w:rsidRPr="001C513C">
        <w:rPr>
          <w:rFonts w:ascii="Times New Roman" w:eastAsia="Times New Roman" w:hAnsi="Times New Roman" w:cs="Times New Roman"/>
          <w:sz w:val="20"/>
          <w:szCs w:val="20"/>
        </w:rPr>
        <w:t xml:space="preserve">, ‘Truth and Reconciliation in South Africa: The Third Way’, in R.I. </w:t>
      </w:r>
      <w:proofErr w:type="spellStart"/>
      <w:r w:rsidRPr="001C513C">
        <w:rPr>
          <w:rFonts w:ascii="Times New Roman" w:eastAsia="Times New Roman" w:hAnsi="Times New Roman" w:cs="Times New Roman"/>
          <w:sz w:val="20"/>
          <w:szCs w:val="20"/>
        </w:rPr>
        <w:t>Rotberg</w:t>
      </w:r>
      <w:proofErr w:type="spellEnd"/>
      <w:r w:rsidRPr="001C513C">
        <w:rPr>
          <w:rFonts w:ascii="Times New Roman" w:eastAsia="Times New Roman" w:hAnsi="Times New Roman" w:cs="Times New Roman"/>
          <w:sz w:val="20"/>
          <w:szCs w:val="20"/>
        </w:rPr>
        <w:t xml:space="preserve"> and D. Thompson (</w:t>
      </w:r>
      <w:proofErr w:type="spellStart"/>
      <w:r w:rsidRPr="001C513C">
        <w:rPr>
          <w:rFonts w:ascii="Times New Roman" w:eastAsia="Times New Roman" w:hAnsi="Times New Roman" w:cs="Times New Roman"/>
          <w:sz w:val="20"/>
          <w:szCs w:val="20"/>
        </w:rPr>
        <w:t>eds</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Truth v. Justice</w:t>
      </w:r>
      <w:r w:rsidRPr="001C513C">
        <w:rPr>
          <w:rFonts w:ascii="Times New Roman" w:eastAsia="Times New Roman" w:hAnsi="Times New Roman" w:cs="Times New Roman"/>
          <w:sz w:val="20"/>
          <w:szCs w:val="20"/>
        </w:rPr>
        <w:t xml:space="preserve"> (Princeton University Press, 2000) 141, at 143-144 and D.N. </w:t>
      </w:r>
      <w:proofErr w:type="spellStart"/>
      <w:r w:rsidRPr="001C513C">
        <w:rPr>
          <w:rFonts w:ascii="Times New Roman" w:eastAsia="Times New Roman" w:hAnsi="Times New Roman" w:cs="Times New Roman"/>
          <w:sz w:val="20"/>
          <w:szCs w:val="20"/>
        </w:rPr>
        <w:t>Ntsebeza</w:t>
      </w:r>
      <w:proofErr w:type="spellEnd"/>
      <w:r w:rsidRPr="001C513C">
        <w:rPr>
          <w:rFonts w:ascii="Times New Roman" w:eastAsia="Times New Roman" w:hAnsi="Times New Roman" w:cs="Times New Roman"/>
          <w:sz w:val="20"/>
          <w:szCs w:val="20"/>
        </w:rPr>
        <w:t xml:space="preserve">, ‘The Uses of Truth Commissions: Lessons for the World’, </w:t>
      </w:r>
      <w:r w:rsidRPr="001C513C">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158, at 160 and 168. </w:t>
      </w:r>
    </w:p>
  </w:footnote>
  <w:footnote w:id="41">
    <w:p w14:paraId="4A81D150"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See also J. </w:t>
      </w:r>
      <w:proofErr w:type="spellStart"/>
      <w:r w:rsidRPr="001C513C">
        <w:rPr>
          <w:rFonts w:ascii="Times New Roman" w:eastAsia="Times New Roman" w:hAnsi="Times New Roman" w:cs="Times New Roman"/>
          <w:sz w:val="20"/>
          <w:szCs w:val="20"/>
        </w:rPr>
        <w:t>Dugard</w:t>
      </w:r>
      <w:proofErr w:type="spellEnd"/>
      <w:r w:rsidRPr="001C513C">
        <w:rPr>
          <w:rFonts w:ascii="Times New Roman" w:eastAsia="Times New Roman" w:hAnsi="Times New Roman" w:cs="Times New Roman"/>
          <w:sz w:val="20"/>
          <w:szCs w:val="20"/>
        </w:rPr>
        <w:t xml:space="preserve">, ‘Dealing with Crimes of a Past Regime. Is Amnesty Still an Option?’, 12(4) </w:t>
      </w:r>
      <w:r w:rsidRPr="001C513C">
        <w:rPr>
          <w:rFonts w:ascii="Times New Roman" w:eastAsia="Times New Roman" w:hAnsi="Times New Roman" w:cs="Times New Roman"/>
          <w:i/>
          <w:sz w:val="20"/>
          <w:szCs w:val="20"/>
        </w:rPr>
        <w:t>Leiden Journal of International Law</w:t>
      </w:r>
      <w:r w:rsidRPr="001C513C">
        <w:rPr>
          <w:rFonts w:ascii="Times New Roman" w:eastAsia="Times New Roman" w:hAnsi="Times New Roman" w:cs="Times New Roman"/>
          <w:sz w:val="20"/>
          <w:szCs w:val="20"/>
        </w:rPr>
        <w:t xml:space="preserve"> (1999) 1001, at 1006: ‘International opinion, often driven by NGOs and western activists who are strangers to repression, fails to pay sufficient attention to the circumstances of the society which chooses amnesty above prosecution.’</w:t>
      </w:r>
    </w:p>
  </w:footnote>
  <w:footnote w:id="42">
    <w:p w14:paraId="7147C64C"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1C513C">
        <w:rPr>
          <w:rFonts w:ascii="Times New Roman" w:eastAsia="Times New Roman" w:hAnsi="Times New Roman" w:cs="Times New Roman"/>
          <w:sz w:val="20"/>
          <w:szCs w:val="20"/>
        </w:rPr>
        <w:t>he Colombian peace agreement</w:t>
      </w:r>
      <w:r>
        <w:rPr>
          <w:rFonts w:ascii="Times New Roman" w:eastAsia="Times New Roman" w:hAnsi="Times New Roman" w:cs="Times New Roman"/>
          <w:sz w:val="20"/>
          <w:szCs w:val="20"/>
        </w:rPr>
        <w:t xml:space="preserve"> provides some examples: see </w:t>
      </w:r>
      <w:r w:rsidRPr="001C513C">
        <w:rPr>
          <w:rFonts w:ascii="Times New Roman" w:eastAsia="Times New Roman" w:hAnsi="Times New Roman" w:cs="Times New Roman"/>
          <w:sz w:val="20"/>
          <w:szCs w:val="20"/>
        </w:rPr>
        <w:t xml:space="preserve">the 11th </w:t>
      </w:r>
      <w:proofErr w:type="spellStart"/>
      <w:r w:rsidRPr="001C513C">
        <w:rPr>
          <w:rFonts w:ascii="Times New Roman" w:eastAsia="Times New Roman" w:hAnsi="Times New Roman" w:cs="Times New Roman"/>
          <w:sz w:val="20"/>
          <w:szCs w:val="20"/>
        </w:rPr>
        <w:t>preambular</w:t>
      </w:r>
      <w:proofErr w:type="spellEnd"/>
      <w:r w:rsidRPr="001C513C">
        <w:rPr>
          <w:rFonts w:ascii="Times New Roman" w:eastAsia="Times New Roman" w:hAnsi="Times New Roman" w:cs="Times New Roman"/>
          <w:sz w:val="20"/>
          <w:szCs w:val="20"/>
        </w:rPr>
        <w:t xml:space="preserve"> recital (‘Emphasizing that peace has come to be universally described as a superior human right and as a prerequisite for the exercising of all other rights and duties incumbent upon individuals and citizens;’), and </w:t>
      </w:r>
      <w:r>
        <w:rPr>
          <w:rFonts w:ascii="Times New Roman" w:eastAsia="Times New Roman" w:hAnsi="Times New Roman" w:cs="Times New Roman"/>
          <w:sz w:val="20"/>
          <w:szCs w:val="20"/>
        </w:rPr>
        <w:t xml:space="preserve">consider </w:t>
      </w:r>
      <w:r w:rsidRPr="001C513C">
        <w:rPr>
          <w:rFonts w:ascii="Times New Roman" w:eastAsia="Times New Roman" w:hAnsi="Times New Roman" w:cs="Times New Roman"/>
          <w:sz w:val="20"/>
          <w:szCs w:val="20"/>
        </w:rPr>
        <w:t xml:space="preserve">the title of the special justice arrangement (‘the Special Jurisdiction for Peace’). </w:t>
      </w:r>
      <w:r w:rsidRPr="001F0B0D">
        <w:rPr>
          <w:rFonts w:ascii="Times New Roman" w:eastAsia="Times New Roman" w:hAnsi="Times New Roman" w:cs="Times New Roman"/>
          <w:sz w:val="20"/>
          <w:szCs w:val="20"/>
        </w:rPr>
        <w:t>Final Agreement to End the Armed Conflict and Build a Stable and Lasting Peace (the Colombia Final Agreement)</w:t>
      </w:r>
      <w:r w:rsidRPr="001C513C">
        <w:rPr>
          <w:rFonts w:ascii="Times New Roman" w:eastAsia="Times New Roman" w:hAnsi="Times New Roman" w:cs="Times New Roman"/>
          <w:sz w:val="20"/>
          <w:szCs w:val="20"/>
        </w:rPr>
        <w:t xml:space="preserve">, 24 November 2016, available at </w:t>
      </w:r>
      <w:hyperlink r:id="rId3">
        <w:r w:rsidRPr="001C513C">
          <w:rPr>
            <w:rFonts w:ascii="Times New Roman" w:eastAsia="Times New Roman" w:hAnsi="Times New Roman" w:cs="Times New Roman"/>
            <w:sz w:val="20"/>
            <w:szCs w:val="20"/>
          </w:rPr>
          <w:t>http://especiales.presidencia.gov.co/Documents/20170620-dejacion-armas/acuerdos/acuerdo-final-ingles.pdf</w:t>
        </w:r>
      </w:hyperlink>
      <w:r w:rsidRPr="001C513C">
        <w:rPr>
          <w:rFonts w:ascii="Times New Roman" w:eastAsia="Times New Roman" w:hAnsi="Times New Roman" w:cs="Times New Roman"/>
          <w:sz w:val="20"/>
          <w:szCs w:val="20"/>
        </w:rPr>
        <w:t xml:space="preserve"> (last visited </w:t>
      </w:r>
      <w:r>
        <w:rPr>
          <w:rFonts w:ascii="Times New Roman" w:eastAsia="Times New Roman" w:hAnsi="Times New Roman" w:cs="Times New Roman"/>
          <w:sz w:val="20"/>
          <w:szCs w:val="20"/>
        </w:rPr>
        <w:t>23</w:t>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Jul</w:t>
      </w:r>
      <w:r w:rsidRPr="001C513C">
        <w:rPr>
          <w:rFonts w:ascii="Times New Roman" w:eastAsia="Times New Roman" w:hAnsi="Times New Roman" w:cs="Times New Roman"/>
          <w:sz w:val="20"/>
          <w:szCs w:val="20"/>
        </w:rPr>
        <w:t xml:space="preserve">y 2018). </w:t>
      </w:r>
    </w:p>
  </w:footnote>
  <w:footnote w:id="43">
    <w:p w14:paraId="698F4273"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Inter-American Court of Human Rights (</w:t>
      </w:r>
      <w:proofErr w:type="spellStart"/>
      <w:r w:rsidRPr="006E3138">
        <w:rPr>
          <w:rFonts w:ascii="Times New Roman" w:eastAsia="Times New Roman" w:hAnsi="Times New Roman" w:cs="Times New Roman"/>
          <w:sz w:val="20"/>
          <w:szCs w:val="20"/>
        </w:rPr>
        <w:t>IACtHR</w:t>
      </w:r>
      <w:proofErr w:type="spellEnd"/>
      <w:r>
        <w:rPr>
          <w:rFonts w:ascii="Times New Roman" w:eastAsia="Times New Roman" w:hAnsi="Times New Roman" w:cs="Times New Roman"/>
          <w:sz w:val="20"/>
          <w:szCs w:val="20"/>
        </w:rPr>
        <w:t>),</w:t>
      </w:r>
      <w:r w:rsidRPr="006E3138">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The Massacres of El </w:t>
      </w:r>
      <w:proofErr w:type="spellStart"/>
      <w:r w:rsidRPr="001C513C">
        <w:rPr>
          <w:rFonts w:ascii="Times New Roman" w:eastAsia="Times New Roman" w:hAnsi="Times New Roman" w:cs="Times New Roman"/>
          <w:i/>
          <w:sz w:val="20"/>
          <w:szCs w:val="20"/>
        </w:rPr>
        <w:t>Mozote</w:t>
      </w:r>
      <w:proofErr w:type="spellEnd"/>
      <w:r w:rsidRPr="001C513C">
        <w:rPr>
          <w:rFonts w:ascii="Times New Roman" w:eastAsia="Times New Roman" w:hAnsi="Times New Roman" w:cs="Times New Roman"/>
          <w:i/>
          <w:sz w:val="20"/>
          <w:szCs w:val="20"/>
        </w:rPr>
        <w:t xml:space="preserve"> and Nearby Places v. El Salvador</w:t>
      </w:r>
      <w:r w:rsidRPr="001C513C">
        <w:rPr>
          <w:rFonts w:ascii="Times New Roman" w:eastAsia="Times New Roman" w:hAnsi="Times New Roman" w:cs="Times New Roman"/>
          <w:sz w:val="20"/>
          <w:szCs w:val="20"/>
        </w:rPr>
        <w:t>, Judgment</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25 October 2012, Concurring Opinion of Judge D. Garcia-</w:t>
      </w:r>
      <w:proofErr w:type="spellStart"/>
      <w:r w:rsidRPr="001C513C">
        <w:rPr>
          <w:rFonts w:ascii="Times New Roman" w:eastAsia="Times New Roman" w:hAnsi="Times New Roman" w:cs="Times New Roman"/>
          <w:sz w:val="20"/>
          <w:szCs w:val="20"/>
        </w:rPr>
        <w:t>Sayán</w:t>
      </w:r>
      <w:proofErr w:type="spellEnd"/>
      <w:r w:rsidRPr="001C513C">
        <w:rPr>
          <w:rFonts w:ascii="Times New Roman" w:eastAsia="Times New Roman" w:hAnsi="Times New Roman" w:cs="Times New Roman"/>
          <w:sz w:val="20"/>
          <w:szCs w:val="20"/>
        </w:rPr>
        <w:t>, at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37.  </w:t>
      </w:r>
    </w:p>
  </w:footnote>
  <w:footnote w:id="44">
    <w:p w14:paraId="37F524E6" w14:textId="77777777" w:rsidR="00F64BB3" w:rsidRPr="001C513C" w:rsidRDefault="00F64BB3" w:rsidP="002834C9">
      <w:pPr>
        <w:pStyle w:val="FootnoteText"/>
        <w:jc w:val="both"/>
      </w:pPr>
      <w:r w:rsidRPr="001C513C">
        <w:rPr>
          <w:rStyle w:val="FootnoteReference"/>
          <w:rFonts w:ascii="Times New Roman" w:hAnsi="Times New Roman" w:cs="Times New Roman"/>
        </w:rPr>
        <w:footnoteRef/>
      </w:r>
      <w:r w:rsidRPr="001C513C">
        <w:rPr>
          <w:rFonts w:ascii="Times New Roman" w:hAnsi="Times New Roman" w:cs="Times New Roman"/>
        </w:rPr>
        <w:t xml:space="preserve"> See also K. </w:t>
      </w:r>
      <w:proofErr w:type="spellStart"/>
      <w:r w:rsidRPr="001C513C">
        <w:rPr>
          <w:rFonts w:ascii="Times New Roman" w:hAnsi="Times New Roman" w:cs="Times New Roman"/>
        </w:rPr>
        <w:t>Asmal</w:t>
      </w:r>
      <w:proofErr w:type="spellEnd"/>
      <w:r w:rsidRPr="001C513C">
        <w:rPr>
          <w:rFonts w:ascii="Times New Roman" w:hAnsi="Times New Roman" w:cs="Times New Roman"/>
        </w:rPr>
        <w:t xml:space="preserve">, ‘Stopping Crimes through Negotiations: The Case of South Africa’, </w:t>
      </w:r>
      <w:r w:rsidRPr="001C513C">
        <w:rPr>
          <w:rFonts w:ascii="Times New Roman" w:hAnsi="Times New Roman" w:cs="Times New Roman"/>
          <w:i/>
          <w:iCs/>
        </w:rPr>
        <w:t>Guest Lecture Series of the Office of the Prosecutor</w:t>
      </w:r>
      <w:r w:rsidRPr="001C513C">
        <w:rPr>
          <w:rFonts w:ascii="Times New Roman" w:hAnsi="Times New Roman" w:cs="Times New Roman"/>
          <w:iCs/>
        </w:rPr>
        <w:t>, The Hague, 14 March 2006</w:t>
      </w:r>
      <w:r w:rsidRPr="001C513C">
        <w:rPr>
          <w:rFonts w:ascii="Times New Roman" w:hAnsi="Times New Roman" w:cs="Times New Roman"/>
        </w:rPr>
        <w:t>, at 9: ‘Retributive justice would purge our society of people, but not of apartheid.’</w:t>
      </w:r>
    </w:p>
  </w:footnote>
  <w:footnote w:id="45">
    <w:p w14:paraId="52954D57" w14:textId="313726FB"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w:t>
      </w:r>
      <w:r w:rsidRPr="001C513C">
        <w:rPr>
          <w:rFonts w:ascii="Times New Roman" w:eastAsia="Times New Roman" w:hAnsi="Times New Roman" w:cs="Times New Roman"/>
        </w:rPr>
        <w:t xml:space="preserve">Promotion of National Unity and Reconciliation Act, </w:t>
      </w:r>
      <w:r w:rsidRPr="001C513C">
        <w:rPr>
          <w:rFonts w:ascii="Times New Roman" w:eastAsia="Times New Roman" w:hAnsi="Times New Roman" w:cs="Times New Roman"/>
          <w:i/>
        </w:rPr>
        <w:t>supra</w:t>
      </w:r>
      <w:r w:rsidRPr="001C513C">
        <w:rPr>
          <w:rFonts w:ascii="Times New Roman" w:eastAsia="Times New Roman" w:hAnsi="Times New Roman" w:cs="Times New Roman"/>
        </w:rPr>
        <w:t xml:space="preserve"> note </w:t>
      </w:r>
      <w:r>
        <w:rPr>
          <w:rFonts w:ascii="Times New Roman" w:eastAsia="Times New Roman" w:hAnsi="Times New Roman" w:cs="Times New Roman"/>
        </w:rPr>
        <w:t>16</w:t>
      </w:r>
      <w:r w:rsidRPr="001C513C">
        <w:rPr>
          <w:rFonts w:ascii="Times New Roman" w:eastAsia="Times New Roman" w:hAnsi="Times New Roman" w:cs="Times New Roman"/>
        </w:rPr>
        <w:t>, s</w:t>
      </w:r>
      <w:r>
        <w:rPr>
          <w:rFonts w:ascii="Times New Roman" w:eastAsia="Times New Roman" w:hAnsi="Times New Roman" w:cs="Times New Roman"/>
        </w:rPr>
        <w:t>.</w:t>
      </w:r>
      <w:r w:rsidRPr="001C513C">
        <w:rPr>
          <w:rFonts w:ascii="Times New Roman" w:eastAsia="Times New Roman" w:hAnsi="Times New Roman" w:cs="Times New Roman"/>
        </w:rPr>
        <w:t xml:space="preserve"> 1(1).</w:t>
      </w:r>
    </w:p>
  </w:footnote>
  <w:footnote w:id="46">
    <w:p w14:paraId="44C4EEE0" w14:textId="1E56A7A0" w:rsidR="00F64BB3" w:rsidRPr="00000EC8" w:rsidRDefault="00F64BB3" w:rsidP="006E664C">
      <w:pPr>
        <w:pStyle w:val="FootnoteText"/>
        <w:jc w:val="both"/>
        <w:rPr>
          <w:rFonts w:ascii="Times New Roman" w:hAnsi="Times New Roman" w:cs="Times New Roman"/>
        </w:rPr>
      </w:pPr>
      <w:r w:rsidRPr="00036969">
        <w:rPr>
          <w:rStyle w:val="FootnoteReference"/>
          <w:rFonts w:ascii="Times New Roman" w:hAnsi="Times New Roman" w:cs="Times New Roman"/>
        </w:rPr>
        <w:footnoteRef/>
      </w:r>
      <w:r w:rsidRPr="00036969">
        <w:rPr>
          <w:rFonts w:ascii="Times New Roman" w:hAnsi="Times New Roman" w:cs="Times New Roman"/>
        </w:rPr>
        <w:t xml:space="preserve"> See also </w:t>
      </w:r>
      <w:r w:rsidRPr="00036969">
        <w:rPr>
          <w:rFonts w:ascii="Times New Roman" w:eastAsia="Times New Roman" w:hAnsi="Times New Roman" w:cs="Times New Roman"/>
          <w:i/>
        </w:rPr>
        <w:t>AZAPO</w:t>
      </w:r>
      <w:r w:rsidRPr="00036969">
        <w:rPr>
          <w:rFonts w:ascii="Times New Roman" w:eastAsia="Times New Roman" w:hAnsi="Times New Roman" w:cs="Times New Roman"/>
        </w:rPr>
        <w:t xml:space="preserve">, </w:t>
      </w:r>
      <w:r w:rsidRPr="00036969">
        <w:rPr>
          <w:rFonts w:ascii="Times New Roman" w:eastAsia="Times New Roman" w:hAnsi="Times New Roman" w:cs="Times New Roman"/>
          <w:i/>
        </w:rPr>
        <w:t>supra</w:t>
      </w:r>
      <w:r w:rsidRPr="00036969">
        <w:rPr>
          <w:rFonts w:ascii="Times New Roman" w:eastAsia="Times New Roman" w:hAnsi="Times New Roman" w:cs="Times New Roman"/>
        </w:rPr>
        <w:t xml:space="preserve"> note </w:t>
      </w:r>
      <w:r>
        <w:rPr>
          <w:rFonts w:ascii="Times New Roman" w:eastAsia="Times New Roman" w:hAnsi="Times New Roman" w:cs="Times New Roman"/>
        </w:rPr>
        <w:t>12</w:t>
      </w:r>
      <w:r w:rsidRPr="00036969">
        <w:rPr>
          <w:rFonts w:ascii="Times New Roman" w:eastAsia="Times New Roman" w:hAnsi="Times New Roman" w:cs="Times New Roman"/>
        </w:rPr>
        <w:t xml:space="preserve">, </w:t>
      </w:r>
      <w:r>
        <w:rPr>
          <w:rFonts w:ascii="Times New Roman" w:eastAsia="Times New Roman" w:hAnsi="Times New Roman" w:cs="Times New Roman"/>
        </w:rPr>
        <w:t xml:space="preserve">at </w:t>
      </w:r>
      <w:r w:rsidRPr="00036969">
        <w:rPr>
          <w:rFonts w:ascii="Times New Roman" w:eastAsia="Times New Roman" w:hAnsi="Times New Roman" w:cs="Times New Roman"/>
        </w:rPr>
        <w:t>§</w:t>
      </w:r>
      <w:r>
        <w:rPr>
          <w:rFonts w:ascii="Times New Roman" w:eastAsia="Times New Roman" w:hAnsi="Times New Roman" w:cs="Times New Roman"/>
        </w:rPr>
        <w:t xml:space="preserve"> </w:t>
      </w:r>
      <w:r w:rsidRPr="00036969">
        <w:rPr>
          <w:rFonts w:ascii="Times New Roman" w:eastAsia="Times New Roman" w:hAnsi="Times New Roman" w:cs="Times New Roman"/>
        </w:rPr>
        <w:t>43: ‘</w:t>
      </w:r>
      <w:r w:rsidRPr="00036969">
        <w:rPr>
          <w:rFonts w:ascii="Times New Roman" w:hAnsi="Times New Roman" w:cs="Times New Roman"/>
        </w:rPr>
        <w:t xml:space="preserve">The families of those whose fundamental human rights were invaded by torture and abuse are not the only victims who have endured </w:t>
      </w:r>
      <w:r>
        <w:rPr>
          <w:rFonts w:ascii="Times New Roman" w:hAnsi="Times New Roman" w:cs="Times New Roman"/>
        </w:rPr>
        <w:t>“</w:t>
      </w:r>
      <w:r w:rsidRPr="00036969">
        <w:rPr>
          <w:rFonts w:ascii="Times New Roman" w:hAnsi="Times New Roman" w:cs="Times New Roman"/>
        </w:rPr>
        <w:t>untold suffering and injustice</w:t>
      </w:r>
      <w:r>
        <w:rPr>
          <w:rFonts w:ascii="Times New Roman" w:hAnsi="Times New Roman" w:cs="Times New Roman"/>
        </w:rPr>
        <w:t>”</w:t>
      </w:r>
      <w:r w:rsidRPr="00036969">
        <w:rPr>
          <w:rFonts w:ascii="Times New Roman" w:hAnsi="Times New Roman" w:cs="Times New Roman"/>
        </w:rPr>
        <w:t xml:space="preserve"> in consequence of the crass inhumanity of apartheid which so many have had to endure for so long. Generations of children born and yet to be born will suffer the consequences of poverty, of malnutrition, of homelessness, of illiteracy and disempowerment generated and sustain</w:t>
      </w:r>
      <w:r w:rsidRPr="00000EC8">
        <w:rPr>
          <w:rFonts w:ascii="Times New Roman" w:hAnsi="Times New Roman" w:cs="Times New Roman"/>
        </w:rPr>
        <w:t>ed by the institutions of apartheid and its manifest effects on life and living for so many.’</w:t>
      </w:r>
    </w:p>
  </w:footnote>
  <w:footnote w:id="47">
    <w:p w14:paraId="520CF345" w14:textId="77777777" w:rsidR="00F64BB3" w:rsidRPr="00000EC8" w:rsidRDefault="00F64BB3" w:rsidP="00D3034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00EC8">
        <w:rPr>
          <w:rFonts w:ascii="Times New Roman" w:hAnsi="Times New Roman" w:cs="Times New Roman"/>
          <w:sz w:val="20"/>
          <w:szCs w:val="20"/>
          <w:vertAlign w:val="superscript"/>
        </w:rPr>
        <w:footnoteRef/>
      </w:r>
      <w:r w:rsidRPr="00000EC8">
        <w:rPr>
          <w:rFonts w:ascii="Times New Roman" w:eastAsia="Times New Roman" w:hAnsi="Times New Roman" w:cs="Times New Roman"/>
          <w:sz w:val="20"/>
          <w:szCs w:val="20"/>
        </w:rPr>
        <w:t xml:space="preserve"> D. Tutu, </w:t>
      </w:r>
      <w:r w:rsidRPr="00000EC8">
        <w:rPr>
          <w:rFonts w:ascii="Times New Roman" w:eastAsia="Times New Roman" w:hAnsi="Times New Roman" w:cs="Times New Roman"/>
          <w:i/>
          <w:sz w:val="20"/>
          <w:szCs w:val="20"/>
        </w:rPr>
        <w:t>No Future Without Forgiveness</w:t>
      </w:r>
      <w:r w:rsidRPr="00000EC8">
        <w:rPr>
          <w:rFonts w:ascii="Times New Roman" w:eastAsia="Times New Roman" w:hAnsi="Times New Roman" w:cs="Times New Roman"/>
          <w:sz w:val="20"/>
          <w:szCs w:val="20"/>
        </w:rPr>
        <w:t xml:space="preserve"> (Rider, 1999), at 35.</w:t>
      </w:r>
      <w:r w:rsidRPr="00CE71D8">
        <w:rPr>
          <w:rFonts w:ascii="Times New Roman" w:eastAsia="Times New Roman" w:hAnsi="Times New Roman" w:cs="Times New Roman"/>
          <w:sz w:val="20"/>
          <w:szCs w:val="20"/>
        </w:rPr>
        <w:t xml:space="preserve"> </w:t>
      </w:r>
    </w:p>
  </w:footnote>
  <w:footnote w:id="48">
    <w:p w14:paraId="55DD8D7C" w14:textId="4EFA85ED" w:rsidR="00F64BB3" w:rsidRDefault="00F64BB3" w:rsidP="006E664C">
      <w:pPr>
        <w:pStyle w:val="FootnoteText"/>
        <w:jc w:val="both"/>
      </w:pPr>
      <w:r>
        <w:rPr>
          <w:rStyle w:val="FootnoteReference"/>
        </w:rPr>
        <w:footnoteRef/>
      </w:r>
      <w:r>
        <w:t xml:space="preserve"> </w:t>
      </w:r>
      <w:proofErr w:type="spellStart"/>
      <w:r w:rsidRPr="00000EC8">
        <w:rPr>
          <w:rFonts w:ascii="Times New Roman" w:eastAsia="Times New Roman" w:hAnsi="Times New Roman" w:cs="Times New Roman"/>
        </w:rPr>
        <w:t>Krog</w:t>
      </w:r>
      <w:proofErr w:type="spellEnd"/>
      <w:r w:rsidRPr="00000EC8">
        <w:rPr>
          <w:rFonts w:ascii="Times New Roman" w:eastAsia="Times New Roman" w:hAnsi="Times New Roman" w:cs="Times New Roman"/>
        </w:rPr>
        <w:t xml:space="preserve">, ‘Rethinking Reconciliation’, </w:t>
      </w:r>
      <w:r w:rsidRPr="00000EC8">
        <w:rPr>
          <w:rFonts w:ascii="Times New Roman" w:eastAsia="Times New Roman" w:hAnsi="Times New Roman" w:cs="Times New Roman"/>
          <w:i/>
        </w:rPr>
        <w:t xml:space="preserve">supra </w:t>
      </w:r>
      <w:r w:rsidRPr="00000EC8">
        <w:rPr>
          <w:rFonts w:ascii="Times New Roman" w:eastAsia="Times New Roman" w:hAnsi="Times New Roman" w:cs="Times New Roman"/>
        </w:rPr>
        <w:t xml:space="preserve">note </w:t>
      </w:r>
      <w:r>
        <w:rPr>
          <w:rFonts w:ascii="Times New Roman" w:eastAsia="Times New Roman" w:hAnsi="Times New Roman" w:cs="Times New Roman"/>
        </w:rPr>
        <w:t xml:space="preserve">12, at 12. </w:t>
      </w:r>
    </w:p>
  </w:footnote>
  <w:footnote w:id="49">
    <w:p w14:paraId="2F89ABB5" w14:textId="77777777" w:rsidR="00F64BB3" w:rsidRPr="001D163F" w:rsidRDefault="00F64BB3" w:rsidP="00D30346">
      <w:pPr>
        <w:pBdr>
          <w:top w:val="nil"/>
          <w:left w:val="nil"/>
          <w:bottom w:val="nil"/>
          <w:right w:val="nil"/>
          <w:between w:val="nil"/>
        </w:pBdr>
        <w:spacing w:after="0" w:line="240" w:lineRule="auto"/>
        <w:jc w:val="both"/>
        <w:rPr>
          <w:rFonts w:ascii="Times New Roman" w:hAnsi="Times New Roman" w:cs="Times New Roman"/>
          <w:sz w:val="20"/>
          <w:szCs w:val="20"/>
        </w:rPr>
      </w:pPr>
      <w:r w:rsidRPr="00000EC8">
        <w:rPr>
          <w:rStyle w:val="FootnoteReference"/>
          <w:rFonts w:ascii="Times New Roman" w:hAnsi="Times New Roman" w:cs="Times New Roman"/>
          <w:sz w:val="20"/>
          <w:szCs w:val="20"/>
        </w:rPr>
        <w:footnoteRef/>
      </w:r>
      <w:r w:rsidRPr="00000EC8">
        <w:rPr>
          <w:rFonts w:ascii="Times New Roman" w:hAnsi="Times New Roman" w:cs="Times New Roman"/>
          <w:sz w:val="20"/>
          <w:szCs w:val="20"/>
        </w:rPr>
        <w:t xml:space="preserve"> </w:t>
      </w:r>
      <w:r w:rsidRPr="001167C0">
        <w:rPr>
          <w:rFonts w:ascii="Times New Roman" w:hAnsi="Times New Roman" w:cs="Times New Roman"/>
          <w:i/>
          <w:sz w:val="20"/>
          <w:szCs w:val="20"/>
        </w:rPr>
        <w:t>Ibid.</w:t>
      </w:r>
      <w:r>
        <w:rPr>
          <w:rFonts w:ascii="Times New Roman" w:hAnsi="Times New Roman" w:cs="Times New Roman"/>
          <w:sz w:val="20"/>
          <w:szCs w:val="20"/>
        </w:rPr>
        <w:t xml:space="preserve">, at 15 and 18. </w:t>
      </w:r>
    </w:p>
  </w:footnote>
  <w:footnote w:id="50">
    <w:p w14:paraId="4F8D1A8A" w14:textId="77777777" w:rsidR="00F64BB3" w:rsidRPr="001D163F" w:rsidRDefault="00F64BB3" w:rsidP="006E664C">
      <w:pPr>
        <w:pStyle w:val="FootnoteText"/>
        <w:jc w:val="both"/>
      </w:pPr>
      <w:r w:rsidRPr="001D163F">
        <w:rPr>
          <w:rStyle w:val="FootnoteReference"/>
          <w:rFonts w:ascii="Times New Roman" w:hAnsi="Times New Roman" w:cs="Times New Roman"/>
        </w:rPr>
        <w:footnoteRef/>
      </w:r>
      <w:r w:rsidRPr="001D163F">
        <w:rPr>
          <w:rFonts w:ascii="Times New Roman" w:hAnsi="Times New Roman" w:cs="Times New Roman"/>
        </w:rPr>
        <w:t xml:space="preserve"> </w:t>
      </w:r>
      <w:r>
        <w:rPr>
          <w:rFonts w:ascii="Times New Roman" w:hAnsi="Times New Roman" w:cs="Times New Roman"/>
          <w:i/>
        </w:rPr>
        <w:t xml:space="preserve">Ubuntu </w:t>
      </w:r>
      <w:r>
        <w:rPr>
          <w:rFonts w:ascii="Times New Roman" w:hAnsi="Times New Roman" w:cs="Times New Roman"/>
        </w:rPr>
        <w:t xml:space="preserve">as defined by </w:t>
      </w:r>
      <w:r w:rsidRPr="001D163F">
        <w:rPr>
          <w:rFonts w:ascii="Times New Roman" w:hAnsi="Times New Roman" w:cs="Times New Roman"/>
        </w:rPr>
        <w:t>C. Villa-</w:t>
      </w:r>
      <w:proofErr w:type="spellStart"/>
      <w:r w:rsidRPr="001D163F">
        <w:rPr>
          <w:rFonts w:ascii="Times New Roman" w:hAnsi="Times New Roman" w:cs="Times New Roman"/>
        </w:rPr>
        <w:t>Vicencio</w:t>
      </w:r>
      <w:proofErr w:type="spellEnd"/>
      <w:r w:rsidRPr="001D163F">
        <w:rPr>
          <w:rFonts w:ascii="Times New Roman" w:hAnsi="Times New Roman" w:cs="Times New Roman"/>
        </w:rPr>
        <w:t xml:space="preserve">, ‘Why Perpetrators Should Not Always Be Prosecuted: Where the International Criminal Court and Truth Commissions Meet’, 49 </w:t>
      </w:r>
      <w:r w:rsidRPr="001D163F">
        <w:rPr>
          <w:rFonts w:ascii="Times New Roman" w:hAnsi="Times New Roman" w:cs="Times New Roman"/>
          <w:i/>
        </w:rPr>
        <w:t>Emory Law Journal</w:t>
      </w:r>
      <w:r>
        <w:rPr>
          <w:rFonts w:ascii="Times New Roman" w:hAnsi="Times New Roman" w:cs="Times New Roman"/>
          <w:i/>
        </w:rPr>
        <w:t xml:space="preserve"> </w:t>
      </w:r>
      <w:r w:rsidRPr="001D163F">
        <w:rPr>
          <w:rFonts w:ascii="Times New Roman" w:hAnsi="Times New Roman" w:cs="Times New Roman"/>
        </w:rPr>
        <w:t>(2000) 205</w:t>
      </w:r>
      <w:r>
        <w:rPr>
          <w:rFonts w:ascii="Times New Roman" w:hAnsi="Times New Roman" w:cs="Times New Roman"/>
        </w:rPr>
        <w:t>,</w:t>
      </w:r>
      <w:r w:rsidRPr="001D163F">
        <w:rPr>
          <w:rFonts w:ascii="Times New Roman" w:hAnsi="Times New Roman" w:cs="Times New Roman"/>
        </w:rPr>
        <w:t xml:space="preserve"> at 209.</w:t>
      </w:r>
      <w:r>
        <w:t xml:space="preserve"> </w:t>
      </w:r>
    </w:p>
  </w:footnote>
  <w:footnote w:id="51">
    <w:p w14:paraId="73400D86" w14:textId="4DC33FD2" w:rsidR="00F64BB3" w:rsidRPr="001C513C" w:rsidRDefault="00F64BB3" w:rsidP="003E5B7C">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AZAPO</w:t>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supra</w:t>
      </w:r>
      <w:r w:rsidRPr="001C513C">
        <w:rPr>
          <w:rFonts w:ascii="Times New Roman" w:eastAsia="Times New Roman" w:hAnsi="Times New Roman" w:cs="Times New Roman"/>
          <w:sz w:val="20"/>
          <w:szCs w:val="20"/>
        </w:rPr>
        <w:t xml:space="preserve"> note </w:t>
      </w:r>
      <w:r>
        <w:rPr>
          <w:rFonts w:ascii="Times New Roman" w:eastAsia="Times New Roman" w:hAnsi="Times New Roman" w:cs="Times New Roman"/>
          <w:sz w:val="20"/>
          <w:szCs w:val="20"/>
        </w:rPr>
        <w:t>12</w:t>
      </w:r>
      <w:r w:rsidRPr="001C513C">
        <w:rPr>
          <w:rFonts w:ascii="Times New Roman" w:eastAsia="Times New Roman" w:hAnsi="Times New Roman" w:cs="Times New Roman"/>
          <w:sz w:val="20"/>
          <w:szCs w:val="20"/>
        </w:rPr>
        <w:t>, at 53,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17; TRC Report,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28</w:t>
      </w:r>
      <w:r w:rsidRPr="001C513C">
        <w:rPr>
          <w:rFonts w:ascii="Times New Roman" w:eastAsia="Times New Roman" w:hAnsi="Times New Roman" w:cs="Times New Roman"/>
          <w:sz w:val="20"/>
          <w:szCs w:val="20"/>
        </w:rPr>
        <w:t xml:space="preserve">, Vol. 1, Chapter 5, at 125 et </w:t>
      </w:r>
      <w:proofErr w:type="spellStart"/>
      <w:r w:rsidRPr="001C513C">
        <w:rPr>
          <w:rFonts w:ascii="Times New Roman" w:eastAsia="Times New Roman" w:hAnsi="Times New Roman" w:cs="Times New Roman"/>
          <w:sz w:val="20"/>
          <w:szCs w:val="20"/>
        </w:rPr>
        <w:t>seq</w:t>
      </w:r>
      <w:proofErr w:type="spellEnd"/>
      <w:r w:rsidRPr="001C513C">
        <w:rPr>
          <w:rFonts w:ascii="Times New Roman" w:eastAsia="Times New Roman" w:hAnsi="Times New Roman" w:cs="Times New Roman"/>
          <w:sz w:val="20"/>
          <w:szCs w:val="20"/>
        </w:rPr>
        <w:t>; A</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Sachs, </w:t>
      </w:r>
      <w:r w:rsidRPr="001C513C">
        <w:rPr>
          <w:rFonts w:ascii="Times New Roman" w:eastAsia="Times New Roman" w:hAnsi="Times New Roman" w:cs="Times New Roman"/>
          <w:i/>
          <w:sz w:val="20"/>
          <w:szCs w:val="20"/>
        </w:rPr>
        <w:t>The Soft Vengeance of a Freedom Fighter</w:t>
      </w:r>
      <w:r w:rsidRPr="001C513C">
        <w:rPr>
          <w:rFonts w:ascii="Times New Roman" w:eastAsia="Times New Roman" w:hAnsi="Times New Roman" w:cs="Times New Roman"/>
          <w:sz w:val="20"/>
          <w:szCs w:val="20"/>
        </w:rPr>
        <w:t xml:space="preserve"> </w:t>
      </w:r>
      <w:r w:rsidRPr="00CE71D8">
        <w:rPr>
          <w:rFonts w:ascii="Times New Roman" w:eastAsia="Times New Roman" w:hAnsi="Times New Roman" w:cs="Times New Roman"/>
          <w:sz w:val="20"/>
          <w:szCs w:val="20"/>
        </w:rPr>
        <w:t>(</w:t>
      </w:r>
      <w:r>
        <w:rPr>
          <w:rFonts w:ascii="Times New Roman" w:eastAsia="Times New Roman" w:hAnsi="Times New Roman" w:cs="Times New Roman"/>
          <w:sz w:val="20"/>
          <w:szCs w:val="20"/>
        </w:rPr>
        <w:t>third and revised edition, Souvenir Press, 2011), Epilogue.</w:t>
      </w:r>
    </w:p>
  </w:footnote>
  <w:footnote w:id="52">
    <w:p w14:paraId="7B53D55F" w14:textId="77777777" w:rsidR="00F64BB3" w:rsidRPr="001C513C" w:rsidRDefault="00F64BB3" w:rsidP="003E5B7C">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Constitution of the Republic of South Africa, Act 200 of 1993, ‘National Unity and Reconciliation’. </w:t>
      </w:r>
    </w:p>
  </w:footnote>
  <w:footnote w:id="53">
    <w:p w14:paraId="5A2D9BEA" w14:textId="7B48140B" w:rsidR="00F64BB3" w:rsidRPr="001C513C" w:rsidRDefault="00F64BB3">
      <w:pPr>
        <w:widowControl w:val="0"/>
        <w:autoSpaceDE w:val="0"/>
        <w:autoSpaceDN w:val="0"/>
        <w:adjustRightInd w:val="0"/>
        <w:spacing w:after="0" w:line="240" w:lineRule="auto"/>
        <w:jc w:val="both"/>
        <w:rPr>
          <w:rFonts w:ascii="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AZAPO</w:t>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supra</w:t>
      </w:r>
      <w:r w:rsidRPr="001C513C">
        <w:rPr>
          <w:rFonts w:ascii="Times New Roman" w:eastAsia="Times New Roman" w:hAnsi="Times New Roman" w:cs="Times New Roman"/>
          <w:sz w:val="20"/>
          <w:szCs w:val="20"/>
        </w:rPr>
        <w:t xml:space="preserve"> note </w:t>
      </w:r>
      <w:r>
        <w:rPr>
          <w:rFonts w:ascii="Times New Roman" w:eastAsia="Times New Roman" w:hAnsi="Times New Roman" w:cs="Times New Roman"/>
          <w:sz w:val="20"/>
          <w:szCs w:val="20"/>
        </w:rPr>
        <w:t>12</w:t>
      </w:r>
      <w:r w:rsidRPr="001C513C">
        <w:rPr>
          <w:rFonts w:ascii="Times New Roman" w:eastAsia="Times New Roman" w:hAnsi="Times New Roman" w:cs="Times New Roman"/>
          <w:sz w:val="20"/>
          <w:szCs w:val="20"/>
        </w:rPr>
        <w:t>, at 53,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17. See also TRC report,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28</w:t>
      </w:r>
      <w:r w:rsidRPr="001C513C">
        <w:rPr>
          <w:rFonts w:ascii="Times New Roman" w:eastAsia="Times New Roman" w:hAnsi="Times New Roman" w:cs="Times New Roman"/>
          <w:sz w:val="20"/>
          <w:szCs w:val="20"/>
        </w:rPr>
        <w:t>, Vol. 1, Chapter 1, at 5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22 and Chapter 5, at 128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91.</w:t>
      </w:r>
    </w:p>
  </w:footnote>
  <w:footnote w:id="54">
    <w:p w14:paraId="22C34A55"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See, more elaborately, S.M.H. Nouwen and W.G. Werner, ‘Monopolising Global Justice: International Criminal Law as a Challenge to Human Diversity’, 13 </w:t>
      </w:r>
      <w:r w:rsidRPr="001C513C">
        <w:rPr>
          <w:rFonts w:ascii="Times New Roman" w:eastAsia="Times New Roman" w:hAnsi="Times New Roman" w:cs="Times New Roman"/>
          <w:i/>
          <w:sz w:val="20"/>
          <w:szCs w:val="20"/>
        </w:rPr>
        <w:t xml:space="preserve">JICJ </w:t>
      </w:r>
      <w:r w:rsidRPr="001C513C">
        <w:rPr>
          <w:rFonts w:ascii="Times New Roman" w:eastAsia="Times New Roman" w:hAnsi="Times New Roman" w:cs="Times New Roman"/>
          <w:sz w:val="20"/>
          <w:szCs w:val="20"/>
        </w:rPr>
        <w:t xml:space="preserve">(2015) 157. </w:t>
      </w:r>
    </w:p>
  </w:footnote>
  <w:footnote w:id="55">
    <w:p w14:paraId="39076F0E" w14:textId="77777777" w:rsidR="00F64BB3" w:rsidRPr="002834C9"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w:t>
      </w:r>
      <w:r w:rsidRPr="001C513C">
        <w:rPr>
          <w:rFonts w:ascii="Times New Roman" w:hAnsi="Times New Roman" w:cs="Times New Roman"/>
          <w:i/>
        </w:rPr>
        <w:t>Ibid</w:t>
      </w:r>
      <w:r w:rsidR="0001512B">
        <w:rPr>
          <w:rFonts w:ascii="Times New Roman" w:hAnsi="Times New Roman" w:cs="Times New Roman"/>
          <w:i/>
        </w:rPr>
        <w:t>.</w:t>
      </w:r>
      <w:r w:rsidRPr="001C513C">
        <w:rPr>
          <w:rFonts w:ascii="Times New Roman" w:eastAsia="Times New Roman" w:hAnsi="Times New Roman" w:cs="Times New Roman"/>
        </w:rPr>
        <w:t>, at 164.</w:t>
      </w:r>
    </w:p>
  </w:footnote>
  <w:footnote w:id="56">
    <w:p w14:paraId="6D3C2D32" w14:textId="453CD4E0"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w:t>
      </w:r>
      <w:r w:rsidRPr="00EB3E80">
        <w:rPr>
          <w:rFonts w:ascii="Times New Roman" w:hAnsi="Times New Roman" w:cs="Times New Roman"/>
        </w:rPr>
        <w:t xml:space="preserve">See, for instance, TRC Report, </w:t>
      </w:r>
      <w:r w:rsidRPr="00AC2564">
        <w:rPr>
          <w:rFonts w:ascii="Times New Roman" w:hAnsi="Times New Roman" w:cs="Times New Roman"/>
          <w:i/>
        </w:rPr>
        <w:t>supra</w:t>
      </w:r>
      <w:r w:rsidRPr="00EB3E80">
        <w:rPr>
          <w:rFonts w:ascii="Times New Roman" w:hAnsi="Times New Roman" w:cs="Times New Roman"/>
        </w:rPr>
        <w:t xml:space="preserve"> note </w:t>
      </w:r>
      <w:r>
        <w:rPr>
          <w:rFonts w:ascii="Times New Roman" w:hAnsi="Times New Roman" w:cs="Times New Roman"/>
        </w:rPr>
        <w:t>28</w:t>
      </w:r>
      <w:r w:rsidRPr="00EB3E80">
        <w:rPr>
          <w:rFonts w:ascii="Times New Roman" w:hAnsi="Times New Roman" w:cs="Times New Roman"/>
        </w:rPr>
        <w:t>, Vol. 1, at pages 1, 9, 53, 104 and 109. The republican</w:t>
      </w:r>
      <w:r w:rsidRPr="00EB3E80" w:rsidDel="00EB3E80">
        <w:rPr>
          <w:rFonts w:ascii="Times New Roman" w:hAnsi="Times New Roman" w:cs="Times New Roman"/>
        </w:rPr>
        <w:t xml:space="preserve"> </w:t>
      </w:r>
      <w:r w:rsidRPr="001C513C">
        <w:rPr>
          <w:rFonts w:ascii="Times New Roman" w:hAnsi="Times New Roman" w:cs="Times New Roman"/>
        </w:rPr>
        <w:t xml:space="preserve">argument is implicit in Kofi Annan’s statement, </w:t>
      </w:r>
      <w:r w:rsidRPr="001C513C">
        <w:rPr>
          <w:rFonts w:ascii="Times New Roman" w:hAnsi="Times New Roman" w:cs="Times New Roman"/>
          <w:i/>
        </w:rPr>
        <w:t xml:space="preserve">supra </w:t>
      </w:r>
      <w:r w:rsidRPr="001C513C">
        <w:rPr>
          <w:rFonts w:ascii="Times New Roman" w:hAnsi="Times New Roman" w:cs="Times New Roman"/>
        </w:rPr>
        <w:t xml:space="preserve">note </w:t>
      </w:r>
      <w:r>
        <w:rPr>
          <w:rFonts w:ascii="Times New Roman" w:hAnsi="Times New Roman" w:cs="Times New Roman"/>
        </w:rPr>
        <w:t>11</w:t>
      </w:r>
      <w:r w:rsidRPr="001C513C">
        <w:rPr>
          <w:rFonts w:ascii="Times New Roman" w:hAnsi="Times New Roman" w:cs="Times New Roman"/>
        </w:rPr>
        <w:t xml:space="preserve">; in the TRC report as quoted </w:t>
      </w:r>
      <w:r w:rsidRPr="001C513C">
        <w:rPr>
          <w:rFonts w:ascii="Times New Roman" w:hAnsi="Times New Roman" w:cs="Times New Roman"/>
          <w:i/>
        </w:rPr>
        <w:t xml:space="preserve">supra </w:t>
      </w:r>
      <w:r w:rsidRPr="001C513C">
        <w:rPr>
          <w:rFonts w:ascii="Times New Roman" w:hAnsi="Times New Roman" w:cs="Times New Roman"/>
        </w:rPr>
        <w:t xml:space="preserve">note </w:t>
      </w:r>
      <w:r>
        <w:rPr>
          <w:rFonts w:ascii="Times New Roman" w:hAnsi="Times New Roman" w:cs="Times New Roman"/>
        </w:rPr>
        <w:t>28</w:t>
      </w:r>
      <w:r w:rsidRPr="001C513C">
        <w:rPr>
          <w:rFonts w:ascii="Times New Roman" w:hAnsi="Times New Roman" w:cs="Times New Roman"/>
        </w:rPr>
        <w:t xml:space="preserve">, and in Sadat, as quoted </w:t>
      </w:r>
      <w:r w:rsidRPr="001C513C">
        <w:rPr>
          <w:rFonts w:ascii="Times New Roman" w:hAnsi="Times New Roman" w:cs="Times New Roman"/>
          <w:i/>
        </w:rPr>
        <w:t xml:space="preserve">supra </w:t>
      </w:r>
      <w:r w:rsidRPr="001C513C">
        <w:rPr>
          <w:rFonts w:ascii="Times New Roman" w:hAnsi="Times New Roman" w:cs="Times New Roman"/>
        </w:rPr>
        <w:t xml:space="preserve">note </w:t>
      </w:r>
      <w:r>
        <w:rPr>
          <w:rFonts w:ascii="Times New Roman" w:hAnsi="Times New Roman" w:cs="Times New Roman"/>
        </w:rPr>
        <w:t>38</w:t>
      </w:r>
      <w:r w:rsidRPr="001C513C">
        <w:rPr>
          <w:rFonts w:ascii="Times New Roman" w:hAnsi="Times New Roman" w:cs="Times New Roman"/>
        </w:rPr>
        <w:t xml:space="preserve">. See also K. </w:t>
      </w:r>
      <w:proofErr w:type="spellStart"/>
      <w:r w:rsidRPr="001C513C">
        <w:rPr>
          <w:rFonts w:ascii="Times New Roman" w:hAnsi="Times New Roman" w:cs="Times New Roman"/>
        </w:rPr>
        <w:t>Asmal</w:t>
      </w:r>
      <w:proofErr w:type="spellEnd"/>
      <w:r w:rsidRPr="001C513C">
        <w:rPr>
          <w:rFonts w:ascii="Times New Roman" w:hAnsi="Times New Roman" w:cs="Times New Roman"/>
        </w:rPr>
        <w:t xml:space="preserve">, </w:t>
      </w:r>
      <w:r w:rsidRPr="001C513C">
        <w:rPr>
          <w:rFonts w:ascii="Times New Roman" w:hAnsi="Times New Roman" w:cs="Times New Roman"/>
          <w:i/>
        </w:rPr>
        <w:t xml:space="preserve">supra </w:t>
      </w:r>
      <w:r w:rsidRPr="001C513C">
        <w:rPr>
          <w:rFonts w:ascii="Times New Roman" w:hAnsi="Times New Roman" w:cs="Times New Roman"/>
        </w:rPr>
        <w:t xml:space="preserve">note </w:t>
      </w:r>
      <w:r>
        <w:rPr>
          <w:rFonts w:ascii="Times New Roman" w:hAnsi="Times New Roman" w:cs="Times New Roman"/>
        </w:rPr>
        <w:t>43</w:t>
      </w:r>
      <w:r w:rsidRPr="001C513C">
        <w:rPr>
          <w:rFonts w:ascii="Times New Roman" w:hAnsi="Times New Roman" w:cs="Times New Roman"/>
        </w:rPr>
        <w:t>, at 5 (</w:t>
      </w:r>
      <w:r w:rsidRPr="001C513C">
        <w:rPr>
          <w:rFonts w:ascii="Times New Roman" w:eastAsia="Times New Roman" w:hAnsi="Times New Roman" w:cs="Times New Roman"/>
        </w:rPr>
        <w:t>‘what we mean by justice must be rooted in the circumstances of the people in whose name it is being dispensed’)</w:t>
      </w:r>
      <w:r>
        <w:rPr>
          <w:rFonts w:ascii="Times New Roman" w:eastAsia="Times New Roman" w:hAnsi="Times New Roman" w:cs="Times New Roman"/>
        </w:rPr>
        <w:t>. However,</w:t>
      </w:r>
      <w:r w:rsidRPr="00F3329E">
        <w:rPr>
          <w:rFonts w:ascii="Times New Roman" w:eastAsia="Times New Roman" w:hAnsi="Times New Roman" w:cs="Times New Roman"/>
        </w:rPr>
        <w:t xml:space="preserve"> </w:t>
      </w:r>
      <w:r w:rsidRPr="00AC2564">
        <w:rPr>
          <w:rFonts w:ascii="Times New Roman" w:eastAsia="Times New Roman" w:hAnsi="Times New Roman" w:cs="Times New Roman"/>
          <w:i/>
        </w:rPr>
        <w:t>cf.</w:t>
      </w:r>
      <w:r w:rsidRPr="00F3329E">
        <w:rPr>
          <w:rFonts w:ascii="Times New Roman" w:eastAsia="Times New Roman" w:hAnsi="Times New Roman" w:cs="Times New Roman"/>
        </w:rPr>
        <w:t xml:space="preserve"> </w:t>
      </w:r>
      <w:r w:rsidRPr="00F3329E">
        <w:rPr>
          <w:rFonts w:ascii="Times New Roman" w:eastAsia="Times New Roman" w:hAnsi="Times New Roman" w:cs="Times New Roman"/>
          <w:i/>
        </w:rPr>
        <w:t>contra</w:t>
      </w:r>
      <w:r w:rsidRPr="00F3329E">
        <w:rPr>
          <w:rFonts w:ascii="Times New Roman" w:eastAsia="Times New Roman" w:hAnsi="Times New Roman" w:cs="Times New Roman"/>
        </w:rPr>
        <w:t xml:space="preserve">, Wilson, </w:t>
      </w:r>
      <w:r w:rsidRPr="00F3329E">
        <w:rPr>
          <w:rFonts w:ascii="Times New Roman" w:eastAsia="Times New Roman" w:hAnsi="Times New Roman" w:cs="Times New Roman"/>
          <w:i/>
        </w:rPr>
        <w:t>supra</w:t>
      </w:r>
      <w:r w:rsidRPr="00F3329E">
        <w:rPr>
          <w:rFonts w:ascii="Times New Roman" w:eastAsia="Times New Roman" w:hAnsi="Times New Roman" w:cs="Times New Roman"/>
        </w:rPr>
        <w:t xml:space="preserve"> note </w:t>
      </w:r>
      <w:r>
        <w:rPr>
          <w:rFonts w:ascii="Times New Roman" w:eastAsia="Times New Roman" w:hAnsi="Times New Roman" w:cs="Times New Roman"/>
        </w:rPr>
        <w:t>12</w:t>
      </w:r>
      <w:r w:rsidRPr="00F3329E">
        <w:rPr>
          <w:rFonts w:ascii="Times New Roman" w:eastAsia="Times New Roman" w:hAnsi="Times New Roman" w:cs="Times New Roman"/>
        </w:rPr>
        <w:t xml:space="preserve">, at 7-8.  </w:t>
      </w:r>
    </w:p>
  </w:footnote>
  <w:footnote w:id="57">
    <w:p w14:paraId="389ED173"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also L. McGregor, ‘Individual Accountability in South Africa: Cultural Optimum or Political Facade?’, 95(1) </w:t>
      </w:r>
      <w:r w:rsidRPr="001C513C">
        <w:rPr>
          <w:rFonts w:ascii="Times New Roman" w:hAnsi="Times New Roman" w:cs="Times New Roman"/>
          <w:i/>
          <w:iCs/>
        </w:rPr>
        <w:t>American Journal of International Law</w:t>
      </w:r>
      <w:r w:rsidRPr="001C513C">
        <w:rPr>
          <w:rFonts w:ascii="Times New Roman" w:hAnsi="Times New Roman" w:cs="Times New Roman"/>
        </w:rPr>
        <w:t xml:space="preserve"> (2001) 32, at 36. </w:t>
      </w:r>
    </w:p>
  </w:footnote>
  <w:footnote w:id="58">
    <w:p w14:paraId="3FD5ED0A" w14:textId="7F547DEA"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On the threat posed by the security establishment, see TRC Report,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28</w:t>
      </w:r>
      <w:r w:rsidRPr="001C513C">
        <w:rPr>
          <w:rFonts w:ascii="Times New Roman" w:eastAsia="Times New Roman" w:hAnsi="Times New Roman" w:cs="Times New Roman"/>
          <w:sz w:val="20"/>
          <w:szCs w:val="20"/>
        </w:rPr>
        <w:t>, Vol. 1, Chapter 1, at 5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22-23.</w:t>
      </w:r>
    </w:p>
  </w:footnote>
  <w:footnote w:id="59">
    <w:p w14:paraId="0CF35E52" w14:textId="1BD2E385"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Nouwen’s</w:t>
      </w:r>
      <w:proofErr w:type="spellEnd"/>
      <w:r w:rsidRPr="001C513C">
        <w:rPr>
          <w:rFonts w:ascii="Times New Roman" w:eastAsia="Times New Roman" w:hAnsi="Times New Roman" w:cs="Times New Roman"/>
          <w:sz w:val="20"/>
          <w:szCs w:val="20"/>
        </w:rPr>
        <w:t xml:space="preserve"> discussion with two Acholi elders, </w:t>
      </w:r>
      <w:proofErr w:type="spellStart"/>
      <w:r w:rsidRPr="001C513C">
        <w:rPr>
          <w:rFonts w:ascii="Times New Roman" w:eastAsia="Times New Roman" w:hAnsi="Times New Roman" w:cs="Times New Roman"/>
          <w:sz w:val="20"/>
          <w:szCs w:val="20"/>
        </w:rPr>
        <w:t>Gulu</w:t>
      </w:r>
      <w:proofErr w:type="spellEnd"/>
      <w:r w:rsidRPr="001C513C">
        <w:rPr>
          <w:rFonts w:ascii="Times New Roman" w:eastAsia="Times New Roman" w:hAnsi="Times New Roman" w:cs="Times New Roman"/>
          <w:sz w:val="20"/>
          <w:szCs w:val="20"/>
        </w:rPr>
        <w:t>, September 2008</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cited in Nouwen and Werner,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53</w:t>
      </w:r>
      <w:r w:rsidRPr="001C513C">
        <w:rPr>
          <w:rFonts w:ascii="Times New Roman" w:eastAsia="Times New Roman" w:hAnsi="Times New Roman" w:cs="Times New Roman"/>
          <w:sz w:val="20"/>
          <w:szCs w:val="20"/>
        </w:rPr>
        <w:t xml:space="preserve">, at 171. For arguments for a broader notion of </w:t>
      </w:r>
      <w:proofErr w:type="spellStart"/>
      <w:r w:rsidRPr="001C513C">
        <w:rPr>
          <w:rFonts w:ascii="Times New Roman" w:eastAsia="Times New Roman" w:hAnsi="Times New Roman" w:cs="Times New Roman"/>
          <w:i/>
          <w:sz w:val="20"/>
          <w:szCs w:val="20"/>
        </w:rPr>
        <w:t>poena</w:t>
      </w:r>
      <w:proofErr w:type="spellEnd"/>
      <w:r w:rsidRPr="001C513C">
        <w:rPr>
          <w:rFonts w:ascii="Times New Roman" w:eastAsia="Times New Roman" w:hAnsi="Times New Roman" w:cs="Times New Roman"/>
          <w:sz w:val="20"/>
          <w:szCs w:val="20"/>
        </w:rPr>
        <w:t xml:space="preserve">, see also M. </w:t>
      </w:r>
      <w:proofErr w:type="spellStart"/>
      <w:r w:rsidRPr="001C513C">
        <w:rPr>
          <w:rFonts w:ascii="Times New Roman" w:eastAsia="Times New Roman" w:hAnsi="Times New Roman" w:cs="Times New Roman"/>
          <w:sz w:val="20"/>
          <w:szCs w:val="20"/>
        </w:rPr>
        <w:t>Drumbl</w:t>
      </w:r>
      <w:proofErr w:type="spellEnd"/>
      <w:r w:rsidRPr="001C513C">
        <w:rPr>
          <w:rFonts w:ascii="Times New Roman" w:eastAsia="Times New Roman" w:hAnsi="Times New Roman" w:cs="Times New Roman"/>
          <w:sz w:val="20"/>
          <w:szCs w:val="20"/>
        </w:rPr>
        <w:t xml:space="preserve">, ‘Impunities’ </w:t>
      </w:r>
      <w:r w:rsidRPr="001C513C">
        <w:rPr>
          <w:rFonts w:ascii="Times New Roman" w:eastAsia="Times New Roman" w:hAnsi="Times New Roman" w:cs="Times New Roman"/>
          <w:i/>
          <w:sz w:val="20"/>
          <w:szCs w:val="20"/>
        </w:rPr>
        <w:t>Washington &amp; Lee Legal Studies Paper No. 2017-17</w:t>
      </w:r>
      <w:r w:rsidRPr="001C513C">
        <w:rPr>
          <w:rFonts w:ascii="Times New Roman" w:eastAsia="Times New Roman" w:hAnsi="Times New Roman" w:cs="Times New Roman"/>
          <w:sz w:val="20"/>
          <w:szCs w:val="20"/>
        </w:rPr>
        <w:t>, 17 November 2017, available at https://papers.ssrn.com/sol3/papers.cfm?abstract_id=3070346 (last visited 19 May 2018).</w:t>
      </w:r>
    </w:p>
  </w:footnote>
  <w:footnote w:id="60">
    <w:p w14:paraId="6F76206A" w14:textId="2B7DE34B"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also L. McGregor, </w:t>
      </w:r>
      <w:r w:rsidRPr="001C513C">
        <w:rPr>
          <w:rFonts w:ascii="Times New Roman" w:hAnsi="Times New Roman" w:cs="Times New Roman"/>
          <w:i/>
        </w:rPr>
        <w:t xml:space="preserve">supra </w:t>
      </w:r>
      <w:r w:rsidRPr="001C513C">
        <w:rPr>
          <w:rFonts w:ascii="Times New Roman" w:hAnsi="Times New Roman" w:cs="Times New Roman"/>
        </w:rPr>
        <w:t xml:space="preserve">note </w:t>
      </w:r>
      <w:r>
        <w:rPr>
          <w:rFonts w:ascii="Times New Roman" w:hAnsi="Times New Roman" w:cs="Times New Roman"/>
        </w:rPr>
        <w:t>56</w:t>
      </w:r>
      <w:r w:rsidRPr="001C513C">
        <w:rPr>
          <w:rFonts w:ascii="Times New Roman" w:hAnsi="Times New Roman" w:cs="Times New Roman"/>
        </w:rPr>
        <w:t xml:space="preserve">, at 37. </w:t>
      </w:r>
    </w:p>
  </w:footnote>
  <w:footnote w:id="61">
    <w:p w14:paraId="21C67E4B" w14:textId="166A5DEA"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TRC Report,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sidR="0001512B">
        <w:rPr>
          <w:rFonts w:ascii="Times New Roman" w:eastAsia="Times New Roman" w:hAnsi="Times New Roman" w:cs="Times New Roman"/>
          <w:sz w:val="20"/>
          <w:szCs w:val="20"/>
        </w:rPr>
        <w:t>28</w:t>
      </w:r>
      <w:r w:rsidRPr="001C513C">
        <w:rPr>
          <w:rFonts w:ascii="Times New Roman" w:eastAsia="Times New Roman" w:hAnsi="Times New Roman" w:cs="Times New Roman"/>
          <w:sz w:val="20"/>
          <w:szCs w:val="20"/>
        </w:rPr>
        <w:t>, Vol. 1, Chapter 1, at 8-9,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35. </w:t>
      </w:r>
      <w:r w:rsidRPr="00613C9F">
        <w:rPr>
          <w:rFonts w:ascii="Times New Roman" w:eastAsia="Times New Roman" w:hAnsi="Times New Roman" w:cs="Times New Roman"/>
          <w:sz w:val="20"/>
          <w:szCs w:val="20"/>
        </w:rPr>
        <w:t>For another example of a mechanism that is an alternative to ordinary criminal tria</w:t>
      </w:r>
      <w:r>
        <w:rPr>
          <w:rFonts w:ascii="Times New Roman" w:eastAsia="Times New Roman" w:hAnsi="Times New Roman" w:cs="Times New Roman"/>
          <w:sz w:val="20"/>
          <w:szCs w:val="20"/>
        </w:rPr>
        <w:t xml:space="preserve">ls, but serves transitional </w:t>
      </w:r>
      <w:r w:rsidRPr="00613C9F">
        <w:rPr>
          <w:rFonts w:ascii="Times New Roman" w:eastAsia="Times New Roman" w:hAnsi="Times New Roman" w:cs="Times New Roman"/>
          <w:sz w:val="20"/>
          <w:szCs w:val="20"/>
        </w:rPr>
        <w:t>justice objectives, se</w:t>
      </w:r>
      <w:r>
        <w:rPr>
          <w:rFonts w:ascii="Times New Roman" w:eastAsia="Times New Roman" w:hAnsi="Times New Roman" w:cs="Times New Roman"/>
          <w:sz w:val="20"/>
          <w:szCs w:val="20"/>
        </w:rPr>
        <w:t xml:space="preserve">e S. </w:t>
      </w:r>
      <w:proofErr w:type="spellStart"/>
      <w:r>
        <w:rPr>
          <w:rFonts w:ascii="Times New Roman" w:eastAsia="Times New Roman" w:hAnsi="Times New Roman" w:cs="Times New Roman"/>
          <w:sz w:val="20"/>
          <w:szCs w:val="20"/>
        </w:rPr>
        <w:t>Garibian</w:t>
      </w:r>
      <w:proofErr w:type="spellEnd"/>
      <w:r>
        <w:rPr>
          <w:rFonts w:ascii="Times New Roman" w:eastAsia="Times New Roman" w:hAnsi="Times New Roman" w:cs="Times New Roman"/>
          <w:sz w:val="20"/>
          <w:szCs w:val="20"/>
        </w:rPr>
        <w:t>, ‘Ghosts Also Die</w:t>
      </w:r>
      <w:r w:rsidRPr="00613C9F">
        <w:rPr>
          <w:rFonts w:ascii="Times New Roman" w:eastAsia="Times New Roman" w:hAnsi="Times New Roman" w:cs="Times New Roman"/>
          <w:sz w:val="20"/>
          <w:szCs w:val="20"/>
        </w:rPr>
        <w:t xml:space="preserve">: Resisting Disappearance through the ‘Right to the Truth’ and the </w:t>
      </w:r>
      <w:proofErr w:type="spellStart"/>
      <w:r w:rsidRPr="00AC2564">
        <w:rPr>
          <w:rFonts w:ascii="Times New Roman" w:eastAsia="Times New Roman" w:hAnsi="Times New Roman" w:cs="Times New Roman"/>
          <w:i/>
          <w:sz w:val="20"/>
          <w:szCs w:val="20"/>
        </w:rPr>
        <w:t>Juicios</w:t>
      </w:r>
      <w:proofErr w:type="spellEnd"/>
      <w:r w:rsidRPr="00AC2564">
        <w:rPr>
          <w:rFonts w:ascii="Times New Roman" w:eastAsia="Times New Roman" w:hAnsi="Times New Roman" w:cs="Times New Roman"/>
          <w:i/>
          <w:sz w:val="20"/>
          <w:szCs w:val="20"/>
        </w:rPr>
        <w:t xml:space="preserve"> </w:t>
      </w:r>
      <w:proofErr w:type="spellStart"/>
      <w:r w:rsidRPr="00AC2564">
        <w:rPr>
          <w:rFonts w:ascii="Times New Roman" w:eastAsia="Times New Roman" w:hAnsi="Times New Roman" w:cs="Times New Roman"/>
          <w:i/>
          <w:sz w:val="20"/>
          <w:szCs w:val="20"/>
        </w:rPr>
        <w:t>por</w:t>
      </w:r>
      <w:proofErr w:type="spellEnd"/>
      <w:r w:rsidRPr="00AC2564">
        <w:rPr>
          <w:rFonts w:ascii="Times New Roman" w:eastAsia="Times New Roman" w:hAnsi="Times New Roman" w:cs="Times New Roman"/>
          <w:i/>
          <w:sz w:val="20"/>
          <w:szCs w:val="20"/>
        </w:rPr>
        <w:t xml:space="preserve"> la </w:t>
      </w:r>
      <w:proofErr w:type="spellStart"/>
      <w:r w:rsidRPr="00AC2564">
        <w:rPr>
          <w:rFonts w:ascii="Times New Roman" w:eastAsia="Times New Roman" w:hAnsi="Times New Roman" w:cs="Times New Roman"/>
          <w:i/>
          <w:sz w:val="20"/>
          <w:szCs w:val="20"/>
        </w:rPr>
        <w:t>Verdad</w:t>
      </w:r>
      <w:proofErr w:type="spellEnd"/>
      <w:r w:rsidRPr="00613C9F">
        <w:rPr>
          <w:rFonts w:ascii="Times New Roman" w:eastAsia="Times New Roman" w:hAnsi="Times New Roman" w:cs="Times New Roman"/>
          <w:sz w:val="20"/>
          <w:szCs w:val="20"/>
        </w:rPr>
        <w:t xml:space="preserve"> in Argentina’, 12(3) </w:t>
      </w:r>
      <w:r w:rsidRPr="00613C9F">
        <w:rPr>
          <w:rFonts w:ascii="Times New Roman" w:eastAsia="Times New Roman" w:hAnsi="Times New Roman" w:cs="Times New Roman"/>
          <w:i/>
          <w:sz w:val="20"/>
          <w:szCs w:val="20"/>
        </w:rPr>
        <w:t>JICJ</w:t>
      </w:r>
      <w:r w:rsidRPr="00613C9F">
        <w:rPr>
          <w:rFonts w:ascii="Times New Roman" w:eastAsia="Times New Roman" w:hAnsi="Times New Roman" w:cs="Times New Roman"/>
          <w:sz w:val="20"/>
          <w:szCs w:val="20"/>
        </w:rPr>
        <w:t xml:space="preserve"> (2014) 515</w:t>
      </w:r>
      <w:r>
        <w:rPr>
          <w:rFonts w:ascii="Times New Roman" w:eastAsia="Times New Roman" w:hAnsi="Times New Roman" w:cs="Times New Roman"/>
          <w:sz w:val="20"/>
          <w:szCs w:val="20"/>
        </w:rPr>
        <w:t>.</w:t>
      </w:r>
    </w:p>
  </w:footnote>
  <w:footnote w:id="62">
    <w:p w14:paraId="56E7B96B"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A. du Bois-</w:t>
      </w:r>
      <w:proofErr w:type="spellStart"/>
      <w:r w:rsidRPr="001C513C">
        <w:rPr>
          <w:rFonts w:ascii="Times New Roman" w:eastAsia="Times New Roman" w:hAnsi="Times New Roman" w:cs="Times New Roman"/>
          <w:sz w:val="20"/>
          <w:szCs w:val="20"/>
        </w:rPr>
        <w:t>Pedain</w:t>
      </w:r>
      <w:proofErr w:type="spellEnd"/>
      <w:r w:rsidRPr="001C513C">
        <w:rPr>
          <w:rFonts w:ascii="Times New Roman" w:eastAsia="Times New Roman" w:hAnsi="Times New Roman" w:cs="Times New Roman"/>
          <w:sz w:val="20"/>
          <w:szCs w:val="20"/>
        </w:rPr>
        <w:t>, ‘Communicating Criminal and Political Responsibility in the TRC process’, in F. du Bois and A. du Bois-</w:t>
      </w:r>
      <w:proofErr w:type="spellStart"/>
      <w:r w:rsidRPr="001C513C">
        <w:rPr>
          <w:rFonts w:ascii="Times New Roman" w:eastAsia="Times New Roman" w:hAnsi="Times New Roman" w:cs="Times New Roman"/>
          <w:sz w:val="20"/>
          <w:szCs w:val="20"/>
        </w:rPr>
        <w:t>Pedain</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eds</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Justice and Reconciliation in Post-Apartheid South Africa</w:t>
      </w:r>
      <w:r w:rsidRPr="001C513C">
        <w:rPr>
          <w:rFonts w:ascii="Times New Roman" w:eastAsia="Times New Roman" w:hAnsi="Times New Roman" w:cs="Times New Roman"/>
          <w:sz w:val="20"/>
          <w:szCs w:val="20"/>
        </w:rPr>
        <w:t xml:space="preserve"> (Cambridge University Press, 2009) 62. </w:t>
      </w:r>
    </w:p>
  </w:footnote>
  <w:footnote w:id="63">
    <w:p w14:paraId="12C1243A"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See also F. </w:t>
      </w:r>
      <w:proofErr w:type="spellStart"/>
      <w:r w:rsidRPr="001C513C">
        <w:rPr>
          <w:rFonts w:ascii="Times New Roman" w:eastAsia="Times New Roman" w:hAnsi="Times New Roman" w:cs="Times New Roman"/>
          <w:sz w:val="20"/>
          <w:szCs w:val="20"/>
        </w:rPr>
        <w:t>Mégret</w:t>
      </w:r>
      <w:proofErr w:type="spellEnd"/>
      <w:r w:rsidRPr="001C513C">
        <w:rPr>
          <w:rFonts w:ascii="Times New Roman" w:eastAsia="Times New Roman" w:hAnsi="Times New Roman" w:cs="Times New Roman"/>
          <w:sz w:val="20"/>
          <w:szCs w:val="20"/>
        </w:rPr>
        <w:t xml:space="preserve">, ‘The Strange Case of the Victim </w:t>
      </w:r>
      <w:proofErr w:type="gramStart"/>
      <w:r w:rsidRPr="001C513C">
        <w:rPr>
          <w:rFonts w:ascii="Times New Roman" w:eastAsia="Times New Roman" w:hAnsi="Times New Roman" w:cs="Times New Roman"/>
          <w:sz w:val="20"/>
          <w:szCs w:val="20"/>
        </w:rPr>
        <w:t>who</w:t>
      </w:r>
      <w:proofErr w:type="gramEnd"/>
      <w:r w:rsidRPr="001C513C">
        <w:rPr>
          <w:rFonts w:ascii="Times New Roman" w:eastAsia="Times New Roman" w:hAnsi="Times New Roman" w:cs="Times New Roman"/>
          <w:sz w:val="20"/>
          <w:szCs w:val="20"/>
        </w:rPr>
        <w:t xml:space="preserve"> Did Not Want Justice’, </w:t>
      </w:r>
      <w:r w:rsidRPr="001C513C">
        <w:rPr>
          <w:rFonts w:ascii="Times New Roman" w:eastAsia="Times New Roman" w:hAnsi="Times New Roman" w:cs="Times New Roman"/>
          <w:i/>
          <w:sz w:val="20"/>
          <w:szCs w:val="20"/>
        </w:rPr>
        <w:t xml:space="preserve">IJTJ </w:t>
      </w:r>
      <w:r w:rsidRPr="001C513C">
        <w:rPr>
          <w:rFonts w:ascii="Times New Roman" w:eastAsia="Times New Roman" w:hAnsi="Times New Roman" w:cs="Times New Roman"/>
          <w:sz w:val="20"/>
          <w:szCs w:val="20"/>
        </w:rPr>
        <w:t xml:space="preserve">(2018), forthcoming.  </w:t>
      </w:r>
      <w:r w:rsidRPr="001C513C">
        <w:rPr>
          <w:rFonts w:ascii="Times New Roman" w:hAnsi="Times New Roman" w:cs="Times New Roman"/>
          <w:sz w:val="20"/>
          <w:szCs w:val="20"/>
        </w:rPr>
        <w:t xml:space="preserve"> </w:t>
      </w:r>
    </w:p>
  </w:footnote>
  <w:footnote w:id="64">
    <w:p w14:paraId="16977D32" w14:textId="77777777" w:rsidR="00F64BB3" w:rsidRPr="001C513C" w:rsidRDefault="00F64BB3">
      <w:pPr>
        <w:spacing w:after="0" w:line="240" w:lineRule="auto"/>
        <w:jc w:val="both"/>
        <w:rPr>
          <w:rFonts w:ascii="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K.M. Clark, ‘“We Ask for Justice, You Give Us Law”: Justice Talk and the Encapsulation of Victims’, in C. De </w:t>
      </w:r>
      <w:proofErr w:type="spellStart"/>
      <w:r w:rsidRPr="001C513C">
        <w:rPr>
          <w:rFonts w:ascii="Times New Roman" w:eastAsia="Times New Roman" w:hAnsi="Times New Roman" w:cs="Times New Roman"/>
          <w:sz w:val="20"/>
          <w:szCs w:val="20"/>
        </w:rPr>
        <w:t>Vos</w:t>
      </w:r>
      <w:proofErr w:type="spellEnd"/>
      <w:r w:rsidRPr="001C513C">
        <w:rPr>
          <w:rFonts w:ascii="Times New Roman" w:eastAsia="Times New Roman" w:hAnsi="Times New Roman" w:cs="Times New Roman"/>
          <w:sz w:val="20"/>
          <w:szCs w:val="20"/>
        </w:rPr>
        <w:t xml:space="preserve">, S. Kendall, and C. </w:t>
      </w:r>
      <w:proofErr w:type="spellStart"/>
      <w:r w:rsidRPr="001C513C">
        <w:rPr>
          <w:rFonts w:ascii="Times New Roman" w:eastAsia="Times New Roman" w:hAnsi="Times New Roman" w:cs="Times New Roman"/>
          <w:sz w:val="20"/>
          <w:szCs w:val="20"/>
        </w:rPr>
        <w:t>Stahn</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eds</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Contested Justice: The Politics and Practice of International Criminal Court Interventions </w:t>
      </w:r>
      <w:r w:rsidRPr="001C513C">
        <w:rPr>
          <w:rFonts w:ascii="Times New Roman" w:eastAsia="Times New Roman" w:hAnsi="Times New Roman" w:cs="Times New Roman"/>
          <w:sz w:val="20"/>
          <w:szCs w:val="20"/>
        </w:rPr>
        <w:t>(Cambridge University Press, 2015) 272.</w:t>
      </w:r>
    </w:p>
  </w:footnote>
  <w:footnote w:id="65">
    <w:p w14:paraId="4CAA9C83" w14:textId="77777777" w:rsidR="00F64BB3" w:rsidRPr="001C513C" w:rsidRDefault="00F64BB3">
      <w:pPr>
        <w:pBdr>
          <w:top w:val="nil"/>
          <w:left w:val="nil"/>
          <w:bottom w:val="nil"/>
          <w:right w:val="nil"/>
          <w:between w:val="nil"/>
        </w:pBdr>
        <w:spacing w:after="0" w:line="240" w:lineRule="auto"/>
        <w:jc w:val="both"/>
        <w:rPr>
          <w:rFonts w:ascii="Times New Roman" w:hAnsi="Times New Roman" w:cs="Times New Roman"/>
          <w:sz w:val="20"/>
          <w:szCs w:val="20"/>
        </w:rPr>
      </w:pPr>
      <w:r w:rsidRPr="001C513C">
        <w:rPr>
          <w:rStyle w:val="FootnoteReference"/>
          <w:rFonts w:ascii="Times New Roman" w:hAnsi="Times New Roman" w:cs="Times New Roman"/>
          <w:sz w:val="20"/>
          <w:szCs w:val="20"/>
        </w:rPr>
        <w:footnoteRef/>
      </w:r>
      <w:r w:rsidRPr="001C513C">
        <w:rPr>
          <w:rFonts w:ascii="Times New Roman" w:hAnsi="Times New Roman" w:cs="Times New Roman"/>
          <w:sz w:val="20"/>
          <w:szCs w:val="20"/>
        </w:rPr>
        <w:t xml:space="preserve"> </w:t>
      </w:r>
      <w:r w:rsidRPr="001C513C">
        <w:rPr>
          <w:rFonts w:ascii="Times New Roman" w:eastAsia="Times New Roman" w:hAnsi="Times New Roman" w:cs="Times New Roman"/>
          <w:sz w:val="20"/>
          <w:szCs w:val="20"/>
        </w:rPr>
        <w:t>See, more elaborately</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S. </w:t>
      </w:r>
      <w:r w:rsidRPr="001C513C">
        <w:rPr>
          <w:rFonts w:ascii="Times New Roman" w:hAnsi="Times New Roman" w:cs="Times New Roman"/>
          <w:sz w:val="20"/>
          <w:szCs w:val="20"/>
        </w:rPr>
        <w:t xml:space="preserve">Kendall and S. Nouwen, ‘Representational Practices at the International Criminal Court: The Gap between </w:t>
      </w:r>
      <w:proofErr w:type="spellStart"/>
      <w:r w:rsidRPr="001C513C">
        <w:rPr>
          <w:rFonts w:ascii="Times New Roman" w:hAnsi="Times New Roman" w:cs="Times New Roman"/>
          <w:sz w:val="20"/>
          <w:szCs w:val="20"/>
        </w:rPr>
        <w:t>Juridified</w:t>
      </w:r>
      <w:proofErr w:type="spellEnd"/>
      <w:r w:rsidRPr="001C513C">
        <w:rPr>
          <w:rFonts w:ascii="Times New Roman" w:hAnsi="Times New Roman" w:cs="Times New Roman"/>
          <w:sz w:val="20"/>
          <w:szCs w:val="20"/>
        </w:rPr>
        <w:t xml:space="preserve"> and Abstract Victimhood’, 76 </w:t>
      </w:r>
      <w:r w:rsidRPr="001C513C">
        <w:rPr>
          <w:rFonts w:ascii="Times New Roman" w:hAnsi="Times New Roman" w:cs="Times New Roman"/>
          <w:i/>
          <w:iCs/>
          <w:sz w:val="20"/>
          <w:szCs w:val="20"/>
        </w:rPr>
        <w:t>Law &amp; Contemporary Problems</w:t>
      </w:r>
      <w:r w:rsidRPr="001C513C">
        <w:rPr>
          <w:rFonts w:ascii="Times New Roman" w:hAnsi="Times New Roman" w:cs="Times New Roman"/>
          <w:sz w:val="20"/>
          <w:szCs w:val="20"/>
        </w:rPr>
        <w:t xml:space="preserve"> (2013) 235.</w:t>
      </w:r>
    </w:p>
  </w:footnote>
  <w:footnote w:id="66">
    <w:p w14:paraId="48433404"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Anonymous, ‘Human Rights in Peace Negotiations’, 18 </w:t>
      </w:r>
      <w:r w:rsidRPr="001C513C">
        <w:rPr>
          <w:rFonts w:ascii="Times New Roman" w:eastAsia="Times New Roman" w:hAnsi="Times New Roman" w:cs="Times New Roman"/>
          <w:i/>
          <w:sz w:val="20"/>
          <w:szCs w:val="20"/>
        </w:rPr>
        <w:t xml:space="preserve">Human Rights Quarterly </w:t>
      </w:r>
      <w:r w:rsidRPr="001C513C">
        <w:rPr>
          <w:rFonts w:ascii="Times New Roman" w:eastAsia="Times New Roman" w:hAnsi="Times New Roman" w:cs="Times New Roman"/>
          <w:sz w:val="20"/>
          <w:szCs w:val="20"/>
        </w:rPr>
        <w:t xml:space="preserve">(1996) 249, at 258. </w:t>
      </w:r>
    </w:p>
  </w:footnote>
  <w:footnote w:id="67">
    <w:p w14:paraId="552F62E8" w14:textId="75C818BE"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also L. McGregor, </w:t>
      </w:r>
      <w:r w:rsidRPr="001C513C">
        <w:rPr>
          <w:rFonts w:ascii="Times New Roman" w:hAnsi="Times New Roman" w:cs="Times New Roman"/>
          <w:i/>
        </w:rPr>
        <w:t xml:space="preserve">supra </w:t>
      </w:r>
      <w:r w:rsidRPr="001C513C">
        <w:rPr>
          <w:rFonts w:ascii="Times New Roman" w:hAnsi="Times New Roman" w:cs="Times New Roman"/>
        </w:rPr>
        <w:t xml:space="preserve">note </w:t>
      </w:r>
      <w:r>
        <w:rPr>
          <w:rFonts w:ascii="Times New Roman" w:hAnsi="Times New Roman" w:cs="Times New Roman"/>
        </w:rPr>
        <w:t>56</w:t>
      </w:r>
      <w:r w:rsidRPr="001C513C">
        <w:rPr>
          <w:rFonts w:ascii="Times New Roman" w:hAnsi="Times New Roman" w:cs="Times New Roman"/>
        </w:rPr>
        <w:t>, at 39, commenting on the South African transition: ‘no process will ever satisfy everyone; instead, the mission was to devise a system that would address as many people’s needs as practically possible.’</w:t>
      </w:r>
    </w:p>
  </w:footnote>
  <w:footnote w:id="68">
    <w:p w14:paraId="15F235E0" w14:textId="2E3B0029"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w:t>
      </w:r>
      <w:r w:rsidRPr="001C513C">
        <w:rPr>
          <w:rFonts w:ascii="Times New Roman" w:eastAsia="Times New Roman" w:hAnsi="Times New Roman" w:cs="Times New Roman"/>
        </w:rPr>
        <w:t>Possibly due to the convergence with individual human rights law, ‘victims’ are increasingly also considered as beneficiaries</w:t>
      </w:r>
      <w:r>
        <w:rPr>
          <w:rFonts w:ascii="Times New Roman" w:eastAsia="Times New Roman" w:hAnsi="Times New Roman" w:cs="Times New Roman"/>
        </w:rPr>
        <w:t xml:space="preserve"> of international criminal law</w:t>
      </w:r>
      <w:r w:rsidRPr="001C513C">
        <w:rPr>
          <w:rFonts w:ascii="Times New Roman" w:eastAsia="Times New Roman" w:hAnsi="Times New Roman" w:cs="Times New Roman"/>
        </w:rPr>
        <w:t xml:space="preserve">. See Kendall and Nouwen, </w:t>
      </w:r>
      <w:r w:rsidRPr="001C513C">
        <w:rPr>
          <w:rFonts w:ascii="Times New Roman" w:eastAsia="Times New Roman" w:hAnsi="Times New Roman" w:cs="Times New Roman"/>
          <w:i/>
        </w:rPr>
        <w:t xml:space="preserve">supra </w:t>
      </w:r>
      <w:r w:rsidRPr="001C513C">
        <w:rPr>
          <w:rFonts w:ascii="Times New Roman" w:eastAsia="Times New Roman" w:hAnsi="Times New Roman" w:cs="Times New Roman"/>
        </w:rPr>
        <w:t xml:space="preserve">note </w:t>
      </w:r>
      <w:r>
        <w:rPr>
          <w:rFonts w:ascii="Times New Roman" w:eastAsia="Times New Roman" w:hAnsi="Times New Roman" w:cs="Times New Roman"/>
        </w:rPr>
        <w:t>64</w:t>
      </w:r>
      <w:r w:rsidRPr="001C513C">
        <w:rPr>
          <w:rFonts w:ascii="Times New Roman" w:eastAsia="Times New Roman" w:hAnsi="Times New Roman" w:cs="Times New Roman"/>
        </w:rPr>
        <w:t xml:space="preserve">. </w:t>
      </w:r>
    </w:p>
  </w:footnote>
  <w:footnote w:id="69">
    <w:p w14:paraId="080992D1"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Lei n.° 15/92 de 14 de </w:t>
      </w:r>
      <w:proofErr w:type="spellStart"/>
      <w:r w:rsidRPr="001C513C">
        <w:rPr>
          <w:rFonts w:ascii="Times New Roman" w:eastAsia="Times New Roman" w:hAnsi="Times New Roman" w:cs="Times New Roman"/>
          <w:sz w:val="20"/>
          <w:szCs w:val="20"/>
        </w:rPr>
        <w:t>Outubro</w:t>
      </w:r>
      <w:proofErr w:type="spellEnd"/>
      <w:r w:rsidRPr="001C513C">
        <w:rPr>
          <w:rFonts w:ascii="Times New Roman" w:eastAsia="Times New Roman" w:hAnsi="Times New Roman" w:cs="Times New Roman"/>
          <w:sz w:val="20"/>
          <w:szCs w:val="20"/>
        </w:rPr>
        <w:t xml:space="preserve"> (Lei da </w:t>
      </w:r>
      <w:proofErr w:type="spellStart"/>
      <w:r w:rsidRPr="001C513C">
        <w:rPr>
          <w:rFonts w:ascii="Times New Roman" w:eastAsia="Times New Roman" w:hAnsi="Times New Roman" w:cs="Times New Roman"/>
          <w:sz w:val="20"/>
          <w:szCs w:val="20"/>
        </w:rPr>
        <w:t>Amnistia</w:t>
      </w:r>
      <w:proofErr w:type="spellEnd"/>
      <w:r w:rsidRPr="001C513C">
        <w:rPr>
          <w:rFonts w:ascii="Times New Roman" w:eastAsia="Times New Roman" w:hAnsi="Times New Roman" w:cs="Times New Roman"/>
          <w:sz w:val="20"/>
          <w:szCs w:val="20"/>
        </w:rPr>
        <w:t xml:space="preserve">). </w:t>
      </w:r>
    </w:p>
  </w:footnote>
  <w:footnote w:id="70">
    <w:p w14:paraId="7252177E" w14:textId="4FBF15E0"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Promotion of National Unity and Reconciliation Act,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16</w:t>
      </w:r>
      <w:r w:rsidRPr="001C513C">
        <w:rPr>
          <w:rFonts w:ascii="Times New Roman" w:eastAsia="Times New Roman" w:hAnsi="Times New Roman" w:cs="Times New Roman"/>
          <w:sz w:val="20"/>
          <w:szCs w:val="20"/>
        </w:rPr>
        <w:t xml:space="preserve">.  </w:t>
      </w:r>
    </w:p>
  </w:footnote>
  <w:footnote w:id="71">
    <w:p w14:paraId="525C261F" w14:textId="764CC4AC"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Colombia Final Agreement,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note</w:t>
      </w:r>
      <w:r>
        <w:rPr>
          <w:rFonts w:ascii="Times New Roman" w:eastAsia="Times New Roman" w:hAnsi="Times New Roman" w:cs="Times New Roman"/>
          <w:sz w:val="20"/>
          <w:szCs w:val="20"/>
        </w:rPr>
        <w:t xml:space="preserve"> 41</w:t>
      </w:r>
      <w:r w:rsidRPr="001C513C">
        <w:rPr>
          <w:rFonts w:ascii="Times New Roman" w:eastAsia="Times New Roman" w:hAnsi="Times New Roman" w:cs="Times New Roman"/>
          <w:sz w:val="20"/>
          <w:szCs w:val="20"/>
        </w:rPr>
        <w:t>, Chapter 5.</w:t>
      </w:r>
    </w:p>
  </w:footnote>
  <w:footnote w:id="72">
    <w:p w14:paraId="342F5C16"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The requirement of a ‘prompt’ investigation makes perfect sense from the perspective of securing evidence, but for states emerging from a long situation of armed conflict, let alone states still in it, it may prove challenging. The </w:t>
      </w:r>
      <w:r>
        <w:rPr>
          <w:rFonts w:ascii="Times New Roman" w:eastAsia="Times New Roman" w:hAnsi="Times New Roman" w:cs="Times New Roman"/>
          <w:sz w:val="20"/>
          <w:szCs w:val="20"/>
        </w:rPr>
        <w:t>c</w:t>
      </w:r>
      <w:r w:rsidRPr="001C513C">
        <w:rPr>
          <w:rFonts w:ascii="Times New Roman" w:eastAsia="Times New Roman" w:hAnsi="Times New Roman" w:cs="Times New Roman"/>
          <w:sz w:val="20"/>
          <w:szCs w:val="20"/>
        </w:rPr>
        <w:t xml:space="preserve">ommentary draws on the parallel requirement in the Convention against Torture (see </w:t>
      </w:r>
      <w:r w:rsidRPr="006E664C">
        <w:rPr>
          <w:rFonts w:ascii="Times New Roman" w:hAnsi="Times New Roman" w:cs="Times New Roman"/>
          <w:sz w:val="20"/>
          <w:szCs w:val="20"/>
        </w:rPr>
        <w:t>2017 ILC Report,</w:t>
      </w:r>
      <w:r>
        <w:rPr>
          <w:rFonts w:ascii="Times New Roman" w:hAnsi="Times New Roman" w:cs="Times New Roman"/>
          <w:i/>
          <w:sz w:val="20"/>
          <w:szCs w:val="20"/>
        </w:rPr>
        <w:t xml:space="preserve"> </w:t>
      </w:r>
      <w:r w:rsidRPr="006E664C">
        <w:rPr>
          <w:rFonts w:ascii="Times New Roman" w:hAnsi="Times New Roman" w:cs="Times New Roman"/>
          <w:i/>
          <w:sz w:val="20"/>
          <w:szCs w:val="20"/>
        </w:rPr>
        <w:t>supra</w:t>
      </w:r>
      <w:r>
        <w:rPr>
          <w:rFonts w:ascii="Times New Roman" w:hAnsi="Times New Roman" w:cs="Times New Roman"/>
          <w:sz w:val="20"/>
          <w:szCs w:val="20"/>
        </w:rPr>
        <w:t xml:space="preserve"> note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_Ref393977842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commentary to </w:t>
      </w:r>
      <w:r>
        <w:rPr>
          <w:rFonts w:ascii="Times New Roman" w:eastAsia="Times New Roman" w:hAnsi="Times New Roman" w:cs="Times New Roman"/>
          <w:sz w:val="20"/>
          <w:szCs w:val="20"/>
        </w:rPr>
        <w:t>draft Art.</w:t>
      </w:r>
      <w:r w:rsidRPr="001C513C">
        <w:rPr>
          <w:rFonts w:ascii="Times New Roman" w:eastAsia="Times New Roman" w:hAnsi="Times New Roman" w:cs="Times New Roman"/>
          <w:sz w:val="20"/>
          <w:szCs w:val="20"/>
        </w:rPr>
        <w:t xml:space="preserve"> 8, at 80,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2), but torture under that convention by definition implies state involvement, whereas crimes against humanity can also be committed by non-state actors, including in territories where the state has little civilian representation (in the form of police, prosecutors and judges). </w:t>
      </w:r>
    </w:p>
  </w:footnote>
  <w:footnote w:id="73">
    <w:p w14:paraId="17EC9641"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Leaving aside the requirement of promptness</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1C513C">
        <w:rPr>
          <w:rFonts w:ascii="Times New Roman" w:eastAsia="Times New Roman" w:hAnsi="Times New Roman" w:cs="Times New Roman"/>
          <w:sz w:val="20"/>
          <w:szCs w:val="20"/>
        </w:rPr>
        <w:t xml:space="preserve">ee previous footnote. </w:t>
      </w:r>
    </w:p>
  </w:footnote>
  <w:footnote w:id="74">
    <w:p w14:paraId="6A4D026B"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573569">
        <w:rPr>
          <w:rFonts w:ascii="Times New Roman" w:hAnsi="Times New Roman" w:cs="Times New Roman"/>
          <w:sz w:val="20"/>
          <w:szCs w:val="20"/>
        </w:rPr>
        <w:t>2017 ILC Report</w:t>
      </w:r>
      <w:r>
        <w:rPr>
          <w:rFonts w:ascii="Times New Roman" w:hAnsi="Times New Roman" w:cs="Times New Roman"/>
          <w:sz w:val="20"/>
          <w:szCs w:val="20"/>
        </w:rPr>
        <w:t xml:space="preserve">, </w:t>
      </w:r>
      <w:r w:rsidRPr="002834C9">
        <w:rPr>
          <w:rFonts w:ascii="Times New Roman" w:hAnsi="Times New Roman" w:cs="Times New Roman"/>
          <w:i/>
          <w:sz w:val="20"/>
          <w:szCs w:val="20"/>
        </w:rPr>
        <w:t>supra</w:t>
      </w:r>
      <w:r>
        <w:rPr>
          <w:rFonts w:ascii="Times New Roman" w:hAnsi="Times New Roman" w:cs="Times New Roman"/>
          <w:sz w:val="20"/>
          <w:szCs w:val="20"/>
        </w:rPr>
        <w:t xml:space="preserve"> note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_Ref393977842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1C513C">
        <w:rPr>
          <w:rFonts w:ascii="Times New Roman" w:eastAsia="Times New Roman" w:hAnsi="Times New Roman" w:cs="Times New Roman"/>
          <w:sz w:val="20"/>
          <w:szCs w:val="20"/>
        </w:rPr>
        <w:t xml:space="preserve">ommentary </w:t>
      </w:r>
      <w:r>
        <w:rPr>
          <w:rFonts w:ascii="Times New Roman" w:eastAsia="Times New Roman" w:hAnsi="Times New Roman" w:cs="Times New Roman"/>
          <w:sz w:val="20"/>
          <w:szCs w:val="20"/>
        </w:rPr>
        <w:t>to draft Art.</w:t>
      </w:r>
      <w:r w:rsidRPr="001C513C">
        <w:rPr>
          <w:rFonts w:ascii="Times New Roman" w:eastAsia="Times New Roman" w:hAnsi="Times New Roman" w:cs="Times New Roman"/>
          <w:sz w:val="20"/>
          <w:szCs w:val="20"/>
        </w:rPr>
        <w:t xml:space="preserve"> 8, at 81,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4. The South African Commission’s Amnesty Committee was chaired by a judge, but the Commission as a whole was chaired by Archbishop Desmond Tutu.</w:t>
      </w:r>
    </w:p>
  </w:footnote>
  <w:footnote w:id="75">
    <w:p w14:paraId="2762B5AA"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573569">
        <w:rPr>
          <w:rFonts w:ascii="Times New Roman" w:hAnsi="Times New Roman" w:cs="Times New Roman"/>
          <w:sz w:val="20"/>
          <w:szCs w:val="20"/>
        </w:rPr>
        <w:t>2017 ILC Report</w:t>
      </w:r>
      <w:r>
        <w:rPr>
          <w:rFonts w:ascii="Times New Roman" w:hAnsi="Times New Roman" w:cs="Times New Roman"/>
          <w:sz w:val="20"/>
          <w:szCs w:val="20"/>
        </w:rPr>
        <w:t xml:space="preserve">, </w:t>
      </w:r>
      <w:r w:rsidRPr="002834C9">
        <w:rPr>
          <w:rFonts w:ascii="Times New Roman" w:hAnsi="Times New Roman" w:cs="Times New Roman"/>
          <w:i/>
          <w:sz w:val="20"/>
          <w:szCs w:val="20"/>
        </w:rPr>
        <w:t>supra</w:t>
      </w:r>
      <w:r>
        <w:rPr>
          <w:rFonts w:ascii="Times New Roman" w:hAnsi="Times New Roman" w:cs="Times New Roman"/>
          <w:sz w:val="20"/>
          <w:szCs w:val="20"/>
        </w:rPr>
        <w:t xml:space="preserve"> note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_Ref393977842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sidRPr="00E747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E74714">
        <w:rPr>
          <w:rFonts w:ascii="Times New Roman" w:eastAsia="Times New Roman" w:hAnsi="Times New Roman" w:cs="Times New Roman"/>
          <w:sz w:val="20"/>
          <w:szCs w:val="20"/>
        </w:rPr>
        <w:t xml:space="preserve">ommentary </w:t>
      </w:r>
      <w:r>
        <w:rPr>
          <w:rFonts w:ascii="Times New Roman" w:eastAsia="Times New Roman" w:hAnsi="Times New Roman" w:cs="Times New Roman"/>
          <w:sz w:val="20"/>
          <w:szCs w:val="20"/>
        </w:rPr>
        <w:t>to draft Art.</w:t>
      </w:r>
      <w:r w:rsidRPr="00E74714">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9, at 83,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5, citing </w:t>
      </w:r>
      <w:r w:rsidRPr="00F316F8">
        <w:rPr>
          <w:rFonts w:ascii="Times New Roman" w:hAnsi="Times New Roman" w:cs="Times New Roman"/>
          <w:i/>
          <w:sz w:val="20"/>
          <w:szCs w:val="20"/>
        </w:rPr>
        <w:t>Questions relating to the Obligation to Prosecute or Extradite (Belgium v. Senegal)</w:t>
      </w:r>
      <w:r>
        <w:rPr>
          <w:rFonts w:ascii="Times New Roman" w:hAnsi="Times New Roman" w:cs="Times New Roman"/>
          <w:sz w:val="20"/>
          <w:szCs w:val="20"/>
        </w:rPr>
        <w:t>, Judgment, 20 July 2012, ICJ Reports (2012)</w:t>
      </w:r>
      <w:r w:rsidRPr="00573569">
        <w:rPr>
          <w:rFonts w:ascii="Times New Roman" w:hAnsi="Times New Roman" w:cs="Times New Roman"/>
          <w:sz w:val="20"/>
          <w:szCs w:val="20"/>
        </w:rPr>
        <w:t xml:space="preserve"> 422</w:t>
      </w:r>
      <w:r w:rsidRPr="001C513C">
        <w:rPr>
          <w:rFonts w:ascii="Times New Roman" w:eastAsia="Times New Roman" w:hAnsi="Times New Roman" w:cs="Times New Roman"/>
          <w:sz w:val="20"/>
          <w:szCs w:val="20"/>
        </w:rPr>
        <w:t>, at 454</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86.</w:t>
      </w:r>
    </w:p>
  </w:footnote>
  <w:footnote w:id="76">
    <w:p w14:paraId="10DFF8BA" w14:textId="12760924"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573569">
        <w:rPr>
          <w:rFonts w:ascii="Times New Roman" w:hAnsi="Times New Roman" w:cs="Times New Roman"/>
          <w:sz w:val="20"/>
          <w:szCs w:val="20"/>
        </w:rPr>
        <w:t>2017 ILC Report</w:t>
      </w:r>
      <w:r>
        <w:rPr>
          <w:rFonts w:ascii="Times New Roman" w:hAnsi="Times New Roman" w:cs="Times New Roman"/>
          <w:sz w:val="20"/>
          <w:szCs w:val="20"/>
        </w:rPr>
        <w:t xml:space="preserve">, </w:t>
      </w:r>
      <w:r w:rsidRPr="002834C9">
        <w:rPr>
          <w:rFonts w:ascii="Times New Roman" w:hAnsi="Times New Roman" w:cs="Times New Roman"/>
          <w:i/>
          <w:sz w:val="20"/>
          <w:szCs w:val="20"/>
        </w:rPr>
        <w:t>supra</w:t>
      </w:r>
      <w:r>
        <w:rPr>
          <w:rFonts w:ascii="Times New Roman" w:hAnsi="Times New Roman" w:cs="Times New Roman"/>
          <w:sz w:val="20"/>
          <w:szCs w:val="20"/>
        </w:rPr>
        <w:t xml:space="preserve"> note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_Ref393977842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sidRPr="00E747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E74714">
        <w:rPr>
          <w:rFonts w:ascii="Times New Roman" w:eastAsia="Times New Roman" w:hAnsi="Times New Roman" w:cs="Times New Roman"/>
          <w:sz w:val="20"/>
          <w:szCs w:val="20"/>
        </w:rPr>
        <w:t xml:space="preserve">ommentary </w:t>
      </w:r>
      <w:r>
        <w:rPr>
          <w:rFonts w:ascii="Times New Roman" w:eastAsia="Times New Roman" w:hAnsi="Times New Roman" w:cs="Times New Roman"/>
          <w:sz w:val="20"/>
          <w:szCs w:val="20"/>
        </w:rPr>
        <w:t>to draft Art.</w:t>
      </w:r>
      <w:r w:rsidRPr="00E74714">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9, at 83,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5, citing </w:t>
      </w:r>
      <w:r>
        <w:rPr>
          <w:rFonts w:ascii="Times New Roman" w:eastAsia="Times New Roman" w:hAnsi="Times New Roman" w:cs="Times New Roman"/>
          <w:i/>
          <w:sz w:val="20"/>
          <w:szCs w:val="20"/>
        </w:rPr>
        <w:t>Belgium v. Senegal</w:t>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74</w:t>
      </w:r>
      <w:r w:rsidRPr="001C513C">
        <w:rPr>
          <w:rFonts w:ascii="Times New Roman" w:eastAsia="Times New Roman" w:hAnsi="Times New Roman" w:cs="Times New Roman"/>
          <w:sz w:val="20"/>
          <w:szCs w:val="20"/>
        </w:rPr>
        <w:t>, at 451, §74.</w:t>
      </w:r>
    </w:p>
  </w:footnote>
  <w:footnote w:id="77">
    <w:p w14:paraId="7B55B35C"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An utterly pedantic point reflecting a non-native speaker’s uncertainty about the English language: according to the </w:t>
      </w:r>
      <w:r>
        <w:rPr>
          <w:rFonts w:ascii="Times New Roman" w:eastAsia="Times New Roman" w:hAnsi="Times New Roman" w:cs="Times New Roman"/>
          <w:sz w:val="20"/>
          <w:szCs w:val="20"/>
        </w:rPr>
        <w:t>c</w:t>
      </w:r>
      <w:r w:rsidRPr="001C513C">
        <w:rPr>
          <w:rFonts w:ascii="Times New Roman" w:eastAsia="Times New Roman" w:hAnsi="Times New Roman" w:cs="Times New Roman"/>
          <w:sz w:val="20"/>
          <w:szCs w:val="20"/>
        </w:rPr>
        <w:t>ommentary, the prosecutorial authorities ‘may or may not decide to prosecute’; shouldn’t the ‘not’ go before ‘to prosecute’ rather than ‘decide’</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in that the discretion does not relate to whether to decide, but whether to prosecute? </w:t>
      </w:r>
    </w:p>
  </w:footnote>
  <w:footnote w:id="78">
    <w:p w14:paraId="21CECEAE"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573569">
        <w:rPr>
          <w:rFonts w:ascii="Times New Roman" w:hAnsi="Times New Roman" w:cs="Times New Roman"/>
          <w:sz w:val="20"/>
          <w:szCs w:val="20"/>
        </w:rPr>
        <w:t>2017 ILC Report</w:t>
      </w:r>
      <w:r>
        <w:rPr>
          <w:rFonts w:ascii="Times New Roman" w:hAnsi="Times New Roman" w:cs="Times New Roman"/>
          <w:sz w:val="20"/>
          <w:szCs w:val="20"/>
        </w:rPr>
        <w:t xml:space="preserve">, </w:t>
      </w:r>
      <w:r w:rsidRPr="002834C9">
        <w:rPr>
          <w:rFonts w:ascii="Times New Roman" w:hAnsi="Times New Roman" w:cs="Times New Roman"/>
          <w:i/>
          <w:sz w:val="20"/>
          <w:szCs w:val="20"/>
        </w:rPr>
        <w:t>supra</w:t>
      </w:r>
      <w:r>
        <w:rPr>
          <w:rFonts w:ascii="Times New Roman" w:hAnsi="Times New Roman" w:cs="Times New Roman"/>
          <w:sz w:val="20"/>
          <w:szCs w:val="20"/>
        </w:rPr>
        <w:t xml:space="preserve"> note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_Ref393977842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sidRPr="00E747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E74714">
        <w:rPr>
          <w:rFonts w:ascii="Times New Roman" w:eastAsia="Times New Roman" w:hAnsi="Times New Roman" w:cs="Times New Roman"/>
          <w:sz w:val="20"/>
          <w:szCs w:val="20"/>
        </w:rPr>
        <w:t xml:space="preserve">ommentary </w:t>
      </w:r>
      <w:r>
        <w:rPr>
          <w:rFonts w:ascii="Times New Roman" w:eastAsia="Times New Roman" w:hAnsi="Times New Roman" w:cs="Times New Roman"/>
          <w:sz w:val="20"/>
          <w:szCs w:val="20"/>
        </w:rPr>
        <w:t>to draft Art.</w:t>
      </w:r>
      <w:r w:rsidRPr="00E74714">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10, at 84,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3. </w:t>
      </w:r>
    </w:p>
  </w:footnote>
  <w:footnote w:id="79">
    <w:p w14:paraId="15DB9F3D" w14:textId="6AE58044"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Ibid</w:t>
      </w:r>
      <w:r w:rsidR="0001512B">
        <w:rPr>
          <w:rFonts w:ascii="Times New Roman" w:eastAsia="Times New Roman" w:hAnsi="Times New Roman" w:cs="Times New Roman"/>
          <w:i/>
          <w:sz w:val="20"/>
          <w:szCs w:val="20"/>
        </w:rPr>
        <w:t>.</w:t>
      </w:r>
      <w:r w:rsidRPr="001C513C">
        <w:rPr>
          <w:rFonts w:ascii="Times New Roman" w:eastAsia="Times New Roman" w:hAnsi="Times New Roman" w:cs="Times New Roman"/>
          <w:sz w:val="20"/>
          <w:szCs w:val="20"/>
        </w:rPr>
        <w:t>, at 84,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4, citing </w:t>
      </w:r>
      <w:r>
        <w:rPr>
          <w:rFonts w:ascii="Times New Roman" w:eastAsia="Times New Roman" w:hAnsi="Times New Roman" w:cs="Times New Roman"/>
          <w:i/>
          <w:sz w:val="20"/>
          <w:szCs w:val="20"/>
        </w:rPr>
        <w:t>Belgium v. Senegal</w:t>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74</w:t>
      </w:r>
      <w:r w:rsidRPr="001C513C">
        <w:rPr>
          <w:rFonts w:ascii="Times New Roman" w:eastAsia="Times New Roman" w:hAnsi="Times New Roman" w:cs="Times New Roman"/>
          <w:sz w:val="20"/>
          <w:szCs w:val="20"/>
        </w:rPr>
        <w:t>, at 451.</w:t>
      </w:r>
    </w:p>
  </w:footnote>
  <w:footnote w:id="80">
    <w:p w14:paraId="25789937"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573569">
        <w:rPr>
          <w:rFonts w:ascii="Times New Roman" w:hAnsi="Times New Roman" w:cs="Times New Roman"/>
          <w:sz w:val="20"/>
          <w:szCs w:val="20"/>
        </w:rPr>
        <w:t>2017 ILC Report</w:t>
      </w:r>
      <w:r>
        <w:rPr>
          <w:rFonts w:ascii="Times New Roman" w:hAnsi="Times New Roman" w:cs="Times New Roman"/>
          <w:sz w:val="20"/>
          <w:szCs w:val="20"/>
        </w:rPr>
        <w:t xml:space="preserve">, </w:t>
      </w:r>
      <w:r w:rsidRPr="00E74714">
        <w:rPr>
          <w:rFonts w:ascii="Times New Roman" w:hAnsi="Times New Roman" w:cs="Times New Roman"/>
          <w:i/>
          <w:sz w:val="20"/>
          <w:szCs w:val="20"/>
        </w:rPr>
        <w:t>supra</w:t>
      </w:r>
      <w:r>
        <w:rPr>
          <w:rFonts w:ascii="Times New Roman" w:hAnsi="Times New Roman" w:cs="Times New Roman"/>
          <w:sz w:val="20"/>
          <w:szCs w:val="20"/>
        </w:rPr>
        <w:t xml:space="preserve"> note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_Ref393977842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sidRPr="00E747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E74714">
        <w:rPr>
          <w:rFonts w:ascii="Times New Roman" w:eastAsia="Times New Roman" w:hAnsi="Times New Roman" w:cs="Times New Roman"/>
          <w:sz w:val="20"/>
          <w:szCs w:val="20"/>
        </w:rPr>
        <w:t xml:space="preserve">ommentary </w:t>
      </w:r>
      <w:r>
        <w:rPr>
          <w:rFonts w:ascii="Times New Roman" w:eastAsia="Times New Roman" w:hAnsi="Times New Roman" w:cs="Times New Roman"/>
          <w:sz w:val="20"/>
          <w:szCs w:val="20"/>
        </w:rPr>
        <w:t>to draft Art.</w:t>
      </w:r>
      <w:r w:rsidRPr="00E74714">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10, at 86,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8.</w:t>
      </w:r>
    </w:p>
  </w:footnote>
  <w:footnote w:id="81">
    <w:p w14:paraId="1E9A9359"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Ibid</w:t>
      </w:r>
      <w:r w:rsidR="0001512B">
        <w:rPr>
          <w:rFonts w:ascii="Times New Roman" w:eastAsia="Times New Roman" w:hAnsi="Times New Roman" w:cs="Times New Roman"/>
          <w:i/>
          <w:sz w:val="20"/>
          <w:szCs w:val="20"/>
        </w:rPr>
        <w:t>.</w:t>
      </w:r>
      <w:r w:rsidRPr="001C513C">
        <w:rPr>
          <w:rFonts w:ascii="Times New Roman" w:eastAsia="Times New Roman" w:hAnsi="Times New Roman" w:cs="Times New Roman"/>
          <w:sz w:val="20"/>
          <w:szCs w:val="20"/>
        </w:rPr>
        <w:t>, at 88,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11.   </w:t>
      </w:r>
    </w:p>
  </w:footnote>
  <w:footnote w:id="82">
    <w:p w14:paraId="2B1371EF"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Article 12 grants </w:t>
      </w:r>
      <w:proofErr w:type="gramStart"/>
      <w:r w:rsidRPr="001C513C">
        <w:rPr>
          <w:rFonts w:ascii="Times New Roman" w:eastAsia="Times New Roman" w:hAnsi="Times New Roman" w:cs="Times New Roman"/>
          <w:sz w:val="20"/>
          <w:szCs w:val="20"/>
        </w:rPr>
        <w:t>victims</w:t>
      </w:r>
      <w:proofErr w:type="gramEnd"/>
      <w:r w:rsidRPr="001C513C">
        <w:rPr>
          <w:rFonts w:ascii="Times New Roman" w:eastAsia="Times New Roman" w:hAnsi="Times New Roman" w:cs="Times New Roman"/>
          <w:sz w:val="20"/>
          <w:szCs w:val="20"/>
        </w:rPr>
        <w:t xml:space="preserve"> rights in criminal proceedings, but not the </w:t>
      </w:r>
      <w:r w:rsidRPr="001C513C">
        <w:rPr>
          <w:rFonts w:ascii="Times New Roman" w:eastAsia="Times New Roman" w:hAnsi="Times New Roman" w:cs="Times New Roman"/>
          <w:i/>
          <w:sz w:val="20"/>
          <w:szCs w:val="20"/>
        </w:rPr>
        <w:t xml:space="preserve">a priori </w:t>
      </w:r>
      <w:r w:rsidRPr="001C513C">
        <w:rPr>
          <w:rFonts w:ascii="Times New Roman" w:eastAsia="Times New Roman" w:hAnsi="Times New Roman" w:cs="Times New Roman"/>
          <w:sz w:val="20"/>
          <w:szCs w:val="20"/>
        </w:rPr>
        <w:t xml:space="preserve">right to criminal proceedings. On </w:t>
      </w:r>
      <w:r>
        <w:rPr>
          <w:rFonts w:ascii="Times New Roman" w:eastAsia="Times New Roman" w:hAnsi="Times New Roman" w:cs="Times New Roman"/>
          <w:sz w:val="20"/>
          <w:szCs w:val="20"/>
        </w:rPr>
        <w:t>Article</w:t>
      </w:r>
      <w:r w:rsidRPr="001C513C">
        <w:rPr>
          <w:rFonts w:ascii="Times New Roman" w:eastAsia="Times New Roman" w:hAnsi="Times New Roman" w:cs="Times New Roman"/>
          <w:sz w:val="20"/>
          <w:szCs w:val="20"/>
        </w:rPr>
        <w:t xml:space="preserve"> 12, see also </w:t>
      </w:r>
      <w:r w:rsidRPr="001C513C">
        <w:rPr>
          <w:rFonts w:ascii="Times New Roman" w:hAnsi="Times New Roman" w:cs="Times New Roman"/>
          <w:sz w:val="20"/>
          <w:szCs w:val="20"/>
        </w:rPr>
        <w:t xml:space="preserve">C. </w:t>
      </w:r>
      <w:proofErr w:type="spellStart"/>
      <w:r w:rsidRPr="001C513C">
        <w:rPr>
          <w:rFonts w:ascii="Times New Roman" w:hAnsi="Times New Roman" w:cs="Times New Roman"/>
          <w:sz w:val="20"/>
          <w:szCs w:val="20"/>
        </w:rPr>
        <w:t>Ferstman</w:t>
      </w:r>
      <w:proofErr w:type="spellEnd"/>
      <w:r w:rsidRPr="001C513C">
        <w:rPr>
          <w:rFonts w:ascii="Times New Roman" w:hAnsi="Times New Roman" w:cs="Times New Roman"/>
          <w:sz w:val="20"/>
          <w:szCs w:val="20"/>
        </w:rPr>
        <w:t xml:space="preserve"> and M. Lawry White, ‘Victims’, Witnesses’ and Others’ </w:t>
      </w:r>
      <w:r>
        <w:rPr>
          <w:rFonts w:ascii="Times New Roman" w:hAnsi="Times New Roman" w:cs="Times New Roman"/>
          <w:sz w:val="20"/>
          <w:szCs w:val="20"/>
        </w:rPr>
        <w:t>R</w:t>
      </w:r>
      <w:r w:rsidRPr="001C513C">
        <w:rPr>
          <w:rFonts w:ascii="Times New Roman" w:hAnsi="Times New Roman" w:cs="Times New Roman"/>
          <w:sz w:val="20"/>
          <w:szCs w:val="20"/>
        </w:rPr>
        <w:t xml:space="preserve">ights’, </w:t>
      </w:r>
      <w:r>
        <w:rPr>
          <w:rFonts w:ascii="Times New Roman" w:hAnsi="Times New Roman" w:cs="Times New Roman"/>
          <w:bCs/>
          <w:sz w:val="20"/>
          <w:szCs w:val="20"/>
        </w:rPr>
        <w:t xml:space="preserve">in this special issue of the </w:t>
      </w:r>
      <w:r>
        <w:rPr>
          <w:rFonts w:ascii="Times New Roman" w:hAnsi="Times New Roman" w:cs="Times New Roman"/>
          <w:bCs/>
          <w:i/>
          <w:sz w:val="20"/>
          <w:szCs w:val="20"/>
        </w:rPr>
        <w:t>Journal</w:t>
      </w:r>
      <w:r w:rsidRPr="001C513C">
        <w:rPr>
          <w:rFonts w:ascii="Times New Roman" w:hAnsi="Times New Roman" w:cs="Times New Roman"/>
          <w:bCs/>
          <w:sz w:val="20"/>
          <w:szCs w:val="20"/>
        </w:rPr>
        <w:t xml:space="preserve">. </w:t>
      </w:r>
      <w:r w:rsidRPr="001C513C">
        <w:rPr>
          <w:rFonts w:ascii="Times New Roman" w:hAnsi="Times New Roman" w:cs="Times New Roman"/>
          <w:sz w:val="20"/>
          <w:szCs w:val="20"/>
        </w:rPr>
        <w:t xml:space="preserve"> </w:t>
      </w:r>
    </w:p>
  </w:footnote>
  <w:footnote w:id="83">
    <w:p w14:paraId="2406A4EF" w14:textId="77777777" w:rsidR="00F64BB3" w:rsidRPr="002834C9" w:rsidRDefault="00F64BB3">
      <w:pPr>
        <w:pStyle w:val="FootnoteText"/>
        <w:jc w:val="both"/>
        <w:rPr>
          <w:rFonts w:ascii="Times New Roman" w:hAnsi="Times New Roman" w:cs="Times New Roman"/>
        </w:rPr>
      </w:pPr>
      <w:r w:rsidRPr="002834C9">
        <w:rPr>
          <w:rStyle w:val="FootnoteReference"/>
          <w:rFonts w:ascii="Times New Roman" w:hAnsi="Times New Roman" w:cs="Times New Roman"/>
        </w:rPr>
        <w:footnoteRef/>
      </w:r>
      <w:r w:rsidRPr="002834C9">
        <w:rPr>
          <w:rFonts w:ascii="Times New Roman" w:hAnsi="Times New Roman" w:cs="Times New Roman"/>
        </w:rPr>
        <w:t xml:space="preserve"> </w:t>
      </w:r>
      <w:r w:rsidRPr="002834C9">
        <w:rPr>
          <w:rFonts w:ascii="Times New Roman" w:eastAsia="Times New Roman" w:hAnsi="Times New Roman" w:cs="Times New Roman"/>
        </w:rPr>
        <w:t xml:space="preserve">Judgment, </w:t>
      </w:r>
      <w:proofErr w:type="spellStart"/>
      <w:r w:rsidRPr="002834C9">
        <w:rPr>
          <w:rFonts w:ascii="Times New Roman" w:eastAsia="Times New Roman" w:hAnsi="Times New Roman" w:cs="Times New Roman"/>
          <w:i/>
        </w:rPr>
        <w:t>Furundžija</w:t>
      </w:r>
      <w:proofErr w:type="spellEnd"/>
      <w:r w:rsidRPr="002834C9">
        <w:rPr>
          <w:rFonts w:ascii="Times New Roman" w:eastAsia="Times New Roman" w:hAnsi="Times New Roman" w:cs="Times New Roman"/>
          <w:i/>
        </w:rPr>
        <w:t xml:space="preserve"> </w:t>
      </w:r>
      <w:r w:rsidRPr="002834C9">
        <w:rPr>
          <w:rFonts w:ascii="Times New Roman" w:eastAsia="Times New Roman" w:hAnsi="Times New Roman" w:cs="Times New Roman"/>
        </w:rPr>
        <w:t xml:space="preserve">(IT-95-17-1-T), Trial Chamber II, </w:t>
      </w:r>
      <w:r>
        <w:rPr>
          <w:rFonts w:ascii="Times New Roman" w:eastAsia="Times New Roman" w:hAnsi="Times New Roman" w:cs="Times New Roman"/>
        </w:rPr>
        <w:t xml:space="preserve">10 December 1998, </w:t>
      </w:r>
      <w:r w:rsidRPr="002834C9">
        <w:rPr>
          <w:rFonts w:ascii="Times New Roman" w:eastAsia="Times New Roman" w:hAnsi="Times New Roman" w:cs="Times New Roman"/>
        </w:rPr>
        <w:t>§</w:t>
      </w:r>
      <w:r>
        <w:rPr>
          <w:rFonts w:ascii="Times New Roman" w:eastAsia="Times New Roman" w:hAnsi="Times New Roman" w:cs="Times New Roman"/>
        </w:rPr>
        <w:t xml:space="preserve"> </w:t>
      </w:r>
      <w:r w:rsidRPr="002834C9">
        <w:rPr>
          <w:rFonts w:ascii="Times New Roman" w:eastAsia="Times New Roman" w:hAnsi="Times New Roman" w:cs="Times New Roman"/>
        </w:rPr>
        <w:t>155</w:t>
      </w:r>
      <w:r>
        <w:rPr>
          <w:rFonts w:ascii="Times New Roman" w:eastAsia="Times New Roman" w:hAnsi="Times New Roman" w:cs="Times New Roman"/>
        </w:rPr>
        <w:t>,</w:t>
      </w:r>
      <w:r w:rsidRPr="002834C9">
        <w:rPr>
          <w:rFonts w:ascii="Times New Roman" w:eastAsia="Times New Roman" w:hAnsi="Times New Roman" w:cs="Times New Roman"/>
        </w:rPr>
        <w:t xml:space="preserve"> as cited in </w:t>
      </w:r>
      <w:r w:rsidRPr="00573569">
        <w:rPr>
          <w:rFonts w:ascii="Times New Roman" w:hAnsi="Times New Roman" w:cs="Times New Roman"/>
        </w:rPr>
        <w:t>2017 ILC Report</w:t>
      </w:r>
      <w:r>
        <w:rPr>
          <w:rFonts w:ascii="Times New Roman" w:hAnsi="Times New Roman" w:cs="Times New Roman"/>
        </w:rPr>
        <w:t xml:space="preserve">, </w:t>
      </w:r>
      <w:r w:rsidRPr="00E74714">
        <w:rPr>
          <w:rFonts w:ascii="Times New Roman" w:hAnsi="Times New Roman" w:cs="Times New Roman"/>
          <w:i/>
        </w:rPr>
        <w:t>supra</w:t>
      </w:r>
      <w:r>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_Ref393977842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w:t>
      </w:r>
      <w:r w:rsidRPr="00E74714">
        <w:rPr>
          <w:rFonts w:ascii="Times New Roman" w:eastAsia="Times New Roman" w:hAnsi="Times New Roman" w:cs="Times New Roman"/>
        </w:rPr>
        <w:t xml:space="preserve"> </w:t>
      </w:r>
      <w:r>
        <w:rPr>
          <w:rFonts w:ascii="Times New Roman" w:eastAsia="Times New Roman" w:hAnsi="Times New Roman" w:cs="Times New Roman"/>
        </w:rPr>
        <w:t>c</w:t>
      </w:r>
      <w:r w:rsidRPr="00E74714">
        <w:rPr>
          <w:rFonts w:ascii="Times New Roman" w:eastAsia="Times New Roman" w:hAnsi="Times New Roman" w:cs="Times New Roman"/>
        </w:rPr>
        <w:t xml:space="preserve">ommentary </w:t>
      </w:r>
      <w:r>
        <w:rPr>
          <w:rFonts w:ascii="Times New Roman" w:eastAsia="Times New Roman" w:hAnsi="Times New Roman" w:cs="Times New Roman"/>
        </w:rPr>
        <w:t>to draft Art.</w:t>
      </w:r>
      <w:r w:rsidRPr="001C513C">
        <w:rPr>
          <w:rFonts w:ascii="Times New Roman" w:eastAsia="Times New Roman" w:hAnsi="Times New Roman" w:cs="Times New Roman"/>
        </w:rPr>
        <w:t xml:space="preserve"> 10, at 86-87, §</w:t>
      </w:r>
      <w:r>
        <w:rPr>
          <w:rFonts w:ascii="Times New Roman" w:eastAsia="Times New Roman" w:hAnsi="Times New Roman" w:cs="Times New Roman"/>
        </w:rPr>
        <w:t xml:space="preserve"> </w:t>
      </w:r>
      <w:r w:rsidRPr="001C513C">
        <w:rPr>
          <w:rFonts w:ascii="Times New Roman" w:eastAsia="Times New Roman" w:hAnsi="Times New Roman" w:cs="Times New Roman"/>
        </w:rPr>
        <w:t>9.</w:t>
      </w:r>
    </w:p>
  </w:footnote>
  <w:footnote w:id="84">
    <w:p w14:paraId="2DF226C3" w14:textId="77777777" w:rsidR="00F64BB3" w:rsidRDefault="00F64BB3">
      <w:pPr>
        <w:pStyle w:val="FootnoteText"/>
      </w:pPr>
      <w:r w:rsidRPr="00AC2564">
        <w:rPr>
          <w:rStyle w:val="FootnoteReference"/>
          <w:rFonts w:ascii="Times New Roman" w:hAnsi="Times New Roman" w:cs="Times New Roman"/>
        </w:rPr>
        <w:footnoteRef/>
      </w:r>
      <w:r>
        <w:t xml:space="preserve"> </w:t>
      </w:r>
      <w:r w:rsidRPr="00573569">
        <w:rPr>
          <w:rFonts w:ascii="Times New Roman" w:hAnsi="Times New Roman" w:cs="Times New Roman"/>
        </w:rPr>
        <w:t>2017 ILC Report</w:t>
      </w:r>
      <w:r>
        <w:rPr>
          <w:rFonts w:ascii="Times New Roman" w:hAnsi="Times New Roman" w:cs="Times New Roman"/>
        </w:rPr>
        <w:t xml:space="preserve">, </w:t>
      </w:r>
      <w:r w:rsidRPr="00E74714">
        <w:rPr>
          <w:rFonts w:ascii="Times New Roman" w:hAnsi="Times New Roman" w:cs="Times New Roman"/>
          <w:i/>
        </w:rPr>
        <w:t>supra</w:t>
      </w:r>
      <w:r>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_Ref393977842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commentary to draft Art. 10, at 87, </w:t>
      </w:r>
      <w:r w:rsidRPr="001C513C">
        <w:rPr>
          <w:rFonts w:ascii="Times New Roman" w:eastAsia="Times New Roman" w:hAnsi="Times New Roman" w:cs="Times New Roman"/>
        </w:rPr>
        <w:t>§</w:t>
      </w:r>
      <w:r>
        <w:rPr>
          <w:rFonts w:ascii="Times New Roman" w:eastAsia="Times New Roman" w:hAnsi="Times New Roman" w:cs="Times New Roman"/>
        </w:rPr>
        <w:t xml:space="preserve"> </w:t>
      </w:r>
      <w:r w:rsidRPr="001C513C">
        <w:rPr>
          <w:rFonts w:ascii="Times New Roman" w:eastAsia="Times New Roman" w:hAnsi="Times New Roman" w:cs="Times New Roman"/>
        </w:rPr>
        <w:t>9.</w:t>
      </w:r>
      <w:r>
        <w:rPr>
          <w:rFonts w:ascii="Times New Roman" w:hAnsi="Times New Roman" w:cs="Times New Roman"/>
        </w:rPr>
        <w:t xml:space="preserve"> </w:t>
      </w:r>
    </w:p>
  </w:footnote>
  <w:footnote w:id="85">
    <w:p w14:paraId="3DC5DAAF"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Fn</w:t>
      </w:r>
      <w:proofErr w:type="spellEnd"/>
      <w:r>
        <w:rPr>
          <w:rFonts w:ascii="Times New Roman" w:eastAsia="Times New Roman" w:hAnsi="Times New Roman" w:cs="Times New Roman"/>
          <w:sz w:val="20"/>
          <w:szCs w:val="20"/>
        </w:rPr>
        <w:t xml:space="preserve"> 423</w:t>
      </w:r>
      <w:r w:rsidRPr="001C513C">
        <w:rPr>
          <w:rFonts w:ascii="Times New Roman" w:eastAsia="Times New Roman" w:hAnsi="Times New Roman" w:cs="Times New Roman"/>
          <w:sz w:val="20"/>
          <w:szCs w:val="20"/>
        </w:rPr>
        <w:t xml:space="preserve"> in the </w:t>
      </w:r>
      <w:r>
        <w:rPr>
          <w:rFonts w:ascii="Times New Roman" w:eastAsia="Times New Roman" w:hAnsi="Times New Roman" w:cs="Times New Roman"/>
          <w:sz w:val="20"/>
          <w:szCs w:val="20"/>
        </w:rPr>
        <w:t>ILC’s c</w:t>
      </w:r>
      <w:r w:rsidRPr="001C513C">
        <w:rPr>
          <w:rFonts w:ascii="Times New Roman" w:eastAsia="Times New Roman" w:hAnsi="Times New Roman" w:cs="Times New Roman"/>
          <w:sz w:val="20"/>
          <w:szCs w:val="20"/>
        </w:rPr>
        <w:t>omme</w:t>
      </w:r>
      <w:r w:rsidRPr="00073B57">
        <w:rPr>
          <w:rFonts w:ascii="Times New Roman" w:eastAsia="Times New Roman" w:hAnsi="Times New Roman" w:cs="Times New Roman"/>
          <w:sz w:val="20"/>
          <w:szCs w:val="20"/>
        </w:rPr>
        <w:t>ntary (</w:t>
      </w:r>
      <w:r w:rsidRPr="00AC2564">
        <w:rPr>
          <w:rFonts w:ascii="Times New Roman" w:hAnsi="Times New Roman" w:cs="Times New Roman"/>
          <w:sz w:val="20"/>
          <w:szCs w:val="20"/>
        </w:rPr>
        <w:t xml:space="preserve">2017 ILC Report, </w:t>
      </w:r>
      <w:r w:rsidRPr="00AC2564">
        <w:rPr>
          <w:rFonts w:ascii="Times New Roman" w:hAnsi="Times New Roman" w:cs="Times New Roman"/>
          <w:i/>
          <w:sz w:val="20"/>
          <w:szCs w:val="20"/>
        </w:rPr>
        <w:t>supra</w:t>
      </w:r>
      <w:r w:rsidRPr="00AC2564">
        <w:rPr>
          <w:rFonts w:ascii="Times New Roman" w:hAnsi="Times New Roman" w:cs="Times New Roman"/>
          <w:sz w:val="20"/>
          <w:szCs w:val="20"/>
        </w:rPr>
        <w:t xml:space="preserve"> note </w:t>
      </w:r>
      <w:r w:rsidRPr="00AC2564">
        <w:rPr>
          <w:rFonts w:ascii="Times New Roman" w:hAnsi="Times New Roman" w:cs="Times New Roman"/>
          <w:sz w:val="20"/>
          <w:szCs w:val="20"/>
        </w:rPr>
        <w:fldChar w:fldCharType="begin"/>
      </w:r>
      <w:r w:rsidRPr="00AC2564">
        <w:rPr>
          <w:rFonts w:ascii="Times New Roman" w:hAnsi="Times New Roman" w:cs="Times New Roman"/>
          <w:sz w:val="20"/>
          <w:szCs w:val="20"/>
        </w:rPr>
        <w:instrText xml:space="preserve"> NOTEREF _Ref393977842 \h </w:instrText>
      </w:r>
      <w:r>
        <w:rPr>
          <w:rFonts w:ascii="Times New Roman" w:hAnsi="Times New Roman" w:cs="Times New Roman"/>
          <w:sz w:val="20"/>
          <w:szCs w:val="20"/>
        </w:rPr>
        <w:instrText xml:space="preserve"> \* MERGEFORMAT </w:instrText>
      </w:r>
      <w:r w:rsidRPr="00AC2564">
        <w:rPr>
          <w:rFonts w:ascii="Times New Roman" w:hAnsi="Times New Roman" w:cs="Times New Roman"/>
          <w:sz w:val="20"/>
          <w:szCs w:val="20"/>
        </w:rPr>
      </w:r>
      <w:r w:rsidRPr="00AC2564">
        <w:rPr>
          <w:rFonts w:ascii="Times New Roman" w:hAnsi="Times New Roman" w:cs="Times New Roman"/>
          <w:sz w:val="20"/>
          <w:szCs w:val="20"/>
        </w:rPr>
        <w:fldChar w:fldCharType="separate"/>
      </w:r>
      <w:r w:rsidRPr="00AC2564">
        <w:rPr>
          <w:rFonts w:ascii="Times New Roman" w:hAnsi="Times New Roman" w:cs="Times New Roman"/>
          <w:sz w:val="20"/>
          <w:szCs w:val="20"/>
        </w:rPr>
        <w:t>2</w:t>
      </w:r>
      <w:r w:rsidRPr="00AC2564">
        <w:rPr>
          <w:rFonts w:ascii="Times New Roman" w:hAnsi="Times New Roman" w:cs="Times New Roman"/>
          <w:sz w:val="20"/>
          <w:szCs w:val="20"/>
        </w:rPr>
        <w:fldChar w:fldCharType="end"/>
      </w:r>
      <w:r>
        <w:rPr>
          <w:rFonts w:ascii="Times New Roman" w:hAnsi="Times New Roman" w:cs="Times New Roman"/>
          <w:sz w:val="20"/>
          <w:szCs w:val="20"/>
        </w:rPr>
        <w:t>, at 87</w:t>
      </w:r>
      <w:r w:rsidRPr="00AC2564">
        <w:rPr>
          <w:rFonts w:ascii="Times New Roman" w:hAnsi="Times New Roman" w:cs="Times New Roman"/>
          <w:sz w:val="20"/>
          <w:szCs w:val="20"/>
        </w:rPr>
        <w:t>)</w:t>
      </w:r>
      <w:r>
        <w:rPr>
          <w:rFonts w:ascii="Times New Roman" w:hAnsi="Times New Roman" w:cs="Times New Roman"/>
          <w:sz w:val="20"/>
          <w:szCs w:val="20"/>
        </w:rPr>
        <w:t>. The footnote</w:t>
      </w:r>
      <w:r w:rsidRPr="00AC2564">
        <w:rPr>
          <w:rFonts w:ascii="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refers to </w:t>
      </w:r>
      <w:r>
        <w:rPr>
          <w:rFonts w:ascii="Times New Roman" w:eastAsia="Times New Roman" w:hAnsi="Times New Roman" w:cs="Times New Roman"/>
          <w:sz w:val="20"/>
          <w:szCs w:val="20"/>
        </w:rPr>
        <w:t>A</w:t>
      </w:r>
      <w:r w:rsidRPr="001C513C">
        <w:rPr>
          <w:rFonts w:ascii="Times New Roman" w:eastAsia="Times New Roman" w:hAnsi="Times New Roman" w:cs="Times New Roman"/>
          <w:sz w:val="20"/>
          <w:szCs w:val="20"/>
        </w:rPr>
        <w:t xml:space="preserve">rticle 40 of the Extraordinary Chambers of Cambodia Agreement, but this should be </w:t>
      </w:r>
      <w:r>
        <w:rPr>
          <w:rFonts w:ascii="Times New Roman" w:eastAsia="Times New Roman" w:hAnsi="Times New Roman" w:cs="Times New Roman"/>
          <w:sz w:val="20"/>
          <w:szCs w:val="20"/>
        </w:rPr>
        <w:t>Article</w:t>
      </w:r>
      <w:r w:rsidRPr="001C513C">
        <w:rPr>
          <w:rFonts w:ascii="Times New Roman" w:eastAsia="Times New Roman" w:hAnsi="Times New Roman" w:cs="Times New Roman"/>
          <w:sz w:val="20"/>
          <w:szCs w:val="20"/>
        </w:rPr>
        <w:t xml:space="preserve"> 40 of the ‘Law on the Establishment of Extraordinary Chambers in the Courts of Cambodia for the Prosecution of Crimes Committed during the Period of Democratic Kampuchea’. The relevant article in the cited Agreement is </w:t>
      </w:r>
      <w:r>
        <w:rPr>
          <w:rFonts w:ascii="Times New Roman" w:eastAsia="Times New Roman" w:hAnsi="Times New Roman" w:cs="Times New Roman"/>
          <w:sz w:val="20"/>
          <w:szCs w:val="20"/>
        </w:rPr>
        <w:t>Article</w:t>
      </w:r>
      <w:r w:rsidRPr="001C513C">
        <w:rPr>
          <w:rFonts w:ascii="Times New Roman" w:eastAsia="Times New Roman" w:hAnsi="Times New Roman" w:cs="Times New Roman"/>
          <w:sz w:val="20"/>
          <w:szCs w:val="20"/>
        </w:rPr>
        <w:t xml:space="preserve"> 11, but it is the Law, not the Agreement, that established the Chambers. </w:t>
      </w:r>
      <w:r w:rsidRPr="001C513C">
        <w:rPr>
          <w:rFonts w:ascii="Times New Roman" w:eastAsia="Times New Roman" w:hAnsi="Times New Roman" w:cs="Times New Roman"/>
          <w:b/>
          <w:sz w:val="20"/>
          <w:szCs w:val="20"/>
        </w:rPr>
        <w:t xml:space="preserve"> </w:t>
      </w:r>
    </w:p>
  </w:footnote>
  <w:footnote w:id="86">
    <w:p w14:paraId="6A634F3A" w14:textId="3E4DA921"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For example, </w:t>
      </w:r>
      <w:r>
        <w:rPr>
          <w:rFonts w:ascii="Times New Roman" w:eastAsia="Times New Roman" w:hAnsi="Times New Roman" w:cs="Times New Roman"/>
          <w:sz w:val="20"/>
          <w:szCs w:val="20"/>
        </w:rPr>
        <w:t xml:space="preserve">the ECCC in </w:t>
      </w:r>
      <w:proofErr w:type="spellStart"/>
      <w:r w:rsidRPr="00827B64">
        <w:rPr>
          <w:rFonts w:ascii="Times New Roman" w:eastAsia="Times New Roman" w:hAnsi="Times New Roman" w:cs="Times New Roman"/>
          <w:i/>
          <w:sz w:val="20"/>
          <w:szCs w:val="20"/>
        </w:rPr>
        <w:t>Ieng</w:t>
      </w:r>
      <w:proofErr w:type="spellEnd"/>
      <w:r w:rsidRPr="00827B64">
        <w:rPr>
          <w:rFonts w:ascii="Times New Roman" w:eastAsia="Times New Roman" w:hAnsi="Times New Roman" w:cs="Times New Roman"/>
          <w:i/>
          <w:sz w:val="20"/>
          <w:szCs w:val="20"/>
        </w:rPr>
        <w:t xml:space="preserve"> </w:t>
      </w:r>
      <w:proofErr w:type="spellStart"/>
      <w:r w:rsidRPr="00827B64">
        <w:rPr>
          <w:rFonts w:ascii="Times New Roman" w:eastAsia="Times New Roman" w:hAnsi="Times New Roman" w:cs="Times New Roman"/>
          <w:i/>
          <w:sz w:val="20"/>
          <w:szCs w:val="20"/>
        </w:rPr>
        <w:t>Sary</w:t>
      </w:r>
      <w:proofErr w:type="spellEnd"/>
      <w:r w:rsidRPr="001C513C">
        <w:rPr>
          <w:rFonts w:ascii="Times New Roman" w:eastAsia="Times New Roman" w:hAnsi="Times New Roman" w:cs="Times New Roman"/>
          <w:sz w:val="20"/>
          <w:szCs w:val="20"/>
        </w:rPr>
        <w:t xml:space="preserve"> correctly cites the Ugandan Constitutional Court decision in </w:t>
      </w:r>
      <w:r w:rsidRPr="001C513C">
        <w:rPr>
          <w:rFonts w:ascii="Times New Roman" w:eastAsia="Times New Roman" w:hAnsi="Times New Roman" w:cs="Times New Roman"/>
          <w:i/>
          <w:sz w:val="20"/>
          <w:szCs w:val="20"/>
        </w:rPr>
        <w:t xml:space="preserve">Kwoyelo </w:t>
      </w:r>
      <w:r w:rsidRPr="001C513C">
        <w:rPr>
          <w:rFonts w:ascii="Times New Roman" w:eastAsia="Times New Roman" w:hAnsi="Times New Roman" w:cs="Times New Roman"/>
          <w:sz w:val="20"/>
          <w:szCs w:val="20"/>
        </w:rPr>
        <w:t>as one upholding an amnesty, but that case gives little support for the claim that that was because of ‘the process by which the amnesty was enacted, the substance and scope of the amnesty, and whether it provided for any alternative form of accountability.’ (</w:t>
      </w:r>
      <w:proofErr w:type="spellStart"/>
      <w:r w:rsidRPr="001C513C">
        <w:rPr>
          <w:rFonts w:ascii="Times New Roman" w:eastAsia="Times New Roman" w:hAnsi="Times New Roman" w:cs="Times New Roman"/>
          <w:i/>
          <w:sz w:val="20"/>
          <w:szCs w:val="20"/>
        </w:rPr>
        <w:t>Ieng</w:t>
      </w:r>
      <w:proofErr w:type="spellEnd"/>
      <w:r w:rsidRPr="001C513C">
        <w:rPr>
          <w:rFonts w:ascii="Times New Roman" w:eastAsia="Times New Roman" w:hAnsi="Times New Roman" w:cs="Times New Roman"/>
          <w:i/>
          <w:sz w:val="20"/>
          <w:szCs w:val="20"/>
        </w:rPr>
        <w:t xml:space="preserve"> </w:t>
      </w:r>
      <w:proofErr w:type="spellStart"/>
      <w:r w:rsidRPr="001C513C">
        <w:rPr>
          <w:rFonts w:ascii="Times New Roman" w:eastAsia="Times New Roman" w:hAnsi="Times New Roman" w:cs="Times New Roman"/>
          <w:i/>
          <w:sz w:val="20"/>
          <w:szCs w:val="20"/>
        </w:rPr>
        <w:t>Sary</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sidR="0053027B">
        <w:rPr>
          <w:rFonts w:ascii="Times New Roman" w:eastAsia="Times New Roman" w:hAnsi="Times New Roman" w:cs="Times New Roman"/>
          <w:sz w:val="20"/>
          <w:szCs w:val="20"/>
        </w:rPr>
        <w:t>11</w:t>
      </w:r>
      <w:r w:rsidRPr="001C513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52</w:t>
      </w:r>
      <w:r>
        <w:rPr>
          <w:rFonts w:ascii="Times New Roman" w:eastAsia="Times New Roman" w:hAnsi="Times New Roman" w:cs="Times New Roman"/>
          <w:sz w:val="20"/>
          <w:szCs w:val="20"/>
        </w:rPr>
        <w:t xml:space="preserve"> citing Uganda, </w:t>
      </w:r>
      <w:r w:rsidRPr="001C513C">
        <w:rPr>
          <w:rFonts w:ascii="Times New Roman" w:eastAsia="Times New Roman" w:hAnsi="Times New Roman" w:cs="Times New Roman"/>
          <w:sz w:val="20"/>
          <w:szCs w:val="20"/>
        </w:rPr>
        <w:t>Constitutional Court, Judgment</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Kwoyelo (alias </w:t>
      </w:r>
      <w:proofErr w:type="spellStart"/>
      <w:r w:rsidRPr="001C513C">
        <w:rPr>
          <w:rFonts w:ascii="Times New Roman" w:eastAsia="Times New Roman" w:hAnsi="Times New Roman" w:cs="Times New Roman"/>
          <w:i/>
          <w:sz w:val="20"/>
          <w:szCs w:val="20"/>
        </w:rPr>
        <w:t>Latoni</w:t>
      </w:r>
      <w:proofErr w:type="spellEnd"/>
      <w:r w:rsidRPr="001C513C">
        <w:rPr>
          <w:rFonts w:ascii="Times New Roman" w:eastAsia="Times New Roman" w:hAnsi="Times New Roman" w:cs="Times New Roman"/>
          <w:i/>
          <w:sz w:val="20"/>
          <w:szCs w:val="20"/>
        </w:rPr>
        <w:t>) v Uganda</w:t>
      </w:r>
      <w:r w:rsidRPr="001C513C">
        <w:rPr>
          <w:rFonts w:ascii="Times New Roman" w:eastAsia="Times New Roman" w:hAnsi="Times New Roman" w:cs="Times New Roman"/>
          <w:sz w:val="20"/>
          <w:szCs w:val="20"/>
        </w:rPr>
        <w:t>, 22 September 2011, 150 ILR</w:t>
      </w:r>
      <w:r w:rsidRPr="001C513C">
        <w:rPr>
          <w:rFonts w:ascii="Times New Roman" w:eastAsia="Times New Roman" w:hAnsi="Times New Roman" w:cs="Times New Roman"/>
          <w:sz w:val="20"/>
          <w:szCs w:val="20"/>
          <w:shd w:val="clear" w:color="auto" w:fill="F3F3F3"/>
        </w:rPr>
        <w:t xml:space="preserve"> </w:t>
      </w:r>
      <w:r w:rsidRPr="001C513C">
        <w:rPr>
          <w:rFonts w:ascii="Times New Roman" w:eastAsia="Times New Roman" w:hAnsi="Times New Roman" w:cs="Times New Roman"/>
          <w:sz w:val="20"/>
          <w:szCs w:val="20"/>
        </w:rPr>
        <w:t>802</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While indeed adopted in a democratic process, the Ugandan Amnesty Act 2000 was broad in both scope and substance (it covered even future crimes), without providing for an alternative form of accountability. The ECCC identifies as an apparently relevant fact that the Ugandan Amnesty Act 2000 was not a ‘blanket amnesty’, but t</w:t>
      </w:r>
      <w:r w:rsidRPr="001C513C">
        <w:rPr>
          <w:rFonts w:ascii="Times New Roman" w:eastAsia="Times New Roman" w:hAnsi="Times New Roman" w:cs="Times New Roman"/>
          <w:sz w:val="20"/>
          <w:szCs w:val="20"/>
        </w:rPr>
        <w:t>he amnesty was conditional only upon renouncing violence, for which signing the amnesty application form was sufficient. See</w:t>
      </w:r>
      <w:r>
        <w:rPr>
          <w:rFonts w:ascii="Times New Roman" w:eastAsia="Times New Roman" w:hAnsi="Times New Roman" w:cs="Times New Roman"/>
          <w:sz w:val="20"/>
          <w:szCs w:val="20"/>
        </w:rPr>
        <w:t xml:space="preserve"> Amnesty Act, 2000, Laws of Uganda, Chapter 294. </w:t>
      </w:r>
      <w:r w:rsidRPr="001C513C">
        <w:rPr>
          <w:rFonts w:ascii="Times New Roman" w:eastAsia="Times New Roman" w:hAnsi="Times New Roman" w:cs="Times New Roman"/>
          <w:sz w:val="20"/>
          <w:szCs w:val="20"/>
        </w:rPr>
        <w:t xml:space="preserve"> </w:t>
      </w:r>
    </w:p>
  </w:footnote>
  <w:footnote w:id="87">
    <w:p w14:paraId="7EE3543C" w14:textId="60D897FF" w:rsidR="00F64BB3" w:rsidRPr="00D46F0F" w:rsidRDefault="00F64BB3" w:rsidP="00FC76D1">
      <w:pPr>
        <w:pStyle w:val="FootnoteText"/>
      </w:pPr>
      <w:r w:rsidRPr="00D46F0F">
        <w:rPr>
          <w:rStyle w:val="FootnoteReference"/>
          <w:rFonts w:ascii="Times New Roman" w:hAnsi="Times New Roman" w:cs="Times New Roman"/>
        </w:rPr>
        <w:footnoteRef/>
      </w:r>
      <w:r w:rsidRPr="00D46F0F">
        <w:rPr>
          <w:rFonts w:ascii="Times New Roman" w:hAnsi="Times New Roman" w:cs="Times New Roman"/>
        </w:rPr>
        <w:t xml:space="preserve"> 2017 ILC Report, </w:t>
      </w:r>
      <w:r w:rsidRPr="00D46F0F">
        <w:rPr>
          <w:rFonts w:ascii="Times New Roman" w:hAnsi="Times New Roman" w:cs="Times New Roman"/>
          <w:i/>
        </w:rPr>
        <w:t>supra</w:t>
      </w:r>
      <w:r w:rsidRPr="00D46F0F">
        <w:rPr>
          <w:rFonts w:ascii="Times New Roman" w:hAnsi="Times New Roman" w:cs="Times New Roman"/>
        </w:rPr>
        <w:t xml:space="preserve"> note </w:t>
      </w:r>
      <w:r w:rsidRPr="00D46F0F">
        <w:rPr>
          <w:rFonts w:ascii="Times New Roman" w:hAnsi="Times New Roman" w:cs="Times New Roman"/>
        </w:rPr>
        <w:fldChar w:fldCharType="begin"/>
      </w:r>
      <w:r w:rsidRPr="00D46F0F">
        <w:rPr>
          <w:rFonts w:ascii="Times New Roman" w:hAnsi="Times New Roman" w:cs="Times New Roman"/>
        </w:rPr>
        <w:instrText xml:space="preserve"> NOTEREF _Ref393977842 \h </w:instrText>
      </w:r>
      <w:r w:rsidRPr="00D46F0F">
        <w:rPr>
          <w:rFonts w:ascii="Times New Roman" w:hAnsi="Times New Roman" w:cs="Times New Roman"/>
        </w:rPr>
      </w:r>
      <w:r w:rsidR="00D46F0F">
        <w:rPr>
          <w:rFonts w:ascii="Times New Roman" w:hAnsi="Times New Roman" w:cs="Times New Roman"/>
        </w:rPr>
        <w:instrText xml:space="preserve"> \* MERGEFORMAT </w:instrText>
      </w:r>
      <w:r w:rsidRPr="00D46F0F">
        <w:rPr>
          <w:rFonts w:ascii="Times New Roman" w:hAnsi="Times New Roman" w:cs="Times New Roman"/>
        </w:rPr>
        <w:fldChar w:fldCharType="separate"/>
      </w:r>
      <w:r w:rsidRPr="00D46F0F">
        <w:rPr>
          <w:rFonts w:ascii="Times New Roman" w:hAnsi="Times New Roman" w:cs="Times New Roman"/>
        </w:rPr>
        <w:t>2</w:t>
      </w:r>
      <w:r w:rsidRPr="00D46F0F">
        <w:rPr>
          <w:rFonts w:ascii="Times New Roman" w:hAnsi="Times New Roman" w:cs="Times New Roman"/>
        </w:rPr>
        <w:fldChar w:fldCharType="end"/>
      </w:r>
      <w:r w:rsidRPr="00D46F0F">
        <w:rPr>
          <w:rFonts w:ascii="Times New Roman" w:hAnsi="Times New Roman" w:cs="Times New Roman"/>
        </w:rPr>
        <w:t xml:space="preserve">, commentary to draft Art. 10, at 87, </w:t>
      </w:r>
      <w:r w:rsidRPr="00D46F0F">
        <w:rPr>
          <w:rFonts w:ascii="Times New Roman" w:eastAsia="Times New Roman" w:hAnsi="Times New Roman" w:cs="Times New Roman"/>
        </w:rPr>
        <w:t>§ 10.</w:t>
      </w:r>
    </w:p>
  </w:footnote>
  <w:footnote w:id="88">
    <w:p w14:paraId="72237EC6" w14:textId="7BBA0EC1"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46F0F">
        <w:rPr>
          <w:rStyle w:val="FootnoteReference"/>
          <w:rFonts w:ascii="Times New Roman" w:hAnsi="Times New Roman" w:cs="Times New Roman"/>
          <w:sz w:val="20"/>
          <w:szCs w:val="20"/>
        </w:rPr>
        <w:footnoteRef/>
      </w:r>
      <w:r w:rsidRPr="00D46F0F">
        <w:rPr>
          <w:rFonts w:ascii="Times New Roman" w:hAnsi="Times New Roman" w:cs="Times New Roman"/>
          <w:sz w:val="20"/>
          <w:szCs w:val="20"/>
        </w:rPr>
        <w:t xml:space="preserve"> </w:t>
      </w:r>
      <w:r w:rsidRPr="00D46F0F">
        <w:rPr>
          <w:rFonts w:ascii="Times New Roman" w:eastAsia="Times New Roman" w:hAnsi="Times New Roman" w:cs="Times New Roman"/>
          <w:sz w:val="20"/>
          <w:szCs w:val="20"/>
        </w:rPr>
        <w:t xml:space="preserve">For putative implications of the </w:t>
      </w:r>
      <w:r w:rsidRPr="00D46F0F">
        <w:rPr>
          <w:rFonts w:ascii="Times New Roman" w:eastAsia="Times New Roman" w:hAnsi="Times New Roman" w:cs="Times New Roman"/>
          <w:i/>
          <w:sz w:val="20"/>
          <w:szCs w:val="20"/>
        </w:rPr>
        <w:t xml:space="preserve">jus </w:t>
      </w:r>
      <w:proofErr w:type="spellStart"/>
      <w:r w:rsidRPr="00D46F0F">
        <w:rPr>
          <w:rFonts w:ascii="Times New Roman" w:eastAsia="Times New Roman" w:hAnsi="Times New Roman" w:cs="Times New Roman"/>
          <w:i/>
          <w:sz w:val="20"/>
          <w:szCs w:val="20"/>
        </w:rPr>
        <w:t>cogens</w:t>
      </w:r>
      <w:proofErr w:type="spellEnd"/>
      <w:r w:rsidRPr="00D46F0F">
        <w:rPr>
          <w:rFonts w:ascii="Times New Roman" w:eastAsia="Times New Roman" w:hAnsi="Times New Roman" w:cs="Times New Roman"/>
          <w:i/>
          <w:sz w:val="20"/>
          <w:szCs w:val="20"/>
        </w:rPr>
        <w:t xml:space="preserve"> </w:t>
      </w:r>
      <w:r w:rsidRPr="00D46F0F">
        <w:rPr>
          <w:rFonts w:ascii="Times New Roman" w:eastAsia="Times New Roman" w:hAnsi="Times New Roman" w:cs="Times New Roman"/>
          <w:sz w:val="20"/>
          <w:szCs w:val="20"/>
        </w:rPr>
        <w:t xml:space="preserve">status of torture, see </w:t>
      </w:r>
      <w:proofErr w:type="spellStart"/>
      <w:r w:rsidRPr="00D46F0F">
        <w:rPr>
          <w:rFonts w:ascii="Times New Roman" w:eastAsia="Times New Roman" w:hAnsi="Times New Roman" w:cs="Times New Roman"/>
          <w:i/>
          <w:sz w:val="20"/>
          <w:szCs w:val="20"/>
        </w:rPr>
        <w:t>Furundžija</w:t>
      </w:r>
      <w:proofErr w:type="spellEnd"/>
      <w:r w:rsidRPr="00D46F0F">
        <w:rPr>
          <w:rFonts w:ascii="Times New Roman" w:eastAsia="Times New Roman" w:hAnsi="Times New Roman" w:cs="Times New Roman"/>
          <w:sz w:val="20"/>
          <w:szCs w:val="20"/>
        </w:rPr>
        <w:t xml:space="preserve">, </w:t>
      </w:r>
      <w:r w:rsidRPr="00D46F0F">
        <w:rPr>
          <w:rFonts w:ascii="Times New Roman" w:eastAsia="Times New Roman" w:hAnsi="Times New Roman" w:cs="Times New Roman"/>
          <w:i/>
          <w:sz w:val="20"/>
          <w:szCs w:val="20"/>
        </w:rPr>
        <w:t>supra</w:t>
      </w:r>
      <w:r w:rsidRPr="00D46F0F">
        <w:rPr>
          <w:rFonts w:ascii="Times New Roman" w:eastAsia="Times New Roman" w:hAnsi="Times New Roman" w:cs="Times New Roman"/>
          <w:sz w:val="20"/>
          <w:szCs w:val="20"/>
        </w:rPr>
        <w:t xml:space="preserve"> note </w:t>
      </w:r>
      <w:r w:rsidR="0053027B" w:rsidRPr="00D46F0F">
        <w:rPr>
          <w:rFonts w:ascii="Times New Roman" w:eastAsia="Times New Roman" w:hAnsi="Times New Roman" w:cs="Times New Roman"/>
          <w:sz w:val="20"/>
          <w:szCs w:val="20"/>
        </w:rPr>
        <w:t>82</w:t>
      </w:r>
      <w:r w:rsidRPr="00D46F0F">
        <w:rPr>
          <w:rFonts w:ascii="Times New Roman" w:eastAsia="Times New Roman" w:hAnsi="Times New Roman" w:cs="Times New Roman"/>
          <w:sz w:val="20"/>
          <w:szCs w:val="20"/>
        </w:rPr>
        <w:t>,</w:t>
      </w:r>
      <w:r w:rsidRPr="00D46F0F">
        <w:rPr>
          <w:rFonts w:ascii="Times New Roman" w:eastAsia="Times New Roman" w:hAnsi="Times New Roman" w:cs="Times New Roman"/>
          <w:i/>
          <w:sz w:val="20"/>
          <w:szCs w:val="20"/>
        </w:rPr>
        <w:t xml:space="preserve"> </w:t>
      </w:r>
      <w:r w:rsidRPr="00D46F0F">
        <w:rPr>
          <w:rFonts w:ascii="Times New Roman" w:eastAsia="Times New Roman" w:hAnsi="Times New Roman" w:cs="Times New Roman"/>
          <w:sz w:val="20"/>
          <w:szCs w:val="20"/>
        </w:rPr>
        <w:t xml:space="preserve">§ 155, which the commentary refers to (see </w:t>
      </w:r>
      <w:r w:rsidRPr="00D46F0F">
        <w:rPr>
          <w:rFonts w:ascii="Times New Roman" w:eastAsia="Times New Roman" w:hAnsi="Times New Roman" w:cs="Times New Roman"/>
          <w:i/>
          <w:sz w:val="20"/>
          <w:szCs w:val="20"/>
        </w:rPr>
        <w:t xml:space="preserve">supra </w:t>
      </w:r>
      <w:r w:rsidRPr="00D46F0F">
        <w:rPr>
          <w:rFonts w:ascii="Times New Roman" w:eastAsia="Times New Roman" w:hAnsi="Times New Roman" w:cs="Times New Roman"/>
          <w:sz w:val="20"/>
          <w:szCs w:val="20"/>
        </w:rPr>
        <w:t xml:space="preserve">note </w:t>
      </w:r>
      <w:r w:rsidR="00D46F0F" w:rsidRPr="00D46F0F">
        <w:rPr>
          <w:rFonts w:ascii="Times New Roman" w:eastAsia="Times New Roman" w:hAnsi="Times New Roman" w:cs="Times New Roman"/>
          <w:sz w:val="20"/>
          <w:szCs w:val="20"/>
        </w:rPr>
        <w:t>82</w:t>
      </w:r>
      <w:r w:rsidRPr="00D46F0F">
        <w:rPr>
          <w:rFonts w:ascii="Times New Roman" w:eastAsia="Times New Roman" w:hAnsi="Times New Roman" w:cs="Times New Roman"/>
          <w:sz w:val="20"/>
          <w:szCs w:val="20"/>
        </w:rPr>
        <w:t>), but does not comment upon.</w:t>
      </w:r>
    </w:p>
  </w:footnote>
  <w:footnote w:id="89">
    <w:p w14:paraId="56C3713B"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Jurisdictional Immunities of the State (Germany v. Italy: Greece intervening)</w:t>
      </w:r>
      <w:r w:rsidRPr="001C513C">
        <w:rPr>
          <w:rFonts w:ascii="Times New Roman" w:eastAsia="Times New Roman" w:hAnsi="Times New Roman" w:cs="Times New Roman"/>
          <w:sz w:val="20"/>
          <w:szCs w:val="20"/>
        </w:rPr>
        <w:t>, Judgment</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3 February 2012, </w:t>
      </w:r>
      <w:r>
        <w:rPr>
          <w:rFonts w:ascii="Times New Roman" w:hAnsi="Times New Roman" w:cs="Times New Roman"/>
          <w:sz w:val="20"/>
          <w:szCs w:val="20"/>
        </w:rPr>
        <w:t xml:space="preserve">ICJ Reports (2012) 99, </w:t>
      </w:r>
      <w:r w:rsidRPr="001C513C">
        <w:rPr>
          <w:rFonts w:ascii="Times New Roman" w:eastAsia="Times New Roman" w:hAnsi="Times New Roman" w:cs="Times New Roman"/>
          <w:sz w:val="20"/>
          <w:szCs w:val="20"/>
        </w:rPr>
        <w:t xml:space="preserve">at 140-142. See also Lord Hoffman in </w:t>
      </w:r>
      <w:r w:rsidRPr="001C513C">
        <w:rPr>
          <w:rFonts w:ascii="Times New Roman" w:eastAsia="Times New Roman" w:hAnsi="Times New Roman" w:cs="Times New Roman"/>
          <w:i/>
          <w:sz w:val="20"/>
          <w:szCs w:val="20"/>
        </w:rPr>
        <w:t>Jones v Saudi Arabia</w:t>
      </w:r>
      <w:r w:rsidRPr="001C513C">
        <w:rPr>
          <w:rFonts w:ascii="Times New Roman" w:eastAsia="Times New Roman" w:hAnsi="Times New Roman" w:cs="Times New Roman"/>
          <w:sz w:val="20"/>
          <w:szCs w:val="20"/>
        </w:rPr>
        <w:t xml:space="preserve"> on upholding immunity for </w:t>
      </w:r>
      <w:r w:rsidRPr="001C513C">
        <w:rPr>
          <w:rFonts w:ascii="Times New Roman" w:eastAsia="Times New Roman" w:hAnsi="Times New Roman" w:cs="Times New Roman"/>
          <w:i/>
          <w:sz w:val="20"/>
          <w:szCs w:val="20"/>
        </w:rPr>
        <w:t xml:space="preserve">jus </w:t>
      </w:r>
      <w:proofErr w:type="spellStart"/>
      <w:r w:rsidRPr="001C513C">
        <w:rPr>
          <w:rFonts w:ascii="Times New Roman" w:eastAsia="Times New Roman" w:hAnsi="Times New Roman" w:cs="Times New Roman"/>
          <w:i/>
          <w:sz w:val="20"/>
          <w:szCs w:val="20"/>
        </w:rPr>
        <w:t>cogens</w:t>
      </w:r>
      <w:proofErr w:type="spellEnd"/>
      <w:r w:rsidRPr="001C513C">
        <w:rPr>
          <w:rFonts w:ascii="Times New Roman" w:eastAsia="Times New Roman" w:hAnsi="Times New Roman" w:cs="Times New Roman"/>
          <w:sz w:val="20"/>
          <w:szCs w:val="20"/>
        </w:rPr>
        <w:t xml:space="preserve"> crimes: ‘The jus </w:t>
      </w:r>
      <w:proofErr w:type="spellStart"/>
      <w:r w:rsidRPr="001C513C">
        <w:rPr>
          <w:rFonts w:ascii="Times New Roman" w:eastAsia="Times New Roman" w:hAnsi="Times New Roman" w:cs="Times New Roman"/>
          <w:sz w:val="20"/>
          <w:szCs w:val="20"/>
        </w:rPr>
        <w:t>cogens</w:t>
      </w:r>
      <w:proofErr w:type="spellEnd"/>
      <w:r w:rsidRPr="001C513C">
        <w:rPr>
          <w:rFonts w:ascii="Times New Roman" w:eastAsia="Times New Roman" w:hAnsi="Times New Roman" w:cs="Times New Roman"/>
          <w:sz w:val="20"/>
          <w:szCs w:val="20"/>
        </w:rPr>
        <w:t xml:space="preserve"> is the prohibition on torture. But the United Kingdom, in according state immunity to the Kingdom, is not proposing to torture anyone. Nor is the Kingdom, in claiming immunity, justifying the use of torture.’ House of Lords, </w:t>
      </w:r>
      <w:r w:rsidRPr="001C513C">
        <w:rPr>
          <w:rFonts w:ascii="Times New Roman" w:eastAsia="Times New Roman" w:hAnsi="Times New Roman" w:cs="Times New Roman"/>
          <w:i/>
          <w:sz w:val="20"/>
          <w:szCs w:val="20"/>
        </w:rPr>
        <w:t>Jones v Ministry of Interior of the Kingdom of Saudi Arabia</w:t>
      </w:r>
      <w:r w:rsidRPr="001C513C">
        <w:rPr>
          <w:rFonts w:ascii="Times New Roman" w:eastAsia="Times New Roman" w:hAnsi="Times New Roman" w:cs="Times New Roman"/>
          <w:sz w:val="20"/>
          <w:szCs w:val="20"/>
        </w:rPr>
        <w:t xml:space="preserve">, 14 June 2006, [2006] UKHL 26, </w:t>
      </w:r>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44. </w:t>
      </w:r>
    </w:p>
  </w:footnote>
  <w:footnote w:id="90">
    <w:p w14:paraId="22DBD5A7"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M. Jackson, ‘Amnesties in Strasbourg’, </w:t>
      </w:r>
      <w:r w:rsidRPr="001C513C">
        <w:rPr>
          <w:rFonts w:ascii="Times New Roman" w:eastAsia="Times New Roman" w:hAnsi="Times New Roman" w:cs="Times New Roman"/>
          <w:i/>
          <w:sz w:val="20"/>
          <w:szCs w:val="20"/>
        </w:rPr>
        <w:t>Oxford Journal of Legal Studies</w:t>
      </w:r>
      <w:r w:rsidRPr="001C513C">
        <w:rPr>
          <w:rFonts w:ascii="Times New Roman" w:eastAsia="Times New Roman" w:hAnsi="Times New Roman" w:cs="Times New Roman"/>
          <w:sz w:val="20"/>
          <w:szCs w:val="20"/>
        </w:rPr>
        <w:t xml:space="preserve"> (2018) 1.</w:t>
      </w:r>
    </w:p>
  </w:footnote>
  <w:footnote w:id="91">
    <w:p w14:paraId="66A02CC0"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Hence their inclusion in article 38(1)(d) ICJ Statute as a </w:t>
      </w:r>
      <w:r w:rsidRPr="001C513C">
        <w:rPr>
          <w:rFonts w:ascii="Times New Roman" w:eastAsia="Times New Roman" w:hAnsi="Times New Roman" w:cs="Times New Roman"/>
          <w:i/>
          <w:sz w:val="20"/>
          <w:szCs w:val="20"/>
        </w:rPr>
        <w:t>subsidiary</w:t>
      </w:r>
      <w:r w:rsidRPr="001C513C">
        <w:rPr>
          <w:rFonts w:ascii="Times New Roman" w:eastAsia="Times New Roman" w:hAnsi="Times New Roman" w:cs="Times New Roman"/>
          <w:sz w:val="20"/>
          <w:szCs w:val="20"/>
        </w:rPr>
        <w:t xml:space="preserve"> source of international law. </w:t>
      </w:r>
    </w:p>
  </w:footnote>
  <w:footnote w:id="92">
    <w:p w14:paraId="29E1ADB9"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European Court of Human Rights (</w:t>
      </w:r>
      <w:proofErr w:type="spellStart"/>
      <w:r w:rsidRPr="001C513C">
        <w:rPr>
          <w:rFonts w:ascii="Times New Roman" w:eastAsia="Times New Roman" w:hAnsi="Times New Roman" w:cs="Times New Roman"/>
          <w:sz w:val="20"/>
          <w:szCs w:val="20"/>
        </w:rPr>
        <w:t>ECtHR</w:t>
      </w:r>
      <w:proofErr w:type="spellEnd"/>
      <w:r>
        <w:rPr>
          <w:rFonts w:ascii="Times New Roman" w:eastAsia="Times New Roman" w:hAnsi="Times New Roman" w:cs="Times New Roman"/>
          <w:sz w:val="20"/>
          <w:szCs w:val="20"/>
        </w:rPr>
        <w:t>),</w:t>
      </w:r>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i/>
          <w:sz w:val="20"/>
          <w:szCs w:val="20"/>
        </w:rPr>
        <w:t>Margus</w:t>
      </w:r>
      <w:proofErr w:type="spellEnd"/>
      <w:r w:rsidRPr="001C513C">
        <w:rPr>
          <w:rFonts w:ascii="Times New Roman" w:eastAsia="Times New Roman" w:hAnsi="Times New Roman" w:cs="Times New Roman"/>
          <w:i/>
          <w:sz w:val="20"/>
          <w:szCs w:val="20"/>
        </w:rPr>
        <w:t>̌ v. Croatia</w:t>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Judgment, 27 May </w:t>
      </w:r>
      <w:r w:rsidRPr="001C513C">
        <w:rPr>
          <w:rFonts w:ascii="Times New Roman" w:eastAsia="Times New Roman" w:hAnsi="Times New Roman" w:cs="Times New Roman"/>
          <w:sz w:val="20"/>
          <w:szCs w:val="20"/>
        </w:rPr>
        <w:t>2014, §</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139. </w:t>
      </w:r>
    </w:p>
  </w:footnote>
  <w:footnote w:id="93">
    <w:p w14:paraId="51D2623B" w14:textId="1FB53319"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See</w:t>
      </w:r>
      <w:r w:rsidRPr="001C513C">
        <w:rPr>
          <w:rFonts w:ascii="Times New Roman" w:eastAsia="Times New Roman" w:hAnsi="Times New Roman" w:cs="Times New Roman"/>
          <w:sz w:val="20"/>
          <w:szCs w:val="20"/>
        </w:rPr>
        <w:t xml:space="preserve"> L. </w:t>
      </w:r>
      <w:proofErr w:type="spellStart"/>
      <w:r w:rsidRPr="001C513C">
        <w:rPr>
          <w:rFonts w:ascii="Times New Roman" w:eastAsia="Times New Roman" w:hAnsi="Times New Roman" w:cs="Times New Roman"/>
          <w:sz w:val="20"/>
          <w:szCs w:val="20"/>
        </w:rPr>
        <w:t>Mallinder</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Amnesty, Human Rights and Political Transitions: Bridging the Peace and Justice Divide</w:t>
      </w:r>
      <w:r w:rsidRPr="001C513C">
        <w:rPr>
          <w:rFonts w:ascii="Times New Roman" w:eastAsia="Times New Roman" w:hAnsi="Times New Roman" w:cs="Times New Roman"/>
          <w:sz w:val="20"/>
          <w:szCs w:val="20"/>
        </w:rPr>
        <w:t xml:space="preserve"> (Hart, 2008) and L. </w:t>
      </w:r>
      <w:proofErr w:type="spellStart"/>
      <w:r w:rsidRPr="001C513C">
        <w:rPr>
          <w:rFonts w:ascii="Times New Roman" w:eastAsia="Times New Roman" w:hAnsi="Times New Roman" w:cs="Times New Roman"/>
          <w:sz w:val="20"/>
          <w:szCs w:val="20"/>
        </w:rPr>
        <w:t>Mallinder</w:t>
      </w:r>
      <w:proofErr w:type="spellEnd"/>
      <w:r w:rsidRPr="001C513C">
        <w:rPr>
          <w:rFonts w:ascii="Times New Roman" w:eastAsia="Times New Roman" w:hAnsi="Times New Roman" w:cs="Times New Roman"/>
          <w:sz w:val="20"/>
          <w:szCs w:val="20"/>
        </w:rPr>
        <w:t xml:space="preserve">, ‘Amnesties’ Challenge to the Global Accountability Norm? Interpreting Regional and International Trends in Amnesty Enactment’, in </w:t>
      </w:r>
      <w:proofErr w:type="spellStart"/>
      <w:r w:rsidRPr="001C513C">
        <w:rPr>
          <w:rFonts w:ascii="Times New Roman" w:eastAsia="Times New Roman" w:hAnsi="Times New Roman" w:cs="Times New Roman"/>
          <w:sz w:val="20"/>
          <w:szCs w:val="20"/>
        </w:rPr>
        <w:t>Lessa</w:t>
      </w:r>
      <w:proofErr w:type="spellEnd"/>
      <w:r w:rsidRPr="001C513C">
        <w:rPr>
          <w:rFonts w:ascii="Times New Roman" w:eastAsia="Times New Roman" w:hAnsi="Times New Roman" w:cs="Times New Roman"/>
          <w:sz w:val="20"/>
          <w:szCs w:val="20"/>
        </w:rPr>
        <w:t xml:space="preserve"> and Payne (</w:t>
      </w:r>
      <w:proofErr w:type="spellStart"/>
      <w:r w:rsidRPr="001C513C">
        <w:rPr>
          <w:rFonts w:ascii="Times New Roman" w:eastAsia="Times New Roman" w:hAnsi="Times New Roman" w:cs="Times New Roman"/>
          <w:sz w:val="20"/>
          <w:szCs w:val="20"/>
        </w:rPr>
        <w:t>eds</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supra </w:t>
      </w:r>
      <w:r w:rsidRPr="001C513C">
        <w:rPr>
          <w:rFonts w:ascii="Times New Roman" w:eastAsia="Times New Roman" w:hAnsi="Times New Roman" w:cs="Times New Roman"/>
          <w:sz w:val="20"/>
          <w:szCs w:val="20"/>
        </w:rPr>
        <w:t xml:space="preserve">note </w:t>
      </w:r>
      <w:r w:rsidR="0053027B">
        <w:rPr>
          <w:rFonts w:ascii="Times New Roman" w:eastAsia="Times New Roman" w:hAnsi="Times New Roman" w:cs="Times New Roman"/>
          <w:sz w:val="20"/>
          <w:szCs w:val="20"/>
        </w:rPr>
        <w:t>19</w:t>
      </w:r>
      <w:r w:rsidRPr="001C513C">
        <w:rPr>
          <w:rFonts w:ascii="Times New Roman" w:eastAsia="Times New Roman" w:hAnsi="Times New Roman" w:cs="Times New Roman"/>
          <w:sz w:val="20"/>
          <w:szCs w:val="20"/>
        </w:rPr>
        <w:t xml:space="preserve">, 69. </w:t>
      </w:r>
    </w:p>
  </w:footnote>
  <w:footnote w:id="94">
    <w:p w14:paraId="0F0F4AFA"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For an example of which see S. </w:t>
      </w:r>
      <w:proofErr w:type="spellStart"/>
      <w:r w:rsidRPr="001C513C">
        <w:rPr>
          <w:rFonts w:ascii="Times New Roman" w:eastAsia="Times New Roman" w:hAnsi="Times New Roman" w:cs="Times New Roman"/>
          <w:sz w:val="20"/>
          <w:szCs w:val="20"/>
        </w:rPr>
        <w:t>Vandeginste</w:t>
      </w:r>
      <w:proofErr w:type="spellEnd"/>
      <w:r w:rsidRPr="001C513C">
        <w:rPr>
          <w:rFonts w:ascii="Times New Roman" w:eastAsia="Times New Roman" w:hAnsi="Times New Roman" w:cs="Times New Roman"/>
          <w:sz w:val="20"/>
          <w:szCs w:val="20"/>
        </w:rPr>
        <w:t xml:space="preserve">, ‘Bypassing the Prohibition of Amnesty for Human Rights Crimes under International Law: Lessons Learned from the Burundi Peace Process’, 29(2) </w:t>
      </w:r>
      <w:r w:rsidRPr="001C513C">
        <w:rPr>
          <w:rFonts w:ascii="Times New Roman" w:eastAsia="Times New Roman" w:hAnsi="Times New Roman" w:cs="Times New Roman"/>
          <w:i/>
          <w:sz w:val="20"/>
          <w:szCs w:val="20"/>
        </w:rPr>
        <w:t>Netherlands Quarterly of Human Rights</w:t>
      </w:r>
      <w:r w:rsidRPr="001C513C">
        <w:rPr>
          <w:rFonts w:ascii="Times New Roman" w:eastAsia="Times New Roman" w:hAnsi="Times New Roman" w:cs="Times New Roman"/>
          <w:sz w:val="20"/>
          <w:szCs w:val="20"/>
        </w:rPr>
        <w:t xml:space="preserve"> (2011) 189. </w:t>
      </w:r>
    </w:p>
  </w:footnote>
  <w:footnote w:id="95">
    <w:p w14:paraId="58BC0E9E"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Council Framework Decision of 13 June 2002 on the European Arrest Warrant and the Surrender Procedures between Member States (2002/584/JHA), Official Journal of the European Communities L 190/1, 18.7.2002, articles 3(1) and 2(2). </w:t>
      </w:r>
    </w:p>
  </w:footnote>
  <w:footnote w:id="96">
    <w:p w14:paraId="4189AD46"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hAnsi="Times New Roman" w:cs="Times New Roman"/>
          <w:sz w:val="20"/>
          <w:szCs w:val="20"/>
        </w:rPr>
        <w:t xml:space="preserve"> </w:t>
      </w:r>
      <w:r w:rsidRPr="001C513C">
        <w:rPr>
          <w:rFonts w:ascii="Times New Roman" w:eastAsia="Times New Roman" w:hAnsi="Times New Roman" w:cs="Times New Roman"/>
          <w:sz w:val="20"/>
          <w:szCs w:val="20"/>
        </w:rPr>
        <w:t xml:space="preserve">See ‘Commentary: Marc Weller, University of Cambridge’, S. Van </w:t>
      </w:r>
      <w:proofErr w:type="spellStart"/>
      <w:r w:rsidRPr="001C513C">
        <w:rPr>
          <w:rFonts w:ascii="Times New Roman" w:eastAsia="Times New Roman" w:hAnsi="Times New Roman" w:cs="Times New Roman"/>
          <w:sz w:val="20"/>
          <w:szCs w:val="20"/>
        </w:rPr>
        <w:t>Hoogstraten</w:t>
      </w:r>
      <w:proofErr w:type="spellEnd"/>
      <w:r w:rsidRPr="001C513C">
        <w:rPr>
          <w:rFonts w:ascii="Times New Roman" w:eastAsia="Times New Roman" w:hAnsi="Times New Roman" w:cs="Times New Roman"/>
          <w:sz w:val="20"/>
          <w:szCs w:val="20"/>
        </w:rPr>
        <w:t xml:space="preserve">, N. </w:t>
      </w:r>
      <w:proofErr w:type="spellStart"/>
      <w:r w:rsidRPr="001C513C">
        <w:rPr>
          <w:rFonts w:ascii="Times New Roman" w:eastAsia="Times New Roman" w:hAnsi="Times New Roman" w:cs="Times New Roman"/>
          <w:sz w:val="20"/>
          <w:szCs w:val="20"/>
        </w:rPr>
        <w:t>Schrijver</w:t>
      </w:r>
      <w:proofErr w:type="spellEnd"/>
      <w:r w:rsidRPr="001C513C">
        <w:rPr>
          <w:rFonts w:ascii="Times New Roman" w:eastAsia="Times New Roman" w:hAnsi="Times New Roman" w:cs="Times New Roman"/>
          <w:sz w:val="20"/>
          <w:szCs w:val="20"/>
        </w:rPr>
        <w:t xml:space="preserve">, O. </w:t>
      </w:r>
      <w:proofErr w:type="spellStart"/>
      <w:r w:rsidRPr="001C513C">
        <w:rPr>
          <w:rFonts w:ascii="Times New Roman" w:eastAsia="Times New Roman" w:hAnsi="Times New Roman" w:cs="Times New Roman"/>
          <w:sz w:val="20"/>
          <w:szCs w:val="20"/>
        </w:rPr>
        <w:t>Spijkers</w:t>
      </w:r>
      <w:proofErr w:type="spellEnd"/>
      <w:r w:rsidRPr="001C513C">
        <w:rPr>
          <w:rFonts w:ascii="Times New Roman" w:eastAsia="Times New Roman" w:hAnsi="Times New Roman" w:cs="Times New Roman"/>
          <w:sz w:val="20"/>
          <w:szCs w:val="20"/>
        </w:rPr>
        <w:t xml:space="preserve"> and A. de Jong (</w:t>
      </w:r>
      <w:proofErr w:type="spellStart"/>
      <w:r w:rsidRPr="001C513C">
        <w:rPr>
          <w:rFonts w:ascii="Times New Roman" w:eastAsia="Times New Roman" w:hAnsi="Times New Roman" w:cs="Times New Roman"/>
          <w:sz w:val="20"/>
          <w:szCs w:val="20"/>
        </w:rPr>
        <w:t>eds</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 xml:space="preserve">The Art of Making Peace: Lessons Learned from Peace Treaties </w:t>
      </w:r>
      <w:r w:rsidRPr="001C513C">
        <w:rPr>
          <w:rFonts w:ascii="Times New Roman" w:eastAsia="Times New Roman" w:hAnsi="Times New Roman" w:cs="Times New Roman"/>
          <w:sz w:val="20"/>
          <w:szCs w:val="20"/>
        </w:rPr>
        <w:t>(Brill/</w:t>
      </w:r>
      <w:proofErr w:type="spellStart"/>
      <w:r w:rsidRPr="001C513C">
        <w:rPr>
          <w:rFonts w:ascii="Times New Roman" w:eastAsia="Times New Roman" w:hAnsi="Times New Roman" w:cs="Times New Roman"/>
          <w:sz w:val="20"/>
          <w:szCs w:val="20"/>
        </w:rPr>
        <w:t>Nijhoff</w:t>
      </w:r>
      <w:proofErr w:type="spellEnd"/>
      <w:r w:rsidRPr="001C513C">
        <w:rPr>
          <w:rFonts w:ascii="Times New Roman" w:eastAsia="Times New Roman" w:hAnsi="Times New Roman" w:cs="Times New Roman"/>
          <w:sz w:val="20"/>
          <w:szCs w:val="20"/>
        </w:rPr>
        <w:t xml:space="preserve">, 2016) 54, at 65, with respect to Yemen. </w:t>
      </w:r>
    </w:p>
  </w:footnote>
  <w:footnote w:id="97">
    <w:p w14:paraId="59C92328"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One further relevant doctrinal question, not addressed in the </w:t>
      </w:r>
      <w:r>
        <w:rPr>
          <w:rFonts w:ascii="Times New Roman" w:hAnsi="Times New Roman" w:cs="Times New Roman"/>
        </w:rPr>
        <w:t>ILC’s c</w:t>
      </w:r>
      <w:r w:rsidRPr="001C513C">
        <w:rPr>
          <w:rFonts w:ascii="Times New Roman" w:hAnsi="Times New Roman" w:cs="Times New Roman"/>
        </w:rPr>
        <w:t xml:space="preserve">ommentary, </w:t>
      </w:r>
      <w:r w:rsidRPr="001C513C">
        <w:rPr>
          <w:rFonts w:ascii="Times New Roman" w:eastAsia="Times New Roman" w:hAnsi="Times New Roman" w:cs="Times New Roman"/>
        </w:rPr>
        <w:t xml:space="preserve">is whether states could avoid responsibility for breaching their obligations under the </w:t>
      </w:r>
      <w:r>
        <w:rPr>
          <w:rFonts w:ascii="Times New Roman" w:eastAsia="Times New Roman" w:hAnsi="Times New Roman" w:cs="Times New Roman"/>
        </w:rPr>
        <w:t xml:space="preserve">future </w:t>
      </w:r>
      <w:r w:rsidRPr="001C513C">
        <w:rPr>
          <w:rFonts w:ascii="Times New Roman" w:eastAsia="Times New Roman" w:hAnsi="Times New Roman" w:cs="Times New Roman"/>
        </w:rPr>
        <w:t xml:space="preserve">Convention by relying on circumstances precluding wrongfulness. Relying on this escape route is risky. First, the threshold for fulfilling the </w:t>
      </w:r>
      <w:r>
        <w:rPr>
          <w:rFonts w:ascii="Times New Roman" w:eastAsia="Times New Roman" w:hAnsi="Times New Roman" w:cs="Times New Roman"/>
        </w:rPr>
        <w:t xml:space="preserve">relevant </w:t>
      </w:r>
      <w:r w:rsidRPr="001C513C">
        <w:rPr>
          <w:rFonts w:ascii="Times New Roman" w:eastAsia="Times New Roman" w:hAnsi="Times New Roman" w:cs="Times New Roman"/>
        </w:rPr>
        <w:t xml:space="preserve">criteria </w:t>
      </w:r>
      <w:r>
        <w:rPr>
          <w:rFonts w:ascii="Times New Roman" w:eastAsia="Times New Roman" w:hAnsi="Times New Roman" w:cs="Times New Roman"/>
        </w:rPr>
        <w:t>is</w:t>
      </w:r>
      <w:r w:rsidRPr="001C513C">
        <w:rPr>
          <w:rFonts w:ascii="Times New Roman" w:eastAsia="Times New Roman" w:hAnsi="Times New Roman" w:cs="Times New Roman"/>
        </w:rPr>
        <w:t xml:space="preserve"> generally high. Secondly, some of the specific requirements for, or exclusions from, the circumstances could pose difficulties in the case of negotiated settlements. For instance, </w:t>
      </w:r>
      <w:r w:rsidRPr="001C513C">
        <w:rPr>
          <w:rFonts w:ascii="Times New Roman" w:eastAsia="Times New Roman" w:hAnsi="Times New Roman" w:cs="Times New Roman"/>
          <w:i/>
        </w:rPr>
        <w:t xml:space="preserve">force majeure </w:t>
      </w:r>
      <w:r w:rsidRPr="001C513C">
        <w:rPr>
          <w:rFonts w:ascii="Times New Roman" w:eastAsia="Times New Roman" w:hAnsi="Times New Roman" w:cs="Times New Roman"/>
        </w:rPr>
        <w:t xml:space="preserve">will be difficult to maintain in that the absence of prosecution is not involuntary. Both distress and necessity will fail if the state has been involved in the creation of the situation, as is often the case in situations of negotiated settlements.  </w:t>
      </w:r>
    </w:p>
  </w:footnote>
  <w:footnote w:id="98">
    <w:p w14:paraId="14568F60"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ICC Statement, ‘“Transitional Justice in Colombia and the role of the International Criminal Court”, keynote speech by James Stewart, Deputy Prosecutor of the ICC’, 13 May 2015, at 13, available online at </w:t>
      </w:r>
      <w:r>
        <w:rPr>
          <w:rFonts w:ascii="Times New Roman" w:eastAsia="Times New Roman" w:hAnsi="Times New Roman" w:cs="Times New Roman"/>
          <w:sz w:val="20"/>
          <w:szCs w:val="20"/>
        </w:rPr>
        <w:t xml:space="preserve">http://www.iccnow.org/documents/DPs_Keynote_Speech_on_Transitional_Justice_in_Colombia_and_the_Role_of_the_ICC_English.pdf (last visited 19 May 2018). </w:t>
      </w:r>
    </w:p>
  </w:footnote>
  <w:footnote w:id="99">
    <w:p w14:paraId="57C7012F"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Ibid</w:t>
      </w:r>
      <w:r w:rsidRPr="001C513C">
        <w:rPr>
          <w:rFonts w:ascii="Times New Roman" w:eastAsia="Times New Roman" w:hAnsi="Times New Roman" w:cs="Times New Roman"/>
          <w:sz w:val="20"/>
          <w:szCs w:val="20"/>
        </w:rPr>
        <w:t xml:space="preserve">. </w:t>
      </w:r>
    </w:p>
  </w:footnote>
  <w:footnote w:id="100">
    <w:p w14:paraId="08854178" w14:textId="28E005C1" w:rsidR="00F64BB3" w:rsidRPr="00070906" w:rsidRDefault="00F64BB3" w:rsidP="001921A1">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See e.g. </w:t>
      </w:r>
      <w:r w:rsidRPr="00E65C2A">
        <w:rPr>
          <w:rFonts w:ascii="Times New Roman" w:hAnsi="Times New Roman" w:cs="Times New Roman"/>
        </w:rPr>
        <w:t>2017 ILC Report,</w:t>
      </w:r>
      <w:r>
        <w:rPr>
          <w:rFonts w:ascii="Times New Roman" w:hAnsi="Times New Roman" w:cs="Times New Roman"/>
          <w:i/>
        </w:rPr>
        <w:t xml:space="preserve"> </w:t>
      </w:r>
      <w:r w:rsidRPr="00E65C2A">
        <w:rPr>
          <w:rFonts w:ascii="Times New Roman" w:hAnsi="Times New Roman" w:cs="Times New Roman"/>
          <w:i/>
        </w:rPr>
        <w:t>supra</w:t>
      </w:r>
      <w:r>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_Ref393977842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commentary to </w:t>
      </w:r>
      <w:r>
        <w:rPr>
          <w:rFonts w:ascii="Times New Roman" w:eastAsia="Times New Roman" w:hAnsi="Times New Roman" w:cs="Times New Roman"/>
        </w:rPr>
        <w:t>draft Art.</w:t>
      </w:r>
      <w:r w:rsidRPr="001C513C">
        <w:rPr>
          <w:rFonts w:ascii="Times New Roman" w:eastAsia="Times New Roman" w:hAnsi="Times New Roman" w:cs="Times New Roman"/>
        </w:rPr>
        <w:t xml:space="preserve"> 4, at 51, §13; and </w:t>
      </w:r>
      <w:r>
        <w:rPr>
          <w:rFonts w:ascii="Times New Roman" w:eastAsia="Times New Roman" w:hAnsi="Times New Roman" w:cs="Times New Roman"/>
        </w:rPr>
        <w:t>c</w:t>
      </w:r>
      <w:r w:rsidRPr="001C513C">
        <w:rPr>
          <w:rFonts w:ascii="Times New Roman" w:eastAsia="Times New Roman" w:hAnsi="Times New Roman" w:cs="Times New Roman"/>
        </w:rPr>
        <w:t xml:space="preserve">ommentary </w:t>
      </w:r>
      <w:r>
        <w:rPr>
          <w:rFonts w:ascii="Times New Roman" w:eastAsia="Times New Roman" w:hAnsi="Times New Roman" w:cs="Times New Roman"/>
        </w:rPr>
        <w:t>to draft Art.</w:t>
      </w:r>
      <w:r w:rsidRPr="001C513C">
        <w:rPr>
          <w:rFonts w:ascii="Times New Roman" w:eastAsia="Times New Roman" w:hAnsi="Times New Roman" w:cs="Times New Roman"/>
        </w:rPr>
        <w:t xml:space="preserve"> 9, at 83, §5.</w:t>
      </w:r>
      <w:r>
        <w:rPr>
          <w:rFonts w:ascii="Times New Roman" w:eastAsia="Times New Roman" w:hAnsi="Times New Roman" w:cs="Times New Roman"/>
        </w:rPr>
        <w:t xml:space="preserve"> On the different characters, see </w:t>
      </w:r>
      <w:r>
        <w:rPr>
          <w:rFonts w:ascii="Times New Roman" w:eastAsia="Times New Roman" w:hAnsi="Times New Roman" w:cs="Times New Roman"/>
          <w:i/>
        </w:rPr>
        <w:t xml:space="preserve">supra </w:t>
      </w:r>
      <w:r>
        <w:rPr>
          <w:rFonts w:ascii="Times New Roman" w:eastAsia="Times New Roman" w:hAnsi="Times New Roman" w:cs="Times New Roman"/>
        </w:rPr>
        <w:t>note 7</w:t>
      </w:r>
      <w:r w:rsidR="0053027B">
        <w:rPr>
          <w:rFonts w:ascii="Times New Roman" w:eastAsia="Times New Roman" w:hAnsi="Times New Roman" w:cs="Times New Roman"/>
        </w:rPr>
        <w:t>1</w:t>
      </w:r>
      <w:r>
        <w:rPr>
          <w:rFonts w:ascii="Times New Roman" w:eastAsia="Times New Roman" w:hAnsi="Times New Roman" w:cs="Times New Roman"/>
        </w:rPr>
        <w:t xml:space="preserve">. </w:t>
      </w:r>
    </w:p>
  </w:footnote>
  <w:footnote w:id="101">
    <w:p w14:paraId="7B2D4074"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This is consistent with </w:t>
      </w:r>
      <w:proofErr w:type="spellStart"/>
      <w:r w:rsidRPr="001C513C">
        <w:rPr>
          <w:rFonts w:ascii="Times New Roman" w:eastAsia="Times New Roman" w:hAnsi="Times New Roman" w:cs="Times New Roman"/>
          <w:sz w:val="20"/>
          <w:szCs w:val="20"/>
        </w:rPr>
        <w:t>Martti</w:t>
      </w:r>
      <w:proofErr w:type="spellEnd"/>
      <w:r w:rsidRPr="001C513C">
        <w:rPr>
          <w:rFonts w:ascii="Times New Roman" w:eastAsia="Times New Roman" w:hAnsi="Times New Roman" w:cs="Times New Roman"/>
          <w:sz w:val="20"/>
          <w:szCs w:val="20"/>
        </w:rPr>
        <w:t xml:space="preserve"> </w:t>
      </w:r>
      <w:proofErr w:type="spellStart"/>
      <w:r w:rsidRPr="001C513C">
        <w:rPr>
          <w:rFonts w:ascii="Times New Roman" w:eastAsia="Times New Roman" w:hAnsi="Times New Roman" w:cs="Times New Roman"/>
          <w:sz w:val="20"/>
          <w:szCs w:val="20"/>
        </w:rPr>
        <w:t>Koskenniemi’s</w:t>
      </w:r>
      <w:proofErr w:type="spellEnd"/>
      <w:r w:rsidRPr="001C513C">
        <w:rPr>
          <w:rFonts w:ascii="Times New Roman" w:eastAsia="Times New Roman" w:hAnsi="Times New Roman" w:cs="Times New Roman"/>
          <w:sz w:val="20"/>
          <w:szCs w:val="20"/>
        </w:rPr>
        <w:t xml:space="preserve"> observation of structural biases at work in specialised regimes of international law. See M. </w:t>
      </w:r>
      <w:proofErr w:type="spellStart"/>
      <w:r w:rsidRPr="001C513C">
        <w:rPr>
          <w:rFonts w:ascii="Times New Roman" w:eastAsia="Times New Roman" w:hAnsi="Times New Roman" w:cs="Times New Roman"/>
          <w:sz w:val="20"/>
          <w:szCs w:val="20"/>
        </w:rPr>
        <w:t>Koskenniemi</w:t>
      </w:r>
      <w:proofErr w:type="spellEnd"/>
      <w:r w:rsidRPr="001C513C">
        <w:rPr>
          <w:rFonts w:ascii="Times New Roman" w:eastAsia="Times New Roman" w:hAnsi="Times New Roman" w:cs="Times New Roman"/>
          <w:sz w:val="20"/>
          <w:szCs w:val="20"/>
        </w:rPr>
        <w:t xml:space="preserve">, ‘The Politics of International Law – 20 Years Later’, 20(1) </w:t>
      </w:r>
      <w:r w:rsidRPr="001C513C">
        <w:rPr>
          <w:rFonts w:ascii="Times New Roman" w:eastAsia="Times New Roman" w:hAnsi="Times New Roman" w:cs="Times New Roman"/>
          <w:i/>
          <w:sz w:val="20"/>
          <w:szCs w:val="20"/>
        </w:rPr>
        <w:t>European Journal of International Law</w:t>
      </w:r>
      <w:r w:rsidRPr="001C513C">
        <w:rPr>
          <w:rFonts w:ascii="Times New Roman" w:eastAsia="Times New Roman" w:hAnsi="Times New Roman" w:cs="Times New Roman"/>
          <w:sz w:val="20"/>
          <w:szCs w:val="20"/>
        </w:rPr>
        <w:t xml:space="preserve"> (2009) 7.  </w:t>
      </w:r>
    </w:p>
  </w:footnote>
  <w:footnote w:id="102">
    <w:p w14:paraId="120E9442" w14:textId="77777777" w:rsidR="00F64BB3" w:rsidRPr="0060131D" w:rsidRDefault="00F64BB3">
      <w:pPr>
        <w:spacing w:after="0" w:line="240" w:lineRule="auto"/>
        <w:jc w:val="both"/>
        <w:rPr>
          <w:rFonts w:ascii="Times New Roman" w:eastAsia="Times New Roman" w:hAnsi="Times New Roman" w:cs="Times New Roman"/>
          <w:sz w:val="20"/>
          <w:szCs w:val="20"/>
        </w:rPr>
      </w:pPr>
      <w:r w:rsidRPr="00990C82">
        <w:rPr>
          <w:rFonts w:ascii="Times New Roman" w:hAnsi="Times New Roman" w:cs="Times New Roman"/>
          <w:sz w:val="20"/>
          <w:szCs w:val="20"/>
          <w:vertAlign w:val="superscript"/>
        </w:rPr>
        <w:footnoteRef/>
      </w:r>
      <w:r w:rsidRPr="00990C82">
        <w:rPr>
          <w:rFonts w:ascii="Times New Roman" w:hAnsi="Times New Roman" w:cs="Times New Roman"/>
          <w:sz w:val="20"/>
          <w:szCs w:val="20"/>
        </w:rPr>
        <w:t xml:space="preserve"> </w:t>
      </w:r>
      <w:r w:rsidRPr="00AC2564">
        <w:rPr>
          <w:rFonts w:ascii="Times New Roman" w:hAnsi="Times New Roman" w:cs="Times New Roman"/>
          <w:sz w:val="20"/>
          <w:szCs w:val="20"/>
        </w:rPr>
        <w:t xml:space="preserve">Rome Statute of the International Criminal Court, 17 July 1998, 2187 UNTS 90, Arts </w:t>
      </w:r>
      <w:r w:rsidRPr="00990C82">
        <w:rPr>
          <w:rFonts w:ascii="Times New Roman" w:eastAsia="Times New Roman" w:hAnsi="Times New Roman" w:cs="Times New Roman"/>
          <w:sz w:val="20"/>
          <w:szCs w:val="20"/>
        </w:rPr>
        <w:t>53(1)(c) and 53(2)(c)</w:t>
      </w:r>
      <w:r w:rsidRPr="00FD37D1">
        <w:rPr>
          <w:rFonts w:ascii="Times New Roman" w:eastAsia="Times New Roman" w:hAnsi="Times New Roman" w:cs="Times New Roman"/>
          <w:sz w:val="20"/>
          <w:szCs w:val="20"/>
        </w:rPr>
        <w:t>.</w:t>
      </w:r>
    </w:p>
  </w:footnote>
  <w:footnote w:id="103">
    <w:p w14:paraId="545A7407" w14:textId="77777777" w:rsidR="00F64BB3" w:rsidRPr="001C513C" w:rsidRDefault="00F64BB3">
      <w:pPr>
        <w:spacing w:after="0" w:line="240" w:lineRule="auto"/>
        <w:jc w:val="both"/>
        <w:rPr>
          <w:rFonts w:ascii="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hAnsi="Times New Roman" w:cs="Times New Roman"/>
          <w:sz w:val="20"/>
          <w:szCs w:val="20"/>
        </w:rPr>
        <w:t xml:space="preserve"> </w:t>
      </w:r>
      <w:r w:rsidRPr="001C513C">
        <w:rPr>
          <w:rFonts w:ascii="Times New Roman" w:eastAsia="Times New Roman" w:hAnsi="Times New Roman" w:cs="Times New Roman"/>
          <w:sz w:val="20"/>
          <w:szCs w:val="20"/>
        </w:rPr>
        <w:t>ICC</w:t>
      </w:r>
      <w:r>
        <w:rPr>
          <w:rFonts w:ascii="Times New Roman" w:eastAsia="Times New Roman" w:hAnsi="Times New Roman" w:cs="Times New Roman"/>
          <w:sz w:val="20"/>
          <w:szCs w:val="20"/>
        </w:rPr>
        <w:t xml:space="preserve"> Office of the Prosecutor</w:t>
      </w:r>
      <w:r w:rsidRPr="001C513C">
        <w:rPr>
          <w:rFonts w:ascii="Times New Roman" w:eastAsia="Times New Roman" w:hAnsi="Times New Roman" w:cs="Times New Roman"/>
          <w:sz w:val="20"/>
          <w:szCs w:val="20"/>
        </w:rPr>
        <w:t xml:space="preserve">, </w:t>
      </w:r>
      <w:r w:rsidRPr="006E664C">
        <w:rPr>
          <w:rFonts w:ascii="Times New Roman" w:eastAsia="Times New Roman" w:hAnsi="Times New Roman" w:cs="Times New Roman"/>
          <w:i/>
          <w:sz w:val="20"/>
          <w:szCs w:val="20"/>
        </w:rPr>
        <w:t>Policy Paper on the Interests of Justice</w:t>
      </w:r>
      <w:r>
        <w:rPr>
          <w:rFonts w:ascii="Times New Roman" w:eastAsia="Times New Roman" w:hAnsi="Times New Roman" w:cs="Times New Roman"/>
          <w:sz w:val="20"/>
          <w:szCs w:val="20"/>
        </w:rPr>
        <w:t xml:space="preserve">, </w:t>
      </w:r>
      <w:r w:rsidRPr="001C513C">
        <w:rPr>
          <w:rFonts w:ascii="Times New Roman" w:eastAsia="Times New Roman" w:hAnsi="Times New Roman" w:cs="Times New Roman"/>
          <w:sz w:val="20"/>
          <w:szCs w:val="20"/>
        </w:rPr>
        <w:t>17 September 2007,</w:t>
      </w:r>
      <w:r>
        <w:rPr>
          <w:rFonts w:ascii="Times New Roman" w:eastAsia="Times New Roman" w:hAnsi="Times New Roman" w:cs="Times New Roman"/>
          <w:sz w:val="20"/>
          <w:szCs w:val="20"/>
        </w:rPr>
        <w:t xml:space="preserve"> available at</w:t>
      </w:r>
      <w:r w:rsidRPr="001C513C">
        <w:rPr>
          <w:rFonts w:ascii="Times New Roman" w:eastAsia="Times New Roman" w:hAnsi="Times New Roman" w:cs="Times New Roman"/>
          <w:sz w:val="20"/>
          <w:szCs w:val="20"/>
        </w:rPr>
        <w:t xml:space="preserve"> http://www.icc-cpi.int/nr/rdonlyres/772c95c9-f54d-4321-bf09-73422bb23528/143640/iccotpinterestsofjustice.pdf (last visited </w:t>
      </w:r>
      <w:r>
        <w:rPr>
          <w:rFonts w:ascii="Times New Roman" w:eastAsia="Times New Roman" w:hAnsi="Times New Roman" w:cs="Times New Roman"/>
          <w:sz w:val="20"/>
          <w:szCs w:val="20"/>
        </w:rPr>
        <w:t>23 July</w:t>
      </w:r>
      <w:r w:rsidRPr="001C513C">
        <w:rPr>
          <w:rFonts w:ascii="Times New Roman" w:eastAsia="Times New Roman" w:hAnsi="Times New Roman" w:cs="Times New Roman"/>
          <w:sz w:val="20"/>
          <w:szCs w:val="20"/>
        </w:rPr>
        <w:t xml:space="preserve"> 2018). </w:t>
      </w:r>
    </w:p>
  </w:footnote>
  <w:footnote w:id="104">
    <w:p w14:paraId="2D221865"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A possible counterargument is that since the authorities ‘shall take their decision in the same manner as in the case of any other offence of a grave nature under the law of that State’, they could enjoy discretion not to prosecute because when confronted with overwhelming numbers they ordinarily do not prosecute all crimes either. However, such discretion may be less present in the case of crimes of grave nature. Part of the problem is that very often the context in which crimes against humanity are committed is not the same as that of ‘any other offence of a grave nature’.  </w:t>
      </w:r>
    </w:p>
  </w:footnote>
  <w:footnote w:id="105">
    <w:p w14:paraId="100EAB18" w14:textId="7710F24F" w:rsidR="00F64BB3" w:rsidRPr="001C513C" w:rsidRDefault="00F64BB3">
      <w:pPr>
        <w:pStyle w:val="FootnoteText"/>
        <w:jc w:val="both"/>
        <w:rPr>
          <w:rFonts w:ascii="Times New Roman" w:eastAsia="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With respect to the question of circumstances precluding wrongfulness, raised </w:t>
      </w:r>
      <w:r w:rsidRPr="001C513C">
        <w:rPr>
          <w:rFonts w:ascii="Times New Roman" w:hAnsi="Times New Roman" w:cs="Times New Roman"/>
          <w:i/>
        </w:rPr>
        <w:t xml:space="preserve">supra </w:t>
      </w:r>
      <w:r w:rsidRPr="001C513C">
        <w:rPr>
          <w:rFonts w:ascii="Times New Roman" w:hAnsi="Times New Roman" w:cs="Times New Roman"/>
        </w:rPr>
        <w:t xml:space="preserve">note </w:t>
      </w:r>
      <w:r w:rsidR="0053027B">
        <w:rPr>
          <w:rFonts w:ascii="Times New Roman" w:hAnsi="Times New Roman" w:cs="Times New Roman"/>
        </w:rPr>
        <w:t>96</w:t>
      </w:r>
      <w:r w:rsidRPr="001C513C">
        <w:rPr>
          <w:rFonts w:ascii="Times New Roman" w:hAnsi="Times New Roman" w:cs="Times New Roman"/>
        </w:rPr>
        <w:t xml:space="preserve">: </w:t>
      </w:r>
      <w:r w:rsidRPr="001C513C">
        <w:rPr>
          <w:rFonts w:ascii="Times New Roman" w:eastAsia="Times New Roman" w:hAnsi="Times New Roman" w:cs="Times New Roman"/>
        </w:rPr>
        <w:t xml:space="preserve">If a foreign state did refrain from prosecuting on those grounds and were </w:t>
      </w:r>
      <w:r>
        <w:rPr>
          <w:rFonts w:ascii="Times New Roman" w:eastAsia="Times New Roman" w:hAnsi="Times New Roman" w:cs="Times New Roman"/>
        </w:rPr>
        <w:t xml:space="preserve">to be </w:t>
      </w:r>
      <w:r w:rsidRPr="001C513C">
        <w:rPr>
          <w:rFonts w:ascii="Times New Roman" w:eastAsia="Times New Roman" w:hAnsi="Times New Roman" w:cs="Times New Roman"/>
        </w:rPr>
        <w:t xml:space="preserve">found in breach of the </w:t>
      </w:r>
      <w:r>
        <w:rPr>
          <w:rFonts w:ascii="Times New Roman" w:eastAsia="Times New Roman" w:hAnsi="Times New Roman" w:cs="Times New Roman"/>
        </w:rPr>
        <w:t>C</w:t>
      </w:r>
      <w:r w:rsidRPr="001C513C">
        <w:rPr>
          <w:rFonts w:ascii="Times New Roman" w:eastAsia="Times New Roman" w:hAnsi="Times New Roman" w:cs="Times New Roman"/>
        </w:rPr>
        <w:t xml:space="preserve">onvention as a result, it </w:t>
      </w:r>
      <w:r>
        <w:rPr>
          <w:rFonts w:ascii="Times New Roman" w:eastAsia="Times New Roman" w:hAnsi="Times New Roman" w:cs="Times New Roman"/>
        </w:rPr>
        <w:t>would have</w:t>
      </w:r>
      <w:r w:rsidRPr="001C513C">
        <w:rPr>
          <w:rFonts w:ascii="Times New Roman" w:eastAsia="Times New Roman" w:hAnsi="Times New Roman" w:cs="Times New Roman"/>
        </w:rPr>
        <w:t xml:space="preserve"> </w:t>
      </w:r>
      <w:r>
        <w:rPr>
          <w:rFonts w:ascii="Times New Roman" w:eastAsia="Times New Roman" w:hAnsi="Times New Roman" w:cs="Times New Roman"/>
        </w:rPr>
        <w:t xml:space="preserve">an </w:t>
      </w:r>
      <w:r w:rsidRPr="001C513C">
        <w:rPr>
          <w:rFonts w:ascii="Times New Roman" w:eastAsia="Times New Roman" w:hAnsi="Times New Roman" w:cs="Times New Roman"/>
        </w:rPr>
        <w:t xml:space="preserve">even </w:t>
      </w:r>
      <w:r>
        <w:rPr>
          <w:rFonts w:ascii="Times New Roman" w:eastAsia="Times New Roman" w:hAnsi="Times New Roman" w:cs="Times New Roman"/>
        </w:rPr>
        <w:t>smaller</w:t>
      </w:r>
      <w:r w:rsidRPr="001C513C">
        <w:rPr>
          <w:rFonts w:ascii="Times New Roman" w:eastAsia="Times New Roman" w:hAnsi="Times New Roman" w:cs="Times New Roman"/>
        </w:rPr>
        <w:t xml:space="preserve"> chance </w:t>
      </w:r>
      <w:r>
        <w:rPr>
          <w:rFonts w:ascii="Times New Roman" w:eastAsia="Times New Roman" w:hAnsi="Times New Roman" w:cs="Times New Roman"/>
        </w:rPr>
        <w:t xml:space="preserve">of </w:t>
      </w:r>
      <w:r w:rsidRPr="001C513C">
        <w:rPr>
          <w:rFonts w:ascii="Times New Roman" w:eastAsia="Times New Roman" w:hAnsi="Times New Roman" w:cs="Times New Roman"/>
        </w:rPr>
        <w:t>successfully invok</w:t>
      </w:r>
      <w:r>
        <w:rPr>
          <w:rFonts w:ascii="Times New Roman" w:eastAsia="Times New Roman" w:hAnsi="Times New Roman" w:cs="Times New Roman"/>
        </w:rPr>
        <w:t>ing</w:t>
      </w:r>
      <w:r w:rsidRPr="001C513C">
        <w:rPr>
          <w:rFonts w:ascii="Times New Roman" w:eastAsia="Times New Roman" w:hAnsi="Times New Roman" w:cs="Times New Roman"/>
        </w:rPr>
        <w:t xml:space="preserve"> necessity than the state where the crimes were committed: in prosecuting, it would not have risked its own peace process.</w:t>
      </w:r>
    </w:p>
    <w:p w14:paraId="1DC66760" w14:textId="77777777" w:rsidR="00F64BB3" w:rsidRPr="001C513C" w:rsidRDefault="00F64BB3">
      <w:pPr>
        <w:pStyle w:val="FootnoteText"/>
        <w:jc w:val="both"/>
        <w:rPr>
          <w:rFonts w:ascii="Times New Roman" w:hAnsi="Times New Roman" w:cs="Times New Roman"/>
        </w:rPr>
      </w:pPr>
    </w:p>
  </w:footnote>
  <w:footnote w:id="106">
    <w:p w14:paraId="5F78956E"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See M. de </w:t>
      </w:r>
      <w:proofErr w:type="spellStart"/>
      <w:r w:rsidRPr="001C513C">
        <w:rPr>
          <w:rFonts w:ascii="Times New Roman" w:eastAsia="Times New Roman" w:hAnsi="Times New Roman" w:cs="Times New Roman"/>
          <w:sz w:val="20"/>
          <w:szCs w:val="20"/>
        </w:rPr>
        <w:t>Hoon</w:t>
      </w:r>
      <w:proofErr w:type="spellEnd"/>
      <w:r w:rsidRPr="001C513C">
        <w:rPr>
          <w:rFonts w:ascii="Times New Roman" w:eastAsia="Times New Roman" w:hAnsi="Times New Roman" w:cs="Times New Roman"/>
          <w:sz w:val="20"/>
          <w:szCs w:val="20"/>
        </w:rPr>
        <w:t xml:space="preserve"> in the context of the crime of aggression: when she asked diplomats at the Review Conference of the Rome Statute as to whether including the crime of aggression in the jurisdiction of the ICC was a good idea, the response was ‘the train has left the station’. M. de </w:t>
      </w:r>
      <w:proofErr w:type="spellStart"/>
      <w:r w:rsidRPr="001C513C">
        <w:rPr>
          <w:rFonts w:ascii="Times New Roman" w:eastAsia="Times New Roman" w:hAnsi="Times New Roman" w:cs="Times New Roman"/>
          <w:sz w:val="20"/>
          <w:szCs w:val="20"/>
        </w:rPr>
        <w:t>Hoon</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The Law and Politics of the Crime of Aggression</w:t>
      </w:r>
      <w:r w:rsidRPr="001C513C">
        <w:rPr>
          <w:rFonts w:ascii="Times New Roman" w:eastAsia="Times New Roman" w:hAnsi="Times New Roman" w:cs="Times New Roman"/>
          <w:sz w:val="20"/>
          <w:szCs w:val="20"/>
        </w:rPr>
        <w:t xml:space="preserve"> (PhD thesis on file at VU University of Amsterdam), at 181, available online at </w:t>
      </w:r>
      <w:hyperlink r:id="rId4">
        <w:r w:rsidRPr="001C513C">
          <w:rPr>
            <w:rFonts w:ascii="Times New Roman" w:eastAsia="Times New Roman" w:hAnsi="Times New Roman" w:cs="Times New Roman"/>
            <w:sz w:val="20"/>
            <w:szCs w:val="20"/>
          </w:rPr>
          <w:t>http://dare.ubvu.vu.nl/handle/1871/55318</w:t>
        </w:r>
      </w:hyperlink>
      <w:r w:rsidRPr="001C513C">
        <w:rPr>
          <w:rFonts w:ascii="Times New Roman" w:eastAsia="Times New Roman" w:hAnsi="Times New Roman" w:cs="Times New Roman"/>
          <w:sz w:val="20"/>
          <w:szCs w:val="20"/>
        </w:rPr>
        <w:t xml:space="preserve"> (last visited </w:t>
      </w:r>
      <w:r>
        <w:rPr>
          <w:rFonts w:ascii="Times New Roman" w:eastAsia="Times New Roman" w:hAnsi="Times New Roman" w:cs="Times New Roman"/>
          <w:sz w:val="20"/>
          <w:szCs w:val="20"/>
        </w:rPr>
        <w:t>23</w:t>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Jul</w:t>
      </w:r>
      <w:r w:rsidRPr="001C513C">
        <w:rPr>
          <w:rFonts w:ascii="Times New Roman" w:eastAsia="Times New Roman" w:hAnsi="Times New Roman" w:cs="Times New Roman"/>
          <w:sz w:val="20"/>
          <w:szCs w:val="20"/>
        </w:rPr>
        <w:t xml:space="preserve">y 2018). </w:t>
      </w:r>
    </w:p>
  </w:footnote>
  <w:footnote w:id="107">
    <w:p w14:paraId="300988B6" w14:textId="77777777" w:rsidR="00F64BB3" w:rsidRPr="002834C9" w:rsidRDefault="00F64BB3">
      <w:pPr>
        <w:spacing w:after="0" w:line="240" w:lineRule="auto"/>
        <w:jc w:val="both"/>
        <w:rPr>
          <w:rFonts w:ascii="Times New Roman" w:eastAsia="Times New Roman" w:hAnsi="Times New Roman" w:cs="Times New Roman"/>
          <w:sz w:val="20"/>
          <w:szCs w:val="20"/>
          <w:lang w:eastAsia="en-US"/>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O. Gross and F. </w:t>
      </w:r>
      <w:proofErr w:type="spellStart"/>
      <w:r w:rsidRPr="002834C9">
        <w:rPr>
          <w:rFonts w:ascii="Times New Roman" w:eastAsia="Times New Roman" w:hAnsi="Times New Roman" w:cs="Times New Roman"/>
          <w:sz w:val="20"/>
          <w:szCs w:val="20"/>
          <w:shd w:val="clear" w:color="auto" w:fill="FFFFFF"/>
          <w:lang w:eastAsia="en-US"/>
        </w:rPr>
        <w:t>Ní</w:t>
      </w:r>
      <w:proofErr w:type="spellEnd"/>
      <w:r w:rsidRPr="002834C9">
        <w:rPr>
          <w:rFonts w:ascii="Times New Roman" w:eastAsia="Times New Roman" w:hAnsi="Times New Roman" w:cs="Times New Roman"/>
          <w:sz w:val="20"/>
          <w:szCs w:val="20"/>
          <w:shd w:val="clear" w:color="auto" w:fill="FFFFFF"/>
          <w:lang w:eastAsia="en-US"/>
        </w:rPr>
        <w:t xml:space="preserve"> </w:t>
      </w:r>
      <w:proofErr w:type="spellStart"/>
      <w:r w:rsidRPr="002834C9">
        <w:rPr>
          <w:rFonts w:ascii="Times New Roman" w:eastAsia="Times New Roman" w:hAnsi="Times New Roman" w:cs="Times New Roman"/>
          <w:sz w:val="20"/>
          <w:szCs w:val="20"/>
          <w:shd w:val="clear" w:color="auto" w:fill="FFFFFF"/>
          <w:lang w:eastAsia="en-US"/>
        </w:rPr>
        <w:t>Aoláin</w:t>
      </w:r>
      <w:proofErr w:type="spellEnd"/>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Law in Times of Crisis: Emergency Powers in Theory and Practice</w:t>
      </w:r>
      <w:r w:rsidRPr="001C513C">
        <w:rPr>
          <w:rFonts w:ascii="Times New Roman" w:eastAsia="Times New Roman" w:hAnsi="Times New Roman" w:cs="Times New Roman"/>
          <w:sz w:val="20"/>
          <w:szCs w:val="20"/>
        </w:rPr>
        <w:t xml:space="preserve"> (Cambridge University Press, 2006), 10 and Chapter 2. </w:t>
      </w:r>
    </w:p>
  </w:footnote>
  <w:footnote w:id="108">
    <w:p w14:paraId="78CE693C" w14:textId="77777777" w:rsidR="00F64BB3" w:rsidRPr="001C513C" w:rsidRDefault="00F64BB3">
      <w:pPr>
        <w:pStyle w:val="FootnoteText"/>
        <w:jc w:val="both"/>
        <w:rPr>
          <w:rFonts w:ascii="Times New Roman" w:hAnsi="Times New Roman" w:cs="Times New Roman"/>
        </w:rPr>
      </w:pPr>
      <w:r w:rsidRPr="001C513C">
        <w:rPr>
          <w:rStyle w:val="FootnoteReference"/>
          <w:rFonts w:ascii="Times New Roman" w:hAnsi="Times New Roman" w:cs="Times New Roman"/>
        </w:rPr>
        <w:footnoteRef/>
      </w:r>
      <w:r w:rsidRPr="001C513C">
        <w:rPr>
          <w:rFonts w:ascii="Times New Roman" w:hAnsi="Times New Roman" w:cs="Times New Roman"/>
        </w:rPr>
        <w:t xml:space="preserve"> </w:t>
      </w:r>
      <w:r w:rsidRPr="001C513C">
        <w:rPr>
          <w:rFonts w:ascii="Times New Roman" w:hAnsi="Times New Roman" w:cs="Times New Roman"/>
          <w:i/>
        </w:rPr>
        <w:t>Ibid</w:t>
      </w:r>
      <w:r>
        <w:rPr>
          <w:rFonts w:ascii="Times New Roman" w:hAnsi="Times New Roman" w:cs="Times New Roman"/>
          <w:i/>
        </w:rPr>
        <w:t>.</w:t>
      </w:r>
      <w:r>
        <w:rPr>
          <w:rFonts w:ascii="Times New Roman" w:hAnsi="Times New Roman" w:cs="Times New Roman"/>
        </w:rPr>
        <w:t>,</w:t>
      </w:r>
      <w:r w:rsidRPr="001C513C">
        <w:rPr>
          <w:rFonts w:ascii="Times New Roman" w:hAnsi="Times New Roman" w:cs="Times New Roman"/>
          <w:i/>
        </w:rPr>
        <w:t xml:space="preserve"> </w:t>
      </w:r>
      <w:r w:rsidRPr="001C513C">
        <w:rPr>
          <w:rFonts w:ascii="Times New Roman" w:hAnsi="Times New Roman" w:cs="Times New Roman"/>
        </w:rPr>
        <w:t>at 11. See also Chapter 3.</w:t>
      </w:r>
    </w:p>
  </w:footnote>
  <w:footnote w:id="109">
    <w:p w14:paraId="21A808B4" w14:textId="77777777" w:rsidR="00F64BB3" w:rsidRPr="001C513C" w:rsidRDefault="00F64BB3">
      <w:pP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w:t>
      </w:r>
      <w:r w:rsidRPr="001C513C">
        <w:rPr>
          <w:rFonts w:ascii="Times New Roman" w:eastAsia="Times New Roman" w:hAnsi="Times New Roman" w:cs="Times New Roman"/>
          <w:i/>
          <w:sz w:val="20"/>
          <w:szCs w:val="20"/>
        </w:rPr>
        <w:t>Ibid</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w:t>
      </w:r>
      <w:r w:rsidRPr="001C513C">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at </w:t>
      </w:r>
      <w:r w:rsidRPr="001C513C">
        <w:rPr>
          <w:rFonts w:ascii="Times New Roman" w:eastAsia="Times New Roman" w:hAnsi="Times New Roman" w:cs="Times New Roman"/>
          <w:sz w:val="20"/>
          <w:szCs w:val="20"/>
        </w:rPr>
        <w:t xml:space="preserve">9 and Chapter 1. </w:t>
      </w:r>
    </w:p>
  </w:footnote>
  <w:footnote w:id="110">
    <w:p w14:paraId="46629611" w14:textId="77777777" w:rsidR="00F64BB3" w:rsidRPr="001C513C" w:rsidRDefault="00F64B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C513C">
        <w:rPr>
          <w:rFonts w:ascii="Times New Roman" w:hAnsi="Times New Roman" w:cs="Times New Roman"/>
          <w:sz w:val="20"/>
          <w:szCs w:val="20"/>
          <w:vertAlign w:val="superscript"/>
        </w:rPr>
        <w:footnoteRef/>
      </w:r>
      <w:r w:rsidRPr="001C513C">
        <w:rPr>
          <w:rFonts w:ascii="Times New Roman" w:eastAsia="Times New Roman" w:hAnsi="Times New Roman" w:cs="Times New Roman"/>
          <w:sz w:val="20"/>
          <w:szCs w:val="20"/>
        </w:rPr>
        <w:t xml:space="preserve"> As in the Convention on Enforced Disappearances, </w:t>
      </w:r>
      <w:r>
        <w:rPr>
          <w:rFonts w:ascii="Times New Roman" w:eastAsia="Times New Roman" w:hAnsi="Times New Roman" w:cs="Times New Roman"/>
          <w:sz w:val="20"/>
          <w:szCs w:val="20"/>
        </w:rPr>
        <w:t>where</w:t>
      </w:r>
      <w:r w:rsidRPr="001C51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Article</w:t>
      </w:r>
      <w:r w:rsidRPr="001C513C">
        <w:rPr>
          <w:rFonts w:ascii="Times New Roman" w:eastAsia="Times New Roman" w:hAnsi="Times New Roman" w:cs="Times New Roman"/>
          <w:sz w:val="20"/>
          <w:szCs w:val="20"/>
        </w:rPr>
        <w:t xml:space="preserve"> 7(2)(a) provides that each party may establish: ‘</w:t>
      </w:r>
      <w:r>
        <w:rPr>
          <w:rFonts w:ascii="Times New Roman" w:eastAsia="Times New Roman" w:hAnsi="Times New Roman" w:cs="Times New Roman"/>
          <w:sz w:val="20"/>
          <w:szCs w:val="20"/>
        </w:rPr>
        <w:t>[m]</w:t>
      </w:r>
      <w:proofErr w:type="spellStart"/>
      <w:r w:rsidRPr="001C513C">
        <w:rPr>
          <w:rFonts w:ascii="Times New Roman" w:eastAsia="Times New Roman" w:hAnsi="Times New Roman" w:cs="Times New Roman"/>
          <w:sz w:val="20"/>
          <w:szCs w:val="20"/>
        </w:rPr>
        <w:t>itigating</w:t>
      </w:r>
      <w:proofErr w:type="spellEnd"/>
      <w:r w:rsidRPr="001C513C">
        <w:rPr>
          <w:rFonts w:ascii="Times New Roman" w:eastAsia="Times New Roman" w:hAnsi="Times New Roman" w:cs="Times New Roman"/>
          <w:sz w:val="20"/>
          <w:szCs w:val="20"/>
        </w:rPr>
        <w:t xml:space="preserve"> circumstances, in particular for persons who, having been implicated in the commission of an enforced disappearance, effectively contribute to bringing the disappeared person forward alive or make it possible to clarify cases of enforced disappearance or to identify the perpetrators of an enforced disappearance.’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6BF4" w14:textId="77777777" w:rsidR="00F64BB3" w:rsidRDefault="00F64BB3">
    <w:pPr>
      <w:pBdr>
        <w:top w:val="nil"/>
        <w:left w:val="nil"/>
        <w:bottom w:val="nil"/>
        <w:right w:val="nil"/>
        <w:between w:val="nil"/>
      </w:pBdr>
      <w:tabs>
        <w:tab w:val="center" w:pos="4513"/>
        <w:tab w:val="right" w:pos="9026"/>
      </w:tabs>
      <w:spacing w:after="0" w:line="240" w:lineRule="auto"/>
      <w:jc w:val="right"/>
      <w:rPr>
        <w:color w:val="000000"/>
      </w:rPr>
    </w:pPr>
  </w:p>
  <w:p w14:paraId="10A56535" w14:textId="77777777" w:rsidR="00F64BB3" w:rsidRDefault="00F64BB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92B"/>
    <w:multiLevelType w:val="multilevel"/>
    <w:tmpl w:val="71344BA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400512"/>
    <w:multiLevelType w:val="multilevel"/>
    <w:tmpl w:val="5072940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440941E4"/>
    <w:multiLevelType w:val="hybridMultilevel"/>
    <w:tmpl w:val="3DFA0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F18BF"/>
    <w:multiLevelType w:val="hybridMultilevel"/>
    <w:tmpl w:val="1C64A1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A2C16"/>
    <w:multiLevelType w:val="multilevel"/>
    <w:tmpl w:val="53BA56D4"/>
    <w:lvl w:ilvl="0">
      <w:start w:val="1"/>
      <w:numFmt w:val="decimal"/>
      <w:lvlText w:val="%1."/>
      <w:lvlJc w:val="left"/>
      <w:pPr>
        <w:ind w:left="360" w:hanging="360"/>
      </w:pPr>
      <w:rPr>
        <w: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725B6A6B"/>
    <w:multiLevelType w:val="multilevel"/>
    <w:tmpl w:val="CF22F5A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8F"/>
    <w:rsid w:val="00001452"/>
    <w:rsid w:val="000014CA"/>
    <w:rsid w:val="000033A4"/>
    <w:rsid w:val="000050BE"/>
    <w:rsid w:val="000059DF"/>
    <w:rsid w:val="000140E0"/>
    <w:rsid w:val="0001512B"/>
    <w:rsid w:val="00016C9B"/>
    <w:rsid w:val="000210A8"/>
    <w:rsid w:val="00022669"/>
    <w:rsid w:val="000238C6"/>
    <w:rsid w:val="0002686D"/>
    <w:rsid w:val="00027F8F"/>
    <w:rsid w:val="00033330"/>
    <w:rsid w:val="00037069"/>
    <w:rsid w:val="00037B5C"/>
    <w:rsid w:val="000450A5"/>
    <w:rsid w:val="000511B2"/>
    <w:rsid w:val="00051BB6"/>
    <w:rsid w:val="0005439C"/>
    <w:rsid w:val="00056F19"/>
    <w:rsid w:val="00057236"/>
    <w:rsid w:val="00070906"/>
    <w:rsid w:val="00071F8E"/>
    <w:rsid w:val="00072672"/>
    <w:rsid w:val="00073B57"/>
    <w:rsid w:val="0008142F"/>
    <w:rsid w:val="0008621B"/>
    <w:rsid w:val="00086C9A"/>
    <w:rsid w:val="00095BF8"/>
    <w:rsid w:val="0009797C"/>
    <w:rsid w:val="000A1FF6"/>
    <w:rsid w:val="000B136C"/>
    <w:rsid w:val="000B3B38"/>
    <w:rsid w:val="000C423A"/>
    <w:rsid w:val="000C45D8"/>
    <w:rsid w:val="000D0796"/>
    <w:rsid w:val="000D2D7C"/>
    <w:rsid w:val="000D3B52"/>
    <w:rsid w:val="000D6401"/>
    <w:rsid w:val="000D65AB"/>
    <w:rsid w:val="000D6822"/>
    <w:rsid w:val="000E3B04"/>
    <w:rsid w:val="000F7864"/>
    <w:rsid w:val="00101756"/>
    <w:rsid w:val="0010186F"/>
    <w:rsid w:val="00101F4C"/>
    <w:rsid w:val="00104C31"/>
    <w:rsid w:val="001120DD"/>
    <w:rsid w:val="00112266"/>
    <w:rsid w:val="001234C3"/>
    <w:rsid w:val="00134A7B"/>
    <w:rsid w:val="00137A05"/>
    <w:rsid w:val="00143D27"/>
    <w:rsid w:val="00150339"/>
    <w:rsid w:val="00151733"/>
    <w:rsid w:val="00153377"/>
    <w:rsid w:val="00153A63"/>
    <w:rsid w:val="0015762F"/>
    <w:rsid w:val="0016444C"/>
    <w:rsid w:val="001674A2"/>
    <w:rsid w:val="00170F03"/>
    <w:rsid w:val="00171139"/>
    <w:rsid w:val="001718EE"/>
    <w:rsid w:val="00175B10"/>
    <w:rsid w:val="001921A1"/>
    <w:rsid w:val="001947DF"/>
    <w:rsid w:val="001A785A"/>
    <w:rsid w:val="001C20D8"/>
    <w:rsid w:val="001C234F"/>
    <w:rsid w:val="001C513C"/>
    <w:rsid w:val="001D08C1"/>
    <w:rsid w:val="001D2662"/>
    <w:rsid w:val="001D416C"/>
    <w:rsid w:val="001E09BF"/>
    <w:rsid w:val="001E70E7"/>
    <w:rsid w:val="001E7785"/>
    <w:rsid w:val="001F08E7"/>
    <w:rsid w:val="001F0B0D"/>
    <w:rsid w:val="001F6153"/>
    <w:rsid w:val="00200906"/>
    <w:rsid w:val="00202ECD"/>
    <w:rsid w:val="002056AC"/>
    <w:rsid w:val="00205A31"/>
    <w:rsid w:val="002116A5"/>
    <w:rsid w:val="00215575"/>
    <w:rsid w:val="00223BDF"/>
    <w:rsid w:val="00223D39"/>
    <w:rsid w:val="00232EEF"/>
    <w:rsid w:val="0024246F"/>
    <w:rsid w:val="00245FCC"/>
    <w:rsid w:val="00251028"/>
    <w:rsid w:val="0025299B"/>
    <w:rsid w:val="002700AF"/>
    <w:rsid w:val="00272611"/>
    <w:rsid w:val="00274A30"/>
    <w:rsid w:val="0027648B"/>
    <w:rsid w:val="00276627"/>
    <w:rsid w:val="00277957"/>
    <w:rsid w:val="00280E62"/>
    <w:rsid w:val="002834C9"/>
    <w:rsid w:val="00285CFD"/>
    <w:rsid w:val="0029691B"/>
    <w:rsid w:val="002A45DC"/>
    <w:rsid w:val="002B380A"/>
    <w:rsid w:val="002B4826"/>
    <w:rsid w:val="002C1CD1"/>
    <w:rsid w:val="002C2CD3"/>
    <w:rsid w:val="002C3D6B"/>
    <w:rsid w:val="002C4730"/>
    <w:rsid w:val="002C50A1"/>
    <w:rsid w:val="002D5D51"/>
    <w:rsid w:val="002E1CF4"/>
    <w:rsid w:val="002E3306"/>
    <w:rsid w:val="002E42A4"/>
    <w:rsid w:val="00313E80"/>
    <w:rsid w:val="0031453C"/>
    <w:rsid w:val="0031563A"/>
    <w:rsid w:val="00316330"/>
    <w:rsid w:val="00326515"/>
    <w:rsid w:val="00334B11"/>
    <w:rsid w:val="0033548A"/>
    <w:rsid w:val="00343249"/>
    <w:rsid w:val="00351B9B"/>
    <w:rsid w:val="00365BF4"/>
    <w:rsid w:val="00367068"/>
    <w:rsid w:val="003705EE"/>
    <w:rsid w:val="003750F3"/>
    <w:rsid w:val="003765CF"/>
    <w:rsid w:val="003862A4"/>
    <w:rsid w:val="00387357"/>
    <w:rsid w:val="00390556"/>
    <w:rsid w:val="0039176D"/>
    <w:rsid w:val="003A35D5"/>
    <w:rsid w:val="003A4E36"/>
    <w:rsid w:val="003A75DF"/>
    <w:rsid w:val="003B1985"/>
    <w:rsid w:val="003B3845"/>
    <w:rsid w:val="003B52EC"/>
    <w:rsid w:val="003C08CA"/>
    <w:rsid w:val="003C17D5"/>
    <w:rsid w:val="003C48B5"/>
    <w:rsid w:val="003C7B33"/>
    <w:rsid w:val="003D0EB9"/>
    <w:rsid w:val="003D35F4"/>
    <w:rsid w:val="003D7782"/>
    <w:rsid w:val="003E5B7C"/>
    <w:rsid w:val="003E6C5D"/>
    <w:rsid w:val="003E76D4"/>
    <w:rsid w:val="003F4369"/>
    <w:rsid w:val="0041485F"/>
    <w:rsid w:val="00414C11"/>
    <w:rsid w:val="00416C70"/>
    <w:rsid w:val="00416C9A"/>
    <w:rsid w:val="00420E6C"/>
    <w:rsid w:val="0042217E"/>
    <w:rsid w:val="00424EC9"/>
    <w:rsid w:val="00424FF3"/>
    <w:rsid w:val="004252FE"/>
    <w:rsid w:val="00432517"/>
    <w:rsid w:val="0043432A"/>
    <w:rsid w:val="00447347"/>
    <w:rsid w:val="00453DF0"/>
    <w:rsid w:val="00455F9A"/>
    <w:rsid w:val="00462022"/>
    <w:rsid w:val="004638DB"/>
    <w:rsid w:val="00466387"/>
    <w:rsid w:val="0047272B"/>
    <w:rsid w:val="004779AF"/>
    <w:rsid w:val="00480B7E"/>
    <w:rsid w:val="004873B8"/>
    <w:rsid w:val="00490076"/>
    <w:rsid w:val="004945E1"/>
    <w:rsid w:val="00495C5D"/>
    <w:rsid w:val="00496718"/>
    <w:rsid w:val="004A3081"/>
    <w:rsid w:val="004A4BD9"/>
    <w:rsid w:val="004A730F"/>
    <w:rsid w:val="004B01B5"/>
    <w:rsid w:val="004B7BCA"/>
    <w:rsid w:val="004C1678"/>
    <w:rsid w:val="004C244E"/>
    <w:rsid w:val="004D4A74"/>
    <w:rsid w:val="004D75EC"/>
    <w:rsid w:val="004E6222"/>
    <w:rsid w:val="00503EEB"/>
    <w:rsid w:val="005075FD"/>
    <w:rsid w:val="00510D53"/>
    <w:rsid w:val="00511D19"/>
    <w:rsid w:val="005221C7"/>
    <w:rsid w:val="00522ED4"/>
    <w:rsid w:val="00523360"/>
    <w:rsid w:val="0053027B"/>
    <w:rsid w:val="005310AB"/>
    <w:rsid w:val="005334BE"/>
    <w:rsid w:val="00535D35"/>
    <w:rsid w:val="00537964"/>
    <w:rsid w:val="005414EC"/>
    <w:rsid w:val="005428BB"/>
    <w:rsid w:val="00550749"/>
    <w:rsid w:val="00555F56"/>
    <w:rsid w:val="00556586"/>
    <w:rsid w:val="0056670A"/>
    <w:rsid w:val="00570C67"/>
    <w:rsid w:val="00570FFF"/>
    <w:rsid w:val="005720E5"/>
    <w:rsid w:val="005760B1"/>
    <w:rsid w:val="00586ADD"/>
    <w:rsid w:val="005A3BE6"/>
    <w:rsid w:val="005A57B8"/>
    <w:rsid w:val="005B4954"/>
    <w:rsid w:val="005B64C9"/>
    <w:rsid w:val="005C0D51"/>
    <w:rsid w:val="005C6F8E"/>
    <w:rsid w:val="005E018A"/>
    <w:rsid w:val="005E1442"/>
    <w:rsid w:val="005E46F0"/>
    <w:rsid w:val="005E4FB9"/>
    <w:rsid w:val="005E617C"/>
    <w:rsid w:val="005F1522"/>
    <w:rsid w:val="0060131D"/>
    <w:rsid w:val="00611A8C"/>
    <w:rsid w:val="00613C9F"/>
    <w:rsid w:val="006156FB"/>
    <w:rsid w:val="006201DA"/>
    <w:rsid w:val="00620875"/>
    <w:rsid w:val="00624C2C"/>
    <w:rsid w:val="00627385"/>
    <w:rsid w:val="006279A1"/>
    <w:rsid w:val="00640538"/>
    <w:rsid w:val="00641A65"/>
    <w:rsid w:val="00653770"/>
    <w:rsid w:val="00660B14"/>
    <w:rsid w:val="00663FAE"/>
    <w:rsid w:val="0066792E"/>
    <w:rsid w:val="00676649"/>
    <w:rsid w:val="00677262"/>
    <w:rsid w:val="006812D0"/>
    <w:rsid w:val="00683506"/>
    <w:rsid w:val="00686855"/>
    <w:rsid w:val="006921AF"/>
    <w:rsid w:val="00697FAD"/>
    <w:rsid w:val="006A205B"/>
    <w:rsid w:val="006A46BA"/>
    <w:rsid w:val="006A7912"/>
    <w:rsid w:val="006B0B36"/>
    <w:rsid w:val="006C049F"/>
    <w:rsid w:val="006C0A3E"/>
    <w:rsid w:val="006C4026"/>
    <w:rsid w:val="006D305E"/>
    <w:rsid w:val="006D4627"/>
    <w:rsid w:val="006E4D06"/>
    <w:rsid w:val="006E664C"/>
    <w:rsid w:val="006E69A6"/>
    <w:rsid w:val="006F288C"/>
    <w:rsid w:val="006F6986"/>
    <w:rsid w:val="00703557"/>
    <w:rsid w:val="00705840"/>
    <w:rsid w:val="0070684E"/>
    <w:rsid w:val="00712819"/>
    <w:rsid w:val="007141A2"/>
    <w:rsid w:val="00716731"/>
    <w:rsid w:val="00720EC7"/>
    <w:rsid w:val="00724770"/>
    <w:rsid w:val="007466AD"/>
    <w:rsid w:val="007522B2"/>
    <w:rsid w:val="00754430"/>
    <w:rsid w:val="0076018B"/>
    <w:rsid w:val="00772F90"/>
    <w:rsid w:val="00774160"/>
    <w:rsid w:val="00783C04"/>
    <w:rsid w:val="0079721B"/>
    <w:rsid w:val="007A1194"/>
    <w:rsid w:val="007A7C7D"/>
    <w:rsid w:val="007B219F"/>
    <w:rsid w:val="007B5580"/>
    <w:rsid w:val="007C2E39"/>
    <w:rsid w:val="007C3144"/>
    <w:rsid w:val="007C3CCA"/>
    <w:rsid w:val="007C5D32"/>
    <w:rsid w:val="007C75B0"/>
    <w:rsid w:val="007D0D7F"/>
    <w:rsid w:val="007D224D"/>
    <w:rsid w:val="007E4607"/>
    <w:rsid w:val="007E4808"/>
    <w:rsid w:val="007F0D85"/>
    <w:rsid w:val="00800308"/>
    <w:rsid w:val="008014C6"/>
    <w:rsid w:val="00805456"/>
    <w:rsid w:val="00806989"/>
    <w:rsid w:val="00807F87"/>
    <w:rsid w:val="00812ECD"/>
    <w:rsid w:val="008134BA"/>
    <w:rsid w:val="00813B32"/>
    <w:rsid w:val="00814CE1"/>
    <w:rsid w:val="00827B64"/>
    <w:rsid w:val="00830FE3"/>
    <w:rsid w:val="00832DEF"/>
    <w:rsid w:val="0083357E"/>
    <w:rsid w:val="0083531D"/>
    <w:rsid w:val="00836C1B"/>
    <w:rsid w:val="00842B48"/>
    <w:rsid w:val="00860358"/>
    <w:rsid w:val="008625F6"/>
    <w:rsid w:val="008728E3"/>
    <w:rsid w:val="00872FE3"/>
    <w:rsid w:val="00873264"/>
    <w:rsid w:val="008817A7"/>
    <w:rsid w:val="0088299E"/>
    <w:rsid w:val="00884F3E"/>
    <w:rsid w:val="008914D6"/>
    <w:rsid w:val="008919AA"/>
    <w:rsid w:val="008C6833"/>
    <w:rsid w:val="008D1476"/>
    <w:rsid w:val="008D2835"/>
    <w:rsid w:val="008D4759"/>
    <w:rsid w:val="008D4908"/>
    <w:rsid w:val="008E702B"/>
    <w:rsid w:val="008E70E0"/>
    <w:rsid w:val="008E7483"/>
    <w:rsid w:val="008F0C6C"/>
    <w:rsid w:val="008F6C80"/>
    <w:rsid w:val="008F6DF5"/>
    <w:rsid w:val="009101BD"/>
    <w:rsid w:val="00912364"/>
    <w:rsid w:val="00912504"/>
    <w:rsid w:val="00915970"/>
    <w:rsid w:val="009200F2"/>
    <w:rsid w:val="0092101B"/>
    <w:rsid w:val="00924042"/>
    <w:rsid w:val="009266A3"/>
    <w:rsid w:val="009273F8"/>
    <w:rsid w:val="009274F0"/>
    <w:rsid w:val="009329EC"/>
    <w:rsid w:val="009351AC"/>
    <w:rsid w:val="0093578A"/>
    <w:rsid w:val="00942B89"/>
    <w:rsid w:val="00946DF2"/>
    <w:rsid w:val="009470F8"/>
    <w:rsid w:val="009506BF"/>
    <w:rsid w:val="00951AFF"/>
    <w:rsid w:val="009540F9"/>
    <w:rsid w:val="00954343"/>
    <w:rsid w:val="00961F85"/>
    <w:rsid w:val="0096382E"/>
    <w:rsid w:val="00965889"/>
    <w:rsid w:val="009704E1"/>
    <w:rsid w:val="00981102"/>
    <w:rsid w:val="009841B3"/>
    <w:rsid w:val="0098765C"/>
    <w:rsid w:val="00990C82"/>
    <w:rsid w:val="00995988"/>
    <w:rsid w:val="009A407E"/>
    <w:rsid w:val="009A4683"/>
    <w:rsid w:val="009B59D0"/>
    <w:rsid w:val="009C4DD0"/>
    <w:rsid w:val="009D633B"/>
    <w:rsid w:val="009D64AB"/>
    <w:rsid w:val="009D7A36"/>
    <w:rsid w:val="009E717A"/>
    <w:rsid w:val="009E780B"/>
    <w:rsid w:val="00A042A6"/>
    <w:rsid w:val="00A12474"/>
    <w:rsid w:val="00A14F7F"/>
    <w:rsid w:val="00A17090"/>
    <w:rsid w:val="00A20784"/>
    <w:rsid w:val="00A221EA"/>
    <w:rsid w:val="00A240F8"/>
    <w:rsid w:val="00A24B86"/>
    <w:rsid w:val="00A24F68"/>
    <w:rsid w:val="00A2771B"/>
    <w:rsid w:val="00A5042D"/>
    <w:rsid w:val="00A537A1"/>
    <w:rsid w:val="00A56375"/>
    <w:rsid w:val="00A603AD"/>
    <w:rsid w:val="00A634A9"/>
    <w:rsid w:val="00A82CF5"/>
    <w:rsid w:val="00A93855"/>
    <w:rsid w:val="00A9406B"/>
    <w:rsid w:val="00AB4D62"/>
    <w:rsid w:val="00AB600E"/>
    <w:rsid w:val="00AC2564"/>
    <w:rsid w:val="00AD3C55"/>
    <w:rsid w:val="00AE1DDC"/>
    <w:rsid w:val="00AF0EBE"/>
    <w:rsid w:val="00AF180E"/>
    <w:rsid w:val="00AF2482"/>
    <w:rsid w:val="00AF5AE6"/>
    <w:rsid w:val="00AF5CEC"/>
    <w:rsid w:val="00AF69E6"/>
    <w:rsid w:val="00B04D96"/>
    <w:rsid w:val="00B04E82"/>
    <w:rsid w:val="00B062B1"/>
    <w:rsid w:val="00B13A1D"/>
    <w:rsid w:val="00B23BF8"/>
    <w:rsid w:val="00B26E17"/>
    <w:rsid w:val="00B315DE"/>
    <w:rsid w:val="00B34834"/>
    <w:rsid w:val="00B500B3"/>
    <w:rsid w:val="00B53BB1"/>
    <w:rsid w:val="00B657D7"/>
    <w:rsid w:val="00B667CC"/>
    <w:rsid w:val="00B715F1"/>
    <w:rsid w:val="00B721D4"/>
    <w:rsid w:val="00B72B52"/>
    <w:rsid w:val="00B7402C"/>
    <w:rsid w:val="00B80C26"/>
    <w:rsid w:val="00B84637"/>
    <w:rsid w:val="00B873AF"/>
    <w:rsid w:val="00BA69F9"/>
    <w:rsid w:val="00BB2148"/>
    <w:rsid w:val="00BB7BFD"/>
    <w:rsid w:val="00BC0504"/>
    <w:rsid w:val="00BC1DFA"/>
    <w:rsid w:val="00BC30F3"/>
    <w:rsid w:val="00BC375A"/>
    <w:rsid w:val="00BE14E1"/>
    <w:rsid w:val="00BE6FC1"/>
    <w:rsid w:val="00BF66B8"/>
    <w:rsid w:val="00BF762F"/>
    <w:rsid w:val="00C0480D"/>
    <w:rsid w:val="00C04D6E"/>
    <w:rsid w:val="00C05E51"/>
    <w:rsid w:val="00C06B67"/>
    <w:rsid w:val="00C071CE"/>
    <w:rsid w:val="00C10DE9"/>
    <w:rsid w:val="00C20C3F"/>
    <w:rsid w:val="00C217C5"/>
    <w:rsid w:val="00C258AB"/>
    <w:rsid w:val="00C30A86"/>
    <w:rsid w:val="00C30ACB"/>
    <w:rsid w:val="00C471FD"/>
    <w:rsid w:val="00C50BB6"/>
    <w:rsid w:val="00C51AB3"/>
    <w:rsid w:val="00C5278A"/>
    <w:rsid w:val="00C57DC3"/>
    <w:rsid w:val="00C57EB5"/>
    <w:rsid w:val="00C61326"/>
    <w:rsid w:val="00C6224A"/>
    <w:rsid w:val="00C70F43"/>
    <w:rsid w:val="00C772FF"/>
    <w:rsid w:val="00C87A41"/>
    <w:rsid w:val="00C911B7"/>
    <w:rsid w:val="00C91B28"/>
    <w:rsid w:val="00C95DF6"/>
    <w:rsid w:val="00C960A8"/>
    <w:rsid w:val="00CB0DA9"/>
    <w:rsid w:val="00CC3B84"/>
    <w:rsid w:val="00CD0060"/>
    <w:rsid w:val="00CD1449"/>
    <w:rsid w:val="00CD5115"/>
    <w:rsid w:val="00CE18E4"/>
    <w:rsid w:val="00CE52F6"/>
    <w:rsid w:val="00CE71D8"/>
    <w:rsid w:val="00CE7662"/>
    <w:rsid w:val="00CF44F0"/>
    <w:rsid w:val="00D011D1"/>
    <w:rsid w:val="00D07156"/>
    <w:rsid w:val="00D104F2"/>
    <w:rsid w:val="00D129B9"/>
    <w:rsid w:val="00D17FB0"/>
    <w:rsid w:val="00D20FBB"/>
    <w:rsid w:val="00D30346"/>
    <w:rsid w:val="00D304FB"/>
    <w:rsid w:val="00D31255"/>
    <w:rsid w:val="00D33396"/>
    <w:rsid w:val="00D33A5D"/>
    <w:rsid w:val="00D37E82"/>
    <w:rsid w:val="00D4114D"/>
    <w:rsid w:val="00D4123C"/>
    <w:rsid w:val="00D46F0F"/>
    <w:rsid w:val="00D63D40"/>
    <w:rsid w:val="00D63FD4"/>
    <w:rsid w:val="00D658F8"/>
    <w:rsid w:val="00D72C9A"/>
    <w:rsid w:val="00D820C5"/>
    <w:rsid w:val="00D83362"/>
    <w:rsid w:val="00D85637"/>
    <w:rsid w:val="00D90E3C"/>
    <w:rsid w:val="00D9145B"/>
    <w:rsid w:val="00D92776"/>
    <w:rsid w:val="00DA376D"/>
    <w:rsid w:val="00DA53DA"/>
    <w:rsid w:val="00DA543A"/>
    <w:rsid w:val="00DA6667"/>
    <w:rsid w:val="00DB1F6B"/>
    <w:rsid w:val="00DB2654"/>
    <w:rsid w:val="00DB77DD"/>
    <w:rsid w:val="00DC2E35"/>
    <w:rsid w:val="00DF5833"/>
    <w:rsid w:val="00DF68C7"/>
    <w:rsid w:val="00E0279E"/>
    <w:rsid w:val="00E05988"/>
    <w:rsid w:val="00E10AE2"/>
    <w:rsid w:val="00E157B5"/>
    <w:rsid w:val="00E176FD"/>
    <w:rsid w:val="00E2368B"/>
    <w:rsid w:val="00E26DFF"/>
    <w:rsid w:val="00E3645C"/>
    <w:rsid w:val="00E43D01"/>
    <w:rsid w:val="00E475F0"/>
    <w:rsid w:val="00E600BA"/>
    <w:rsid w:val="00E609FD"/>
    <w:rsid w:val="00E722F7"/>
    <w:rsid w:val="00E72910"/>
    <w:rsid w:val="00E74954"/>
    <w:rsid w:val="00E75F23"/>
    <w:rsid w:val="00E76832"/>
    <w:rsid w:val="00E82C63"/>
    <w:rsid w:val="00E83521"/>
    <w:rsid w:val="00E83D07"/>
    <w:rsid w:val="00E85BBD"/>
    <w:rsid w:val="00E91E17"/>
    <w:rsid w:val="00E96504"/>
    <w:rsid w:val="00EA16DD"/>
    <w:rsid w:val="00EA2A7F"/>
    <w:rsid w:val="00EA79E8"/>
    <w:rsid w:val="00EB00E1"/>
    <w:rsid w:val="00EB3068"/>
    <w:rsid w:val="00EB3E80"/>
    <w:rsid w:val="00EC3226"/>
    <w:rsid w:val="00ED532D"/>
    <w:rsid w:val="00ED6005"/>
    <w:rsid w:val="00ED6876"/>
    <w:rsid w:val="00EE3551"/>
    <w:rsid w:val="00EE35EC"/>
    <w:rsid w:val="00EF4C33"/>
    <w:rsid w:val="00EF6D5B"/>
    <w:rsid w:val="00F06383"/>
    <w:rsid w:val="00F07EBE"/>
    <w:rsid w:val="00F11579"/>
    <w:rsid w:val="00F17003"/>
    <w:rsid w:val="00F22B98"/>
    <w:rsid w:val="00F3329E"/>
    <w:rsid w:val="00F40605"/>
    <w:rsid w:val="00F43A6B"/>
    <w:rsid w:val="00F473BC"/>
    <w:rsid w:val="00F516AF"/>
    <w:rsid w:val="00F51ECA"/>
    <w:rsid w:val="00F559F6"/>
    <w:rsid w:val="00F60079"/>
    <w:rsid w:val="00F602AB"/>
    <w:rsid w:val="00F60BB2"/>
    <w:rsid w:val="00F62910"/>
    <w:rsid w:val="00F63E00"/>
    <w:rsid w:val="00F64BB3"/>
    <w:rsid w:val="00F72A3A"/>
    <w:rsid w:val="00F860CF"/>
    <w:rsid w:val="00F87976"/>
    <w:rsid w:val="00FA325B"/>
    <w:rsid w:val="00FA3F31"/>
    <w:rsid w:val="00FA7F6E"/>
    <w:rsid w:val="00FB45A4"/>
    <w:rsid w:val="00FB6D22"/>
    <w:rsid w:val="00FB7ABD"/>
    <w:rsid w:val="00FC76D1"/>
    <w:rsid w:val="00FD0B8A"/>
    <w:rsid w:val="00FD11D8"/>
    <w:rsid w:val="00FD37D1"/>
    <w:rsid w:val="00FD4019"/>
    <w:rsid w:val="00FE4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72F"/>
  <w15:docId w15:val="{B1C0F9F1-F6DF-4A92-89EC-BECDCF80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F4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33"/>
    <w:rPr>
      <w:rFonts w:ascii="Segoe UI" w:hAnsi="Segoe UI" w:cs="Segoe UI"/>
      <w:sz w:val="18"/>
      <w:szCs w:val="18"/>
    </w:rPr>
  </w:style>
  <w:style w:type="paragraph" w:styleId="FootnoteText">
    <w:name w:val="footnote text"/>
    <w:basedOn w:val="Normal"/>
    <w:link w:val="FootnoteTextChar"/>
    <w:uiPriority w:val="99"/>
    <w:unhideWhenUsed/>
    <w:rsid w:val="00DA376D"/>
    <w:pPr>
      <w:spacing w:after="0" w:line="240" w:lineRule="auto"/>
    </w:pPr>
    <w:rPr>
      <w:sz w:val="20"/>
      <w:szCs w:val="20"/>
    </w:rPr>
  </w:style>
  <w:style w:type="character" w:customStyle="1" w:styleId="FootnoteTextChar">
    <w:name w:val="Footnote Text Char"/>
    <w:basedOn w:val="DefaultParagraphFont"/>
    <w:link w:val="FootnoteText"/>
    <w:uiPriority w:val="99"/>
    <w:rsid w:val="00DA376D"/>
    <w:rPr>
      <w:sz w:val="20"/>
      <w:szCs w:val="20"/>
    </w:rPr>
  </w:style>
  <w:style w:type="character" w:styleId="FootnoteReference">
    <w:name w:val="footnote reference"/>
    <w:basedOn w:val="DefaultParagraphFont"/>
    <w:uiPriority w:val="99"/>
    <w:unhideWhenUsed/>
    <w:rsid w:val="00DA376D"/>
    <w:rPr>
      <w:vertAlign w:val="superscript"/>
    </w:rPr>
  </w:style>
  <w:style w:type="paragraph" w:styleId="ListParagraph">
    <w:name w:val="List Paragraph"/>
    <w:basedOn w:val="Normal"/>
    <w:uiPriority w:val="34"/>
    <w:qFormat/>
    <w:rsid w:val="00E43D01"/>
    <w:pPr>
      <w:ind w:left="720"/>
      <w:contextualSpacing/>
    </w:pPr>
  </w:style>
  <w:style w:type="character" w:styleId="CommentReference">
    <w:name w:val="annotation reference"/>
    <w:basedOn w:val="DefaultParagraphFont"/>
    <w:uiPriority w:val="99"/>
    <w:semiHidden/>
    <w:unhideWhenUsed/>
    <w:rsid w:val="000C45D8"/>
    <w:rPr>
      <w:sz w:val="16"/>
      <w:szCs w:val="16"/>
    </w:rPr>
  </w:style>
  <w:style w:type="paragraph" w:styleId="CommentText">
    <w:name w:val="annotation text"/>
    <w:basedOn w:val="Normal"/>
    <w:link w:val="CommentTextChar"/>
    <w:uiPriority w:val="99"/>
    <w:unhideWhenUsed/>
    <w:rsid w:val="000C45D8"/>
    <w:pPr>
      <w:spacing w:line="240" w:lineRule="auto"/>
    </w:pPr>
    <w:rPr>
      <w:sz w:val="20"/>
      <w:szCs w:val="20"/>
    </w:rPr>
  </w:style>
  <w:style w:type="character" w:customStyle="1" w:styleId="CommentTextChar">
    <w:name w:val="Comment Text Char"/>
    <w:basedOn w:val="DefaultParagraphFont"/>
    <w:link w:val="CommentText"/>
    <w:uiPriority w:val="99"/>
    <w:rsid w:val="000C45D8"/>
    <w:rPr>
      <w:sz w:val="20"/>
      <w:szCs w:val="20"/>
    </w:rPr>
  </w:style>
  <w:style w:type="paragraph" w:styleId="CommentSubject">
    <w:name w:val="annotation subject"/>
    <w:basedOn w:val="CommentText"/>
    <w:next w:val="CommentText"/>
    <w:link w:val="CommentSubjectChar"/>
    <w:uiPriority w:val="99"/>
    <w:semiHidden/>
    <w:unhideWhenUsed/>
    <w:rsid w:val="000C45D8"/>
    <w:rPr>
      <w:b/>
      <w:bCs/>
    </w:rPr>
  </w:style>
  <w:style w:type="character" w:customStyle="1" w:styleId="CommentSubjectChar">
    <w:name w:val="Comment Subject Char"/>
    <w:basedOn w:val="CommentTextChar"/>
    <w:link w:val="CommentSubject"/>
    <w:uiPriority w:val="99"/>
    <w:semiHidden/>
    <w:rsid w:val="000C45D8"/>
    <w:rPr>
      <w:b/>
      <w:bCs/>
      <w:sz w:val="20"/>
      <w:szCs w:val="20"/>
    </w:rPr>
  </w:style>
  <w:style w:type="paragraph" w:styleId="HTMLPreformatted">
    <w:name w:val="HTML Preformatted"/>
    <w:basedOn w:val="Normal"/>
    <w:link w:val="HTMLPreformattedChar"/>
    <w:uiPriority w:val="99"/>
    <w:unhideWhenUsed/>
    <w:rsid w:val="0064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1A65"/>
    <w:rPr>
      <w:rFonts w:ascii="Courier New" w:eastAsia="Times New Roman" w:hAnsi="Courier New" w:cs="Courier New"/>
      <w:sz w:val="20"/>
      <w:szCs w:val="20"/>
    </w:rPr>
  </w:style>
  <w:style w:type="paragraph" w:styleId="NormalWeb">
    <w:name w:val="Normal (Web)"/>
    <w:basedOn w:val="Normal"/>
    <w:uiPriority w:val="99"/>
    <w:unhideWhenUsed/>
    <w:rsid w:val="006A7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18E4"/>
    <w:rPr>
      <w:color w:val="0000FF"/>
      <w:u w:val="single"/>
    </w:rPr>
  </w:style>
  <w:style w:type="paragraph" w:styleId="Revision">
    <w:name w:val="Revision"/>
    <w:hidden/>
    <w:uiPriority w:val="99"/>
    <w:semiHidden/>
    <w:rsid w:val="00EA2A7F"/>
    <w:pPr>
      <w:spacing w:after="0" w:line="240" w:lineRule="auto"/>
    </w:pPr>
  </w:style>
  <w:style w:type="table" w:styleId="TableGrid">
    <w:name w:val="Table Grid"/>
    <w:basedOn w:val="TableNormal"/>
    <w:uiPriority w:val="59"/>
    <w:rsid w:val="00550749"/>
    <w:pPr>
      <w:spacing w:after="0" w:line="240" w:lineRule="auto"/>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
    <w:name w:val="meta"/>
    <w:basedOn w:val="Normal"/>
    <w:rsid w:val="00CE52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2F6"/>
    <w:rPr>
      <w:b/>
      <w:bCs/>
    </w:rPr>
  </w:style>
  <w:style w:type="paragraph" w:styleId="Header">
    <w:name w:val="header"/>
    <w:basedOn w:val="Normal"/>
    <w:link w:val="HeaderChar"/>
    <w:uiPriority w:val="99"/>
    <w:unhideWhenUsed/>
    <w:rsid w:val="00CC3B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B84"/>
  </w:style>
  <w:style w:type="paragraph" w:styleId="Footer">
    <w:name w:val="footer"/>
    <w:basedOn w:val="Normal"/>
    <w:link w:val="FooterChar"/>
    <w:uiPriority w:val="99"/>
    <w:unhideWhenUsed/>
    <w:rsid w:val="00CC3B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B84"/>
  </w:style>
  <w:style w:type="paragraph" w:styleId="DocumentMap">
    <w:name w:val="Document Map"/>
    <w:basedOn w:val="Normal"/>
    <w:link w:val="DocumentMapChar"/>
    <w:uiPriority w:val="99"/>
    <w:semiHidden/>
    <w:unhideWhenUsed/>
    <w:rsid w:val="00BE6FC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E6FC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5763">
      <w:bodyDiv w:val="1"/>
      <w:marLeft w:val="0"/>
      <w:marRight w:val="0"/>
      <w:marTop w:val="0"/>
      <w:marBottom w:val="0"/>
      <w:divBdr>
        <w:top w:val="none" w:sz="0" w:space="0" w:color="auto"/>
        <w:left w:val="none" w:sz="0" w:space="0" w:color="auto"/>
        <w:bottom w:val="none" w:sz="0" w:space="0" w:color="auto"/>
        <w:right w:val="none" w:sz="0" w:space="0" w:color="auto"/>
      </w:divBdr>
      <w:divsChild>
        <w:div w:id="175968968">
          <w:marLeft w:val="0"/>
          <w:marRight w:val="0"/>
          <w:marTop w:val="0"/>
          <w:marBottom w:val="0"/>
          <w:divBdr>
            <w:top w:val="none" w:sz="0" w:space="0" w:color="auto"/>
            <w:left w:val="none" w:sz="0" w:space="0" w:color="auto"/>
            <w:bottom w:val="none" w:sz="0" w:space="0" w:color="auto"/>
            <w:right w:val="none" w:sz="0" w:space="0" w:color="auto"/>
          </w:divBdr>
          <w:divsChild>
            <w:div w:id="1877543370">
              <w:marLeft w:val="0"/>
              <w:marRight w:val="0"/>
              <w:marTop w:val="0"/>
              <w:marBottom w:val="0"/>
              <w:divBdr>
                <w:top w:val="none" w:sz="0" w:space="0" w:color="auto"/>
                <w:left w:val="none" w:sz="0" w:space="0" w:color="auto"/>
                <w:bottom w:val="none" w:sz="0" w:space="0" w:color="auto"/>
                <w:right w:val="none" w:sz="0" w:space="0" w:color="auto"/>
              </w:divBdr>
              <w:divsChild>
                <w:div w:id="571933062">
                  <w:marLeft w:val="0"/>
                  <w:marRight w:val="0"/>
                  <w:marTop w:val="0"/>
                  <w:marBottom w:val="0"/>
                  <w:divBdr>
                    <w:top w:val="none" w:sz="0" w:space="0" w:color="auto"/>
                    <w:left w:val="none" w:sz="0" w:space="0" w:color="auto"/>
                    <w:bottom w:val="none" w:sz="0" w:space="0" w:color="auto"/>
                    <w:right w:val="none" w:sz="0" w:space="0" w:color="auto"/>
                  </w:divBdr>
                  <w:divsChild>
                    <w:div w:id="11854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8781">
      <w:bodyDiv w:val="1"/>
      <w:marLeft w:val="0"/>
      <w:marRight w:val="0"/>
      <w:marTop w:val="0"/>
      <w:marBottom w:val="0"/>
      <w:divBdr>
        <w:top w:val="none" w:sz="0" w:space="0" w:color="auto"/>
        <w:left w:val="none" w:sz="0" w:space="0" w:color="auto"/>
        <w:bottom w:val="none" w:sz="0" w:space="0" w:color="auto"/>
        <w:right w:val="none" w:sz="0" w:space="0" w:color="auto"/>
      </w:divBdr>
      <w:divsChild>
        <w:div w:id="1567107792">
          <w:marLeft w:val="0"/>
          <w:marRight w:val="0"/>
          <w:marTop w:val="0"/>
          <w:marBottom w:val="0"/>
          <w:divBdr>
            <w:top w:val="none" w:sz="0" w:space="0" w:color="auto"/>
            <w:left w:val="none" w:sz="0" w:space="0" w:color="auto"/>
            <w:bottom w:val="none" w:sz="0" w:space="0" w:color="auto"/>
            <w:right w:val="none" w:sz="0" w:space="0" w:color="auto"/>
          </w:divBdr>
        </w:div>
      </w:divsChild>
    </w:div>
    <w:div w:id="113137917">
      <w:bodyDiv w:val="1"/>
      <w:marLeft w:val="0"/>
      <w:marRight w:val="0"/>
      <w:marTop w:val="0"/>
      <w:marBottom w:val="0"/>
      <w:divBdr>
        <w:top w:val="none" w:sz="0" w:space="0" w:color="auto"/>
        <w:left w:val="none" w:sz="0" w:space="0" w:color="auto"/>
        <w:bottom w:val="none" w:sz="0" w:space="0" w:color="auto"/>
        <w:right w:val="none" w:sz="0" w:space="0" w:color="auto"/>
      </w:divBdr>
      <w:divsChild>
        <w:div w:id="945891337">
          <w:marLeft w:val="0"/>
          <w:marRight w:val="0"/>
          <w:marTop w:val="0"/>
          <w:marBottom w:val="0"/>
          <w:divBdr>
            <w:top w:val="none" w:sz="0" w:space="0" w:color="auto"/>
            <w:left w:val="none" w:sz="0" w:space="0" w:color="auto"/>
            <w:bottom w:val="none" w:sz="0" w:space="0" w:color="auto"/>
            <w:right w:val="none" w:sz="0" w:space="0" w:color="auto"/>
          </w:divBdr>
          <w:divsChild>
            <w:div w:id="1414861083">
              <w:marLeft w:val="0"/>
              <w:marRight w:val="0"/>
              <w:marTop w:val="0"/>
              <w:marBottom w:val="0"/>
              <w:divBdr>
                <w:top w:val="none" w:sz="0" w:space="0" w:color="auto"/>
                <w:left w:val="none" w:sz="0" w:space="0" w:color="auto"/>
                <w:bottom w:val="none" w:sz="0" w:space="0" w:color="auto"/>
                <w:right w:val="none" w:sz="0" w:space="0" w:color="auto"/>
              </w:divBdr>
              <w:divsChild>
                <w:div w:id="390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0069">
      <w:bodyDiv w:val="1"/>
      <w:marLeft w:val="0"/>
      <w:marRight w:val="0"/>
      <w:marTop w:val="0"/>
      <w:marBottom w:val="0"/>
      <w:divBdr>
        <w:top w:val="none" w:sz="0" w:space="0" w:color="auto"/>
        <w:left w:val="none" w:sz="0" w:space="0" w:color="auto"/>
        <w:bottom w:val="none" w:sz="0" w:space="0" w:color="auto"/>
        <w:right w:val="none" w:sz="0" w:space="0" w:color="auto"/>
      </w:divBdr>
    </w:div>
    <w:div w:id="230430359">
      <w:bodyDiv w:val="1"/>
      <w:marLeft w:val="0"/>
      <w:marRight w:val="0"/>
      <w:marTop w:val="0"/>
      <w:marBottom w:val="0"/>
      <w:divBdr>
        <w:top w:val="none" w:sz="0" w:space="0" w:color="auto"/>
        <w:left w:val="none" w:sz="0" w:space="0" w:color="auto"/>
        <w:bottom w:val="none" w:sz="0" w:space="0" w:color="auto"/>
        <w:right w:val="none" w:sz="0" w:space="0" w:color="auto"/>
      </w:divBdr>
      <w:divsChild>
        <w:div w:id="943464667">
          <w:marLeft w:val="0"/>
          <w:marRight w:val="0"/>
          <w:marTop w:val="0"/>
          <w:marBottom w:val="0"/>
          <w:divBdr>
            <w:top w:val="none" w:sz="0" w:space="0" w:color="auto"/>
            <w:left w:val="none" w:sz="0" w:space="0" w:color="auto"/>
            <w:bottom w:val="none" w:sz="0" w:space="0" w:color="auto"/>
            <w:right w:val="none" w:sz="0" w:space="0" w:color="auto"/>
          </w:divBdr>
          <w:divsChild>
            <w:div w:id="134833631">
              <w:marLeft w:val="0"/>
              <w:marRight w:val="0"/>
              <w:marTop w:val="0"/>
              <w:marBottom w:val="0"/>
              <w:divBdr>
                <w:top w:val="none" w:sz="0" w:space="0" w:color="auto"/>
                <w:left w:val="none" w:sz="0" w:space="0" w:color="auto"/>
                <w:bottom w:val="none" w:sz="0" w:space="0" w:color="auto"/>
                <w:right w:val="none" w:sz="0" w:space="0" w:color="auto"/>
              </w:divBdr>
              <w:divsChild>
                <w:div w:id="13731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2200">
      <w:bodyDiv w:val="1"/>
      <w:marLeft w:val="0"/>
      <w:marRight w:val="0"/>
      <w:marTop w:val="0"/>
      <w:marBottom w:val="0"/>
      <w:divBdr>
        <w:top w:val="none" w:sz="0" w:space="0" w:color="auto"/>
        <w:left w:val="none" w:sz="0" w:space="0" w:color="auto"/>
        <w:bottom w:val="none" w:sz="0" w:space="0" w:color="auto"/>
        <w:right w:val="none" w:sz="0" w:space="0" w:color="auto"/>
      </w:divBdr>
    </w:div>
    <w:div w:id="558782149">
      <w:bodyDiv w:val="1"/>
      <w:marLeft w:val="0"/>
      <w:marRight w:val="0"/>
      <w:marTop w:val="0"/>
      <w:marBottom w:val="0"/>
      <w:divBdr>
        <w:top w:val="none" w:sz="0" w:space="0" w:color="auto"/>
        <w:left w:val="none" w:sz="0" w:space="0" w:color="auto"/>
        <w:bottom w:val="none" w:sz="0" w:space="0" w:color="auto"/>
        <w:right w:val="none" w:sz="0" w:space="0" w:color="auto"/>
      </w:divBdr>
    </w:div>
    <w:div w:id="889346079">
      <w:bodyDiv w:val="1"/>
      <w:marLeft w:val="0"/>
      <w:marRight w:val="0"/>
      <w:marTop w:val="0"/>
      <w:marBottom w:val="0"/>
      <w:divBdr>
        <w:top w:val="none" w:sz="0" w:space="0" w:color="auto"/>
        <w:left w:val="none" w:sz="0" w:space="0" w:color="auto"/>
        <w:bottom w:val="none" w:sz="0" w:space="0" w:color="auto"/>
        <w:right w:val="none" w:sz="0" w:space="0" w:color="auto"/>
      </w:divBdr>
    </w:div>
    <w:div w:id="1173569538">
      <w:bodyDiv w:val="1"/>
      <w:marLeft w:val="0"/>
      <w:marRight w:val="0"/>
      <w:marTop w:val="0"/>
      <w:marBottom w:val="0"/>
      <w:divBdr>
        <w:top w:val="none" w:sz="0" w:space="0" w:color="auto"/>
        <w:left w:val="none" w:sz="0" w:space="0" w:color="auto"/>
        <w:bottom w:val="none" w:sz="0" w:space="0" w:color="auto"/>
        <w:right w:val="none" w:sz="0" w:space="0" w:color="auto"/>
      </w:divBdr>
      <w:divsChild>
        <w:div w:id="2121604927">
          <w:marLeft w:val="0"/>
          <w:marRight w:val="0"/>
          <w:marTop w:val="0"/>
          <w:marBottom w:val="0"/>
          <w:divBdr>
            <w:top w:val="none" w:sz="0" w:space="0" w:color="auto"/>
            <w:left w:val="none" w:sz="0" w:space="0" w:color="auto"/>
            <w:bottom w:val="none" w:sz="0" w:space="0" w:color="auto"/>
            <w:right w:val="none" w:sz="0" w:space="0" w:color="auto"/>
          </w:divBdr>
          <w:divsChild>
            <w:div w:id="259680233">
              <w:marLeft w:val="0"/>
              <w:marRight w:val="0"/>
              <w:marTop w:val="0"/>
              <w:marBottom w:val="0"/>
              <w:divBdr>
                <w:top w:val="none" w:sz="0" w:space="0" w:color="auto"/>
                <w:left w:val="none" w:sz="0" w:space="0" w:color="auto"/>
                <w:bottom w:val="none" w:sz="0" w:space="0" w:color="auto"/>
                <w:right w:val="none" w:sz="0" w:space="0" w:color="auto"/>
              </w:divBdr>
              <w:divsChild>
                <w:div w:id="1899900288">
                  <w:marLeft w:val="0"/>
                  <w:marRight w:val="0"/>
                  <w:marTop w:val="0"/>
                  <w:marBottom w:val="0"/>
                  <w:divBdr>
                    <w:top w:val="none" w:sz="0" w:space="0" w:color="auto"/>
                    <w:left w:val="none" w:sz="0" w:space="0" w:color="auto"/>
                    <w:bottom w:val="none" w:sz="0" w:space="0" w:color="auto"/>
                    <w:right w:val="none" w:sz="0" w:space="0" w:color="auto"/>
                  </w:divBdr>
                  <w:divsChild>
                    <w:div w:id="1069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82667">
      <w:bodyDiv w:val="1"/>
      <w:marLeft w:val="0"/>
      <w:marRight w:val="0"/>
      <w:marTop w:val="0"/>
      <w:marBottom w:val="0"/>
      <w:divBdr>
        <w:top w:val="none" w:sz="0" w:space="0" w:color="auto"/>
        <w:left w:val="none" w:sz="0" w:space="0" w:color="auto"/>
        <w:bottom w:val="none" w:sz="0" w:space="0" w:color="auto"/>
        <w:right w:val="none" w:sz="0" w:space="0" w:color="auto"/>
      </w:divBdr>
      <w:divsChild>
        <w:div w:id="1658221832">
          <w:marLeft w:val="0"/>
          <w:marRight w:val="0"/>
          <w:marTop w:val="0"/>
          <w:marBottom w:val="0"/>
          <w:divBdr>
            <w:top w:val="none" w:sz="0" w:space="0" w:color="auto"/>
            <w:left w:val="none" w:sz="0" w:space="0" w:color="auto"/>
            <w:bottom w:val="none" w:sz="0" w:space="0" w:color="auto"/>
            <w:right w:val="none" w:sz="0" w:space="0" w:color="auto"/>
          </w:divBdr>
          <w:divsChild>
            <w:div w:id="1737434320">
              <w:marLeft w:val="0"/>
              <w:marRight w:val="0"/>
              <w:marTop w:val="0"/>
              <w:marBottom w:val="0"/>
              <w:divBdr>
                <w:top w:val="none" w:sz="0" w:space="0" w:color="auto"/>
                <w:left w:val="none" w:sz="0" w:space="0" w:color="auto"/>
                <w:bottom w:val="none" w:sz="0" w:space="0" w:color="auto"/>
                <w:right w:val="none" w:sz="0" w:space="0" w:color="auto"/>
              </w:divBdr>
              <w:divsChild>
                <w:div w:id="16717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8410">
      <w:bodyDiv w:val="1"/>
      <w:marLeft w:val="0"/>
      <w:marRight w:val="0"/>
      <w:marTop w:val="0"/>
      <w:marBottom w:val="0"/>
      <w:divBdr>
        <w:top w:val="none" w:sz="0" w:space="0" w:color="auto"/>
        <w:left w:val="none" w:sz="0" w:space="0" w:color="auto"/>
        <w:bottom w:val="none" w:sz="0" w:space="0" w:color="auto"/>
        <w:right w:val="none" w:sz="0" w:space="0" w:color="auto"/>
      </w:divBdr>
      <w:divsChild>
        <w:div w:id="268201024">
          <w:marLeft w:val="0"/>
          <w:marRight w:val="0"/>
          <w:marTop w:val="0"/>
          <w:marBottom w:val="0"/>
          <w:divBdr>
            <w:top w:val="none" w:sz="0" w:space="0" w:color="auto"/>
            <w:left w:val="none" w:sz="0" w:space="0" w:color="auto"/>
            <w:bottom w:val="none" w:sz="0" w:space="0" w:color="auto"/>
            <w:right w:val="none" w:sz="0" w:space="0" w:color="auto"/>
          </w:divBdr>
        </w:div>
        <w:div w:id="414204588">
          <w:marLeft w:val="0"/>
          <w:marRight w:val="0"/>
          <w:marTop w:val="0"/>
          <w:marBottom w:val="0"/>
          <w:divBdr>
            <w:top w:val="none" w:sz="0" w:space="0" w:color="auto"/>
            <w:left w:val="none" w:sz="0" w:space="0" w:color="auto"/>
            <w:bottom w:val="none" w:sz="0" w:space="0" w:color="auto"/>
            <w:right w:val="none" w:sz="0" w:space="0" w:color="auto"/>
          </w:divBdr>
        </w:div>
        <w:div w:id="461769050">
          <w:marLeft w:val="0"/>
          <w:marRight w:val="0"/>
          <w:marTop w:val="0"/>
          <w:marBottom w:val="0"/>
          <w:divBdr>
            <w:top w:val="none" w:sz="0" w:space="0" w:color="auto"/>
            <w:left w:val="none" w:sz="0" w:space="0" w:color="auto"/>
            <w:bottom w:val="none" w:sz="0" w:space="0" w:color="auto"/>
            <w:right w:val="none" w:sz="0" w:space="0" w:color="auto"/>
          </w:divBdr>
        </w:div>
        <w:div w:id="940650519">
          <w:marLeft w:val="0"/>
          <w:marRight w:val="0"/>
          <w:marTop w:val="0"/>
          <w:marBottom w:val="0"/>
          <w:divBdr>
            <w:top w:val="none" w:sz="0" w:space="0" w:color="auto"/>
            <w:left w:val="none" w:sz="0" w:space="0" w:color="auto"/>
            <w:bottom w:val="none" w:sz="0" w:space="0" w:color="auto"/>
            <w:right w:val="none" w:sz="0" w:space="0" w:color="auto"/>
          </w:divBdr>
        </w:div>
        <w:div w:id="1566599080">
          <w:marLeft w:val="0"/>
          <w:marRight w:val="0"/>
          <w:marTop w:val="0"/>
          <w:marBottom w:val="0"/>
          <w:divBdr>
            <w:top w:val="none" w:sz="0" w:space="0" w:color="auto"/>
            <w:left w:val="none" w:sz="0" w:space="0" w:color="auto"/>
            <w:bottom w:val="none" w:sz="0" w:space="0" w:color="auto"/>
            <w:right w:val="none" w:sz="0" w:space="0" w:color="auto"/>
          </w:divBdr>
        </w:div>
        <w:div w:id="1789734339">
          <w:marLeft w:val="0"/>
          <w:marRight w:val="0"/>
          <w:marTop w:val="0"/>
          <w:marBottom w:val="0"/>
          <w:divBdr>
            <w:top w:val="none" w:sz="0" w:space="0" w:color="auto"/>
            <w:left w:val="none" w:sz="0" w:space="0" w:color="auto"/>
            <w:bottom w:val="none" w:sz="0" w:space="0" w:color="auto"/>
            <w:right w:val="none" w:sz="0" w:space="0" w:color="auto"/>
          </w:divBdr>
        </w:div>
        <w:div w:id="1891187760">
          <w:marLeft w:val="0"/>
          <w:marRight w:val="0"/>
          <w:marTop w:val="0"/>
          <w:marBottom w:val="0"/>
          <w:divBdr>
            <w:top w:val="none" w:sz="0" w:space="0" w:color="auto"/>
            <w:left w:val="none" w:sz="0" w:space="0" w:color="auto"/>
            <w:bottom w:val="none" w:sz="0" w:space="0" w:color="auto"/>
            <w:right w:val="none" w:sz="0" w:space="0" w:color="auto"/>
          </w:divBdr>
        </w:div>
      </w:divsChild>
    </w:div>
    <w:div w:id="1392579742">
      <w:bodyDiv w:val="1"/>
      <w:marLeft w:val="0"/>
      <w:marRight w:val="0"/>
      <w:marTop w:val="0"/>
      <w:marBottom w:val="0"/>
      <w:divBdr>
        <w:top w:val="none" w:sz="0" w:space="0" w:color="auto"/>
        <w:left w:val="none" w:sz="0" w:space="0" w:color="auto"/>
        <w:bottom w:val="none" w:sz="0" w:space="0" w:color="auto"/>
        <w:right w:val="none" w:sz="0" w:space="0" w:color="auto"/>
      </w:divBdr>
    </w:div>
    <w:div w:id="1592736856">
      <w:bodyDiv w:val="1"/>
      <w:marLeft w:val="0"/>
      <w:marRight w:val="0"/>
      <w:marTop w:val="0"/>
      <w:marBottom w:val="0"/>
      <w:divBdr>
        <w:top w:val="none" w:sz="0" w:space="0" w:color="auto"/>
        <w:left w:val="none" w:sz="0" w:space="0" w:color="auto"/>
        <w:bottom w:val="none" w:sz="0" w:space="0" w:color="auto"/>
        <w:right w:val="none" w:sz="0" w:space="0" w:color="auto"/>
      </w:divBdr>
    </w:div>
    <w:div w:id="1993021126">
      <w:bodyDiv w:val="1"/>
      <w:marLeft w:val="0"/>
      <w:marRight w:val="0"/>
      <w:marTop w:val="0"/>
      <w:marBottom w:val="0"/>
      <w:divBdr>
        <w:top w:val="none" w:sz="0" w:space="0" w:color="auto"/>
        <w:left w:val="none" w:sz="0" w:space="0" w:color="auto"/>
        <w:bottom w:val="none" w:sz="0" w:space="0" w:color="auto"/>
        <w:right w:val="none" w:sz="0" w:space="0" w:color="auto"/>
      </w:divBdr>
      <w:divsChild>
        <w:div w:id="1601838969">
          <w:marLeft w:val="0"/>
          <w:marRight w:val="0"/>
          <w:marTop w:val="0"/>
          <w:marBottom w:val="0"/>
          <w:divBdr>
            <w:top w:val="none" w:sz="0" w:space="0" w:color="auto"/>
            <w:left w:val="none" w:sz="0" w:space="0" w:color="auto"/>
            <w:bottom w:val="none" w:sz="0" w:space="0" w:color="auto"/>
            <w:right w:val="none" w:sz="0" w:space="0" w:color="auto"/>
          </w:divBdr>
          <w:divsChild>
            <w:div w:id="1547376030">
              <w:marLeft w:val="0"/>
              <w:marRight w:val="0"/>
              <w:marTop w:val="0"/>
              <w:marBottom w:val="0"/>
              <w:divBdr>
                <w:top w:val="none" w:sz="0" w:space="0" w:color="auto"/>
                <w:left w:val="none" w:sz="0" w:space="0" w:color="auto"/>
                <w:bottom w:val="none" w:sz="0" w:space="0" w:color="auto"/>
                <w:right w:val="none" w:sz="0" w:space="0" w:color="auto"/>
              </w:divBdr>
              <w:divsChild>
                <w:div w:id="8648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speciales.presidencia.gov.co/Documents/20170620-dejacion-armas/acuerdos/acuerdo-final-ingles.pdf" TargetMode="External"/><Relationship Id="rId2" Type="http://schemas.openxmlformats.org/officeDocument/2006/relationships/hyperlink" Target="http://www.southernafricalitigationcentre.org/wp-content/uploads/2017/08/Vusi-Pikoli-Affidavit-Simelane.pdf" TargetMode="External"/><Relationship Id="rId1" Type="http://schemas.openxmlformats.org/officeDocument/2006/relationships/hyperlink" Target="https://www.un.org/press/en/1998/19980901.sgsm6686.html" TargetMode="External"/><Relationship Id="rId4" Type="http://schemas.openxmlformats.org/officeDocument/2006/relationships/hyperlink" Target="http://dare.ubvu.vu.nl/handle/1871/55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CB94-70A7-4F40-9EB0-ACD834CA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34</Pages>
  <Words>10509</Words>
  <Characters>59906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Nouwen</dc:creator>
  <cp:keywords/>
  <dc:description/>
  <cp:lastModifiedBy>Sarah Nouwen</cp:lastModifiedBy>
  <cp:revision>5</cp:revision>
  <cp:lastPrinted>2018-07-15T10:42:00Z</cp:lastPrinted>
  <dcterms:created xsi:type="dcterms:W3CDTF">2018-08-13T11:18:00Z</dcterms:created>
  <dcterms:modified xsi:type="dcterms:W3CDTF">2018-08-19T20:13:00Z</dcterms:modified>
</cp:coreProperties>
</file>