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9139" w14:textId="64521CE5" w:rsidR="006A0E8A" w:rsidRPr="006A0E8A" w:rsidRDefault="006A0E8A" w:rsidP="006A0E8A">
      <w:pPr>
        <w:pStyle w:val="NormalWeb"/>
        <w:rPr>
          <w:rFonts w:ascii="Avenir Next" w:eastAsia="Arial Unicode MS" w:hAnsi="Avenir Next" w:cs="Arial Unicode MS"/>
        </w:rPr>
      </w:pPr>
      <w:r w:rsidRPr="006A0E8A">
        <w:rPr>
          <w:rFonts w:ascii="Avenir Next" w:eastAsia="Arial Unicode MS" w:hAnsi="Avenir Next" w:cs="Arial Unicode MS"/>
          <w:b/>
          <w:bCs/>
        </w:rPr>
        <w:t>Sovereign Equality as Misrecognition</w:t>
      </w:r>
    </w:p>
    <w:p w14:paraId="26EB44B1" w14:textId="4490EA3D" w:rsidR="006A0E8A" w:rsidRDefault="006A0E8A" w:rsidP="006A0E8A">
      <w:pPr>
        <w:pStyle w:val="NormalWeb"/>
        <w:suppressAutoHyphens/>
        <w:jc w:val="both"/>
        <w:rPr>
          <w:rFonts w:ascii="Avenir Next" w:eastAsia="Arial Unicode MS" w:hAnsi="Avenir Next" w:cs="Arial Unicode MS"/>
        </w:rPr>
      </w:pPr>
      <w:r>
        <w:rPr>
          <w:rFonts w:ascii="Avenir Next" w:eastAsia="Arial Unicode MS" w:hAnsi="Avenir Next" w:cs="Arial Unicode MS"/>
          <w:b/>
          <w:bCs/>
        </w:rPr>
        <w:t xml:space="preserve">Abstract: </w:t>
      </w:r>
      <w:r w:rsidRPr="006A0E8A">
        <w:rPr>
          <w:rFonts w:ascii="Avenir Next" w:eastAsia="Arial Unicode MS" w:hAnsi="Avenir Next" w:cs="Arial Unicode MS"/>
        </w:rPr>
        <w:t>This article makes two contributions. First, I argue that contrary what is usually assumed in the recognition literature, social hierarchies (as in the master-slave dynamic) are very stable. Though they are relationships of misrecognition, they nevertheless allow for the simulation of recognition and sovereignty for the master, and trap the slave in that role through stigmatisation. Second, I make a historical argument about the state and its role in recognition struggles. The modern state is unique historically in being tasked with solving the recognition problems of its citizens but at the same time it derives it</w:t>
      </w:r>
      <w:r>
        <w:rPr>
          <w:rFonts w:ascii="Avenir Next" w:eastAsia="Arial Unicode MS" w:hAnsi="Avenir Next" w:cs="Arial Unicode MS"/>
        </w:rPr>
        <w:t>s</w:t>
      </w:r>
      <w:r w:rsidRPr="006A0E8A">
        <w:rPr>
          <w:rFonts w:ascii="Avenir Next" w:eastAsia="Arial Unicode MS" w:hAnsi="Avenir Next" w:cs="Arial Unicode MS"/>
        </w:rPr>
        <w:t xml:space="preserve"> sovereignty from the recognition of those same citizens. There is an inherent tension between these two facts, which forces the modern state to turn increasingly outward for recognition. This is why the master-slave dynamic was increasingly projected onto the international stage from nineteenth century onwards and international recognition has come to play increasingly larger role in state sovereignty. This is also why social hierarchies came to dominate international politics around the same time, along with the norm of sovereign equality. </w:t>
      </w:r>
    </w:p>
    <w:p w14:paraId="6F0A8197" w14:textId="77777777" w:rsidR="006A0E8A" w:rsidRPr="006A0E8A" w:rsidRDefault="006A0E8A" w:rsidP="006A0E8A">
      <w:pPr>
        <w:pStyle w:val="NormalWeb"/>
        <w:suppressAutoHyphens/>
        <w:jc w:val="both"/>
        <w:rPr>
          <w:rFonts w:ascii="Avenir Next" w:eastAsia="Arial Unicode MS" w:hAnsi="Avenir Next" w:cs="Arial Unicode MS"/>
        </w:rPr>
      </w:pPr>
      <w:r>
        <w:rPr>
          <w:rFonts w:ascii="Avenir Next" w:eastAsia="Arial Unicode MS" w:hAnsi="Avenir Next" w:cs="Arial Unicode MS"/>
          <w:b/>
          <w:bCs/>
        </w:rPr>
        <w:t>Keywords</w:t>
      </w:r>
      <w:r>
        <w:rPr>
          <w:rFonts w:ascii="Avenir Next" w:eastAsia="Arial Unicode MS" w:hAnsi="Avenir Next" w:cs="Arial Unicode MS"/>
        </w:rPr>
        <w:t xml:space="preserve">: </w:t>
      </w:r>
      <w:r w:rsidRPr="006A0E8A">
        <w:rPr>
          <w:rFonts w:ascii="Avenir Next" w:eastAsia="Arial Unicode MS" w:hAnsi="Avenir Next" w:cs="Arial Unicode MS"/>
        </w:rPr>
        <w:t xml:space="preserve">Recognition, Sovereignty, History, Hierarchy </w:t>
      </w:r>
    </w:p>
    <w:p w14:paraId="73CE7021" w14:textId="424D27BE" w:rsidR="006A0E8A" w:rsidRPr="006A0E8A" w:rsidRDefault="006A0E8A" w:rsidP="006A0E8A">
      <w:pPr>
        <w:pStyle w:val="NormalWeb"/>
        <w:suppressAutoHyphens/>
        <w:jc w:val="both"/>
        <w:rPr>
          <w:rFonts w:ascii="Avenir Next" w:eastAsia="Arial Unicode MS" w:hAnsi="Avenir Next" w:cs="Arial Unicode MS"/>
        </w:rPr>
      </w:pPr>
      <w:r>
        <w:rPr>
          <w:rFonts w:ascii="Avenir Next" w:eastAsia="Arial Unicode MS" w:hAnsi="Avenir Next" w:cs="Arial Unicode MS"/>
          <w:b/>
          <w:bCs/>
        </w:rPr>
        <w:t>Author:</w:t>
      </w:r>
      <w:r>
        <w:rPr>
          <w:rFonts w:ascii="Avenir Next" w:eastAsia="Arial Unicode MS" w:hAnsi="Avenir Next" w:cs="Arial Unicode MS"/>
        </w:rPr>
        <w:t xml:space="preserve"> Ay</w:t>
      </w:r>
      <w:r>
        <w:rPr>
          <w:rFonts w:ascii="Avenir Next" w:eastAsia="Arial Unicode MS" w:hAnsi="Avenir Next" w:cs="Arial Unicode MS"/>
          <w:lang w:val="tr-TR"/>
        </w:rPr>
        <w:t>ş</w:t>
      </w:r>
      <w:r>
        <w:rPr>
          <w:rFonts w:ascii="Avenir Next" w:eastAsia="Arial Unicode MS" w:hAnsi="Avenir Next" w:cs="Arial Unicode MS"/>
        </w:rPr>
        <w:t xml:space="preserve">e Zarakol, University of Cambridge, POLIS, Alison Richard Building, 7 West Road, Cambridge, CB3 9DT, United Kingdom. </w:t>
      </w:r>
      <w:hyperlink r:id="rId7" w:history="1">
        <w:r w:rsidRPr="00FF4CBB">
          <w:rPr>
            <w:rStyle w:val="Hyperlink"/>
            <w:rFonts w:ascii="Avenir Next" w:eastAsia="Arial Unicode MS" w:hAnsi="Avenir Next" w:cs="Arial Unicode MS"/>
          </w:rPr>
          <w:t>az319@cam.ac.uk</w:t>
        </w:r>
      </w:hyperlink>
      <w:r>
        <w:rPr>
          <w:rFonts w:ascii="Avenir Next" w:eastAsia="Arial Unicode MS" w:hAnsi="Avenir Next" w:cs="Arial Unicode MS"/>
        </w:rPr>
        <w:t xml:space="preserve">  </w:t>
      </w:r>
    </w:p>
    <w:p w14:paraId="197C99E8" w14:textId="5FCE426E" w:rsidR="006A0E8A" w:rsidRDefault="006A0E8A">
      <w:pPr>
        <w:rPr>
          <w:rFonts w:ascii="Avenir Next" w:hAnsi="Avenir Next" w:cs="Arial Unicode MS"/>
          <w:b/>
          <w:bCs/>
          <w:color w:val="000000"/>
          <w:u w:color="000000"/>
          <w:lang w:val="en-GB" w:eastAsia="zh-CN"/>
        </w:rPr>
      </w:pPr>
      <w:r>
        <w:rPr>
          <w:rFonts w:ascii="Avenir Next" w:hAnsi="Avenir Next" w:cs="Arial Unicode MS"/>
        </w:rPr>
        <w:t>Ay</w:t>
      </w:r>
      <w:r>
        <w:rPr>
          <w:rFonts w:ascii="Avenir Next" w:hAnsi="Avenir Next" w:cs="Arial Unicode MS"/>
          <w:lang w:val="tr-TR"/>
        </w:rPr>
        <w:t>ş</w:t>
      </w:r>
      <w:r>
        <w:rPr>
          <w:rFonts w:ascii="Avenir Next" w:hAnsi="Avenir Next" w:cs="Arial Unicode MS"/>
        </w:rPr>
        <w:t>e Zarakol</w:t>
      </w:r>
      <w:r>
        <w:rPr>
          <w:rFonts w:ascii="Avenir Next" w:hAnsi="Avenir Next" w:cs="Arial Unicode MS"/>
        </w:rPr>
        <w:t xml:space="preserve"> is Reader in International Relations at the University of Cambridge and a Fellow at Emmanuel College. </w:t>
      </w:r>
      <w:bookmarkStart w:id="0" w:name="_GoBack"/>
      <w:bookmarkEnd w:id="0"/>
      <w:r>
        <w:rPr>
          <w:rFonts w:ascii="Avenir Next" w:hAnsi="Avenir Next" w:cs="Arial Unicode MS"/>
        </w:rPr>
        <w:t xml:space="preserve"> </w:t>
      </w:r>
      <w:r>
        <w:rPr>
          <w:b/>
          <w:bCs/>
        </w:rPr>
        <w:t xml:space="preserve"> </w:t>
      </w:r>
      <w:r>
        <w:rPr>
          <w:b/>
          <w:bCs/>
        </w:rPr>
        <w:br w:type="page"/>
      </w:r>
    </w:p>
    <w:p w14:paraId="5ACF1D41" w14:textId="76F46967" w:rsidR="00FE5238" w:rsidRPr="00674938" w:rsidRDefault="00F42C98" w:rsidP="00235C3A">
      <w:pPr>
        <w:pStyle w:val="Body"/>
        <w:suppressAutoHyphens/>
        <w:rPr>
          <w:b/>
          <w:bCs/>
        </w:rPr>
      </w:pPr>
      <w:r w:rsidRPr="00674938">
        <w:rPr>
          <w:b/>
          <w:bCs/>
        </w:rPr>
        <w:lastRenderedPageBreak/>
        <w:t>Sovereign Equality as Misrecognition</w:t>
      </w:r>
      <w:r w:rsidRPr="00674938">
        <w:rPr>
          <w:b/>
          <w:bCs/>
          <w:vertAlign w:val="superscript"/>
        </w:rPr>
        <w:footnoteReference w:id="2"/>
      </w:r>
      <w:r w:rsidRPr="00674938">
        <w:rPr>
          <w:b/>
          <w:bCs/>
        </w:rPr>
        <w:t xml:space="preserve"> </w:t>
      </w:r>
    </w:p>
    <w:p w14:paraId="56A22612" w14:textId="77777777" w:rsidR="00FE5238" w:rsidRPr="00674938" w:rsidRDefault="00FE5238" w:rsidP="00235C3A">
      <w:pPr>
        <w:pStyle w:val="Body"/>
        <w:suppressAutoHyphens/>
        <w:rPr>
          <w:b/>
          <w:bCs/>
        </w:rPr>
      </w:pPr>
    </w:p>
    <w:p w14:paraId="259B6A1D" w14:textId="1A39188E" w:rsidR="00FE5238" w:rsidRPr="00674938" w:rsidRDefault="00707BEC" w:rsidP="00235C3A">
      <w:pPr>
        <w:pStyle w:val="Body"/>
        <w:suppressAutoHyphens/>
      </w:pPr>
      <w:r>
        <w:t xml:space="preserve">Though it is traditional to assume that </w:t>
      </w:r>
      <w:r w:rsidR="002D278F">
        <w:t xml:space="preserve">it has its origins in the seventeenth century, </w:t>
      </w:r>
      <w:r w:rsidR="00F42C98" w:rsidRPr="00674938">
        <w:t>the modern international system has its real roots in the long nineteenth century.</w:t>
      </w:r>
      <w:r w:rsidR="00F42C98" w:rsidRPr="00674938">
        <w:rPr>
          <w:vertAlign w:val="superscript"/>
        </w:rPr>
        <w:footnoteReference w:id="3"/>
      </w:r>
      <w:r w:rsidR="00F42C98" w:rsidRPr="00674938">
        <w:t xml:space="preserve"> Economic and social hierarchies created by the nineteenth century conditions have proven surprisingly durable.</w:t>
      </w:r>
      <w:r w:rsidR="00F42C98" w:rsidRPr="00674938">
        <w:rPr>
          <w:vertAlign w:val="superscript"/>
        </w:rPr>
        <w:footnoteReference w:id="4"/>
      </w:r>
      <w:r w:rsidR="00674938" w:rsidRPr="00674938">
        <w:t xml:space="preserve"> Even as </w:t>
      </w:r>
      <w:r w:rsidR="00F42C98" w:rsidRPr="00674938">
        <w:t>great powers have changed, the ‘West’</w:t>
      </w:r>
      <w:r w:rsidR="000F463A">
        <w:t xml:space="preserve"> -- </w:t>
      </w:r>
      <w:r w:rsidR="00283175">
        <w:t>elevated to an undeniable position of material power vis-à-vis the non-West in the nineteenth century</w:t>
      </w:r>
      <w:r w:rsidR="000F463A">
        <w:t xml:space="preserve"> -- </w:t>
      </w:r>
      <w:r w:rsidR="00283175">
        <w:t>has</w:t>
      </w:r>
      <w:r w:rsidR="00F42C98" w:rsidRPr="00674938">
        <w:t xml:space="preserve"> remained at the </w:t>
      </w:r>
      <w:r w:rsidR="00283175">
        <w:t xml:space="preserve">political, economic and social </w:t>
      </w:r>
      <w:r w:rsidR="00F42C98" w:rsidRPr="00674938">
        <w:t>core of the</w:t>
      </w:r>
      <w:r w:rsidR="00283175">
        <w:t xml:space="preserve"> modern</w:t>
      </w:r>
      <w:r w:rsidR="00F42C98" w:rsidRPr="00674938">
        <w:t xml:space="preserve"> system throughout the twentieth century, if not</w:t>
      </w:r>
      <w:r w:rsidR="00674938" w:rsidRPr="00674938">
        <w:t xml:space="preserve"> into</w:t>
      </w:r>
      <w:r w:rsidR="00F42C98" w:rsidRPr="00674938">
        <w:t xml:space="preserve"> the twenty-first. This is not to say that there have been no ch</w:t>
      </w:r>
      <w:r w:rsidR="00283175">
        <w:t>anges in the system since then</w:t>
      </w:r>
      <w:r w:rsidR="00F42C98" w:rsidRPr="00674938">
        <w:t>: the way hierarchies manifest in the international system has varied considerably.</w:t>
      </w:r>
      <w:r w:rsidR="00F42C98" w:rsidRPr="00674938">
        <w:rPr>
          <w:vertAlign w:val="superscript"/>
        </w:rPr>
        <w:footnoteReference w:id="5"/>
      </w:r>
      <w:r w:rsidR="00F42C98" w:rsidRPr="00674938">
        <w:t xml:space="preserve"> In the nineteenth century, </w:t>
      </w:r>
      <w:r w:rsidR="00283175">
        <w:t xml:space="preserve">political, </w:t>
      </w:r>
      <w:r w:rsidR="00F42C98" w:rsidRPr="00674938">
        <w:t xml:space="preserve">economic and social hierarchies were openly acknowledged, morally defended, and explicitly codified into legal arrangements and treaties, underwritten by the so-called ‘Standard of Civilisation’, which divided the world into ‘civilised’, ‘barbarous’ and ‘savage’ spheres, with corresponding </w:t>
      </w:r>
      <w:r w:rsidR="00F42C98" w:rsidRPr="00674938">
        <w:lastRenderedPageBreak/>
        <w:t>degrees of legal ‘recognition’ from European states, ranging from full to none.</w:t>
      </w:r>
      <w:r w:rsidR="00F42C98" w:rsidRPr="00674938">
        <w:rPr>
          <w:vertAlign w:val="superscript"/>
        </w:rPr>
        <w:footnoteReference w:id="6"/>
      </w:r>
      <w:r w:rsidR="00F42C98" w:rsidRPr="00674938">
        <w:t xml:space="preserve"> Some of these arrangements persisted into the twentieth century, sometimes in modified form as in the League of Nations mandate system,</w:t>
      </w:r>
      <w:r w:rsidR="00F42C98" w:rsidRPr="00674938">
        <w:rPr>
          <w:vertAlign w:val="superscript"/>
        </w:rPr>
        <w:footnoteReference w:id="7"/>
      </w:r>
      <w:r w:rsidR="00F42C98" w:rsidRPr="00674938">
        <w:t xml:space="preserve"> but one of the more radical developments of the twentieth century was the spread and legal acknowledgement of notions such as self-determination and sovereign equality, which undercut the legitimacy of such explicitly hierarchical legal arrangements within the international system.</w:t>
      </w:r>
      <w:r w:rsidR="00F42C98" w:rsidRPr="00674938">
        <w:rPr>
          <w:vertAlign w:val="superscript"/>
        </w:rPr>
        <w:footnoteReference w:id="8"/>
      </w:r>
      <w:r w:rsidR="00F42C98" w:rsidRPr="00674938">
        <w:t xml:space="preserve"> Territories and peoples previously deprived of legal recognition altogether or were given only p</w:t>
      </w:r>
      <w:r w:rsidR="00847896">
        <w:t xml:space="preserve">artial legal recognition—because </w:t>
      </w:r>
      <w:r w:rsidR="00F42C98" w:rsidRPr="00674938">
        <w:t>they were consi</w:t>
      </w:r>
      <w:r w:rsidR="00847896">
        <w:t>dered to be savage or barbarous—</w:t>
      </w:r>
      <w:r w:rsidR="00F42C98" w:rsidRPr="00674938">
        <w:t>were gradually</w:t>
      </w:r>
      <w:r w:rsidR="00761B6E">
        <w:t xml:space="preserve"> (and after much bloodshed)</w:t>
      </w:r>
      <w:r w:rsidR="00F42C98" w:rsidRPr="00674938">
        <w:t xml:space="preserve"> recognised</w:t>
      </w:r>
      <w:r w:rsidR="00847896">
        <w:t xml:space="preserve"> </w:t>
      </w:r>
      <w:r w:rsidR="00847896" w:rsidRPr="00674938">
        <w:t>in the twentieth century</w:t>
      </w:r>
      <w:r w:rsidR="00F42C98" w:rsidRPr="00674938">
        <w:t xml:space="preserve"> as having their own sovereign states</w:t>
      </w:r>
      <w:r w:rsidR="00847896">
        <w:t xml:space="preserve"> </w:t>
      </w:r>
      <w:r w:rsidR="00F42C98" w:rsidRPr="00674938">
        <w:t>. Now international law</w:t>
      </w:r>
      <w:r w:rsidR="000F463A">
        <w:rPr>
          <w:rStyle w:val="FootnoteReference"/>
        </w:rPr>
        <w:footnoteReference w:id="9"/>
      </w:r>
      <w:r w:rsidR="00F42C98" w:rsidRPr="00674938">
        <w:t xml:space="preserve"> operates on the principle that ‘all sovereign states are equal.’</w:t>
      </w:r>
      <w:r w:rsidR="00F42C98" w:rsidRPr="00674938">
        <w:rPr>
          <w:vertAlign w:val="superscript"/>
        </w:rPr>
        <w:footnoteReference w:id="10"/>
      </w:r>
    </w:p>
    <w:p w14:paraId="5642B1C0" w14:textId="039A70D4" w:rsidR="00FE5238" w:rsidRPr="00674938" w:rsidRDefault="00F42C98" w:rsidP="00235C3A">
      <w:pPr>
        <w:pStyle w:val="Body"/>
        <w:suppressAutoHyphens/>
        <w:ind w:firstLine="432"/>
      </w:pPr>
      <w:r w:rsidRPr="00674938">
        <w:lastRenderedPageBreak/>
        <w:t xml:space="preserve">As far as much of the International Relations (IR) literature is concerned, this is where the discipline’s concern with the </w:t>
      </w:r>
      <w:r w:rsidRPr="00257FD7">
        <w:rPr>
          <w:u w:val="single"/>
        </w:rPr>
        <w:t>history</w:t>
      </w:r>
      <w:r w:rsidRPr="00674938">
        <w:t xml:space="preserve"> of recognition ends. </w:t>
      </w:r>
      <w:r w:rsidR="001030B5">
        <w:t>Until recently,</w:t>
      </w:r>
      <w:r w:rsidR="001030B5">
        <w:rPr>
          <w:rStyle w:val="FootnoteReference"/>
          <w:i/>
          <w:iCs/>
        </w:rPr>
        <w:footnoteReference w:id="11"/>
      </w:r>
      <w:r w:rsidR="001030B5" w:rsidRPr="00674938">
        <w:t xml:space="preserve"> </w:t>
      </w:r>
      <w:r w:rsidR="001030B5">
        <w:t xml:space="preserve"> t</w:t>
      </w:r>
      <w:r w:rsidRPr="00674938">
        <w:t xml:space="preserve">he concept of recognition </w:t>
      </w:r>
      <w:r w:rsidR="001030B5">
        <w:t xml:space="preserve">was </w:t>
      </w:r>
      <w:r w:rsidRPr="00674938">
        <w:t xml:space="preserve">not </w:t>
      </w:r>
      <w:r w:rsidRPr="00674938">
        <w:rPr>
          <w:i/>
          <w:iCs/>
        </w:rPr>
        <w:t>usually</w:t>
      </w:r>
      <w:r w:rsidR="001030B5">
        <w:rPr>
          <w:i/>
          <w:iCs/>
        </w:rPr>
        <w:t xml:space="preserve"> </w:t>
      </w:r>
      <w:r w:rsidRPr="00674938">
        <w:t>probed in</w:t>
      </w:r>
      <w:r w:rsidR="00994C04">
        <w:t xml:space="preserve"> traditional</w:t>
      </w:r>
      <w:r w:rsidRPr="00674938">
        <w:t xml:space="preserve"> IR beyond an absence/presence dimension in the narrow legal sense.</w:t>
      </w:r>
      <w:r w:rsidRPr="00674938">
        <w:rPr>
          <w:vertAlign w:val="superscript"/>
        </w:rPr>
        <w:footnoteReference w:id="12"/>
      </w:r>
      <w:r w:rsidRPr="00674938">
        <w:t xml:space="preserve"> A state is either recognised as sovereign or it is not. If it is recognised, one may further ask by whom (</w:t>
      </w:r>
      <w:r w:rsidRPr="00674938">
        <w:rPr>
          <w:i/>
          <w:iCs/>
        </w:rPr>
        <w:t xml:space="preserve">de facto </w:t>
      </w:r>
      <w:r w:rsidRPr="00674938">
        <w:t xml:space="preserve">or </w:t>
      </w:r>
      <w:r w:rsidRPr="00674938">
        <w:rPr>
          <w:i/>
          <w:iCs/>
        </w:rPr>
        <w:t>de jure</w:t>
      </w:r>
      <w:r w:rsidRPr="00674938">
        <w:t xml:space="preserve">), but if a state ticks both boxes, there is nothing more to empirically probe from a ‘recognition’ angle. </w:t>
      </w:r>
      <w:r w:rsidR="002870DB">
        <w:t>On the other hand, there has also</w:t>
      </w:r>
      <w:r w:rsidRPr="00674938">
        <w:t xml:space="preserve"> </w:t>
      </w:r>
      <w:r w:rsidR="002870DB">
        <w:t>developed</w:t>
      </w:r>
      <w:r w:rsidRPr="00674938">
        <w:t xml:space="preserve"> in IR</w:t>
      </w:r>
      <w:r w:rsidR="002870DB">
        <w:t xml:space="preserve"> a </w:t>
      </w:r>
      <w:r w:rsidR="00994C04">
        <w:t xml:space="preserve">parallel </w:t>
      </w:r>
      <w:r w:rsidR="002870DB">
        <w:t>scholarship</w:t>
      </w:r>
      <w:r w:rsidRPr="00674938">
        <w:t xml:space="preserve"> that </w:t>
      </w:r>
      <w:r w:rsidR="002870DB">
        <w:t>has acknowledged</w:t>
      </w:r>
      <w:r w:rsidR="00994C04">
        <w:t xml:space="preserve"> (in a more critical vein)</w:t>
      </w:r>
      <w:r w:rsidR="002870DB">
        <w:t xml:space="preserve"> </w:t>
      </w:r>
      <w:r w:rsidRPr="00674938">
        <w:t>that recognition could be understood much more broadly, as a vital human need to be known, to be a</w:t>
      </w:r>
      <w:r w:rsidR="002870DB">
        <w:t>ffirmed</w:t>
      </w:r>
      <w:r w:rsidRPr="00674938">
        <w:t>, to be recognised for who we are. Works in IR that have drawn attention to status-seeking, social stratification or practices of exclusion usually operate, at least implicitly, with this second understanding of recognition,</w:t>
      </w:r>
      <w:r w:rsidRPr="00674938">
        <w:rPr>
          <w:vertAlign w:val="superscript"/>
        </w:rPr>
        <w:footnoteReference w:id="13"/>
      </w:r>
      <w:r w:rsidRPr="00674938">
        <w:t xml:space="preserve"> </w:t>
      </w:r>
      <w:r w:rsidRPr="00674938">
        <w:lastRenderedPageBreak/>
        <w:t>which</w:t>
      </w:r>
      <w:r w:rsidR="002870DB">
        <w:t xml:space="preserve"> at first glance</w:t>
      </w:r>
      <w:r w:rsidRPr="00674938">
        <w:t xml:space="preserve"> seems to have little to do with the legal understanding </w:t>
      </w:r>
      <w:r w:rsidR="002870DB">
        <w:t>of recognition.</w:t>
      </w:r>
    </w:p>
    <w:p w14:paraId="2F5E9214" w14:textId="274CECF2" w:rsidR="00FE5238" w:rsidRPr="00674938" w:rsidRDefault="00F42C98" w:rsidP="00235C3A">
      <w:pPr>
        <w:pStyle w:val="Body"/>
        <w:suppressAutoHyphens/>
        <w:ind w:firstLine="432"/>
      </w:pPr>
      <w:r w:rsidRPr="00674938">
        <w:t>Put another way, IR has understood the concept of recognition in two different ways, with obvious implications for how it is problematised and studied. Let’s call the first</w:t>
      </w:r>
      <w:r w:rsidR="002870DB">
        <w:t xml:space="preserve"> understanding</w:t>
      </w:r>
      <w:r w:rsidRPr="00674938">
        <w:t xml:space="preserve"> </w:t>
      </w:r>
      <w:r w:rsidRPr="00674938">
        <w:rPr>
          <w:i/>
          <w:iCs/>
        </w:rPr>
        <w:t>legal recognition</w:t>
      </w:r>
      <w:r w:rsidRPr="00674938">
        <w:t xml:space="preserve"> and the second </w:t>
      </w:r>
      <w:r w:rsidRPr="00674938">
        <w:rPr>
          <w:i/>
          <w:iCs/>
        </w:rPr>
        <w:t>existential recognition</w:t>
      </w:r>
      <w:r w:rsidRPr="00674938">
        <w:t>.</w:t>
      </w:r>
      <w:r w:rsidR="003036AE">
        <w:rPr>
          <w:rStyle w:val="FootnoteReference"/>
        </w:rPr>
        <w:footnoteReference w:id="14"/>
      </w:r>
      <w:r w:rsidRPr="00674938">
        <w:t xml:space="preserve"> In the first, thin, legal sense, recognition is mostly a problem only for those groups that seek statehood but have not yet achieved it. Gaining legal sovereignty solves recognition problems thus understood. In the second, thick, existential sense, all actors, including sovereign states, are understood to be motivated by their aspirations for recognition. This literature does not view legal sovereignty as meeting the innate need for recognition; rather, legal recognition of sovereignty factors at best as a prerequisite for agency. In most</w:t>
      </w:r>
      <w:r w:rsidRPr="00674938">
        <w:rPr>
          <w:vertAlign w:val="superscript"/>
        </w:rPr>
        <w:footnoteReference w:id="15"/>
      </w:r>
      <w:r w:rsidRPr="00674938">
        <w:t xml:space="preserve"> of these studies, actors that seek recognition in the broad sense are states already recognised as sovereign in the narrow sense.</w:t>
      </w:r>
      <w:r w:rsidRPr="00674938">
        <w:rPr>
          <w:vertAlign w:val="superscript"/>
        </w:rPr>
        <w:footnoteReference w:id="16"/>
      </w:r>
      <w:r w:rsidRPr="00674938">
        <w:t xml:space="preserve"> Yet this literature does not explain why states </w:t>
      </w:r>
      <w:r w:rsidR="002870DB">
        <w:t xml:space="preserve">in particular </w:t>
      </w:r>
      <w:r w:rsidRPr="00674938">
        <w:t>are motivated by recognition in the first place</w:t>
      </w:r>
      <w:r w:rsidRPr="00674938">
        <w:rPr>
          <w:vertAlign w:val="superscript"/>
        </w:rPr>
        <w:footnoteReference w:id="17"/>
      </w:r>
      <w:r w:rsidRPr="00674938">
        <w:t xml:space="preserve"> and why that aspiration is not met with achievement of legal equal recognition, as both traditional IR (and the neo-Hegelian </w:t>
      </w:r>
      <w:r w:rsidRPr="00674938">
        <w:lastRenderedPageBreak/>
        <w:t>literature</w:t>
      </w:r>
      <w:r w:rsidRPr="00674938">
        <w:rPr>
          <w:vertAlign w:val="superscript"/>
        </w:rPr>
        <w:footnoteReference w:id="18"/>
      </w:r>
      <w:r w:rsidRPr="00674938">
        <w:t xml:space="preserve"> on the domestic politics of recognition) largely assumes.</w:t>
      </w:r>
      <w:r w:rsidR="007440A3">
        <w:t xml:space="preserve"> </w:t>
      </w:r>
      <w:r w:rsidRPr="00674938">
        <w:t>What is not well-scrutinised</w:t>
      </w:r>
      <w:r w:rsidR="002870DB">
        <w:t>, in other words,</w:t>
      </w:r>
      <w:r w:rsidRPr="00674938">
        <w:t xml:space="preserve"> is the relationship between the two sides of recognition in international relations, i.e. narrow-broad; thin-thick; legal-existential. Because recognition is understood so differently in these two strands of the literature, it may be assumed at first glance that mechanisms for legal recognition and existential recognition operate entirely autonomously from each other, and the seeming link between the two sides of recognition is merely a semantic confusion. </w:t>
      </w:r>
      <w:r w:rsidR="00994C04">
        <w:t>T</w:t>
      </w:r>
      <w:r w:rsidRPr="00674938">
        <w:t xml:space="preserve">his assumption </w:t>
      </w:r>
      <w:r w:rsidR="00994C04">
        <w:t>would be</w:t>
      </w:r>
      <w:r w:rsidRPr="00674938">
        <w:t xml:space="preserve"> misplaced. In this article, I argue that sovereign equality (legal recognition) itself is actually a type of misrecognition, if recognition is more broadly understood (as existential recognition). </w:t>
      </w:r>
    </w:p>
    <w:p w14:paraId="5A16CA61" w14:textId="6903F44B" w:rsidR="00FE5238" w:rsidRPr="00674938" w:rsidRDefault="00F733FA" w:rsidP="00235C3A">
      <w:pPr>
        <w:pStyle w:val="Body"/>
        <w:suppressAutoHyphens/>
        <w:ind w:firstLine="432"/>
      </w:pPr>
      <w:r>
        <w:t>In line with the rest of this issue, I understand ‘misrecognition’ as ‘the structural impossibility of actors being recognised in the ways they want to be’.</w:t>
      </w:r>
      <w:r>
        <w:rPr>
          <w:rStyle w:val="FootnoteReference"/>
        </w:rPr>
        <w:footnoteReference w:id="19"/>
      </w:r>
      <w:r>
        <w:t xml:space="preserve"> </w:t>
      </w:r>
      <w:r w:rsidR="00F42C98" w:rsidRPr="00674938">
        <w:t xml:space="preserve">I agree with the authors of the introduction that the Hegelian figuration is a basic archetype to which most—if not all—hierarchical social relationships can be productively reduced. However, in that reduction lurks also the danger of flattening the differences between different types of hierarchies and losing </w:t>
      </w:r>
      <w:r w:rsidR="00E56E76">
        <w:t xml:space="preserve">a degree of </w:t>
      </w:r>
      <w:r w:rsidR="00F42C98" w:rsidRPr="00674938">
        <w:t>analytical purchase. It is important, therefore, to establish how (and to what extent) various hierarchical forms — e.g. domestic vs. international — conform to or deviate from the basic Hegelian archetype.</w:t>
      </w:r>
    </w:p>
    <w:p w14:paraId="375EBF29" w14:textId="382DD472" w:rsidR="00FE5238" w:rsidRPr="00674938" w:rsidRDefault="00F42C98" w:rsidP="00235C3A">
      <w:pPr>
        <w:pStyle w:val="Body"/>
        <w:suppressAutoHyphens/>
        <w:ind w:firstLine="432"/>
      </w:pPr>
      <w:r w:rsidRPr="00674938">
        <w:t xml:space="preserve">Understood from this perspective, then, it could be argued that legal sovereign equality is not just an ordinary case of misrecognition (as all attempts at recognition </w:t>
      </w:r>
      <w:r w:rsidRPr="00674938">
        <w:lastRenderedPageBreak/>
        <w:t>are), but something even more than that. Not only has the dissemination of the sovereign equality norm failed to solve recognition problems in the broad sense, it has helped perpetuate them and may in fact be instrumental to their perpetuation. This critique has already been levelled at champions of equal legal recognition norms within the domestic sphere,</w:t>
      </w:r>
      <w:r w:rsidRPr="00674938">
        <w:rPr>
          <w:vertAlign w:val="superscript"/>
        </w:rPr>
        <w:footnoteReference w:id="20"/>
      </w:r>
      <w:r w:rsidRPr="00674938">
        <w:t xml:space="preserve"> but despite the obvious parallels between the notions of individual rights (or equal citizenship) and sovereign rights (or sovereign equality), the relationship of legal sovereign recognition to problems of international misrecognition in the broad sense has not been explored. Therefore, this article is concerned with delineating the </w:t>
      </w:r>
      <w:r w:rsidR="007440A3">
        <w:t>reasons why</w:t>
      </w:r>
      <w:r w:rsidRPr="00674938">
        <w:t xml:space="preserve"> (legal) sovereign recognition produces and reproduces (existential) misrecognition in the international system. </w:t>
      </w:r>
    </w:p>
    <w:p w14:paraId="5A7E1BC4" w14:textId="02C52A16" w:rsidR="00911593" w:rsidRDefault="00F42C98" w:rsidP="00235C3A">
      <w:pPr>
        <w:pStyle w:val="Body"/>
        <w:suppressAutoHyphens/>
        <w:ind w:firstLine="432"/>
      </w:pPr>
      <w:r w:rsidRPr="00674938">
        <w:t>This article proceeds in three sections. First, building on Patchen Markell’s work</w:t>
      </w:r>
      <w:r w:rsidR="00E56E76">
        <w:t xml:space="preserve"> in the political theory of recognition</w:t>
      </w:r>
      <w:r w:rsidRPr="00674938">
        <w:t>,</w:t>
      </w:r>
      <w:r w:rsidR="00E56E76">
        <w:rPr>
          <w:rStyle w:val="FootnoteReference"/>
        </w:rPr>
        <w:footnoteReference w:id="21"/>
      </w:r>
      <w:r w:rsidRPr="00674938">
        <w:t xml:space="preserve"> I advance a particular reading of the Hegelian master-slave recognition dynamic that draws attention to the durability of such </w:t>
      </w:r>
      <w:r w:rsidR="00761B6E">
        <w:t xml:space="preserve">hierarchical </w:t>
      </w:r>
      <w:r w:rsidRPr="00674938">
        <w:t>arrangemen</w:t>
      </w:r>
      <w:r w:rsidR="00761B6E">
        <w:t xml:space="preserve">ts. This reading </w:t>
      </w:r>
      <w:r w:rsidRPr="00674938">
        <w:t>rejects the notion that recognition is an achievable goal</w:t>
      </w:r>
      <w:r w:rsidR="00880DC0">
        <w:t xml:space="preserve"> on any level of politics, domestic or international</w:t>
      </w:r>
      <w:r w:rsidRPr="00674938">
        <w:t>, either through the master-slave dynamic or by ‘the master’ extending equal recognition to ‘the slave’</w:t>
      </w:r>
      <w:r w:rsidR="00880DC0">
        <w:t xml:space="preserve">. What I am especially interested in, </w:t>
      </w:r>
      <w:r w:rsidRPr="00674938">
        <w:t>however, is in explaining why master-slave hierarchies persist despite their inherent inability to provide the recognition that the actors sought in the first place. I argue that the master-slave dynamic is durable because it allows for the master to simulate sovereignty, or to have the image of sovereignty, even as they fail to achieve the real thing.</w:t>
      </w:r>
      <w:r w:rsidR="00880DC0">
        <w:rPr>
          <w:rStyle w:val="FootnoteReference"/>
        </w:rPr>
        <w:footnoteReference w:id="22"/>
      </w:r>
      <w:r w:rsidRPr="00674938">
        <w:t xml:space="preserve"> This is what turns the </w:t>
      </w:r>
      <w:r w:rsidRPr="00674938">
        <w:lastRenderedPageBreak/>
        <w:t xml:space="preserve">momentary struggle for recognition into a social structure of domination in which roles are internalised and come to be seen as natural by both sides of the relationship. </w:t>
      </w:r>
      <w:r w:rsidR="00122B5E">
        <w:t>This is the first main contribution of this article.</w:t>
      </w:r>
    </w:p>
    <w:p w14:paraId="14FA98FA" w14:textId="484E8667" w:rsidR="00B302D2" w:rsidRDefault="00F42C98" w:rsidP="00235C3A">
      <w:pPr>
        <w:pStyle w:val="Body"/>
        <w:suppressAutoHyphens/>
        <w:ind w:firstLine="432"/>
      </w:pPr>
      <w:r w:rsidRPr="00674938">
        <w:t>In the second section, I consider the role the modern state plays in the pursuit of sovereignty.  In order to understand how the master-slave recognition dynamic translates into international relations and how it interacts with the aforementioned categories of narrow</w:t>
      </w:r>
      <w:r w:rsidR="00911593">
        <w:t xml:space="preserve"> (legal)</w:t>
      </w:r>
      <w:r w:rsidRPr="00674938">
        <w:t xml:space="preserve"> and broad</w:t>
      </w:r>
      <w:r w:rsidR="00911593">
        <w:t xml:space="preserve"> (existential)</w:t>
      </w:r>
      <w:r w:rsidRPr="00674938">
        <w:t xml:space="preserve"> pursuit of recognition in world politics, we must first locate the state properly in the recognition field. I argue in this section </w:t>
      </w:r>
      <w:r w:rsidR="007440A3">
        <w:t xml:space="preserve">that the </w:t>
      </w:r>
      <w:r w:rsidR="007440A3" w:rsidRPr="007440A3">
        <w:rPr>
          <w:i/>
          <w:iCs/>
        </w:rPr>
        <w:t>modern</w:t>
      </w:r>
      <w:r w:rsidR="007440A3">
        <w:t xml:space="preserve"> state, unusually</w:t>
      </w:r>
      <w:r w:rsidR="00B302D2">
        <w:t xml:space="preserve"> for polities across history</w:t>
      </w:r>
      <w:r w:rsidRPr="00674938">
        <w:t xml:space="preserve">, has the dual task of providing sovereignty </w:t>
      </w:r>
      <w:r w:rsidRPr="00674938">
        <w:rPr>
          <w:i/>
          <w:iCs/>
        </w:rPr>
        <w:t xml:space="preserve">for </w:t>
      </w:r>
      <w:r w:rsidRPr="00674938">
        <w:t xml:space="preserve">its citizens while also being sovereign </w:t>
      </w:r>
      <w:r w:rsidRPr="00674938">
        <w:rPr>
          <w:i/>
          <w:iCs/>
        </w:rPr>
        <w:t>over</w:t>
      </w:r>
      <w:r w:rsidRPr="00674938">
        <w:t xml:space="preserve"> its citizens. </w:t>
      </w:r>
      <w:r w:rsidR="003C0BD0">
        <w:t>In other words, the modern state has</w:t>
      </w:r>
      <w:r w:rsidR="001907A5">
        <w:t xml:space="preserve"> to</w:t>
      </w:r>
      <w:r w:rsidR="003C0BD0">
        <w:t xml:space="preserve"> help individuals feel recognised, i.e. </w:t>
      </w:r>
      <w:r w:rsidR="001907A5">
        <w:t xml:space="preserve">as </w:t>
      </w:r>
      <w:r w:rsidR="003C0BD0">
        <w:t>sovereign, in the world</w:t>
      </w:r>
      <w:r w:rsidR="00F77AA0">
        <w:t xml:space="preserve">, while it </w:t>
      </w:r>
      <w:r w:rsidR="003C0BD0">
        <w:t xml:space="preserve">also itself </w:t>
      </w:r>
      <w:r w:rsidR="001907A5">
        <w:t xml:space="preserve">demands to be </w:t>
      </w:r>
      <w:r w:rsidR="003C0BD0">
        <w:t xml:space="preserve">recognised as sovereign over individuals. </w:t>
      </w:r>
      <w:r w:rsidRPr="00674938">
        <w:t>The inherent un-achievability of these</w:t>
      </w:r>
      <w:r w:rsidR="003C0BD0">
        <w:t xml:space="preserve"> dual</w:t>
      </w:r>
      <w:r w:rsidRPr="00674938">
        <w:t xml:space="preserve"> tasks</w:t>
      </w:r>
      <w:r w:rsidR="003C0BD0">
        <w:t xml:space="preserve"> in a universe </w:t>
      </w:r>
      <w:r w:rsidR="005A747E">
        <w:t xml:space="preserve">solely </w:t>
      </w:r>
      <w:r w:rsidR="003C0BD0">
        <w:t>of their own</w:t>
      </w:r>
      <w:r w:rsidR="00122B5E">
        <w:t xml:space="preserve"> – i.e. the state-citizen relationship – </w:t>
      </w:r>
      <w:r w:rsidRPr="00674938">
        <w:t>is what projects the master-slave dynamic to the international stage</w:t>
      </w:r>
      <w:r w:rsidR="007440A3">
        <w:t xml:space="preserve">. </w:t>
      </w:r>
    </w:p>
    <w:p w14:paraId="48D84C27" w14:textId="098C2A2B" w:rsidR="00FE5238" w:rsidRDefault="00F42C98" w:rsidP="00235C3A">
      <w:pPr>
        <w:pStyle w:val="Body"/>
        <w:suppressAutoHyphens/>
        <w:ind w:firstLine="432"/>
      </w:pPr>
      <w:r w:rsidRPr="00674938">
        <w:t>The third section th</w:t>
      </w:r>
      <w:r w:rsidR="007440A3">
        <w:t>en</w:t>
      </w:r>
      <w:r w:rsidRPr="00674938">
        <w:t xml:space="preserve"> argues that the nearly simultaneous emergence of the nation-state form and preoccupation with external recognition of sovereignty is not a coincidence, and that there is something very </w:t>
      </w:r>
      <w:r w:rsidRPr="007440A3">
        <w:rPr>
          <w:i/>
          <w:iCs/>
        </w:rPr>
        <w:t>modern</w:t>
      </w:r>
      <w:r w:rsidRPr="00674938">
        <w:t xml:space="preserve"> </w:t>
      </w:r>
      <w:r w:rsidR="007440A3">
        <w:t xml:space="preserve">also </w:t>
      </w:r>
      <w:r w:rsidRPr="00674938">
        <w:t xml:space="preserve">about the internationalisation of the ‘politics of recognition.’ </w:t>
      </w:r>
      <w:r w:rsidR="007F42B9">
        <w:t>Because t</w:t>
      </w:r>
      <w:r w:rsidR="001907A5">
        <w:t>he modern state is tasked with solving the recognition problem of its citizens by being sovereign for all of them</w:t>
      </w:r>
      <w:r w:rsidR="007F42B9">
        <w:t>, but cannot derive that power just from the recognition of the same citizens whose recognition problems the state is tasked with solving,</w:t>
      </w:r>
      <w:r w:rsidR="001907A5">
        <w:t xml:space="preserve"> </w:t>
      </w:r>
      <w:r w:rsidR="007F42B9" w:rsidRPr="00674938">
        <w:t>the modern sta</w:t>
      </w:r>
      <w:r w:rsidR="007F42B9">
        <w:t>te’s pursuit of recognition</w:t>
      </w:r>
      <w:r w:rsidR="00F77AA0">
        <w:t xml:space="preserve"> increasingly</w:t>
      </w:r>
      <w:r w:rsidR="007F42B9" w:rsidRPr="00674938">
        <w:t xml:space="preserve"> turns </w:t>
      </w:r>
      <w:r w:rsidR="007F42B9">
        <w:t>to the external world after</w:t>
      </w:r>
      <w:r w:rsidR="001907A5">
        <w:t xml:space="preserve"> </w:t>
      </w:r>
      <w:r w:rsidR="007F42B9">
        <w:t>the nineteenth century.</w:t>
      </w:r>
      <w:r w:rsidR="00122B5E">
        <w:t xml:space="preserve"> This is the second main contribution.</w:t>
      </w:r>
      <w:r w:rsidR="007F42B9">
        <w:t xml:space="preserve"> </w:t>
      </w:r>
      <w:r w:rsidRPr="00674938">
        <w:t xml:space="preserve">I conclude with a discussion of how the sovereign equality norm has trapped all international actors in a futile ‘politics of recognition’ in the </w:t>
      </w:r>
      <w:r w:rsidR="001724F0" w:rsidRPr="00674938">
        <w:t>twentieth century</w:t>
      </w:r>
      <w:r w:rsidRPr="00674938">
        <w:t xml:space="preserve"> and speculate</w:t>
      </w:r>
      <w:r w:rsidR="007440A3">
        <w:t xml:space="preserve"> briefly</w:t>
      </w:r>
      <w:r w:rsidRPr="00674938">
        <w:t xml:space="preserve"> as to whether a different kind of politics is possible in the twenty-first century. </w:t>
      </w:r>
    </w:p>
    <w:p w14:paraId="6ECA1A86" w14:textId="77777777" w:rsidR="00F733FA" w:rsidRPr="00674938" w:rsidRDefault="00F733FA" w:rsidP="00235C3A">
      <w:pPr>
        <w:pStyle w:val="Body"/>
        <w:suppressAutoHyphens/>
      </w:pPr>
    </w:p>
    <w:p w14:paraId="4FEDF4F9" w14:textId="77777777" w:rsidR="00FE5238" w:rsidRPr="00674938" w:rsidRDefault="00F42C98" w:rsidP="00235C3A">
      <w:pPr>
        <w:pStyle w:val="Body"/>
        <w:suppressAutoHyphens/>
        <w:rPr>
          <w:b/>
          <w:bCs/>
        </w:rPr>
      </w:pPr>
      <w:r w:rsidRPr="00674938">
        <w:rPr>
          <w:b/>
          <w:bCs/>
        </w:rPr>
        <w:lastRenderedPageBreak/>
        <w:t>I. Why the ‘Struggle for Recognition’</w:t>
      </w:r>
      <w:r w:rsidRPr="00674938">
        <w:rPr>
          <w:b/>
          <w:bCs/>
          <w:vertAlign w:val="superscript"/>
        </w:rPr>
        <w:footnoteReference w:id="23"/>
      </w:r>
      <w:r w:rsidRPr="00674938">
        <w:rPr>
          <w:b/>
          <w:bCs/>
        </w:rPr>
        <w:t>?</w:t>
      </w:r>
    </w:p>
    <w:p w14:paraId="76DBC9DF" w14:textId="191192A1" w:rsidR="00FE5238" w:rsidRPr="00674938" w:rsidRDefault="00F42C98" w:rsidP="00235C3A">
      <w:pPr>
        <w:pStyle w:val="Body"/>
        <w:suppressAutoHyphens/>
      </w:pPr>
      <w:r w:rsidRPr="00674938">
        <w:t>The desire for recognition is a desire for sovereignty</w:t>
      </w:r>
      <w:r w:rsidR="002059AC">
        <w:t xml:space="preserve">, </w:t>
      </w:r>
      <w:r w:rsidR="00466B72">
        <w:t xml:space="preserve">understood as </w:t>
      </w:r>
      <w:r w:rsidR="002059AC">
        <w:t>an affirmation of the self</w:t>
      </w:r>
      <w:r w:rsidRPr="00674938">
        <w:t>: ‘the condition of being an independent, self-determining agent’, with ‘something like full ownership of one’s life and doings’.</w:t>
      </w:r>
      <w:r w:rsidRPr="00674938">
        <w:rPr>
          <w:vertAlign w:val="superscript"/>
        </w:rPr>
        <w:footnoteReference w:id="24"/>
      </w:r>
      <w:r w:rsidRPr="00674938">
        <w:t xml:space="preserve"> In other words, the search for recognition is an extension of our desire for to be a ‘somebody’, a someone who can impose their will on the world, someone who is free.</w:t>
      </w:r>
      <w:r w:rsidRPr="00674938">
        <w:rPr>
          <w:vertAlign w:val="superscript"/>
        </w:rPr>
        <w:footnoteReference w:id="25"/>
      </w:r>
      <w:r w:rsidRPr="00674938">
        <w:t xml:space="preserve"> In the beginning</w:t>
      </w:r>
      <w:r w:rsidR="00466B72">
        <w:t xml:space="preserve"> (according to Hegel)</w:t>
      </w:r>
      <w:r w:rsidRPr="00674938">
        <w:t>, ‘self-consciousness believes itself to be independent, but finds this claim threatened by the sheer fact of its corporeality, which renders it subject to material forces and bodily needs beyond its control.’</w:t>
      </w:r>
      <w:r w:rsidRPr="00674938">
        <w:rPr>
          <w:vertAlign w:val="superscript"/>
        </w:rPr>
        <w:footnoteReference w:id="26"/>
      </w:r>
      <w:r w:rsidRPr="00674938">
        <w:t xml:space="preserve"> This leads to a desire</w:t>
      </w:r>
      <w:r w:rsidRPr="00674938">
        <w:rPr>
          <w:vertAlign w:val="superscript"/>
        </w:rPr>
        <w:footnoteReference w:id="27"/>
      </w:r>
      <w:r w:rsidRPr="00674938">
        <w:t xml:space="preserve"> to consume  (or dominate) material things in order to confirm one’s freedom from them. Satisfying material desires is insufficient evidence of one’s sovereignty, however</w:t>
      </w:r>
      <w:r w:rsidR="00466B72">
        <w:t>; b</w:t>
      </w:r>
      <w:r w:rsidRPr="00674938">
        <w:t>y consuming an object, we show that we are more powerful than the object, but as soon as the moment of consumption is over, we need to consume more, which reminds us of our own corporeality. Therefore, material objects are not enough to give an a</w:t>
      </w:r>
      <w:r w:rsidR="00466B72">
        <w:t>gent</w:t>
      </w:r>
      <w:r w:rsidRPr="00674938">
        <w:t xml:space="preserve"> the confirmation they seek of their sovereignty: ‘If an external object is to provide more than fleeting self-certainty, it must somehow both be negated in its independence and yet continue to exist…And the only sort of thing which can “abdicate” its own claims to independence in this way is . . . another self-</w:t>
      </w:r>
      <w:r w:rsidRPr="00674938">
        <w:lastRenderedPageBreak/>
        <w:t>consciousness.’</w:t>
      </w:r>
      <w:r w:rsidRPr="00674938">
        <w:rPr>
          <w:vertAlign w:val="superscript"/>
        </w:rPr>
        <w:footnoteReference w:id="28"/>
      </w:r>
      <w:r w:rsidRPr="00674938">
        <w:t xml:space="preserve"> Therefore, according to Hegel, it is the self’s inability to secure certainty of its independent existence through satisfaction of material desires that leads it to a </w:t>
      </w:r>
      <w:r w:rsidRPr="00674938">
        <w:rPr>
          <w:i/>
          <w:iCs/>
        </w:rPr>
        <w:t>struggle</w:t>
      </w:r>
      <w:r w:rsidRPr="00674938">
        <w:t xml:space="preserve"> for recognition.</w:t>
      </w:r>
      <w:r w:rsidR="00466B72">
        <w:t xml:space="preserve"> W</w:t>
      </w:r>
      <w:r w:rsidR="00466B72" w:rsidRPr="00674938">
        <w:t>e want more than to exist as a physical being</w:t>
      </w:r>
      <w:r w:rsidR="00466B72">
        <w:t xml:space="preserve"> in the material world</w:t>
      </w:r>
      <w:r w:rsidR="00466B72" w:rsidRPr="00674938">
        <w:t>: we want our value, our awareness of ourselves, to be affirmed by another who is capable of doing so.</w:t>
      </w:r>
    </w:p>
    <w:p w14:paraId="68DC72E9" w14:textId="7B868D71" w:rsidR="00FE5238" w:rsidRPr="00674938" w:rsidRDefault="00F42C98" w:rsidP="00235C3A">
      <w:pPr>
        <w:pStyle w:val="Body"/>
        <w:suppressAutoHyphens/>
        <w:ind w:firstLine="432"/>
      </w:pPr>
      <w:r w:rsidRPr="00674938">
        <w:t>Because each actor has the same goal to confirm their own sovereignty, the struggle for recognition is mutually exclusive</w:t>
      </w:r>
      <w:r w:rsidR="00466B72">
        <w:t>, casting doubt on independence claims of both sides.</w:t>
      </w:r>
      <w:r w:rsidRPr="00674938">
        <w:rPr>
          <w:vertAlign w:val="superscript"/>
        </w:rPr>
        <w:footnoteReference w:id="29"/>
      </w:r>
      <w:r w:rsidRPr="00674938">
        <w:t xml:space="preserve"> </w:t>
      </w:r>
      <w:r w:rsidR="00466B72">
        <w:t>Th</w:t>
      </w:r>
      <w:r w:rsidR="001724F0" w:rsidRPr="00674938">
        <w:t>us,</w:t>
      </w:r>
      <w:r w:rsidRPr="00674938">
        <w:t xml:space="preserve"> the quest for recognition takes the form of a ‘life-and-death struggle,’</w:t>
      </w:r>
      <w:r w:rsidRPr="00674938">
        <w:rPr>
          <w:vertAlign w:val="superscript"/>
        </w:rPr>
        <w:footnoteReference w:id="30"/>
      </w:r>
      <w:r w:rsidRPr="00674938">
        <w:t xml:space="preserve"> which ends with either the death or surrender of one side. The defeated party affirms the sovereignty of the victor by recognising them as the master; the vanquished becomes the slave. What this means, however, is that the master is recognised by someone who is not quite an agent himself: ‘What now really confronts him is not an independent consciousness, but a dependent one. He is, therefore, not certain of being-for-self as the truth of himself.’</w:t>
      </w:r>
      <w:r w:rsidRPr="00674938">
        <w:rPr>
          <w:vertAlign w:val="superscript"/>
        </w:rPr>
        <w:footnoteReference w:id="31"/>
      </w:r>
      <w:r w:rsidRPr="00674938">
        <w:t xml:space="preserve">  Thus this relationship also fails to acquire for the actor wh</w:t>
      </w:r>
      <w:r w:rsidR="00466B72">
        <w:t>at it sought in the first place: r</w:t>
      </w:r>
      <w:r w:rsidRPr="00674938">
        <w:t>ecognition from the slave is unfulfilling because it comes from someone who is not recognise</w:t>
      </w:r>
      <w:r w:rsidR="00466B72">
        <w:t xml:space="preserve">d as an equal or quite as human. </w:t>
      </w:r>
      <w:r w:rsidRPr="00674938">
        <w:t xml:space="preserve">The </w:t>
      </w:r>
      <w:r w:rsidRPr="00674938">
        <w:rPr>
          <w:i/>
          <w:iCs/>
        </w:rPr>
        <w:t>asymmetry</w:t>
      </w:r>
      <w:r w:rsidRPr="00674938">
        <w:t xml:space="preserve"> of the master-slave relationship is thus a problem.</w:t>
      </w:r>
      <w:r w:rsidRPr="00674938">
        <w:rPr>
          <w:vertAlign w:val="superscript"/>
        </w:rPr>
        <w:footnoteReference w:id="32"/>
      </w:r>
      <w:r w:rsidRPr="00674938">
        <w:t xml:space="preserve"> </w:t>
      </w:r>
    </w:p>
    <w:p w14:paraId="6C313B12" w14:textId="40EFD375" w:rsidR="00FE5238" w:rsidRPr="00674938" w:rsidRDefault="00F42C98" w:rsidP="00235C3A">
      <w:pPr>
        <w:pStyle w:val="Body"/>
        <w:suppressAutoHyphens/>
        <w:ind w:firstLine="432"/>
      </w:pPr>
      <w:r w:rsidRPr="00674938">
        <w:t xml:space="preserve">Many </w:t>
      </w:r>
      <w:r w:rsidR="00761B6E">
        <w:t xml:space="preserve">have </w:t>
      </w:r>
      <w:r w:rsidRPr="00674938">
        <w:t xml:space="preserve">read Hegel as thus advocating ‘for the master to </w:t>
      </w:r>
      <w:r w:rsidRPr="00674938">
        <w:rPr>
          <w:i/>
          <w:iCs/>
        </w:rPr>
        <w:t>complete</w:t>
      </w:r>
      <w:r w:rsidRPr="00674938">
        <w:t xml:space="preserve"> the exchange by reciprocally recognizing the independence of the slave, which would, of course, amount to the abolition of the master-slave relations itself.’</w:t>
      </w:r>
      <w:r w:rsidRPr="00674938">
        <w:rPr>
          <w:vertAlign w:val="superscript"/>
        </w:rPr>
        <w:footnoteReference w:id="33"/>
      </w:r>
      <w:r w:rsidRPr="00674938">
        <w:t xml:space="preserve"> This reading </w:t>
      </w:r>
      <w:r w:rsidRPr="00674938">
        <w:lastRenderedPageBreak/>
        <w:t xml:space="preserve">is then used to support politics of multiculturalism and identity recognition. The </w:t>
      </w:r>
      <w:r w:rsidR="001724F0" w:rsidRPr="00674938">
        <w:t>best-known</w:t>
      </w:r>
      <w:r w:rsidRPr="00674938">
        <w:t xml:space="preserve"> example is Charles Taylor, whose 1992 essay ‘Politics of Recognition’ launched </w:t>
      </w:r>
      <w:r w:rsidRPr="00674938">
        <w:rPr>
          <w:i/>
          <w:iCs/>
        </w:rPr>
        <w:t>the</w:t>
      </w:r>
      <w:r w:rsidRPr="00674938">
        <w:t xml:space="preserve"> politics of recognition</w:t>
      </w:r>
      <w:r w:rsidR="00F733FA">
        <w:t xml:space="preserve"> in domestic politics. </w:t>
      </w:r>
      <w:r w:rsidRPr="00674938">
        <w:t>In th</w:t>
      </w:r>
      <w:r w:rsidR="00F733FA">
        <w:t xml:space="preserve">at </w:t>
      </w:r>
      <w:r w:rsidRPr="00674938">
        <w:t xml:space="preserve">essay, Taylor makes a number of interesting arguments. For example, he suggests that recognition is a </w:t>
      </w:r>
      <w:r w:rsidRPr="00F733FA">
        <w:rPr>
          <w:i/>
          <w:iCs/>
        </w:rPr>
        <w:t>modern</w:t>
      </w:r>
      <w:r w:rsidRPr="00674938">
        <w:t xml:space="preserve"> problem; before then, ‘general recognition was built into the socially derived identity by virtue of the very fact that it was based on social categories that everyone took for granted.’</w:t>
      </w:r>
      <w:r w:rsidRPr="00674938">
        <w:rPr>
          <w:vertAlign w:val="superscript"/>
        </w:rPr>
        <w:footnoteReference w:id="34"/>
      </w:r>
      <w:r w:rsidRPr="00674938">
        <w:t xml:space="preserve"> Recognition becomes a problem when </w:t>
      </w:r>
      <w:r w:rsidR="00914C7A">
        <w:t>traditional</w:t>
      </w:r>
      <w:r w:rsidRPr="00674938">
        <w:t xml:space="preserve"> categories </w:t>
      </w:r>
      <w:r w:rsidR="00914C7A">
        <w:t xml:space="preserve">of identity </w:t>
      </w:r>
      <w:r w:rsidRPr="00674938">
        <w:t>are eroded, and identity becomes, in Taylor’s words, ‘inwardly derived, personal, original’.</w:t>
      </w:r>
      <w:r w:rsidRPr="00674938">
        <w:rPr>
          <w:vertAlign w:val="superscript"/>
        </w:rPr>
        <w:footnoteReference w:id="35"/>
      </w:r>
      <w:r w:rsidRPr="00674938">
        <w:t xml:space="preserve"> With modernity, identity is not automatically recognised or propped up by existing social categories; it has to be won ‘through exchange, and the attempt can fail.’</w:t>
      </w:r>
      <w:r w:rsidRPr="00674938">
        <w:rPr>
          <w:vertAlign w:val="superscript"/>
        </w:rPr>
        <w:footnoteReference w:id="36"/>
      </w:r>
      <w:r w:rsidRPr="00674938">
        <w:t xml:space="preserve"> This is why, according to Taylor, we now understand that there is a human need for the recognition of identity; its absence can inflict grievous wounds.  </w:t>
      </w:r>
    </w:p>
    <w:p w14:paraId="37B406FE" w14:textId="7DD0FB6C" w:rsidR="00FE5238" w:rsidRPr="00674938" w:rsidRDefault="00ED3BF8" w:rsidP="00235C3A">
      <w:pPr>
        <w:pStyle w:val="Body"/>
        <w:suppressAutoHyphens/>
        <w:ind w:firstLine="432"/>
      </w:pPr>
      <w:r>
        <w:t>By contrast, Markell suggests</w:t>
      </w:r>
      <w:r w:rsidR="00F42C98" w:rsidRPr="00674938">
        <w:t xml:space="preserve"> that the master-slave dynamic cannot be read to support a view that ‘the struggle for recognition can find only one satisfactory solution, and that is a regime of reciprocal recognition amo</w:t>
      </w:r>
      <w:r>
        <w:t>ng equals’.</w:t>
      </w:r>
      <w:r w:rsidR="00F42C98" w:rsidRPr="00674938">
        <w:rPr>
          <w:vertAlign w:val="superscript"/>
        </w:rPr>
        <w:footnoteReference w:id="37"/>
      </w:r>
      <w:r w:rsidR="00F42C98" w:rsidRPr="00674938">
        <w:t xml:space="preserve"> In Markell’s </w:t>
      </w:r>
      <w:r w:rsidR="00B96D14">
        <w:t xml:space="preserve">more </w:t>
      </w:r>
      <w:r w:rsidR="00F42C98" w:rsidRPr="00674938">
        <w:t xml:space="preserve">convincing reading of the master-slave dynamic, the misrecognition of the slave or the injustice of the relationship does not result from a failure on the part of the master to recognise the slave properly. Rather it is the recognition dynamic itself </w:t>
      </w:r>
      <w:r w:rsidR="00F42C98" w:rsidRPr="00674938">
        <w:lastRenderedPageBreak/>
        <w:t xml:space="preserve">that produces the slave and the asymmetry or the injustice, hence it cannot be rectified by </w:t>
      </w:r>
      <w:r w:rsidR="002708BC">
        <w:t>an act of equal recognition.</w:t>
      </w:r>
      <w:r w:rsidR="00F42C98" w:rsidRPr="00674938">
        <w:rPr>
          <w:vertAlign w:val="superscript"/>
        </w:rPr>
        <w:footnoteReference w:id="38"/>
      </w:r>
      <w:r w:rsidR="00F42C98" w:rsidRPr="00674938">
        <w:t xml:space="preserve"> In a way, both sides of the dynamic are trapped by the asymmetry of the recognition relationship</w:t>
      </w:r>
      <w:r w:rsidR="00761B6E">
        <w:t>.</w:t>
      </w:r>
      <w:r w:rsidR="00F42C98" w:rsidRPr="00674938">
        <w:rPr>
          <w:vertAlign w:val="superscript"/>
        </w:rPr>
        <w:footnoteReference w:id="39"/>
      </w:r>
      <w:r w:rsidR="00F42C98" w:rsidRPr="00674938">
        <w:t xml:space="preserve"> </w:t>
      </w:r>
      <w:r w:rsidR="00761B6E">
        <w:t>T</w:t>
      </w:r>
      <w:r w:rsidR="00F42C98" w:rsidRPr="00674938">
        <w:t xml:space="preserve">he slave cannot </w:t>
      </w:r>
      <w:r w:rsidR="00F733FA">
        <w:t xml:space="preserve">have </w:t>
      </w:r>
      <w:r w:rsidR="00F42C98" w:rsidRPr="00674938">
        <w:t xml:space="preserve">the recognition he seeks because he is not </w:t>
      </w:r>
      <w:r w:rsidR="00F42C98" w:rsidRPr="00674938">
        <w:rPr>
          <w:i/>
          <w:iCs/>
        </w:rPr>
        <w:t>yet</w:t>
      </w:r>
      <w:r w:rsidR="00F42C98" w:rsidRPr="00674938">
        <w:t xml:space="preserve"> ‘human’ and the master cannot get recognition because he is the </w:t>
      </w:r>
      <w:r w:rsidR="00F42C98" w:rsidRPr="00674938">
        <w:rPr>
          <w:i/>
          <w:iCs/>
        </w:rPr>
        <w:t xml:space="preserve">only </w:t>
      </w:r>
      <w:r w:rsidR="00F42C98" w:rsidRPr="00674938">
        <w:t>‘human’</w:t>
      </w:r>
      <w:r w:rsidR="00262EA8">
        <w:t xml:space="preserve"> (as he imagines)</w:t>
      </w:r>
      <w:r w:rsidR="00F42C98" w:rsidRPr="00674938">
        <w:t xml:space="preserve">. </w:t>
      </w:r>
    </w:p>
    <w:p w14:paraId="29C265D4" w14:textId="2A97AEBF" w:rsidR="00FE5238" w:rsidRPr="00674938" w:rsidRDefault="00F42C98" w:rsidP="00235C3A">
      <w:pPr>
        <w:pStyle w:val="Body"/>
        <w:suppressAutoHyphens/>
        <w:ind w:firstLine="432"/>
      </w:pPr>
      <w:r w:rsidRPr="00674938">
        <w:t xml:space="preserve">Let’s </w:t>
      </w:r>
      <w:r w:rsidR="00262EA8">
        <w:t>pause</w:t>
      </w:r>
      <w:r w:rsidRPr="00674938">
        <w:t xml:space="preserve"> here </w:t>
      </w:r>
      <w:r w:rsidR="00262EA8">
        <w:t xml:space="preserve">to also note </w:t>
      </w:r>
      <w:r w:rsidRPr="00674938">
        <w:t>that many</w:t>
      </w:r>
      <w:r w:rsidR="00A622B8">
        <w:t xml:space="preserve"> </w:t>
      </w:r>
      <w:r w:rsidRPr="00674938">
        <w:t xml:space="preserve">readings of Hegel have focused on the fact that </w:t>
      </w:r>
      <w:r w:rsidR="001724F0" w:rsidRPr="00674938">
        <w:t>the dynamic</w:t>
      </w:r>
      <w:r w:rsidRPr="00674938">
        <w:t xml:space="preserve"> comes to an end through a reversal, through the labour of the slave.</w:t>
      </w:r>
      <w:r w:rsidRPr="00674938">
        <w:rPr>
          <w:vertAlign w:val="superscript"/>
        </w:rPr>
        <w:footnoteReference w:id="40"/>
      </w:r>
      <w:r w:rsidRPr="00674938">
        <w:t xml:space="preserve"> </w:t>
      </w:r>
      <w:r w:rsidR="002708BC">
        <w:t>The argument goes that i</w:t>
      </w:r>
      <w:r w:rsidRPr="00674938">
        <w:t>n the act of surrender, t</w:t>
      </w:r>
      <w:r w:rsidR="00A622B8">
        <w:t>he would-be-slave confronts their ‘own finitude’ and</w:t>
      </w:r>
      <w:r w:rsidRPr="00674938">
        <w:t xml:space="preserve"> the futility of the ‘aspiration to demonstrate its sovereignty at all costs.’</w:t>
      </w:r>
      <w:r w:rsidRPr="00674938">
        <w:rPr>
          <w:vertAlign w:val="superscript"/>
        </w:rPr>
        <w:footnoteReference w:id="41"/>
      </w:r>
      <w:r w:rsidRPr="00674938">
        <w:t xml:space="preserve"> </w:t>
      </w:r>
      <w:r w:rsidR="002708BC">
        <w:t>The slave also acknowledge</w:t>
      </w:r>
      <w:r w:rsidRPr="00674938">
        <w:t xml:space="preserve">s the need to overcome their situation, contrary to the master, who </w:t>
      </w:r>
      <w:r w:rsidR="00A622B8">
        <w:t>has no desire to overcome their role</w:t>
      </w:r>
      <w:r w:rsidRPr="00674938">
        <w:t>.</w:t>
      </w:r>
      <w:r w:rsidRPr="00674938">
        <w:rPr>
          <w:vertAlign w:val="superscript"/>
        </w:rPr>
        <w:footnoteReference w:id="42"/>
      </w:r>
      <w:r w:rsidRPr="00674938">
        <w:t xml:space="preserve"> The slave is </w:t>
      </w:r>
      <w:r w:rsidR="002708BC">
        <w:t xml:space="preserve">thus </w:t>
      </w:r>
      <w:r w:rsidRPr="00674938">
        <w:t>open to change, learning, historical processes. Furthermore, the slave is</w:t>
      </w:r>
      <w:r w:rsidR="002708BC">
        <w:t xml:space="preserve"> forced to work by the master: t</w:t>
      </w:r>
      <w:r w:rsidRPr="00674938">
        <w:t xml:space="preserve">he slave moulds nature for the master, turning it into products, and in the process, achieves </w:t>
      </w:r>
      <w:r w:rsidR="002708BC">
        <w:t xml:space="preserve">real </w:t>
      </w:r>
      <w:r w:rsidRPr="00674938">
        <w:t>‘mastery’ through creativity and labour.</w:t>
      </w:r>
      <w:r w:rsidR="002708BC" w:rsidRPr="002708BC">
        <w:rPr>
          <w:vertAlign w:val="superscript"/>
        </w:rPr>
        <w:t xml:space="preserve"> </w:t>
      </w:r>
      <w:r w:rsidR="002708BC" w:rsidRPr="00674938">
        <w:rPr>
          <w:vertAlign w:val="superscript"/>
        </w:rPr>
        <w:footnoteReference w:id="43"/>
      </w:r>
      <w:r w:rsidR="002708BC" w:rsidRPr="00674938">
        <w:t xml:space="preserve"> </w:t>
      </w:r>
      <w:r w:rsidRPr="00674938">
        <w:t>The master, on the other hand, is increasingly dependent on the labour</w:t>
      </w:r>
      <w:r w:rsidR="002708BC">
        <w:t xml:space="preserve"> of </w:t>
      </w:r>
      <w:r w:rsidR="002708BC">
        <w:lastRenderedPageBreak/>
        <w:t>the slave for his existence.</w:t>
      </w:r>
      <w:r w:rsidRPr="00674938">
        <w:rPr>
          <w:vertAlign w:val="superscript"/>
        </w:rPr>
        <w:footnoteReference w:id="44"/>
      </w:r>
      <w:r w:rsidRPr="00674938">
        <w:t xml:space="preserve"> Thus, in readings of Hegel that emphasise the reversal, the slave has a better chance of escaping from the master-slave dynamic than the master</w:t>
      </w:r>
      <w:r w:rsidR="00761B6E">
        <w:t>.</w:t>
      </w:r>
      <w:r w:rsidR="00761B6E">
        <w:rPr>
          <w:rStyle w:val="FootnoteReference"/>
        </w:rPr>
        <w:footnoteReference w:id="45"/>
      </w:r>
      <w:r w:rsidR="00262EA8">
        <w:t xml:space="preserve"> </w:t>
      </w:r>
      <w:r w:rsidRPr="00674938">
        <w:t>For our purposes</w:t>
      </w:r>
      <w:r w:rsidR="00262EA8">
        <w:t xml:space="preserve"> here</w:t>
      </w:r>
      <w:r w:rsidRPr="00674938">
        <w:t>, however, the more</w:t>
      </w:r>
      <w:r w:rsidR="00262EA8">
        <w:t xml:space="preserve"> intriguing aspect is the often-</w:t>
      </w:r>
      <w:r w:rsidRPr="00674938">
        <w:t xml:space="preserve">overlooked fact that </w:t>
      </w:r>
      <w:r w:rsidR="00D11BA2" w:rsidRPr="00D11BA2">
        <w:rPr>
          <w:u w:val="single"/>
        </w:rPr>
        <w:t xml:space="preserve">the </w:t>
      </w:r>
      <w:r w:rsidRPr="00D11BA2">
        <w:rPr>
          <w:u w:val="single"/>
        </w:rPr>
        <w:t>master</w:t>
      </w:r>
      <w:r w:rsidRPr="00674938">
        <w:t xml:space="preserve"> is both trapped by the dynamic </w:t>
      </w:r>
      <w:r w:rsidRPr="00674938">
        <w:rPr>
          <w:i/>
          <w:iCs/>
        </w:rPr>
        <w:t>and</w:t>
      </w:r>
      <w:r w:rsidRPr="00674938">
        <w:t xml:space="preserve"> (at least in one</w:t>
      </w:r>
      <w:r w:rsidR="002708BC">
        <w:t xml:space="preserve"> possible</w:t>
      </w:r>
      <w:r w:rsidRPr="00674938">
        <w:t xml:space="preserve"> reading of Hegel) has an interest in prolonging it.</w:t>
      </w:r>
      <w:r w:rsidR="00A622B8">
        <w:t xml:space="preserve"> </w:t>
      </w:r>
      <w:r w:rsidR="00316653">
        <w:t>T</w:t>
      </w:r>
      <w:r w:rsidRPr="00674938">
        <w:t xml:space="preserve">he dynamic is both </w:t>
      </w:r>
      <w:r w:rsidR="001724F0" w:rsidRPr="00674938">
        <w:t>more ubiquitous</w:t>
      </w:r>
      <w:r w:rsidRPr="00674938">
        <w:t xml:space="preserve"> and stable than one would expect: ‘what is most intriguing about Hegel’s account of master and slave is that, </w:t>
      </w:r>
      <w:r w:rsidRPr="00674938">
        <w:rPr>
          <w:i/>
          <w:iCs/>
        </w:rPr>
        <w:t xml:space="preserve">despite </w:t>
      </w:r>
      <w:r w:rsidRPr="00674938">
        <w:t xml:space="preserve">his claim that it is contradictory and cannot ultimately satisfy the desire that animates it, this social relationship does not simply collapse under </w:t>
      </w:r>
      <w:r w:rsidR="001724F0" w:rsidRPr="00674938">
        <w:t>the weight</w:t>
      </w:r>
      <w:r w:rsidRPr="00674938">
        <w:t xml:space="preserve"> of its own incoherence.’</w:t>
      </w:r>
      <w:r w:rsidRPr="00674938">
        <w:rPr>
          <w:vertAlign w:val="superscript"/>
        </w:rPr>
        <w:footnoteReference w:id="46"/>
      </w:r>
      <w:r w:rsidR="00262EA8">
        <w:t xml:space="preserve"> Why, then, </w:t>
      </w:r>
      <w:r w:rsidRPr="00674938">
        <w:t>do the master-slave recognition hierarchies persist for extended periods of time, if they are indeed so asymmetric</w:t>
      </w:r>
      <w:r w:rsidR="00A622B8">
        <w:t>, and so ultimately unsatisfying for both sides of the equation</w:t>
      </w:r>
      <w:r w:rsidRPr="00674938">
        <w:t>?</w:t>
      </w:r>
    </w:p>
    <w:p w14:paraId="21C94FB5" w14:textId="6FEEF971" w:rsidR="00FE5238" w:rsidRPr="00674938" w:rsidRDefault="00F42C98" w:rsidP="00235C3A">
      <w:pPr>
        <w:pStyle w:val="Body"/>
        <w:suppressAutoHyphens/>
        <w:ind w:firstLine="360"/>
      </w:pPr>
      <w:r w:rsidRPr="00674938">
        <w:t>This is because while actors can never fully achieve the kind of recognition they seek through this dynamic, the master-slave hierarchy ‘accommodate[s] contradictions…without resolving them’.</w:t>
      </w:r>
      <w:r w:rsidRPr="00674938">
        <w:rPr>
          <w:vertAlign w:val="superscript"/>
        </w:rPr>
        <w:footnoteReference w:id="47"/>
      </w:r>
      <w:r w:rsidRPr="00674938">
        <w:t xml:space="preserve"> The master status in the master-slave dynamic creates for the master a very viable approximation of the self as sovereign: ‘this arrangement thus reflects back to the master something like the image of himself as sovereign that himself had originally sought, insulating him from the experience of his own dependence.’</w:t>
      </w:r>
      <w:r w:rsidRPr="00674938">
        <w:rPr>
          <w:vertAlign w:val="superscript"/>
        </w:rPr>
        <w:footnoteReference w:id="48"/>
      </w:r>
      <w:r w:rsidRPr="00674938">
        <w:t xml:space="preserve"> The master may not have the recognition (or sovereignty) they desire, but they now have the image (or simulation) of that recognition: ‘These roles…lend relative stability to the intersubjective world, making it possible for the master to experience his own status-like the slave’s-as a reflection of who he always already is, rather than as the political (and therefore fragile) effect </w:t>
      </w:r>
      <w:r w:rsidRPr="00674938">
        <w:lastRenderedPageBreak/>
        <w:t>of an ongoing practice of subordination.‘</w:t>
      </w:r>
      <w:r w:rsidRPr="00674938">
        <w:rPr>
          <w:vertAlign w:val="superscript"/>
        </w:rPr>
        <w:footnoteReference w:id="49"/>
      </w:r>
      <w:r w:rsidRPr="00674938">
        <w:t xml:space="preserve"> </w:t>
      </w:r>
      <w:r w:rsidR="00C5601E">
        <w:t>This is a misrecognition that masquerades as recognition, for extended periods of time. Tak</w:t>
      </w:r>
      <w:r w:rsidRPr="00674938">
        <w:t xml:space="preserve">ing </w:t>
      </w:r>
      <w:r w:rsidR="00C11BE7">
        <w:t>the</w:t>
      </w:r>
      <w:r w:rsidRPr="00674938">
        <w:t xml:space="preserve"> argument even fur</w:t>
      </w:r>
      <w:r w:rsidR="00C11BE7">
        <w:t>ther, one can also observe that</w:t>
      </w:r>
      <w:r w:rsidRPr="00674938">
        <w:t xml:space="preserve"> as much of the literature on social stratification and stigmatisation also demonstrates,</w:t>
      </w:r>
      <w:r w:rsidRPr="00674938">
        <w:rPr>
          <w:vertAlign w:val="superscript"/>
        </w:rPr>
        <w:footnoteReference w:id="50"/>
      </w:r>
      <w:r w:rsidRPr="00674938">
        <w:t xml:space="preserve"> in social figurations where one is </w:t>
      </w:r>
      <w:r w:rsidR="00C5601E">
        <w:t>(mis)</w:t>
      </w:r>
      <w:r w:rsidRPr="00674938">
        <w:t xml:space="preserve">recognised </w:t>
      </w:r>
      <w:r w:rsidR="00C5601E">
        <w:t>as being better</w:t>
      </w:r>
      <w:r w:rsidRPr="00674938">
        <w:t xml:space="preserve"> than the other, the ongoing interaction continuously creates and recreates the identities of the parties involved, which are then perceived as reflecting inherent, innate and fixed characteristics. The slave then becomes a ‘natural’ slave; the master is the master because they must surely </w:t>
      </w:r>
      <w:r w:rsidR="00C5601E">
        <w:t>‘</w:t>
      </w:r>
      <w:r w:rsidRPr="00674938">
        <w:t>deserve</w:t>
      </w:r>
      <w:r w:rsidR="00C5601E">
        <w:t>’</w:t>
      </w:r>
      <w:r w:rsidRPr="00674938">
        <w:t xml:space="preserve"> to be. More importantly, both parties internalise these roles as such. </w:t>
      </w:r>
    </w:p>
    <w:p w14:paraId="4303967D" w14:textId="7A718B30" w:rsidR="00FE5238" w:rsidRPr="00674938" w:rsidRDefault="00C5601E" w:rsidP="00235C3A">
      <w:pPr>
        <w:pStyle w:val="Body"/>
        <w:suppressAutoHyphens/>
        <w:ind w:firstLine="432"/>
      </w:pPr>
      <w:r>
        <w:t>T</w:t>
      </w:r>
      <w:r w:rsidR="00F42C98" w:rsidRPr="00674938">
        <w:t xml:space="preserve">his is a more satisfying dynamic for the master than it is for the slave, because through it the master gets an approximation of fully realised self-sovereignty in the form of the ‘master’ image. To be fully sovereign as a human being, as a consciousness, is to be the master of one’s destiny—it requires the ability to make and impose one’s own rules on the world, to stand up against and defeat the vagaries of nature and one’s own appetite. It is very difficult to realise this ideal, but in the master-slave hierarchy, the master can feel as if they have </w:t>
      </w:r>
      <w:r w:rsidR="00262EA8">
        <w:t xml:space="preserve">indeed </w:t>
      </w:r>
      <w:r w:rsidR="00F42C98" w:rsidRPr="00674938">
        <w:t xml:space="preserve">achieved it (or has gone a long way in achieving it) </w:t>
      </w:r>
      <w:r w:rsidR="00F42C98" w:rsidRPr="00262EA8">
        <w:rPr>
          <w:i/>
          <w:iCs/>
        </w:rPr>
        <w:t>in comparison</w:t>
      </w:r>
      <w:r w:rsidR="00F42C98" w:rsidRPr="00674938">
        <w:t xml:space="preserve"> to the slave. This is why in social hierarchies those in lower ranks are often characterised as anomic, untrustworthy, undisciplined, lawless, dirty, emotional or having loose morals. In other words, they are perceived as being dominated by the animalistic side of human nature—they are supposed to be the ones who are ruled by appetite or instinct, i.e. they are the ones who are not masters of their own destiny, they are the ones who are dependent.</w:t>
      </w:r>
      <w:r w:rsidR="00F42C98" w:rsidRPr="00674938">
        <w:rPr>
          <w:vertAlign w:val="superscript"/>
        </w:rPr>
        <w:footnoteReference w:id="51"/>
      </w:r>
      <w:r w:rsidR="00F42C98" w:rsidRPr="00674938">
        <w:t xml:space="preserve"> In comparison, the existential impasse of the master </w:t>
      </w:r>
      <w:r w:rsidR="00F42C98" w:rsidRPr="00674938">
        <w:lastRenderedPageBreak/>
        <w:t>becomes tolerable and their own dependence is masked: the trouble with the master-slave relationship ‘is not only that it leaves the self-consciousness who becomes master in a condition of ontological ignorance, doomed to pursue a fantasy of sovereignty he cannot attain; it is also that the strategies he employs in pursuit of that impossible fantasy involve the subjection and unfreedom of others’.</w:t>
      </w:r>
      <w:r w:rsidR="00F42C98" w:rsidRPr="00674938">
        <w:rPr>
          <w:vertAlign w:val="superscript"/>
        </w:rPr>
        <w:footnoteReference w:id="52"/>
      </w:r>
      <w:r w:rsidR="00F42C98" w:rsidRPr="00674938">
        <w:t xml:space="preserve"> </w:t>
      </w:r>
      <w:r w:rsidR="00A622B8">
        <w:t>B</w:t>
      </w:r>
      <w:r w:rsidR="00F42C98" w:rsidRPr="00674938">
        <w:t xml:space="preserve">y projecting all (or most of) undesirable attributes as stigma properties onto the slave, can the master create an </w:t>
      </w:r>
      <w:r w:rsidR="00F42C98" w:rsidRPr="00674938">
        <w:rPr>
          <w:i/>
          <w:iCs/>
        </w:rPr>
        <w:t>image</w:t>
      </w:r>
      <w:r w:rsidR="00F42C98" w:rsidRPr="00674938">
        <w:t xml:space="preserve"> of sovereignty, and </w:t>
      </w:r>
      <w:r w:rsidR="00F42C98" w:rsidRPr="00674938">
        <w:rPr>
          <w:i/>
          <w:iCs/>
        </w:rPr>
        <w:t>simulate</w:t>
      </w:r>
      <w:r w:rsidR="00F42C98" w:rsidRPr="00674938">
        <w:t xml:space="preserve"> their possession of a fuller, superior humanity. </w:t>
      </w:r>
      <w:r w:rsidR="00A622B8">
        <w:rPr>
          <w:rStyle w:val="FootnoteReference"/>
        </w:rPr>
        <w:footnoteReference w:id="53"/>
      </w:r>
    </w:p>
    <w:p w14:paraId="7BB11B0A" w14:textId="77777777" w:rsidR="00FE5238" w:rsidRPr="00674938" w:rsidRDefault="00FE5238" w:rsidP="00235C3A">
      <w:pPr>
        <w:pStyle w:val="Body"/>
        <w:suppressAutoHyphens/>
      </w:pPr>
    </w:p>
    <w:p w14:paraId="54674279" w14:textId="77777777" w:rsidR="00FE5238" w:rsidRPr="00674938" w:rsidRDefault="00F42C98" w:rsidP="00235C3A">
      <w:pPr>
        <w:pStyle w:val="Body"/>
        <w:suppressAutoHyphens/>
        <w:rPr>
          <w:b/>
          <w:bCs/>
        </w:rPr>
      </w:pPr>
      <w:r w:rsidRPr="00674938">
        <w:rPr>
          <w:b/>
          <w:bCs/>
        </w:rPr>
        <w:t>II. The State and the Struggle for Recognition</w:t>
      </w:r>
    </w:p>
    <w:p w14:paraId="186DEEE8" w14:textId="0FDA606E" w:rsidR="00FE5238" w:rsidRPr="00674938" w:rsidRDefault="00F42C98" w:rsidP="00235C3A">
      <w:pPr>
        <w:pStyle w:val="Body"/>
        <w:suppressAutoHyphens/>
      </w:pPr>
      <w:r w:rsidRPr="00674938">
        <w:t xml:space="preserve">Thus far we have been speaking in the language of parable and not about actual events or relationships in history. How should this framework be translated into international relations? It is tempting to assume that the master-slave configuration can be used to make sense of relationships between states (posited as conscious agents) as much as individuals (as conscious agents) without any need for modification as one goes up and down the level of analysis. In this section, I will argue that while the dynamic is indeed helpful in making sense of international affairs, we cannot simply treat states as individuals when using the schema, for two reasons. First, the state has a special place of importance in Hegel’s thought, as well as </w:t>
      </w:r>
      <w:r w:rsidR="00262EA8">
        <w:t xml:space="preserve">in </w:t>
      </w:r>
      <w:r w:rsidRPr="00674938">
        <w:t xml:space="preserve">neo-Hegelian theories, and it is not conceptualised as the equivalent of an individual (or even the sum of individuals). Therefore, the state as an actor seeking recognition on the international stage cannot be treated unproblematically as if it was </w:t>
      </w:r>
      <w:r w:rsidR="00262EA8">
        <w:t>the equivalent of an individual, and instead</w:t>
      </w:r>
      <w:r w:rsidRPr="00674938">
        <w:t xml:space="preserve"> needs to be located properly in the Hegelian theoretical framework, as a site that has supposedly reconciled </w:t>
      </w:r>
      <w:r w:rsidRPr="00674938">
        <w:lastRenderedPageBreak/>
        <w:t xml:space="preserve">recognition conflicts among </w:t>
      </w:r>
      <w:r w:rsidR="00262EA8">
        <w:t>individual</w:t>
      </w:r>
      <w:r w:rsidRPr="00674938">
        <w:t>s. Second, echoing Taylor’s point about the modernity of recognition politics above</w:t>
      </w:r>
      <w:r w:rsidR="00262EA8">
        <w:t xml:space="preserve"> (but without Taylor’s optimism)</w:t>
      </w:r>
      <w:r w:rsidRPr="00674938">
        <w:t xml:space="preserve">, there is in fact a historical dimension to how the states have become the primary vehicles for the pursuit of recognition by persons. The historicity of the state’s role on the domestic side of recognition politics is often recognised in the literature (most notably by Hegel himself) but the international dimension is often overlooked. </w:t>
      </w:r>
      <w:r w:rsidR="002708F3">
        <w:t xml:space="preserve">As I will show, over time, the state’s struggle to gain recognition from its citizens and to solve the citizens’ own recognition problems has made recognition into an international issue, or a problem that sought its resolution internationally. In other words, there is a very historical dimension to the transfer of recognition struggle from the domestic level to the international one. </w:t>
      </w:r>
    </w:p>
    <w:p w14:paraId="4C72F0AE" w14:textId="11E9E8A6" w:rsidR="00FE5238" w:rsidRPr="00674938" w:rsidRDefault="00F42C98" w:rsidP="00235C3A">
      <w:pPr>
        <w:pStyle w:val="Body"/>
        <w:suppressAutoHyphens/>
        <w:ind w:firstLine="360"/>
      </w:pPr>
      <w:r w:rsidRPr="00674938">
        <w:t>As is well-acknowledged, for Hegel</w:t>
      </w:r>
      <w:r w:rsidR="00262EA8">
        <w:t>,</w:t>
      </w:r>
      <w:r w:rsidRPr="00674938">
        <w:t xml:space="preserve"> </w:t>
      </w:r>
      <w:r w:rsidRPr="00674938">
        <w:rPr>
          <w:i/>
          <w:iCs/>
        </w:rPr>
        <w:t xml:space="preserve">the state </w:t>
      </w:r>
      <w:r w:rsidRPr="00674938">
        <w:t>(or the modern state) was the solution to the im</w:t>
      </w:r>
      <w:r w:rsidR="00262EA8">
        <w:t>passe created by the master-slav</w:t>
      </w:r>
      <w:r w:rsidRPr="00674938">
        <w:t xml:space="preserve">e dynamic. It is only through the state (as the end </w:t>
      </w:r>
      <w:r w:rsidR="00262EA8">
        <w:t xml:space="preserve">point of reason) that a person </w:t>
      </w:r>
      <w:r w:rsidRPr="00674938">
        <w:t>can become absolutely free: ‘..self-consciousness, by virtue of its disposition, has its substantial freedom in the state as its essence, its end, and the product of activity.’</w:t>
      </w:r>
      <w:r w:rsidRPr="00674938">
        <w:rPr>
          <w:vertAlign w:val="superscript"/>
        </w:rPr>
        <w:footnoteReference w:id="54"/>
      </w:r>
      <w:r w:rsidRPr="00674938">
        <w:t xml:space="preserve"> The struggle for recognition thus ‘can only occur in the natural state, where men exist only as single, separate individuals; but it is absent in civil society and the State because here the recognition for which the combatants fought </w:t>
      </w:r>
      <w:r w:rsidRPr="00674938">
        <w:rPr>
          <w:i/>
          <w:iCs/>
        </w:rPr>
        <w:t>already exists</w:t>
      </w:r>
      <w:r w:rsidRPr="00674938">
        <w:t>.’</w:t>
      </w:r>
      <w:r w:rsidRPr="00674938">
        <w:rPr>
          <w:vertAlign w:val="superscript"/>
        </w:rPr>
        <w:footnoteReference w:id="55"/>
      </w:r>
      <w:r w:rsidRPr="00674938">
        <w:t xml:space="preserve"> This is taken up by neo-Hegelian theories</w:t>
      </w:r>
      <w:r w:rsidRPr="00674938">
        <w:rPr>
          <w:vertAlign w:val="superscript"/>
        </w:rPr>
        <w:footnoteReference w:id="56"/>
      </w:r>
      <w:r w:rsidRPr="00674938">
        <w:t xml:space="preserve"> to argue that the state can indeed become a reconciliatory site by extending equal recognition to all its citizens (or groups of citizens, as the case may be). It is not only Hegelian theories, however, that attribute a particular importance to group endeavours in the age of modernity in the quest for sovereignty. There is a sense in much of Western political thought that ‘modernity’ is an equaliser that </w:t>
      </w:r>
      <w:r w:rsidRPr="00674938">
        <w:lastRenderedPageBreak/>
        <w:t>renders the ‘modern’ person much smaller and less powerful than the ‘best’ of his predecessors (for better or worse, depending on the thinker).</w:t>
      </w:r>
      <w:r w:rsidRPr="00674938">
        <w:rPr>
          <w:vertAlign w:val="superscript"/>
        </w:rPr>
        <w:footnoteReference w:id="57"/>
      </w:r>
      <w:r w:rsidRPr="00674938">
        <w:t xml:space="preserve"> For some this means the individual quest for sovereignty should be abandoned altogether in favour of some other goal, such as happiness or self-interest,</w:t>
      </w:r>
      <w:r w:rsidRPr="00674938">
        <w:rPr>
          <w:vertAlign w:val="superscript"/>
        </w:rPr>
        <w:footnoteReference w:id="58"/>
      </w:r>
      <w:r w:rsidRPr="00674938">
        <w:t xml:space="preserve"> yet for others, such as Hegel but also Rousseau,</w:t>
      </w:r>
      <w:r w:rsidRPr="00674938">
        <w:rPr>
          <w:vertAlign w:val="superscript"/>
        </w:rPr>
        <w:footnoteReference w:id="59"/>
      </w:r>
      <w:r w:rsidRPr="00674938">
        <w:t xml:space="preserve"> the state (or the group or the general will or the nation) becomes the only vehicle through which individuals can attain sovereignty.</w:t>
      </w:r>
      <w:r w:rsidRPr="00674938">
        <w:rPr>
          <w:vertAlign w:val="superscript"/>
        </w:rPr>
        <w:footnoteReference w:id="60"/>
      </w:r>
      <w:r w:rsidRPr="00674938">
        <w:t xml:space="preserve">    </w:t>
      </w:r>
    </w:p>
    <w:p w14:paraId="7088181A" w14:textId="44FF1E40" w:rsidR="00FE5238" w:rsidRPr="00674938" w:rsidRDefault="00F42C98" w:rsidP="00235C3A">
      <w:pPr>
        <w:pStyle w:val="Body"/>
        <w:suppressAutoHyphens/>
        <w:ind w:firstLine="360"/>
      </w:pPr>
      <w:r w:rsidRPr="00674938">
        <w:t>The modern state so conceived was thus tasked with a dual task that most polities in history were not:</w:t>
      </w:r>
      <w:r w:rsidRPr="00674938">
        <w:rPr>
          <w:vertAlign w:val="superscript"/>
        </w:rPr>
        <w:footnoteReference w:id="61"/>
      </w:r>
      <w:r w:rsidRPr="00674938">
        <w:t xml:space="preserve"> it needs to be sovereign </w:t>
      </w:r>
      <w:r w:rsidRPr="00674938">
        <w:rPr>
          <w:i/>
          <w:iCs/>
        </w:rPr>
        <w:t>over</w:t>
      </w:r>
      <w:r w:rsidRPr="00674938">
        <w:t xml:space="preserve"> its subjects (common enough in history), </w:t>
      </w:r>
      <w:r w:rsidRPr="00674938">
        <w:rPr>
          <w:i/>
          <w:iCs/>
        </w:rPr>
        <w:t>and</w:t>
      </w:r>
      <w:r w:rsidRPr="00674938">
        <w:t xml:space="preserve"> it needs to be sovereign </w:t>
      </w:r>
      <w:r w:rsidRPr="00674938">
        <w:rPr>
          <w:i/>
          <w:iCs/>
        </w:rPr>
        <w:t xml:space="preserve">for </w:t>
      </w:r>
      <w:r w:rsidRPr="00674938">
        <w:t xml:space="preserve">its subjects (much rarer, at least in reference to the majority of subjects). </w:t>
      </w:r>
      <w:r w:rsidR="00262EA8">
        <w:t>Therefore, b</w:t>
      </w:r>
      <w:r w:rsidRPr="00674938">
        <w:t>uilt into the claim that the modern state can reconcile the struggle for recognition between individuals are a number of assumptions about different aspects of sovereignty</w:t>
      </w:r>
      <w:r w:rsidR="00262EA8">
        <w:t>, which actually do not hold up very well under closer scrutiny. The state</w:t>
      </w:r>
      <w:r w:rsidRPr="00674938">
        <w:t xml:space="preserve"> </w:t>
      </w:r>
      <w:r w:rsidR="00262EA8">
        <w:t xml:space="preserve">that will reconcile the ‘struggle for recognition’ </w:t>
      </w:r>
      <w:r w:rsidRPr="00674938">
        <w:t xml:space="preserve">must </w:t>
      </w:r>
      <w:r w:rsidR="00262EA8">
        <w:t xml:space="preserve">first be </w:t>
      </w:r>
      <w:r w:rsidR="00262EA8" w:rsidRPr="00262EA8">
        <w:rPr>
          <w:i/>
          <w:iCs/>
        </w:rPr>
        <w:t>recognised itself</w:t>
      </w:r>
      <w:r w:rsidR="00262EA8">
        <w:t xml:space="preserve"> by</w:t>
      </w:r>
      <w:r w:rsidRPr="00674938">
        <w:t xml:space="preserve"> individuals (Assumption 1) as having the </w:t>
      </w:r>
      <w:r w:rsidRPr="00ED0C72">
        <w:rPr>
          <w:i/>
          <w:iCs/>
        </w:rPr>
        <w:t>capacity for such recognition</w:t>
      </w:r>
      <w:r w:rsidRPr="00674938">
        <w:t xml:space="preserve"> (Assumption 2) and </w:t>
      </w:r>
      <w:r w:rsidRPr="00ED0C72">
        <w:rPr>
          <w:i/>
          <w:iCs/>
        </w:rPr>
        <w:t>the ability to distribute</w:t>
      </w:r>
      <w:r w:rsidRPr="00674938">
        <w:t xml:space="preserve"> </w:t>
      </w:r>
      <w:r w:rsidR="00ED0C72">
        <w:t xml:space="preserve">it </w:t>
      </w:r>
      <w:r w:rsidRPr="00674938">
        <w:t>to</w:t>
      </w:r>
      <w:r w:rsidR="00ED0C72">
        <w:t xml:space="preserve"> all</w:t>
      </w:r>
      <w:r w:rsidRPr="00ED0C72">
        <w:rPr>
          <w:i/>
          <w:iCs/>
        </w:rPr>
        <w:t xml:space="preserve"> equally</w:t>
      </w:r>
      <w:r w:rsidRPr="00674938">
        <w:t xml:space="preserve"> (Assumption 3). In other words, the state must be acknowledged as sovereign by its citizens, and must in fact be sovereign for its citizens,</w:t>
      </w:r>
      <w:r w:rsidR="00ED0C72">
        <w:t xml:space="preserve"> so</w:t>
      </w:r>
      <w:r w:rsidRPr="00674938">
        <w:t xml:space="preserve"> that it can then ‘distribute’ that sovereignty equally a</w:t>
      </w:r>
      <w:r w:rsidR="00ED0C72">
        <w:t xml:space="preserve">mong its citizens, so that </w:t>
      </w:r>
      <w:r w:rsidRPr="00674938">
        <w:t xml:space="preserve">they do not have to struggle to get it themselves. All three assumptions are problematic in their own </w:t>
      </w:r>
      <w:r w:rsidRPr="00674938">
        <w:lastRenderedPageBreak/>
        <w:t>way, but together they explain why the struggle for recognition in modernity has had such a pro</w:t>
      </w:r>
      <w:r w:rsidR="00ED0C72">
        <w:t xml:space="preserve">nounced international dimension, as will be discussed in section three. </w:t>
      </w:r>
      <w:r w:rsidRPr="00674938">
        <w:t xml:space="preserve">   </w:t>
      </w:r>
    </w:p>
    <w:p w14:paraId="301195EE" w14:textId="2A91AF02" w:rsidR="00FE5238" w:rsidRPr="00674938" w:rsidRDefault="00F42C98" w:rsidP="00235C3A">
      <w:pPr>
        <w:pStyle w:val="Body"/>
        <w:suppressAutoHyphens/>
        <w:ind w:firstLine="360"/>
      </w:pPr>
      <w:r w:rsidRPr="00674938">
        <w:t xml:space="preserve">Let’s take Assumptions 1 and 3 together, since they both have to do with the recognition relationship the state has with its citizens. Following Hegel and neo-Hegelian theories of </w:t>
      </w:r>
      <w:r w:rsidR="00ED0C72">
        <w:t xml:space="preserve">equal </w:t>
      </w:r>
      <w:r w:rsidRPr="00674938">
        <w:t xml:space="preserve">recognition, it may be tempting ‘to treat the state like a </w:t>
      </w:r>
      <w:r w:rsidRPr="00674938">
        <w:rPr>
          <w:i/>
          <w:iCs/>
        </w:rPr>
        <w:t>deus ex machina</w:t>
      </w:r>
      <w:r w:rsidRPr="00674938">
        <w:t xml:space="preserve"> that appears from outside the social, which—by virtue of its sovereign elevation above the conflicts of social life—can serve as a mediating institution.’</w:t>
      </w:r>
      <w:r w:rsidRPr="00674938">
        <w:rPr>
          <w:vertAlign w:val="superscript"/>
        </w:rPr>
        <w:footnoteReference w:id="62"/>
      </w:r>
      <w:r w:rsidRPr="00674938">
        <w:t xml:space="preserve"> Yet the state itself does not stand in a relationship of equal</w:t>
      </w:r>
      <w:r w:rsidR="00ED0C72">
        <w:t xml:space="preserve">ity to its citizens; as is well </w:t>
      </w:r>
      <w:r w:rsidRPr="00674938">
        <w:t xml:space="preserve">acknowledged in IR, the state is atop the domestic hierarchy. </w:t>
      </w:r>
      <w:r w:rsidR="001724F0" w:rsidRPr="00674938">
        <w:t>Thus,</w:t>
      </w:r>
      <w:r w:rsidRPr="00674938">
        <w:t xml:space="preserve"> the relationship the state has with the citizens is one of asymmetry</w:t>
      </w:r>
      <w:r w:rsidR="00ED0C72">
        <w:t xml:space="preserve"> by definition</w:t>
      </w:r>
      <w:r w:rsidRPr="00674938">
        <w:t>,</w:t>
      </w:r>
      <w:r w:rsidRPr="00674938">
        <w:rPr>
          <w:vertAlign w:val="superscript"/>
        </w:rPr>
        <w:footnoteReference w:id="63"/>
      </w:r>
      <w:r w:rsidRPr="00674938">
        <w:t xml:space="preserve"> laden with the same problems as discussed in the previous section. </w:t>
      </w:r>
      <w:r w:rsidR="00ED0C72">
        <w:t>Furthermore</w:t>
      </w:r>
      <w:r w:rsidRPr="00674938">
        <w:t>, the historical origins of any given state very much resemble the master-slave figuration; (Western) modernity entails a process of abstraction of authority from the person of the kings to institutions, but there is no reason to assume that the process of abstraction would transform the primary recognition dilemma.</w:t>
      </w:r>
      <w:r w:rsidRPr="00674938">
        <w:rPr>
          <w:vertAlign w:val="superscript"/>
        </w:rPr>
        <w:footnoteReference w:id="64"/>
      </w:r>
      <w:r w:rsidRPr="00674938">
        <w:t xml:space="preserve"> The fundamental problem remains that the act of recognition by the citizen-subjects by itself cannot create the sovereignty of the state, but only an image of it. The state cannot become truly sovereign via the recognition of its citizens a</w:t>
      </w:r>
      <w:r w:rsidR="00C11BE7">
        <w:t>ny more than the master can; it</w:t>
      </w:r>
      <w:r w:rsidRPr="00674938">
        <w:t xml:space="preserve"> can only simulate that sovereignty over time (more on this in a moment). </w:t>
      </w:r>
      <w:r w:rsidR="001724F0" w:rsidRPr="00674938">
        <w:t>So,</w:t>
      </w:r>
      <w:r w:rsidRPr="00674938">
        <w:t xml:space="preserve"> there is always something precarious about the domestic recognition of the state by its citizens, a tension b</w:t>
      </w:r>
      <w:r w:rsidR="00ED0C72">
        <w:t xml:space="preserve">uilt into the very character of </w:t>
      </w:r>
      <w:r w:rsidRPr="00674938">
        <w:t xml:space="preserve">state sovereignty.  </w:t>
      </w:r>
    </w:p>
    <w:p w14:paraId="2DB1A84C" w14:textId="47B617A4" w:rsidR="00FE5238" w:rsidRPr="00674938" w:rsidRDefault="00F42C98" w:rsidP="00235C3A">
      <w:pPr>
        <w:pStyle w:val="Body"/>
        <w:suppressAutoHyphens/>
        <w:ind w:firstLine="360"/>
      </w:pPr>
      <w:r w:rsidRPr="00674938">
        <w:t xml:space="preserve">There is also the problem that the modern state is not equally distant to all of its citizens. </w:t>
      </w:r>
      <w:r w:rsidR="002708F3">
        <w:t>I</w:t>
      </w:r>
      <w:r w:rsidRPr="00674938">
        <w:t xml:space="preserve">t has been long acknowledged that while the modern state promises </w:t>
      </w:r>
      <w:r w:rsidRPr="00674938">
        <w:lastRenderedPageBreak/>
        <w:t>political emancipation through the equal legal recognition of citizenship for all, such recognition often entrenches existing inequalities by designating social or economic issues as ‘non-political’. By labelling certain problems as beyond the purview of politics, legal equality thus ‘disguises their status as forms of power and makes them more difficult to address politically.’</w:t>
      </w:r>
      <w:r w:rsidRPr="00674938">
        <w:rPr>
          <w:vertAlign w:val="superscript"/>
        </w:rPr>
        <w:footnoteReference w:id="65"/>
      </w:r>
      <w:r w:rsidRPr="00674938">
        <w:t xml:space="preserve"> Thus even when the state is approac</w:t>
      </w:r>
      <w:r w:rsidR="002708F3">
        <w:t>hing its citizens equally, it</w:t>
      </w:r>
      <w:r w:rsidRPr="00674938">
        <w:t xml:space="preserve"> reproduc</w:t>
      </w:r>
      <w:r w:rsidR="002708F3">
        <w:t>es</w:t>
      </w:r>
      <w:r w:rsidRPr="00674938">
        <w:t xml:space="preserve"> existing social hierarchies. But the problem runs deeper than that, in the sense that the state’s own quest for recognition becomes entangled in the politics of stratification domestically (also internationally, but more on that in a moment). The example Markell uses to illustrate this point is the Prussian emancipation Edict of 1812, granting full rights to Jews. The contradiction of </w:t>
      </w:r>
      <w:r w:rsidR="00ED0C72">
        <w:t xml:space="preserve">that </w:t>
      </w:r>
      <w:r w:rsidRPr="00674938">
        <w:t xml:space="preserve">edict was that while it ‘moved to dissolve the legal distinction between Jew and Christian…the same edict took pains to ensure that Jews could always be recognized </w:t>
      </w:r>
      <w:r w:rsidRPr="00674938">
        <w:rPr>
          <w:i/>
          <w:iCs/>
        </w:rPr>
        <w:t>as Jews</w:t>
      </w:r>
      <w:r w:rsidRPr="00674938">
        <w:t xml:space="preserve"> by the authorities.’</w:t>
      </w:r>
      <w:r w:rsidRPr="00674938">
        <w:rPr>
          <w:vertAlign w:val="superscript"/>
        </w:rPr>
        <w:footnoteReference w:id="66"/>
      </w:r>
      <w:r w:rsidRPr="00674938">
        <w:t xml:space="preserve"> This is because the recognition of the sovereignty of the state is also a simulation, a</w:t>
      </w:r>
      <w:r w:rsidR="00ED0C72">
        <w:t>n image (as all recognition is,</w:t>
      </w:r>
      <w:r w:rsidRPr="00674938">
        <w:t xml:space="preserve"> as discussed </w:t>
      </w:r>
      <w:r w:rsidR="002708F3">
        <w:t>in the previous section</w:t>
      </w:r>
      <w:r w:rsidR="00ED0C72">
        <w:t>)</w:t>
      </w:r>
      <w:r w:rsidRPr="00674938">
        <w:t>; for it to be constantly reproduced, for recognition to be ‘more than momentary and ephemeral, the institutions of the state must maintain a vigilant surveillance of the Jews to be sure that they are conforming to the terms of their emancipation—and such surveillance requires that Jews be recognizable.’</w:t>
      </w:r>
      <w:r w:rsidRPr="00674938">
        <w:rPr>
          <w:vertAlign w:val="superscript"/>
        </w:rPr>
        <w:footnoteReference w:id="67"/>
      </w:r>
      <w:r w:rsidRPr="00674938">
        <w:t xml:space="preserve"> This also makes the impossible task of acquiring sovereignty (state sovereignty in this case) the problem of Jews (or other similarly situated groups).  In other words, the problem of domestic sovereign recognition (or the need for it be to continuously simulated) becomes disproportionately borne by the ‘others’ of society. </w:t>
      </w:r>
    </w:p>
    <w:p w14:paraId="3BE74972" w14:textId="25BCB5E0" w:rsidR="008E262C" w:rsidRDefault="00F42C98" w:rsidP="00235C3A">
      <w:pPr>
        <w:pStyle w:val="Body"/>
        <w:suppressAutoHyphens/>
        <w:ind w:firstLine="360"/>
      </w:pPr>
      <w:r w:rsidRPr="00674938">
        <w:lastRenderedPageBreak/>
        <w:t xml:space="preserve">This brings us back to Assumption 2 - can the state be sovereign </w:t>
      </w:r>
      <w:r w:rsidRPr="00674938">
        <w:rPr>
          <w:i/>
          <w:iCs/>
        </w:rPr>
        <w:t>for</w:t>
      </w:r>
      <w:r w:rsidRPr="00674938">
        <w:t xml:space="preserve"> its citizens? Leaving aside the questions of whether it can achieve sovereignty via the recognition of its citizens or distribute whatever goods it produces equally, is there</w:t>
      </w:r>
      <w:r w:rsidR="002708F3">
        <w:t xml:space="preserve"> a</w:t>
      </w:r>
      <w:r w:rsidRPr="00674938">
        <w:t xml:space="preserve"> scenario under which it can actually achieve sovereignty in the sense of ‘the condition of being an independent, self-determining agent’, with ‘something like full ownership of one’s life and doings’, as discussed in the previous section? Can the state master nature for its citizens? Can it be absolute</w:t>
      </w:r>
      <w:r w:rsidR="002708F3">
        <w:t>ly</w:t>
      </w:r>
      <w:r w:rsidRPr="00674938">
        <w:t xml:space="preserve"> free in the world? Could it elevate its citizens to a condition of genuine, positive, freedom? Once again, we can point to a strand of political thought from Hobbes to Rousseau to Schmitt that sees this almost god-like potential in the state, but it is difficult to argue that any modern state has even approximated such sovereignty as an actor itself, let alone for its citizens.</w:t>
      </w:r>
      <w:r w:rsidRPr="00674938">
        <w:rPr>
          <w:vertAlign w:val="superscript"/>
        </w:rPr>
        <w:footnoteReference w:id="68"/>
      </w:r>
      <w:r w:rsidRPr="00674938">
        <w:t xml:space="preserve"> One could even argue that the densely interactive conditions of modern world politics make approaching such freedom more difficult for modern states in the same way conditions of modern soci</w:t>
      </w:r>
      <w:r w:rsidR="002708F3">
        <w:t>ety do so for individuals. Yet</w:t>
      </w:r>
      <w:r w:rsidRPr="00674938">
        <w:t xml:space="preserve">, the modern state is </w:t>
      </w:r>
      <w:r w:rsidR="002708F3">
        <w:t xml:space="preserve">relatively </w:t>
      </w:r>
      <w:r w:rsidRPr="00674938">
        <w:t>unique</w:t>
      </w:r>
      <w:r w:rsidR="002708F3">
        <w:t xml:space="preserve"> among historical polities</w:t>
      </w:r>
      <w:r w:rsidRPr="00674938">
        <w:t xml:space="preserve"> in promising to deliver sovereignty </w:t>
      </w:r>
      <w:r w:rsidRPr="00674938">
        <w:rPr>
          <w:i/>
          <w:iCs/>
        </w:rPr>
        <w:t>for</w:t>
      </w:r>
      <w:r w:rsidRPr="00674938">
        <w:t xml:space="preserve"> its citizens in addition to </w:t>
      </w:r>
      <w:r w:rsidRPr="00674938">
        <w:rPr>
          <w:i/>
          <w:iCs/>
        </w:rPr>
        <w:t>over</w:t>
      </w:r>
      <w:r w:rsidRPr="00674938">
        <w:t xml:space="preserve"> its citizens. </w:t>
      </w:r>
      <w:r w:rsidR="00ED0C72">
        <w:t>T</w:t>
      </w:r>
      <w:r w:rsidRPr="00674938">
        <w:t>he primary justification for its level of penetration into daily life</w:t>
      </w:r>
      <w:r w:rsidR="00ED0C72">
        <w:t xml:space="preserve"> is in fact this very promise</w:t>
      </w:r>
      <w:r w:rsidRPr="00674938">
        <w:t xml:space="preserve">, which means that the modern state project has to be somehow legitimated despite its continuous failure to deliver upon one of its main goals. If one of the solutions </w:t>
      </w:r>
      <w:r w:rsidR="00ED0C72">
        <w:t xml:space="preserve">is the domestic arrangement discussed above, </w:t>
      </w:r>
      <w:r w:rsidRPr="00674938">
        <w:t>yet another one is to project</w:t>
      </w:r>
      <w:r w:rsidR="00ED0C72">
        <w:t>ion of</w:t>
      </w:r>
      <w:r w:rsidRPr="00674938">
        <w:t xml:space="preserve"> the simulation</w:t>
      </w:r>
      <w:r w:rsidR="00ED0C72">
        <w:t xml:space="preserve"> of sovereignty</w:t>
      </w:r>
      <w:r w:rsidRPr="00674938">
        <w:t xml:space="preserve"> to the international arena. This is how the master-slave dynamic acquires an international angle. </w:t>
      </w:r>
    </w:p>
    <w:p w14:paraId="32F97CB9" w14:textId="77777777" w:rsidR="008E262C" w:rsidRPr="00674938" w:rsidRDefault="008E262C" w:rsidP="00235C3A">
      <w:pPr>
        <w:pStyle w:val="Body"/>
        <w:suppressAutoHyphens/>
        <w:ind w:firstLine="360"/>
      </w:pPr>
    </w:p>
    <w:p w14:paraId="622D2637" w14:textId="77777777" w:rsidR="00FE5238" w:rsidRPr="00674938" w:rsidRDefault="00F42C98" w:rsidP="00235C3A">
      <w:pPr>
        <w:pStyle w:val="Body"/>
        <w:suppressAutoHyphens/>
        <w:rPr>
          <w:b/>
          <w:bCs/>
        </w:rPr>
      </w:pPr>
      <w:r w:rsidRPr="00674938">
        <w:rPr>
          <w:b/>
          <w:bCs/>
        </w:rPr>
        <w:t>III. The International Struggle for Recognition</w:t>
      </w:r>
    </w:p>
    <w:p w14:paraId="791FE451" w14:textId="1662DBE6" w:rsidR="00FE5238" w:rsidRPr="00674938" w:rsidRDefault="00F42C98" w:rsidP="00235C3A">
      <w:pPr>
        <w:pStyle w:val="Body"/>
        <w:suppressAutoHyphens/>
      </w:pPr>
      <w:r w:rsidRPr="00674938">
        <w:lastRenderedPageBreak/>
        <w:t>It is not coincidental that social hierarchies of the international system became entrenched at the very historical moment — nineteenth century — that the modern state project reached maturation as an idea,</w:t>
      </w:r>
      <w:r w:rsidRPr="00674938">
        <w:rPr>
          <w:vertAlign w:val="superscript"/>
        </w:rPr>
        <w:footnoteReference w:id="69"/>
      </w:r>
      <w:r w:rsidRPr="00674938">
        <w:t xml:space="preserve"> and as this section will argue, their co-emergence cannot be attributed to material factors alone. It is also not an accident that of all aspects of modern sovereignty, external recognition was the last to emerge (more in this in a moment). This is not to say that there was no struggle for recognition in ‘world politics’ before the nineteenth century. Nevertheless, following the observation</w:t>
      </w:r>
      <w:r w:rsidRPr="00674938">
        <w:rPr>
          <w:vertAlign w:val="superscript"/>
        </w:rPr>
        <w:footnoteReference w:id="70"/>
      </w:r>
      <w:r w:rsidRPr="00674938">
        <w:t xml:space="preserve"> that there is something </w:t>
      </w:r>
      <w:r w:rsidRPr="00FB75E9">
        <w:rPr>
          <w:i/>
          <w:iCs/>
        </w:rPr>
        <w:t>modern</w:t>
      </w:r>
      <w:r w:rsidRPr="00674938">
        <w:t xml:space="preserve"> about the ‘politics of recognition’ in that recognition becomes political in domestic politics only after traditional categories are eroded and identity becomes construct-able (or after self-fashioning becomes possible), I would posit that there is something </w:t>
      </w:r>
      <w:r w:rsidRPr="00FB75E9">
        <w:rPr>
          <w:i/>
          <w:iCs/>
        </w:rPr>
        <w:t xml:space="preserve">even more modern </w:t>
      </w:r>
      <w:r w:rsidRPr="00674938">
        <w:t xml:space="preserve">about the </w:t>
      </w:r>
      <w:r w:rsidRPr="00674938">
        <w:rPr>
          <w:i/>
          <w:iCs/>
        </w:rPr>
        <w:t>international</w:t>
      </w:r>
      <w:r w:rsidRPr="00674938">
        <w:t xml:space="preserve"> ‘politics of recognition’.</w:t>
      </w:r>
      <w:r w:rsidR="00FB75E9">
        <w:t xml:space="preserve"> Modern states are much more preoccupied with ‘international’ recognition than most of their predecessors.</w:t>
      </w:r>
      <w:r w:rsidRPr="00674938">
        <w:t xml:space="preserve"> The previous section has already gestured in th</w:t>
      </w:r>
      <w:r w:rsidR="00FB75E9">
        <w:t>e</w:t>
      </w:r>
      <w:r w:rsidRPr="00674938">
        <w:t xml:space="preserve"> direction</w:t>
      </w:r>
      <w:r w:rsidR="00FB75E9">
        <w:t xml:space="preserve"> of this argument</w:t>
      </w:r>
      <w:r w:rsidRPr="00674938">
        <w:t xml:space="preserve">, but let me delineate even further, given that the argument runs entirely counter to received wisdom in </w:t>
      </w:r>
      <w:r w:rsidR="002708F3">
        <w:t>rationalist</w:t>
      </w:r>
      <w:r w:rsidRPr="00674938">
        <w:t xml:space="preserve"> IR that states (and especially modern states) do not care about intangible goods such as recognition and are motivated by material interests alone.</w:t>
      </w:r>
    </w:p>
    <w:p w14:paraId="5786FD8C" w14:textId="1BC9FB3B" w:rsidR="00FE5238" w:rsidRPr="00674938" w:rsidRDefault="00F42C98" w:rsidP="00235C3A">
      <w:pPr>
        <w:pStyle w:val="Body"/>
        <w:suppressAutoHyphens/>
        <w:ind w:firstLine="360"/>
      </w:pPr>
      <w:r w:rsidRPr="00674938">
        <w:t>Most IR definitions of state sovereignty can be reduced to the components of ‘supreme authority’ and ‘territory’,</w:t>
      </w:r>
      <w:r w:rsidRPr="00674938">
        <w:rPr>
          <w:vertAlign w:val="superscript"/>
        </w:rPr>
        <w:footnoteReference w:id="71"/>
      </w:r>
      <w:r w:rsidRPr="00674938">
        <w:t xml:space="preserve"> both of which come with implicit assumptions about recognition, internal and external. For example, Krasner defines ‘the Westphalian state’ as ‘a system of political authority based on territory and autonomy’</w:t>
      </w:r>
      <w:r w:rsidRPr="00674938">
        <w:rPr>
          <w:vertAlign w:val="superscript"/>
        </w:rPr>
        <w:footnoteReference w:id="72"/>
      </w:r>
      <w:r w:rsidRPr="00674938">
        <w:t xml:space="preserve">; elsewhere he distinguishes between ‘interdependence </w:t>
      </w:r>
      <w:r w:rsidRPr="00674938">
        <w:lastRenderedPageBreak/>
        <w:t>sovereignty…[i.e.] the ability of states to control movement across their borders’</w:t>
      </w:r>
      <w:r w:rsidRPr="00674938">
        <w:rPr>
          <w:vertAlign w:val="superscript"/>
        </w:rPr>
        <w:footnoteReference w:id="73"/>
      </w:r>
      <w:r w:rsidRPr="00674938">
        <w:t>, ‘domestic sovereignty’ which denotes the extent to which political authority can ‘effectively regulate behaviour’</w:t>
      </w:r>
      <w:r w:rsidRPr="00674938">
        <w:rPr>
          <w:vertAlign w:val="superscript"/>
        </w:rPr>
        <w:footnoteReference w:id="74"/>
      </w:r>
      <w:r w:rsidRPr="00674938">
        <w:t xml:space="preserve">; ‘Vattelian sovereignty …[i.e.] the exclusion of external sources of authority both </w:t>
      </w:r>
      <w:r w:rsidRPr="00674938">
        <w:rPr>
          <w:i/>
          <w:iCs/>
          <w:u w:color="009BAA"/>
        </w:rPr>
        <w:t xml:space="preserve">de juri </w:t>
      </w:r>
      <w:r w:rsidRPr="00674938">
        <w:t xml:space="preserve">and </w:t>
      </w:r>
      <w:r w:rsidRPr="00674938">
        <w:rPr>
          <w:i/>
          <w:iCs/>
          <w:u w:color="009BAA"/>
        </w:rPr>
        <w:t>de facto</w:t>
      </w:r>
      <w:r w:rsidRPr="00674938">
        <w:t>’</w:t>
      </w:r>
      <w:r w:rsidRPr="00674938">
        <w:rPr>
          <w:vertAlign w:val="superscript"/>
        </w:rPr>
        <w:footnoteReference w:id="75"/>
      </w:r>
      <w:r w:rsidRPr="00674938">
        <w:t xml:space="preserve"> and ‘International legal sovereignty [which] refers to mutual recognition’.</w:t>
      </w:r>
      <w:r w:rsidRPr="00674938">
        <w:rPr>
          <w:vertAlign w:val="superscript"/>
        </w:rPr>
        <w:footnoteReference w:id="76"/>
      </w:r>
      <w:r w:rsidRPr="00674938">
        <w:t xml:space="preserve"> Traditionally, most IR scholarship operated with the assumption that the ‘Westphalian state’ had in fact emerged after the Peace of Westphalia, in 1648, which was supposed to have transformed the world from one dominated by religious divisions to one of territorial sovereign states extending each other mutual recognition. For the last few decades, however, the Westphalian narrative and the accompanied dating of modern sovereignty back to the seventeenth century has come under criticism. The overwhelming majority</w:t>
      </w:r>
      <w:r w:rsidRPr="00674938">
        <w:rPr>
          <w:vertAlign w:val="superscript"/>
        </w:rPr>
        <w:footnoteReference w:id="77"/>
      </w:r>
      <w:r w:rsidRPr="00674938">
        <w:t xml:space="preserve"> of these scholars</w:t>
      </w:r>
      <w:r w:rsidRPr="00674938">
        <w:rPr>
          <w:vertAlign w:val="superscript"/>
        </w:rPr>
        <w:footnoteReference w:id="78"/>
      </w:r>
      <w:r w:rsidRPr="00674938">
        <w:t xml:space="preserve"> date the emergence of modern state to a much later period. Interestingly the later dating usually </w:t>
      </w:r>
      <w:r w:rsidR="00466CA5">
        <w:t>does not focus on</w:t>
      </w:r>
      <w:r w:rsidRPr="00674938">
        <w:t xml:space="preserve"> the emergence of the notion of centralised supreme authority, which most scholars concede date back to earlier </w:t>
      </w:r>
      <w:r w:rsidRPr="00674938">
        <w:lastRenderedPageBreak/>
        <w:t>periods,</w:t>
      </w:r>
      <w:r w:rsidRPr="00674938">
        <w:rPr>
          <w:vertAlign w:val="superscript"/>
        </w:rPr>
        <w:footnoteReference w:id="79"/>
      </w:r>
      <w:r w:rsidRPr="00674938">
        <w:t xml:space="preserve">  but rather around the emergence of territoriality</w:t>
      </w:r>
      <w:r w:rsidRPr="00674938">
        <w:rPr>
          <w:vertAlign w:val="superscript"/>
        </w:rPr>
        <w:footnoteReference w:id="80"/>
      </w:r>
      <w:r w:rsidRPr="00674938">
        <w:t xml:space="preserve"> and the principle of external recognition, both of which most scholars now date to the nineteenth century.</w:t>
      </w:r>
      <w:r w:rsidRPr="00674938">
        <w:rPr>
          <w:vertAlign w:val="superscript"/>
        </w:rPr>
        <w:footnoteReference w:id="81"/>
      </w:r>
    </w:p>
    <w:p w14:paraId="70B9C317" w14:textId="7B25AC85" w:rsidR="00FE5238" w:rsidRPr="00674938" w:rsidRDefault="00F42C98" w:rsidP="00235C3A">
      <w:pPr>
        <w:pStyle w:val="Body"/>
        <w:suppressAutoHyphens/>
        <w:ind w:firstLine="360"/>
      </w:pPr>
      <w:r w:rsidRPr="00674938">
        <w:t>To give a few examples, Croxton notes that historically, ‘the difficulty is not finding a ruler who considers himself to be sovereign, but a group of rulers who recognise each other’s sovereignty’.</w:t>
      </w:r>
      <w:r w:rsidRPr="00674938">
        <w:rPr>
          <w:vertAlign w:val="superscript"/>
        </w:rPr>
        <w:footnoteReference w:id="82"/>
      </w:r>
      <w:r w:rsidRPr="00674938">
        <w:t xml:space="preserve"> Krasner notes that ‘the principle that rulers should not intervene in or judge domestic affairs in other states was actually introduced by two international legal theorists in the latter part of the eighteenth century, Emmerich de Vattel and Christian Wolff’.</w:t>
      </w:r>
      <w:r w:rsidRPr="00674938">
        <w:rPr>
          <w:vertAlign w:val="superscript"/>
        </w:rPr>
        <w:footnoteReference w:id="83"/>
      </w:r>
      <w:r w:rsidRPr="00674938">
        <w:t xml:space="preserve"> Osiander notes that ‘before the nineteenth century state and society were not generally seen as coextensive.’</w:t>
      </w:r>
      <w:r w:rsidRPr="00674938">
        <w:rPr>
          <w:vertAlign w:val="superscript"/>
        </w:rPr>
        <w:footnoteReference w:id="84"/>
      </w:r>
      <w:r w:rsidRPr="00674938">
        <w:t xml:space="preserve"> He also observes that ‘for a long time after Jean Bodin popularized the concept [of </w:t>
      </w:r>
      <w:r w:rsidRPr="00674938">
        <w:lastRenderedPageBreak/>
        <w:t>sovereignty] in the late sixteenth century, political theorists and practicians alike attached more importance to its domestic than its external side’.</w:t>
      </w:r>
      <w:r w:rsidRPr="00674938">
        <w:rPr>
          <w:vertAlign w:val="superscript"/>
        </w:rPr>
        <w:footnoteReference w:id="85"/>
      </w:r>
      <w:r w:rsidRPr="00674938">
        <w:t xml:space="preserve"> Mutual recognition of sovereignty became emphasised (most notably by international lawyers) in the nineteenth and twentieth century, after ‘the integrating power of industrialization brought about a near congruence between state and society: each “nation” state was now, or at least could conceivably be, its own society, considered complete unto itself.’</w:t>
      </w:r>
      <w:r w:rsidRPr="00674938">
        <w:rPr>
          <w:vertAlign w:val="superscript"/>
        </w:rPr>
        <w:footnoteReference w:id="86"/>
      </w:r>
      <w:r w:rsidRPr="00674938">
        <w:t xml:space="preserve"> Bartelson argues that ‘a modern notion of recognition first evolved in response to declarations of independence’</w:t>
      </w:r>
      <w:r w:rsidRPr="00674938">
        <w:rPr>
          <w:vertAlign w:val="superscript"/>
        </w:rPr>
        <w:footnoteReference w:id="87"/>
      </w:r>
      <w:r w:rsidRPr="00674938">
        <w:t xml:space="preserve"> and while external recognition originally was understood to be a way of acknowledging facts on the ground, in the nineteenth century, it came to be understood as constitutive of statehood.</w:t>
      </w:r>
      <w:r w:rsidRPr="00674938">
        <w:rPr>
          <w:vertAlign w:val="superscript"/>
        </w:rPr>
        <w:footnoteReference w:id="88"/>
      </w:r>
      <w:r w:rsidRPr="00674938">
        <w:t xml:space="preserve"> The way nineteenth century legal frameworks developed, it was initially </w:t>
      </w:r>
      <w:r w:rsidR="00502705">
        <w:t>conceded</w:t>
      </w:r>
      <w:r w:rsidRPr="00674938">
        <w:t xml:space="preserve"> that sovereignty was first acquired internally, but</w:t>
      </w:r>
      <w:r w:rsidR="00502705">
        <w:t xml:space="preserve"> also argued that it was</w:t>
      </w:r>
      <w:r w:rsidRPr="00674938">
        <w:t xml:space="preserve"> made complete by external recognition and through membership in international society.</w:t>
      </w:r>
      <w:r w:rsidRPr="00674938">
        <w:rPr>
          <w:vertAlign w:val="superscript"/>
        </w:rPr>
        <w:footnoteReference w:id="89"/>
      </w:r>
      <w:r w:rsidRPr="00674938">
        <w:t xml:space="preserve"> But soon this view was replaced by one that elevated external recognition over internal recognition of sovereignty and made external recognition dependent on the level of civilisation, with humanity divided into three spheres as civilised, barbarous and savage, all with corresponding degrees of recognition.</w:t>
      </w:r>
      <w:r w:rsidRPr="00674938">
        <w:rPr>
          <w:vertAlign w:val="superscript"/>
        </w:rPr>
        <w:footnoteReference w:id="90"/>
      </w:r>
      <w:r w:rsidRPr="00674938">
        <w:t xml:space="preserve"> In the </w:t>
      </w:r>
      <w:r w:rsidRPr="00674938">
        <w:lastRenderedPageBreak/>
        <w:t>twentieth century, the same notion was echoed by the mandate system of the League of Nations, where it was held that some communities ‘have reached a stage of development where their existence as independent nations can be provisionally recognised subject to the rendering of administrative advice and assistance by a Mandatory until such time as they are able to stand alone.’</w:t>
      </w:r>
      <w:r w:rsidRPr="00674938">
        <w:rPr>
          <w:vertAlign w:val="superscript"/>
        </w:rPr>
        <w:footnoteReference w:id="91"/>
      </w:r>
      <w:r w:rsidRPr="00674938">
        <w:t xml:space="preserve"> The main difference between the logic underwriting the mandate system and Lorimer’s racial theory of recognition is that the mandate system accepts the possibility of future recognition; it is progressive.    </w:t>
      </w:r>
    </w:p>
    <w:p w14:paraId="64046502" w14:textId="66F32DB6" w:rsidR="00FE1C64" w:rsidRDefault="00F42C98" w:rsidP="00235C3A">
      <w:pPr>
        <w:pStyle w:val="Body"/>
        <w:suppressAutoHyphens/>
        <w:ind w:firstLine="360"/>
      </w:pPr>
      <w:r w:rsidRPr="00674938">
        <w:t>To sum up, within the historical trajectory of the modern international system, thinking about sovereignty evolved from it being understood as primarily (if not exclusively) internally driven and being in the purview of the political ruler alone</w:t>
      </w:r>
      <w:r w:rsidR="00FE1C64">
        <w:t>,</w:t>
      </w:r>
      <w:r w:rsidRPr="00674938">
        <w:t xml:space="preserve"> to it becoming abstracted from the pers</w:t>
      </w:r>
      <w:r w:rsidR="00FE1C64">
        <w:t>on of the monarch to institution</w:t>
      </w:r>
      <w:r w:rsidRPr="00674938">
        <w:t>s, then associated with the general will of the community — i.e. the ‘nation’ — and territ</w:t>
      </w:r>
      <w:r w:rsidR="00FE1C64">
        <w:t>orialised. Around the same time</w:t>
      </w:r>
      <w:r w:rsidRPr="00674938">
        <w:t xml:space="preserve">, external recognition started to play much larger role in </w:t>
      </w:r>
      <w:r w:rsidR="00FE1C64">
        <w:t>the determination of sovereignty, eventually surpassing</w:t>
      </w:r>
      <w:r w:rsidRPr="00674938">
        <w:t xml:space="preserve"> </w:t>
      </w:r>
      <w:r w:rsidR="00FE1C64">
        <w:t>in many</w:t>
      </w:r>
      <w:r w:rsidRPr="00674938">
        <w:t xml:space="preserve"> most parts of the world — i.e. for those deemed ‘savage’ or ‘barbarous’ — </w:t>
      </w:r>
      <w:r w:rsidR="00FE1C64">
        <w:t>the fulfilment of the</w:t>
      </w:r>
      <w:r w:rsidRPr="00674938">
        <w:t xml:space="preserve"> </w:t>
      </w:r>
      <w:r w:rsidR="00FE1C64">
        <w:t xml:space="preserve">criteria for the </w:t>
      </w:r>
      <w:r w:rsidRPr="00674938">
        <w:t xml:space="preserve">internal constitution of statehood. </w:t>
      </w:r>
      <w:r w:rsidR="00FE1C64">
        <w:t xml:space="preserve">In other words, polities that had </w:t>
      </w:r>
      <w:r w:rsidR="00FE1C64">
        <w:lastRenderedPageBreak/>
        <w:t>long displayed features of internal sovereignty (e.g. the Ottoman Empire, Siam, Japan</w:t>
      </w:r>
      <w:r w:rsidR="00FE1C64">
        <w:rPr>
          <w:rStyle w:val="FootnoteReference"/>
        </w:rPr>
        <w:footnoteReference w:id="92"/>
      </w:r>
      <w:r w:rsidR="00FE1C64">
        <w:t xml:space="preserve">) could now be called semi-sovereign due to lack of external recognition. </w:t>
      </w:r>
    </w:p>
    <w:p w14:paraId="217E4464" w14:textId="6F02ACD6" w:rsidR="00FE5238" w:rsidRPr="00674938" w:rsidRDefault="00FE1C64" w:rsidP="00235C3A">
      <w:pPr>
        <w:pStyle w:val="Body"/>
        <w:suppressAutoHyphens/>
        <w:ind w:firstLine="360"/>
      </w:pPr>
      <w:r>
        <w:t>This</w:t>
      </w:r>
      <w:r w:rsidR="00F42C98" w:rsidRPr="00674938">
        <w:t xml:space="preserve"> legal framework </w:t>
      </w:r>
      <w:r>
        <w:t xml:space="preserve">evolved in the twentieth century, with the promise </w:t>
      </w:r>
      <w:r w:rsidR="00F42C98" w:rsidRPr="00674938">
        <w:t>that the external recognition thus withheld in the nineteenth century could now be attained, only if domestic struc</w:t>
      </w:r>
      <w:r>
        <w:t>tures could be brought up to external</w:t>
      </w:r>
      <w:r w:rsidR="00F42C98" w:rsidRPr="00674938">
        <w:t xml:space="preserve"> </w:t>
      </w:r>
      <w:r>
        <w:t>‘</w:t>
      </w:r>
      <w:r w:rsidR="00F42C98" w:rsidRPr="00674938">
        <w:t>standards of civilisation</w:t>
      </w:r>
      <w:r>
        <w:t>’</w:t>
      </w:r>
      <w:r w:rsidR="00F42C98" w:rsidRPr="00674938">
        <w:t xml:space="preserve"> (or modernity, or development).</w:t>
      </w:r>
      <w:r>
        <w:rPr>
          <w:rStyle w:val="FootnoteReference"/>
        </w:rPr>
        <w:footnoteReference w:id="93"/>
      </w:r>
      <w:r w:rsidR="00F42C98" w:rsidRPr="00674938">
        <w:t xml:space="preserve"> The eventual outcome of this evolution was the emergence of the universal law of sovereign equality in the second</w:t>
      </w:r>
      <w:r w:rsidR="00AA475A">
        <w:t xml:space="preserve"> half of the twentieth century.</w:t>
      </w:r>
      <w:r>
        <w:t xml:space="preserve"> IR now has a corpus of works dealing with this period and the social, economic, political hierarchies engendered therein. What we had not done a good job of explaining</w:t>
      </w:r>
      <w:r w:rsidR="00AA475A">
        <w:t xml:space="preserve"> thus far</w:t>
      </w:r>
      <w:r>
        <w:t xml:space="preserve"> was the puzzle </w:t>
      </w:r>
      <w:r w:rsidR="00AA475A">
        <w:t xml:space="preserve">about timing: why should the </w:t>
      </w:r>
      <w:r w:rsidR="00AA475A" w:rsidRPr="00674938">
        <w:t>timing of the emergence of the preoccupation with external recognition</w:t>
      </w:r>
      <w:r w:rsidR="00AA475A">
        <w:t xml:space="preserve"> (and thus international social hierarchies) coincide with the emergence of the modern state and become even more pronounced following the global diffusion of the modern state norm? The </w:t>
      </w:r>
      <w:r w:rsidR="00502705">
        <w:t xml:space="preserve">Hegelian </w:t>
      </w:r>
      <w:r w:rsidR="00F42C98" w:rsidRPr="00674938">
        <w:t>reading</w:t>
      </w:r>
      <w:r w:rsidR="00AA475A">
        <w:t xml:space="preserve"> of internal/external recognition dynamics I</w:t>
      </w:r>
      <w:r w:rsidR="00F42C98" w:rsidRPr="00674938">
        <w:t xml:space="preserve"> advanced in previous sections</w:t>
      </w:r>
      <w:r w:rsidR="00AA475A">
        <w:t xml:space="preserve"> helps us make sense of the timing of these developments and explains why the nineteenth century was such a formative period in the emergence of modern international order. </w:t>
      </w:r>
    </w:p>
    <w:p w14:paraId="018C6D1B" w14:textId="0AC57948" w:rsidR="002D595F" w:rsidRDefault="00AA475A" w:rsidP="00235C3A">
      <w:pPr>
        <w:pStyle w:val="Body"/>
        <w:suppressAutoHyphens/>
        <w:ind w:firstLine="360"/>
      </w:pPr>
      <w:r>
        <w:t>To recap, w</w:t>
      </w:r>
      <w:r w:rsidR="00F42C98" w:rsidRPr="00674938">
        <w:t>hen sovereignty lies with the ruler alone, as opposed to institutions, whoever is the ruler is recognised by his subjects</w:t>
      </w:r>
      <w:r w:rsidR="00502705">
        <w:t xml:space="preserve"> more or less straightforwardly</w:t>
      </w:r>
      <w:r w:rsidR="00F42C98" w:rsidRPr="00674938">
        <w:t xml:space="preserve"> in the manner captured by the master-slave figuration. </w:t>
      </w:r>
      <w:r>
        <w:t>T</w:t>
      </w:r>
      <w:r w:rsidR="00F42C98" w:rsidRPr="00674938">
        <w:t xml:space="preserve">his is ultimately </w:t>
      </w:r>
      <w:r w:rsidR="002708F3">
        <w:t>a mis</w:t>
      </w:r>
      <w:r w:rsidR="00F42C98" w:rsidRPr="00674938">
        <w:t>recognition</w:t>
      </w:r>
      <w:r w:rsidR="00502705">
        <w:t xml:space="preserve"> for the ruler</w:t>
      </w:r>
      <w:r w:rsidR="00F42C98" w:rsidRPr="00674938">
        <w:t xml:space="preserve"> because the subjects are in a dominated position</w:t>
      </w:r>
      <w:r w:rsidR="00502705">
        <w:t>, and the more dominated they are, the less valuable</w:t>
      </w:r>
      <w:r>
        <w:t xml:space="preserve"> is</w:t>
      </w:r>
      <w:r w:rsidR="00502705">
        <w:t xml:space="preserve"> the recognition they offer</w:t>
      </w:r>
      <w:r w:rsidR="00F42C98" w:rsidRPr="00674938">
        <w:t xml:space="preserve">. </w:t>
      </w:r>
      <w:r>
        <w:t xml:space="preserve">Yet </w:t>
      </w:r>
      <w:r w:rsidR="00F42C98" w:rsidRPr="00674938">
        <w:t>human history is littered with such arrangements and they are for the m</w:t>
      </w:r>
      <w:r>
        <w:t>ost part very durable. This is</w:t>
      </w:r>
      <w:r w:rsidR="00F42C98" w:rsidRPr="00674938">
        <w:t xml:space="preserve"> because the </w:t>
      </w:r>
      <w:r w:rsidR="00F42C98" w:rsidRPr="00674938">
        <w:rPr>
          <w:i/>
          <w:iCs/>
        </w:rPr>
        <w:t>image</w:t>
      </w:r>
      <w:r w:rsidR="00F42C98" w:rsidRPr="00674938">
        <w:t xml:space="preserve"> of sovereignty mirrored back </w:t>
      </w:r>
      <w:r w:rsidR="001724F0" w:rsidRPr="00674938">
        <w:t xml:space="preserve">to </w:t>
      </w:r>
      <w:r w:rsidR="002D595F">
        <w:t xml:space="preserve">a such </w:t>
      </w:r>
      <w:r w:rsidR="00F42C98" w:rsidRPr="00674938">
        <w:t>ruler</w:t>
      </w:r>
      <w:r w:rsidR="002D595F">
        <w:t xml:space="preserve"> </w:t>
      </w:r>
      <w:r w:rsidR="002D595F" w:rsidRPr="00674938">
        <w:t>in such a situation</w:t>
      </w:r>
      <w:r>
        <w:t>—say e.g. the Pharaoh in Ancient Egypt—</w:t>
      </w:r>
      <w:r w:rsidR="002D595F">
        <w:t>must</w:t>
      </w:r>
      <w:r>
        <w:t xml:space="preserve"> </w:t>
      </w:r>
      <w:r w:rsidR="002D595F">
        <w:t>be</w:t>
      </w:r>
      <w:r w:rsidR="00F42C98" w:rsidRPr="00674938">
        <w:t xml:space="preserve"> rather compelling</w:t>
      </w:r>
      <w:r w:rsidRPr="00674938">
        <w:rPr>
          <w:vertAlign w:val="superscript"/>
        </w:rPr>
        <w:footnoteReference w:id="94"/>
      </w:r>
      <w:r w:rsidR="00F42C98" w:rsidRPr="00674938">
        <w:t xml:space="preserve"> </w:t>
      </w:r>
      <w:r w:rsidR="00F42C98" w:rsidRPr="00674938">
        <w:lastRenderedPageBreak/>
        <w:t xml:space="preserve">as an approximation of </w:t>
      </w:r>
      <w:r w:rsidR="002D595F">
        <w:t xml:space="preserve">true </w:t>
      </w:r>
      <w:r w:rsidR="00F42C98" w:rsidRPr="00674938">
        <w:t>sovereignty</w:t>
      </w:r>
      <w:r>
        <w:t xml:space="preserve"> (which is unattainable)</w:t>
      </w:r>
      <w:r w:rsidR="00F42C98" w:rsidRPr="00674938">
        <w:t>.</w:t>
      </w:r>
      <w:r>
        <w:t xml:space="preserve"> In such</w:t>
      </w:r>
      <w:r w:rsidR="00F42C98" w:rsidRPr="00674938">
        <w:t xml:space="preserve"> setting</w:t>
      </w:r>
      <w:r>
        <w:t>s, which permeate vast swaths of human history</w:t>
      </w:r>
      <w:r w:rsidR="00F42C98" w:rsidRPr="00674938">
        <w:t>, the desire for recognition figures into external relations of the polity in a different manner</w:t>
      </w:r>
      <w:r>
        <w:t xml:space="preserve"> the modern world of international relations</w:t>
      </w:r>
      <w:r w:rsidR="00F42C98" w:rsidRPr="00674938">
        <w:t xml:space="preserve">. If an enemy ruler is defeated in battle, they and their people </w:t>
      </w:r>
      <w:r>
        <w:t>are often</w:t>
      </w:r>
      <w:r w:rsidR="00F42C98" w:rsidRPr="00674938">
        <w:t xml:space="preserve"> enslaved (or absorbed)</w:t>
      </w:r>
      <w:r>
        <w:t xml:space="preserve"> under domestic rule</w:t>
      </w:r>
      <w:r w:rsidR="00F42C98" w:rsidRPr="00674938">
        <w:t xml:space="preserve">, which reinforces the pattern </w:t>
      </w:r>
      <w:r>
        <w:t>above.  By contrast, p</w:t>
      </w:r>
      <w:r w:rsidR="00F42C98" w:rsidRPr="00674938">
        <w:t xml:space="preserve">eacetime ‘recognition’ gestures from other ‘sovereign’ rulers in the form of emissaries, tributes, gifts etc. </w:t>
      </w:r>
      <w:r w:rsidR="002D595F">
        <w:t>are</w:t>
      </w:r>
      <w:r w:rsidR="00F42C98" w:rsidRPr="00674938">
        <w:t xml:space="preserve"> probably somewhat meaningful to the ruler receiving them, but decidedly less so in comparison to the internal simulation of recognition</w:t>
      </w:r>
      <w:r w:rsidR="002D595F">
        <w:t xml:space="preserve"> in the form of worship or reverence</w:t>
      </w:r>
      <w:r w:rsidR="00F42C98" w:rsidRPr="00674938">
        <w:t>.</w:t>
      </w:r>
      <w:r w:rsidR="00F42C98" w:rsidRPr="00674938">
        <w:rPr>
          <w:vertAlign w:val="superscript"/>
        </w:rPr>
        <w:footnoteReference w:id="95"/>
      </w:r>
      <w:r w:rsidR="00F42C98" w:rsidRPr="00674938">
        <w:t xml:space="preserve">  </w:t>
      </w:r>
      <w:r>
        <w:t>The</w:t>
      </w:r>
      <w:r w:rsidR="00F42C98" w:rsidRPr="00674938">
        <w:t xml:space="preserve"> ratio between the</w:t>
      </w:r>
      <w:r w:rsidR="002D595F">
        <w:t xml:space="preserve"> importance of the internal vs. </w:t>
      </w:r>
      <w:r w:rsidR="00F42C98" w:rsidRPr="00674938">
        <w:t>external dimension of</w:t>
      </w:r>
      <w:r>
        <w:t xml:space="preserve"> recognition of</w:t>
      </w:r>
      <w:r w:rsidR="00F42C98" w:rsidRPr="00674938">
        <w:t xml:space="preserve"> sovereignty </w:t>
      </w:r>
      <w:r w:rsidR="002D595F">
        <w:t>undergoes a major change</w:t>
      </w:r>
      <w:r w:rsidR="00F42C98" w:rsidRPr="00674938">
        <w:t xml:space="preserve"> in the nineteenth century, after the emergence of the territorial, national, centralised state, which</w:t>
      </w:r>
      <w:r w:rsidR="008D7FCA">
        <w:t xml:space="preserve"> </w:t>
      </w:r>
      <w:r w:rsidR="00F42C98" w:rsidRPr="00674938">
        <w:t xml:space="preserve">is tasked with being sovereign </w:t>
      </w:r>
      <w:r w:rsidR="00F42C98" w:rsidRPr="00674938">
        <w:rPr>
          <w:i/>
          <w:iCs/>
        </w:rPr>
        <w:t>for</w:t>
      </w:r>
      <w:r w:rsidR="00F42C98" w:rsidRPr="00674938">
        <w:t xml:space="preserve"> its citizens</w:t>
      </w:r>
      <w:r w:rsidR="008D7FCA">
        <w:t xml:space="preserve"> (a new development)</w:t>
      </w:r>
      <w:r w:rsidR="00F42C98" w:rsidRPr="00674938">
        <w:t xml:space="preserve"> as well as </w:t>
      </w:r>
      <w:r w:rsidR="00F42C98" w:rsidRPr="00674938">
        <w:rPr>
          <w:i/>
          <w:iCs/>
        </w:rPr>
        <w:t xml:space="preserve">over </w:t>
      </w:r>
      <w:r w:rsidR="00F42C98" w:rsidRPr="00674938">
        <w:t>its citizens</w:t>
      </w:r>
      <w:r w:rsidR="008D7FCA">
        <w:t xml:space="preserve"> (a common feature in history)</w:t>
      </w:r>
      <w:r w:rsidR="00F42C98" w:rsidRPr="00674938">
        <w:t>.</w:t>
      </w:r>
      <w:r w:rsidR="002D595F">
        <w:rPr>
          <w:i/>
          <w:iCs/>
        </w:rPr>
        <w:t xml:space="preserve"> </w:t>
      </w:r>
      <w:r w:rsidR="002D595F">
        <w:t xml:space="preserve">External recognition </w:t>
      </w:r>
      <w:r w:rsidR="008D7FCA">
        <w:t xml:space="preserve">thus </w:t>
      </w:r>
      <w:r w:rsidR="002D595F">
        <w:t>becomes increasingly important for the state</w:t>
      </w:r>
      <w:r w:rsidR="008D7FCA">
        <w:t xml:space="preserve"> because it is a path to simulating being sovereign </w:t>
      </w:r>
      <w:r w:rsidR="008D7FCA">
        <w:rPr>
          <w:i/>
          <w:iCs/>
        </w:rPr>
        <w:t>for</w:t>
      </w:r>
      <w:r w:rsidR="008D7FCA">
        <w:t xml:space="preserve"> as opposed to </w:t>
      </w:r>
      <w:r w:rsidR="008D7FCA">
        <w:rPr>
          <w:i/>
          <w:iCs/>
        </w:rPr>
        <w:t>over</w:t>
      </w:r>
      <w:r w:rsidR="008D7FCA">
        <w:t xml:space="preserve"> citizens</w:t>
      </w:r>
      <w:r w:rsidR="002D595F">
        <w:t>.</w:t>
      </w:r>
      <w:r w:rsidR="008D7FCA">
        <w:rPr>
          <w:rStyle w:val="FootnoteReference"/>
        </w:rPr>
        <w:footnoteReference w:id="96"/>
      </w:r>
      <w:r w:rsidR="00F42C98" w:rsidRPr="00674938">
        <w:t xml:space="preserve"> </w:t>
      </w:r>
    </w:p>
    <w:p w14:paraId="6F3250D1" w14:textId="0128E182" w:rsidR="002D595F" w:rsidRDefault="00F42C98" w:rsidP="00235C3A">
      <w:pPr>
        <w:pStyle w:val="Body"/>
        <w:suppressAutoHyphens/>
        <w:ind w:firstLine="360"/>
      </w:pPr>
      <w:r w:rsidRPr="00674938">
        <w:t xml:space="preserve">Despite its increasingly penetrative and extractive reach, as well as its monopolisation of all sorts of authority previously dispersed, the modern state is not rejected but ‘recognised’ as sovereign by its citizens precisely so that it can now impose the will of the citizens on the world, so that persons can be sovereign through the state. But while the ‘recognition’ of subjects may have been enough to simulate sovereignty for a single ruler (or family), it is not enough for the modern state. </w:t>
      </w:r>
      <w:r w:rsidR="008D7FCA">
        <w:t>T</w:t>
      </w:r>
      <w:r w:rsidRPr="00674938">
        <w:t>he modern state cannot derive the power to recognise its citizens simply from the recognition of its citizens.</w:t>
      </w:r>
      <w:r w:rsidR="008D7FCA">
        <w:t xml:space="preserve"> It must march progressively through history to the pinnacle of civilisation etc. (to invoke a few twentieth century notions about the state’s purpose</w:t>
      </w:r>
      <w:r w:rsidR="008D7FCA">
        <w:rPr>
          <w:rStyle w:val="FootnoteReference"/>
        </w:rPr>
        <w:footnoteReference w:id="97"/>
      </w:r>
      <w:r w:rsidR="008D7FCA">
        <w:t>).</w:t>
      </w:r>
      <w:r w:rsidRPr="00674938">
        <w:t xml:space="preserve"> It must be sovereign </w:t>
      </w:r>
      <w:r w:rsidRPr="00674938">
        <w:rPr>
          <w:i/>
          <w:iCs/>
        </w:rPr>
        <w:t>in the world.</w:t>
      </w:r>
      <w:r w:rsidRPr="00674938">
        <w:t xml:space="preserve"> </w:t>
      </w:r>
      <w:r w:rsidR="008D7FCA">
        <w:t>F</w:t>
      </w:r>
      <w:r w:rsidRPr="00674938">
        <w:t xml:space="preserve">ollowing the same pattern as </w:t>
      </w:r>
      <w:r w:rsidRPr="00674938">
        <w:lastRenderedPageBreak/>
        <w:t>self-consciousness seeking proof of its own sovereignty, the modern state’s pursuit of sovereignty also turns first to the external world, where it cannot find the confirmation it seeks, and then to a struggle for recognition, resulting in international master-slave configurations</w:t>
      </w:r>
      <w:r w:rsidR="001907A5">
        <w:t xml:space="preserve"> (or social hierarchies)</w:t>
      </w:r>
      <w:r w:rsidRPr="00674938">
        <w:t xml:space="preserve"> between states. </w:t>
      </w:r>
    </w:p>
    <w:p w14:paraId="74F4992E" w14:textId="5A94FFEB" w:rsidR="00FE5238" w:rsidRPr="00674938" w:rsidRDefault="008D7FCA" w:rsidP="00235C3A">
      <w:pPr>
        <w:pStyle w:val="Body"/>
        <w:suppressAutoHyphens/>
        <w:ind w:firstLine="360"/>
      </w:pPr>
      <w:r>
        <w:t>As noted above, in external battles, the more commo</w:t>
      </w:r>
      <w:r w:rsidR="00F42C98" w:rsidRPr="00674938">
        <w:t xml:space="preserve">n </w:t>
      </w:r>
      <w:r>
        <w:t xml:space="preserve">historical </w:t>
      </w:r>
      <w:r w:rsidR="00F42C98" w:rsidRPr="00674938">
        <w:t>pattern</w:t>
      </w:r>
      <w:r>
        <w:t xml:space="preserve"> before the nineteenth century</w:t>
      </w:r>
      <w:r w:rsidR="00F42C98" w:rsidRPr="00674938">
        <w:t xml:space="preserve"> was absorbing the vanquished into the polity, either outright or as tributary entities. Those outside of the ontology of the polity were mostly ignored. By contrast, since the nineteenth century, what we see instead is a trend of keeping the side that has submitted as distinct as unit from the dominant party (and increasingly so), while simultaneously pushing for it become as similar to the dominant party as possible. This trend was driven from the top by European/Western states who had t</w:t>
      </w:r>
      <w:r w:rsidR="00235C3A">
        <w:t xml:space="preserve">o demonstrate their sovereignty </w:t>
      </w:r>
      <w:r w:rsidR="00F42C98" w:rsidRPr="00674938">
        <w:t>comparatively. This is why nineteenth century empires exhibit different centre-periphery patterns than other empires in history, with purported ‘nation-states’ visibly at the centre. By the twentieth century, great powers increasingly move away from territorially absorbing those countries that they dominate, preferring to keep nation-state territoriality intact</w:t>
      </w:r>
      <w:r w:rsidR="002D595F">
        <w:t xml:space="preserve"> even in instances of full-blown occupation</w:t>
      </w:r>
      <w:r w:rsidR="00F42C98" w:rsidRPr="00674938">
        <w:t xml:space="preserve">. At the same, there is a parallel trend towards domestic homology (also helped along with other forces of modernity, such as capitalism and rationalisation) </w:t>
      </w:r>
      <w:r w:rsidR="00BD2342">
        <w:rPr>
          <w:rStyle w:val="FootnoteReference"/>
        </w:rPr>
        <w:footnoteReference w:id="98"/>
      </w:r>
      <w:r w:rsidR="00F42C98" w:rsidRPr="00674938">
        <w:t>—</w:t>
      </w:r>
      <w:r w:rsidR="005841B6">
        <w:t xml:space="preserve"> </w:t>
      </w:r>
      <w:r w:rsidR="00F42C98" w:rsidRPr="00674938">
        <w:t>the more ‘the slave’ resembles ‘the master’</w:t>
      </w:r>
      <w:r w:rsidR="007F42B9">
        <w:t>,</w:t>
      </w:r>
      <w:r w:rsidR="00F42C98" w:rsidRPr="00674938">
        <w:t xml:space="preserve"> the </w:t>
      </w:r>
      <w:r w:rsidR="007F42B9">
        <w:t xml:space="preserve">more </w:t>
      </w:r>
      <w:r w:rsidR="00F42C98" w:rsidRPr="00674938">
        <w:t xml:space="preserve">satisfying the recognition, however simulated. </w:t>
      </w:r>
      <w:r w:rsidR="001724F0" w:rsidRPr="00674938">
        <w:t>As more communities</w:t>
      </w:r>
      <w:r w:rsidR="001724F0">
        <w:t xml:space="preserve"> and</w:t>
      </w:r>
      <w:r w:rsidR="001724F0" w:rsidRPr="00674938">
        <w:t xml:space="preserve"> </w:t>
      </w:r>
      <w:r w:rsidR="00F20592">
        <w:t>polities</w:t>
      </w:r>
      <w:r w:rsidR="001724F0" w:rsidRPr="00674938">
        <w:t xml:space="preserve"> are thus remade in the image of the nation-state, they also become tasked with being sovereign </w:t>
      </w:r>
      <w:r w:rsidR="001724F0" w:rsidRPr="00674938">
        <w:rPr>
          <w:i/>
          <w:iCs/>
        </w:rPr>
        <w:t>for</w:t>
      </w:r>
      <w:r w:rsidR="001724F0" w:rsidRPr="00674938">
        <w:t xml:space="preserve"> their citizens, and they </w:t>
      </w:r>
      <w:r w:rsidR="005841B6">
        <w:t>too</w:t>
      </w:r>
      <w:r w:rsidR="001724F0" w:rsidRPr="00674938">
        <w:t xml:space="preserve"> become </w:t>
      </w:r>
      <w:r w:rsidR="007F42B9">
        <w:t xml:space="preserve">increasingly more </w:t>
      </w:r>
      <w:r w:rsidR="001724F0" w:rsidRPr="00674938">
        <w:t xml:space="preserve">preoccupied with external recognition of </w:t>
      </w:r>
      <w:r w:rsidR="007F42B9">
        <w:t xml:space="preserve">their </w:t>
      </w:r>
      <w:r w:rsidR="001724F0" w:rsidRPr="00674938">
        <w:t xml:space="preserve">sovereignty. </w:t>
      </w:r>
      <w:r w:rsidR="005841B6">
        <w:t xml:space="preserve">For all these reasons, the </w:t>
      </w:r>
      <w:r w:rsidR="00F42C98" w:rsidRPr="00674938">
        <w:t xml:space="preserve">emergence of </w:t>
      </w:r>
      <w:r w:rsidR="00BD2342">
        <w:t xml:space="preserve">the </w:t>
      </w:r>
      <w:r w:rsidR="005841B6">
        <w:t>framework</w:t>
      </w:r>
      <w:r w:rsidR="00BD2342">
        <w:t xml:space="preserve"> of </w:t>
      </w:r>
      <w:r w:rsidR="00F42C98" w:rsidRPr="00674938">
        <w:t>sovereign equality</w:t>
      </w:r>
      <w:r w:rsidR="005841B6">
        <w:t xml:space="preserve"> is </w:t>
      </w:r>
      <w:r w:rsidR="00F42C98" w:rsidRPr="00674938">
        <w:t xml:space="preserve">not the </w:t>
      </w:r>
      <w:r w:rsidR="00F42C98" w:rsidRPr="00674938">
        <w:lastRenderedPageBreak/>
        <w:t>eradication of master-slave hierarch</w:t>
      </w:r>
      <w:r w:rsidR="005841B6">
        <w:t>ies in the international system</w:t>
      </w:r>
      <w:r w:rsidR="00CA1102">
        <w:t>, but is itself</w:t>
      </w:r>
      <w:r w:rsidR="005841B6">
        <w:t xml:space="preserve"> a product of those hierarchies. </w:t>
      </w:r>
    </w:p>
    <w:p w14:paraId="10B41E5E" w14:textId="77777777" w:rsidR="008D7FCA" w:rsidRPr="00674938" w:rsidRDefault="008D7FCA" w:rsidP="00235C3A">
      <w:pPr>
        <w:pStyle w:val="Body"/>
        <w:suppressAutoHyphens/>
      </w:pPr>
    </w:p>
    <w:p w14:paraId="752EB895" w14:textId="2139D020" w:rsidR="00FE5238" w:rsidRPr="00674938" w:rsidRDefault="00F42C98" w:rsidP="00235C3A">
      <w:pPr>
        <w:pStyle w:val="Body"/>
        <w:suppressAutoHyphens/>
        <w:rPr>
          <w:b/>
          <w:bCs/>
        </w:rPr>
      </w:pPr>
      <w:r w:rsidRPr="00674938">
        <w:rPr>
          <w:b/>
          <w:bCs/>
        </w:rPr>
        <w:t xml:space="preserve">Conclusion: </w:t>
      </w:r>
      <w:r w:rsidR="005841B6">
        <w:rPr>
          <w:b/>
          <w:bCs/>
        </w:rPr>
        <w:t>Sovereign Equality as</w:t>
      </w:r>
      <w:r w:rsidRPr="00674938">
        <w:rPr>
          <w:b/>
          <w:bCs/>
        </w:rPr>
        <w:t xml:space="preserve"> </w:t>
      </w:r>
      <w:r w:rsidR="007E6F7B">
        <w:rPr>
          <w:b/>
          <w:bCs/>
        </w:rPr>
        <w:t>(</w:t>
      </w:r>
      <w:r w:rsidRPr="00674938">
        <w:rPr>
          <w:b/>
          <w:bCs/>
        </w:rPr>
        <w:t>Mis</w:t>
      </w:r>
      <w:r w:rsidR="007E6F7B">
        <w:rPr>
          <w:b/>
          <w:bCs/>
        </w:rPr>
        <w:t>)R</w:t>
      </w:r>
      <w:r w:rsidRPr="00674938">
        <w:rPr>
          <w:b/>
          <w:bCs/>
        </w:rPr>
        <w:t>ecognition</w:t>
      </w:r>
    </w:p>
    <w:p w14:paraId="015F85D3" w14:textId="77777777" w:rsidR="000F1B4C" w:rsidRDefault="00F42C98" w:rsidP="00235C3A">
      <w:pPr>
        <w:pStyle w:val="Body"/>
        <w:suppressAutoHyphens/>
      </w:pPr>
      <w:r w:rsidRPr="00674938">
        <w:t xml:space="preserve">The international legal regime of sovereign equality, even though it grants the ’slave’ communities of the modern order the recognition previously withheld from them, is not driven by a genuine recognition of sovereignty of </w:t>
      </w:r>
      <w:r w:rsidR="00CA1102">
        <w:t>‘</w:t>
      </w:r>
      <w:r w:rsidRPr="00674938">
        <w:t>the other</w:t>
      </w:r>
      <w:r w:rsidR="00CA1102">
        <w:t>’</w:t>
      </w:r>
      <w:r w:rsidRPr="00674938">
        <w:t>, which is impossible in any case. The extension of the legal recognition of sovereignty recreates at the international stage the same dynamic that modern state has with its</w:t>
      </w:r>
      <w:r w:rsidR="000F1B4C">
        <w:t xml:space="preserve"> own</w:t>
      </w:r>
      <w:r w:rsidRPr="00674938">
        <w:t xml:space="preserve"> ‘others’: equal recognition is gradually extended to those previously deemed ‘savage’ or ‘barbarous’ in order to bolster the recognition that they themselves had given to the ‘mastery’ of the West. But for their simulated recognition of the ‘master’ to be anything more than </w:t>
      </w:r>
      <w:r w:rsidR="001724F0" w:rsidRPr="00674938">
        <w:t>fleeting,</w:t>
      </w:r>
      <w:r w:rsidRPr="00674938">
        <w:t xml:space="preserve"> their ‘otherness’ has to be continuously recreated through stigmatisation.</w:t>
      </w:r>
      <w:r w:rsidR="0024278D">
        <w:rPr>
          <w:rStyle w:val="FootnoteReference"/>
        </w:rPr>
        <w:footnoteReference w:id="99"/>
      </w:r>
      <w:r w:rsidRPr="00674938">
        <w:t xml:space="preserve"> </w:t>
      </w:r>
      <w:r w:rsidR="000F1B4C">
        <w:t>Sovereign equality</w:t>
      </w:r>
      <w:r w:rsidRPr="00674938">
        <w:t xml:space="preserve"> thus not only masks relations of domination in the international system by ‘translating’ them into seemingly voluntary contracts entered by seemingly eq</w:t>
      </w:r>
      <w:r w:rsidR="000F1B4C">
        <w:t>ual agents, but also helps perpetuate</w:t>
      </w:r>
      <w:r w:rsidRPr="00674938">
        <w:t xml:space="preserve"> </w:t>
      </w:r>
      <w:r w:rsidR="000F1B4C">
        <w:t xml:space="preserve">the </w:t>
      </w:r>
      <w:r w:rsidRPr="00674938">
        <w:t xml:space="preserve">hierarchies of the international system. </w:t>
      </w:r>
    </w:p>
    <w:p w14:paraId="1C6C225E" w14:textId="489DA47A" w:rsidR="00FE5238" w:rsidRPr="00674938" w:rsidRDefault="00F42C98" w:rsidP="00235C3A">
      <w:pPr>
        <w:pStyle w:val="Body"/>
        <w:suppressAutoHyphens/>
        <w:ind w:left="1" w:firstLine="449"/>
      </w:pPr>
      <w:r w:rsidRPr="00674938">
        <w:t xml:space="preserve">Furthermore, </w:t>
      </w:r>
      <w:r w:rsidR="000F1B4C">
        <w:t>the presence of this norm</w:t>
      </w:r>
      <w:r w:rsidRPr="00674938">
        <w:t xml:space="preserve"> has extended the life-span of the master-slave recognition dynamic by blocking the avenues that would help ‘the slave’ get out from under that dynamic.  For example, one of the reasons ‘the slave’ is ultimately able to escape from the figuration is because they are supposed to have understood the futility of the ‘aspiration to demonstrate its sovereignty at all costs.’</w:t>
      </w:r>
      <w:r w:rsidRPr="00674938">
        <w:rPr>
          <w:vertAlign w:val="superscript"/>
        </w:rPr>
        <w:footnoteReference w:id="100"/>
      </w:r>
      <w:r w:rsidRPr="00674938">
        <w:t xml:space="preserve"> Yet, the processes described above render ‘the slave’ an emulator of ‘the master’, and ‘the master’ does not understand the futility of the aspiration. The same processes also rob ‘the slave’ of the creativity they would develop through their work on the natural world.    </w:t>
      </w:r>
    </w:p>
    <w:p w14:paraId="7B6F3BE6" w14:textId="5742B647" w:rsidR="00FE5238" w:rsidRPr="00674938" w:rsidRDefault="00F42C98" w:rsidP="00235C3A">
      <w:pPr>
        <w:pStyle w:val="Body"/>
        <w:suppressAutoHyphens/>
        <w:ind w:firstLine="360"/>
      </w:pPr>
      <w:r w:rsidRPr="00674938">
        <w:lastRenderedPageBreak/>
        <w:t>The disappointing conclusion for the international order is that ‘the slave’ cannot escape this dynamic in the sense of acquiring real freedom and sovereignty any more than ‘the master’ can, and both sides remain fixated on the politics of recognition and status, as a great deal of literature in IR now demonstrates.</w:t>
      </w:r>
      <w:r w:rsidRPr="00674938">
        <w:rPr>
          <w:vertAlign w:val="superscript"/>
        </w:rPr>
        <w:footnoteReference w:id="101"/>
      </w:r>
      <w:r w:rsidRPr="00674938">
        <w:t xml:space="preserve"> Sovereignty is simulated but not achieved.</w:t>
      </w:r>
      <w:r w:rsidRPr="00674938">
        <w:rPr>
          <w:vertAlign w:val="superscript"/>
        </w:rPr>
        <w:footnoteReference w:id="102"/>
      </w:r>
      <w:r w:rsidRPr="00674938">
        <w:t xml:space="preserve"> The best ‘the slave’ can hope the achieve is the reversal of the hierarchy of simulation. If this Hegelian reading is correct, the anticipated rise of China or the non-West will not overcome the asymmetry of the recognition relationship, but</w:t>
      </w:r>
      <w:r w:rsidR="000F1B4C">
        <w:t xml:space="preserve"> at best will replace it with another hierarchy</w:t>
      </w:r>
      <w:r w:rsidRPr="00674938">
        <w:t xml:space="preserve">. </w:t>
      </w:r>
      <w:r w:rsidR="000F1B4C">
        <w:t>T</w:t>
      </w:r>
      <w:r w:rsidRPr="00674938">
        <w:t>he</w:t>
      </w:r>
      <w:r w:rsidR="000F1B4C">
        <w:t xml:space="preserve"> international system may very well</w:t>
      </w:r>
      <w:r w:rsidRPr="00674938">
        <w:t xml:space="preserve"> be eroded or improved upon from other angles, but the international politics of </w:t>
      </w:r>
      <w:r w:rsidR="000F1B4C">
        <w:t>(mis)</w:t>
      </w:r>
      <w:r w:rsidRPr="00674938">
        <w:t>recognition cannot be the solution to the problems it has</w:t>
      </w:r>
      <w:r w:rsidR="000F1B4C">
        <w:t xml:space="preserve"> had a part in creating</w:t>
      </w:r>
      <w:r w:rsidRPr="00674938">
        <w:t xml:space="preserve">.   </w:t>
      </w:r>
    </w:p>
    <w:p w14:paraId="11B64306" w14:textId="77777777" w:rsidR="00FE5238" w:rsidRPr="00674938" w:rsidRDefault="00FE5238" w:rsidP="00235C3A">
      <w:pPr>
        <w:pStyle w:val="Body"/>
        <w:suppressAutoHyphens/>
      </w:pPr>
    </w:p>
    <w:p w14:paraId="1835EE30" w14:textId="77777777" w:rsidR="00FE5238" w:rsidRPr="00674938" w:rsidRDefault="00F42C98" w:rsidP="00235C3A">
      <w:pPr>
        <w:pStyle w:val="Body"/>
        <w:suppressAutoHyphens/>
        <w:ind w:firstLine="360"/>
      </w:pPr>
      <w:r w:rsidRPr="00674938">
        <w:tab/>
      </w:r>
    </w:p>
    <w:sectPr w:rsidR="00FE5238" w:rsidRPr="00674938">
      <w:footerReference w:type="default" r:id="rId8"/>
      <w:pgSz w:w="11900" w:h="16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F808" w14:textId="77777777" w:rsidR="00592F15" w:rsidRDefault="00592F15">
      <w:r>
        <w:separator/>
      </w:r>
    </w:p>
  </w:endnote>
  <w:endnote w:type="continuationSeparator" w:id="0">
    <w:p w14:paraId="5C3FA975" w14:textId="77777777" w:rsidR="00592F15" w:rsidRDefault="0059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45FA" w14:textId="77777777" w:rsidR="00FE5238" w:rsidRDefault="00F42C98">
    <w:pPr>
      <w:pStyle w:val="Body"/>
      <w:jc w:val="right"/>
    </w:pPr>
    <w:r>
      <w:fldChar w:fldCharType="begin"/>
    </w:r>
    <w:r>
      <w:instrText xml:space="preserve"> PAGE </w:instrText>
    </w:r>
    <w:r>
      <w:fldChar w:fldCharType="separate"/>
    </w:r>
    <w:r w:rsidR="000F1B4C">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4CD0" w14:textId="77777777" w:rsidR="00592F15" w:rsidRDefault="00592F15">
      <w:r>
        <w:separator/>
      </w:r>
    </w:p>
  </w:footnote>
  <w:footnote w:type="continuationSeparator" w:id="0">
    <w:p w14:paraId="11AB640B" w14:textId="77777777" w:rsidR="00592F15" w:rsidRDefault="00592F15">
      <w:r>
        <w:continuationSeparator/>
      </w:r>
    </w:p>
  </w:footnote>
  <w:footnote w:type="continuationNotice" w:id="1">
    <w:p w14:paraId="17A86D56" w14:textId="77777777" w:rsidR="00592F15" w:rsidRDefault="00592F15"/>
  </w:footnote>
  <w:footnote w:id="2">
    <w:p w14:paraId="75D3A95C" w14:textId="399F1961"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002870DB" w:rsidRPr="00235C3A">
        <w:rPr>
          <w:sz w:val="20"/>
          <w:szCs w:val="20"/>
          <w:lang w:val="en-GB"/>
        </w:rPr>
        <w:tab/>
        <w:t>This article borrows</w:t>
      </w:r>
      <w:r w:rsidRPr="00235C3A">
        <w:rPr>
          <w:sz w:val="20"/>
          <w:szCs w:val="20"/>
          <w:lang w:val="en-GB"/>
        </w:rPr>
        <w:t xml:space="preserve"> ideas from previously published work in order to revisit and further develop the arguments therein in relation to the concept of ‘recognition’. I would like to thank the organisers of this forum as well as the contributors for their comments on previous iterations of this paper. </w:t>
      </w:r>
    </w:p>
  </w:footnote>
  <w:footnote w:id="3">
    <w:p w14:paraId="54151A2B" w14:textId="32FD035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See e.g. Barry Buzan and George Lawson, </w:t>
      </w:r>
      <w:r w:rsidRPr="00235C3A">
        <w:rPr>
          <w:i/>
          <w:iCs/>
          <w:sz w:val="20"/>
          <w:szCs w:val="20"/>
          <w:lang w:val="en-GB"/>
        </w:rPr>
        <w:t xml:space="preserve">The Global Transformation: History, Modernity and the Making of International Relations </w:t>
      </w:r>
      <w:r w:rsidRPr="00235C3A">
        <w:rPr>
          <w:sz w:val="20"/>
          <w:szCs w:val="20"/>
          <w:lang w:val="en-GB"/>
        </w:rPr>
        <w:t>(Cambridge: Cambridge University Press,</w:t>
      </w:r>
      <w:r w:rsidRPr="00235C3A">
        <w:rPr>
          <w:i/>
          <w:iCs/>
          <w:sz w:val="20"/>
          <w:szCs w:val="20"/>
          <w:lang w:val="en-GB"/>
        </w:rPr>
        <w:t xml:space="preserve"> </w:t>
      </w:r>
      <w:r w:rsidRPr="00235C3A">
        <w:rPr>
          <w:sz w:val="20"/>
          <w:szCs w:val="20"/>
          <w:lang w:val="en-GB"/>
        </w:rPr>
        <w:t xml:space="preserve"> 2015); </w:t>
      </w:r>
      <w:r w:rsidR="001724F0" w:rsidRPr="00235C3A">
        <w:rPr>
          <w:sz w:val="20"/>
          <w:szCs w:val="20"/>
          <w:lang w:val="en-GB"/>
        </w:rPr>
        <w:t>Jürgen</w:t>
      </w:r>
      <w:r w:rsidRPr="00235C3A">
        <w:rPr>
          <w:sz w:val="20"/>
          <w:szCs w:val="20"/>
          <w:lang w:val="en-GB"/>
        </w:rPr>
        <w:t xml:space="preserve"> Osterhammel, </w:t>
      </w:r>
      <w:r w:rsidRPr="00235C3A">
        <w:rPr>
          <w:i/>
          <w:iCs/>
          <w:sz w:val="20"/>
          <w:szCs w:val="20"/>
          <w:lang w:val="en-GB"/>
        </w:rPr>
        <w:t>The Transformation of the World: A Global History of the Nineteenth Century</w:t>
      </w:r>
      <w:r w:rsidRPr="00235C3A">
        <w:rPr>
          <w:sz w:val="20"/>
          <w:szCs w:val="20"/>
          <w:lang w:val="en-GB"/>
        </w:rPr>
        <w:t xml:space="preserve">, trans. Patrick Camiller (Princeton: Princeton University Press, 2015); Christian Reus-Smit, </w:t>
      </w:r>
      <w:r w:rsidRPr="00235C3A">
        <w:rPr>
          <w:i/>
          <w:iCs/>
          <w:sz w:val="20"/>
          <w:szCs w:val="20"/>
          <w:lang w:val="en-GB"/>
        </w:rPr>
        <w:t xml:space="preserve">The Moral Purpose of the State: Culture, Social Identity, and Institutional Rationality in International Relations </w:t>
      </w:r>
      <w:r w:rsidRPr="00235C3A">
        <w:rPr>
          <w:sz w:val="20"/>
          <w:szCs w:val="20"/>
          <w:lang w:val="en-GB"/>
        </w:rPr>
        <w:t>(Princeton: Princeton University Press, 2009)  etc.</w:t>
      </w:r>
    </w:p>
  </w:footnote>
  <w:footnote w:id="4">
    <w:p w14:paraId="4899C541"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See e.g. Buzan and Lawson, </w:t>
      </w:r>
      <w:r w:rsidR="00674938" w:rsidRPr="00235C3A">
        <w:rPr>
          <w:i/>
          <w:iCs/>
          <w:sz w:val="20"/>
          <w:szCs w:val="20"/>
          <w:lang w:val="en-GB"/>
        </w:rPr>
        <w:t>Global Transformation</w:t>
      </w:r>
      <w:r w:rsidRPr="00235C3A">
        <w:rPr>
          <w:sz w:val="20"/>
          <w:szCs w:val="20"/>
          <w:lang w:val="en-GB"/>
        </w:rPr>
        <w:t xml:space="preserve">; John M. Hobson, </w:t>
      </w:r>
      <w:r w:rsidRPr="00235C3A">
        <w:rPr>
          <w:i/>
          <w:iCs/>
          <w:sz w:val="20"/>
          <w:szCs w:val="20"/>
          <w:lang w:val="en-GB"/>
        </w:rPr>
        <w:t>The Eurocentric Conception of World Politics: Western International Theory, 1760–2010</w:t>
      </w:r>
      <w:r w:rsidRPr="00235C3A">
        <w:rPr>
          <w:sz w:val="20"/>
          <w:szCs w:val="20"/>
          <w:lang w:val="en-GB"/>
        </w:rPr>
        <w:t xml:space="preserve"> (Cambridge: Cambridge University Press,</w:t>
      </w:r>
      <w:r w:rsidRPr="00235C3A">
        <w:rPr>
          <w:i/>
          <w:iCs/>
          <w:sz w:val="20"/>
          <w:szCs w:val="20"/>
          <w:lang w:val="en-GB"/>
        </w:rPr>
        <w:t xml:space="preserve"> </w:t>
      </w:r>
      <w:r w:rsidRPr="00235C3A">
        <w:rPr>
          <w:sz w:val="20"/>
          <w:szCs w:val="20"/>
          <w:lang w:val="en-GB"/>
        </w:rPr>
        <w:t xml:space="preserve">2012); John M. Hobson and J.C. Sharman, ‘The Enduring Place of Hierarchy in World Politics: Tracing the Social Logics of Hierarchy and Political Change’, </w:t>
      </w:r>
      <w:r w:rsidRPr="00235C3A">
        <w:rPr>
          <w:i/>
          <w:iCs/>
          <w:sz w:val="20"/>
          <w:szCs w:val="20"/>
          <w:lang w:val="en-GB"/>
        </w:rPr>
        <w:t>European Journal of International Relations</w:t>
      </w:r>
      <w:r w:rsidRPr="00235C3A">
        <w:rPr>
          <w:sz w:val="20"/>
          <w:szCs w:val="20"/>
          <w:lang w:val="en-GB"/>
        </w:rPr>
        <w:t xml:space="preserve"> 11. 1 (2005), 63-98; Ayse Zarakol, </w:t>
      </w:r>
      <w:r w:rsidRPr="00235C3A">
        <w:rPr>
          <w:i/>
          <w:iCs/>
          <w:sz w:val="20"/>
          <w:szCs w:val="20"/>
          <w:lang w:val="en-GB"/>
        </w:rPr>
        <w:t xml:space="preserve">After Defeat: How the East Learned to Live with the West </w:t>
      </w:r>
      <w:r w:rsidRPr="00235C3A">
        <w:rPr>
          <w:sz w:val="20"/>
          <w:szCs w:val="20"/>
          <w:lang w:val="en-GB"/>
        </w:rPr>
        <w:t xml:space="preserve">(Cambridge: Cambridge University Press, 2011).   </w:t>
      </w:r>
    </w:p>
  </w:footnote>
  <w:footnote w:id="5">
    <w:p w14:paraId="4E311C17"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the discussions in Tim Dunne and Christian Reus-Smit, eds., </w:t>
      </w:r>
      <w:r w:rsidRPr="00235C3A">
        <w:rPr>
          <w:i/>
          <w:iCs/>
          <w:sz w:val="20"/>
          <w:szCs w:val="20"/>
          <w:lang w:val="en-GB"/>
        </w:rPr>
        <w:t>The Globalization of International Society</w:t>
      </w:r>
      <w:r w:rsidRPr="00235C3A">
        <w:rPr>
          <w:sz w:val="20"/>
          <w:szCs w:val="20"/>
          <w:lang w:val="en-GB"/>
        </w:rPr>
        <w:t xml:space="preserve"> (Oxford: Oxford University Press, 2016) and Ayse Zarakol, ed., </w:t>
      </w:r>
      <w:r w:rsidRPr="00235C3A">
        <w:rPr>
          <w:i/>
          <w:iCs/>
          <w:sz w:val="20"/>
          <w:szCs w:val="20"/>
          <w:lang w:val="en-GB"/>
        </w:rPr>
        <w:t>Hierarchies in World Politics</w:t>
      </w:r>
      <w:r w:rsidRPr="00235C3A">
        <w:rPr>
          <w:sz w:val="20"/>
          <w:szCs w:val="20"/>
          <w:lang w:val="en-GB"/>
        </w:rPr>
        <w:t xml:space="preserve"> (Cambridge: Cambridge University Press, 2017).</w:t>
      </w:r>
    </w:p>
  </w:footnote>
  <w:footnote w:id="6">
    <w:p w14:paraId="4D0F7127"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See e.g. Gerrit W. Gong, </w:t>
      </w:r>
      <w:r w:rsidRPr="00235C3A">
        <w:rPr>
          <w:i/>
          <w:iCs/>
          <w:sz w:val="20"/>
          <w:szCs w:val="20"/>
          <w:lang w:val="en-GB"/>
        </w:rPr>
        <w:t xml:space="preserve">The Standard of ‘Civilization’ in International Society </w:t>
      </w:r>
      <w:r w:rsidRPr="00235C3A">
        <w:rPr>
          <w:sz w:val="20"/>
          <w:szCs w:val="20"/>
          <w:lang w:val="en-GB"/>
        </w:rPr>
        <w:t xml:space="preserve">(Oxford: Clarendon Press, 1984); Mark B. Salter, </w:t>
      </w:r>
      <w:r w:rsidRPr="00235C3A">
        <w:rPr>
          <w:i/>
          <w:iCs/>
          <w:sz w:val="20"/>
          <w:szCs w:val="20"/>
          <w:lang w:val="en-GB"/>
        </w:rPr>
        <w:t>Barbarians &amp; Civilization in International Relations</w:t>
      </w:r>
      <w:r w:rsidRPr="00235C3A">
        <w:rPr>
          <w:sz w:val="20"/>
          <w:szCs w:val="20"/>
          <w:lang w:val="en-GB"/>
        </w:rPr>
        <w:t xml:space="preserve"> (Sterling, VA: Pluto Press, 2004); Zarakol, </w:t>
      </w:r>
      <w:r w:rsidRPr="00235C3A">
        <w:rPr>
          <w:i/>
          <w:iCs/>
          <w:sz w:val="20"/>
          <w:szCs w:val="20"/>
          <w:lang w:val="en-GB"/>
        </w:rPr>
        <w:t xml:space="preserve">After Defeat; </w:t>
      </w:r>
      <w:r w:rsidRPr="00235C3A">
        <w:rPr>
          <w:sz w:val="20"/>
          <w:szCs w:val="20"/>
          <w:lang w:val="en-GB"/>
        </w:rPr>
        <w:t xml:space="preserve">Shogo Suzuki, </w:t>
      </w:r>
      <w:r w:rsidRPr="00235C3A">
        <w:rPr>
          <w:i/>
          <w:iCs/>
          <w:sz w:val="20"/>
          <w:szCs w:val="20"/>
          <w:lang w:val="en-GB"/>
        </w:rPr>
        <w:t>Civilization and Empire: China and Japan's Encounter with European International Society: East Asia's Encounter with the European International Society</w:t>
      </w:r>
      <w:r w:rsidRPr="00235C3A">
        <w:rPr>
          <w:sz w:val="20"/>
          <w:szCs w:val="20"/>
          <w:lang w:val="en-GB"/>
        </w:rPr>
        <w:t xml:space="preserve"> (London: Routledge, 2009); Ann Towns, </w:t>
      </w:r>
      <w:r w:rsidRPr="00235C3A">
        <w:rPr>
          <w:i/>
          <w:iCs/>
          <w:sz w:val="20"/>
          <w:szCs w:val="20"/>
          <w:lang w:val="en-GB"/>
        </w:rPr>
        <w:t xml:space="preserve">Women and States: Norms and Hierarchies in International Society </w:t>
      </w:r>
      <w:r w:rsidRPr="00235C3A">
        <w:rPr>
          <w:sz w:val="20"/>
          <w:szCs w:val="20"/>
          <w:lang w:val="en-GB"/>
        </w:rPr>
        <w:t xml:space="preserve">(Cambridge: Cambridge University Press, 2010).  </w:t>
      </w:r>
    </w:p>
  </w:footnote>
  <w:footnote w:id="7">
    <w:p w14:paraId="6474B3F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See e.g. Antony Anghie, ‘Colonialism and the Birth of International Institutions: Sovereignty, Economy, and the Mandate System of the League of Nations’, </w:t>
      </w:r>
      <w:r w:rsidRPr="00235C3A">
        <w:rPr>
          <w:i/>
          <w:iCs/>
          <w:sz w:val="20"/>
          <w:szCs w:val="20"/>
          <w:lang w:val="en-GB"/>
        </w:rPr>
        <w:t>NYU</w:t>
      </w:r>
      <w:r w:rsidRPr="00235C3A">
        <w:rPr>
          <w:sz w:val="20"/>
          <w:szCs w:val="20"/>
          <w:lang w:val="en-GB"/>
        </w:rPr>
        <w:t xml:space="preserve"> </w:t>
      </w:r>
      <w:r w:rsidRPr="00235C3A">
        <w:rPr>
          <w:i/>
          <w:iCs/>
          <w:sz w:val="20"/>
          <w:szCs w:val="20"/>
          <w:lang w:val="en-GB"/>
        </w:rPr>
        <w:t>Journal of International Law and Politics</w:t>
      </w:r>
      <w:r w:rsidRPr="00235C3A">
        <w:rPr>
          <w:sz w:val="20"/>
          <w:szCs w:val="20"/>
          <w:lang w:val="en-GB"/>
        </w:rPr>
        <w:t xml:space="preserve"> 34 (2002), pp. 513-633.</w:t>
      </w:r>
    </w:p>
  </w:footnote>
  <w:footnote w:id="8">
    <w:p w14:paraId="6C29F468"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See e.g. Christian Reus-Smit, </w:t>
      </w:r>
      <w:r w:rsidRPr="00235C3A">
        <w:rPr>
          <w:i/>
          <w:iCs/>
          <w:sz w:val="20"/>
          <w:szCs w:val="20"/>
          <w:lang w:val="en-GB"/>
        </w:rPr>
        <w:t>Individual Rights and the Making of the International System</w:t>
      </w:r>
      <w:r w:rsidRPr="00235C3A">
        <w:rPr>
          <w:sz w:val="20"/>
          <w:szCs w:val="20"/>
          <w:lang w:val="en-GB"/>
        </w:rPr>
        <w:t xml:space="preserve"> (Cambridge: Cambridge University Press, 2013). </w:t>
      </w:r>
    </w:p>
  </w:footnote>
  <w:footnote w:id="9">
    <w:p w14:paraId="5FC450A2" w14:textId="3F894239" w:rsidR="00A92F99" w:rsidRPr="00235C3A" w:rsidRDefault="000F463A" w:rsidP="00235C3A">
      <w:pPr>
        <w:pStyle w:val="FootnoteText"/>
        <w:tabs>
          <w:tab w:val="left" w:pos="567"/>
        </w:tabs>
        <w:spacing w:afterLines="40" w:after="96" w:line="240" w:lineRule="auto"/>
        <w:ind w:left="567" w:hanging="283"/>
        <w:jc w:val="left"/>
        <w:rPr>
          <w:sz w:val="20"/>
          <w:szCs w:val="20"/>
        </w:rPr>
      </w:pPr>
      <w:r w:rsidRPr="00235C3A">
        <w:rPr>
          <w:rStyle w:val="FootnoteReference"/>
          <w:sz w:val="20"/>
          <w:szCs w:val="20"/>
        </w:rPr>
        <w:footnoteRef/>
      </w:r>
      <w:r w:rsidRPr="00235C3A">
        <w:rPr>
          <w:sz w:val="20"/>
          <w:szCs w:val="20"/>
        </w:rPr>
        <w:t xml:space="preserve"> </w:t>
      </w:r>
      <w:r w:rsidR="00A92F99" w:rsidRPr="00235C3A">
        <w:rPr>
          <w:sz w:val="20"/>
          <w:szCs w:val="20"/>
        </w:rPr>
        <w:t xml:space="preserve">    </w:t>
      </w:r>
      <w:r w:rsidRPr="00235C3A">
        <w:rPr>
          <w:sz w:val="20"/>
          <w:szCs w:val="20"/>
        </w:rPr>
        <w:t xml:space="preserve">For an overview of the development of the concept of recognition in international law, see Martin Clark, ‘A Conceptual History of Recognition in British International Legal Thought’, </w:t>
      </w:r>
      <w:r w:rsidRPr="00235C3A">
        <w:rPr>
          <w:i/>
          <w:iCs/>
          <w:sz w:val="20"/>
          <w:szCs w:val="20"/>
        </w:rPr>
        <w:t>The British Yearbook of International Law</w:t>
      </w:r>
      <w:r w:rsidR="00A92F99" w:rsidRPr="00235C3A">
        <w:rPr>
          <w:i/>
          <w:iCs/>
          <w:sz w:val="20"/>
          <w:szCs w:val="20"/>
        </w:rPr>
        <w:t>.</w:t>
      </w:r>
      <w:r w:rsidRPr="00235C3A">
        <w:rPr>
          <w:sz w:val="20"/>
          <w:szCs w:val="20"/>
        </w:rPr>
        <w:t xml:space="preserve"> </w:t>
      </w:r>
      <w:r w:rsidR="007B474F" w:rsidRPr="00235C3A">
        <w:rPr>
          <w:sz w:val="20"/>
          <w:szCs w:val="20"/>
        </w:rPr>
        <w:t>Accessible Online 2018. Doi: 10.1093/bybil/bry003</w:t>
      </w:r>
    </w:p>
  </w:footnote>
  <w:footnote w:id="10">
    <w:p w14:paraId="20923185" w14:textId="3E23F59B"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Anghie, ‘Colonialism’, 513. The formulation Anghie quotes is from Lassa </w:t>
      </w:r>
      <w:r w:rsidR="001724F0" w:rsidRPr="00235C3A">
        <w:rPr>
          <w:sz w:val="20"/>
          <w:szCs w:val="20"/>
          <w:lang w:val="en-GB"/>
        </w:rPr>
        <w:t>Oppenheim, International</w:t>
      </w:r>
      <w:r w:rsidRPr="00235C3A">
        <w:rPr>
          <w:i/>
          <w:iCs/>
          <w:sz w:val="20"/>
          <w:szCs w:val="20"/>
          <w:lang w:val="en-GB"/>
        </w:rPr>
        <w:t xml:space="preserve"> Law</w:t>
      </w:r>
      <w:r w:rsidRPr="00235C3A">
        <w:rPr>
          <w:sz w:val="20"/>
          <w:szCs w:val="20"/>
          <w:lang w:val="en-GB"/>
        </w:rPr>
        <w:t xml:space="preserve">: </w:t>
      </w:r>
      <w:r w:rsidRPr="00235C3A">
        <w:rPr>
          <w:i/>
          <w:iCs/>
          <w:sz w:val="20"/>
          <w:szCs w:val="20"/>
          <w:lang w:val="en-GB"/>
        </w:rPr>
        <w:t>A Treatise</w:t>
      </w:r>
      <w:r w:rsidRPr="00235C3A">
        <w:rPr>
          <w:sz w:val="20"/>
          <w:szCs w:val="20"/>
          <w:lang w:val="en-GB"/>
        </w:rPr>
        <w:t xml:space="preserve"> (4th. ed., Sir Arnold D. McNair ed., 1928): ‘The equality before International Law of all member-states of the Family of Nations is an invariable quality derived from their International Personality.’ Let’s note that Oppenheim’s </w:t>
      </w:r>
      <w:r w:rsidRPr="00235C3A">
        <w:rPr>
          <w:i/>
          <w:iCs/>
          <w:sz w:val="20"/>
          <w:szCs w:val="20"/>
          <w:lang w:val="en-GB"/>
        </w:rPr>
        <w:t xml:space="preserve">International Law </w:t>
      </w:r>
      <w:r w:rsidRPr="00235C3A">
        <w:rPr>
          <w:sz w:val="20"/>
          <w:szCs w:val="20"/>
          <w:lang w:val="en-GB"/>
        </w:rPr>
        <w:t xml:space="preserve">was first published in 1905. We will return to this history in the third section below. </w:t>
      </w:r>
    </w:p>
  </w:footnote>
  <w:footnote w:id="11">
    <w:p w14:paraId="147D0AEB" w14:textId="56E724F8" w:rsidR="001030B5" w:rsidRPr="00235C3A" w:rsidRDefault="001030B5" w:rsidP="00235C3A">
      <w:pPr>
        <w:pStyle w:val="FootnoteText"/>
        <w:tabs>
          <w:tab w:val="left" w:pos="567"/>
        </w:tabs>
        <w:spacing w:afterLines="40" w:after="96" w:line="240" w:lineRule="auto"/>
        <w:ind w:left="567" w:right="135" w:hanging="283"/>
        <w:jc w:val="left"/>
        <w:rPr>
          <w:sz w:val="20"/>
          <w:szCs w:val="20"/>
        </w:rPr>
      </w:pPr>
      <w:r w:rsidRPr="00235C3A">
        <w:rPr>
          <w:rStyle w:val="FootnoteReference"/>
          <w:sz w:val="20"/>
          <w:szCs w:val="20"/>
        </w:rPr>
        <w:footnoteRef/>
      </w:r>
      <w:r w:rsidRPr="00235C3A">
        <w:rPr>
          <w:sz w:val="20"/>
          <w:szCs w:val="20"/>
        </w:rPr>
        <w:t xml:space="preserve"> </w:t>
      </w:r>
      <w:r w:rsidR="0059367C" w:rsidRPr="00235C3A">
        <w:rPr>
          <w:sz w:val="20"/>
          <w:szCs w:val="20"/>
        </w:rPr>
        <w:t xml:space="preserve"> </w:t>
      </w:r>
      <w:r w:rsidRPr="00235C3A">
        <w:rPr>
          <w:sz w:val="20"/>
          <w:szCs w:val="20"/>
        </w:rPr>
        <w:t xml:space="preserve">This is starting to change: see e.g. Rebecca Adler-Nissen and Alexei Tsinovoi, ‘International misrecognition: The politics of humour and national identity in Israel’s public diplomacy’, </w:t>
      </w:r>
      <w:r w:rsidRPr="00235C3A">
        <w:rPr>
          <w:i/>
          <w:iCs/>
          <w:sz w:val="20"/>
          <w:szCs w:val="20"/>
        </w:rPr>
        <w:t>European Journal of International Relations</w:t>
      </w:r>
      <w:r w:rsidRPr="00235C3A">
        <w:rPr>
          <w:sz w:val="20"/>
          <w:szCs w:val="20"/>
        </w:rPr>
        <w:t xml:space="preserve"> Online First 2018, pp. 1-27. Doi: 10.1177/1354066117745365; Hans Agne, Jens Bartelson, Eva Erman, Thomas Lindemann, Benjamin Herborth, Oliver Kessler, Christine Chwaszcza, Mikulas Fabry and Stephen D. Krasner, ‘Symposium: The Politics of International Recognition’, </w:t>
      </w:r>
      <w:r w:rsidRPr="00235C3A">
        <w:rPr>
          <w:i/>
          <w:iCs/>
          <w:sz w:val="20"/>
          <w:szCs w:val="20"/>
        </w:rPr>
        <w:t>International Theory</w:t>
      </w:r>
      <w:r w:rsidRPr="00235C3A">
        <w:rPr>
          <w:sz w:val="20"/>
          <w:szCs w:val="20"/>
        </w:rPr>
        <w:t xml:space="preserve"> 5.1 (2013), pp. 94-107; Jens Bartelson, ‘Three Concepts of Recognition’, </w:t>
      </w:r>
      <w:r w:rsidRPr="00235C3A">
        <w:rPr>
          <w:i/>
          <w:iCs/>
          <w:sz w:val="20"/>
          <w:szCs w:val="20"/>
        </w:rPr>
        <w:t>International Theory</w:t>
      </w:r>
      <w:r w:rsidRPr="00235C3A">
        <w:rPr>
          <w:sz w:val="20"/>
          <w:szCs w:val="20"/>
        </w:rPr>
        <w:t xml:space="preserve"> 5.1 (2013), pp. 107-129; Thomas Lindemann, ‘The case for </w:t>
      </w:r>
      <w:r w:rsidR="003036AE" w:rsidRPr="00235C3A">
        <w:rPr>
          <w:sz w:val="20"/>
          <w:szCs w:val="20"/>
        </w:rPr>
        <w:t xml:space="preserve">an empirical and social-psychological study of recognition in international relations’, </w:t>
      </w:r>
      <w:r w:rsidR="003036AE" w:rsidRPr="00235C3A">
        <w:rPr>
          <w:i/>
          <w:iCs/>
          <w:sz w:val="20"/>
          <w:szCs w:val="20"/>
        </w:rPr>
        <w:t>International Theory</w:t>
      </w:r>
      <w:r w:rsidR="003036AE" w:rsidRPr="00235C3A">
        <w:rPr>
          <w:sz w:val="20"/>
          <w:szCs w:val="20"/>
        </w:rPr>
        <w:t xml:space="preserve"> 5.1 (2013), pp. 473-92;</w:t>
      </w:r>
      <w:r w:rsidRPr="00235C3A">
        <w:rPr>
          <w:sz w:val="20"/>
          <w:szCs w:val="20"/>
        </w:rPr>
        <w:t xml:space="preserve"> Anthony Burns and Simon Thompson, eds., </w:t>
      </w:r>
      <w:r w:rsidRPr="00235C3A">
        <w:rPr>
          <w:i/>
          <w:iCs/>
          <w:sz w:val="20"/>
          <w:szCs w:val="20"/>
        </w:rPr>
        <w:t>Global Justice and the Politics of Recognition</w:t>
      </w:r>
      <w:r w:rsidRPr="00235C3A">
        <w:rPr>
          <w:sz w:val="20"/>
          <w:szCs w:val="20"/>
        </w:rPr>
        <w:t xml:space="preserve"> (Basingstoke: Palgrave, 2013)</w:t>
      </w:r>
      <w:r w:rsidR="003036AE" w:rsidRPr="00235C3A">
        <w:rPr>
          <w:sz w:val="20"/>
          <w:szCs w:val="20"/>
        </w:rPr>
        <w:t xml:space="preserve">; Thomas Lindemann and Erik Ringmar, eds., </w:t>
      </w:r>
      <w:r w:rsidR="003036AE" w:rsidRPr="00235C3A">
        <w:rPr>
          <w:i/>
          <w:iCs/>
          <w:sz w:val="20"/>
          <w:szCs w:val="20"/>
        </w:rPr>
        <w:t xml:space="preserve">The International Politics of Recognition </w:t>
      </w:r>
      <w:r w:rsidR="003036AE" w:rsidRPr="00235C3A">
        <w:rPr>
          <w:sz w:val="20"/>
          <w:szCs w:val="20"/>
        </w:rPr>
        <w:t xml:space="preserve">(Boulder, CO: Paradigm, 2014). </w:t>
      </w:r>
    </w:p>
  </w:footnote>
  <w:footnote w:id="12">
    <w:p w14:paraId="238278FC" w14:textId="11EDBE83"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IR builds on the field of international law in this particular respect. See Anghie, ‘Colonialism’, 514 </w:t>
      </w:r>
      <w:r w:rsidR="004658C9" w:rsidRPr="00235C3A">
        <w:rPr>
          <w:sz w:val="20"/>
          <w:szCs w:val="20"/>
          <w:lang w:val="en-GB"/>
        </w:rPr>
        <w:t xml:space="preserve">and Clark, ‘Conceptual History’ </w:t>
      </w:r>
      <w:r w:rsidRPr="00235C3A">
        <w:rPr>
          <w:sz w:val="20"/>
          <w:szCs w:val="20"/>
          <w:lang w:val="en-GB"/>
        </w:rPr>
        <w:t xml:space="preserve">for an overview of how international law understands sovereign equality. See also Stephen D. Krasner, ‘Rethinking the sovereign state model’, </w:t>
      </w:r>
      <w:r w:rsidRPr="00235C3A">
        <w:rPr>
          <w:i/>
          <w:iCs/>
          <w:sz w:val="20"/>
          <w:szCs w:val="20"/>
          <w:lang w:val="en-GB"/>
        </w:rPr>
        <w:t>Review of International Studies</w:t>
      </w:r>
      <w:r w:rsidR="004658C9" w:rsidRPr="00235C3A">
        <w:rPr>
          <w:sz w:val="20"/>
          <w:szCs w:val="20"/>
          <w:lang w:val="en-GB"/>
        </w:rPr>
        <w:t xml:space="preserve"> 27 (2001), pp. 17-42. </w:t>
      </w:r>
    </w:p>
  </w:footnote>
  <w:footnote w:id="13">
    <w:p w14:paraId="5F6821D4" w14:textId="337EB8B8"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Reus-Smit, </w:t>
      </w:r>
      <w:r w:rsidRPr="00235C3A">
        <w:rPr>
          <w:i/>
          <w:iCs/>
          <w:sz w:val="20"/>
          <w:szCs w:val="20"/>
          <w:lang w:val="en-GB"/>
        </w:rPr>
        <w:t>Individual Rights</w:t>
      </w:r>
      <w:r w:rsidRPr="00235C3A">
        <w:rPr>
          <w:sz w:val="20"/>
          <w:szCs w:val="20"/>
          <w:lang w:val="en-GB"/>
        </w:rPr>
        <w:t xml:space="preserve">; Alexander Wendt, </w:t>
      </w:r>
      <w:r w:rsidRPr="00235C3A">
        <w:rPr>
          <w:i/>
          <w:iCs/>
          <w:sz w:val="20"/>
          <w:szCs w:val="20"/>
          <w:lang w:val="en-GB"/>
        </w:rPr>
        <w:t>Social Theory of International Relations</w:t>
      </w:r>
      <w:r w:rsidRPr="00235C3A">
        <w:rPr>
          <w:sz w:val="20"/>
          <w:szCs w:val="20"/>
          <w:lang w:val="en-GB"/>
        </w:rPr>
        <w:t xml:space="preserve"> (Cambridge: Cambridge University Press, 1999); Richard Ned Lebow, </w:t>
      </w:r>
      <w:r w:rsidRPr="00235C3A">
        <w:rPr>
          <w:i/>
          <w:iCs/>
          <w:sz w:val="20"/>
          <w:szCs w:val="20"/>
          <w:lang w:val="en-GB"/>
        </w:rPr>
        <w:t xml:space="preserve">Cultural Theory of International Relations </w:t>
      </w:r>
      <w:r w:rsidRPr="00235C3A">
        <w:rPr>
          <w:sz w:val="20"/>
          <w:szCs w:val="20"/>
          <w:lang w:val="en-GB"/>
        </w:rPr>
        <w:t xml:space="preserve">(Cambridge: Cambridge University Press, 2008); </w:t>
      </w:r>
      <w:r w:rsidRPr="00235C3A">
        <w:rPr>
          <w:i/>
          <w:iCs/>
          <w:sz w:val="20"/>
          <w:szCs w:val="20"/>
          <w:lang w:val="en-GB"/>
        </w:rPr>
        <w:t>Why Nations Fight</w:t>
      </w:r>
      <w:r w:rsidRPr="00235C3A">
        <w:rPr>
          <w:sz w:val="20"/>
          <w:szCs w:val="20"/>
          <w:lang w:val="en-GB"/>
        </w:rPr>
        <w:t xml:space="preserve"> (Cambridge: Cambridge University Press, 2010); Gerry Simpson, </w:t>
      </w:r>
      <w:r w:rsidRPr="00235C3A">
        <w:rPr>
          <w:i/>
          <w:iCs/>
          <w:sz w:val="20"/>
          <w:szCs w:val="20"/>
          <w:lang w:val="en-GB"/>
        </w:rPr>
        <w:t>Great Powers and Outlaw States: Unequal Sovereigns in the International Legal Order</w:t>
      </w:r>
      <w:r w:rsidRPr="00235C3A">
        <w:rPr>
          <w:sz w:val="20"/>
          <w:szCs w:val="20"/>
          <w:lang w:val="en-GB"/>
        </w:rPr>
        <w:t xml:space="preserve"> (Cambridge: Cambridge University Press, 2004); Erik Ringmar, ‘Recognition and the Origins of International Society,’ </w:t>
      </w:r>
      <w:r w:rsidRPr="00235C3A">
        <w:rPr>
          <w:i/>
          <w:iCs/>
          <w:sz w:val="20"/>
          <w:szCs w:val="20"/>
          <w:lang w:val="en-GB"/>
        </w:rPr>
        <w:t>Global Discourse</w:t>
      </w:r>
      <w:r w:rsidRPr="00235C3A">
        <w:rPr>
          <w:sz w:val="20"/>
          <w:szCs w:val="20"/>
          <w:lang w:val="en-GB"/>
        </w:rPr>
        <w:t xml:space="preserve"> 4.4 (2014), pp. 446-58; Erik Ringmar, ‘The Recognition Game: Soviet Russia Against the West’, </w:t>
      </w:r>
      <w:r w:rsidRPr="00235C3A">
        <w:rPr>
          <w:i/>
          <w:iCs/>
          <w:sz w:val="20"/>
          <w:szCs w:val="20"/>
          <w:lang w:val="en-GB"/>
        </w:rPr>
        <w:t>Cooperation &amp; Conflict</w:t>
      </w:r>
      <w:r w:rsidRPr="00235C3A">
        <w:rPr>
          <w:sz w:val="20"/>
          <w:szCs w:val="20"/>
          <w:lang w:val="en-GB"/>
        </w:rPr>
        <w:t xml:space="preserve"> 37.2 (2002), pp. 115 - 136; Reinhard Wolf, ‘Respect and Disrespect in International Politics: The Significance of Status Recognition’, </w:t>
      </w:r>
      <w:r w:rsidRPr="00235C3A">
        <w:rPr>
          <w:i/>
          <w:iCs/>
          <w:sz w:val="20"/>
          <w:szCs w:val="20"/>
          <w:lang w:val="en-GB"/>
        </w:rPr>
        <w:t>International Theory</w:t>
      </w:r>
      <w:r w:rsidRPr="00235C3A">
        <w:rPr>
          <w:sz w:val="20"/>
          <w:szCs w:val="20"/>
          <w:lang w:val="en-GB"/>
        </w:rPr>
        <w:t xml:space="preserve"> 3.1 (2011), pp. 105 - 142; Jorg Friedrichs, ‘An Intercultural Theory of International Relations: How Self-Worth Underlies Politics among Nations’, </w:t>
      </w:r>
      <w:r w:rsidRPr="00235C3A">
        <w:rPr>
          <w:i/>
          <w:iCs/>
          <w:sz w:val="20"/>
          <w:szCs w:val="20"/>
          <w:lang w:val="en-GB"/>
        </w:rPr>
        <w:t xml:space="preserve">International Theory </w:t>
      </w:r>
      <w:r w:rsidRPr="00235C3A">
        <w:rPr>
          <w:sz w:val="20"/>
          <w:szCs w:val="20"/>
          <w:lang w:val="en-GB"/>
        </w:rPr>
        <w:t xml:space="preserve">8.1 (2016), p. 63-96; Zarakol, </w:t>
      </w:r>
      <w:r w:rsidRPr="00235C3A">
        <w:rPr>
          <w:i/>
          <w:iCs/>
          <w:sz w:val="20"/>
          <w:szCs w:val="20"/>
          <w:lang w:val="en-GB"/>
        </w:rPr>
        <w:t xml:space="preserve">After Defeat; </w:t>
      </w:r>
      <w:r w:rsidRPr="00235C3A">
        <w:rPr>
          <w:sz w:val="20"/>
          <w:szCs w:val="20"/>
          <w:lang w:val="en-GB"/>
        </w:rPr>
        <w:t xml:space="preserve">Rebecca Adler-Nissen, </w:t>
      </w:r>
      <w:r w:rsidRPr="00235C3A">
        <w:rPr>
          <w:i/>
          <w:iCs/>
          <w:sz w:val="20"/>
          <w:szCs w:val="20"/>
          <w:lang w:val="en-GB"/>
        </w:rPr>
        <w:t>Opting Out of the European Union: Diplomacy, Sovereignty and European Integration</w:t>
      </w:r>
      <w:r w:rsidRPr="00235C3A">
        <w:rPr>
          <w:sz w:val="20"/>
          <w:szCs w:val="20"/>
          <w:lang w:val="en-GB"/>
        </w:rPr>
        <w:t xml:space="preserve"> (Cambridge: Cambridge University Press, 2014).</w:t>
      </w:r>
      <w:r w:rsidR="003036AE" w:rsidRPr="00235C3A">
        <w:rPr>
          <w:sz w:val="20"/>
          <w:szCs w:val="20"/>
          <w:lang w:val="en-GB"/>
        </w:rPr>
        <w:t xml:space="preserve"> </w:t>
      </w:r>
    </w:p>
  </w:footnote>
  <w:footnote w:id="14">
    <w:p w14:paraId="100DE7F5" w14:textId="60EEDA46" w:rsidR="003036AE" w:rsidRPr="00235C3A" w:rsidRDefault="003036AE" w:rsidP="00235C3A">
      <w:pPr>
        <w:pStyle w:val="FootnoteText"/>
        <w:tabs>
          <w:tab w:val="left" w:pos="567"/>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lang w:val="en-GB"/>
        </w:rPr>
        <w:t>On this point, see also Lisa Str</w:t>
      </w:r>
      <w:r w:rsidRPr="00235C3A">
        <w:rPr>
          <w:sz w:val="20"/>
          <w:szCs w:val="20"/>
          <w:lang w:val="tr-TR"/>
        </w:rPr>
        <w:t>ömbom</w:t>
      </w:r>
      <w:r w:rsidRPr="00235C3A">
        <w:rPr>
          <w:sz w:val="20"/>
          <w:szCs w:val="20"/>
          <w:lang w:val="en-GB"/>
        </w:rPr>
        <w:t xml:space="preserve">, ‘Thick recognition: Advancing theory on identity change in intractable conflicts’, </w:t>
      </w:r>
      <w:r w:rsidRPr="00235C3A">
        <w:rPr>
          <w:i/>
          <w:iCs/>
          <w:sz w:val="20"/>
          <w:szCs w:val="20"/>
          <w:lang w:val="en-GB"/>
        </w:rPr>
        <w:t>European Journal of International Relations</w:t>
      </w:r>
      <w:r w:rsidRPr="00235C3A">
        <w:rPr>
          <w:sz w:val="20"/>
          <w:szCs w:val="20"/>
          <w:lang w:val="en-GB"/>
        </w:rPr>
        <w:t xml:space="preserve"> 20.1 (2014), pp. 168-191.</w:t>
      </w:r>
    </w:p>
  </w:footnote>
  <w:footnote w:id="15">
    <w:p w14:paraId="38E6AA64"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The exception are studies whose focus is on individual actors seeking recognition (even if they are agents of states). See e.g. Adler-Nissen, </w:t>
      </w:r>
      <w:r w:rsidRPr="00235C3A">
        <w:rPr>
          <w:i/>
          <w:iCs/>
          <w:sz w:val="20"/>
          <w:szCs w:val="20"/>
          <w:lang w:val="en-GB"/>
        </w:rPr>
        <w:t>Opting Out</w:t>
      </w:r>
      <w:r w:rsidRPr="00235C3A">
        <w:rPr>
          <w:sz w:val="20"/>
          <w:szCs w:val="20"/>
          <w:lang w:val="en-GB"/>
        </w:rPr>
        <w:t xml:space="preserve">; Vincent Pouliot, </w:t>
      </w:r>
      <w:r w:rsidRPr="00235C3A">
        <w:rPr>
          <w:i/>
          <w:iCs/>
          <w:sz w:val="20"/>
          <w:szCs w:val="20"/>
          <w:lang w:val="en-GB"/>
        </w:rPr>
        <w:t>International Pecking Orders: The Politics and Practice of Multilateral Diplomacy</w:t>
      </w:r>
      <w:r w:rsidRPr="00235C3A">
        <w:rPr>
          <w:sz w:val="20"/>
          <w:szCs w:val="20"/>
          <w:lang w:val="en-GB"/>
        </w:rPr>
        <w:t xml:space="preserve"> (Cambridge: Cambridge University Press, 2016). </w:t>
      </w:r>
    </w:p>
  </w:footnote>
  <w:footnote w:id="16">
    <w:p w14:paraId="04239925"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Though there is an overlap in some areas, note that the distinction between legal recognition and existential recognition does not map onto the distinction between </w:t>
      </w:r>
      <w:r w:rsidRPr="00235C3A">
        <w:rPr>
          <w:i/>
          <w:iCs/>
          <w:sz w:val="20"/>
          <w:szCs w:val="20"/>
          <w:lang w:val="en-GB"/>
        </w:rPr>
        <w:t>de jure</w:t>
      </w:r>
      <w:r w:rsidRPr="00235C3A">
        <w:rPr>
          <w:sz w:val="20"/>
          <w:szCs w:val="20"/>
          <w:lang w:val="en-GB"/>
        </w:rPr>
        <w:t xml:space="preserve"> and </w:t>
      </w:r>
      <w:r w:rsidRPr="00235C3A">
        <w:rPr>
          <w:i/>
          <w:iCs/>
          <w:sz w:val="20"/>
          <w:szCs w:val="20"/>
          <w:lang w:val="en-GB"/>
        </w:rPr>
        <w:t xml:space="preserve">de facto </w:t>
      </w:r>
      <w:r w:rsidRPr="00235C3A">
        <w:rPr>
          <w:sz w:val="20"/>
          <w:szCs w:val="20"/>
          <w:lang w:val="en-GB"/>
        </w:rPr>
        <w:t xml:space="preserve">sovereignty. Existential recognition is still outward looking. </w:t>
      </w:r>
    </w:p>
  </w:footnote>
  <w:footnote w:id="17">
    <w:p w14:paraId="64B6D99C"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The general assumption is one of transferability from individual motivations to corporate ones.  This may be true at times, but it does not account for historical polities that did not exhibit this pattern.  In the second and third sections of this essay I will instead make a historical argument about the recognition seeking behaviour of modern states. </w:t>
      </w:r>
    </w:p>
  </w:footnote>
  <w:footnote w:id="18">
    <w:p w14:paraId="55C72637"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See e.g. Charles Taylor, ‘Politics of Recognition’, </w:t>
      </w:r>
      <w:r w:rsidRPr="00235C3A">
        <w:rPr>
          <w:i/>
          <w:iCs/>
          <w:sz w:val="20"/>
          <w:szCs w:val="20"/>
          <w:lang w:val="en-GB"/>
        </w:rPr>
        <w:t>Multiculturalism: Examining the Politics of Recognition</w:t>
      </w:r>
      <w:r w:rsidRPr="00235C3A">
        <w:rPr>
          <w:sz w:val="20"/>
          <w:szCs w:val="20"/>
          <w:lang w:val="en-GB"/>
        </w:rPr>
        <w:t xml:space="preserve"> (Princeton: Princeton University Press, 1994); Axel Honneth, </w:t>
      </w:r>
      <w:r w:rsidRPr="00235C3A">
        <w:rPr>
          <w:i/>
          <w:iCs/>
          <w:sz w:val="20"/>
          <w:szCs w:val="20"/>
          <w:lang w:val="en-GB"/>
        </w:rPr>
        <w:t>The Struggle for Recognition: The Moral Grammar of Social Conflicts</w:t>
      </w:r>
      <w:r w:rsidRPr="00235C3A">
        <w:rPr>
          <w:sz w:val="20"/>
          <w:szCs w:val="20"/>
          <w:lang w:val="en-GB"/>
        </w:rPr>
        <w:t xml:space="preserve"> (Cambridge, MA: MIT Press, 1996); Robert Williams, </w:t>
      </w:r>
      <w:r w:rsidRPr="00235C3A">
        <w:rPr>
          <w:i/>
          <w:iCs/>
          <w:sz w:val="20"/>
          <w:szCs w:val="20"/>
          <w:lang w:val="en-GB"/>
        </w:rPr>
        <w:t xml:space="preserve">Hegel’s Ethics of Recognition </w:t>
      </w:r>
      <w:r w:rsidRPr="00235C3A">
        <w:rPr>
          <w:sz w:val="20"/>
          <w:szCs w:val="20"/>
          <w:lang w:val="en-GB"/>
        </w:rPr>
        <w:t xml:space="preserve">(Berkeley: University of California Press, 2000).  For an extension of Honneth’s argument to IR, see Axel Honneth, ‘Recognition between States: On the Moral Substrate of International Relations,’ in Erik Ringmar and Thomas Lindemann, eds., </w:t>
      </w:r>
      <w:r w:rsidRPr="00235C3A">
        <w:rPr>
          <w:i/>
          <w:iCs/>
          <w:sz w:val="20"/>
          <w:szCs w:val="20"/>
          <w:lang w:val="en-GB"/>
        </w:rPr>
        <w:t>The Struggle for Recognition in International Relations</w:t>
      </w:r>
      <w:r w:rsidRPr="00235C3A">
        <w:rPr>
          <w:sz w:val="20"/>
          <w:szCs w:val="20"/>
          <w:lang w:val="en-GB"/>
        </w:rPr>
        <w:t xml:space="preserve"> (Boulder: Paradigm Publishers, 2012), pp. 53-38.</w:t>
      </w:r>
    </w:p>
  </w:footnote>
  <w:footnote w:id="19">
    <w:p w14:paraId="4AAC2959" w14:textId="3E840FB1" w:rsidR="00F733FA" w:rsidRPr="00235C3A" w:rsidRDefault="00F733FA" w:rsidP="00235C3A">
      <w:pPr>
        <w:pStyle w:val="FootnoteText"/>
        <w:tabs>
          <w:tab w:val="left" w:pos="567"/>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w:t>
      </w:r>
      <w:r w:rsidR="00235C3A">
        <w:rPr>
          <w:sz w:val="20"/>
          <w:szCs w:val="20"/>
        </w:rPr>
        <w:t xml:space="preserve">  </w:t>
      </w:r>
      <w:r w:rsidRPr="00235C3A">
        <w:rPr>
          <w:sz w:val="20"/>
          <w:szCs w:val="20"/>
          <w:lang w:val="en-GB"/>
        </w:rPr>
        <w:t xml:space="preserve">Framing article. See also, Adler-Nissen and Tsinovoi, ‘International misrecognition’. </w:t>
      </w:r>
    </w:p>
  </w:footnote>
  <w:footnote w:id="20">
    <w:p w14:paraId="5B7ACE98" w14:textId="3A0BB922"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r>
      <w:r w:rsidR="00E56E76" w:rsidRPr="00235C3A">
        <w:rPr>
          <w:sz w:val="20"/>
          <w:szCs w:val="20"/>
          <w:lang w:val="en-GB"/>
        </w:rPr>
        <w:t>Most notably in</w:t>
      </w:r>
      <w:r w:rsidRPr="00235C3A">
        <w:rPr>
          <w:sz w:val="20"/>
          <w:szCs w:val="20"/>
          <w:lang w:val="en-GB"/>
        </w:rPr>
        <w:t xml:space="preserve"> Patchen Markell, </w:t>
      </w:r>
      <w:r w:rsidRPr="00235C3A">
        <w:rPr>
          <w:i/>
          <w:iCs/>
          <w:sz w:val="20"/>
          <w:szCs w:val="20"/>
          <w:lang w:val="en-GB"/>
        </w:rPr>
        <w:t xml:space="preserve">Bound by Recognition </w:t>
      </w:r>
      <w:r w:rsidRPr="00235C3A">
        <w:rPr>
          <w:sz w:val="20"/>
          <w:szCs w:val="20"/>
          <w:lang w:val="en-GB"/>
        </w:rPr>
        <w:t xml:space="preserve">(Princeton: Princeton University Press, 2003). </w:t>
      </w:r>
      <w:r w:rsidR="00E56E76" w:rsidRPr="00235C3A">
        <w:rPr>
          <w:sz w:val="20"/>
          <w:szCs w:val="20"/>
          <w:lang w:val="en-GB"/>
        </w:rPr>
        <w:t xml:space="preserve"> Markell is criticising Charles Taylor’s approach to recognition and multiculturalism, as will be discussed below. </w:t>
      </w:r>
      <w:r w:rsidR="00F733FA" w:rsidRPr="00235C3A">
        <w:rPr>
          <w:sz w:val="20"/>
          <w:szCs w:val="20"/>
          <w:lang w:val="en-GB"/>
        </w:rPr>
        <w:t xml:space="preserve">See also (the Framing Article).  </w:t>
      </w:r>
    </w:p>
  </w:footnote>
  <w:footnote w:id="21">
    <w:p w14:paraId="7F6588EA" w14:textId="6C11A86A" w:rsidR="00E56E76" w:rsidRPr="00235C3A" w:rsidRDefault="00E56E76" w:rsidP="00235C3A">
      <w:pPr>
        <w:pStyle w:val="FootnoteText"/>
        <w:tabs>
          <w:tab w:val="left" w:pos="567"/>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Ibid.</w:t>
      </w:r>
    </w:p>
  </w:footnote>
  <w:footnote w:id="22">
    <w:p w14:paraId="63C275E4" w14:textId="570B2BED" w:rsidR="00880DC0" w:rsidRPr="00235C3A" w:rsidRDefault="00880DC0" w:rsidP="00235C3A">
      <w:pPr>
        <w:pStyle w:val="FootnoteText"/>
        <w:tabs>
          <w:tab w:val="left" w:pos="567"/>
          <w:tab w:val="left" w:pos="4536"/>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This reading is also very much inspired by Markell’s reading of Hegel.</w:t>
      </w:r>
      <w:r w:rsidR="00F733FA" w:rsidRPr="00235C3A">
        <w:rPr>
          <w:sz w:val="20"/>
          <w:szCs w:val="20"/>
        </w:rPr>
        <w:t xml:space="preserve"> Unlike some of the other contributions to this volume (to be replaced by actual citations) I do not adopt a Lacanian or psychoanalytic approach. For ways of reconciling the two, see (the Framing Article) or Adler-Nissen and Tsinovoi, ‘International Misrecognition’.</w:t>
      </w:r>
    </w:p>
  </w:footnote>
  <w:footnote w:id="23">
    <w:p w14:paraId="11549675" w14:textId="09A2AE5C"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From this point on</w:t>
      </w:r>
      <w:r w:rsidR="00A43DB8" w:rsidRPr="00235C3A">
        <w:rPr>
          <w:sz w:val="20"/>
          <w:szCs w:val="20"/>
          <w:lang w:val="en-GB"/>
        </w:rPr>
        <w:t xml:space="preserve"> in this article</w:t>
      </w:r>
      <w:r w:rsidRPr="00235C3A">
        <w:rPr>
          <w:sz w:val="20"/>
          <w:szCs w:val="20"/>
          <w:lang w:val="en-GB"/>
        </w:rPr>
        <w:t>, the term recognition should be understood broadly and not in the narrow, legal sense, unless otherwise specified.</w:t>
      </w:r>
    </w:p>
  </w:footnote>
  <w:footnote w:id="24">
    <w:p w14:paraId="751CB5E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Markell, </w:t>
      </w:r>
      <w:r w:rsidRPr="00235C3A">
        <w:rPr>
          <w:i/>
          <w:iCs/>
          <w:sz w:val="20"/>
          <w:szCs w:val="20"/>
          <w:lang w:val="en-GB"/>
        </w:rPr>
        <w:t>Bound</w:t>
      </w:r>
      <w:r w:rsidRPr="00235C3A">
        <w:rPr>
          <w:sz w:val="20"/>
          <w:szCs w:val="20"/>
          <w:lang w:val="en-GB"/>
        </w:rPr>
        <w:t>, 11.</w:t>
      </w:r>
    </w:p>
  </w:footnote>
  <w:footnote w:id="25">
    <w:p w14:paraId="697C6AD6"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In the </w:t>
      </w:r>
      <w:r w:rsidRPr="00235C3A">
        <w:rPr>
          <w:i/>
          <w:iCs/>
          <w:sz w:val="20"/>
          <w:szCs w:val="20"/>
          <w:lang w:val="en-GB"/>
        </w:rPr>
        <w:t xml:space="preserve">Philosophy of Right </w:t>
      </w:r>
      <w:r w:rsidRPr="00235C3A">
        <w:rPr>
          <w:sz w:val="20"/>
          <w:szCs w:val="20"/>
          <w:lang w:val="en-GB"/>
        </w:rPr>
        <w:t xml:space="preserve">§4, Hegel defines the essence of human spirit as freedom, but he has a particular understanding of what freedom means, which he provides in §23: ‘Only in this freedom is the will completely </w:t>
      </w:r>
      <w:r w:rsidRPr="00235C3A">
        <w:rPr>
          <w:i/>
          <w:iCs/>
          <w:sz w:val="20"/>
          <w:szCs w:val="20"/>
          <w:lang w:val="en-GB"/>
        </w:rPr>
        <w:t xml:space="preserve">with itself [bei sich], </w:t>
      </w:r>
      <w:r w:rsidRPr="00235C3A">
        <w:rPr>
          <w:sz w:val="20"/>
          <w:szCs w:val="20"/>
          <w:lang w:val="en-GB"/>
        </w:rPr>
        <w:t xml:space="preserve">because it has reference to nothing but itself, so that every relationship of </w:t>
      </w:r>
      <w:r w:rsidRPr="00235C3A">
        <w:rPr>
          <w:i/>
          <w:iCs/>
          <w:sz w:val="20"/>
          <w:szCs w:val="20"/>
          <w:lang w:val="en-GB"/>
        </w:rPr>
        <w:t>dependence</w:t>
      </w:r>
      <w:r w:rsidRPr="00235C3A">
        <w:rPr>
          <w:sz w:val="20"/>
          <w:szCs w:val="20"/>
          <w:lang w:val="en-GB"/>
        </w:rPr>
        <w:t xml:space="preserve"> on something other than itself is thereby eliminated.’ See Georg Wilhelm Friedrich</w:t>
      </w:r>
      <w:r w:rsidRPr="00235C3A">
        <w:rPr>
          <w:sz w:val="20"/>
          <w:szCs w:val="20"/>
          <w:vertAlign w:val="superscript"/>
          <w:lang w:val="en-GB"/>
        </w:rPr>
        <w:t xml:space="preserve"> </w:t>
      </w:r>
      <w:r w:rsidRPr="00235C3A">
        <w:rPr>
          <w:sz w:val="20"/>
          <w:szCs w:val="20"/>
          <w:lang w:val="en-GB"/>
        </w:rPr>
        <w:t xml:space="preserve">Hegel, </w:t>
      </w:r>
      <w:r w:rsidRPr="00235C3A">
        <w:rPr>
          <w:i/>
          <w:iCs/>
          <w:sz w:val="20"/>
          <w:szCs w:val="20"/>
          <w:lang w:val="en-GB"/>
        </w:rPr>
        <w:t>Elements of the Philosophy of Right</w:t>
      </w:r>
      <w:r w:rsidRPr="00235C3A">
        <w:rPr>
          <w:sz w:val="20"/>
          <w:szCs w:val="20"/>
          <w:lang w:val="en-GB"/>
        </w:rPr>
        <w:t xml:space="preserve">, ed. Allen W. Wood. (Cambridge University Press, </w:t>
      </w:r>
    </w:p>
  </w:footnote>
  <w:footnote w:id="26">
    <w:p w14:paraId="651B8BDA"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Markell, Bound, 104. See also Georg Wilhelm Friedrich</w:t>
      </w:r>
      <w:r w:rsidRPr="00235C3A">
        <w:rPr>
          <w:sz w:val="20"/>
          <w:szCs w:val="20"/>
          <w:vertAlign w:val="superscript"/>
          <w:lang w:val="en-GB"/>
        </w:rPr>
        <w:t xml:space="preserve"> </w:t>
      </w:r>
      <w:r w:rsidRPr="00235C3A">
        <w:rPr>
          <w:sz w:val="20"/>
          <w:szCs w:val="20"/>
          <w:lang w:val="en-GB"/>
        </w:rPr>
        <w:t>Hegel,</w:t>
      </w:r>
      <w:r w:rsidRPr="00235C3A">
        <w:rPr>
          <w:i/>
          <w:iCs/>
          <w:sz w:val="20"/>
          <w:szCs w:val="20"/>
          <w:lang w:val="en-GB"/>
        </w:rPr>
        <w:t xml:space="preserve"> The Phenomenology of Spirit</w:t>
      </w:r>
      <w:r w:rsidRPr="00235C3A">
        <w:rPr>
          <w:sz w:val="20"/>
          <w:szCs w:val="20"/>
          <w:lang w:val="en-GB"/>
        </w:rPr>
        <w:t xml:space="preserve">, § 104-110. </w:t>
      </w:r>
    </w:p>
  </w:footnote>
  <w:footnote w:id="27">
    <w:p w14:paraId="6CD10A8D" w14:textId="59BC886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r>
      <w:r w:rsidR="00AA3CA7" w:rsidRPr="00235C3A">
        <w:rPr>
          <w:sz w:val="20"/>
          <w:szCs w:val="20"/>
          <w:lang w:val="en-GB"/>
        </w:rPr>
        <w:t xml:space="preserve">ibid., </w:t>
      </w:r>
      <w:r w:rsidRPr="00235C3A">
        <w:rPr>
          <w:sz w:val="20"/>
          <w:szCs w:val="20"/>
          <w:lang w:val="en-GB"/>
        </w:rPr>
        <w:t xml:space="preserve">§ 109. </w:t>
      </w:r>
    </w:p>
  </w:footnote>
  <w:footnote w:id="28">
    <w:p w14:paraId="3F905981"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ibid.</w:t>
      </w:r>
    </w:p>
  </w:footnote>
  <w:footnote w:id="29">
    <w:p w14:paraId="1FC6794A"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104-5. </w:t>
      </w:r>
    </w:p>
  </w:footnote>
  <w:footnote w:id="30">
    <w:p w14:paraId="1C27D40B"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Hegel, </w:t>
      </w:r>
      <w:r w:rsidRPr="00235C3A">
        <w:rPr>
          <w:i/>
          <w:iCs/>
          <w:sz w:val="20"/>
          <w:szCs w:val="20"/>
          <w:lang w:val="en-GB"/>
        </w:rPr>
        <w:t>Phenomenology</w:t>
      </w:r>
      <w:r w:rsidRPr="00235C3A">
        <w:rPr>
          <w:sz w:val="20"/>
          <w:szCs w:val="20"/>
          <w:lang w:val="en-GB"/>
        </w:rPr>
        <w:t xml:space="preserve">, p.114; see also Alexandre Kojève, ‘In Place of an Introduction,’ </w:t>
      </w:r>
      <w:r w:rsidRPr="00235C3A">
        <w:rPr>
          <w:i/>
          <w:iCs/>
          <w:sz w:val="20"/>
          <w:szCs w:val="20"/>
          <w:lang w:val="en-GB"/>
        </w:rPr>
        <w:t>Introduction to the Reading of Hegel</w:t>
      </w:r>
      <w:r w:rsidRPr="00235C3A">
        <w:rPr>
          <w:sz w:val="20"/>
          <w:szCs w:val="20"/>
          <w:lang w:val="en-GB"/>
        </w:rPr>
        <w:t xml:space="preserve">, ed. Allan Bloom, trans. James H. Nichols, JR. (Ithaca, NY: Cornell University Press, 1980), pp. 7-15. </w:t>
      </w:r>
    </w:p>
  </w:footnote>
  <w:footnote w:id="31">
    <w:p w14:paraId="3EFE5A66"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Hegel, </w:t>
      </w:r>
      <w:r w:rsidRPr="00235C3A">
        <w:rPr>
          <w:i/>
          <w:iCs/>
          <w:sz w:val="20"/>
          <w:szCs w:val="20"/>
          <w:lang w:val="en-GB"/>
        </w:rPr>
        <w:t>Phenomenology</w:t>
      </w:r>
      <w:r w:rsidRPr="00235C3A">
        <w:rPr>
          <w:sz w:val="20"/>
          <w:szCs w:val="20"/>
          <w:lang w:val="en-GB"/>
        </w:rPr>
        <w:t xml:space="preserve">, p. 117. </w:t>
      </w:r>
    </w:p>
  </w:footnote>
  <w:footnote w:id="32">
    <w:p w14:paraId="3EDEE1E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ibid. See also Markell, </w:t>
      </w:r>
      <w:r w:rsidRPr="00235C3A">
        <w:rPr>
          <w:i/>
          <w:iCs/>
          <w:sz w:val="20"/>
          <w:szCs w:val="20"/>
          <w:lang w:val="en-GB"/>
        </w:rPr>
        <w:t>Bound</w:t>
      </w:r>
      <w:r w:rsidRPr="00235C3A">
        <w:rPr>
          <w:sz w:val="20"/>
          <w:szCs w:val="20"/>
          <w:lang w:val="en-GB"/>
        </w:rPr>
        <w:t>, p. 106.</w:t>
      </w:r>
    </w:p>
  </w:footnote>
  <w:footnote w:id="33">
    <w:p w14:paraId="078E505D"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w:t>
      </w:r>
    </w:p>
  </w:footnote>
  <w:footnote w:id="34">
    <w:p w14:paraId="79ADBEA6"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Taylor, ‘Politics’, p. 34. (The essay was republished in 1994.)</w:t>
      </w:r>
    </w:p>
  </w:footnote>
  <w:footnote w:id="35">
    <w:p w14:paraId="1977CF5B" w14:textId="34E9B7B5"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ibid. On the point of how identities became more constructed in ‘modernity’, see also Stephen Greenblatt, </w:t>
      </w:r>
      <w:r w:rsidRPr="00235C3A">
        <w:rPr>
          <w:i/>
          <w:iCs/>
          <w:sz w:val="20"/>
          <w:szCs w:val="20"/>
          <w:lang w:val="en-GB"/>
        </w:rPr>
        <w:t>Renaissance Self-Fashioning</w:t>
      </w:r>
      <w:r w:rsidRPr="00235C3A">
        <w:rPr>
          <w:sz w:val="20"/>
          <w:szCs w:val="20"/>
          <w:lang w:val="en-GB"/>
        </w:rPr>
        <w:t xml:space="preserve"> (Chicago: University of Chicago Press, 1980)</w:t>
      </w:r>
      <w:r w:rsidRPr="00235C3A">
        <w:rPr>
          <w:i/>
          <w:iCs/>
          <w:sz w:val="20"/>
          <w:szCs w:val="20"/>
          <w:lang w:val="en-GB"/>
        </w:rPr>
        <w:t>;</w:t>
      </w:r>
      <w:r w:rsidRPr="00235C3A">
        <w:rPr>
          <w:sz w:val="20"/>
          <w:szCs w:val="20"/>
          <w:lang w:val="en-GB"/>
        </w:rPr>
        <w:t xml:space="preserve"> Anthony Giddens, </w:t>
      </w:r>
      <w:r w:rsidRPr="00235C3A">
        <w:rPr>
          <w:i/>
          <w:iCs/>
          <w:sz w:val="20"/>
          <w:szCs w:val="20"/>
          <w:lang w:val="en-GB"/>
        </w:rPr>
        <w:t>Modernity and Self-Identity: Self and Society in the Late Modern Age</w:t>
      </w:r>
      <w:r w:rsidRPr="00235C3A">
        <w:rPr>
          <w:sz w:val="20"/>
          <w:szCs w:val="20"/>
          <w:lang w:val="en-GB"/>
        </w:rPr>
        <w:t xml:space="preserve"> (Stanford: Stanford Univers</w:t>
      </w:r>
      <w:r w:rsidR="00AA3CA7" w:rsidRPr="00235C3A">
        <w:rPr>
          <w:sz w:val="20"/>
          <w:szCs w:val="20"/>
          <w:lang w:val="en-GB"/>
        </w:rPr>
        <w:t>ity Press, 1991); John W. Meyer</w:t>
      </w:r>
      <w:r w:rsidRPr="00235C3A">
        <w:rPr>
          <w:sz w:val="20"/>
          <w:szCs w:val="20"/>
          <w:lang w:val="en-GB"/>
        </w:rPr>
        <w:t xml:space="preserve">, and Ronald L. Jepperson, ‘The ‘Actors’ of Modern Society: The Cultural Construction of Social Agency, </w:t>
      </w:r>
      <w:r w:rsidRPr="00235C3A">
        <w:rPr>
          <w:i/>
          <w:iCs/>
          <w:sz w:val="20"/>
          <w:szCs w:val="20"/>
          <w:lang w:val="en-GB"/>
        </w:rPr>
        <w:t>Sociological Theory</w:t>
      </w:r>
      <w:r w:rsidRPr="00235C3A">
        <w:rPr>
          <w:sz w:val="20"/>
          <w:szCs w:val="20"/>
          <w:lang w:val="en-GB"/>
        </w:rPr>
        <w:t xml:space="preserve"> 18.1 (2000), pp. 100-20.</w:t>
      </w:r>
    </w:p>
  </w:footnote>
  <w:footnote w:id="36">
    <w:p w14:paraId="245AA303" w14:textId="67B43BC6"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Taylor, ‘Politics’, p.  35.</w:t>
      </w:r>
      <w:r w:rsidR="00B96D14" w:rsidRPr="00235C3A">
        <w:rPr>
          <w:sz w:val="20"/>
          <w:szCs w:val="20"/>
          <w:lang w:val="en-GB"/>
        </w:rPr>
        <w:t xml:space="preserve"> Taylor is too optimistic about how inwardly derived and original modern identity is.</w:t>
      </w:r>
    </w:p>
  </w:footnote>
  <w:footnote w:id="37">
    <w:p w14:paraId="442C7278" w14:textId="209AA3D8"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 50; cited in Markell, </w:t>
      </w:r>
      <w:r w:rsidRPr="00235C3A">
        <w:rPr>
          <w:i/>
          <w:iCs/>
          <w:sz w:val="20"/>
          <w:szCs w:val="20"/>
          <w:lang w:val="en-GB"/>
        </w:rPr>
        <w:t>Bound</w:t>
      </w:r>
      <w:r w:rsidRPr="00235C3A">
        <w:rPr>
          <w:sz w:val="20"/>
          <w:szCs w:val="20"/>
          <w:lang w:val="en-GB"/>
        </w:rPr>
        <w:t>, p. 91.</w:t>
      </w:r>
      <w:r w:rsidR="00ED3BF8" w:rsidRPr="00235C3A">
        <w:rPr>
          <w:sz w:val="20"/>
          <w:szCs w:val="20"/>
        </w:rPr>
        <w:t xml:space="preserve"> This is despite the fact that Hegel himself advocated something similar (via the state) in other parts of his writing (more on this in a moment).</w:t>
      </w:r>
    </w:p>
  </w:footnote>
  <w:footnote w:id="38">
    <w:p w14:paraId="78305143" w14:textId="05F350BB"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002708BC" w:rsidRPr="00235C3A">
        <w:rPr>
          <w:sz w:val="20"/>
          <w:szCs w:val="20"/>
          <w:vertAlign w:val="superscript"/>
          <w:lang w:val="en-GB"/>
        </w:rPr>
        <w:t>‘</w:t>
      </w:r>
      <w:r w:rsidR="002708BC" w:rsidRPr="00235C3A">
        <w:rPr>
          <w:sz w:val="20"/>
          <w:szCs w:val="20"/>
        </w:rPr>
        <w:t xml:space="preserve">’[T]he very desire that animates the struggle for recognition is impossible to fulfill…; consequently, the asymmetry and thus the inadequacy of the relation of master and slave lies in the fact that only one of the two parties has acknowledged this, admitted the impossibility of satisfying its own claims, and conceded its own dependence.’ </w:t>
      </w:r>
      <w:r w:rsidRPr="00235C3A">
        <w:rPr>
          <w:sz w:val="20"/>
          <w:szCs w:val="20"/>
          <w:lang w:val="en-GB"/>
        </w:rPr>
        <w:t xml:space="preserve">Markell, </w:t>
      </w:r>
      <w:r w:rsidRPr="00235C3A">
        <w:rPr>
          <w:i/>
          <w:iCs/>
          <w:sz w:val="20"/>
          <w:szCs w:val="20"/>
          <w:lang w:val="en-GB"/>
        </w:rPr>
        <w:t>Bound</w:t>
      </w:r>
      <w:r w:rsidRPr="00235C3A">
        <w:rPr>
          <w:sz w:val="20"/>
          <w:szCs w:val="20"/>
          <w:lang w:val="en-GB"/>
        </w:rPr>
        <w:t>, p. 108.</w:t>
      </w:r>
    </w:p>
  </w:footnote>
  <w:footnote w:id="39">
    <w:p w14:paraId="56D2C001" w14:textId="42EEFCCF"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00761B6E" w:rsidRPr="00235C3A">
        <w:rPr>
          <w:sz w:val="20"/>
          <w:szCs w:val="20"/>
        </w:rPr>
        <w:t>‘By refusing to risk his life in a fight for pure prestige, [the Slave] does not rise above the animals. Hence he considers himself as such, and as such is he considered by the Master’.</w:t>
      </w:r>
      <w:r w:rsidR="00761B6E" w:rsidRPr="00235C3A">
        <w:rPr>
          <w:sz w:val="20"/>
          <w:szCs w:val="20"/>
          <w:vertAlign w:val="superscript"/>
        </w:rPr>
        <w:footnoteRef/>
      </w:r>
      <w:r w:rsidR="00761B6E" w:rsidRPr="00235C3A">
        <w:rPr>
          <w:sz w:val="20"/>
          <w:szCs w:val="20"/>
        </w:rPr>
        <w:t xml:space="preserve"> The master on the other hand, is ‘as a result of his fight, already human, “mediated.” And consequently, his behaviour is also “mediated” or human, both with regard to things and with regard to other men; moreover, these other men, for him, are only his slaves.’ </w:t>
      </w:r>
      <w:r w:rsidR="001724F0" w:rsidRPr="00235C3A">
        <w:rPr>
          <w:sz w:val="20"/>
          <w:szCs w:val="20"/>
          <w:lang w:val="en-GB"/>
        </w:rPr>
        <w:t>Kojève</w:t>
      </w:r>
      <w:r w:rsidRPr="00235C3A">
        <w:rPr>
          <w:sz w:val="20"/>
          <w:szCs w:val="20"/>
          <w:lang w:val="en-GB"/>
        </w:rPr>
        <w:t>, ‘In Place,’ p. 18.</w:t>
      </w:r>
    </w:p>
  </w:footnote>
  <w:footnote w:id="40">
    <w:p w14:paraId="6E1CC119" w14:textId="1D6B202B"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E262C" w:rsidRPr="00235C3A">
        <w:rPr>
          <w:sz w:val="20"/>
          <w:szCs w:val="20"/>
          <w:lang w:val="en-GB"/>
        </w:rPr>
        <w:t xml:space="preserve">   </w:t>
      </w:r>
      <w:r w:rsidRPr="00235C3A">
        <w:rPr>
          <w:sz w:val="20"/>
          <w:szCs w:val="20"/>
          <w:lang w:val="en-GB"/>
        </w:rPr>
        <w:t xml:space="preserve">See </w:t>
      </w:r>
      <w:r w:rsidR="001724F0" w:rsidRPr="00235C3A">
        <w:rPr>
          <w:sz w:val="20"/>
          <w:szCs w:val="20"/>
          <w:lang w:val="en-GB"/>
        </w:rPr>
        <w:t>Kojève</w:t>
      </w:r>
      <w:r w:rsidRPr="00235C3A">
        <w:rPr>
          <w:sz w:val="20"/>
          <w:szCs w:val="20"/>
          <w:lang w:val="en-GB"/>
        </w:rPr>
        <w:t xml:space="preserve">, ‘In Place’.  See also e.g. Franz Fanon, </w:t>
      </w:r>
      <w:r w:rsidRPr="00235C3A">
        <w:rPr>
          <w:i/>
          <w:iCs/>
          <w:sz w:val="20"/>
          <w:szCs w:val="20"/>
          <w:lang w:val="en-GB"/>
        </w:rPr>
        <w:t xml:space="preserve">Black Skin, White Masks </w:t>
      </w:r>
      <w:r w:rsidRPr="00235C3A">
        <w:rPr>
          <w:sz w:val="20"/>
          <w:szCs w:val="20"/>
          <w:lang w:val="en-GB"/>
        </w:rPr>
        <w:t>(</w:t>
      </w:r>
      <w:r w:rsidR="001724F0" w:rsidRPr="00235C3A">
        <w:rPr>
          <w:sz w:val="20"/>
          <w:szCs w:val="20"/>
          <w:lang w:val="en-GB"/>
        </w:rPr>
        <w:t>New York</w:t>
      </w:r>
      <w:r w:rsidRPr="00235C3A">
        <w:rPr>
          <w:sz w:val="20"/>
          <w:szCs w:val="20"/>
          <w:lang w:val="en-GB"/>
        </w:rPr>
        <w:t>: Grove Press, 1967); Herbert,</w:t>
      </w:r>
      <w:r w:rsidRPr="00235C3A">
        <w:rPr>
          <w:i/>
          <w:iCs/>
          <w:sz w:val="20"/>
          <w:szCs w:val="20"/>
          <w:lang w:val="en-GB"/>
        </w:rPr>
        <w:t xml:space="preserve"> </w:t>
      </w:r>
      <w:r w:rsidRPr="00235C3A">
        <w:rPr>
          <w:sz w:val="20"/>
          <w:szCs w:val="20"/>
          <w:lang w:val="en-GB"/>
        </w:rPr>
        <w:t xml:space="preserve">Marcuse, </w:t>
      </w:r>
      <w:r w:rsidRPr="00235C3A">
        <w:rPr>
          <w:i/>
          <w:iCs/>
          <w:sz w:val="20"/>
          <w:szCs w:val="20"/>
          <w:lang w:val="en-GB"/>
        </w:rPr>
        <w:t xml:space="preserve">Reason and Revolution: Hegel and the Rise of Social Theory </w:t>
      </w:r>
      <w:r w:rsidRPr="00235C3A">
        <w:rPr>
          <w:sz w:val="20"/>
          <w:szCs w:val="20"/>
          <w:lang w:val="en-GB"/>
        </w:rPr>
        <w:t xml:space="preserve">(New York: Humanities Press, 1954). </w:t>
      </w:r>
    </w:p>
  </w:footnote>
  <w:footnote w:id="41">
    <w:p w14:paraId="6028DB02" w14:textId="59FF8D9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E262C" w:rsidRPr="00235C3A">
        <w:rPr>
          <w:sz w:val="20"/>
          <w:szCs w:val="20"/>
          <w:lang w:val="en-GB"/>
        </w:rPr>
        <w:t xml:space="preserve">   </w:t>
      </w:r>
      <w:r w:rsidRPr="00235C3A">
        <w:rPr>
          <w:sz w:val="20"/>
          <w:szCs w:val="20"/>
          <w:lang w:val="en-GB"/>
        </w:rPr>
        <w:t xml:space="preserve">Markell, </w:t>
      </w:r>
      <w:r w:rsidRPr="00235C3A">
        <w:rPr>
          <w:i/>
          <w:iCs/>
          <w:sz w:val="20"/>
          <w:szCs w:val="20"/>
          <w:lang w:val="en-GB"/>
        </w:rPr>
        <w:t>Bound</w:t>
      </w:r>
      <w:r w:rsidRPr="00235C3A">
        <w:rPr>
          <w:sz w:val="20"/>
          <w:szCs w:val="20"/>
          <w:lang w:val="en-GB"/>
        </w:rPr>
        <w:t>, p. 107.</w:t>
      </w:r>
    </w:p>
  </w:footnote>
  <w:footnote w:id="42">
    <w:p w14:paraId="1A66D08B" w14:textId="0E31D56B"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r>
      <w:r w:rsidR="001724F0" w:rsidRPr="00235C3A">
        <w:rPr>
          <w:sz w:val="20"/>
          <w:szCs w:val="20"/>
          <w:lang w:val="en-GB"/>
        </w:rPr>
        <w:t>Kojève</w:t>
      </w:r>
      <w:r w:rsidRPr="00235C3A">
        <w:rPr>
          <w:sz w:val="20"/>
          <w:szCs w:val="20"/>
          <w:lang w:val="en-GB"/>
        </w:rPr>
        <w:t>, ‘In Place’, p. 21.</w:t>
      </w:r>
    </w:p>
  </w:footnote>
  <w:footnote w:id="43">
    <w:p w14:paraId="131BDAB7" w14:textId="77777777" w:rsidR="002708BC" w:rsidRPr="00235C3A" w:rsidRDefault="002708BC"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ibid., 23.</w:t>
      </w:r>
    </w:p>
  </w:footnote>
  <w:footnote w:id="44">
    <w:p w14:paraId="43B9115C" w14:textId="7DA10DF0"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ibid.</w:t>
      </w:r>
      <w:r w:rsidR="002708BC" w:rsidRPr="00235C3A">
        <w:rPr>
          <w:sz w:val="20"/>
          <w:szCs w:val="20"/>
          <w:lang w:val="en-GB"/>
        </w:rPr>
        <w:t xml:space="preserve"> </w:t>
      </w:r>
      <w:r w:rsidR="002708BC" w:rsidRPr="00235C3A">
        <w:rPr>
          <w:sz w:val="20"/>
          <w:szCs w:val="20"/>
        </w:rPr>
        <w:t>‘The future and History hence belong not to the warlike Master, who either dies or preserves himself indefinitely in identity to himself, but to the working Slave.’</w:t>
      </w:r>
    </w:p>
  </w:footnote>
  <w:footnote w:id="45">
    <w:p w14:paraId="4623A032" w14:textId="1DFEE476" w:rsidR="00761B6E" w:rsidRPr="00235C3A" w:rsidRDefault="00761B6E" w:rsidP="00235C3A">
      <w:pPr>
        <w:pStyle w:val="FootnoteText"/>
        <w:tabs>
          <w:tab w:val="left" w:pos="567"/>
        </w:tabs>
        <w:spacing w:afterLines="40" w:after="96" w:line="240" w:lineRule="auto"/>
        <w:ind w:left="567" w:right="135" w:hanging="283"/>
        <w:jc w:val="left"/>
        <w:rPr>
          <w:sz w:val="20"/>
          <w:szCs w:val="20"/>
          <w:lang w:val="en-GB"/>
        </w:rPr>
      </w:pPr>
      <w:r w:rsidRPr="00235C3A">
        <w:rPr>
          <w:rStyle w:val="FootnoteReference"/>
          <w:sz w:val="20"/>
          <w:szCs w:val="20"/>
        </w:rPr>
        <w:footnoteRef/>
      </w:r>
      <w:r w:rsidR="00C5601E" w:rsidRPr="00235C3A">
        <w:rPr>
          <w:sz w:val="20"/>
          <w:szCs w:val="20"/>
        </w:rPr>
        <w:t xml:space="preserve"> </w:t>
      </w:r>
      <w:r w:rsidRPr="00235C3A">
        <w:rPr>
          <w:sz w:val="20"/>
          <w:szCs w:val="20"/>
        </w:rPr>
        <w:t xml:space="preserve"> I will come back to this suggestion in the third section on international misrecognition.</w:t>
      </w:r>
    </w:p>
  </w:footnote>
  <w:footnote w:id="46">
    <w:p w14:paraId="660D9DC9"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Markell, ‘Bound’, p. 109.</w:t>
      </w:r>
    </w:p>
  </w:footnote>
  <w:footnote w:id="47">
    <w:p w14:paraId="336B0874"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 110. </w:t>
      </w:r>
    </w:p>
  </w:footnote>
  <w:footnote w:id="48">
    <w:p w14:paraId="4C90D4FC"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ibid. p. 112.</w:t>
      </w:r>
    </w:p>
  </w:footnote>
  <w:footnote w:id="49">
    <w:p w14:paraId="6B47B6BD"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ibid.</w:t>
      </w:r>
    </w:p>
  </w:footnote>
  <w:footnote w:id="50">
    <w:p w14:paraId="393A5FC8"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See e.g. Norbert Elias and John L. Scotson </w:t>
      </w:r>
      <w:r w:rsidRPr="00235C3A">
        <w:rPr>
          <w:i/>
          <w:iCs/>
          <w:sz w:val="20"/>
          <w:szCs w:val="20"/>
          <w:lang w:val="en-GB"/>
        </w:rPr>
        <w:t>The Established and Outsiders</w:t>
      </w:r>
      <w:r w:rsidRPr="00235C3A">
        <w:rPr>
          <w:sz w:val="20"/>
          <w:szCs w:val="20"/>
          <w:lang w:val="en-GB"/>
        </w:rPr>
        <w:t xml:space="preserve"> (London: Sage Publications, 1994); Erving Goffman, </w:t>
      </w:r>
      <w:r w:rsidRPr="00235C3A">
        <w:rPr>
          <w:i/>
          <w:iCs/>
          <w:sz w:val="20"/>
          <w:szCs w:val="20"/>
          <w:lang w:val="en-GB"/>
        </w:rPr>
        <w:t>Stigma: Notes on the Management of Spoiled Identity</w:t>
      </w:r>
      <w:r w:rsidRPr="00235C3A">
        <w:rPr>
          <w:sz w:val="20"/>
          <w:szCs w:val="20"/>
          <w:lang w:val="en-GB"/>
        </w:rPr>
        <w:t xml:space="preserve"> (New York: Simon &amp; Schuster, 1963).</w:t>
      </w:r>
    </w:p>
  </w:footnote>
  <w:footnote w:id="51">
    <w:p w14:paraId="0F793D86"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ibid.</w:t>
      </w:r>
    </w:p>
  </w:footnote>
  <w:footnote w:id="52">
    <w:p w14:paraId="3939E432"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Markell, </w:t>
      </w:r>
      <w:r w:rsidRPr="00235C3A">
        <w:rPr>
          <w:i/>
          <w:iCs/>
          <w:sz w:val="20"/>
          <w:szCs w:val="20"/>
          <w:lang w:val="en-GB"/>
        </w:rPr>
        <w:t>Bound</w:t>
      </w:r>
      <w:r w:rsidRPr="00235C3A">
        <w:rPr>
          <w:sz w:val="20"/>
          <w:szCs w:val="20"/>
          <w:lang w:val="en-GB"/>
        </w:rPr>
        <w:t>, p. 112.</w:t>
      </w:r>
      <w:r w:rsidRPr="00235C3A">
        <w:rPr>
          <w:sz w:val="20"/>
          <w:szCs w:val="20"/>
          <w:lang w:val="en-GB"/>
        </w:rPr>
        <w:tab/>
      </w:r>
    </w:p>
  </w:footnote>
  <w:footnote w:id="53">
    <w:p w14:paraId="45DD2097" w14:textId="70F5BA74" w:rsidR="00A622B8" w:rsidRPr="00235C3A" w:rsidRDefault="00A622B8" w:rsidP="00235C3A">
      <w:pPr>
        <w:pStyle w:val="FootnoteText"/>
        <w:tabs>
          <w:tab w:val="left" w:pos="567"/>
        </w:tabs>
        <w:spacing w:afterLines="40" w:after="96" w:line="240" w:lineRule="auto"/>
        <w:ind w:left="567" w:hanging="283"/>
        <w:rPr>
          <w:sz w:val="20"/>
          <w:szCs w:val="20"/>
          <w:lang w:val="en-GB"/>
        </w:rPr>
      </w:pPr>
      <w:r w:rsidRPr="00235C3A">
        <w:rPr>
          <w:rStyle w:val="FootnoteReference"/>
          <w:sz w:val="20"/>
          <w:szCs w:val="20"/>
        </w:rPr>
        <w:footnoteRef/>
      </w:r>
      <w:r w:rsidRPr="00235C3A">
        <w:rPr>
          <w:sz w:val="20"/>
          <w:szCs w:val="20"/>
        </w:rPr>
        <w:t xml:space="preserve"> </w:t>
      </w:r>
      <w:r w:rsidR="00C5601E" w:rsidRPr="00235C3A">
        <w:rPr>
          <w:sz w:val="20"/>
          <w:szCs w:val="20"/>
        </w:rPr>
        <w:t xml:space="preserve">  </w:t>
      </w:r>
      <w:r w:rsidRPr="00235C3A">
        <w:rPr>
          <w:sz w:val="20"/>
          <w:szCs w:val="20"/>
          <w:lang w:val="en-GB"/>
        </w:rPr>
        <w:t>This is not to say stigmatisation is the only response to misrecognition –- in real world hierarchies which are more complex and layered than the master-slave figuration, other strategies may be avalaible to actors depending on their status. See e.g. Adler-Nissen and Tsinovoi, ‘International Misrecognition’.</w:t>
      </w:r>
    </w:p>
  </w:footnote>
  <w:footnote w:id="54">
    <w:p w14:paraId="7CF41393"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Hegel, </w:t>
      </w:r>
      <w:r w:rsidRPr="00235C3A">
        <w:rPr>
          <w:i/>
          <w:iCs/>
          <w:sz w:val="20"/>
          <w:szCs w:val="20"/>
          <w:lang w:val="en-GB"/>
        </w:rPr>
        <w:t xml:space="preserve">Philosophy of Right </w:t>
      </w:r>
      <w:r w:rsidRPr="00235C3A">
        <w:rPr>
          <w:sz w:val="20"/>
          <w:szCs w:val="20"/>
          <w:lang w:val="en-GB"/>
        </w:rPr>
        <w:t>(1889) Section 3, §257.</w:t>
      </w:r>
    </w:p>
  </w:footnote>
  <w:footnote w:id="55">
    <w:p w14:paraId="3A9FDE32"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Hegel, </w:t>
      </w:r>
      <w:r w:rsidRPr="00235C3A">
        <w:rPr>
          <w:i/>
          <w:iCs/>
          <w:sz w:val="20"/>
          <w:szCs w:val="20"/>
          <w:lang w:val="en-GB"/>
        </w:rPr>
        <w:t xml:space="preserve">Philosophy of Mind </w:t>
      </w:r>
      <w:r w:rsidRPr="00235C3A">
        <w:rPr>
          <w:sz w:val="20"/>
          <w:szCs w:val="20"/>
          <w:lang w:val="en-GB"/>
        </w:rPr>
        <w:t>(year) §172 (</w:t>
      </w:r>
      <w:r w:rsidRPr="00235C3A">
        <w:rPr>
          <w:i/>
          <w:iCs/>
          <w:sz w:val="20"/>
          <w:szCs w:val="20"/>
          <w:lang w:val="en-GB"/>
        </w:rPr>
        <w:t>Zusatz</w:t>
      </w:r>
      <w:r w:rsidRPr="00235C3A">
        <w:rPr>
          <w:sz w:val="20"/>
          <w:szCs w:val="20"/>
          <w:lang w:val="en-GB"/>
        </w:rPr>
        <w:t xml:space="preserve"> to §432). As cited by Markell, </w:t>
      </w:r>
      <w:r w:rsidRPr="00235C3A">
        <w:rPr>
          <w:i/>
          <w:iCs/>
          <w:sz w:val="20"/>
          <w:szCs w:val="20"/>
          <w:lang w:val="en-GB"/>
        </w:rPr>
        <w:t>Bound</w:t>
      </w:r>
      <w:r w:rsidRPr="00235C3A">
        <w:rPr>
          <w:sz w:val="20"/>
          <w:szCs w:val="20"/>
          <w:lang w:val="en-GB"/>
        </w:rPr>
        <w:t>, p. 125 (emphasis added by Markell).</w:t>
      </w:r>
    </w:p>
  </w:footnote>
  <w:footnote w:id="56">
    <w:p w14:paraId="221BFE4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Williams, </w:t>
      </w:r>
      <w:r w:rsidRPr="00235C3A">
        <w:rPr>
          <w:i/>
          <w:iCs/>
          <w:sz w:val="20"/>
          <w:szCs w:val="20"/>
          <w:lang w:val="en-GB"/>
        </w:rPr>
        <w:t>Hegel’s Ethics</w:t>
      </w:r>
      <w:r w:rsidRPr="00235C3A">
        <w:rPr>
          <w:sz w:val="20"/>
          <w:szCs w:val="20"/>
          <w:lang w:val="en-GB"/>
        </w:rPr>
        <w:t>.</w:t>
      </w:r>
    </w:p>
  </w:footnote>
  <w:footnote w:id="57">
    <w:p w14:paraId="26F7BD85" w14:textId="1169378F"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See e.g. works of Edmund Burke, Ferdinand </w:t>
      </w:r>
      <w:r w:rsidR="001724F0" w:rsidRPr="00235C3A">
        <w:rPr>
          <w:sz w:val="20"/>
          <w:szCs w:val="20"/>
          <w:lang w:val="en-GB"/>
        </w:rPr>
        <w:t>Tönnies</w:t>
      </w:r>
      <w:r w:rsidRPr="00235C3A">
        <w:rPr>
          <w:sz w:val="20"/>
          <w:szCs w:val="20"/>
          <w:lang w:val="en-GB"/>
        </w:rPr>
        <w:t>, Alexis de Tocqueville etc.</w:t>
      </w:r>
    </w:p>
  </w:footnote>
  <w:footnote w:id="58">
    <w:p w14:paraId="092E603A"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Liberal, utilitarian and libertarian approaches - one could argue that they are exchanging the goal of positive freedom with negative freedom. </w:t>
      </w:r>
    </w:p>
  </w:footnote>
  <w:footnote w:id="59">
    <w:p w14:paraId="532E3A6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‘To the preceding acquisitions could be added the acquisition in the civil state of moral liberty, which alone makes man truly the master of himself. For to be driven by appetite alone is slavery, and obedience to the law one has prescribed for oneself is liberty.’ Jean Jacque Rousseau, </w:t>
      </w:r>
      <w:r w:rsidRPr="00235C3A">
        <w:rPr>
          <w:i/>
          <w:iCs/>
          <w:sz w:val="20"/>
          <w:szCs w:val="20"/>
          <w:lang w:val="en-GB"/>
        </w:rPr>
        <w:t>On the Social Contract</w:t>
      </w:r>
      <w:r w:rsidRPr="00235C3A">
        <w:rPr>
          <w:sz w:val="20"/>
          <w:szCs w:val="20"/>
          <w:lang w:val="en-GB"/>
        </w:rPr>
        <w:t>, Book I, Chapter 8</w:t>
      </w:r>
    </w:p>
  </w:footnote>
  <w:footnote w:id="60">
    <w:p w14:paraId="2F8471F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A notable exception is Nietzsche, who is not satisfied with the solution offered by the state nor has much patience for the empty freedom offered by liberalism, calls for the ‘last man’ of modernity to be replaced by the Ubermensch. See </w:t>
      </w:r>
      <w:r w:rsidRPr="00235C3A">
        <w:rPr>
          <w:i/>
          <w:iCs/>
          <w:sz w:val="20"/>
          <w:szCs w:val="20"/>
          <w:lang w:val="en-GB"/>
        </w:rPr>
        <w:t>Thus Spoke Zarathustra.</w:t>
      </w:r>
    </w:p>
  </w:footnote>
  <w:footnote w:id="61">
    <w:p w14:paraId="0715E38F" w14:textId="5C3D3428"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r>
      <w:r w:rsidR="002F09BB" w:rsidRPr="00235C3A">
        <w:rPr>
          <w:sz w:val="20"/>
          <w:szCs w:val="20"/>
          <w:lang w:val="en-GB"/>
        </w:rPr>
        <w:t xml:space="preserve">Ayse Zarakol, </w:t>
      </w:r>
      <w:r w:rsidR="00BA5B03" w:rsidRPr="00235C3A">
        <w:rPr>
          <w:sz w:val="20"/>
          <w:szCs w:val="20"/>
          <w:lang w:val="en-GB"/>
        </w:rPr>
        <w:t xml:space="preserve">‘States and Ontological Security: A Historical Rethinking’, </w:t>
      </w:r>
      <w:r w:rsidR="00BA5B03" w:rsidRPr="00235C3A">
        <w:rPr>
          <w:i/>
          <w:iCs/>
          <w:sz w:val="20"/>
          <w:szCs w:val="20"/>
          <w:lang w:val="en-GB"/>
        </w:rPr>
        <w:t>Cooperation &amp; Conflict</w:t>
      </w:r>
      <w:r w:rsidR="00BA5B03" w:rsidRPr="00235C3A">
        <w:rPr>
          <w:sz w:val="20"/>
          <w:szCs w:val="20"/>
          <w:lang w:val="en-GB"/>
        </w:rPr>
        <w:t xml:space="preserve"> 52.1 (2017), pp. 48-68. </w:t>
      </w:r>
    </w:p>
  </w:footnote>
  <w:footnote w:id="62">
    <w:p w14:paraId="6DC7A6F5"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Markell, </w:t>
      </w:r>
      <w:r w:rsidRPr="00235C3A">
        <w:rPr>
          <w:i/>
          <w:iCs/>
          <w:sz w:val="20"/>
          <w:szCs w:val="20"/>
          <w:lang w:val="en-GB"/>
        </w:rPr>
        <w:t>Bound</w:t>
      </w:r>
      <w:r w:rsidRPr="00235C3A">
        <w:rPr>
          <w:sz w:val="20"/>
          <w:szCs w:val="20"/>
          <w:lang w:val="en-GB"/>
        </w:rPr>
        <w:t xml:space="preserve">, 125. </w:t>
      </w:r>
    </w:p>
  </w:footnote>
  <w:footnote w:id="63">
    <w:p w14:paraId="1F5D062F"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We can debate whether the ‘end of history’ ideal state as Hegel envisions it escapes this asymmetry, but the debate is irrelevant to the current discussion.</w:t>
      </w:r>
    </w:p>
  </w:footnote>
  <w:footnote w:id="64">
    <w:p w14:paraId="4EC2F23E" w14:textId="6A1ECD9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 suppose one could argue that this is precisely what Hegel assumes. I would counter that his assumption part of the </w:t>
      </w:r>
      <w:r w:rsidR="001724F0" w:rsidRPr="00235C3A">
        <w:rPr>
          <w:sz w:val="20"/>
          <w:szCs w:val="20"/>
          <w:lang w:val="en-GB"/>
        </w:rPr>
        <w:t>abstraction process</w:t>
      </w:r>
      <w:r w:rsidRPr="00235C3A">
        <w:rPr>
          <w:sz w:val="20"/>
          <w:szCs w:val="20"/>
          <w:lang w:val="en-GB"/>
        </w:rPr>
        <w:t xml:space="preserve">, and </w:t>
      </w:r>
    </w:p>
  </w:footnote>
  <w:footnote w:id="65">
    <w:p w14:paraId="27D42511"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ab/>
      </w:r>
      <w:r w:rsidRPr="00235C3A">
        <w:rPr>
          <w:sz w:val="20"/>
          <w:szCs w:val="20"/>
          <w:lang w:val="en-GB"/>
        </w:rPr>
        <w:t xml:space="preserve">Markell, Bound, 128.  Also see Karl Marx, ‘Critique of Hegel’s Doctrine of the State’, ‘On the Jewish Question’; Wendy Brown, </w:t>
      </w:r>
      <w:r w:rsidRPr="00235C3A">
        <w:rPr>
          <w:i/>
          <w:iCs/>
          <w:sz w:val="20"/>
          <w:szCs w:val="20"/>
          <w:lang w:val="en-GB"/>
        </w:rPr>
        <w:t>States of Injury: Power and Freedom in Late Modernity</w:t>
      </w:r>
      <w:r w:rsidRPr="00235C3A">
        <w:rPr>
          <w:sz w:val="20"/>
          <w:szCs w:val="20"/>
          <w:lang w:val="en-GB"/>
        </w:rPr>
        <w:t xml:space="preserve"> (Princeton: Princeton University Press, 1995).</w:t>
      </w:r>
    </w:p>
  </w:footnote>
  <w:footnote w:id="66">
    <w:p w14:paraId="109ED046"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 145. </w:t>
      </w:r>
    </w:p>
  </w:footnote>
  <w:footnote w:id="67">
    <w:p w14:paraId="37A8D1C4"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ibid., p. 146. </w:t>
      </w:r>
    </w:p>
  </w:footnote>
  <w:footnote w:id="68">
    <w:p w14:paraId="628418DA"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In fact, some argue that the disillusionment in the modern state is one of the reasons for the failure of the modern project and its replacement with post-modern and reactionary critiques. See e.g. the works of Zygmunt Bauman, for example </w:t>
      </w:r>
      <w:r w:rsidRPr="00235C3A">
        <w:rPr>
          <w:i/>
          <w:iCs/>
          <w:sz w:val="20"/>
          <w:szCs w:val="20"/>
          <w:lang w:val="en-GB"/>
        </w:rPr>
        <w:t xml:space="preserve">Liquid Modernity </w:t>
      </w:r>
      <w:r w:rsidRPr="00235C3A">
        <w:rPr>
          <w:sz w:val="20"/>
          <w:szCs w:val="20"/>
          <w:lang w:val="en-GB"/>
        </w:rPr>
        <w:t xml:space="preserve">(Cambridge: Polity, 2000), or David Harvey, for example, </w:t>
      </w:r>
      <w:r w:rsidRPr="00235C3A">
        <w:rPr>
          <w:i/>
          <w:iCs/>
          <w:sz w:val="20"/>
          <w:szCs w:val="20"/>
          <w:lang w:val="en-GB"/>
        </w:rPr>
        <w:t>The Condition of Postmodernity: An Enquiry into the Origins of Cultural Change</w:t>
      </w:r>
      <w:r w:rsidRPr="00235C3A">
        <w:rPr>
          <w:sz w:val="20"/>
          <w:szCs w:val="20"/>
          <w:lang w:val="en-GB"/>
        </w:rPr>
        <w:t xml:space="preserve"> (Oxford: Wiley-Blackwell, 1991).  </w:t>
      </w:r>
    </w:p>
  </w:footnote>
  <w:footnote w:id="69">
    <w:p w14:paraId="00BA5C6F"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Buzan and Lawson, </w:t>
      </w:r>
      <w:r w:rsidRPr="00235C3A">
        <w:rPr>
          <w:i/>
          <w:iCs/>
          <w:sz w:val="20"/>
          <w:szCs w:val="20"/>
          <w:lang w:val="en-GB"/>
        </w:rPr>
        <w:t>Global Transformation</w:t>
      </w:r>
      <w:r w:rsidRPr="00235C3A">
        <w:rPr>
          <w:sz w:val="20"/>
          <w:szCs w:val="20"/>
          <w:lang w:val="en-GB"/>
        </w:rPr>
        <w:t>.</w:t>
      </w:r>
    </w:p>
  </w:footnote>
  <w:footnote w:id="70">
    <w:p w14:paraId="0878BDC2"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As discussed in the first section of this essay. See also footnote 31 above.</w:t>
      </w:r>
    </w:p>
  </w:footnote>
  <w:footnote w:id="71">
    <w:p w14:paraId="1B146E22" w14:textId="7777777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vertAlign w:val="superscript"/>
          <w:lang w:val="en-GB"/>
        </w:rPr>
        <w:t xml:space="preserve">  </w:t>
      </w:r>
      <w:r w:rsidRPr="00235C3A">
        <w:rPr>
          <w:sz w:val="20"/>
          <w:szCs w:val="20"/>
          <w:vertAlign w:val="superscript"/>
          <w:lang w:val="en-GB"/>
        </w:rPr>
        <w:tab/>
      </w:r>
      <w:r w:rsidRPr="00235C3A">
        <w:rPr>
          <w:sz w:val="20"/>
          <w:szCs w:val="20"/>
          <w:lang w:val="en-GB"/>
        </w:rPr>
        <w:t xml:space="preserve">Jens Bartelson, ‘Dating Sovereignty’ (unpublished manuscript, 2017), p. 2. See also Daniel Philpott, Sovereignty: An Introduction and Brief History, </w:t>
      </w:r>
      <w:r w:rsidRPr="00235C3A">
        <w:rPr>
          <w:i/>
          <w:iCs/>
          <w:sz w:val="20"/>
          <w:szCs w:val="20"/>
          <w:lang w:val="en-GB"/>
        </w:rPr>
        <w:t>Journal of International Affairs</w:t>
      </w:r>
      <w:r w:rsidRPr="00235C3A">
        <w:rPr>
          <w:sz w:val="20"/>
          <w:szCs w:val="20"/>
          <w:lang w:val="en-GB"/>
        </w:rPr>
        <w:t xml:space="preserve"> 48.2 (1995), pp. 206-45.</w:t>
      </w:r>
    </w:p>
  </w:footnote>
  <w:footnote w:id="72">
    <w:p w14:paraId="79D1C53C" w14:textId="7777777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Stephen D. Krasner, Compromising Westphalia, </w:t>
      </w:r>
      <w:r w:rsidRPr="00235C3A">
        <w:rPr>
          <w:i/>
          <w:iCs/>
          <w:sz w:val="20"/>
          <w:szCs w:val="20"/>
          <w:lang w:val="en-GB"/>
        </w:rPr>
        <w:t xml:space="preserve">International Security </w:t>
      </w:r>
      <w:r w:rsidRPr="00235C3A">
        <w:rPr>
          <w:sz w:val="20"/>
          <w:szCs w:val="20"/>
          <w:lang w:val="en-GB"/>
        </w:rPr>
        <w:t>20.3</w:t>
      </w:r>
      <w:r w:rsidRPr="00235C3A">
        <w:rPr>
          <w:i/>
          <w:iCs/>
          <w:sz w:val="20"/>
          <w:szCs w:val="20"/>
          <w:lang w:val="en-GB"/>
        </w:rPr>
        <w:t xml:space="preserve"> </w:t>
      </w:r>
      <w:r w:rsidRPr="00235C3A">
        <w:rPr>
          <w:sz w:val="20"/>
          <w:szCs w:val="20"/>
          <w:lang w:val="en-GB"/>
        </w:rPr>
        <w:t>(1995-1996), p. 115.</w:t>
      </w:r>
    </w:p>
  </w:footnote>
  <w:footnote w:id="73">
    <w:p w14:paraId="7F887DCD" w14:textId="019E2876"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E262C" w:rsidRPr="00235C3A">
        <w:rPr>
          <w:sz w:val="20"/>
          <w:szCs w:val="20"/>
          <w:lang w:val="en-GB"/>
        </w:rPr>
        <w:t xml:space="preserve">   </w:t>
      </w:r>
      <w:r w:rsidRPr="00235C3A">
        <w:rPr>
          <w:sz w:val="20"/>
          <w:szCs w:val="20"/>
          <w:lang w:val="en-GB"/>
        </w:rPr>
        <w:t>Krasner, ‘Rethinking’, p. 19.</w:t>
      </w:r>
    </w:p>
  </w:footnote>
  <w:footnote w:id="74">
    <w:p w14:paraId="324F1264" w14:textId="212AAE71"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E262C" w:rsidRPr="00235C3A">
        <w:rPr>
          <w:sz w:val="20"/>
          <w:szCs w:val="20"/>
          <w:vertAlign w:val="superscript"/>
          <w:lang w:val="en-GB"/>
        </w:rPr>
        <w:tab/>
      </w:r>
      <w:r w:rsidRPr="00235C3A">
        <w:rPr>
          <w:sz w:val="20"/>
          <w:szCs w:val="20"/>
          <w:lang w:val="en-GB"/>
        </w:rPr>
        <w:t>ibid., p. 20.</w:t>
      </w:r>
    </w:p>
  </w:footnote>
  <w:footnote w:id="75">
    <w:p w14:paraId="1E8155FB" w14:textId="35188E8E"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E262C" w:rsidRPr="00235C3A">
        <w:rPr>
          <w:sz w:val="20"/>
          <w:szCs w:val="20"/>
          <w:vertAlign w:val="superscript"/>
          <w:lang w:val="en-GB"/>
        </w:rPr>
        <w:t xml:space="preserve">    </w:t>
      </w:r>
      <w:r w:rsidRPr="00235C3A">
        <w:rPr>
          <w:sz w:val="20"/>
          <w:szCs w:val="20"/>
          <w:vertAlign w:val="superscript"/>
          <w:lang w:val="en-GB"/>
        </w:rPr>
        <w:tab/>
      </w:r>
      <w:r w:rsidRPr="00235C3A">
        <w:rPr>
          <w:sz w:val="20"/>
          <w:szCs w:val="20"/>
          <w:lang w:val="en-GB"/>
        </w:rPr>
        <w:t>ibid.</w:t>
      </w:r>
    </w:p>
  </w:footnote>
  <w:footnote w:id="76">
    <w:p w14:paraId="62CC34E1" w14:textId="7777777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ibid., p. 21.</w:t>
      </w:r>
    </w:p>
  </w:footnote>
  <w:footnote w:id="77">
    <w:p w14:paraId="4F158C81" w14:textId="7777777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See Benno Teschke, </w:t>
      </w:r>
      <w:r w:rsidRPr="00235C3A">
        <w:rPr>
          <w:i/>
          <w:iCs/>
          <w:sz w:val="20"/>
          <w:szCs w:val="20"/>
          <w:u w:color="009BAA"/>
          <w:lang w:val="en-GB"/>
        </w:rPr>
        <w:t xml:space="preserve">The Myth of 1648 </w:t>
      </w:r>
      <w:r w:rsidRPr="00235C3A">
        <w:rPr>
          <w:sz w:val="20"/>
          <w:szCs w:val="20"/>
          <w:u w:color="009BAA"/>
          <w:lang w:val="en-GB"/>
        </w:rPr>
        <w:t>(</w:t>
      </w:r>
      <w:r w:rsidRPr="00235C3A">
        <w:rPr>
          <w:sz w:val="20"/>
          <w:szCs w:val="20"/>
          <w:lang w:val="en-GB"/>
        </w:rPr>
        <w:t>London: Verso, 2003) for a rare argument for dating it earlier than Westphalia, but Teschke’s focus is not on sovereign recognition.</w:t>
      </w:r>
    </w:p>
  </w:footnote>
  <w:footnote w:id="78">
    <w:p w14:paraId="08BC18DE" w14:textId="2DF0BAA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r>
      <w:r w:rsidR="001724F0" w:rsidRPr="00235C3A">
        <w:rPr>
          <w:sz w:val="20"/>
          <w:szCs w:val="20"/>
          <w:lang w:val="en-GB"/>
        </w:rPr>
        <w:t xml:space="preserve">See e.g. Christian Reus-Smit, </w:t>
      </w:r>
      <w:r w:rsidR="001724F0" w:rsidRPr="00235C3A">
        <w:rPr>
          <w:i/>
          <w:iCs/>
          <w:sz w:val="20"/>
          <w:szCs w:val="20"/>
          <w:lang w:val="en-GB"/>
        </w:rPr>
        <w:t>The Moral Purpose of the State</w:t>
      </w:r>
      <w:r w:rsidR="001724F0" w:rsidRPr="00235C3A">
        <w:rPr>
          <w:sz w:val="20"/>
          <w:szCs w:val="20"/>
          <w:lang w:val="en-GB"/>
        </w:rPr>
        <w:t xml:space="preserve"> (Princeton: Princeton University, 1999); Stephan Beualac, ‘The Westphalian Legal Orthodoxy - Myth or Reality?’ </w:t>
      </w:r>
      <w:r w:rsidRPr="00235C3A">
        <w:rPr>
          <w:i/>
          <w:iCs/>
          <w:sz w:val="20"/>
          <w:szCs w:val="20"/>
          <w:lang w:val="en-GB"/>
        </w:rPr>
        <w:t>Journal of the History of International Law</w:t>
      </w:r>
      <w:r w:rsidRPr="00235C3A">
        <w:rPr>
          <w:sz w:val="20"/>
          <w:szCs w:val="20"/>
          <w:lang w:val="en-GB"/>
        </w:rPr>
        <w:t xml:space="preserve"> 2 (2000), pp. 148-177; Andreas Osiander, ‘Sovereignty, International Relations and the Westphalian Myth’, </w:t>
      </w:r>
      <w:r w:rsidRPr="00235C3A">
        <w:rPr>
          <w:i/>
          <w:iCs/>
          <w:sz w:val="20"/>
          <w:szCs w:val="20"/>
          <w:lang w:val="en-GB"/>
        </w:rPr>
        <w:t>International Organization</w:t>
      </w:r>
      <w:r w:rsidRPr="00235C3A">
        <w:rPr>
          <w:sz w:val="20"/>
          <w:szCs w:val="20"/>
          <w:lang w:val="en-GB"/>
        </w:rPr>
        <w:t xml:space="preserve"> 55.2 (2001), pp. 251-87; Krasner, ‘Rethinking’.</w:t>
      </w:r>
    </w:p>
  </w:footnote>
  <w:footnote w:id="79">
    <w:p w14:paraId="28909DBC" w14:textId="11C862B3" w:rsidR="00595138" w:rsidRPr="00235C3A" w:rsidRDefault="00F42C98" w:rsidP="00235C3A">
      <w:pPr>
        <w:pStyle w:val="FootnoteText"/>
        <w:tabs>
          <w:tab w:val="left" w:pos="567"/>
        </w:tabs>
        <w:spacing w:afterLines="40" w:after="96" w:line="240" w:lineRule="auto"/>
        <w:ind w:left="567" w:right="144" w:hanging="283"/>
        <w:jc w:val="left"/>
        <w:rPr>
          <w:sz w:val="20"/>
          <w:szCs w:val="20"/>
        </w:rPr>
      </w:pPr>
      <w:r w:rsidRPr="00235C3A">
        <w:rPr>
          <w:sz w:val="20"/>
          <w:szCs w:val="20"/>
          <w:vertAlign w:val="superscript"/>
          <w:lang w:val="en-GB"/>
        </w:rPr>
        <w:footnoteRef/>
      </w:r>
      <w:r w:rsidRPr="00235C3A">
        <w:rPr>
          <w:sz w:val="20"/>
          <w:szCs w:val="20"/>
          <w:lang w:val="en-GB"/>
        </w:rPr>
        <w:tab/>
        <w:t xml:space="preserve">And it can be demonstrated that the notion of supreme authority existed outside of Europe as well. Even the European label of ‘Oriental Despotism’ as used to denounce Asian polities points to its existence elsewhere. See Hobson and Sharman, ‘Enduring Place’ for a discussion.  In other words, supreme authority is a necessary but not sufficient component of ‘Westphalian’ sovereignty of the modern state. </w:t>
      </w:r>
      <w:r w:rsidR="00BD2342" w:rsidRPr="00235C3A">
        <w:rPr>
          <w:sz w:val="20"/>
          <w:szCs w:val="20"/>
          <w:lang w:val="en-GB"/>
        </w:rPr>
        <w:t>See also Ayse Zarakol, ‘</w:t>
      </w:r>
      <w:r w:rsidR="00595138" w:rsidRPr="00235C3A">
        <w:rPr>
          <w:sz w:val="20"/>
          <w:szCs w:val="20"/>
        </w:rPr>
        <w:t xml:space="preserve">A Non-Eurocentric Approach to Sovereignty’ in ‘Forum: In the Beginning There was No Word (for it): Terms, Concepts, and Early Sovereignty’, Julia Costa Lopez, Benjamin De Carvalho, Andrew A Latham, Ayse Zarakol, Jens Bartelson, Minda Holm, </w:t>
      </w:r>
      <w:r w:rsidR="00595138" w:rsidRPr="00235C3A">
        <w:rPr>
          <w:i/>
          <w:iCs/>
          <w:sz w:val="20"/>
          <w:szCs w:val="20"/>
        </w:rPr>
        <w:t>International Studies Review</w:t>
      </w:r>
      <w:r w:rsidR="00595138" w:rsidRPr="00235C3A">
        <w:rPr>
          <w:sz w:val="20"/>
          <w:szCs w:val="20"/>
        </w:rPr>
        <w:t xml:space="preserve"> 20.3 (2018).  </w:t>
      </w:r>
    </w:p>
    <w:p w14:paraId="3312B49F" w14:textId="42148720" w:rsidR="00FE5238" w:rsidRPr="00235C3A" w:rsidRDefault="00FE5238" w:rsidP="00235C3A">
      <w:pPr>
        <w:pStyle w:val="FootnoteText"/>
        <w:tabs>
          <w:tab w:val="left" w:pos="567"/>
        </w:tabs>
        <w:spacing w:afterLines="40" w:after="96" w:line="240" w:lineRule="auto"/>
        <w:ind w:left="567" w:right="144" w:hanging="283"/>
        <w:jc w:val="left"/>
        <w:rPr>
          <w:sz w:val="20"/>
          <w:szCs w:val="20"/>
          <w:lang w:val="en-GB"/>
        </w:rPr>
      </w:pPr>
    </w:p>
  </w:footnote>
  <w:footnote w:id="80">
    <w:p w14:paraId="6FA80589" w14:textId="629A1C14"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Jordan Branch, ‘Mapping the Sovereign State: Technology, Authority and Systemic Change’, </w:t>
      </w:r>
      <w:r w:rsidRPr="00235C3A">
        <w:rPr>
          <w:i/>
          <w:iCs/>
          <w:sz w:val="20"/>
          <w:szCs w:val="20"/>
          <w:lang w:val="en-GB"/>
        </w:rPr>
        <w:t>International Organization</w:t>
      </w:r>
      <w:r w:rsidRPr="00235C3A">
        <w:rPr>
          <w:sz w:val="20"/>
          <w:szCs w:val="20"/>
          <w:lang w:val="en-GB"/>
        </w:rPr>
        <w:t xml:space="preserve"> 65.1 (2011), pp. 1-36; Bartelson, ‘Dating’; Buzan and </w:t>
      </w:r>
      <w:r w:rsidR="001724F0" w:rsidRPr="00235C3A">
        <w:rPr>
          <w:sz w:val="20"/>
          <w:szCs w:val="20"/>
          <w:lang w:val="en-GB"/>
        </w:rPr>
        <w:t>Lawson, Global</w:t>
      </w:r>
      <w:r w:rsidRPr="00235C3A">
        <w:rPr>
          <w:i/>
          <w:iCs/>
          <w:sz w:val="20"/>
          <w:szCs w:val="20"/>
          <w:lang w:val="en-GB"/>
        </w:rPr>
        <w:t xml:space="preserve"> Transformation</w:t>
      </w:r>
      <w:r w:rsidRPr="00235C3A">
        <w:rPr>
          <w:sz w:val="20"/>
          <w:szCs w:val="20"/>
          <w:lang w:val="en-GB"/>
        </w:rPr>
        <w:t xml:space="preserve">. See also Stuart Elden, </w:t>
      </w:r>
      <w:r w:rsidRPr="00235C3A">
        <w:rPr>
          <w:i/>
          <w:iCs/>
          <w:sz w:val="20"/>
          <w:szCs w:val="20"/>
          <w:lang w:val="en-GB"/>
        </w:rPr>
        <w:t>The Birth of Territory</w:t>
      </w:r>
      <w:r w:rsidRPr="00235C3A">
        <w:rPr>
          <w:sz w:val="20"/>
          <w:szCs w:val="20"/>
          <w:lang w:val="en-GB"/>
        </w:rPr>
        <w:t xml:space="preserve"> (Chicago: The University of Chicago Press, 2013), Lauren Benton, </w:t>
      </w:r>
      <w:r w:rsidRPr="00235C3A">
        <w:rPr>
          <w:i/>
          <w:iCs/>
          <w:sz w:val="20"/>
          <w:szCs w:val="20"/>
          <w:lang w:val="en-GB"/>
        </w:rPr>
        <w:t xml:space="preserve">A Search for Sovereignty </w:t>
      </w:r>
      <w:r w:rsidRPr="00235C3A">
        <w:rPr>
          <w:sz w:val="20"/>
          <w:szCs w:val="20"/>
          <w:lang w:val="en-GB"/>
        </w:rPr>
        <w:t xml:space="preserve">(Cambridge: Cambridge University Press, 2009).  </w:t>
      </w:r>
    </w:p>
  </w:footnote>
  <w:footnote w:id="81">
    <w:p w14:paraId="1BE94771" w14:textId="77777777" w:rsidR="00FE5238" w:rsidRPr="00235C3A" w:rsidRDefault="00F42C98" w:rsidP="00235C3A">
      <w:pPr>
        <w:pStyle w:val="FootnoteT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See e.g. Derek Croxton, ‘The Peace of Westphalia of 1648 and the Origins of Sovereignty’, </w:t>
      </w:r>
      <w:r w:rsidRPr="00235C3A">
        <w:rPr>
          <w:i/>
          <w:iCs/>
          <w:sz w:val="20"/>
          <w:szCs w:val="20"/>
          <w:lang w:val="en-GB"/>
        </w:rPr>
        <w:t>The International History Review</w:t>
      </w:r>
      <w:r w:rsidRPr="00235C3A">
        <w:rPr>
          <w:sz w:val="20"/>
          <w:szCs w:val="20"/>
          <w:lang w:val="en-GB"/>
        </w:rPr>
        <w:t xml:space="preserve"> 21.3 (1999), pp. 569-91; Krasner, ‘Rethinking’; Turan Kayaoglu, ‘Westphalian Eurocentrism in International Relations Theory’, </w:t>
      </w:r>
      <w:r w:rsidRPr="00235C3A">
        <w:rPr>
          <w:i/>
          <w:iCs/>
          <w:sz w:val="20"/>
          <w:szCs w:val="20"/>
          <w:lang w:val="en-GB"/>
        </w:rPr>
        <w:t>International Studies Review</w:t>
      </w:r>
      <w:r w:rsidRPr="00235C3A">
        <w:rPr>
          <w:sz w:val="20"/>
          <w:szCs w:val="20"/>
          <w:lang w:val="en-GB"/>
        </w:rPr>
        <w:t xml:space="preserve"> 12 (2010), pp. 193-217.  </w:t>
      </w:r>
    </w:p>
  </w:footnote>
  <w:footnote w:id="82">
    <w:p w14:paraId="5F667877"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Croxton, ‘The Peace of Westphalia’, p. 571, citing also F.H. Hinsley, ‘The Concept of Sovereignty and the Relations Between States,’ in </w:t>
      </w:r>
      <w:r w:rsidRPr="00235C3A">
        <w:rPr>
          <w:i/>
          <w:iCs/>
          <w:sz w:val="20"/>
          <w:szCs w:val="20"/>
          <w:lang w:val="en-GB"/>
        </w:rPr>
        <w:t>In Defense of Sovereignty</w:t>
      </w:r>
      <w:r w:rsidRPr="00235C3A">
        <w:rPr>
          <w:sz w:val="20"/>
          <w:szCs w:val="20"/>
          <w:lang w:val="en-GB"/>
        </w:rPr>
        <w:t>, ed. W.J. Stankiewicz (New York: Oxford University Press), pp. 275-7.</w:t>
      </w:r>
    </w:p>
  </w:footnote>
  <w:footnote w:id="83">
    <w:p w14:paraId="792852D4"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Krasner, ‘Rethinking’, p. 20. See also Bartelson, ‘Dating’ and Stephane Beaulac, ‘Emer de Vattel and the Externalization of Sovereignty’, </w:t>
      </w:r>
      <w:r w:rsidRPr="00235C3A">
        <w:rPr>
          <w:i/>
          <w:iCs/>
          <w:sz w:val="20"/>
          <w:szCs w:val="20"/>
          <w:lang w:val="en-GB"/>
        </w:rPr>
        <w:t>Journal of the History of International Law</w:t>
      </w:r>
      <w:r w:rsidRPr="00235C3A">
        <w:rPr>
          <w:sz w:val="20"/>
          <w:szCs w:val="20"/>
          <w:lang w:val="en-GB"/>
        </w:rPr>
        <w:t xml:space="preserve"> 5.2 (2003), pp. 237-292.  </w:t>
      </w:r>
    </w:p>
  </w:footnote>
  <w:footnote w:id="84">
    <w:p w14:paraId="1AFE9AE9"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Osiander, ‘Sovereignty,’ p. 279. </w:t>
      </w:r>
    </w:p>
  </w:footnote>
  <w:footnote w:id="85">
    <w:p w14:paraId="348994EB"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 281. </w:t>
      </w:r>
    </w:p>
  </w:footnote>
  <w:footnote w:id="86">
    <w:p w14:paraId="1D22BEA9"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pp. 281-2. </w:t>
      </w:r>
    </w:p>
  </w:footnote>
  <w:footnote w:id="87">
    <w:p w14:paraId="58F91137"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Jens Bartelson, ‘Recognition: A short history’ (unpublished paper, 2016), p. 6. </w:t>
      </w:r>
    </w:p>
  </w:footnote>
  <w:footnote w:id="88">
    <w:p w14:paraId="6616512E"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Bartelson, ‘Recognition’, p. 14. Bartelson also counts Hegel among those who had this understanding, e.g. in the </w:t>
      </w:r>
      <w:r w:rsidRPr="00235C3A">
        <w:rPr>
          <w:i/>
          <w:iCs/>
          <w:sz w:val="20"/>
          <w:szCs w:val="20"/>
          <w:lang w:val="en-GB"/>
        </w:rPr>
        <w:t>Philosophy of Right.</w:t>
      </w:r>
    </w:p>
  </w:footnote>
  <w:footnote w:id="89">
    <w:p w14:paraId="013548A0"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Pr="00235C3A">
        <w:rPr>
          <w:sz w:val="20"/>
          <w:szCs w:val="20"/>
          <w:lang w:val="en-GB"/>
        </w:rPr>
        <w:tab/>
        <w:t xml:space="preserve">ibid., p. 15, citing Henry Wheaton, </w:t>
      </w:r>
      <w:r w:rsidRPr="00235C3A">
        <w:rPr>
          <w:i/>
          <w:iCs/>
          <w:sz w:val="20"/>
          <w:szCs w:val="20"/>
          <w:lang w:val="en-GB"/>
        </w:rPr>
        <w:t>Elements of International Law</w:t>
      </w:r>
      <w:r w:rsidRPr="00235C3A">
        <w:rPr>
          <w:sz w:val="20"/>
          <w:szCs w:val="20"/>
          <w:lang w:val="en-GB"/>
        </w:rPr>
        <w:t xml:space="preserve"> (Boston: Little, Brown &amp; Co., 1836), I.II §21. </w:t>
      </w:r>
    </w:p>
  </w:footnote>
  <w:footnote w:id="90">
    <w:p w14:paraId="742FDFB7" w14:textId="2B82F223"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008E262C" w:rsidRPr="00235C3A">
        <w:rPr>
          <w:sz w:val="20"/>
          <w:szCs w:val="20"/>
          <w:lang w:val="en-GB"/>
        </w:rPr>
        <w:t xml:space="preserve">  </w:t>
      </w:r>
      <w:r w:rsidRPr="00235C3A">
        <w:rPr>
          <w:sz w:val="20"/>
          <w:szCs w:val="20"/>
          <w:lang w:val="en-GB"/>
        </w:rPr>
        <w:t xml:space="preserve">ibid., p. 16. Bartelson here is referring especially to James Lorimer, </w:t>
      </w:r>
      <w:r w:rsidRPr="00235C3A">
        <w:rPr>
          <w:i/>
          <w:iCs/>
          <w:sz w:val="20"/>
          <w:szCs w:val="20"/>
          <w:lang w:val="en-GB"/>
        </w:rPr>
        <w:t>The Institutes of the Law of Nations: A Treatise of the Jural Relations of Separate Political Communities</w:t>
      </w:r>
      <w:r w:rsidRPr="00235C3A">
        <w:rPr>
          <w:sz w:val="20"/>
          <w:szCs w:val="20"/>
          <w:lang w:val="en-GB"/>
        </w:rPr>
        <w:t xml:space="preserve"> (Edinburgh: William Blackwell and Sons, 1883). The exact quote from Lorimer is as follows: ‘As a political phenomenon, humanity, in its present condition, divided itself into three concentric zones or spheres—that of civilized humanity, that of barbarous humanity, and that of savage humanity. To these, whether arising from peculiarities of race or from various stages of development in the same race, belong, of right, at the hands of civilized nations, </w:t>
      </w:r>
      <w:r w:rsidRPr="00235C3A">
        <w:rPr>
          <w:i/>
          <w:iCs/>
          <w:sz w:val="20"/>
          <w:szCs w:val="20"/>
          <w:lang w:val="en-GB"/>
        </w:rPr>
        <w:t>three stages of recognition</w:t>
      </w:r>
      <w:r w:rsidRPr="00235C3A">
        <w:rPr>
          <w:sz w:val="20"/>
          <w:szCs w:val="20"/>
          <w:lang w:val="en-GB"/>
        </w:rPr>
        <w:t>—</w:t>
      </w:r>
      <w:r w:rsidRPr="00235C3A">
        <w:rPr>
          <w:i/>
          <w:iCs/>
          <w:sz w:val="20"/>
          <w:szCs w:val="20"/>
          <w:lang w:val="en-GB"/>
        </w:rPr>
        <w:t>plenary political recognition, partial political recognition</w:t>
      </w:r>
      <w:r w:rsidRPr="00235C3A">
        <w:rPr>
          <w:sz w:val="20"/>
          <w:szCs w:val="20"/>
          <w:lang w:val="en-GB"/>
        </w:rPr>
        <w:t xml:space="preserve">, and </w:t>
      </w:r>
      <w:r w:rsidRPr="00235C3A">
        <w:rPr>
          <w:i/>
          <w:iCs/>
          <w:sz w:val="20"/>
          <w:szCs w:val="20"/>
          <w:lang w:val="en-GB"/>
        </w:rPr>
        <w:t>natural or mere human recognition</w:t>
      </w:r>
      <w:r w:rsidRPr="00235C3A">
        <w:rPr>
          <w:sz w:val="20"/>
          <w:szCs w:val="20"/>
          <w:lang w:val="en-GB"/>
        </w:rPr>
        <w:t xml:space="preserve">…The sphere of plenary political recognition extends to all the existing States of Europe, with their colonial dependencies, in so far as these are peopled by persons of European birth or descent; and to the States of North and South America which have vindicated their independence of the European States of which they were colonies. The sphere of partial political recognition extends to Turkey in Europe and in Asia, and to the old historical States of Asia which have not become European dependencies—viz. to Persia and the other separate States of Central Asia, to China, Siam and Japan. The sphere of natural or mere human recognition, extends to the residue of mankind: though here we ought, perhaps, to distinguish between the progressive and non-progressive races.’ Emphasis added. On Lorimer see also Marti Kosenniemi, ‘Race, Hierarchy and International Law: Lorimer’s Legal Science’, </w:t>
      </w:r>
      <w:r w:rsidRPr="00235C3A">
        <w:rPr>
          <w:i/>
          <w:iCs/>
          <w:sz w:val="20"/>
          <w:szCs w:val="20"/>
          <w:lang w:val="en-GB"/>
        </w:rPr>
        <w:t>The European Journal of International Law</w:t>
      </w:r>
      <w:r w:rsidRPr="00235C3A">
        <w:rPr>
          <w:sz w:val="20"/>
          <w:szCs w:val="20"/>
          <w:lang w:val="en-GB"/>
        </w:rPr>
        <w:t xml:space="preserve"> 27.2 (2016), p. 415-429. </w:t>
      </w:r>
    </w:p>
  </w:footnote>
  <w:footnote w:id="91">
    <w:p w14:paraId="6BA65528" w14:textId="598FF631"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w:t>
      </w:r>
      <w:r w:rsidR="008E262C" w:rsidRPr="00235C3A">
        <w:rPr>
          <w:sz w:val="20"/>
          <w:szCs w:val="20"/>
          <w:lang w:val="en-GB"/>
        </w:rPr>
        <w:tab/>
      </w:r>
      <w:r w:rsidRPr="00235C3A">
        <w:rPr>
          <w:sz w:val="20"/>
          <w:szCs w:val="20"/>
          <w:lang w:val="en-GB"/>
        </w:rPr>
        <w:t xml:space="preserve">From the Article 22 of the Covenant of the League of Nations, as cited by Zarakol, </w:t>
      </w:r>
      <w:r w:rsidRPr="00235C3A">
        <w:rPr>
          <w:i/>
          <w:iCs/>
          <w:sz w:val="20"/>
          <w:szCs w:val="20"/>
          <w:lang w:val="en-GB"/>
        </w:rPr>
        <w:t>After Defeat</w:t>
      </w:r>
      <w:r w:rsidRPr="00235C3A">
        <w:rPr>
          <w:sz w:val="20"/>
          <w:szCs w:val="20"/>
          <w:lang w:val="en-GB"/>
        </w:rPr>
        <w:t xml:space="preserve">, p. 86.  On the Mandate system see also Anghie, ‘Colonialism’. </w:t>
      </w:r>
    </w:p>
  </w:footnote>
  <w:footnote w:id="92">
    <w:p w14:paraId="792156CA" w14:textId="77777777" w:rsidR="00FE1C64" w:rsidRPr="00235C3A" w:rsidRDefault="00FE1C64" w:rsidP="00235C3A">
      <w:pPr>
        <w:pStyle w:val="FootnoteText"/>
        <w:tabs>
          <w:tab w:val="left" w:pos="567"/>
        </w:tabs>
        <w:spacing w:afterLines="40" w:after="96" w:line="240" w:lineRule="auto"/>
        <w:ind w:left="567" w:hanging="283"/>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lang w:val="en-GB"/>
        </w:rPr>
        <w:t xml:space="preserve">Other sovereigns were deprived of external recognition altogether. </w:t>
      </w:r>
    </w:p>
  </w:footnote>
  <w:footnote w:id="93">
    <w:p w14:paraId="670C4915" w14:textId="4E8434CA" w:rsidR="00FE1C64" w:rsidRPr="00235C3A" w:rsidRDefault="00FE1C64" w:rsidP="00235C3A">
      <w:pPr>
        <w:pStyle w:val="FootnoteText"/>
        <w:tabs>
          <w:tab w:val="left" w:pos="567"/>
        </w:tabs>
        <w:spacing w:afterLines="40" w:after="96" w:line="240" w:lineRule="auto"/>
        <w:ind w:left="567" w:hanging="283"/>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lang w:val="en-GB"/>
        </w:rPr>
        <w:t xml:space="preserve">See Zarakol, </w:t>
      </w:r>
      <w:r w:rsidRPr="00235C3A">
        <w:rPr>
          <w:i/>
          <w:iCs/>
          <w:sz w:val="20"/>
          <w:szCs w:val="20"/>
          <w:lang w:val="en-GB"/>
        </w:rPr>
        <w:t>After Defeat</w:t>
      </w:r>
      <w:r w:rsidRPr="00235C3A">
        <w:rPr>
          <w:sz w:val="20"/>
          <w:szCs w:val="20"/>
          <w:lang w:val="en-GB"/>
        </w:rPr>
        <w:t xml:space="preserve">, chapter 2 for a discussion of these standards evolved. </w:t>
      </w:r>
    </w:p>
  </w:footnote>
  <w:footnote w:id="94">
    <w:p w14:paraId="2B6A10BA" w14:textId="77777777" w:rsidR="00AA475A" w:rsidRPr="00235C3A" w:rsidRDefault="00AA475A"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After all, there are even examples of rulers treated as gods. </w:t>
      </w:r>
    </w:p>
  </w:footnote>
  <w:footnote w:id="95">
    <w:p w14:paraId="7EE68F02" w14:textId="35CC9D6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ab/>
        <w:t xml:space="preserve">Or </w:t>
      </w:r>
      <w:r w:rsidR="002D595F" w:rsidRPr="00235C3A">
        <w:rPr>
          <w:sz w:val="20"/>
          <w:szCs w:val="20"/>
          <w:lang w:val="en-GB"/>
        </w:rPr>
        <w:t xml:space="preserve">we could say that </w:t>
      </w:r>
      <w:r w:rsidRPr="00235C3A">
        <w:rPr>
          <w:sz w:val="20"/>
          <w:szCs w:val="20"/>
          <w:lang w:val="en-GB"/>
        </w:rPr>
        <w:t xml:space="preserve">even tributes were important to the extent they came from the </w:t>
      </w:r>
      <w:r w:rsidR="002D595F" w:rsidRPr="00235C3A">
        <w:rPr>
          <w:sz w:val="20"/>
          <w:szCs w:val="20"/>
          <w:lang w:val="en-GB"/>
        </w:rPr>
        <w:t>‘</w:t>
      </w:r>
      <w:r w:rsidRPr="00235C3A">
        <w:rPr>
          <w:sz w:val="20"/>
          <w:szCs w:val="20"/>
          <w:lang w:val="en-GB"/>
        </w:rPr>
        <w:t>world</w:t>
      </w:r>
      <w:r w:rsidR="002D595F" w:rsidRPr="00235C3A">
        <w:rPr>
          <w:sz w:val="20"/>
          <w:szCs w:val="20"/>
          <w:lang w:val="en-GB"/>
        </w:rPr>
        <w:t>’</w:t>
      </w:r>
      <w:r w:rsidRPr="00235C3A">
        <w:rPr>
          <w:sz w:val="20"/>
          <w:szCs w:val="20"/>
          <w:lang w:val="en-GB"/>
        </w:rPr>
        <w:t xml:space="preserve"> of the sovereign.</w:t>
      </w:r>
      <w:r w:rsidR="002D595F" w:rsidRPr="00235C3A">
        <w:rPr>
          <w:sz w:val="20"/>
          <w:szCs w:val="20"/>
          <w:lang w:val="en-GB"/>
        </w:rPr>
        <w:t xml:space="preserve"> The opinion of genuine foreigners is irrelevant.</w:t>
      </w:r>
      <w:r w:rsidRPr="00235C3A">
        <w:rPr>
          <w:sz w:val="20"/>
          <w:szCs w:val="20"/>
          <w:lang w:val="en-GB"/>
        </w:rPr>
        <w:t xml:space="preserve"> </w:t>
      </w:r>
    </w:p>
  </w:footnote>
  <w:footnote w:id="96">
    <w:p w14:paraId="54CA7900" w14:textId="0006EE47" w:rsidR="008D7FCA" w:rsidRPr="00235C3A" w:rsidRDefault="008D7FCA" w:rsidP="00235C3A">
      <w:pPr>
        <w:pStyle w:val="FootnoteText"/>
        <w:tabs>
          <w:tab w:val="left" w:pos="567"/>
        </w:tabs>
        <w:spacing w:afterLines="40" w:after="96" w:line="240" w:lineRule="auto"/>
        <w:ind w:left="567" w:hanging="283"/>
        <w:rPr>
          <w:sz w:val="20"/>
          <w:szCs w:val="20"/>
          <w:lang w:val="en-GB"/>
        </w:rPr>
      </w:pPr>
      <w:r w:rsidRPr="00235C3A">
        <w:rPr>
          <w:rStyle w:val="FootnoteReference"/>
          <w:sz w:val="20"/>
          <w:szCs w:val="20"/>
        </w:rPr>
        <w:footnoteRef/>
      </w:r>
      <w:r w:rsidRPr="00235C3A">
        <w:rPr>
          <w:sz w:val="20"/>
          <w:szCs w:val="20"/>
        </w:rPr>
        <w:t xml:space="preserve"> See also Zarakol, ‘States and Ontological Security’.</w:t>
      </w:r>
    </w:p>
  </w:footnote>
  <w:footnote w:id="97">
    <w:p w14:paraId="185FF8F8" w14:textId="16100A09" w:rsidR="008D7FCA" w:rsidRPr="00235C3A" w:rsidRDefault="008D7FCA" w:rsidP="00235C3A">
      <w:pPr>
        <w:pStyle w:val="FootnoteText"/>
        <w:tabs>
          <w:tab w:val="left" w:pos="567"/>
        </w:tabs>
        <w:spacing w:afterLines="40" w:after="96" w:line="240" w:lineRule="auto"/>
        <w:ind w:left="567" w:hanging="283"/>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lang w:val="en-GB"/>
        </w:rPr>
        <w:t xml:space="preserve">Not to mention Hegelian notions about the state. </w:t>
      </w:r>
    </w:p>
  </w:footnote>
  <w:footnote w:id="98">
    <w:p w14:paraId="55A5BD86" w14:textId="2EB0B295" w:rsidR="00BD2342" w:rsidRPr="00235C3A" w:rsidRDefault="00BD2342" w:rsidP="00235C3A">
      <w:pPr>
        <w:pStyle w:val="FootnoteText"/>
        <w:tabs>
          <w:tab w:val="left" w:pos="567"/>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lang w:val="en-GB"/>
        </w:rPr>
        <w:t xml:space="preserve">Why and how this homology emerges is discussed extensively in Zarakol, </w:t>
      </w:r>
      <w:r w:rsidRPr="00235C3A">
        <w:rPr>
          <w:i/>
          <w:iCs/>
          <w:sz w:val="20"/>
          <w:szCs w:val="20"/>
          <w:lang w:val="en-GB"/>
        </w:rPr>
        <w:t>After Defeat</w:t>
      </w:r>
      <w:r w:rsidRPr="00235C3A">
        <w:rPr>
          <w:sz w:val="20"/>
          <w:szCs w:val="20"/>
          <w:lang w:val="en-GB"/>
        </w:rPr>
        <w:t xml:space="preserve">. See also Ayse Zarakol, ‘What Made the Modern World Hang Together: Socialisation or Stigmatisation?’, </w:t>
      </w:r>
      <w:r w:rsidRPr="00235C3A">
        <w:rPr>
          <w:i/>
          <w:iCs/>
          <w:sz w:val="20"/>
          <w:szCs w:val="20"/>
          <w:lang w:val="en-GB"/>
        </w:rPr>
        <w:t>International Theory</w:t>
      </w:r>
      <w:r w:rsidRPr="00235C3A">
        <w:rPr>
          <w:sz w:val="20"/>
          <w:szCs w:val="20"/>
          <w:lang w:val="en-GB"/>
        </w:rPr>
        <w:t xml:space="preserve"> 6.2 (2014), pp. 311 - 332. See also the Worl</w:t>
      </w:r>
      <w:r w:rsidR="00AA3CA7" w:rsidRPr="00235C3A">
        <w:rPr>
          <w:sz w:val="20"/>
          <w:szCs w:val="20"/>
          <w:lang w:val="en-GB"/>
        </w:rPr>
        <w:t>d Polity school, e.g. Meyer and Jepperson, ‘Actors’.</w:t>
      </w:r>
    </w:p>
  </w:footnote>
  <w:footnote w:id="99">
    <w:p w14:paraId="4D2C3189" w14:textId="3E4C8D79" w:rsidR="0024278D" w:rsidRPr="00235C3A" w:rsidRDefault="0024278D" w:rsidP="00235C3A">
      <w:pPr>
        <w:pStyle w:val="FootnoteText"/>
        <w:tabs>
          <w:tab w:val="left" w:pos="567"/>
        </w:tabs>
        <w:spacing w:afterLines="40" w:after="96" w:line="240" w:lineRule="auto"/>
        <w:ind w:left="567" w:hanging="283"/>
        <w:jc w:val="left"/>
        <w:rPr>
          <w:sz w:val="20"/>
          <w:szCs w:val="20"/>
          <w:lang w:val="en-GB"/>
        </w:rPr>
      </w:pPr>
      <w:r w:rsidRPr="00235C3A">
        <w:rPr>
          <w:rStyle w:val="FootnoteReference"/>
          <w:sz w:val="20"/>
          <w:szCs w:val="20"/>
        </w:rPr>
        <w:footnoteRef/>
      </w:r>
      <w:r w:rsidRPr="00235C3A">
        <w:rPr>
          <w:sz w:val="20"/>
          <w:szCs w:val="20"/>
        </w:rPr>
        <w:t xml:space="preserve"> </w:t>
      </w:r>
      <w:r w:rsidRPr="00235C3A">
        <w:rPr>
          <w:sz w:val="20"/>
          <w:szCs w:val="20"/>
        </w:rPr>
        <w:tab/>
        <w:t xml:space="preserve">See Zarakol, </w:t>
      </w:r>
      <w:r w:rsidRPr="00235C3A">
        <w:rPr>
          <w:i/>
          <w:iCs/>
          <w:sz w:val="20"/>
          <w:szCs w:val="20"/>
        </w:rPr>
        <w:t>After Defeat.</w:t>
      </w:r>
    </w:p>
  </w:footnote>
  <w:footnote w:id="100">
    <w:p w14:paraId="6E093729" w14:textId="77777777"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Markell, </w:t>
      </w:r>
      <w:r w:rsidRPr="00235C3A">
        <w:rPr>
          <w:i/>
          <w:iCs/>
          <w:sz w:val="20"/>
          <w:szCs w:val="20"/>
          <w:lang w:val="en-GB"/>
        </w:rPr>
        <w:t>Bound</w:t>
      </w:r>
      <w:r w:rsidRPr="00235C3A">
        <w:rPr>
          <w:sz w:val="20"/>
          <w:szCs w:val="20"/>
          <w:lang w:val="en-GB"/>
        </w:rPr>
        <w:t>, p. 107.</w:t>
      </w:r>
    </w:p>
  </w:footnote>
  <w:footnote w:id="101">
    <w:p w14:paraId="72960E69" w14:textId="21776AB4"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0084285F" w:rsidRPr="00235C3A">
        <w:rPr>
          <w:sz w:val="20"/>
          <w:szCs w:val="20"/>
          <w:lang w:val="en-GB"/>
        </w:rPr>
        <w:t xml:space="preserve">   </w:t>
      </w:r>
      <w:r w:rsidRPr="00235C3A">
        <w:rPr>
          <w:sz w:val="20"/>
          <w:szCs w:val="20"/>
          <w:lang w:val="en-GB"/>
        </w:rPr>
        <w:t xml:space="preserve">See footnote 10 above. </w:t>
      </w:r>
      <w:r w:rsidRPr="00235C3A">
        <w:rPr>
          <w:sz w:val="20"/>
          <w:szCs w:val="20"/>
          <w:lang w:val="en-GB"/>
        </w:rPr>
        <w:tab/>
      </w:r>
      <w:r w:rsidRPr="00235C3A">
        <w:rPr>
          <w:sz w:val="20"/>
          <w:szCs w:val="20"/>
          <w:lang w:val="en-GB"/>
        </w:rPr>
        <w:tab/>
      </w:r>
    </w:p>
  </w:footnote>
  <w:footnote w:id="102">
    <w:p w14:paraId="01B3CF5B" w14:textId="7D4544AB" w:rsidR="00FE5238" w:rsidRPr="00235C3A" w:rsidRDefault="00F42C98" w:rsidP="00235C3A">
      <w:pPr>
        <w:pStyle w:val="FootnoteText"/>
        <w:tabs>
          <w:tab w:val="left" w:pos="567"/>
        </w:tabs>
        <w:spacing w:afterLines="40" w:after="96" w:line="240" w:lineRule="auto"/>
        <w:ind w:left="567" w:right="144" w:hanging="283"/>
        <w:jc w:val="left"/>
        <w:rPr>
          <w:sz w:val="20"/>
          <w:szCs w:val="20"/>
          <w:lang w:val="en-GB"/>
        </w:rPr>
      </w:pPr>
      <w:r w:rsidRPr="00235C3A">
        <w:rPr>
          <w:sz w:val="20"/>
          <w:szCs w:val="20"/>
          <w:vertAlign w:val="superscript"/>
          <w:lang w:val="en-GB"/>
        </w:rPr>
        <w:footnoteRef/>
      </w:r>
      <w:r w:rsidRPr="00235C3A">
        <w:rPr>
          <w:sz w:val="20"/>
          <w:szCs w:val="20"/>
          <w:lang w:val="en-GB"/>
        </w:rPr>
        <w:t xml:space="preserve">  There are potentially productive links between reading recognition as a simulation, on the one hand, and the politics of recognition as a modern phenomenon, on the other, with Baudrillard’s argument about the historical evolution from the real toward the simulacra (image). Space did not allow me to pursue that line of inquiry. For an application of Baudrillard to IR theory, see Cynthia Weber, </w:t>
      </w:r>
      <w:r w:rsidRPr="00235C3A">
        <w:rPr>
          <w:i/>
          <w:iCs/>
          <w:sz w:val="20"/>
          <w:szCs w:val="20"/>
          <w:lang w:val="en-GB"/>
        </w:rPr>
        <w:t>Simulating Sovereignty: Intervention, The State and Symbolic Exchange</w:t>
      </w:r>
      <w:r w:rsidRPr="00235C3A">
        <w:rPr>
          <w:sz w:val="20"/>
          <w:szCs w:val="20"/>
          <w:lang w:val="en-GB"/>
        </w:rPr>
        <w:t xml:space="preserve"> (Cambridge: Cambridge University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38"/>
    <w:rsid w:val="00020135"/>
    <w:rsid w:val="00086304"/>
    <w:rsid w:val="00090E55"/>
    <w:rsid w:val="000F1B4C"/>
    <w:rsid w:val="000F463A"/>
    <w:rsid w:val="001030B5"/>
    <w:rsid w:val="00122B5E"/>
    <w:rsid w:val="00122E6D"/>
    <w:rsid w:val="001724F0"/>
    <w:rsid w:val="001907A5"/>
    <w:rsid w:val="002059AC"/>
    <w:rsid w:val="00213B64"/>
    <w:rsid w:val="00235C3A"/>
    <w:rsid w:val="0024278D"/>
    <w:rsid w:val="00257FD7"/>
    <w:rsid w:val="00262EA8"/>
    <w:rsid w:val="002708BC"/>
    <w:rsid w:val="002708F3"/>
    <w:rsid w:val="00283175"/>
    <w:rsid w:val="002870DB"/>
    <w:rsid w:val="002D278F"/>
    <w:rsid w:val="002D595F"/>
    <w:rsid w:val="002F09BB"/>
    <w:rsid w:val="003036AE"/>
    <w:rsid w:val="00316653"/>
    <w:rsid w:val="003C0BD0"/>
    <w:rsid w:val="004658C9"/>
    <w:rsid w:val="00466B72"/>
    <w:rsid w:val="00466CA5"/>
    <w:rsid w:val="00502705"/>
    <w:rsid w:val="005841B6"/>
    <w:rsid w:val="00592F15"/>
    <w:rsid w:val="0059367C"/>
    <w:rsid w:val="00595138"/>
    <w:rsid w:val="005A747E"/>
    <w:rsid w:val="00641759"/>
    <w:rsid w:val="00674938"/>
    <w:rsid w:val="006A0E8A"/>
    <w:rsid w:val="00707BEC"/>
    <w:rsid w:val="007440A3"/>
    <w:rsid w:val="00761B6E"/>
    <w:rsid w:val="007B474F"/>
    <w:rsid w:val="007E6F7B"/>
    <w:rsid w:val="007F42B9"/>
    <w:rsid w:val="0084285F"/>
    <w:rsid w:val="00847896"/>
    <w:rsid w:val="008559AF"/>
    <w:rsid w:val="00880DC0"/>
    <w:rsid w:val="008D7CF5"/>
    <w:rsid w:val="008D7FCA"/>
    <w:rsid w:val="008E262C"/>
    <w:rsid w:val="008E44BA"/>
    <w:rsid w:val="00911593"/>
    <w:rsid w:val="00914C7A"/>
    <w:rsid w:val="00952D2F"/>
    <w:rsid w:val="009663A3"/>
    <w:rsid w:val="00975E7D"/>
    <w:rsid w:val="00980269"/>
    <w:rsid w:val="00994C04"/>
    <w:rsid w:val="00A137AC"/>
    <w:rsid w:val="00A43DB8"/>
    <w:rsid w:val="00A622B8"/>
    <w:rsid w:val="00A92F99"/>
    <w:rsid w:val="00AA3CA7"/>
    <w:rsid w:val="00AA475A"/>
    <w:rsid w:val="00B302D2"/>
    <w:rsid w:val="00B96D14"/>
    <w:rsid w:val="00BA5B03"/>
    <w:rsid w:val="00BC4787"/>
    <w:rsid w:val="00BD2342"/>
    <w:rsid w:val="00C11BE7"/>
    <w:rsid w:val="00C5601E"/>
    <w:rsid w:val="00CA1102"/>
    <w:rsid w:val="00D11BA2"/>
    <w:rsid w:val="00E23560"/>
    <w:rsid w:val="00E34868"/>
    <w:rsid w:val="00E56E76"/>
    <w:rsid w:val="00ED0C72"/>
    <w:rsid w:val="00ED3BF8"/>
    <w:rsid w:val="00F20592"/>
    <w:rsid w:val="00F42C98"/>
    <w:rsid w:val="00F733FA"/>
    <w:rsid w:val="00F77AA0"/>
    <w:rsid w:val="00FB75E9"/>
    <w:rsid w:val="00FE1C64"/>
    <w:rsid w:val="00FE52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63B9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480" w:lineRule="atLeast"/>
      <w:jc w:val="both"/>
    </w:pPr>
    <w:rPr>
      <w:rFonts w:ascii="Avenir Next" w:hAnsi="Avenir Next" w:cs="Arial Unicode MS"/>
      <w:color w:val="000000"/>
      <w:sz w:val="24"/>
      <w:szCs w:val="24"/>
      <w:u w:color="000000"/>
    </w:rPr>
  </w:style>
  <w:style w:type="paragraph" w:styleId="FootnoteText">
    <w:name w:val="footnote text"/>
    <w:pPr>
      <w:suppressAutoHyphens/>
      <w:spacing w:line="20" w:lineRule="atLeast"/>
      <w:ind w:left="600" w:right="737"/>
      <w:jc w:val="both"/>
    </w:pPr>
    <w:rPr>
      <w:rFonts w:ascii="Avenir Next" w:eastAsia="Avenir Next" w:hAnsi="Avenir Next" w:cs="Avenir Next"/>
      <w:color w:val="000000"/>
      <w:sz w:val="24"/>
      <w:szCs w:val="24"/>
      <w:u w:color="000000"/>
      <w:lang w:val="en-US"/>
    </w:rPr>
  </w:style>
  <w:style w:type="character" w:styleId="FootnoteReference">
    <w:name w:val="footnote reference"/>
    <w:basedOn w:val="DefaultParagraphFont"/>
    <w:uiPriority w:val="99"/>
    <w:unhideWhenUsed/>
    <w:rsid w:val="00BD2342"/>
    <w:rPr>
      <w:vertAlign w:val="superscript"/>
    </w:rPr>
  </w:style>
  <w:style w:type="character" w:styleId="UnresolvedMention">
    <w:name w:val="Unresolved Mention"/>
    <w:basedOn w:val="DefaultParagraphFont"/>
    <w:uiPriority w:val="99"/>
    <w:rsid w:val="00595138"/>
    <w:rPr>
      <w:color w:val="605E5C"/>
      <w:shd w:val="clear" w:color="auto" w:fill="E1DFDD"/>
    </w:rPr>
  </w:style>
  <w:style w:type="paragraph" w:styleId="NormalWeb">
    <w:name w:val="Normal (Web)"/>
    <w:basedOn w:val="Normal"/>
    <w:uiPriority w:val="99"/>
    <w:semiHidden/>
    <w:unhideWhenUsed/>
    <w:rsid w:val="006A0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564">
      <w:bodyDiv w:val="1"/>
      <w:marLeft w:val="0"/>
      <w:marRight w:val="0"/>
      <w:marTop w:val="0"/>
      <w:marBottom w:val="0"/>
      <w:divBdr>
        <w:top w:val="none" w:sz="0" w:space="0" w:color="auto"/>
        <w:left w:val="none" w:sz="0" w:space="0" w:color="auto"/>
        <w:bottom w:val="none" w:sz="0" w:space="0" w:color="auto"/>
        <w:right w:val="none" w:sz="0" w:space="0" w:color="auto"/>
      </w:divBdr>
      <w:divsChild>
        <w:div w:id="147332458">
          <w:marLeft w:val="0"/>
          <w:marRight w:val="0"/>
          <w:marTop w:val="0"/>
          <w:marBottom w:val="0"/>
          <w:divBdr>
            <w:top w:val="none" w:sz="0" w:space="0" w:color="auto"/>
            <w:left w:val="none" w:sz="0" w:space="0" w:color="auto"/>
            <w:bottom w:val="none" w:sz="0" w:space="0" w:color="auto"/>
            <w:right w:val="none" w:sz="0" w:space="0" w:color="auto"/>
          </w:divBdr>
          <w:divsChild>
            <w:div w:id="1390610549">
              <w:marLeft w:val="0"/>
              <w:marRight w:val="0"/>
              <w:marTop w:val="0"/>
              <w:marBottom w:val="0"/>
              <w:divBdr>
                <w:top w:val="none" w:sz="0" w:space="0" w:color="auto"/>
                <w:left w:val="none" w:sz="0" w:space="0" w:color="auto"/>
                <w:bottom w:val="none" w:sz="0" w:space="0" w:color="auto"/>
                <w:right w:val="none" w:sz="0" w:space="0" w:color="auto"/>
              </w:divBdr>
              <w:divsChild>
                <w:div w:id="1231115716">
                  <w:marLeft w:val="0"/>
                  <w:marRight w:val="0"/>
                  <w:marTop w:val="0"/>
                  <w:marBottom w:val="0"/>
                  <w:divBdr>
                    <w:top w:val="none" w:sz="0" w:space="0" w:color="auto"/>
                    <w:left w:val="none" w:sz="0" w:space="0" w:color="auto"/>
                    <w:bottom w:val="none" w:sz="0" w:space="0" w:color="auto"/>
                    <w:right w:val="none" w:sz="0" w:space="0" w:color="auto"/>
                  </w:divBdr>
                  <w:divsChild>
                    <w:div w:id="20874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7110">
      <w:bodyDiv w:val="1"/>
      <w:marLeft w:val="0"/>
      <w:marRight w:val="0"/>
      <w:marTop w:val="0"/>
      <w:marBottom w:val="0"/>
      <w:divBdr>
        <w:top w:val="none" w:sz="0" w:space="0" w:color="auto"/>
        <w:left w:val="none" w:sz="0" w:space="0" w:color="auto"/>
        <w:bottom w:val="none" w:sz="0" w:space="0" w:color="auto"/>
        <w:right w:val="none" w:sz="0" w:space="0" w:color="auto"/>
      </w:divBdr>
      <w:divsChild>
        <w:div w:id="1161115388">
          <w:marLeft w:val="0"/>
          <w:marRight w:val="0"/>
          <w:marTop w:val="0"/>
          <w:marBottom w:val="0"/>
          <w:divBdr>
            <w:top w:val="none" w:sz="0" w:space="0" w:color="auto"/>
            <w:left w:val="none" w:sz="0" w:space="0" w:color="auto"/>
            <w:bottom w:val="none" w:sz="0" w:space="0" w:color="auto"/>
            <w:right w:val="none" w:sz="0" w:space="0" w:color="auto"/>
          </w:divBdr>
          <w:divsChild>
            <w:div w:id="1764690132">
              <w:marLeft w:val="0"/>
              <w:marRight w:val="0"/>
              <w:marTop w:val="0"/>
              <w:marBottom w:val="0"/>
              <w:divBdr>
                <w:top w:val="none" w:sz="0" w:space="0" w:color="auto"/>
                <w:left w:val="none" w:sz="0" w:space="0" w:color="auto"/>
                <w:bottom w:val="none" w:sz="0" w:space="0" w:color="auto"/>
                <w:right w:val="none" w:sz="0" w:space="0" w:color="auto"/>
              </w:divBdr>
              <w:divsChild>
                <w:div w:id="978218878">
                  <w:marLeft w:val="0"/>
                  <w:marRight w:val="0"/>
                  <w:marTop w:val="0"/>
                  <w:marBottom w:val="0"/>
                  <w:divBdr>
                    <w:top w:val="none" w:sz="0" w:space="0" w:color="auto"/>
                    <w:left w:val="none" w:sz="0" w:space="0" w:color="auto"/>
                    <w:bottom w:val="none" w:sz="0" w:space="0" w:color="auto"/>
                    <w:right w:val="none" w:sz="0" w:space="0" w:color="auto"/>
                  </w:divBdr>
                  <w:divsChild>
                    <w:div w:id="11411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7669">
      <w:bodyDiv w:val="1"/>
      <w:marLeft w:val="0"/>
      <w:marRight w:val="0"/>
      <w:marTop w:val="0"/>
      <w:marBottom w:val="0"/>
      <w:divBdr>
        <w:top w:val="none" w:sz="0" w:space="0" w:color="auto"/>
        <w:left w:val="none" w:sz="0" w:space="0" w:color="auto"/>
        <w:bottom w:val="none" w:sz="0" w:space="0" w:color="auto"/>
        <w:right w:val="none" w:sz="0" w:space="0" w:color="auto"/>
      </w:divBdr>
      <w:divsChild>
        <w:div w:id="210926832">
          <w:marLeft w:val="0"/>
          <w:marRight w:val="0"/>
          <w:marTop w:val="0"/>
          <w:marBottom w:val="0"/>
          <w:divBdr>
            <w:top w:val="none" w:sz="0" w:space="0" w:color="auto"/>
            <w:left w:val="none" w:sz="0" w:space="0" w:color="auto"/>
            <w:bottom w:val="none" w:sz="0" w:space="0" w:color="auto"/>
            <w:right w:val="none" w:sz="0" w:space="0" w:color="auto"/>
          </w:divBdr>
          <w:divsChild>
            <w:div w:id="501966312">
              <w:marLeft w:val="0"/>
              <w:marRight w:val="0"/>
              <w:marTop w:val="0"/>
              <w:marBottom w:val="0"/>
              <w:divBdr>
                <w:top w:val="none" w:sz="0" w:space="0" w:color="auto"/>
                <w:left w:val="none" w:sz="0" w:space="0" w:color="auto"/>
                <w:bottom w:val="none" w:sz="0" w:space="0" w:color="auto"/>
                <w:right w:val="none" w:sz="0" w:space="0" w:color="auto"/>
              </w:divBdr>
              <w:divsChild>
                <w:div w:id="1062215803">
                  <w:marLeft w:val="0"/>
                  <w:marRight w:val="0"/>
                  <w:marTop w:val="0"/>
                  <w:marBottom w:val="0"/>
                  <w:divBdr>
                    <w:top w:val="none" w:sz="0" w:space="0" w:color="auto"/>
                    <w:left w:val="none" w:sz="0" w:space="0" w:color="auto"/>
                    <w:bottom w:val="none" w:sz="0" w:space="0" w:color="auto"/>
                    <w:right w:val="none" w:sz="0" w:space="0" w:color="auto"/>
                  </w:divBdr>
                  <w:divsChild>
                    <w:div w:id="6306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z319@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AFAF-5458-DD4B-94E7-A155497B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Ayse Zarakol</cp:lastModifiedBy>
  <cp:revision>9</cp:revision>
  <dcterms:created xsi:type="dcterms:W3CDTF">2018-09-12T07:08:00Z</dcterms:created>
  <dcterms:modified xsi:type="dcterms:W3CDTF">2018-09-12T08:19:00Z</dcterms:modified>
</cp:coreProperties>
</file>