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87D" w:rsidRPr="00601EE7" w:rsidRDefault="00EE587D" w:rsidP="00601EE7">
      <w:pPr>
        <w:pStyle w:val="Title"/>
        <w:rPr>
          <w:rFonts w:ascii="Garamond" w:hAnsi="Garamond"/>
          <w:sz w:val="22"/>
          <w:szCs w:val="22"/>
          <w:u w:val="none"/>
        </w:rPr>
      </w:pPr>
      <w:r w:rsidRPr="00601EE7">
        <w:rPr>
          <w:rFonts w:ascii="Garamond" w:hAnsi="Garamond"/>
          <w:sz w:val="22"/>
          <w:szCs w:val="22"/>
          <w:u w:val="none"/>
        </w:rPr>
        <w:t>OLIVER CROMWELL</w:t>
      </w:r>
      <w:r w:rsidR="00245D45" w:rsidRPr="00601EE7">
        <w:rPr>
          <w:rFonts w:ascii="Garamond" w:hAnsi="Garamond"/>
          <w:sz w:val="22"/>
          <w:szCs w:val="22"/>
          <w:u w:val="none"/>
        </w:rPr>
        <w:t xml:space="preserve"> AND PARLIAMENTARY GOVERNMENT</w:t>
      </w:r>
      <w:r w:rsidRPr="00601EE7">
        <w:rPr>
          <w:rFonts w:ascii="Garamond" w:hAnsi="Garamond"/>
          <w:sz w:val="22"/>
          <w:szCs w:val="22"/>
          <w:u w:val="none"/>
        </w:rPr>
        <w:t>, 1649-1658</w:t>
      </w:r>
    </w:p>
    <w:p w:rsidR="00EE587D" w:rsidRPr="00601EE7" w:rsidRDefault="00EE587D" w:rsidP="00601EE7">
      <w:pPr>
        <w:pStyle w:val="Title"/>
        <w:rPr>
          <w:rFonts w:ascii="Garamond" w:hAnsi="Garamond"/>
          <w:sz w:val="22"/>
          <w:szCs w:val="22"/>
        </w:rPr>
      </w:pPr>
    </w:p>
    <w:p w:rsidR="00EE587D" w:rsidRPr="00601EE7" w:rsidRDefault="00ED2940" w:rsidP="00601EE7">
      <w:pPr>
        <w:pStyle w:val="Title"/>
        <w:jc w:val="right"/>
        <w:rPr>
          <w:rFonts w:ascii="Garamond" w:hAnsi="Garamond"/>
          <w:i/>
          <w:sz w:val="22"/>
          <w:szCs w:val="22"/>
          <w:u w:val="none"/>
        </w:rPr>
      </w:pPr>
      <w:r w:rsidRPr="00601EE7">
        <w:rPr>
          <w:rFonts w:ascii="Garamond" w:hAnsi="Garamond"/>
          <w:i/>
          <w:sz w:val="22"/>
          <w:szCs w:val="22"/>
          <w:u w:val="none"/>
        </w:rPr>
        <w:t>By Dr David L. Smith</w:t>
      </w:r>
    </w:p>
    <w:p w:rsidR="00E06682" w:rsidRPr="00601EE7" w:rsidRDefault="00E06682" w:rsidP="00601EE7">
      <w:pPr>
        <w:pStyle w:val="Title"/>
        <w:jc w:val="left"/>
        <w:rPr>
          <w:rFonts w:ascii="Garamond" w:hAnsi="Garamond"/>
          <w:b w:val="0"/>
          <w:sz w:val="22"/>
          <w:szCs w:val="22"/>
          <w:u w:val="none"/>
        </w:rPr>
      </w:pPr>
    </w:p>
    <w:p w:rsidR="008557A1" w:rsidRPr="00601EE7" w:rsidRDefault="00C87A45" w:rsidP="00601EE7">
      <w:pPr>
        <w:pStyle w:val="Title"/>
        <w:jc w:val="left"/>
        <w:rPr>
          <w:rFonts w:ascii="Garamond" w:hAnsi="Garamond"/>
          <w:b w:val="0"/>
          <w:sz w:val="22"/>
          <w:szCs w:val="22"/>
          <w:u w:val="none"/>
        </w:rPr>
      </w:pPr>
      <w:r w:rsidRPr="00601EE7">
        <w:rPr>
          <w:rFonts w:ascii="Garamond" w:hAnsi="Garamond"/>
          <w:b w:val="0"/>
          <w:sz w:val="22"/>
          <w:szCs w:val="22"/>
          <w:u w:val="none"/>
        </w:rPr>
        <w:t>From the creation</w:t>
      </w:r>
      <w:r w:rsidR="00757829" w:rsidRPr="00601EE7">
        <w:rPr>
          <w:rFonts w:ascii="Garamond" w:hAnsi="Garamond"/>
          <w:b w:val="0"/>
          <w:sz w:val="22"/>
          <w:szCs w:val="22"/>
          <w:u w:val="none"/>
        </w:rPr>
        <w:t xml:space="preserve"> of the English Republic in 1649 until his death in 1658, Oliver Cromwell</w:t>
      </w:r>
      <w:r w:rsidR="00565574" w:rsidRPr="00601EE7">
        <w:rPr>
          <w:rFonts w:ascii="Garamond" w:hAnsi="Garamond"/>
          <w:b w:val="0"/>
          <w:sz w:val="22"/>
          <w:szCs w:val="22"/>
          <w:u w:val="none"/>
        </w:rPr>
        <w:t>’</w:t>
      </w:r>
      <w:r w:rsidR="00757829" w:rsidRPr="00601EE7">
        <w:rPr>
          <w:rFonts w:ascii="Garamond" w:hAnsi="Garamond"/>
          <w:b w:val="0"/>
          <w:sz w:val="22"/>
          <w:szCs w:val="22"/>
          <w:u w:val="none"/>
        </w:rPr>
        <w:t xml:space="preserve">s relationship with successive Parliaments was </w:t>
      </w:r>
      <w:r w:rsidRPr="00601EE7">
        <w:rPr>
          <w:rFonts w:ascii="Garamond" w:hAnsi="Garamond"/>
          <w:b w:val="0"/>
          <w:sz w:val="22"/>
          <w:szCs w:val="22"/>
          <w:u w:val="none"/>
        </w:rPr>
        <w:t>often troubled</w:t>
      </w:r>
      <w:r w:rsidR="00757829" w:rsidRPr="00601EE7">
        <w:rPr>
          <w:rFonts w:ascii="Garamond" w:hAnsi="Garamond"/>
          <w:b w:val="0"/>
          <w:sz w:val="22"/>
          <w:szCs w:val="22"/>
          <w:u w:val="none"/>
        </w:rPr>
        <w:t>.  It is one of the greatest ironies of Cromwell</w:t>
      </w:r>
      <w:r w:rsidR="00565574" w:rsidRPr="00601EE7">
        <w:rPr>
          <w:rFonts w:ascii="Garamond" w:hAnsi="Garamond"/>
          <w:b w:val="0"/>
          <w:sz w:val="22"/>
          <w:szCs w:val="22"/>
          <w:u w:val="none"/>
        </w:rPr>
        <w:t>’</w:t>
      </w:r>
      <w:r w:rsidR="00757829" w:rsidRPr="00601EE7">
        <w:rPr>
          <w:rFonts w:ascii="Garamond" w:hAnsi="Garamond"/>
          <w:b w:val="0"/>
          <w:sz w:val="22"/>
          <w:szCs w:val="22"/>
          <w:u w:val="none"/>
        </w:rPr>
        <w:t>s career that this figure, who played such a pivotal role in the Long Parliament</w:t>
      </w:r>
      <w:r w:rsidR="00565574" w:rsidRPr="00601EE7">
        <w:rPr>
          <w:rFonts w:ascii="Garamond" w:hAnsi="Garamond"/>
          <w:b w:val="0"/>
          <w:sz w:val="22"/>
          <w:szCs w:val="22"/>
          <w:u w:val="none"/>
        </w:rPr>
        <w:t>’</w:t>
      </w:r>
      <w:r w:rsidR="00757829" w:rsidRPr="00601EE7">
        <w:rPr>
          <w:rFonts w:ascii="Garamond" w:hAnsi="Garamond"/>
          <w:b w:val="0"/>
          <w:sz w:val="22"/>
          <w:szCs w:val="22"/>
          <w:u w:val="none"/>
        </w:rPr>
        <w:t xml:space="preserve">s campaigns against Charles I during the 1640s, </w:t>
      </w:r>
      <w:r w:rsidR="00C11917" w:rsidRPr="00601EE7">
        <w:rPr>
          <w:rFonts w:ascii="Garamond" w:hAnsi="Garamond"/>
          <w:b w:val="0"/>
          <w:sz w:val="22"/>
          <w:szCs w:val="22"/>
          <w:u w:val="none"/>
        </w:rPr>
        <w:t xml:space="preserve">should </w:t>
      </w:r>
      <w:r w:rsidR="003374D1" w:rsidRPr="00601EE7">
        <w:rPr>
          <w:rFonts w:ascii="Garamond" w:hAnsi="Garamond"/>
          <w:b w:val="0"/>
          <w:sz w:val="22"/>
          <w:szCs w:val="22"/>
          <w:u w:val="none"/>
        </w:rPr>
        <w:t>himself have found it</w:t>
      </w:r>
      <w:r w:rsidR="00C11917" w:rsidRPr="00601EE7">
        <w:rPr>
          <w:rFonts w:ascii="Garamond" w:hAnsi="Garamond"/>
          <w:b w:val="0"/>
          <w:sz w:val="22"/>
          <w:szCs w:val="22"/>
          <w:u w:val="none"/>
        </w:rPr>
        <w:t xml:space="preserve"> so hard to form a stable and fruitful working relationship with Parliame</w:t>
      </w:r>
      <w:r w:rsidR="003374D1" w:rsidRPr="00601EE7">
        <w:rPr>
          <w:rFonts w:ascii="Garamond" w:hAnsi="Garamond"/>
          <w:b w:val="0"/>
          <w:sz w:val="22"/>
          <w:szCs w:val="22"/>
          <w:u w:val="none"/>
        </w:rPr>
        <w:t xml:space="preserve">nts </w:t>
      </w:r>
      <w:r w:rsidR="00D03929" w:rsidRPr="00601EE7">
        <w:rPr>
          <w:rFonts w:ascii="Garamond" w:hAnsi="Garamond"/>
          <w:b w:val="0"/>
          <w:sz w:val="22"/>
          <w:szCs w:val="22"/>
          <w:u w:val="none"/>
        </w:rPr>
        <w:t>during the Interregnum</w:t>
      </w:r>
      <w:r w:rsidR="00C11917" w:rsidRPr="00601EE7">
        <w:rPr>
          <w:rFonts w:ascii="Garamond" w:hAnsi="Garamond"/>
          <w:b w:val="0"/>
          <w:sz w:val="22"/>
          <w:szCs w:val="22"/>
          <w:u w:val="none"/>
        </w:rPr>
        <w:t>.</w:t>
      </w:r>
      <w:r w:rsidR="00F71381" w:rsidRPr="00601EE7">
        <w:rPr>
          <w:rFonts w:ascii="Garamond" w:hAnsi="Garamond"/>
          <w:b w:val="0"/>
          <w:sz w:val="22"/>
          <w:szCs w:val="22"/>
          <w:u w:val="none"/>
        </w:rPr>
        <w:t xml:space="preserve">  Whether or not it is appropriate to regard Cromwell as a </w:t>
      </w:r>
      <w:r w:rsidR="00903108" w:rsidRPr="00601EE7">
        <w:rPr>
          <w:rFonts w:ascii="Garamond" w:hAnsi="Garamond"/>
          <w:b w:val="0"/>
          <w:sz w:val="22"/>
          <w:szCs w:val="22"/>
          <w:u w:val="none"/>
        </w:rPr>
        <w:t xml:space="preserve">champion of Parliaments remains </w:t>
      </w:r>
      <w:r w:rsidR="00661489" w:rsidRPr="00601EE7">
        <w:rPr>
          <w:rFonts w:ascii="Garamond" w:hAnsi="Garamond"/>
          <w:b w:val="0"/>
          <w:sz w:val="22"/>
          <w:szCs w:val="22"/>
          <w:u w:val="none"/>
        </w:rPr>
        <w:t xml:space="preserve">a </w:t>
      </w:r>
      <w:r w:rsidR="00903108" w:rsidRPr="00601EE7">
        <w:rPr>
          <w:rFonts w:ascii="Garamond" w:hAnsi="Garamond"/>
          <w:b w:val="0"/>
          <w:sz w:val="22"/>
          <w:szCs w:val="22"/>
          <w:u w:val="none"/>
        </w:rPr>
        <w:t>highly contentious</w:t>
      </w:r>
      <w:r w:rsidR="002B68AF" w:rsidRPr="00601EE7">
        <w:rPr>
          <w:rFonts w:ascii="Garamond" w:hAnsi="Garamond"/>
          <w:b w:val="0"/>
          <w:sz w:val="22"/>
          <w:szCs w:val="22"/>
          <w:u w:val="none"/>
        </w:rPr>
        <w:t xml:space="preserve"> question</w:t>
      </w:r>
      <w:r w:rsidR="00E97657" w:rsidRPr="00601EE7">
        <w:rPr>
          <w:rFonts w:ascii="Garamond" w:hAnsi="Garamond"/>
          <w:b w:val="0"/>
          <w:sz w:val="22"/>
          <w:szCs w:val="22"/>
          <w:u w:val="none"/>
        </w:rPr>
        <w:t>.  When</w:t>
      </w:r>
      <w:r w:rsidR="00D76031" w:rsidRPr="00601EE7">
        <w:rPr>
          <w:rFonts w:ascii="Garamond" w:hAnsi="Garamond"/>
          <w:b w:val="0"/>
          <w:sz w:val="22"/>
          <w:szCs w:val="22"/>
          <w:u w:val="none"/>
        </w:rPr>
        <w:t>, in 1899,</w:t>
      </w:r>
      <w:r w:rsidR="00E97657" w:rsidRPr="00601EE7">
        <w:rPr>
          <w:rFonts w:ascii="Garamond" w:hAnsi="Garamond"/>
          <w:b w:val="0"/>
          <w:sz w:val="22"/>
          <w:szCs w:val="22"/>
          <w:u w:val="none"/>
        </w:rPr>
        <w:t xml:space="preserve"> </w:t>
      </w:r>
      <w:r w:rsidR="00F64A92" w:rsidRPr="00601EE7">
        <w:rPr>
          <w:rFonts w:ascii="Garamond" w:hAnsi="Garamond"/>
          <w:b w:val="0"/>
          <w:sz w:val="22"/>
          <w:szCs w:val="22"/>
          <w:u w:val="none"/>
        </w:rPr>
        <w:t xml:space="preserve">the former Liberal Prime Minister </w:t>
      </w:r>
      <w:r w:rsidR="00E97657" w:rsidRPr="00601EE7">
        <w:rPr>
          <w:rFonts w:ascii="Garamond" w:hAnsi="Garamond"/>
          <w:b w:val="0"/>
          <w:sz w:val="22"/>
          <w:szCs w:val="22"/>
          <w:u w:val="none"/>
        </w:rPr>
        <w:t>Lord Rosebery commission</w:t>
      </w:r>
      <w:r w:rsidR="002C2EB2" w:rsidRPr="00601EE7">
        <w:rPr>
          <w:rFonts w:ascii="Garamond" w:hAnsi="Garamond"/>
          <w:b w:val="0"/>
          <w:sz w:val="22"/>
          <w:szCs w:val="22"/>
          <w:u w:val="none"/>
        </w:rPr>
        <w:t>ed and funded</w:t>
      </w:r>
      <w:r w:rsidR="00E97657" w:rsidRPr="00601EE7">
        <w:rPr>
          <w:rFonts w:ascii="Garamond" w:hAnsi="Garamond"/>
          <w:b w:val="0"/>
          <w:sz w:val="22"/>
          <w:szCs w:val="22"/>
          <w:u w:val="none"/>
        </w:rPr>
        <w:t xml:space="preserve"> a magnificent statu</w:t>
      </w:r>
      <w:r w:rsidR="00F71381" w:rsidRPr="00601EE7">
        <w:rPr>
          <w:rFonts w:ascii="Garamond" w:hAnsi="Garamond"/>
          <w:b w:val="0"/>
          <w:sz w:val="22"/>
          <w:szCs w:val="22"/>
          <w:u w:val="none"/>
        </w:rPr>
        <w:t xml:space="preserve">e of Cromwell by </w:t>
      </w:r>
      <w:r w:rsidR="00661489" w:rsidRPr="00601EE7">
        <w:rPr>
          <w:rFonts w:ascii="Garamond" w:hAnsi="Garamond"/>
          <w:b w:val="0"/>
          <w:sz w:val="22"/>
          <w:szCs w:val="22"/>
          <w:u w:val="none"/>
        </w:rPr>
        <w:t xml:space="preserve">Hamo </w:t>
      </w:r>
      <w:r w:rsidR="00F71381" w:rsidRPr="00601EE7">
        <w:rPr>
          <w:rFonts w:ascii="Garamond" w:hAnsi="Garamond"/>
          <w:b w:val="0"/>
          <w:sz w:val="22"/>
          <w:szCs w:val="22"/>
          <w:u w:val="none"/>
        </w:rPr>
        <w:t>Thorneycroft</w:t>
      </w:r>
      <w:r w:rsidR="00AD0FF5" w:rsidRPr="00601EE7">
        <w:rPr>
          <w:rFonts w:ascii="Garamond" w:hAnsi="Garamond"/>
          <w:b w:val="0"/>
          <w:sz w:val="22"/>
          <w:szCs w:val="22"/>
          <w:u w:val="none"/>
        </w:rPr>
        <w:t xml:space="preserve"> to be</w:t>
      </w:r>
      <w:r w:rsidR="00F71381" w:rsidRPr="00601EE7">
        <w:rPr>
          <w:rFonts w:ascii="Garamond" w:hAnsi="Garamond"/>
          <w:b w:val="0"/>
          <w:sz w:val="22"/>
          <w:szCs w:val="22"/>
          <w:u w:val="none"/>
        </w:rPr>
        <w:t xml:space="preserve"> placed outsid</w:t>
      </w:r>
      <w:r w:rsidR="00AD0FF5" w:rsidRPr="00601EE7">
        <w:rPr>
          <w:rFonts w:ascii="Garamond" w:hAnsi="Garamond"/>
          <w:b w:val="0"/>
          <w:sz w:val="22"/>
          <w:szCs w:val="22"/>
          <w:u w:val="none"/>
        </w:rPr>
        <w:t xml:space="preserve">e the Palace of Westminster, it </w:t>
      </w:r>
      <w:r w:rsidR="00F71381" w:rsidRPr="00601EE7">
        <w:rPr>
          <w:rFonts w:ascii="Garamond" w:hAnsi="Garamond"/>
          <w:b w:val="0"/>
          <w:sz w:val="22"/>
          <w:szCs w:val="22"/>
          <w:u w:val="none"/>
        </w:rPr>
        <w:t xml:space="preserve">had to be unveiled at </w:t>
      </w:r>
      <w:r w:rsidR="002B68AF" w:rsidRPr="00601EE7">
        <w:rPr>
          <w:rFonts w:ascii="Garamond" w:hAnsi="Garamond"/>
          <w:b w:val="0"/>
          <w:sz w:val="22"/>
          <w:szCs w:val="22"/>
          <w:u w:val="none"/>
        </w:rPr>
        <w:t>a time when Parliament was not sitting</w:t>
      </w:r>
      <w:r w:rsidR="00F71381" w:rsidRPr="00601EE7">
        <w:rPr>
          <w:rFonts w:ascii="Garamond" w:hAnsi="Garamond"/>
          <w:b w:val="0"/>
          <w:sz w:val="22"/>
          <w:szCs w:val="22"/>
          <w:u w:val="none"/>
        </w:rPr>
        <w:t xml:space="preserve"> for fear of hostile demonstrations.</w:t>
      </w:r>
      <w:r w:rsidR="00661489" w:rsidRPr="00601EE7">
        <w:rPr>
          <w:rFonts w:ascii="Garamond" w:hAnsi="Garamond"/>
          <w:b w:val="0"/>
          <w:sz w:val="22"/>
          <w:szCs w:val="22"/>
          <w:u w:val="none"/>
        </w:rPr>
        <w:t xml:space="preserve">  Why</w:t>
      </w:r>
      <w:r w:rsidR="00E06682" w:rsidRPr="00601EE7">
        <w:rPr>
          <w:rFonts w:ascii="Garamond" w:hAnsi="Garamond"/>
          <w:b w:val="0"/>
          <w:sz w:val="22"/>
          <w:szCs w:val="22"/>
          <w:u w:val="none"/>
        </w:rPr>
        <w:t>, it was asked,</w:t>
      </w:r>
      <w:r w:rsidR="00661489" w:rsidRPr="00601EE7">
        <w:rPr>
          <w:rFonts w:ascii="Garamond" w:hAnsi="Garamond"/>
          <w:b w:val="0"/>
          <w:sz w:val="22"/>
          <w:szCs w:val="22"/>
          <w:u w:val="none"/>
        </w:rPr>
        <w:t xml:space="preserve"> sh</w:t>
      </w:r>
      <w:r w:rsidR="00E06682" w:rsidRPr="00601EE7">
        <w:rPr>
          <w:rFonts w:ascii="Garamond" w:hAnsi="Garamond"/>
          <w:b w:val="0"/>
          <w:sz w:val="22"/>
          <w:szCs w:val="22"/>
          <w:u w:val="none"/>
        </w:rPr>
        <w:t>ould someone so willing to purge or dissolve Parliaments be accorded such a place of honour beside the Houses of Parliament</w:t>
      </w:r>
      <w:r w:rsidR="00661489" w:rsidRPr="00601EE7">
        <w:rPr>
          <w:rFonts w:ascii="Garamond" w:hAnsi="Garamond"/>
          <w:b w:val="0"/>
          <w:sz w:val="22"/>
          <w:szCs w:val="22"/>
          <w:u w:val="none"/>
        </w:rPr>
        <w:t xml:space="preserve">? </w:t>
      </w:r>
      <w:r w:rsidR="00E06682" w:rsidRPr="00601EE7">
        <w:rPr>
          <w:rFonts w:ascii="Garamond" w:hAnsi="Garamond"/>
          <w:b w:val="0"/>
          <w:sz w:val="22"/>
          <w:szCs w:val="22"/>
          <w:u w:val="none"/>
        </w:rPr>
        <w:t xml:space="preserve"> </w:t>
      </w:r>
      <w:r w:rsidR="00661489" w:rsidRPr="00601EE7">
        <w:rPr>
          <w:rFonts w:ascii="Garamond" w:hAnsi="Garamond"/>
          <w:b w:val="0"/>
          <w:sz w:val="22"/>
          <w:szCs w:val="22"/>
          <w:u w:val="none"/>
        </w:rPr>
        <w:t>Indeed, some might argue that w</w:t>
      </w:r>
      <w:r w:rsidR="00E06682" w:rsidRPr="00601EE7">
        <w:rPr>
          <w:rFonts w:ascii="Garamond" w:hAnsi="Garamond"/>
          <w:b w:val="0"/>
          <w:sz w:val="22"/>
          <w:szCs w:val="22"/>
          <w:u w:val="none"/>
        </w:rPr>
        <w:t>ith f</w:t>
      </w:r>
      <w:r w:rsidR="00661489" w:rsidRPr="00601EE7">
        <w:rPr>
          <w:rFonts w:ascii="Garamond" w:hAnsi="Garamond"/>
          <w:b w:val="0"/>
          <w:sz w:val="22"/>
          <w:szCs w:val="22"/>
          <w:u w:val="none"/>
        </w:rPr>
        <w:t>riends like Cromwell</w:t>
      </w:r>
      <w:r w:rsidR="00E06682" w:rsidRPr="00601EE7">
        <w:rPr>
          <w:rFonts w:ascii="Garamond" w:hAnsi="Garamond"/>
          <w:b w:val="0"/>
          <w:sz w:val="22"/>
          <w:szCs w:val="22"/>
          <w:u w:val="none"/>
        </w:rPr>
        <w:t xml:space="preserve">, did Parliaments </w:t>
      </w:r>
      <w:r w:rsidR="003F090C" w:rsidRPr="00601EE7">
        <w:rPr>
          <w:rFonts w:ascii="Garamond" w:hAnsi="Garamond"/>
          <w:b w:val="0"/>
          <w:sz w:val="22"/>
          <w:szCs w:val="22"/>
          <w:u w:val="none"/>
        </w:rPr>
        <w:t xml:space="preserve">have any </w:t>
      </w:r>
      <w:r w:rsidR="00E06682" w:rsidRPr="00601EE7">
        <w:rPr>
          <w:rFonts w:ascii="Garamond" w:hAnsi="Garamond"/>
          <w:b w:val="0"/>
          <w:sz w:val="22"/>
          <w:szCs w:val="22"/>
          <w:u w:val="none"/>
        </w:rPr>
        <w:t xml:space="preserve">need </w:t>
      </w:r>
      <w:r w:rsidR="003F090C" w:rsidRPr="00601EE7">
        <w:rPr>
          <w:rFonts w:ascii="Garamond" w:hAnsi="Garamond"/>
          <w:b w:val="0"/>
          <w:sz w:val="22"/>
          <w:szCs w:val="22"/>
          <w:u w:val="none"/>
        </w:rPr>
        <w:t xml:space="preserve">of </w:t>
      </w:r>
      <w:r w:rsidR="00E06682" w:rsidRPr="00601EE7">
        <w:rPr>
          <w:rFonts w:ascii="Garamond" w:hAnsi="Garamond"/>
          <w:b w:val="0"/>
          <w:sz w:val="22"/>
          <w:szCs w:val="22"/>
          <w:u w:val="none"/>
        </w:rPr>
        <w:t>enemies?</w:t>
      </w:r>
      <w:r w:rsidR="008557A1" w:rsidRPr="00601EE7">
        <w:rPr>
          <w:rStyle w:val="EndnoteReference"/>
          <w:rFonts w:ascii="Garamond" w:hAnsi="Garamond"/>
          <w:b w:val="0"/>
          <w:sz w:val="22"/>
          <w:szCs w:val="22"/>
          <w:u w:val="none"/>
        </w:rPr>
        <w:endnoteReference w:id="1"/>
      </w:r>
    </w:p>
    <w:p w:rsidR="008557A1" w:rsidRPr="00601EE7" w:rsidRDefault="008557A1" w:rsidP="00601EE7">
      <w:pPr>
        <w:pStyle w:val="Title"/>
        <w:jc w:val="left"/>
        <w:rPr>
          <w:rFonts w:ascii="Garamond" w:hAnsi="Garamond"/>
          <w:b w:val="0"/>
          <w:sz w:val="22"/>
          <w:szCs w:val="22"/>
          <w:u w:val="none"/>
        </w:rPr>
      </w:pPr>
    </w:p>
    <w:p w:rsidR="008557A1" w:rsidRPr="00601EE7" w:rsidRDefault="008557A1" w:rsidP="00601EE7">
      <w:pPr>
        <w:pStyle w:val="Title"/>
        <w:jc w:val="left"/>
        <w:rPr>
          <w:rFonts w:ascii="Garamond" w:hAnsi="Garamond"/>
          <w:b w:val="0"/>
          <w:sz w:val="22"/>
          <w:szCs w:val="22"/>
          <w:u w:val="none"/>
        </w:rPr>
      </w:pPr>
      <w:r w:rsidRPr="00601EE7">
        <w:rPr>
          <w:rFonts w:ascii="Garamond" w:hAnsi="Garamond"/>
          <w:b w:val="0"/>
          <w:sz w:val="22"/>
          <w:szCs w:val="22"/>
          <w:u w:val="none"/>
        </w:rPr>
        <w:t xml:space="preserve">Part of the problem surely lies in the paradox that Cromwell appears to have believed in the importance of </w:t>
      </w:r>
      <w:r w:rsidRPr="00601EE7">
        <w:rPr>
          <w:rFonts w:ascii="Garamond" w:hAnsi="Garamond"/>
          <w:b w:val="0"/>
          <w:i/>
          <w:sz w:val="22"/>
          <w:szCs w:val="22"/>
          <w:u w:val="none"/>
        </w:rPr>
        <w:t xml:space="preserve">a </w:t>
      </w:r>
      <w:r w:rsidRPr="00601EE7">
        <w:rPr>
          <w:rFonts w:ascii="Garamond" w:hAnsi="Garamond"/>
          <w:b w:val="0"/>
          <w:sz w:val="22"/>
          <w:szCs w:val="22"/>
          <w:u w:val="none"/>
        </w:rPr>
        <w:t>Parliament within England</w:t>
      </w:r>
      <w:r w:rsidR="00565574" w:rsidRPr="00601EE7">
        <w:rPr>
          <w:rFonts w:ascii="Garamond" w:hAnsi="Garamond"/>
          <w:b w:val="0"/>
          <w:sz w:val="22"/>
          <w:szCs w:val="22"/>
          <w:u w:val="none"/>
        </w:rPr>
        <w:t>’</w:t>
      </w:r>
      <w:r w:rsidRPr="00601EE7">
        <w:rPr>
          <w:rFonts w:ascii="Garamond" w:hAnsi="Garamond"/>
          <w:b w:val="0"/>
          <w:sz w:val="22"/>
          <w:szCs w:val="22"/>
          <w:u w:val="none"/>
        </w:rPr>
        <w:t>s constitutional arrangements, but he was never committed to a</w:t>
      </w:r>
      <w:r w:rsidR="00F912A8" w:rsidRPr="00601EE7">
        <w:rPr>
          <w:rFonts w:ascii="Garamond" w:hAnsi="Garamond"/>
          <w:b w:val="0"/>
          <w:sz w:val="22"/>
          <w:szCs w:val="22"/>
          <w:u w:val="none"/>
        </w:rPr>
        <w:t>ny</w:t>
      </w:r>
      <w:r w:rsidR="004159D8" w:rsidRPr="00601EE7">
        <w:rPr>
          <w:rFonts w:ascii="Garamond" w:hAnsi="Garamond"/>
          <w:b w:val="0"/>
          <w:sz w:val="22"/>
          <w:szCs w:val="22"/>
          <w:u w:val="none"/>
        </w:rPr>
        <w:t xml:space="preserve"> one</w:t>
      </w:r>
      <w:r w:rsidRPr="00601EE7">
        <w:rPr>
          <w:rFonts w:ascii="Garamond" w:hAnsi="Garamond"/>
          <w:b w:val="0"/>
          <w:sz w:val="22"/>
          <w:szCs w:val="22"/>
          <w:u w:val="none"/>
        </w:rPr>
        <w:t xml:space="preserve"> Pa</w:t>
      </w:r>
      <w:r w:rsidR="00F912A8" w:rsidRPr="00601EE7">
        <w:rPr>
          <w:rFonts w:ascii="Garamond" w:hAnsi="Garamond"/>
          <w:b w:val="0"/>
          <w:sz w:val="22"/>
          <w:szCs w:val="22"/>
          <w:u w:val="none"/>
        </w:rPr>
        <w:t>rliament</w:t>
      </w:r>
      <w:r w:rsidRPr="00601EE7">
        <w:rPr>
          <w:rFonts w:ascii="Garamond" w:hAnsi="Garamond"/>
          <w:b w:val="0"/>
          <w:sz w:val="22"/>
          <w:szCs w:val="22"/>
          <w:u w:val="none"/>
        </w:rPr>
        <w:t xml:space="preserve">.  As he put it in October 1647 at the Putney Debates, he was not </w:t>
      </w:r>
      <w:r w:rsidR="00565574" w:rsidRPr="00601EE7">
        <w:rPr>
          <w:rFonts w:ascii="Garamond" w:hAnsi="Garamond"/>
          <w:b w:val="0"/>
          <w:sz w:val="22"/>
          <w:szCs w:val="22"/>
          <w:u w:val="none"/>
        </w:rPr>
        <w:t>‘</w:t>
      </w:r>
      <w:r w:rsidRPr="00601EE7">
        <w:rPr>
          <w:rFonts w:ascii="Garamond" w:hAnsi="Garamond"/>
          <w:b w:val="0"/>
          <w:sz w:val="22"/>
          <w:szCs w:val="22"/>
          <w:u w:val="none"/>
        </w:rPr>
        <w:t>wedded and glued</w:t>
      </w:r>
      <w:r w:rsidR="00565574" w:rsidRPr="00601EE7">
        <w:rPr>
          <w:rFonts w:ascii="Garamond" w:hAnsi="Garamond"/>
          <w:b w:val="0"/>
          <w:sz w:val="22"/>
          <w:szCs w:val="22"/>
          <w:u w:val="none"/>
        </w:rPr>
        <w:t>’</w:t>
      </w:r>
      <w:r w:rsidRPr="00601EE7">
        <w:rPr>
          <w:rFonts w:ascii="Garamond" w:hAnsi="Garamond"/>
          <w:b w:val="0"/>
          <w:sz w:val="22"/>
          <w:szCs w:val="22"/>
          <w:u w:val="none"/>
        </w:rPr>
        <w:t xml:space="preserve"> to particular </w:t>
      </w:r>
      <w:r w:rsidR="00565574" w:rsidRPr="00601EE7">
        <w:rPr>
          <w:rFonts w:ascii="Garamond" w:hAnsi="Garamond"/>
          <w:b w:val="0"/>
          <w:sz w:val="22"/>
          <w:szCs w:val="22"/>
          <w:u w:val="none"/>
        </w:rPr>
        <w:t>‘</w:t>
      </w:r>
      <w:r w:rsidRPr="00601EE7">
        <w:rPr>
          <w:rFonts w:ascii="Garamond" w:hAnsi="Garamond"/>
          <w:b w:val="0"/>
          <w:sz w:val="22"/>
          <w:szCs w:val="22"/>
          <w:u w:val="none"/>
        </w:rPr>
        <w:t>forms of government</w:t>
      </w:r>
      <w:r w:rsidR="00565574" w:rsidRPr="00601EE7">
        <w:rPr>
          <w:rFonts w:ascii="Garamond" w:hAnsi="Garamond"/>
          <w:b w:val="0"/>
          <w:sz w:val="22"/>
          <w:szCs w:val="22"/>
          <w:u w:val="none"/>
        </w:rPr>
        <w:t>’</w:t>
      </w:r>
      <w:r w:rsidRPr="00601EE7">
        <w:rPr>
          <w:rFonts w:ascii="Garamond" w:hAnsi="Garamond"/>
          <w:b w:val="0"/>
          <w:sz w:val="22"/>
          <w:szCs w:val="22"/>
          <w:u w:val="none"/>
        </w:rPr>
        <w:t>.</w:t>
      </w:r>
      <w:r w:rsidRPr="00601EE7">
        <w:rPr>
          <w:rStyle w:val="EndnoteReference"/>
          <w:rFonts w:ascii="Garamond" w:hAnsi="Garamond"/>
          <w:b w:val="0"/>
          <w:sz w:val="22"/>
          <w:szCs w:val="22"/>
          <w:u w:val="none"/>
        </w:rPr>
        <w:endnoteReference w:id="2"/>
      </w:r>
      <w:r w:rsidRPr="00601EE7">
        <w:rPr>
          <w:rFonts w:ascii="Garamond" w:hAnsi="Garamond"/>
          <w:b w:val="0"/>
          <w:sz w:val="22"/>
          <w:szCs w:val="22"/>
          <w:u w:val="none"/>
        </w:rPr>
        <w:t xml:space="preserve">  Rather, he applied stringent criteria to Parliaments and had very high expectations of what he wished them to achieve.  Cromwell</w:t>
      </w:r>
      <w:r w:rsidR="00565574" w:rsidRPr="00601EE7">
        <w:rPr>
          <w:rFonts w:ascii="Garamond" w:hAnsi="Garamond"/>
          <w:b w:val="0"/>
          <w:sz w:val="22"/>
          <w:szCs w:val="22"/>
          <w:u w:val="none"/>
        </w:rPr>
        <w:t>’</w:t>
      </w:r>
      <w:r w:rsidRPr="00601EE7">
        <w:rPr>
          <w:rFonts w:ascii="Garamond" w:hAnsi="Garamond"/>
          <w:b w:val="0"/>
          <w:sz w:val="22"/>
          <w:szCs w:val="22"/>
          <w:u w:val="none"/>
        </w:rPr>
        <w:t xml:space="preserve">s letter to the Speaker of the Rump Parliament, William Lenthall, written the day after the battle of Dunbar, gives a good sense of his challenging agenda for Parliaments.  Cromwell told Lenthall:  </w:t>
      </w:r>
    </w:p>
    <w:p w:rsidR="008557A1" w:rsidRPr="00601EE7" w:rsidRDefault="008557A1" w:rsidP="00601EE7">
      <w:pPr>
        <w:ind w:left="720" w:right="-720"/>
        <w:rPr>
          <w:rFonts w:ascii="Garamond" w:hAnsi="Garamond"/>
          <w:sz w:val="22"/>
          <w:szCs w:val="22"/>
        </w:rPr>
      </w:pPr>
      <w:r w:rsidRPr="00601EE7">
        <w:rPr>
          <w:rFonts w:ascii="Garamond" w:hAnsi="Garamond"/>
          <w:sz w:val="22"/>
          <w:szCs w:val="22"/>
        </w:rPr>
        <w:t>It is easy to say, the Lord has done this [meaning Cromwell</w:t>
      </w:r>
      <w:r w:rsidR="00565574" w:rsidRPr="00601EE7">
        <w:rPr>
          <w:rFonts w:ascii="Garamond" w:hAnsi="Garamond"/>
          <w:sz w:val="22"/>
          <w:szCs w:val="22"/>
        </w:rPr>
        <w:t>’</w:t>
      </w:r>
      <w:r w:rsidRPr="00601EE7">
        <w:rPr>
          <w:rFonts w:ascii="Garamond" w:hAnsi="Garamond"/>
          <w:sz w:val="22"/>
          <w:szCs w:val="22"/>
        </w:rPr>
        <w:t>s victory over the Scots at Dunbar on 3 September 1650].  It would do you good to see and hear our poor foot going up and down making their boast of God.  But, Sir, it is in your hands, and by these eminent mercies God puts it more into your hands, to give glory to Him; to improve your power, and His blessings, to His praise.  We that serve you beg of you not to own us, but God alone; we pray you own His people more and more, for they are the chariots and horsemen of Israel.  Disown yourselves, but own your authority, and improve it to curb the proud and insolent, such as would disturb the tranquillity of England, though under what specious pretences soever; relieve the oppressed, hear the groans of poor prisoners in England; be pleased to reform the abuses of all professions; and if there be any one that makes many poor to make a few rich, that suits not a Commonwealth.</w:t>
      </w:r>
      <w:r w:rsidRPr="00601EE7">
        <w:rPr>
          <w:rStyle w:val="EndnoteReference"/>
          <w:rFonts w:ascii="Garamond" w:hAnsi="Garamond"/>
          <w:sz w:val="22"/>
          <w:szCs w:val="22"/>
        </w:rPr>
        <w:endnoteReference w:id="3"/>
      </w:r>
    </w:p>
    <w:p w:rsidR="008557A1" w:rsidRPr="00601EE7" w:rsidRDefault="008557A1" w:rsidP="00601EE7">
      <w:pPr>
        <w:ind w:right="-720"/>
        <w:rPr>
          <w:rFonts w:ascii="Garamond" w:hAnsi="Garamond"/>
          <w:sz w:val="22"/>
          <w:szCs w:val="22"/>
        </w:rPr>
      </w:pPr>
      <w:r w:rsidRPr="00601EE7">
        <w:rPr>
          <w:rFonts w:ascii="Garamond" w:hAnsi="Garamond"/>
          <w:sz w:val="22"/>
          <w:szCs w:val="22"/>
        </w:rPr>
        <w:t>Over the years that followed, however, Cromwell became ever more convinced that the Rump was falling short of these lofty ideals, and he grew ever more determined that it should put an end to its existence.</w:t>
      </w:r>
    </w:p>
    <w:p w:rsidR="008557A1" w:rsidRPr="00601EE7" w:rsidRDefault="008557A1" w:rsidP="00601EE7">
      <w:pPr>
        <w:ind w:right="-720"/>
        <w:rPr>
          <w:rFonts w:ascii="Garamond" w:hAnsi="Garamond"/>
          <w:sz w:val="22"/>
          <w:szCs w:val="22"/>
        </w:rPr>
      </w:pPr>
    </w:p>
    <w:p w:rsidR="008557A1" w:rsidRPr="00601EE7" w:rsidRDefault="008557A1" w:rsidP="00601EE7">
      <w:pPr>
        <w:ind w:right="-720"/>
        <w:rPr>
          <w:rFonts w:ascii="Garamond" w:hAnsi="Garamond"/>
          <w:sz w:val="22"/>
          <w:szCs w:val="22"/>
        </w:rPr>
      </w:pPr>
      <w:r w:rsidRPr="00601EE7">
        <w:rPr>
          <w:rFonts w:ascii="Garamond" w:hAnsi="Garamond"/>
          <w:sz w:val="22"/>
          <w:szCs w:val="22"/>
        </w:rPr>
        <w:t>By the spring of 1653 he believed that he had secured the Rump</w:t>
      </w:r>
      <w:r w:rsidR="00565574" w:rsidRPr="00601EE7">
        <w:rPr>
          <w:rFonts w:ascii="Garamond" w:hAnsi="Garamond"/>
          <w:sz w:val="22"/>
          <w:szCs w:val="22"/>
        </w:rPr>
        <w:t>’</w:t>
      </w:r>
      <w:r w:rsidRPr="00601EE7">
        <w:rPr>
          <w:rFonts w:ascii="Garamond" w:hAnsi="Garamond"/>
          <w:sz w:val="22"/>
          <w:szCs w:val="22"/>
        </w:rPr>
        <w:t xml:space="preserve">s agreement to dissolve itself, but then, on 20 April he heard that the Rump was planning immediate elections without measures to exclude those whom Cromwell regarded as ungodly.  He therefore rushed to Parliament, accompanied by troops, and denounced the members as </w:t>
      </w:r>
      <w:r w:rsidR="00565574" w:rsidRPr="00601EE7">
        <w:rPr>
          <w:rFonts w:ascii="Garamond" w:hAnsi="Garamond"/>
          <w:sz w:val="22"/>
          <w:szCs w:val="22"/>
        </w:rPr>
        <w:t>‘</w:t>
      </w:r>
      <w:r w:rsidRPr="00601EE7">
        <w:rPr>
          <w:rFonts w:ascii="Garamond" w:hAnsi="Garamond"/>
          <w:sz w:val="22"/>
          <w:szCs w:val="22"/>
        </w:rPr>
        <w:t>whoremasters</w:t>
      </w:r>
      <w:r w:rsidR="00565574" w:rsidRPr="00601EE7">
        <w:rPr>
          <w:rFonts w:ascii="Garamond" w:hAnsi="Garamond"/>
          <w:sz w:val="22"/>
          <w:szCs w:val="22"/>
        </w:rPr>
        <w:t>’</w:t>
      </w:r>
      <w:r w:rsidRPr="00601EE7">
        <w:rPr>
          <w:rFonts w:ascii="Garamond" w:hAnsi="Garamond"/>
          <w:sz w:val="22"/>
          <w:szCs w:val="22"/>
        </w:rPr>
        <w:t xml:space="preserve"> and </w:t>
      </w:r>
      <w:r w:rsidR="00565574" w:rsidRPr="00601EE7">
        <w:rPr>
          <w:rFonts w:ascii="Garamond" w:hAnsi="Garamond"/>
          <w:sz w:val="22"/>
          <w:szCs w:val="22"/>
        </w:rPr>
        <w:t>‘</w:t>
      </w:r>
      <w:r w:rsidRPr="00601EE7">
        <w:rPr>
          <w:rFonts w:ascii="Garamond" w:hAnsi="Garamond"/>
          <w:sz w:val="22"/>
          <w:szCs w:val="22"/>
        </w:rPr>
        <w:t>drunkard</w:t>
      </w:r>
      <w:r w:rsidR="00565574" w:rsidRPr="00601EE7">
        <w:rPr>
          <w:rFonts w:ascii="Garamond" w:hAnsi="Garamond"/>
          <w:sz w:val="22"/>
          <w:szCs w:val="22"/>
        </w:rPr>
        <w:t>’</w:t>
      </w:r>
      <w:r w:rsidRPr="00601EE7">
        <w:rPr>
          <w:rFonts w:ascii="Garamond" w:hAnsi="Garamond"/>
          <w:sz w:val="22"/>
          <w:szCs w:val="22"/>
        </w:rPr>
        <w:t>.  He told them that they had sat there too long for any good that they had been doing, and he ordered them to disperse.</w:t>
      </w:r>
      <w:r w:rsidR="00FA0FB8" w:rsidRPr="00601EE7">
        <w:rPr>
          <w:rStyle w:val="EndnoteReference"/>
          <w:rFonts w:ascii="Garamond" w:hAnsi="Garamond"/>
          <w:sz w:val="22"/>
          <w:szCs w:val="22"/>
        </w:rPr>
        <w:endnoteReference w:id="4"/>
      </w:r>
      <w:r w:rsidRPr="00601EE7">
        <w:rPr>
          <w:rFonts w:ascii="Garamond" w:hAnsi="Garamond"/>
          <w:sz w:val="22"/>
          <w:szCs w:val="22"/>
        </w:rPr>
        <w:t xml:space="preserve">  Two days later he published a declaration justifying this action in which he asserted that the Rump </w:t>
      </w:r>
      <w:r w:rsidR="00565574" w:rsidRPr="00601EE7">
        <w:rPr>
          <w:rFonts w:ascii="Garamond" w:hAnsi="Garamond"/>
          <w:sz w:val="22"/>
          <w:szCs w:val="22"/>
        </w:rPr>
        <w:t>‘</w:t>
      </w:r>
      <w:r w:rsidRPr="00601EE7">
        <w:rPr>
          <w:rFonts w:ascii="Garamond" w:hAnsi="Garamond"/>
          <w:sz w:val="22"/>
          <w:szCs w:val="22"/>
        </w:rPr>
        <w:t>would never answer those ends which God, His people, and the whole nation expected from them; but … this cause, which the Lord hath so greatly blessed and borne witness to, must needs languish … and, by degrees, be wholly lost; and the lives, liberties and comforts of His people delivered into their enemies</w:t>
      </w:r>
      <w:r w:rsidR="00565574" w:rsidRPr="00601EE7">
        <w:rPr>
          <w:rFonts w:ascii="Garamond" w:hAnsi="Garamond"/>
          <w:sz w:val="22"/>
          <w:szCs w:val="22"/>
        </w:rPr>
        <w:t>’</w:t>
      </w:r>
      <w:r w:rsidRPr="00601EE7">
        <w:rPr>
          <w:rFonts w:ascii="Garamond" w:hAnsi="Garamond"/>
          <w:sz w:val="22"/>
          <w:szCs w:val="22"/>
        </w:rPr>
        <w:t xml:space="preserve"> hands.</w:t>
      </w:r>
      <w:r w:rsidR="00565574" w:rsidRPr="00601EE7">
        <w:rPr>
          <w:rFonts w:ascii="Garamond" w:hAnsi="Garamond"/>
          <w:sz w:val="22"/>
          <w:szCs w:val="22"/>
        </w:rPr>
        <w:t>’</w:t>
      </w:r>
      <w:r w:rsidRPr="00601EE7">
        <w:rPr>
          <w:rFonts w:ascii="Garamond" w:hAnsi="Garamond"/>
          <w:sz w:val="22"/>
          <w:szCs w:val="22"/>
        </w:rPr>
        <w:t xml:space="preserve">  He insisted that there was </w:t>
      </w:r>
      <w:r w:rsidR="00565574" w:rsidRPr="00601EE7">
        <w:rPr>
          <w:rFonts w:ascii="Garamond" w:hAnsi="Garamond"/>
          <w:sz w:val="22"/>
          <w:szCs w:val="22"/>
        </w:rPr>
        <w:t>‘</w:t>
      </w:r>
      <w:r w:rsidRPr="00601EE7">
        <w:rPr>
          <w:rFonts w:ascii="Garamond" w:hAnsi="Garamond"/>
          <w:sz w:val="22"/>
          <w:szCs w:val="22"/>
        </w:rPr>
        <w:t>a duty incumbent upon us, who had so much of the power and presence of God going along with us, to consider of some more effectual means to secure the cause which the good people of this Commonwealth had been so long engaged in, and to establish righteousness and peace in these nations</w:t>
      </w:r>
      <w:r w:rsidR="00565574" w:rsidRPr="00601EE7">
        <w:rPr>
          <w:rFonts w:ascii="Garamond" w:hAnsi="Garamond"/>
          <w:sz w:val="22"/>
          <w:szCs w:val="22"/>
        </w:rPr>
        <w:t>’</w:t>
      </w:r>
      <w:r w:rsidRPr="00601EE7">
        <w:rPr>
          <w:rFonts w:ascii="Garamond" w:hAnsi="Garamond"/>
          <w:sz w:val="22"/>
          <w:szCs w:val="22"/>
        </w:rPr>
        <w:t>.</w:t>
      </w:r>
      <w:r w:rsidRPr="00601EE7">
        <w:rPr>
          <w:rStyle w:val="EndnoteReference"/>
          <w:rFonts w:ascii="Garamond" w:hAnsi="Garamond"/>
          <w:sz w:val="22"/>
          <w:szCs w:val="22"/>
        </w:rPr>
        <w:endnoteReference w:id="5"/>
      </w:r>
      <w:r w:rsidRPr="00601EE7">
        <w:rPr>
          <w:rFonts w:ascii="Garamond" w:hAnsi="Garamond"/>
          <w:sz w:val="22"/>
          <w:szCs w:val="22"/>
        </w:rPr>
        <w:t xml:space="preserve">  In Cromwell</w:t>
      </w:r>
      <w:r w:rsidR="00565574" w:rsidRPr="00601EE7">
        <w:rPr>
          <w:rFonts w:ascii="Garamond" w:hAnsi="Garamond"/>
          <w:sz w:val="22"/>
          <w:szCs w:val="22"/>
        </w:rPr>
        <w:t>’</w:t>
      </w:r>
      <w:r w:rsidRPr="00601EE7">
        <w:rPr>
          <w:rFonts w:ascii="Garamond" w:hAnsi="Garamond"/>
          <w:sz w:val="22"/>
          <w:szCs w:val="22"/>
        </w:rPr>
        <w:t>s eyes, the Rump had failed to discharge its duty to God</w:t>
      </w:r>
      <w:r w:rsidR="00565574" w:rsidRPr="00601EE7">
        <w:rPr>
          <w:rFonts w:ascii="Garamond" w:hAnsi="Garamond"/>
          <w:sz w:val="22"/>
          <w:szCs w:val="22"/>
        </w:rPr>
        <w:t>’</w:t>
      </w:r>
      <w:r w:rsidRPr="00601EE7">
        <w:rPr>
          <w:rFonts w:ascii="Garamond" w:hAnsi="Garamond"/>
          <w:sz w:val="22"/>
          <w:szCs w:val="22"/>
        </w:rPr>
        <w:t>s cause and God</w:t>
      </w:r>
      <w:r w:rsidR="00565574" w:rsidRPr="00601EE7">
        <w:rPr>
          <w:rFonts w:ascii="Garamond" w:hAnsi="Garamond"/>
          <w:sz w:val="22"/>
          <w:szCs w:val="22"/>
        </w:rPr>
        <w:t>’</w:t>
      </w:r>
      <w:r w:rsidRPr="00601EE7">
        <w:rPr>
          <w:rFonts w:ascii="Garamond" w:hAnsi="Garamond"/>
          <w:sz w:val="22"/>
          <w:szCs w:val="22"/>
        </w:rPr>
        <w:t xml:space="preserve">s people, and it therefore deserved to be dissolved.  Yet in so doing, </w:t>
      </w:r>
      <w:r w:rsidR="001C7D65" w:rsidRPr="00601EE7">
        <w:rPr>
          <w:rFonts w:ascii="Garamond" w:hAnsi="Garamond"/>
          <w:sz w:val="22"/>
          <w:szCs w:val="22"/>
        </w:rPr>
        <w:t>Cromwell had exercised that</w:t>
      </w:r>
      <w:r w:rsidRPr="00601EE7">
        <w:rPr>
          <w:rFonts w:ascii="Garamond" w:hAnsi="Garamond"/>
          <w:sz w:val="22"/>
          <w:szCs w:val="22"/>
        </w:rPr>
        <w:t xml:space="preserve"> quintessentially royal prerogative of choosing, at his</w:t>
      </w:r>
      <w:r w:rsidR="001C7D65" w:rsidRPr="00601EE7">
        <w:rPr>
          <w:rFonts w:ascii="Garamond" w:hAnsi="Garamond"/>
          <w:sz w:val="22"/>
          <w:szCs w:val="22"/>
        </w:rPr>
        <w:t xml:space="preserve"> own discretion, the moment when</w:t>
      </w:r>
      <w:r w:rsidRPr="00601EE7">
        <w:rPr>
          <w:rFonts w:ascii="Garamond" w:hAnsi="Garamond"/>
          <w:sz w:val="22"/>
          <w:szCs w:val="22"/>
        </w:rPr>
        <w:t xml:space="preserve"> a Parliament should </w:t>
      </w:r>
      <w:r w:rsidR="00730A04" w:rsidRPr="00601EE7">
        <w:rPr>
          <w:rFonts w:ascii="Garamond" w:hAnsi="Garamond"/>
          <w:sz w:val="22"/>
          <w:szCs w:val="22"/>
        </w:rPr>
        <w:t>end</w:t>
      </w:r>
      <w:r w:rsidRPr="00601EE7">
        <w:rPr>
          <w:rFonts w:ascii="Garamond" w:hAnsi="Garamond"/>
          <w:sz w:val="22"/>
          <w:szCs w:val="22"/>
        </w:rPr>
        <w:t>.  He had also used the threat of force against a sitting Parliament in a manner reminiscent of Charles I</w:t>
      </w:r>
      <w:r w:rsidR="00565574" w:rsidRPr="00601EE7">
        <w:rPr>
          <w:rFonts w:ascii="Garamond" w:hAnsi="Garamond"/>
          <w:sz w:val="22"/>
          <w:szCs w:val="22"/>
        </w:rPr>
        <w:t>’</w:t>
      </w:r>
      <w:r w:rsidRPr="00601EE7">
        <w:rPr>
          <w:rFonts w:ascii="Garamond" w:hAnsi="Garamond"/>
          <w:sz w:val="22"/>
          <w:szCs w:val="22"/>
        </w:rPr>
        <w:t xml:space="preserve">s attempted arrest of five members of the Commons in January 1642.  As Dorothy Osborne observed, </w:t>
      </w:r>
      <w:r w:rsidR="00565574" w:rsidRPr="00601EE7">
        <w:rPr>
          <w:rFonts w:ascii="Garamond" w:hAnsi="Garamond"/>
          <w:sz w:val="22"/>
          <w:szCs w:val="22"/>
        </w:rPr>
        <w:t>‘</w:t>
      </w:r>
      <w:r w:rsidRPr="00601EE7">
        <w:rPr>
          <w:rFonts w:ascii="Garamond" w:hAnsi="Garamond"/>
          <w:sz w:val="22"/>
          <w:szCs w:val="22"/>
        </w:rPr>
        <w:t xml:space="preserve">if Mr Pym </w:t>
      </w:r>
      <w:r w:rsidRPr="00601EE7">
        <w:rPr>
          <w:rFonts w:ascii="Garamond" w:hAnsi="Garamond"/>
          <w:sz w:val="22"/>
          <w:szCs w:val="22"/>
        </w:rPr>
        <w:lastRenderedPageBreak/>
        <w:t>were alive again I wonder what he would think of these proceedings, and whether this would appear as great a breach of the privilege of Parliament as the demanding [of] the five members.</w:t>
      </w:r>
      <w:r w:rsidR="00565574" w:rsidRPr="00601EE7">
        <w:rPr>
          <w:rFonts w:ascii="Garamond" w:hAnsi="Garamond"/>
          <w:sz w:val="22"/>
          <w:szCs w:val="22"/>
        </w:rPr>
        <w:t>’</w:t>
      </w:r>
      <w:r w:rsidRPr="00601EE7">
        <w:rPr>
          <w:rStyle w:val="EndnoteReference"/>
          <w:rFonts w:ascii="Garamond" w:hAnsi="Garamond"/>
          <w:sz w:val="22"/>
          <w:szCs w:val="22"/>
        </w:rPr>
        <w:endnoteReference w:id="6"/>
      </w:r>
    </w:p>
    <w:p w:rsidR="008557A1" w:rsidRPr="00601EE7" w:rsidRDefault="008557A1" w:rsidP="00601EE7">
      <w:pPr>
        <w:pStyle w:val="BodyTextIndent"/>
        <w:spacing w:line="240" w:lineRule="auto"/>
        <w:ind w:left="0"/>
        <w:rPr>
          <w:rFonts w:ascii="Garamond" w:hAnsi="Garamond"/>
          <w:sz w:val="22"/>
          <w:szCs w:val="22"/>
        </w:rPr>
      </w:pPr>
    </w:p>
    <w:p w:rsidR="008557A1" w:rsidRPr="00601EE7" w:rsidRDefault="008557A1" w:rsidP="00601EE7">
      <w:pPr>
        <w:pStyle w:val="BodyTextIndent"/>
        <w:spacing w:line="240" w:lineRule="auto"/>
        <w:ind w:left="0"/>
        <w:rPr>
          <w:rFonts w:ascii="Garamond" w:hAnsi="Garamond"/>
          <w:sz w:val="22"/>
          <w:szCs w:val="22"/>
        </w:rPr>
      </w:pPr>
      <w:r w:rsidRPr="00601EE7">
        <w:rPr>
          <w:rFonts w:ascii="Garamond" w:hAnsi="Garamond"/>
          <w:sz w:val="22"/>
          <w:szCs w:val="22"/>
        </w:rPr>
        <w:t>Following the dissolution of the Rump, Cromwell probably wielded more power than at any other stage of his career, in the sense that his options were more wide open than they ever were again.  Yet those</w:t>
      </w:r>
      <w:r w:rsidR="001C7D65" w:rsidRPr="00601EE7">
        <w:rPr>
          <w:rFonts w:ascii="Garamond" w:hAnsi="Garamond"/>
          <w:sz w:val="22"/>
          <w:szCs w:val="22"/>
        </w:rPr>
        <w:t xml:space="preserve"> people</w:t>
      </w:r>
      <w:r w:rsidRPr="00601EE7">
        <w:rPr>
          <w:rFonts w:ascii="Garamond" w:hAnsi="Garamond"/>
          <w:sz w:val="22"/>
          <w:szCs w:val="22"/>
        </w:rPr>
        <w:t xml:space="preserve">, both at the time and since, who have seen Cromwell as greedy to concentrate power in his own hands have always found it difficult to explain his next move, which was to </w:t>
      </w:r>
      <w:r w:rsidR="001C7D65" w:rsidRPr="00601EE7">
        <w:rPr>
          <w:rFonts w:ascii="Garamond" w:hAnsi="Garamond"/>
          <w:sz w:val="22"/>
          <w:szCs w:val="22"/>
        </w:rPr>
        <w:t>establish another kind</w:t>
      </w:r>
      <w:r w:rsidRPr="00601EE7">
        <w:rPr>
          <w:rFonts w:ascii="Garamond" w:hAnsi="Garamond"/>
          <w:sz w:val="22"/>
          <w:szCs w:val="22"/>
        </w:rPr>
        <w:t xml:space="preserve"> of Parliament.  He adopted a proposal from one of his Army colleagues, the Fifth Monarchist Major-General Thomas Harrison, for a nominated assembly of 140 godly individuals, based on the ancient Jewish Sanhedrin.  Convinced that the Rump had betrayed the godly, Cromwell now </w:t>
      </w:r>
      <w:r w:rsidR="006F4FF6" w:rsidRPr="00601EE7">
        <w:rPr>
          <w:rFonts w:ascii="Garamond" w:hAnsi="Garamond"/>
          <w:sz w:val="22"/>
          <w:szCs w:val="22"/>
        </w:rPr>
        <w:t>tried to construct</w:t>
      </w:r>
      <w:r w:rsidRPr="00601EE7">
        <w:rPr>
          <w:rFonts w:ascii="Garamond" w:hAnsi="Garamond"/>
          <w:sz w:val="22"/>
          <w:szCs w:val="22"/>
        </w:rPr>
        <w:t xml:space="preserve"> a Parliament consisting exclusively of the godly.  One such was the splendidly named Praise-God Barebone, and for this reason the assembly has often been known as Barebone</w:t>
      </w:r>
      <w:r w:rsidR="00565574" w:rsidRPr="00601EE7">
        <w:rPr>
          <w:rFonts w:ascii="Garamond" w:hAnsi="Garamond"/>
          <w:sz w:val="22"/>
          <w:szCs w:val="22"/>
        </w:rPr>
        <w:t>’</w:t>
      </w:r>
      <w:r w:rsidRPr="00601EE7">
        <w:rPr>
          <w:rFonts w:ascii="Garamond" w:hAnsi="Garamond"/>
          <w:sz w:val="22"/>
          <w:szCs w:val="22"/>
        </w:rPr>
        <w:t>s Parliament.</w:t>
      </w:r>
      <w:r w:rsidR="00AF416C" w:rsidRPr="00601EE7">
        <w:rPr>
          <w:rStyle w:val="EndnoteReference"/>
          <w:rFonts w:ascii="Garamond" w:hAnsi="Garamond"/>
          <w:sz w:val="22"/>
          <w:szCs w:val="22"/>
        </w:rPr>
        <w:endnoteReference w:id="7"/>
      </w:r>
    </w:p>
    <w:p w:rsidR="008557A1" w:rsidRPr="00601EE7" w:rsidRDefault="008557A1" w:rsidP="00601EE7">
      <w:pPr>
        <w:pStyle w:val="BodyTextIndent"/>
        <w:spacing w:line="240" w:lineRule="auto"/>
        <w:ind w:left="0"/>
        <w:rPr>
          <w:rFonts w:ascii="Garamond" w:hAnsi="Garamond"/>
          <w:sz w:val="22"/>
          <w:szCs w:val="22"/>
        </w:rPr>
      </w:pPr>
    </w:p>
    <w:p w:rsidR="008557A1" w:rsidRPr="00601EE7" w:rsidRDefault="008557A1" w:rsidP="00601EE7">
      <w:pPr>
        <w:pStyle w:val="BodyTextIndent"/>
        <w:spacing w:line="240" w:lineRule="auto"/>
        <w:ind w:left="0"/>
        <w:rPr>
          <w:rFonts w:ascii="Garamond" w:hAnsi="Garamond"/>
          <w:sz w:val="22"/>
          <w:szCs w:val="22"/>
        </w:rPr>
      </w:pPr>
      <w:r w:rsidRPr="00601EE7">
        <w:rPr>
          <w:rFonts w:ascii="Garamond" w:hAnsi="Garamond"/>
          <w:sz w:val="22"/>
          <w:szCs w:val="22"/>
        </w:rPr>
        <w:t>When Cromwell opened Barebone</w:t>
      </w:r>
      <w:r w:rsidR="00565574" w:rsidRPr="00601EE7">
        <w:rPr>
          <w:rFonts w:ascii="Garamond" w:hAnsi="Garamond"/>
          <w:sz w:val="22"/>
          <w:szCs w:val="22"/>
        </w:rPr>
        <w:t>’</w:t>
      </w:r>
      <w:r w:rsidRPr="00601EE7">
        <w:rPr>
          <w:rFonts w:ascii="Garamond" w:hAnsi="Garamond"/>
          <w:sz w:val="22"/>
          <w:szCs w:val="22"/>
        </w:rPr>
        <w:t>s Parliament on 4 July 1653, he was full of optimism that this assembly would carry fo</w:t>
      </w:r>
      <w:r w:rsidR="00416006" w:rsidRPr="00601EE7">
        <w:rPr>
          <w:rFonts w:ascii="Garamond" w:hAnsi="Garamond"/>
          <w:sz w:val="22"/>
          <w:szCs w:val="22"/>
        </w:rPr>
        <w:t>rward God</w:t>
      </w:r>
      <w:r w:rsidR="00565574" w:rsidRPr="00601EE7">
        <w:rPr>
          <w:rFonts w:ascii="Garamond" w:hAnsi="Garamond"/>
          <w:sz w:val="22"/>
          <w:szCs w:val="22"/>
        </w:rPr>
        <w:t>’</w:t>
      </w:r>
      <w:r w:rsidR="00416006" w:rsidRPr="00601EE7">
        <w:rPr>
          <w:rFonts w:ascii="Garamond" w:hAnsi="Garamond"/>
          <w:sz w:val="22"/>
          <w:szCs w:val="22"/>
        </w:rPr>
        <w:t>s purpose</w:t>
      </w:r>
      <w:r w:rsidRPr="00601EE7">
        <w:rPr>
          <w:rFonts w:ascii="Garamond" w:hAnsi="Garamond"/>
          <w:sz w:val="22"/>
          <w:szCs w:val="22"/>
        </w:rPr>
        <w:t>.  His opening speech was one of Cromwell</w:t>
      </w:r>
      <w:r w:rsidR="00565574" w:rsidRPr="00601EE7">
        <w:rPr>
          <w:rFonts w:ascii="Garamond" w:hAnsi="Garamond"/>
          <w:sz w:val="22"/>
          <w:szCs w:val="22"/>
        </w:rPr>
        <w:t>’</w:t>
      </w:r>
      <w:r w:rsidRPr="00601EE7">
        <w:rPr>
          <w:rFonts w:ascii="Garamond" w:hAnsi="Garamond"/>
          <w:sz w:val="22"/>
          <w:szCs w:val="22"/>
        </w:rPr>
        <w:t xml:space="preserve">s most exhilarated utterances.  He declared: </w:t>
      </w:r>
      <w:r w:rsidR="00565574" w:rsidRPr="00601EE7">
        <w:rPr>
          <w:rFonts w:ascii="Garamond" w:hAnsi="Garamond"/>
          <w:sz w:val="22"/>
          <w:szCs w:val="22"/>
        </w:rPr>
        <w:t>‘</w:t>
      </w:r>
      <w:r w:rsidRPr="00601EE7">
        <w:rPr>
          <w:rFonts w:ascii="Garamond" w:hAnsi="Garamond"/>
          <w:sz w:val="22"/>
          <w:szCs w:val="22"/>
        </w:rPr>
        <w:t>Truly God hath called you to this work by, I think, as wonderful providences as ever passed upon the sons of men in so short a time. … It</w:t>
      </w:r>
      <w:r w:rsidR="00565574" w:rsidRPr="00601EE7">
        <w:rPr>
          <w:rFonts w:ascii="Garamond" w:hAnsi="Garamond"/>
          <w:sz w:val="22"/>
          <w:szCs w:val="22"/>
        </w:rPr>
        <w:t>’</w:t>
      </w:r>
      <w:r w:rsidRPr="00601EE7">
        <w:rPr>
          <w:rFonts w:ascii="Garamond" w:hAnsi="Garamond"/>
          <w:sz w:val="22"/>
          <w:szCs w:val="22"/>
        </w:rPr>
        <w:t>s come, therefore, to you by the way of necessity; b</w:t>
      </w:r>
      <w:r w:rsidR="00EA6D20" w:rsidRPr="00601EE7">
        <w:rPr>
          <w:rFonts w:ascii="Garamond" w:hAnsi="Garamond"/>
          <w:sz w:val="22"/>
          <w:szCs w:val="22"/>
        </w:rPr>
        <w:t>y the wise Providence of God …</w:t>
      </w:r>
      <w:r w:rsidRPr="00601EE7">
        <w:rPr>
          <w:rFonts w:ascii="Garamond" w:hAnsi="Garamond"/>
          <w:sz w:val="22"/>
          <w:szCs w:val="22"/>
        </w:rPr>
        <w:t xml:space="preserve"> God hath owned you in the eyes of the world; and thus, by coming hither, you own Him.</w:t>
      </w:r>
      <w:r w:rsidR="00565574" w:rsidRPr="00601EE7">
        <w:rPr>
          <w:rFonts w:ascii="Garamond" w:hAnsi="Garamond"/>
          <w:sz w:val="22"/>
          <w:szCs w:val="22"/>
        </w:rPr>
        <w:t>’</w:t>
      </w:r>
      <w:r w:rsidRPr="00601EE7">
        <w:rPr>
          <w:rFonts w:ascii="Garamond" w:hAnsi="Garamond"/>
          <w:sz w:val="22"/>
          <w:szCs w:val="22"/>
        </w:rPr>
        <w:t xml:space="preserve">  Cromwell urged the members to </w:t>
      </w:r>
      <w:r w:rsidR="00565574" w:rsidRPr="00601EE7">
        <w:rPr>
          <w:rFonts w:ascii="Garamond" w:hAnsi="Garamond"/>
          <w:sz w:val="22"/>
          <w:szCs w:val="22"/>
        </w:rPr>
        <w:t>‘</w:t>
      </w:r>
      <w:r w:rsidRPr="00601EE7">
        <w:rPr>
          <w:rFonts w:ascii="Garamond" w:hAnsi="Garamond"/>
          <w:sz w:val="22"/>
          <w:szCs w:val="22"/>
        </w:rPr>
        <w:t>consider the circumstances by which you are called hither; through what strivings, through what blood you are come hither, where neither you, nor I, nor no man living, three months ago, had a thought to have seen such a company taking upon them, or rather being called to take, the supreme authority of this nation!  Therefore, own your call!</w:t>
      </w:r>
      <w:r w:rsidR="00565574" w:rsidRPr="00601EE7">
        <w:rPr>
          <w:rFonts w:ascii="Garamond" w:hAnsi="Garamond"/>
          <w:sz w:val="22"/>
          <w:szCs w:val="22"/>
        </w:rPr>
        <w:t>’</w:t>
      </w:r>
      <w:r w:rsidRPr="00601EE7">
        <w:rPr>
          <w:rStyle w:val="EndnoteReference"/>
          <w:rFonts w:ascii="Garamond" w:hAnsi="Garamond"/>
          <w:sz w:val="22"/>
          <w:szCs w:val="22"/>
        </w:rPr>
        <w:endnoteReference w:id="8"/>
      </w:r>
      <w:r w:rsidRPr="00601EE7">
        <w:rPr>
          <w:rFonts w:ascii="Garamond" w:hAnsi="Garamond"/>
          <w:sz w:val="22"/>
          <w:szCs w:val="22"/>
        </w:rPr>
        <w:t xml:space="preserve">  Yet Cromwell</w:t>
      </w:r>
      <w:r w:rsidR="00565574" w:rsidRPr="00601EE7">
        <w:rPr>
          <w:rFonts w:ascii="Garamond" w:hAnsi="Garamond"/>
          <w:sz w:val="22"/>
          <w:szCs w:val="22"/>
        </w:rPr>
        <w:t>’</w:t>
      </w:r>
      <w:r w:rsidRPr="00601EE7">
        <w:rPr>
          <w:rFonts w:ascii="Garamond" w:hAnsi="Garamond"/>
          <w:sz w:val="22"/>
          <w:szCs w:val="22"/>
        </w:rPr>
        <w:t>s optimism soon turned to disappointment as the members of Barebone</w:t>
      </w:r>
      <w:r w:rsidR="00565574" w:rsidRPr="00601EE7">
        <w:rPr>
          <w:rFonts w:ascii="Garamond" w:hAnsi="Garamond"/>
          <w:sz w:val="22"/>
          <w:szCs w:val="22"/>
        </w:rPr>
        <w:t>’</w:t>
      </w:r>
      <w:r w:rsidRPr="00601EE7">
        <w:rPr>
          <w:rFonts w:ascii="Garamond" w:hAnsi="Garamond"/>
          <w:sz w:val="22"/>
          <w:szCs w:val="22"/>
        </w:rPr>
        <w:t>s became deeply divided over which priorities to pursue.</w:t>
      </w:r>
      <w:r w:rsidR="00FB2555" w:rsidRPr="00601EE7">
        <w:rPr>
          <w:rFonts w:ascii="Garamond" w:hAnsi="Garamond"/>
          <w:sz w:val="22"/>
          <w:szCs w:val="22"/>
        </w:rPr>
        <w:t xml:space="preserve">  In December 1653 the assembly voted to dissolve itself and to surrender power back to Cromwell, who later described the whole episode as </w:t>
      </w:r>
      <w:r w:rsidR="00565574" w:rsidRPr="00601EE7">
        <w:rPr>
          <w:rFonts w:ascii="Garamond" w:hAnsi="Garamond"/>
          <w:sz w:val="22"/>
          <w:szCs w:val="22"/>
        </w:rPr>
        <w:t>‘</w:t>
      </w:r>
      <w:r w:rsidR="00FB2555" w:rsidRPr="00601EE7">
        <w:rPr>
          <w:rFonts w:ascii="Garamond" w:hAnsi="Garamond"/>
          <w:sz w:val="22"/>
          <w:szCs w:val="22"/>
        </w:rPr>
        <w:t>a story of my own weakness and folly</w:t>
      </w:r>
      <w:r w:rsidR="00565574" w:rsidRPr="00601EE7">
        <w:rPr>
          <w:rFonts w:ascii="Garamond" w:hAnsi="Garamond"/>
          <w:sz w:val="22"/>
          <w:szCs w:val="22"/>
        </w:rPr>
        <w:t>’</w:t>
      </w:r>
      <w:r w:rsidR="00FB2555" w:rsidRPr="00601EE7">
        <w:rPr>
          <w:rFonts w:ascii="Garamond" w:hAnsi="Garamond"/>
          <w:sz w:val="22"/>
          <w:szCs w:val="22"/>
        </w:rPr>
        <w:t>.</w:t>
      </w:r>
      <w:r w:rsidR="00564CD2" w:rsidRPr="00601EE7">
        <w:rPr>
          <w:rStyle w:val="EndnoteReference"/>
          <w:rFonts w:ascii="Garamond" w:hAnsi="Garamond"/>
          <w:sz w:val="22"/>
          <w:szCs w:val="22"/>
        </w:rPr>
        <w:endnoteReference w:id="9"/>
      </w:r>
      <w:r w:rsidRPr="00601EE7">
        <w:rPr>
          <w:rFonts w:ascii="Garamond" w:hAnsi="Garamond"/>
          <w:sz w:val="22"/>
          <w:szCs w:val="22"/>
        </w:rPr>
        <w:t xml:space="preserve">   </w:t>
      </w:r>
    </w:p>
    <w:p w:rsidR="008557A1" w:rsidRPr="00601EE7" w:rsidRDefault="008557A1" w:rsidP="00601EE7">
      <w:pPr>
        <w:rPr>
          <w:rFonts w:ascii="Garamond" w:hAnsi="Garamond"/>
          <w:b/>
          <w:sz w:val="22"/>
          <w:szCs w:val="22"/>
        </w:rPr>
      </w:pPr>
    </w:p>
    <w:p w:rsidR="006E4B0D" w:rsidRPr="00601EE7" w:rsidRDefault="006E4B0D" w:rsidP="00601EE7">
      <w:pPr>
        <w:rPr>
          <w:rFonts w:ascii="Garamond" w:hAnsi="Garamond"/>
          <w:sz w:val="22"/>
          <w:szCs w:val="22"/>
        </w:rPr>
      </w:pPr>
      <w:r w:rsidRPr="00601EE7">
        <w:rPr>
          <w:rFonts w:ascii="Garamond" w:hAnsi="Garamond"/>
          <w:sz w:val="22"/>
          <w:szCs w:val="22"/>
        </w:rPr>
        <w:t>At this point, Cromwell turned to another of his Army colleagues, Major-General John Lambert, who had been working for several weeks on a written constitution called the Instrument of Government.  This constitution made Cromwell Lord Protector, and provided for government ‘by a single person and a Parliament’.</w:t>
      </w:r>
      <w:r w:rsidRPr="00601EE7">
        <w:rPr>
          <w:rStyle w:val="EndnoteReference"/>
          <w:rFonts w:ascii="Garamond" w:hAnsi="Garamond"/>
          <w:sz w:val="22"/>
          <w:szCs w:val="22"/>
        </w:rPr>
        <w:endnoteReference w:id="10"/>
      </w:r>
      <w:r w:rsidR="00415189" w:rsidRPr="00601EE7">
        <w:rPr>
          <w:rFonts w:ascii="Garamond" w:hAnsi="Garamond"/>
          <w:sz w:val="22"/>
          <w:szCs w:val="22"/>
        </w:rPr>
        <w:t xml:space="preserve">  </w:t>
      </w:r>
      <w:r w:rsidR="0005667E" w:rsidRPr="00601EE7">
        <w:rPr>
          <w:rFonts w:ascii="Garamond" w:hAnsi="Garamond"/>
          <w:sz w:val="22"/>
          <w:szCs w:val="22"/>
        </w:rPr>
        <w:t xml:space="preserve">Parliaments were to be elected triennially and to sit for a minimum of five </w:t>
      </w:r>
      <w:r w:rsidR="007A4DDF" w:rsidRPr="00601EE7">
        <w:rPr>
          <w:rFonts w:ascii="Garamond" w:hAnsi="Garamond"/>
          <w:sz w:val="22"/>
          <w:szCs w:val="22"/>
        </w:rPr>
        <w:t>months. M</w:t>
      </w:r>
      <w:r w:rsidR="0005667E" w:rsidRPr="00601EE7">
        <w:rPr>
          <w:rFonts w:ascii="Garamond" w:hAnsi="Garamond"/>
          <w:sz w:val="22"/>
          <w:szCs w:val="22"/>
        </w:rPr>
        <w:t>embers had to be ‘persons of known integrity, fearing God, and of good conversation’.</w:t>
      </w:r>
      <w:r w:rsidR="007A4DDF" w:rsidRPr="00601EE7">
        <w:rPr>
          <w:rStyle w:val="EndnoteReference"/>
          <w:rFonts w:ascii="Garamond" w:hAnsi="Garamond"/>
          <w:sz w:val="22"/>
          <w:szCs w:val="22"/>
        </w:rPr>
        <w:endnoteReference w:id="11"/>
      </w:r>
      <w:r w:rsidR="003E2D98" w:rsidRPr="00601EE7">
        <w:rPr>
          <w:rFonts w:ascii="Garamond" w:hAnsi="Garamond"/>
          <w:sz w:val="22"/>
          <w:szCs w:val="22"/>
        </w:rPr>
        <w:t xml:space="preserve">  T</w:t>
      </w:r>
      <w:r w:rsidR="0005667E" w:rsidRPr="00601EE7">
        <w:rPr>
          <w:rFonts w:ascii="Garamond" w:hAnsi="Garamond"/>
          <w:sz w:val="22"/>
          <w:szCs w:val="22"/>
        </w:rPr>
        <w:t xml:space="preserve">he </w:t>
      </w:r>
      <w:r w:rsidR="003E2D98" w:rsidRPr="00601EE7">
        <w:rPr>
          <w:rFonts w:ascii="Garamond" w:hAnsi="Garamond"/>
          <w:sz w:val="22"/>
          <w:szCs w:val="22"/>
        </w:rPr>
        <w:t xml:space="preserve">Lord </w:t>
      </w:r>
      <w:r w:rsidR="0005667E" w:rsidRPr="00601EE7">
        <w:rPr>
          <w:rFonts w:ascii="Garamond" w:hAnsi="Garamond"/>
          <w:sz w:val="22"/>
          <w:szCs w:val="22"/>
        </w:rPr>
        <w:t xml:space="preserve">Protector and the Council were empowered to exclude any whom they believed to fail this test.  </w:t>
      </w:r>
      <w:r w:rsidR="00415189" w:rsidRPr="00601EE7">
        <w:rPr>
          <w:rFonts w:ascii="Garamond" w:hAnsi="Garamond"/>
          <w:sz w:val="22"/>
          <w:szCs w:val="22"/>
        </w:rPr>
        <w:t>T</w:t>
      </w:r>
      <w:r w:rsidR="00902A71" w:rsidRPr="00601EE7">
        <w:rPr>
          <w:rFonts w:ascii="Garamond" w:hAnsi="Garamond"/>
          <w:sz w:val="22"/>
          <w:szCs w:val="22"/>
        </w:rPr>
        <w:t xml:space="preserve">he new constitution thus </w:t>
      </w:r>
      <w:r w:rsidR="0015441F" w:rsidRPr="00601EE7">
        <w:rPr>
          <w:rFonts w:ascii="Garamond" w:hAnsi="Garamond"/>
          <w:sz w:val="22"/>
          <w:szCs w:val="22"/>
        </w:rPr>
        <w:t>placed considerable</w:t>
      </w:r>
      <w:r w:rsidR="00FE553C" w:rsidRPr="00601EE7">
        <w:rPr>
          <w:rFonts w:ascii="Garamond" w:hAnsi="Garamond"/>
          <w:sz w:val="22"/>
          <w:szCs w:val="22"/>
        </w:rPr>
        <w:t xml:space="preserve"> weight</w:t>
      </w:r>
      <w:r w:rsidR="00902A71" w:rsidRPr="00601EE7">
        <w:rPr>
          <w:rFonts w:ascii="Garamond" w:hAnsi="Garamond"/>
          <w:sz w:val="22"/>
          <w:szCs w:val="22"/>
        </w:rPr>
        <w:t xml:space="preserve"> on the relationship betwee</w:t>
      </w:r>
      <w:r w:rsidR="00DC716A" w:rsidRPr="00601EE7">
        <w:rPr>
          <w:rFonts w:ascii="Garamond" w:hAnsi="Garamond"/>
          <w:sz w:val="22"/>
          <w:szCs w:val="22"/>
        </w:rPr>
        <w:t>n Cromwell and Parliaments</w:t>
      </w:r>
      <w:r w:rsidR="00790CC4" w:rsidRPr="00601EE7">
        <w:rPr>
          <w:rFonts w:ascii="Garamond" w:hAnsi="Garamond"/>
          <w:sz w:val="22"/>
          <w:szCs w:val="22"/>
        </w:rPr>
        <w:t>.  T</w:t>
      </w:r>
      <w:r w:rsidR="00902A71" w:rsidRPr="00601EE7">
        <w:rPr>
          <w:rFonts w:ascii="Garamond" w:hAnsi="Garamond"/>
          <w:sz w:val="22"/>
          <w:szCs w:val="22"/>
        </w:rPr>
        <w:t>hat relationship continued to be problemati</w:t>
      </w:r>
      <w:r w:rsidR="00DC716A" w:rsidRPr="00601EE7">
        <w:rPr>
          <w:rFonts w:ascii="Garamond" w:hAnsi="Garamond"/>
          <w:sz w:val="22"/>
          <w:szCs w:val="22"/>
        </w:rPr>
        <w:t xml:space="preserve">c, </w:t>
      </w:r>
      <w:r w:rsidR="00790CC4" w:rsidRPr="00601EE7">
        <w:rPr>
          <w:rFonts w:ascii="Garamond" w:hAnsi="Garamond"/>
          <w:sz w:val="22"/>
          <w:szCs w:val="22"/>
        </w:rPr>
        <w:t xml:space="preserve">however, </w:t>
      </w:r>
      <w:r w:rsidR="00DC716A" w:rsidRPr="00601EE7">
        <w:rPr>
          <w:rFonts w:ascii="Garamond" w:hAnsi="Garamond"/>
          <w:sz w:val="22"/>
          <w:szCs w:val="22"/>
        </w:rPr>
        <w:t>and b</w:t>
      </w:r>
      <w:r w:rsidR="00F56376" w:rsidRPr="00601EE7">
        <w:rPr>
          <w:rFonts w:ascii="Garamond" w:hAnsi="Garamond"/>
          <w:sz w:val="22"/>
          <w:szCs w:val="22"/>
        </w:rPr>
        <w:t>efo</w:t>
      </w:r>
      <w:r w:rsidR="002956AD" w:rsidRPr="00601EE7">
        <w:rPr>
          <w:rFonts w:ascii="Garamond" w:hAnsi="Garamond"/>
          <w:sz w:val="22"/>
          <w:szCs w:val="22"/>
        </w:rPr>
        <w:t>re long</w:t>
      </w:r>
      <w:r w:rsidR="00DC716A" w:rsidRPr="00601EE7">
        <w:rPr>
          <w:rFonts w:ascii="Garamond" w:hAnsi="Garamond"/>
          <w:sz w:val="22"/>
          <w:szCs w:val="22"/>
        </w:rPr>
        <w:t xml:space="preserve"> the familiar pattern – with </w:t>
      </w:r>
      <w:r w:rsidR="00F56376" w:rsidRPr="00601EE7">
        <w:rPr>
          <w:rFonts w:ascii="Garamond" w:hAnsi="Garamond"/>
          <w:sz w:val="22"/>
          <w:szCs w:val="22"/>
        </w:rPr>
        <w:t>Cromwell’</w:t>
      </w:r>
      <w:r w:rsidR="00790CC4" w:rsidRPr="00601EE7">
        <w:rPr>
          <w:rFonts w:ascii="Garamond" w:hAnsi="Garamond"/>
          <w:sz w:val="22"/>
          <w:szCs w:val="22"/>
        </w:rPr>
        <w:t>s initial</w:t>
      </w:r>
      <w:r w:rsidR="00F56376" w:rsidRPr="00601EE7">
        <w:rPr>
          <w:rFonts w:ascii="Garamond" w:hAnsi="Garamond"/>
          <w:sz w:val="22"/>
          <w:szCs w:val="22"/>
        </w:rPr>
        <w:t xml:space="preserve"> high hopes </w:t>
      </w:r>
      <w:r w:rsidR="00E807D1" w:rsidRPr="00601EE7">
        <w:rPr>
          <w:rFonts w:ascii="Garamond" w:hAnsi="Garamond"/>
          <w:sz w:val="22"/>
          <w:szCs w:val="22"/>
        </w:rPr>
        <w:t xml:space="preserve">of </w:t>
      </w:r>
      <w:r w:rsidR="00790CC4" w:rsidRPr="00601EE7">
        <w:rPr>
          <w:rFonts w:ascii="Garamond" w:hAnsi="Garamond"/>
          <w:sz w:val="22"/>
          <w:szCs w:val="22"/>
        </w:rPr>
        <w:t>a Parliament</w:t>
      </w:r>
      <w:r w:rsidR="00E807D1" w:rsidRPr="00601EE7">
        <w:rPr>
          <w:rFonts w:ascii="Garamond" w:hAnsi="Garamond"/>
          <w:sz w:val="22"/>
          <w:szCs w:val="22"/>
        </w:rPr>
        <w:t xml:space="preserve"> </w:t>
      </w:r>
      <w:r w:rsidR="00F56376" w:rsidRPr="00601EE7">
        <w:rPr>
          <w:rFonts w:ascii="Garamond" w:hAnsi="Garamond"/>
          <w:sz w:val="22"/>
          <w:szCs w:val="22"/>
        </w:rPr>
        <w:t>g</w:t>
      </w:r>
      <w:r w:rsidR="00DC716A" w:rsidRPr="00601EE7">
        <w:rPr>
          <w:rFonts w:ascii="Garamond" w:hAnsi="Garamond"/>
          <w:sz w:val="22"/>
          <w:szCs w:val="22"/>
        </w:rPr>
        <w:t>iving</w:t>
      </w:r>
      <w:r w:rsidR="00F56376" w:rsidRPr="00601EE7">
        <w:rPr>
          <w:rFonts w:ascii="Garamond" w:hAnsi="Garamond"/>
          <w:sz w:val="22"/>
          <w:szCs w:val="22"/>
        </w:rPr>
        <w:t xml:space="preserve"> way to frustration and disappointment </w:t>
      </w:r>
      <w:r w:rsidR="00DC716A" w:rsidRPr="00601EE7">
        <w:rPr>
          <w:rFonts w:ascii="Garamond" w:hAnsi="Garamond"/>
          <w:sz w:val="22"/>
          <w:szCs w:val="22"/>
        </w:rPr>
        <w:t xml:space="preserve">– </w:t>
      </w:r>
      <w:r w:rsidR="00F56376" w:rsidRPr="00601EE7">
        <w:rPr>
          <w:rFonts w:ascii="Garamond" w:hAnsi="Garamond"/>
          <w:sz w:val="22"/>
          <w:szCs w:val="22"/>
        </w:rPr>
        <w:t>re-established itself.</w:t>
      </w:r>
      <w:r w:rsidR="00F529A2" w:rsidRPr="00601EE7">
        <w:rPr>
          <w:rStyle w:val="EndnoteReference"/>
          <w:rFonts w:ascii="Garamond" w:hAnsi="Garamond"/>
          <w:sz w:val="22"/>
          <w:szCs w:val="22"/>
        </w:rPr>
        <w:endnoteReference w:id="12"/>
      </w:r>
    </w:p>
    <w:p w:rsidR="00A62C44" w:rsidRPr="00601EE7" w:rsidRDefault="00A62C44" w:rsidP="00601EE7">
      <w:pPr>
        <w:rPr>
          <w:rFonts w:ascii="Garamond" w:hAnsi="Garamond"/>
          <w:sz w:val="22"/>
          <w:szCs w:val="22"/>
        </w:rPr>
      </w:pPr>
    </w:p>
    <w:p w:rsidR="00934737" w:rsidRPr="00601EE7" w:rsidRDefault="00902A71" w:rsidP="00601EE7">
      <w:pPr>
        <w:rPr>
          <w:rFonts w:ascii="Garamond" w:hAnsi="Garamond"/>
          <w:sz w:val="22"/>
          <w:szCs w:val="22"/>
        </w:rPr>
      </w:pPr>
      <w:r w:rsidRPr="00601EE7">
        <w:rPr>
          <w:rFonts w:ascii="Garamond" w:hAnsi="Garamond"/>
          <w:sz w:val="22"/>
          <w:szCs w:val="22"/>
        </w:rPr>
        <w:t>Once a</w:t>
      </w:r>
      <w:r w:rsidR="008557A1" w:rsidRPr="00601EE7">
        <w:rPr>
          <w:rFonts w:ascii="Garamond" w:hAnsi="Garamond"/>
          <w:sz w:val="22"/>
          <w:szCs w:val="22"/>
        </w:rPr>
        <w:t xml:space="preserve">gain, </w:t>
      </w:r>
      <w:r w:rsidRPr="00601EE7">
        <w:rPr>
          <w:rFonts w:ascii="Garamond" w:hAnsi="Garamond"/>
          <w:sz w:val="22"/>
          <w:szCs w:val="22"/>
        </w:rPr>
        <w:t xml:space="preserve">Cromwell displayed </w:t>
      </w:r>
      <w:r w:rsidR="008557A1" w:rsidRPr="00601EE7">
        <w:rPr>
          <w:rFonts w:ascii="Garamond" w:hAnsi="Garamond"/>
          <w:sz w:val="22"/>
          <w:szCs w:val="22"/>
        </w:rPr>
        <w:t>a visionary optimism</w:t>
      </w:r>
      <w:r w:rsidRPr="00601EE7">
        <w:rPr>
          <w:rFonts w:ascii="Garamond" w:hAnsi="Garamond"/>
          <w:sz w:val="22"/>
          <w:szCs w:val="22"/>
        </w:rPr>
        <w:t xml:space="preserve"> when he opened</w:t>
      </w:r>
      <w:r w:rsidR="006E4B0D" w:rsidRPr="00601EE7">
        <w:rPr>
          <w:rFonts w:ascii="Garamond" w:hAnsi="Garamond"/>
          <w:sz w:val="22"/>
          <w:szCs w:val="22"/>
        </w:rPr>
        <w:t xml:space="preserve"> the first </w:t>
      </w:r>
      <w:r w:rsidRPr="00601EE7">
        <w:rPr>
          <w:rFonts w:ascii="Garamond" w:hAnsi="Garamond"/>
          <w:sz w:val="22"/>
          <w:szCs w:val="22"/>
        </w:rPr>
        <w:t>Protectorate Parliamen</w:t>
      </w:r>
      <w:r w:rsidR="0004538B" w:rsidRPr="00601EE7">
        <w:rPr>
          <w:rFonts w:ascii="Garamond" w:hAnsi="Garamond"/>
          <w:sz w:val="22"/>
          <w:szCs w:val="22"/>
        </w:rPr>
        <w:t xml:space="preserve">t </w:t>
      </w:r>
      <w:r w:rsidR="006E4B0D" w:rsidRPr="00601EE7">
        <w:rPr>
          <w:rFonts w:ascii="Garamond" w:hAnsi="Garamond"/>
          <w:sz w:val="22"/>
          <w:szCs w:val="22"/>
        </w:rPr>
        <w:t xml:space="preserve">on </w:t>
      </w:r>
      <w:r w:rsidR="00934737" w:rsidRPr="00601EE7">
        <w:rPr>
          <w:rFonts w:ascii="Garamond" w:hAnsi="Garamond"/>
          <w:sz w:val="22"/>
          <w:szCs w:val="22"/>
        </w:rPr>
        <w:t>4 September 1654.  He told members</w:t>
      </w:r>
      <w:r w:rsidR="006C0E54" w:rsidRPr="00601EE7">
        <w:rPr>
          <w:rFonts w:ascii="Garamond" w:hAnsi="Garamond"/>
          <w:sz w:val="22"/>
          <w:szCs w:val="22"/>
        </w:rPr>
        <w:t>:</w:t>
      </w:r>
    </w:p>
    <w:p w:rsidR="008557A1" w:rsidRPr="00601EE7" w:rsidRDefault="008557A1" w:rsidP="00601EE7">
      <w:pPr>
        <w:ind w:left="720"/>
        <w:rPr>
          <w:rFonts w:ascii="Garamond" w:hAnsi="Garamond"/>
          <w:sz w:val="22"/>
          <w:szCs w:val="22"/>
        </w:rPr>
      </w:pPr>
      <w:r w:rsidRPr="00601EE7">
        <w:rPr>
          <w:rFonts w:ascii="Garamond" w:hAnsi="Garamond"/>
          <w:sz w:val="22"/>
          <w:szCs w:val="22"/>
        </w:rPr>
        <w:t>You are met here on the greatest occasion that, I believe, England ever saw; having upon your shoulders the interests of three great nations with the territories belonging to them; and truly, I believe I may say it without any hyperbole, you have upon your shoulders the interest of all the Christian people in the world … It</w:t>
      </w:r>
      <w:r w:rsidR="00565574" w:rsidRPr="00601EE7">
        <w:rPr>
          <w:rFonts w:ascii="Garamond" w:hAnsi="Garamond"/>
          <w:sz w:val="22"/>
          <w:szCs w:val="22"/>
        </w:rPr>
        <w:t>’</w:t>
      </w:r>
      <w:r w:rsidRPr="00601EE7">
        <w:rPr>
          <w:rFonts w:ascii="Garamond" w:hAnsi="Garamond"/>
          <w:sz w:val="22"/>
          <w:szCs w:val="22"/>
        </w:rPr>
        <w:t>s one of the great ends of calling this Parliament that this ship of the Commonwealth may be brought into a safe harbour; which, I assure you, it will not well be, without your counsel and advice.</w:t>
      </w:r>
      <w:r w:rsidRPr="00601EE7">
        <w:rPr>
          <w:rStyle w:val="EndnoteReference"/>
          <w:rFonts w:ascii="Garamond" w:hAnsi="Garamond"/>
          <w:sz w:val="22"/>
          <w:szCs w:val="22"/>
        </w:rPr>
        <w:endnoteReference w:id="13"/>
      </w:r>
    </w:p>
    <w:p w:rsidR="008557A1" w:rsidRPr="00601EE7" w:rsidRDefault="006C0E54" w:rsidP="00601EE7">
      <w:pPr>
        <w:pStyle w:val="BodyTextIndent"/>
        <w:spacing w:line="240" w:lineRule="auto"/>
        <w:ind w:left="0"/>
        <w:rPr>
          <w:rFonts w:ascii="Garamond" w:hAnsi="Garamond"/>
          <w:sz w:val="22"/>
          <w:szCs w:val="22"/>
        </w:rPr>
      </w:pPr>
      <w:r w:rsidRPr="00601EE7">
        <w:rPr>
          <w:rFonts w:ascii="Garamond" w:hAnsi="Garamond"/>
          <w:sz w:val="22"/>
          <w:szCs w:val="22"/>
        </w:rPr>
        <w:t xml:space="preserve">Unfortunately, things went wrong almost from the beginning.  </w:t>
      </w:r>
      <w:r w:rsidR="00C42855" w:rsidRPr="00601EE7">
        <w:rPr>
          <w:rFonts w:ascii="Garamond" w:hAnsi="Garamond"/>
          <w:sz w:val="22"/>
          <w:szCs w:val="22"/>
        </w:rPr>
        <w:t>Members immediately began tinkering with the Instrument of Goverment, anxious especially to define the powers of the Protector and his Council more precisely, to reinforce the position of Parliament, and to restrain Cromwell’</w:t>
      </w:r>
      <w:r w:rsidR="00A62C44" w:rsidRPr="00601EE7">
        <w:rPr>
          <w:rFonts w:ascii="Garamond" w:hAnsi="Garamond"/>
          <w:sz w:val="22"/>
          <w:szCs w:val="22"/>
        </w:rPr>
        <w:t>s desire to extend</w:t>
      </w:r>
      <w:r w:rsidR="00C42855" w:rsidRPr="00601EE7">
        <w:rPr>
          <w:rFonts w:ascii="Garamond" w:hAnsi="Garamond"/>
          <w:sz w:val="22"/>
          <w:szCs w:val="22"/>
        </w:rPr>
        <w:t xml:space="preserve"> liberty of conscience.  </w:t>
      </w:r>
      <w:r w:rsidR="00596556" w:rsidRPr="00601EE7">
        <w:rPr>
          <w:rFonts w:ascii="Garamond" w:hAnsi="Garamond"/>
          <w:sz w:val="22"/>
          <w:szCs w:val="22"/>
        </w:rPr>
        <w:t>The latter was a particularly contentious point, for Cromwell cared pas</w:t>
      </w:r>
      <w:r w:rsidR="0099612D" w:rsidRPr="00601EE7">
        <w:rPr>
          <w:rFonts w:ascii="Garamond" w:hAnsi="Garamond"/>
          <w:sz w:val="22"/>
          <w:szCs w:val="22"/>
        </w:rPr>
        <w:t xml:space="preserve">sionately about it and </w:t>
      </w:r>
      <w:r w:rsidR="00596556" w:rsidRPr="00601EE7">
        <w:rPr>
          <w:rFonts w:ascii="Garamond" w:hAnsi="Garamond"/>
          <w:sz w:val="22"/>
          <w:szCs w:val="22"/>
        </w:rPr>
        <w:t xml:space="preserve">included it as one of the four ‘fundamentals’ which </w:t>
      </w:r>
      <w:r w:rsidR="003D576F" w:rsidRPr="00601EE7">
        <w:rPr>
          <w:rFonts w:ascii="Garamond" w:hAnsi="Garamond"/>
          <w:sz w:val="22"/>
          <w:szCs w:val="22"/>
        </w:rPr>
        <w:t xml:space="preserve">he required members to accept on 12 September 1654 as a condition of their continuing to sit in Parliament.  </w:t>
      </w:r>
      <w:r w:rsidR="007A076B" w:rsidRPr="00601EE7">
        <w:rPr>
          <w:rFonts w:ascii="Garamond" w:hAnsi="Garamond"/>
          <w:sz w:val="22"/>
          <w:szCs w:val="22"/>
        </w:rPr>
        <w:t>As he told them that day:</w:t>
      </w:r>
      <w:r w:rsidRPr="00601EE7">
        <w:rPr>
          <w:rFonts w:ascii="Garamond" w:hAnsi="Garamond"/>
          <w:sz w:val="22"/>
          <w:szCs w:val="22"/>
        </w:rPr>
        <w:t xml:space="preserve"> </w:t>
      </w:r>
    </w:p>
    <w:p w:rsidR="008557A1" w:rsidRPr="00601EE7" w:rsidRDefault="008557A1" w:rsidP="00601EE7">
      <w:pPr>
        <w:ind w:left="720"/>
        <w:rPr>
          <w:rFonts w:ascii="Garamond" w:hAnsi="Garamond"/>
          <w:sz w:val="22"/>
          <w:szCs w:val="22"/>
        </w:rPr>
      </w:pPr>
      <w:r w:rsidRPr="00601EE7">
        <w:rPr>
          <w:rFonts w:ascii="Garamond" w:hAnsi="Garamond"/>
          <w:sz w:val="22"/>
          <w:szCs w:val="22"/>
        </w:rPr>
        <w:lastRenderedPageBreak/>
        <w:t>Liberty of conscience is a natural right; and he that would have it ought to give it, having liberty to settle what he likes for the public.  Indeed, that hath been one of the vanities of our contest.  Every sect saith, Oh! Give me liberty.  But give him it, and to his power he will not yield it to anybody else.  Where is our ingenuousness?  Liberty of conscience – truly that</w:t>
      </w:r>
      <w:r w:rsidR="00565574" w:rsidRPr="00601EE7">
        <w:rPr>
          <w:rFonts w:ascii="Garamond" w:hAnsi="Garamond"/>
          <w:sz w:val="22"/>
          <w:szCs w:val="22"/>
        </w:rPr>
        <w:t>’</w:t>
      </w:r>
      <w:r w:rsidRPr="00601EE7">
        <w:rPr>
          <w:rFonts w:ascii="Garamond" w:hAnsi="Garamond"/>
          <w:sz w:val="22"/>
          <w:szCs w:val="22"/>
        </w:rPr>
        <w:t>s a thing ought to be very reciprocal.</w:t>
      </w:r>
      <w:r w:rsidRPr="00601EE7">
        <w:rPr>
          <w:rStyle w:val="EndnoteReference"/>
          <w:rFonts w:ascii="Garamond" w:hAnsi="Garamond"/>
          <w:sz w:val="22"/>
          <w:szCs w:val="22"/>
        </w:rPr>
        <w:endnoteReference w:id="14"/>
      </w:r>
    </w:p>
    <w:p w:rsidR="008557A1" w:rsidRPr="00601EE7" w:rsidRDefault="007A076B" w:rsidP="00601EE7">
      <w:pPr>
        <w:rPr>
          <w:rFonts w:ascii="Garamond" w:hAnsi="Garamond"/>
          <w:sz w:val="22"/>
          <w:szCs w:val="22"/>
        </w:rPr>
      </w:pPr>
      <w:r w:rsidRPr="00601EE7">
        <w:rPr>
          <w:rFonts w:ascii="Garamond" w:hAnsi="Garamond"/>
          <w:sz w:val="22"/>
          <w:szCs w:val="22"/>
        </w:rPr>
        <w:t xml:space="preserve">Yet many of the members, especially those of a Presbyterian persuasion, </w:t>
      </w:r>
      <w:r w:rsidR="00FE75F3" w:rsidRPr="00601EE7">
        <w:rPr>
          <w:rFonts w:ascii="Garamond" w:hAnsi="Garamond"/>
          <w:sz w:val="22"/>
          <w:szCs w:val="22"/>
        </w:rPr>
        <w:t>believed this to be</w:t>
      </w:r>
      <w:r w:rsidR="00E807D1" w:rsidRPr="00601EE7">
        <w:rPr>
          <w:rFonts w:ascii="Garamond" w:hAnsi="Garamond"/>
          <w:sz w:val="22"/>
          <w:szCs w:val="22"/>
        </w:rPr>
        <w:t xml:space="preserve"> a very dangerous principle which</w:t>
      </w:r>
      <w:r w:rsidR="00FE75F3" w:rsidRPr="00601EE7">
        <w:rPr>
          <w:rFonts w:ascii="Garamond" w:hAnsi="Garamond"/>
          <w:sz w:val="22"/>
          <w:szCs w:val="22"/>
        </w:rPr>
        <w:t xml:space="preserve"> might unlock the spread of ‘damnable heresies’.</w:t>
      </w:r>
      <w:r w:rsidR="00FE75F3" w:rsidRPr="00601EE7">
        <w:rPr>
          <w:rStyle w:val="EndnoteReference"/>
          <w:rFonts w:ascii="Garamond" w:hAnsi="Garamond"/>
          <w:sz w:val="22"/>
          <w:szCs w:val="22"/>
        </w:rPr>
        <w:endnoteReference w:id="15"/>
      </w:r>
      <w:r w:rsidR="00D37051" w:rsidRPr="00601EE7">
        <w:rPr>
          <w:rFonts w:ascii="Garamond" w:hAnsi="Garamond"/>
          <w:sz w:val="22"/>
          <w:szCs w:val="22"/>
        </w:rPr>
        <w:t xml:space="preserve">  On this issue, Cromwell was soon at odds with a significant number of members.</w:t>
      </w:r>
    </w:p>
    <w:p w:rsidR="00D37051" w:rsidRPr="00601EE7" w:rsidRDefault="00D37051" w:rsidP="00601EE7">
      <w:pPr>
        <w:rPr>
          <w:rFonts w:ascii="Garamond" w:hAnsi="Garamond"/>
          <w:sz w:val="22"/>
          <w:szCs w:val="22"/>
        </w:rPr>
      </w:pPr>
    </w:p>
    <w:p w:rsidR="008557A1" w:rsidRPr="00601EE7" w:rsidRDefault="007B7B01" w:rsidP="00601EE7">
      <w:pPr>
        <w:rPr>
          <w:rFonts w:ascii="Garamond" w:hAnsi="Garamond"/>
          <w:sz w:val="22"/>
          <w:szCs w:val="22"/>
        </w:rPr>
      </w:pPr>
      <w:r w:rsidRPr="00601EE7">
        <w:rPr>
          <w:rFonts w:ascii="Garamond" w:hAnsi="Garamond"/>
          <w:sz w:val="22"/>
          <w:szCs w:val="22"/>
        </w:rPr>
        <w:t xml:space="preserve">By the beginning of 1655, Cromwell had had enough and was determined to be rid of the Parliament at the first possible opportunity.  </w:t>
      </w:r>
      <w:r w:rsidR="00CD2831" w:rsidRPr="00601EE7">
        <w:rPr>
          <w:rFonts w:ascii="Garamond" w:hAnsi="Garamond"/>
          <w:sz w:val="22"/>
          <w:szCs w:val="22"/>
        </w:rPr>
        <w:t>The Instrument of Government stipulated that</w:t>
      </w:r>
      <w:r w:rsidR="005A282A" w:rsidRPr="00601EE7">
        <w:rPr>
          <w:rFonts w:ascii="Garamond" w:hAnsi="Garamond"/>
          <w:sz w:val="22"/>
          <w:szCs w:val="22"/>
        </w:rPr>
        <w:t xml:space="preserve"> Parliaments could not be dissolved, except by their own consent, for at least five months, but it did not specify whether this meant five lunar months or five calendar months.</w:t>
      </w:r>
      <w:r w:rsidR="00A9011E" w:rsidRPr="00601EE7">
        <w:rPr>
          <w:rStyle w:val="EndnoteReference"/>
          <w:rFonts w:ascii="Garamond" w:hAnsi="Garamond"/>
          <w:sz w:val="22"/>
          <w:szCs w:val="22"/>
        </w:rPr>
        <w:endnoteReference w:id="16"/>
      </w:r>
      <w:r w:rsidR="005A282A" w:rsidRPr="00601EE7">
        <w:rPr>
          <w:rFonts w:ascii="Garamond" w:hAnsi="Garamond"/>
          <w:sz w:val="22"/>
          <w:szCs w:val="22"/>
        </w:rPr>
        <w:t xml:space="preserve"> </w:t>
      </w:r>
      <w:r w:rsidR="00966E62" w:rsidRPr="00601EE7">
        <w:rPr>
          <w:rFonts w:ascii="Garamond" w:hAnsi="Garamond"/>
          <w:sz w:val="22"/>
          <w:szCs w:val="22"/>
        </w:rPr>
        <w:t xml:space="preserve"> Cromwell chose to interpret it as the shorter period, and after precisely fine lunar months, on 22 January 1655, he caught members unawares with a snap dissolution.  He denounced them for obstructing the progress of liberty of conscience: ‘</w:t>
      </w:r>
      <w:r w:rsidR="008557A1" w:rsidRPr="00601EE7">
        <w:rPr>
          <w:rFonts w:ascii="Garamond" w:hAnsi="Garamond"/>
          <w:sz w:val="22"/>
          <w:szCs w:val="22"/>
        </w:rPr>
        <w:t>Is there not yet upon the spirits of men a strange itch?  Nothing will satisfy them, unless they can put their finger upon their brethren</w:t>
      </w:r>
      <w:r w:rsidR="00565574" w:rsidRPr="00601EE7">
        <w:rPr>
          <w:rFonts w:ascii="Garamond" w:hAnsi="Garamond"/>
          <w:sz w:val="22"/>
          <w:szCs w:val="22"/>
        </w:rPr>
        <w:t>’</w:t>
      </w:r>
      <w:r w:rsidR="008557A1" w:rsidRPr="00601EE7">
        <w:rPr>
          <w:rFonts w:ascii="Garamond" w:hAnsi="Garamond"/>
          <w:sz w:val="22"/>
          <w:szCs w:val="22"/>
        </w:rPr>
        <w:t>s consciences, to pinch them there … Is it ingenuous to ask liberty, and not to give it?  What greater hypocrisy than for those who were oppressed by the Bishops to become the greatest oppressors themselves so soon as their yoke was removed?</w:t>
      </w:r>
      <w:r w:rsidR="00966E62" w:rsidRPr="00601EE7">
        <w:rPr>
          <w:rFonts w:ascii="Garamond" w:hAnsi="Garamond"/>
          <w:sz w:val="22"/>
          <w:szCs w:val="22"/>
        </w:rPr>
        <w:t>’  He lamented how they had missed opportunities – ‘t</w:t>
      </w:r>
      <w:r w:rsidR="008557A1" w:rsidRPr="00601EE7">
        <w:rPr>
          <w:rFonts w:ascii="Garamond" w:hAnsi="Garamond"/>
          <w:sz w:val="22"/>
          <w:szCs w:val="22"/>
        </w:rPr>
        <w:t>he Lord hath done such things amongst us as have not been known in the world these thousand years, and yet notwi</w:t>
      </w:r>
      <w:r w:rsidR="00966E62" w:rsidRPr="00601EE7">
        <w:rPr>
          <w:rFonts w:ascii="Garamond" w:hAnsi="Garamond"/>
          <w:sz w:val="22"/>
          <w:szCs w:val="22"/>
        </w:rPr>
        <w:t xml:space="preserve">thstanding is not owned by us’ – and </w:t>
      </w:r>
      <w:r w:rsidR="00BE3D59" w:rsidRPr="00601EE7">
        <w:rPr>
          <w:rFonts w:ascii="Garamond" w:hAnsi="Garamond"/>
          <w:sz w:val="22"/>
          <w:szCs w:val="22"/>
        </w:rPr>
        <w:t xml:space="preserve">he </w:t>
      </w:r>
      <w:r w:rsidR="00966E62" w:rsidRPr="00601EE7">
        <w:rPr>
          <w:rFonts w:ascii="Garamond" w:hAnsi="Garamond"/>
          <w:sz w:val="22"/>
          <w:szCs w:val="22"/>
        </w:rPr>
        <w:t>concluded: ‘</w:t>
      </w:r>
      <w:r w:rsidR="008557A1" w:rsidRPr="00601EE7">
        <w:rPr>
          <w:rFonts w:ascii="Garamond" w:hAnsi="Garamond"/>
          <w:sz w:val="22"/>
          <w:szCs w:val="22"/>
        </w:rPr>
        <w:t>I think it my duty to tell you that it is not for the profit of these nations, nor fit for the common and public good, for you to continue here any longer.  And therefore I do declare unto you, that I do dissolve this Parliament.</w:t>
      </w:r>
      <w:r w:rsidR="00966E62" w:rsidRPr="00601EE7">
        <w:rPr>
          <w:rFonts w:ascii="Garamond" w:hAnsi="Garamond"/>
          <w:sz w:val="22"/>
          <w:szCs w:val="22"/>
        </w:rPr>
        <w:t>’</w:t>
      </w:r>
      <w:r w:rsidR="008557A1" w:rsidRPr="00601EE7">
        <w:rPr>
          <w:rStyle w:val="EndnoteReference"/>
          <w:rFonts w:ascii="Garamond" w:hAnsi="Garamond"/>
          <w:sz w:val="22"/>
          <w:szCs w:val="22"/>
        </w:rPr>
        <w:endnoteReference w:id="17"/>
      </w:r>
      <w:r w:rsidR="00DD55F3" w:rsidRPr="00601EE7">
        <w:rPr>
          <w:rFonts w:ascii="Garamond" w:hAnsi="Garamond"/>
          <w:sz w:val="22"/>
          <w:szCs w:val="22"/>
        </w:rPr>
        <w:t xml:space="preserve">  This was Cromwell</w:t>
      </w:r>
      <w:r w:rsidR="00D21672" w:rsidRPr="00601EE7">
        <w:rPr>
          <w:rFonts w:ascii="Garamond" w:hAnsi="Garamond"/>
          <w:sz w:val="22"/>
          <w:szCs w:val="22"/>
        </w:rPr>
        <w:t>ian</w:t>
      </w:r>
      <w:r w:rsidR="00DD55F3" w:rsidRPr="00601EE7">
        <w:rPr>
          <w:rFonts w:ascii="Garamond" w:hAnsi="Garamond"/>
          <w:sz w:val="22"/>
          <w:szCs w:val="22"/>
        </w:rPr>
        <w:t xml:space="preserve"> rhetoric at its most devastating.</w:t>
      </w:r>
    </w:p>
    <w:p w:rsidR="00637D64" w:rsidRPr="00601EE7" w:rsidRDefault="00637D64" w:rsidP="00601EE7">
      <w:pPr>
        <w:rPr>
          <w:rFonts w:ascii="Garamond" w:hAnsi="Garamond"/>
          <w:sz w:val="22"/>
          <w:szCs w:val="22"/>
        </w:rPr>
      </w:pPr>
    </w:p>
    <w:p w:rsidR="001A4019" w:rsidRPr="00601EE7" w:rsidRDefault="001C7C91" w:rsidP="00601EE7">
      <w:pPr>
        <w:rPr>
          <w:rFonts w:ascii="Garamond" w:hAnsi="Garamond"/>
          <w:sz w:val="22"/>
          <w:szCs w:val="22"/>
        </w:rPr>
      </w:pPr>
      <w:r w:rsidRPr="00601EE7">
        <w:rPr>
          <w:rFonts w:ascii="Garamond" w:hAnsi="Garamond"/>
          <w:sz w:val="22"/>
          <w:szCs w:val="22"/>
        </w:rPr>
        <w:t xml:space="preserve">The first half of 1655 was a particularly difficult time for Cromwell.  The dissolution of the first Protectorate Parliament was followed in March by a Royalist rising, Penruddock’s rebellion, in </w:t>
      </w:r>
      <w:r w:rsidR="00D22EA2" w:rsidRPr="00601EE7">
        <w:rPr>
          <w:rFonts w:ascii="Garamond" w:hAnsi="Garamond"/>
          <w:sz w:val="22"/>
          <w:szCs w:val="22"/>
        </w:rPr>
        <w:t>Wiltshire</w:t>
      </w:r>
      <w:r w:rsidRPr="00601EE7">
        <w:rPr>
          <w:rFonts w:ascii="Garamond" w:hAnsi="Garamond"/>
          <w:sz w:val="22"/>
          <w:szCs w:val="22"/>
        </w:rPr>
        <w:t xml:space="preserve">, and then in </w:t>
      </w:r>
      <w:r w:rsidR="002E049C" w:rsidRPr="00601EE7">
        <w:rPr>
          <w:rFonts w:ascii="Garamond" w:hAnsi="Garamond"/>
          <w:sz w:val="22"/>
          <w:szCs w:val="22"/>
        </w:rPr>
        <w:t xml:space="preserve">the early summer by severe setbacks in the Western Design, Cromwell’s campaign against Spanish power in the Caribbean.  Faced with what he saw as </w:t>
      </w:r>
      <w:r w:rsidR="00E71999" w:rsidRPr="00601EE7">
        <w:rPr>
          <w:rFonts w:ascii="Garamond" w:hAnsi="Garamond"/>
          <w:sz w:val="22"/>
          <w:szCs w:val="22"/>
        </w:rPr>
        <w:t xml:space="preserve">these </w:t>
      </w:r>
      <w:r w:rsidR="002E049C" w:rsidRPr="00601EE7">
        <w:rPr>
          <w:rFonts w:ascii="Garamond" w:hAnsi="Garamond"/>
          <w:sz w:val="22"/>
          <w:szCs w:val="22"/>
        </w:rPr>
        <w:t>‘</w:t>
      </w:r>
      <w:r w:rsidR="00E71999" w:rsidRPr="00601EE7">
        <w:rPr>
          <w:rFonts w:ascii="Garamond" w:hAnsi="Garamond"/>
          <w:sz w:val="22"/>
          <w:szCs w:val="22"/>
        </w:rPr>
        <w:t xml:space="preserve">late </w:t>
      </w:r>
      <w:r w:rsidR="002E049C" w:rsidRPr="00601EE7">
        <w:rPr>
          <w:rFonts w:ascii="Garamond" w:hAnsi="Garamond"/>
          <w:sz w:val="22"/>
          <w:szCs w:val="22"/>
        </w:rPr>
        <w:t>rebukes’ from God,</w:t>
      </w:r>
      <w:r w:rsidR="00E71999" w:rsidRPr="00601EE7">
        <w:rPr>
          <w:rStyle w:val="EndnoteReference"/>
          <w:rFonts w:ascii="Garamond" w:hAnsi="Garamond"/>
          <w:sz w:val="22"/>
          <w:szCs w:val="22"/>
        </w:rPr>
        <w:endnoteReference w:id="18"/>
      </w:r>
      <w:r w:rsidR="002E049C" w:rsidRPr="00601EE7">
        <w:rPr>
          <w:rFonts w:ascii="Garamond" w:hAnsi="Garamond"/>
          <w:sz w:val="22"/>
          <w:szCs w:val="22"/>
        </w:rPr>
        <w:t xml:space="preserve"> Cromwell determined to embark on a more authoritarian solution and to impose </w:t>
      </w:r>
      <w:r w:rsidR="007F4CB5" w:rsidRPr="00601EE7">
        <w:rPr>
          <w:rFonts w:ascii="Garamond" w:hAnsi="Garamond"/>
          <w:sz w:val="22"/>
          <w:szCs w:val="22"/>
        </w:rPr>
        <w:t xml:space="preserve">what he called </w:t>
      </w:r>
      <w:r w:rsidR="002E049C" w:rsidRPr="00601EE7">
        <w:rPr>
          <w:rFonts w:ascii="Garamond" w:hAnsi="Garamond"/>
          <w:sz w:val="22"/>
          <w:szCs w:val="22"/>
        </w:rPr>
        <w:t>a ‘reformation of manners’ by military rule.</w:t>
      </w:r>
      <w:r w:rsidR="001A4019" w:rsidRPr="00601EE7">
        <w:rPr>
          <w:rStyle w:val="EndnoteReference"/>
          <w:rFonts w:ascii="Garamond" w:hAnsi="Garamond"/>
          <w:sz w:val="22"/>
          <w:szCs w:val="22"/>
        </w:rPr>
        <w:endnoteReference w:id="19"/>
      </w:r>
      <w:r w:rsidR="002E049C" w:rsidRPr="00601EE7">
        <w:rPr>
          <w:rFonts w:ascii="Garamond" w:hAnsi="Garamond"/>
          <w:sz w:val="22"/>
          <w:szCs w:val="22"/>
        </w:rPr>
        <w:t xml:space="preserve">  In the </w:t>
      </w:r>
      <w:r w:rsidR="001A4019" w:rsidRPr="00601EE7">
        <w:rPr>
          <w:rFonts w:ascii="Garamond" w:hAnsi="Garamond"/>
          <w:sz w:val="22"/>
          <w:szCs w:val="22"/>
        </w:rPr>
        <w:t xml:space="preserve">late summer and </w:t>
      </w:r>
      <w:r w:rsidR="002E049C" w:rsidRPr="00601EE7">
        <w:rPr>
          <w:rFonts w:ascii="Garamond" w:hAnsi="Garamond"/>
          <w:sz w:val="22"/>
          <w:szCs w:val="22"/>
        </w:rPr>
        <w:t xml:space="preserve">autumn of 1655, England and Wales were divided into regions, each ruled by a Major-General who was </w:t>
      </w:r>
      <w:r w:rsidR="001A4019" w:rsidRPr="00601EE7">
        <w:rPr>
          <w:rFonts w:ascii="Garamond" w:hAnsi="Garamond"/>
          <w:sz w:val="22"/>
          <w:szCs w:val="22"/>
        </w:rPr>
        <w:t>instructed to ‘</w:t>
      </w:r>
      <w:r w:rsidR="008557A1" w:rsidRPr="00601EE7">
        <w:rPr>
          <w:rFonts w:ascii="Garamond" w:hAnsi="Garamond"/>
          <w:sz w:val="22"/>
          <w:szCs w:val="22"/>
        </w:rPr>
        <w:t>encourage and promote godliness and virtue, and discourage and discountenance all profaneness and ungodli</w:t>
      </w:r>
      <w:r w:rsidR="004C2AE6" w:rsidRPr="00601EE7">
        <w:rPr>
          <w:rFonts w:ascii="Garamond" w:hAnsi="Garamond"/>
          <w:sz w:val="22"/>
          <w:szCs w:val="22"/>
        </w:rPr>
        <w:t>ness</w:t>
      </w:r>
      <w:r w:rsidR="001A4019" w:rsidRPr="00601EE7">
        <w:rPr>
          <w:rFonts w:ascii="Garamond" w:hAnsi="Garamond"/>
          <w:sz w:val="22"/>
          <w:szCs w:val="22"/>
        </w:rPr>
        <w:t>’ and ‘</w:t>
      </w:r>
      <w:r w:rsidR="008557A1" w:rsidRPr="00601EE7">
        <w:rPr>
          <w:rFonts w:ascii="Garamond" w:hAnsi="Garamond"/>
          <w:sz w:val="22"/>
          <w:szCs w:val="22"/>
        </w:rPr>
        <w:t>to enforce the laws against drunkenness, blaspheming and taking of the name of God in vain, by swearing and cursing, plays and interludes, and profaning the Lord</w:t>
      </w:r>
      <w:r w:rsidR="00565574" w:rsidRPr="00601EE7">
        <w:rPr>
          <w:rFonts w:ascii="Garamond" w:hAnsi="Garamond"/>
          <w:sz w:val="22"/>
          <w:szCs w:val="22"/>
        </w:rPr>
        <w:t>’</w:t>
      </w:r>
      <w:r w:rsidR="008557A1" w:rsidRPr="00601EE7">
        <w:rPr>
          <w:rFonts w:ascii="Garamond" w:hAnsi="Garamond"/>
          <w:sz w:val="22"/>
          <w:szCs w:val="22"/>
        </w:rPr>
        <w:t>s Day, and such-like wickedness and abominations.</w:t>
      </w:r>
      <w:r w:rsidR="001A4019" w:rsidRPr="00601EE7">
        <w:rPr>
          <w:rFonts w:ascii="Garamond" w:hAnsi="Garamond"/>
          <w:sz w:val="22"/>
          <w:szCs w:val="22"/>
        </w:rPr>
        <w:t>’</w:t>
      </w:r>
      <w:r w:rsidR="008557A1" w:rsidRPr="00601EE7">
        <w:rPr>
          <w:rStyle w:val="EndnoteReference"/>
          <w:rFonts w:ascii="Garamond" w:hAnsi="Garamond"/>
          <w:sz w:val="22"/>
          <w:szCs w:val="22"/>
        </w:rPr>
        <w:endnoteReference w:id="20"/>
      </w:r>
      <w:r w:rsidR="001A4019" w:rsidRPr="00601EE7">
        <w:rPr>
          <w:rFonts w:ascii="Garamond" w:hAnsi="Garamond"/>
          <w:sz w:val="22"/>
          <w:szCs w:val="22"/>
        </w:rPr>
        <w:t xml:space="preserve">  This was the Cromwell who </w:t>
      </w:r>
      <w:r w:rsidR="00027488" w:rsidRPr="00601EE7">
        <w:rPr>
          <w:rFonts w:ascii="Garamond" w:hAnsi="Garamond"/>
          <w:sz w:val="22"/>
          <w:szCs w:val="22"/>
        </w:rPr>
        <w:t>wished to rule, as he had said</w:t>
      </w:r>
      <w:r w:rsidR="001A4019" w:rsidRPr="00601EE7">
        <w:rPr>
          <w:rFonts w:ascii="Garamond" w:hAnsi="Garamond"/>
          <w:sz w:val="22"/>
          <w:szCs w:val="22"/>
        </w:rPr>
        <w:t xml:space="preserve"> back in </w:t>
      </w:r>
      <w:r w:rsidR="00260999" w:rsidRPr="00601EE7">
        <w:rPr>
          <w:rFonts w:ascii="Garamond" w:hAnsi="Garamond"/>
          <w:sz w:val="22"/>
          <w:szCs w:val="22"/>
        </w:rPr>
        <w:t xml:space="preserve">July </w:t>
      </w:r>
      <w:r w:rsidR="001A4019" w:rsidRPr="00601EE7">
        <w:rPr>
          <w:rFonts w:ascii="Garamond" w:hAnsi="Garamond"/>
          <w:sz w:val="22"/>
          <w:szCs w:val="22"/>
        </w:rPr>
        <w:t xml:space="preserve">1647, for the people’s </w:t>
      </w:r>
      <w:r w:rsidR="00027488" w:rsidRPr="00601EE7">
        <w:rPr>
          <w:rFonts w:ascii="Garamond" w:hAnsi="Garamond"/>
          <w:sz w:val="22"/>
          <w:szCs w:val="22"/>
        </w:rPr>
        <w:t>‘</w:t>
      </w:r>
      <w:r w:rsidR="001A4019" w:rsidRPr="00601EE7">
        <w:rPr>
          <w:rFonts w:ascii="Garamond" w:hAnsi="Garamond"/>
          <w:sz w:val="22"/>
          <w:szCs w:val="22"/>
        </w:rPr>
        <w:t>good, not what pleases them’.</w:t>
      </w:r>
      <w:r w:rsidR="001A4019" w:rsidRPr="00601EE7">
        <w:rPr>
          <w:rStyle w:val="EndnoteReference"/>
          <w:rFonts w:ascii="Garamond" w:hAnsi="Garamond"/>
          <w:sz w:val="22"/>
          <w:szCs w:val="22"/>
        </w:rPr>
        <w:endnoteReference w:id="21"/>
      </w:r>
    </w:p>
    <w:p w:rsidR="001A4019" w:rsidRPr="00601EE7" w:rsidRDefault="001A4019" w:rsidP="00601EE7">
      <w:pPr>
        <w:rPr>
          <w:rFonts w:ascii="Garamond" w:hAnsi="Garamond"/>
          <w:sz w:val="22"/>
          <w:szCs w:val="22"/>
        </w:rPr>
      </w:pPr>
    </w:p>
    <w:p w:rsidR="00A75FBF" w:rsidRPr="00601EE7" w:rsidRDefault="008C4757" w:rsidP="00601EE7">
      <w:pPr>
        <w:rPr>
          <w:rFonts w:ascii="Garamond" w:hAnsi="Garamond"/>
          <w:sz w:val="22"/>
          <w:szCs w:val="22"/>
        </w:rPr>
      </w:pPr>
      <w:r w:rsidRPr="00601EE7">
        <w:rPr>
          <w:rFonts w:ascii="Garamond" w:hAnsi="Garamond"/>
          <w:sz w:val="22"/>
          <w:szCs w:val="22"/>
        </w:rPr>
        <w:t>The success of the Major-Generals’ drive for a ‘reformation of manners’ was patchy at best, and there was considerable resentment of this attempt at military rule and the Decimation Tax on former Royalists that was used to fund it.</w:t>
      </w:r>
      <w:r w:rsidR="007A16BB" w:rsidRPr="00601EE7">
        <w:rPr>
          <w:rStyle w:val="EndnoteReference"/>
          <w:rFonts w:ascii="Garamond" w:hAnsi="Garamond"/>
          <w:sz w:val="22"/>
          <w:szCs w:val="22"/>
        </w:rPr>
        <w:endnoteReference w:id="22"/>
      </w:r>
      <w:r w:rsidRPr="00601EE7">
        <w:rPr>
          <w:rFonts w:ascii="Garamond" w:hAnsi="Garamond"/>
          <w:sz w:val="22"/>
          <w:szCs w:val="22"/>
        </w:rPr>
        <w:t xml:space="preserve">  </w:t>
      </w:r>
      <w:r w:rsidR="00F92D7A" w:rsidRPr="00601EE7">
        <w:rPr>
          <w:rFonts w:ascii="Garamond" w:hAnsi="Garamond"/>
          <w:sz w:val="22"/>
          <w:szCs w:val="22"/>
        </w:rPr>
        <w:t>When the costs of his campaigns against Spain forced Cromwell</w:t>
      </w:r>
      <w:r w:rsidR="003A0323" w:rsidRPr="00601EE7">
        <w:rPr>
          <w:rFonts w:ascii="Garamond" w:hAnsi="Garamond"/>
          <w:sz w:val="22"/>
          <w:szCs w:val="22"/>
        </w:rPr>
        <w:t xml:space="preserve"> to call a second Protectorate Parliament</w:t>
      </w:r>
      <w:r w:rsidR="00AA6922" w:rsidRPr="00601EE7">
        <w:rPr>
          <w:rFonts w:ascii="Garamond" w:hAnsi="Garamond"/>
          <w:sz w:val="22"/>
          <w:szCs w:val="22"/>
        </w:rPr>
        <w:t xml:space="preserve"> in the summer of 1656</w:t>
      </w:r>
      <w:r w:rsidR="003A0323" w:rsidRPr="00601EE7">
        <w:rPr>
          <w:rFonts w:ascii="Garamond" w:hAnsi="Garamond"/>
          <w:sz w:val="22"/>
          <w:szCs w:val="22"/>
        </w:rPr>
        <w:t>, the</w:t>
      </w:r>
      <w:r w:rsidR="006B7572" w:rsidRPr="00601EE7">
        <w:rPr>
          <w:rFonts w:ascii="Garamond" w:hAnsi="Garamond"/>
          <w:sz w:val="22"/>
          <w:szCs w:val="22"/>
        </w:rPr>
        <w:t xml:space="preserve"> elections </w:t>
      </w:r>
      <w:r w:rsidR="003A0323" w:rsidRPr="00601EE7">
        <w:rPr>
          <w:rFonts w:ascii="Garamond" w:hAnsi="Garamond"/>
          <w:sz w:val="22"/>
          <w:szCs w:val="22"/>
        </w:rPr>
        <w:t xml:space="preserve">were </w:t>
      </w:r>
      <w:r w:rsidR="00BF69D1" w:rsidRPr="00601EE7">
        <w:rPr>
          <w:rFonts w:ascii="Garamond" w:hAnsi="Garamond"/>
          <w:sz w:val="22"/>
          <w:szCs w:val="22"/>
        </w:rPr>
        <w:t>dominated by cries of ‘no swordsmen! No decimators!’</w:t>
      </w:r>
      <w:r w:rsidR="006B7572" w:rsidRPr="00601EE7">
        <w:rPr>
          <w:rFonts w:ascii="Garamond" w:hAnsi="Garamond"/>
          <w:sz w:val="22"/>
          <w:szCs w:val="22"/>
        </w:rPr>
        <w:t xml:space="preserve">  The Parliament met amidst growing concerns that Cromwell was b</w:t>
      </w:r>
      <w:r w:rsidR="004A53BD" w:rsidRPr="00601EE7">
        <w:rPr>
          <w:rFonts w:ascii="Garamond" w:hAnsi="Garamond"/>
          <w:sz w:val="22"/>
          <w:szCs w:val="22"/>
        </w:rPr>
        <w:t>ecoming more authoritarian</w:t>
      </w:r>
      <w:r w:rsidR="00D82CC8" w:rsidRPr="00601EE7">
        <w:rPr>
          <w:rFonts w:ascii="Garamond" w:hAnsi="Garamond"/>
          <w:sz w:val="22"/>
          <w:szCs w:val="22"/>
        </w:rPr>
        <w:t>.  Before it assembled, h</w:t>
      </w:r>
      <w:r w:rsidR="004A53BD" w:rsidRPr="00601EE7">
        <w:rPr>
          <w:rFonts w:ascii="Garamond" w:hAnsi="Garamond"/>
          <w:sz w:val="22"/>
          <w:szCs w:val="22"/>
        </w:rPr>
        <w:t>e and the C</w:t>
      </w:r>
      <w:r w:rsidR="00F05501" w:rsidRPr="00601EE7">
        <w:rPr>
          <w:rFonts w:ascii="Garamond" w:hAnsi="Garamond"/>
          <w:sz w:val="22"/>
          <w:szCs w:val="22"/>
        </w:rPr>
        <w:t>ouncil excluded just over a hundred</w:t>
      </w:r>
      <w:r w:rsidR="00D82CC8" w:rsidRPr="00601EE7">
        <w:rPr>
          <w:rFonts w:ascii="Garamond" w:hAnsi="Garamond"/>
          <w:sz w:val="22"/>
          <w:szCs w:val="22"/>
        </w:rPr>
        <w:t xml:space="preserve"> elected members who were thought to be</w:t>
      </w:r>
      <w:r w:rsidR="004A53BD" w:rsidRPr="00601EE7">
        <w:rPr>
          <w:rFonts w:ascii="Garamond" w:hAnsi="Garamond"/>
          <w:sz w:val="22"/>
          <w:szCs w:val="22"/>
        </w:rPr>
        <w:t xml:space="preserve"> hostile to the Protectorate</w:t>
      </w:r>
      <w:r w:rsidR="00F93526" w:rsidRPr="00601EE7">
        <w:rPr>
          <w:rFonts w:ascii="Garamond" w:hAnsi="Garamond"/>
          <w:sz w:val="22"/>
          <w:szCs w:val="22"/>
        </w:rPr>
        <w:t xml:space="preserve"> and to the Major-Generals</w:t>
      </w:r>
      <w:r w:rsidR="004A53BD" w:rsidRPr="00601EE7">
        <w:rPr>
          <w:rFonts w:ascii="Garamond" w:hAnsi="Garamond"/>
          <w:sz w:val="22"/>
          <w:szCs w:val="22"/>
        </w:rPr>
        <w:t>.</w:t>
      </w:r>
      <w:r w:rsidR="0018170B" w:rsidRPr="00601EE7">
        <w:rPr>
          <w:rStyle w:val="EndnoteReference"/>
          <w:rFonts w:ascii="Garamond" w:hAnsi="Garamond"/>
          <w:sz w:val="22"/>
          <w:szCs w:val="22"/>
        </w:rPr>
        <w:endnoteReference w:id="23"/>
      </w:r>
      <w:r w:rsidR="004A53BD" w:rsidRPr="00601EE7">
        <w:rPr>
          <w:rFonts w:ascii="Garamond" w:hAnsi="Garamond"/>
          <w:sz w:val="22"/>
          <w:szCs w:val="22"/>
        </w:rPr>
        <w:t xml:space="preserve">  Members’</w:t>
      </w:r>
      <w:r w:rsidR="006B7572" w:rsidRPr="00601EE7">
        <w:rPr>
          <w:rFonts w:ascii="Garamond" w:hAnsi="Garamond"/>
          <w:sz w:val="22"/>
          <w:szCs w:val="22"/>
        </w:rPr>
        <w:t xml:space="preserve"> fears </w:t>
      </w:r>
      <w:r w:rsidR="004A53BD" w:rsidRPr="00601EE7">
        <w:rPr>
          <w:rFonts w:ascii="Garamond" w:hAnsi="Garamond"/>
          <w:sz w:val="22"/>
          <w:szCs w:val="22"/>
        </w:rPr>
        <w:t xml:space="preserve">of the open-ended nature of Cromwell’s powers </w:t>
      </w:r>
      <w:r w:rsidR="006B7572" w:rsidRPr="00601EE7">
        <w:rPr>
          <w:rFonts w:ascii="Garamond" w:hAnsi="Garamond"/>
          <w:sz w:val="22"/>
          <w:szCs w:val="22"/>
        </w:rPr>
        <w:t>were only reinforced by the views that he expressed regardin</w:t>
      </w:r>
      <w:r w:rsidR="004A53BD" w:rsidRPr="00601EE7">
        <w:rPr>
          <w:rFonts w:ascii="Garamond" w:hAnsi="Garamond"/>
          <w:sz w:val="22"/>
          <w:szCs w:val="22"/>
        </w:rPr>
        <w:t>g the rule of law.  In his opening speech</w:t>
      </w:r>
      <w:r w:rsidR="006B7572" w:rsidRPr="00601EE7">
        <w:rPr>
          <w:rFonts w:ascii="Garamond" w:hAnsi="Garamond"/>
          <w:sz w:val="22"/>
          <w:szCs w:val="22"/>
        </w:rPr>
        <w:t xml:space="preserve"> on 17 September 1656</w:t>
      </w:r>
      <w:r w:rsidR="004A53BD" w:rsidRPr="00601EE7">
        <w:rPr>
          <w:rFonts w:ascii="Garamond" w:hAnsi="Garamond"/>
          <w:sz w:val="22"/>
          <w:szCs w:val="22"/>
        </w:rPr>
        <w:t xml:space="preserve"> he declared</w:t>
      </w:r>
      <w:r w:rsidR="006B7572" w:rsidRPr="00601EE7">
        <w:rPr>
          <w:rFonts w:ascii="Garamond" w:hAnsi="Garamond"/>
          <w:sz w:val="22"/>
          <w:szCs w:val="22"/>
        </w:rPr>
        <w:t>: ‘</w:t>
      </w:r>
      <w:r w:rsidR="008557A1" w:rsidRPr="00601EE7">
        <w:rPr>
          <w:rFonts w:ascii="Garamond" w:hAnsi="Garamond"/>
          <w:sz w:val="22"/>
          <w:szCs w:val="22"/>
        </w:rPr>
        <w:t>If nothing should ever be done but what is according to law, the throat of the nation may be cut while we send for some to make a law.  Therefore certainly it is a pitiful beastly notion to think that though it be for ordinary government to live by law and rule, yet … if a government in extraordinary circumstances go beyond the law even for self-preservation, it is yet to be clamoured at and blottered at.</w:t>
      </w:r>
      <w:r w:rsidR="006B7572" w:rsidRPr="00601EE7">
        <w:rPr>
          <w:rFonts w:ascii="Garamond" w:hAnsi="Garamond"/>
          <w:sz w:val="22"/>
          <w:szCs w:val="22"/>
        </w:rPr>
        <w:t>’</w:t>
      </w:r>
      <w:r w:rsidR="008557A1" w:rsidRPr="00601EE7">
        <w:rPr>
          <w:rStyle w:val="EndnoteReference"/>
          <w:rFonts w:ascii="Garamond" w:hAnsi="Garamond"/>
          <w:sz w:val="22"/>
          <w:szCs w:val="22"/>
        </w:rPr>
        <w:endnoteReference w:id="24"/>
      </w:r>
      <w:r w:rsidR="00A75FBF" w:rsidRPr="00601EE7">
        <w:rPr>
          <w:rFonts w:ascii="Garamond" w:hAnsi="Garamond"/>
          <w:sz w:val="22"/>
          <w:szCs w:val="22"/>
        </w:rPr>
        <w:t xml:space="preserve">  Comments such as this led a growing number of civilian politicians – many of them lawyers like Bulstrode Whitelocke – to feel that Cromwell’s powers needed to be regulated more precisely.  </w:t>
      </w:r>
      <w:r w:rsidR="00A75FBF" w:rsidRPr="00601EE7">
        <w:rPr>
          <w:rFonts w:ascii="Garamond" w:hAnsi="Garamond"/>
          <w:sz w:val="22"/>
          <w:szCs w:val="22"/>
        </w:rPr>
        <w:lastRenderedPageBreak/>
        <w:t>This was th</w:t>
      </w:r>
      <w:r w:rsidR="00596738" w:rsidRPr="00601EE7">
        <w:rPr>
          <w:rFonts w:ascii="Garamond" w:hAnsi="Garamond"/>
          <w:sz w:val="22"/>
          <w:szCs w:val="22"/>
        </w:rPr>
        <w:t>e political context that prompte</w:t>
      </w:r>
      <w:r w:rsidR="00A75FBF" w:rsidRPr="00601EE7">
        <w:rPr>
          <w:rFonts w:ascii="Garamond" w:hAnsi="Garamond"/>
          <w:sz w:val="22"/>
          <w:szCs w:val="22"/>
        </w:rPr>
        <w:t xml:space="preserve">d the </w:t>
      </w:r>
      <w:r w:rsidR="00A26B63" w:rsidRPr="00601EE7">
        <w:rPr>
          <w:rFonts w:ascii="Garamond" w:hAnsi="Garamond"/>
          <w:sz w:val="22"/>
          <w:szCs w:val="22"/>
        </w:rPr>
        <w:t xml:space="preserve">second Protectorate </w:t>
      </w:r>
      <w:r w:rsidR="00A75FBF" w:rsidRPr="00601EE7">
        <w:rPr>
          <w:rFonts w:ascii="Garamond" w:hAnsi="Garamond"/>
          <w:sz w:val="22"/>
          <w:szCs w:val="22"/>
        </w:rPr>
        <w:t>Parliament’s offer of the kings</w:t>
      </w:r>
      <w:r w:rsidR="00A26B63" w:rsidRPr="00601EE7">
        <w:rPr>
          <w:rFonts w:ascii="Garamond" w:hAnsi="Garamond"/>
          <w:sz w:val="22"/>
          <w:szCs w:val="22"/>
        </w:rPr>
        <w:t>hip to Cromwell</w:t>
      </w:r>
      <w:r w:rsidR="00A75FBF" w:rsidRPr="00601EE7">
        <w:rPr>
          <w:rFonts w:ascii="Garamond" w:hAnsi="Garamond"/>
          <w:sz w:val="22"/>
          <w:szCs w:val="22"/>
        </w:rPr>
        <w:t>.</w:t>
      </w:r>
    </w:p>
    <w:p w:rsidR="00A75FBF" w:rsidRPr="00601EE7" w:rsidRDefault="00A75FBF" w:rsidP="00601EE7">
      <w:pPr>
        <w:rPr>
          <w:rFonts w:ascii="Garamond" w:hAnsi="Garamond"/>
          <w:sz w:val="22"/>
          <w:szCs w:val="22"/>
        </w:rPr>
      </w:pPr>
    </w:p>
    <w:p w:rsidR="008D66BF" w:rsidRPr="00601EE7" w:rsidRDefault="00A75FBF" w:rsidP="00601EE7">
      <w:pPr>
        <w:rPr>
          <w:rFonts w:ascii="Garamond" w:hAnsi="Garamond"/>
          <w:sz w:val="22"/>
          <w:szCs w:val="22"/>
        </w:rPr>
      </w:pPr>
      <w:r w:rsidRPr="00601EE7">
        <w:rPr>
          <w:rFonts w:ascii="Garamond" w:hAnsi="Garamond"/>
          <w:sz w:val="22"/>
          <w:szCs w:val="22"/>
        </w:rPr>
        <w:t xml:space="preserve">It was, perhaps, the supreme irony of Cromwell’s career that he who had been so prominent in Parliament’s campaigns against Charles I, and who had been the third signatory on the King’s death warrant, should himself be offered the kingship.  </w:t>
      </w:r>
      <w:r w:rsidR="000D1D41" w:rsidRPr="00601EE7">
        <w:rPr>
          <w:rFonts w:ascii="Garamond" w:hAnsi="Garamond"/>
          <w:sz w:val="22"/>
          <w:szCs w:val="22"/>
        </w:rPr>
        <w:t>Yet Cromwell was never really a committed republican, and his hostility towards Charles I had always been much stronger than his ho</w:t>
      </w:r>
      <w:r w:rsidR="00D6510A" w:rsidRPr="00601EE7">
        <w:rPr>
          <w:rFonts w:ascii="Garamond" w:hAnsi="Garamond"/>
          <w:sz w:val="22"/>
          <w:szCs w:val="22"/>
        </w:rPr>
        <w:t xml:space="preserve">stility towards </w:t>
      </w:r>
      <w:r w:rsidR="00531BED" w:rsidRPr="00601EE7">
        <w:rPr>
          <w:rFonts w:ascii="Garamond" w:hAnsi="Garamond"/>
          <w:sz w:val="22"/>
          <w:szCs w:val="22"/>
        </w:rPr>
        <w:t xml:space="preserve">the </w:t>
      </w:r>
      <w:r w:rsidR="00D6510A" w:rsidRPr="00601EE7">
        <w:rPr>
          <w:rFonts w:ascii="Garamond" w:hAnsi="Garamond"/>
          <w:sz w:val="22"/>
          <w:szCs w:val="22"/>
        </w:rPr>
        <w:t>monarchy itself</w:t>
      </w:r>
      <w:r w:rsidR="000D1D41" w:rsidRPr="00601EE7">
        <w:rPr>
          <w:rFonts w:ascii="Garamond" w:hAnsi="Garamond"/>
          <w:sz w:val="22"/>
          <w:szCs w:val="22"/>
        </w:rPr>
        <w:t xml:space="preserve">.  </w:t>
      </w:r>
      <w:r w:rsidR="008C4381" w:rsidRPr="00601EE7">
        <w:rPr>
          <w:rFonts w:ascii="Garamond" w:hAnsi="Garamond"/>
          <w:sz w:val="22"/>
          <w:szCs w:val="22"/>
        </w:rPr>
        <w:t>As</w:t>
      </w:r>
      <w:r w:rsidR="00A26B63" w:rsidRPr="00601EE7">
        <w:rPr>
          <w:rFonts w:ascii="Garamond" w:hAnsi="Garamond"/>
          <w:sz w:val="22"/>
          <w:szCs w:val="22"/>
        </w:rPr>
        <w:t xml:space="preserve"> early as November 1652, Cromwell had asked Whitelocke: ‘What if a man should take upon him to be king?’</w:t>
      </w:r>
      <w:r w:rsidR="00C80744" w:rsidRPr="00601EE7">
        <w:rPr>
          <w:rStyle w:val="EndnoteReference"/>
          <w:rFonts w:ascii="Garamond" w:hAnsi="Garamond"/>
          <w:sz w:val="22"/>
          <w:szCs w:val="22"/>
        </w:rPr>
        <w:endnoteReference w:id="25"/>
      </w:r>
      <w:r w:rsidR="00A26B63" w:rsidRPr="00601EE7">
        <w:rPr>
          <w:rFonts w:ascii="Garamond" w:hAnsi="Garamond"/>
          <w:sz w:val="22"/>
          <w:szCs w:val="22"/>
        </w:rPr>
        <w:t xml:space="preserve">  </w:t>
      </w:r>
      <w:r w:rsidR="0050037B" w:rsidRPr="00601EE7">
        <w:rPr>
          <w:rFonts w:ascii="Garamond" w:hAnsi="Garamond"/>
          <w:sz w:val="22"/>
          <w:szCs w:val="22"/>
        </w:rPr>
        <w:t xml:space="preserve">When it came, </w:t>
      </w:r>
      <w:r w:rsidR="00A26B63" w:rsidRPr="00601EE7">
        <w:rPr>
          <w:rFonts w:ascii="Garamond" w:hAnsi="Garamond"/>
          <w:sz w:val="22"/>
          <w:szCs w:val="22"/>
        </w:rPr>
        <w:t xml:space="preserve">in February 1657, </w:t>
      </w:r>
      <w:r w:rsidR="0050037B" w:rsidRPr="00601EE7">
        <w:rPr>
          <w:rFonts w:ascii="Garamond" w:hAnsi="Garamond"/>
          <w:sz w:val="22"/>
          <w:szCs w:val="22"/>
        </w:rPr>
        <w:t>Parliament’s offer of the kingship placed Cromwell in a very difficult dilemma which it took him over two months to resolve.</w:t>
      </w:r>
    </w:p>
    <w:p w:rsidR="008D66BF" w:rsidRPr="00601EE7" w:rsidRDefault="008D66BF" w:rsidP="00601EE7">
      <w:pPr>
        <w:rPr>
          <w:rFonts w:ascii="Garamond" w:hAnsi="Garamond"/>
          <w:sz w:val="22"/>
          <w:szCs w:val="22"/>
        </w:rPr>
      </w:pPr>
    </w:p>
    <w:p w:rsidR="008557A1" w:rsidRPr="00601EE7" w:rsidRDefault="008D66BF" w:rsidP="00601EE7">
      <w:pPr>
        <w:rPr>
          <w:rFonts w:ascii="Garamond" w:hAnsi="Garamond"/>
          <w:sz w:val="22"/>
          <w:szCs w:val="22"/>
        </w:rPr>
      </w:pPr>
      <w:r w:rsidRPr="00601EE7">
        <w:rPr>
          <w:rFonts w:ascii="Garamond" w:hAnsi="Garamond"/>
          <w:sz w:val="22"/>
          <w:szCs w:val="22"/>
        </w:rPr>
        <w:t xml:space="preserve">That dilemma reflected the tensions between civilian politicians and Army leaders than ran throughout the Interregnum and that bedevilled the republic’s attempts to generate political stability.  </w:t>
      </w:r>
      <w:r w:rsidR="00F00677" w:rsidRPr="00601EE7">
        <w:rPr>
          <w:rFonts w:ascii="Garamond" w:hAnsi="Garamond"/>
          <w:sz w:val="22"/>
          <w:szCs w:val="22"/>
        </w:rPr>
        <w:t xml:space="preserve">In relation to the kingship, civilians such as Whitelocke argued that it would place the regime on a secure constitutional footing and provide for the future succession.  </w:t>
      </w:r>
      <w:r w:rsidR="00CA7630" w:rsidRPr="00601EE7">
        <w:rPr>
          <w:rFonts w:ascii="Garamond" w:hAnsi="Garamond"/>
          <w:sz w:val="22"/>
          <w:szCs w:val="22"/>
        </w:rPr>
        <w:t>Against this, Cromwell’s Army colleagues were virtua</w:t>
      </w:r>
      <w:r w:rsidR="00F44224" w:rsidRPr="00601EE7">
        <w:rPr>
          <w:rFonts w:ascii="Garamond" w:hAnsi="Garamond"/>
          <w:sz w:val="22"/>
          <w:szCs w:val="22"/>
        </w:rPr>
        <w:t>lly unanimous in urging him</w:t>
      </w:r>
      <w:r w:rsidR="00CA7630" w:rsidRPr="00601EE7">
        <w:rPr>
          <w:rFonts w:ascii="Garamond" w:hAnsi="Garamond"/>
          <w:sz w:val="22"/>
          <w:szCs w:val="22"/>
        </w:rPr>
        <w:t xml:space="preserve"> to reject the offer, arguing that for him to become King would be to betray the cause for which they had fought, and for which so many of their comrades in arms had died or been maimed.  </w:t>
      </w:r>
      <w:r w:rsidR="00F57E66" w:rsidRPr="00601EE7">
        <w:rPr>
          <w:rFonts w:ascii="Garamond" w:hAnsi="Garamond"/>
          <w:sz w:val="22"/>
          <w:szCs w:val="22"/>
        </w:rPr>
        <w:t xml:space="preserve">In the end, it was this view that prevailed.  Cromwell bowed to the Army’s wishes, probably not because he feared a mutiny but </w:t>
      </w:r>
      <w:r w:rsidR="00FD56FC" w:rsidRPr="00601EE7">
        <w:rPr>
          <w:rFonts w:ascii="Garamond" w:hAnsi="Garamond"/>
          <w:sz w:val="22"/>
          <w:szCs w:val="22"/>
        </w:rPr>
        <w:t xml:space="preserve">more likely </w:t>
      </w:r>
      <w:r w:rsidR="00F57E66" w:rsidRPr="00601EE7">
        <w:rPr>
          <w:rFonts w:ascii="Garamond" w:hAnsi="Garamond"/>
          <w:sz w:val="22"/>
          <w:szCs w:val="22"/>
        </w:rPr>
        <w:t>because he regarded the Army as God’s instrument and interpreted its opposition to the kingship as a providential sign of God’</w:t>
      </w:r>
      <w:r w:rsidR="00A251FB" w:rsidRPr="00601EE7">
        <w:rPr>
          <w:rFonts w:ascii="Garamond" w:hAnsi="Garamond"/>
          <w:sz w:val="22"/>
          <w:szCs w:val="22"/>
        </w:rPr>
        <w:t xml:space="preserve">s opposition.  </w:t>
      </w:r>
      <w:r w:rsidR="008552C3" w:rsidRPr="00601EE7">
        <w:rPr>
          <w:rFonts w:ascii="Garamond" w:hAnsi="Garamond"/>
          <w:sz w:val="22"/>
          <w:szCs w:val="22"/>
        </w:rPr>
        <w:t>As Cromwell declared</w:t>
      </w:r>
      <w:r w:rsidR="006453EF" w:rsidRPr="00601EE7">
        <w:rPr>
          <w:rFonts w:ascii="Garamond" w:hAnsi="Garamond"/>
          <w:sz w:val="22"/>
          <w:szCs w:val="22"/>
        </w:rPr>
        <w:t xml:space="preserve"> on 13 April 1657, </w:t>
      </w:r>
      <w:r w:rsidR="00A251FB" w:rsidRPr="00601EE7">
        <w:rPr>
          <w:rFonts w:ascii="Garamond" w:hAnsi="Garamond"/>
          <w:sz w:val="22"/>
          <w:szCs w:val="22"/>
        </w:rPr>
        <w:t>‘t</w:t>
      </w:r>
      <w:r w:rsidR="008557A1" w:rsidRPr="00601EE7">
        <w:rPr>
          <w:rFonts w:ascii="Garamond" w:hAnsi="Garamond"/>
          <w:sz w:val="22"/>
          <w:szCs w:val="22"/>
        </w:rPr>
        <w:t>ruly the Providence of God hath laid aside this title of King providentially de facto … God hath seemed providentially, seemed to appear as a Providence, not only to strike a</w:t>
      </w:r>
      <w:r w:rsidR="004C2AE6" w:rsidRPr="00601EE7">
        <w:rPr>
          <w:rFonts w:ascii="Garamond" w:hAnsi="Garamond"/>
          <w:sz w:val="22"/>
          <w:szCs w:val="22"/>
        </w:rPr>
        <w:t>t the family but at the name …</w:t>
      </w:r>
      <w:r w:rsidR="008557A1" w:rsidRPr="00601EE7">
        <w:rPr>
          <w:rFonts w:ascii="Garamond" w:hAnsi="Garamond"/>
          <w:sz w:val="22"/>
          <w:szCs w:val="22"/>
        </w:rPr>
        <w:t xml:space="preserve"> God hath seemed so to deal with the persons and with the family th</w:t>
      </w:r>
      <w:r w:rsidR="004C2AE6" w:rsidRPr="00601EE7">
        <w:rPr>
          <w:rFonts w:ascii="Garamond" w:hAnsi="Garamond"/>
          <w:sz w:val="22"/>
          <w:szCs w:val="22"/>
        </w:rPr>
        <w:t>at He blasted the very title …</w:t>
      </w:r>
      <w:r w:rsidR="008557A1" w:rsidRPr="00601EE7">
        <w:rPr>
          <w:rFonts w:ascii="Garamond" w:hAnsi="Garamond"/>
          <w:sz w:val="22"/>
          <w:szCs w:val="22"/>
        </w:rPr>
        <w:t xml:space="preserve"> I will not seek to set up that, that Providence hath destroyed, and laid in the dust; and I would not build Jericho again.</w:t>
      </w:r>
      <w:r w:rsidR="00A251FB" w:rsidRPr="00601EE7">
        <w:rPr>
          <w:rFonts w:ascii="Garamond" w:hAnsi="Garamond"/>
          <w:sz w:val="22"/>
          <w:szCs w:val="22"/>
        </w:rPr>
        <w:t>’</w:t>
      </w:r>
      <w:r w:rsidR="008557A1" w:rsidRPr="00601EE7">
        <w:rPr>
          <w:rStyle w:val="EndnoteReference"/>
          <w:rFonts w:ascii="Garamond" w:hAnsi="Garamond"/>
          <w:sz w:val="22"/>
          <w:szCs w:val="22"/>
        </w:rPr>
        <w:endnoteReference w:id="26"/>
      </w:r>
      <w:r w:rsidR="00461605" w:rsidRPr="00601EE7">
        <w:rPr>
          <w:rFonts w:ascii="Garamond" w:hAnsi="Garamond"/>
          <w:sz w:val="22"/>
          <w:szCs w:val="22"/>
        </w:rPr>
        <w:t xml:space="preserve">  </w:t>
      </w:r>
      <w:r w:rsidR="00934740" w:rsidRPr="00601EE7">
        <w:rPr>
          <w:rFonts w:ascii="Garamond" w:hAnsi="Garamond"/>
          <w:sz w:val="22"/>
          <w:szCs w:val="22"/>
        </w:rPr>
        <w:t>A few weeks later, on 8 May, Cromwell gave his definitive rejection of the kingship and under the terms of a new constitution, the Humble Petition and Advice, he remained Lord Protecto</w:t>
      </w:r>
      <w:r w:rsidR="00F47B8C" w:rsidRPr="00601EE7">
        <w:rPr>
          <w:rFonts w:ascii="Garamond" w:hAnsi="Garamond"/>
          <w:sz w:val="22"/>
          <w:szCs w:val="22"/>
        </w:rPr>
        <w:t>r, an</w:t>
      </w:r>
      <w:r w:rsidR="00934740" w:rsidRPr="00601EE7">
        <w:rPr>
          <w:rFonts w:ascii="Garamond" w:hAnsi="Garamond"/>
          <w:sz w:val="22"/>
          <w:szCs w:val="22"/>
        </w:rPr>
        <w:t xml:space="preserve"> office that he would continue to hold</w:t>
      </w:r>
      <w:r w:rsidR="00461605" w:rsidRPr="00601EE7">
        <w:rPr>
          <w:rFonts w:ascii="Garamond" w:hAnsi="Garamond"/>
          <w:sz w:val="22"/>
          <w:szCs w:val="22"/>
        </w:rPr>
        <w:t xml:space="preserve"> until his death</w:t>
      </w:r>
      <w:r w:rsidR="00934740" w:rsidRPr="00601EE7">
        <w:rPr>
          <w:rFonts w:ascii="Garamond" w:hAnsi="Garamond"/>
          <w:sz w:val="22"/>
          <w:szCs w:val="22"/>
        </w:rPr>
        <w:t xml:space="preserve"> in September the following year</w:t>
      </w:r>
      <w:r w:rsidR="00461605" w:rsidRPr="00601EE7">
        <w:rPr>
          <w:rFonts w:ascii="Garamond" w:hAnsi="Garamond"/>
          <w:sz w:val="22"/>
          <w:szCs w:val="22"/>
        </w:rPr>
        <w:t>.</w:t>
      </w:r>
    </w:p>
    <w:p w:rsidR="00F47B8C" w:rsidRPr="00601EE7" w:rsidRDefault="00F47B8C" w:rsidP="00601EE7">
      <w:pPr>
        <w:rPr>
          <w:rFonts w:ascii="Garamond" w:hAnsi="Garamond"/>
          <w:sz w:val="22"/>
          <w:szCs w:val="22"/>
        </w:rPr>
      </w:pPr>
    </w:p>
    <w:p w:rsidR="00F47B8C" w:rsidRPr="00601EE7" w:rsidRDefault="007932F1" w:rsidP="00601EE7">
      <w:pPr>
        <w:rPr>
          <w:rFonts w:ascii="Garamond" w:hAnsi="Garamond"/>
          <w:sz w:val="22"/>
          <w:szCs w:val="22"/>
        </w:rPr>
      </w:pPr>
      <w:r w:rsidRPr="00601EE7">
        <w:rPr>
          <w:rFonts w:ascii="Garamond" w:hAnsi="Garamond"/>
          <w:sz w:val="22"/>
          <w:szCs w:val="22"/>
        </w:rPr>
        <w:t>Although the bid to make Cromwell king had failed, the framers of the Humble Petition and Advice nevertheless succeeded in limiting Cromwell’</w:t>
      </w:r>
      <w:r w:rsidR="008F07C4" w:rsidRPr="00601EE7">
        <w:rPr>
          <w:rFonts w:ascii="Garamond" w:hAnsi="Garamond"/>
          <w:sz w:val="22"/>
          <w:szCs w:val="22"/>
        </w:rPr>
        <w:t>s powers in certain key</w:t>
      </w:r>
      <w:r w:rsidRPr="00601EE7">
        <w:rPr>
          <w:rFonts w:ascii="Garamond" w:hAnsi="Garamond"/>
          <w:sz w:val="22"/>
          <w:szCs w:val="22"/>
        </w:rPr>
        <w:t xml:space="preserve"> ways.  </w:t>
      </w:r>
      <w:r w:rsidR="00441193" w:rsidRPr="00601EE7">
        <w:rPr>
          <w:rFonts w:ascii="Garamond" w:hAnsi="Garamond"/>
          <w:sz w:val="22"/>
          <w:szCs w:val="22"/>
        </w:rPr>
        <w:t xml:space="preserve">In particular, </w:t>
      </w:r>
      <w:r w:rsidR="0004179D" w:rsidRPr="00601EE7">
        <w:rPr>
          <w:rFonts w:ascii="Garamond" w:hAnsi="Garamond"/>
          <w:sz w:val="22"/>
          <w:szCs w:val="22"/>
        </w:rPr>
        <w:t xml:space="preserve">the Humble Petition stipulated that ‘the ancient and undoubted liberties and privileges of Parliament’ were to ‘be preserved and maintained’, and that ‘those persons who are legally chosen by a free election of the people to serve in Parliament, may not be excluded from sitting in Parliament to do their duties, but by judgment and consent of that House whereof they are members’.  </w:t>
      </w:r>
      <w:r w:rsidR="00A150D7" w:rsidRPr="00601EE7">
        <w:rPr>
          <w:rFonts w:ascii="Garamond" w:hAnsi="Garamond"/>
          <w:sz w:val="22"/>
          <w:szCs w:val="22"/>
        </w:rPr>
        <w:t>With the case of the Quaker James Nayler fresh in people’s minds, t</w:t>
      </w:r>
      <w:r w:rsidR="001248A8" w:rsidRPr="00601EE7">
        <w:rPr>
          <w:rFonts w:ascii="Garamond" w:hAnsi="Garamond"/>
          <w:sz w:val="22"/>
          <w:szCs w:val="22"/>
        </w:rPr>
        <w:t xml:space="preserve">he limits of liberty of conscience were defined more specifically than in the Instrument of Government to spell out that </w:t>
      </w:r>
      <w:r w:rsidR="00A150D7" w:rsidRPr="00601EE7">
        <w:rPr>
          <w:rFonts w:ascii="Garamond" w:hAnsi="Garamond"/>
          <w:sz w:val="22"/>
          <w:szCs w:val="22"/>
        </w:rPr>
        <w:t>it did not extend ‘to popery or prelacy, or to the countenancing such who publish horrible blasphemies, or practise or hold forth licentiousness or profaneness under the profession of Christ’.</w:t>
      </w:r>
      <w:r w:rsidR="00227732" w:rsidRPr="00601EE7">
        <w:rPr>
          <w:rStyle w:val="EndnoteReference"/>
          <w:rFonts w:ascii="Garamond" w:hAnsi="Garamond"/>
          <w:sz w:val="22"/>
          <w:szCs w:val="22"/>
        </w:rPr>
        <w:endnoteReference w:id="27"/>
      </w:r>
      <w:r w:rsidRPr="00601EE7">
        <w:rPr>
          <w:rFonts w:ascii="Garamond" w:hAnsi="Garamond"/>
          <w:sz w:val="22"/>
          <w:szCs w:val="22"/>
        </w:rPr>
        <w:t xml:space="preserve">  </w:t>
      </w:r>
      <w:r w:rsidR="008F07C4" w:rsidRPr="00601EE7">
        <w:rPr>
          <w:rFonts w:ascii="Garamond" w:hAnsi="Garamond"/>
          <w:sz w:val="22"/>
          <w:szCs w:val="22"/>
        </w:rPr>
        <w:t>The old mistrust between Cromwell and a significant number of members over the issue of liberty of conscience still persisted, and this clause was an attempt to satisfy as many different views as possible.</w:t>
      </w:r>
    </w:p>
    <w:p w:rsidR="00991E0D" w:rsidRPr="00601EE7" w:rsidRDefault="00991E0D" w:rsidP="00601EE7">
      <w:pPr>
        <w:rPr>
          <w:rFonts w:ascii="Garamond" w:hAnsi="Garamond"/>
          <w:sz w:val="22"/>
          <w:szCs w:val="22"/>
        </w:rPr>
      </w:pPr>
    </w:p>
    <w:p w:rsidR="008557A1" w:rsidRPr="00601EE7" w:rsidRDefault="008F07C4" w:rsidP="00601EE7">
      <w:pPr>
        <w:rPr>
          <w:rFonts w:ascii="Garamond" w:hAnsi="Garamond"/>
          <w:sz w:val="22"/>
          <w:szCs w:val="22"/>
        </w:rPr>
      </w:pPr>
      <w:r w:rsidRPr="00601EE7">
        <w:rPr>
          <w:rFonts w:ascii="Garamond" w:hAnsi="Garamond"/>
          <w:sz w:val="22"/>
          <w:szCs w:val="22"/>
        </w:rPr>
        <w:t>That mistrust was closely related to what was p</w:t>
      </w:r>
      <w:r w:rsidR="00991E0D" w:rsidRPr="00601EE7">
        <w:rPr>
          <w:rFonts w:ascii="Garamond" w:hAnsi="Garamond"/>
          <w:sz w:val="22"/>
          <w:szCs w:val="22"/>
        </w:rPr>
        <w:t>ossibly the most intractable problem that Cromwell faced in his relations with P</w:t>
      </w:r>
      <w:r w:rsidRPr="00601EE7">
        <w:rPr>
          <w:rFonts w:ascii="Garamond" w:hAnsi="Garamond"/>
          <w:sz w:val="22"/>
          <w:szCs w:val="22"/>
        </w:rPr>
        <w:t>arliaments, namely</w:t>
      </w:r>
      <w:r w:rsidR="00991E0D" w:rsidRPr="00601EE7">
        <w:rPr>
          <w:rFonts w:ascii="Garamond" w:hAnsi="Garamond"/>
          <w:sz w:val="22"/>
          <w:szCs w:val="22"/>
        </w:rPr>
        <w:t xml:space="preserve"> how to reconcile his vision of England as a chosen people – like the people of Israel in the Old Testament </w:t>
      </w:r>
      <w:r w:rsidR="005962B9" w:rsidRPr="00601EE7">
        <w:rPr>
          <w:rFonts w:ascii="Garamond" w:hAnsi="Garamond"/>
          <w:sz w:val="22"/>
          <w:szCs w:val="22"/>
        </w:rPr>
        <w:t>–</w:t>
      </w:r>
      <w:r w:rsidR="00991E0D" w:rsidRPr="00601EE7">
        <w:rPr>
          <w:rFonts w:ascii="Garamond" w:hAnsi="Garamond"/>
          <w:sz w:val="22"/>
          <w:szCs w:val="22"/>
        </w:rPr>
        <w:t xml:space="preserve"> </w:t>
      </w:r>
      <w:r w:rsidR="005962B9" w:rsidRPr="00601EE7">
        <w:rPr>
          <w:rFonts w:ascii="Garamond" w:hAnsi="Garamond"/>
          <w:sz w:val="22"/>
          <w:szCs w:val="22"/>
        </w:rPr>
        <w:t>with the fact that those who enthusiastically embraced his vision remained a godly minority.</w:t>
      </w:r>
      <w:r w:rsidR="00711ADE" w:rsidRPr="00601EE7">
        <w:rPr>
          <w:rFonts w:ascii="Garamond" w:hAnsi="Garamond"/>
          <w:sz w:val="22"/>
          <w:szCs w:val="22"/>
        </w:rPr>
        <w:t xml:space="preserve">  Again and again he confronted this issue, and </w:t>
      </w:r>
      <w:r w:rsidR="00982F78" w:rsidRPr="00601EE7">
        <w:rPr>
          <w:rFonts w:ascii="Garamond" w:hAnsi="Garamond"/>
          <w:sz w:val="22"/>
          <w:szCs w:val="22"/>
        </w:rPr>
        <w:t xml:space="preserve">he </w:t>
      </w:r>
      <w:r w:rsidR="00711ADE" w:rsidRPr="00601EE7">
        <w:rPr>
          <w:rFonts w:ascii="Garamond" w:hAnsi="Garamond"/>
          <w:sz w:val="22"/>
          <w:szCs w:val="22"/>
        </w:rPr>
        <w:t xml:space="preserve">insisted that it was possible to reconcile the interests of the godly and those of the whole nation.  </w:t>
      </w:r>
      <w:r w:rsidR="00445E5A" w:rsidRPr="00601EE7">
        <w:rPr>
          <w:rFonts w:ascii="Garamond" w:hAnsi="Garamond"/>
          <w:sz w:val="22"/>
          <w:szCs w:val="22"/>
        </w:rPr>
        <w:t>He felt that ‘the interest of Christians and the interest of the nation’ were not ‘inconsistent, or two different things’ and he pledged: ‘upon these two interests, if God shall account me worthy, I shall live and die.’</w:t>
      </w:r>
      <w:r w:rsidR="00B0221E" w:rsidRPr="00601EE7">
        <w:rPr>
          <w:rStyle w:val="EndnoteReference"/>
          <w:rFonts w:ascii="Garamond" w:hAnsi="Garamond"/>
          <w:sz w:val="22"/>
          <w:szCs w:val="22"/>
        </w:rPr>
        <w:endnoteReference w:id="28"/>
      </w:r>
      <w:r w:rsidR="00445E5A" w:rsidRPr="00601EE7">
        <w:rPr>
          <w:rFonts w:ascii="Garamond" w:hAnsi="Garamond"/>
          <w:sz w:val="22"/>
          <w:szCs w:val="22"/>
        </w:rPr>
        <w:t xml:space="preserve">  </w:t>
      </w:r>
      <w:r w:rsidR="00490E41" w:rsidRPr="00601EE7">
        <w:rPr>
          <w:rFonts w:ascii="Garamond" w:hAnsi="Garamond"/>
          <w:sz w:val="22"/>
          <w:szCs w:val="22"/>
        </w:rPr>
        <w:t>He hoped that Parliament w</w:t>
      </w:r>
      <w:r w:rsidR="00445E5A" w:rsidRPr="00601EE7">
        <w:rPr>
          <w:rFonts w:ascii="Garamond" w:hAnsi="Garamond"/>
          <w:sz w:val="22"/>
          <w:szCs w:val="22"/>
        </w:rPr>
        <w:t xml:space="preserve">ould play a crucial role in the process of </w:t>
      </w:r>
      <w:r w:rsidR="00490E41" w:rsidRPr="00601EE7">
        <w:rPr>
          <w:rFonts w:ascii="Garamond" w:hAnsi="Garamond"/>
          <w:sz w:val="22"/>
          <w:szCs w:val="22"/>
        </w:rPr>
        <w:t>tyi</w:t>
      </w:r>
      <w:r w:rsidR="00C13CC7" w:rsidRPr="00601EE7">
        <w:rPr>
          <w:rFonts w:ascii="Garamond" w:hAnsi="Garamond"/>
          <w:sz w:val="22"/>
          <w:szCs w:val="22"/>
        </w:rPr>
        <w:t>ng tho</w:t>
      </w:r>
      <w:r w:rsidR="00283E90" w:rsidRPr="00601EE7">
        <w:rPr>
          <w:rFonts w:ascii="Garamond" w:hAnsi="Garamond"/>
          <w:sz w:val="22"/>
          <w:szCs w:val="22"/>
        </w:rPr>
        <w:t xml:space="preserve">se two interests together, and there were times when he </w:t>
      </w:r>
      <w:r w:rsidR="0029346E" w:rsidRPr="00601EE7">
        <w:rPr>
          <w:rFonts w:ascii="Garamond" w:hAnsi="Garamond"/>
          <w:sz w:val="22"/>
          <w:szCs w:val="22"/>
        </w:rPr>
        <w:t>believed</w:t>
      </w:r>
      <w:r w:rsidR="00F71D74" w:rsidRPr="00601EE7">
        <w:rPr>
          <w:rFonts w:ascii="Garamond" w:hAnsi="Garamond"/>
          <w:sz w:val="22"/>
          <w:szCs w:val="22"/>
        </w:rPr>
        <w:t xml:space="preserve"> they were succeeding</w:t>
      </w:r>
      <w:r w:rsidR="00283E90" w:rsidRPr="00601EE7">
        <w:rPr>
          <w:rFonts w:ascii="Garamond" w:hAnsi="Garamond"/>
          <w:sz w:val="22"/>
          <w:szCs w:val="22"/>
        </w:rPr>
        <w:t xml:space="preserve">, as for example on </w:t>
      </w:r>
      <w:r w:rsidR="00F71D74" w:rsidRPr="00601EE7">
        <w:rPr>
          <w:rFonts w:ascii="Garamond" w:hAnsi="Garamond"/>
          <w:sz w:val="22"/>
          <w:szCs w:val="22"/>
        </w:rPr>
        <w:t xml:space="preserve">21 April 1657 when he told </w:t>
      </w:r>
      <w:r w:rsidR="00F93526" w:rsidRPr="00601EE7">
        <w:rPr>
          <w:rFonts w:ascii="Garamond" w:hAnsi="Garamond"/>
          <w:sz w:val="22"/>
          <w:szCs w:val="22"/>
        </w:rPr>
        <w:t xml:space="preserve">parliamentary representatives that </w:t>
      </w:r>
      <w:r w:rsidR="0001690C" w:rsidRPr="00601EE7">
        <w:rPr>
          <w:rFonts w:ascii="Garamond" w:hAnsi="Garamond"/>
          <w:sz w:val="22"/>
          <w:szCs w:val="22"/>
        </w:rPr>
        <w:t xml:space="preserve">he </w:t>
      </w:r>
      <w:r w:rsidR="00F93526" w:rsidRPr="00601EE7">
        <w:rPr>
          <w:rFonts w:ascii="Garamond" w:hAnsi="Garamond"/>
          <w:sz w:val="22"/>
          <w:szCs w:val="22"/>
        </w:rPr>
        <w:t>thought they had ‘</w:t>
      </w:r>
      <w:r w:rsidR="008557A1" w:rsidRPr="00601EE7">
        <w:rPr>
          <w:rFonts w:ascii="Garamond" w:hAnsi="Garamond"/>
          <w:sz w:val="22"/>
          <w:szCs w:val="22"/>
        </w:rPr>
        <w:t xml:space="preserve">provided for the liberty of the people of God, and for </w:t>
      </w:r>
      <w:r w:rsidR="008557A1" w:rsidRPr="00601EE7">
        <w:rPr>
          <w:rFonts w:ascii="Garamond" w:hAnsi="Garamond"/>
          <w:sz w:val="22"/>
          <w:szCs w:val="22"/>
        </w:rPr>
        <w:lastRenderedPageBreak/>
        <w:t>the liberty of the nation.  And I say he sings sweetly that sings a song of reconciliation betwixt these two interests!  And it is a pitiful fancy, and wild and ignorant to think they are inconsistent.  Certainly they may consist!</w:t>
      </w:r>
      <w:r w:rsidR="00F22ECE" w:rsidRPr="00601EE7">
        <w:rPr>
          <w:rFonts w:ascii="Garamond" w:hAnsi="Garamond"/>
          <w:sz w:val="22"/>
          <w:szCs w:val="22"/>
        </w:rPr>
        <w:t>’</w:t>
      </w:r>
      <w:r w:rsidR="008557A1" w:rsidRPr="00601EE7">
        <w:rPr>
          <w:rStyle w:val="EndnoteReference"/>
          <w:rFonts w:ascii="Garamond" w:hAnsi="Garamond"/>
          <w:sz w:val="22"/>
          <w:szCs w:val="22"/>
        </w:rPr>
        <w:endnoteReference w:id="29"/>
      </w:r>
      <w:r w:rsidR="00F93526" w:rsidRPr="00601EE7">
        <w:rPr>
          <w:rFonts w:ascii="Garamond" w:hAnsi="Garamond"/>
          <w:sz w:val="22"/>
          <w:szCs w:val="22"/>
        </w:rPr>
        <w:t xml:space="preserve">  </w:t>
      </w:r>
      <w:r w:rsidR="00F71D74" w:rsidRPr="00601EE7">
        <w:rPr>
          <w:rFonts w:ascii="Garamond" w:hAnsi="Garamond"/>
          <w:sz w:val="22"/>
          <w:szCs w:val="22"/>
        </w:rPr>
        <w:t xml:space="preserve">Yet in the end he was always </w:t>
      </w:r>
      <w:r w:rsidR="00F93526" w:rsidRPr="00601EE7">
        <w:rPr>
          <w:rFonts w:ascii="Garamond" w:hAnsi="Garamond"/>
          <w:sz w:val="22"/>
          <w:szCs w:val="22"/>
        </w:rPr>
        <w:t xml:space="preserve">disappointed, and that disappointment </w:t>
      </w:r>
      <w:r w:rsidR="00F71D74" w:rsidRPr="00601EE7">
        <w:rPr>
          <w:rFonts w:ascii="Garamond" w:hAnsi="Garamond"/>
          <w:sz w:val="22"/>
          <w:szCs w:val="22"/>
        </w:rPr>
        <w:t>was never more apparent than in the second session of the second Protectorate Parliament which lasted for just two weeks in January and February 1658.</w:t>
      </w:r>
    </w:p>
    <w:p w:rsidR="00F71D74" w:rsidRPr="00601EE7" w:rsidRDefault="00F71D74" w:rsidP="00601EE7">
      <w:pPr>
        <w:pStyle w:val="Footer"/>
        <w:tabs>
          <w:tab w:val="clear" w:pos="4153"/>
          <w:tab w:val="clear" w:pos="8306"/>
        </w:tabs>
        <w:rPr>
          <w:rFonts w:ascii="Garamond" w:hAnsi="Garamond"/>
          <w:sz w:val="22"/>
          <w:szCs w:val="22"/>
        </w:rPr>
      </w:pPr>
    </w:p>
    <w:p w:rsidR="00F93526" w:rsidRPr="00601EE7" w:rsidRDefault="00F93526" w:rsidP="00601EE7">
      <w:pPr>
        <w:pStyle w:val="Footer"/>
        <w:tabs>
          <w:tab w:val="clear" w:pos="4153"/>
          <w:tab w:val="clear" w:pos="8306"/>
        </w:tabs>
        <w:rPr>
          <w:rFonts w:ascii="Garamond" w:hAnsi="Garamond"/>
          <w:sz w:val="22"/>
          <w:szCs w:val="22"/>
        </w:rPr>
      </w:pPr>
      <w:r w:rsidRPr="00601EE7">
        <w:rPr>
          <w:rFonts w:ascii="Garamond" w:hAnsi="Garamond"/>
          <w:sz w:val="22"/>
          <w:szCs w:val="22"/>
        </w:rPr>
        <w:t xml:space="preserve">Cromwell’s speech at the opening of that session on 20 January 1658 showed that he still hoped he could work fruitfully with a Parliament, and his vision of England as an elect nation produced one of the most beautiful passages in all of his parliamentary speeches: </w:t>
      </w:r>
    </w:p>
    <w:p w:rsidR="008557A1" w:rsidRPr="00601EE7" w:rsidRDefault="008557A1" w:rsidP="00601EE7">
      <w:pPr>
        <w:pStyle w:val="Footer"/>
        <w:tabs>
          <w:tab w:val="clear" w:pos="4153"/>
          <w:tab w:val="clear" w:pos="8306"/>
        </w:tabs>
        <w:ind w:left="720"/>
        <w:rPr>
          <w:rFonts w:ascii="Garamond" w:hAnsi="Garamond"/>
          <w:sz w:val="22"/>
          <w:szCs w:val="22"/>
        </w:rPr>
      </w:pPr>
      <w:r w:rsidRPr="00601EE7">
        <w:rPr>
          <w:rFonts w:ascii="Garamond" w:hAnsi="Garamond"/>
          <w:sz w:val="22"/>
          <w:szCs w:val="22"/>
        </w:rPr>
        <w:t>Truly I hope this is His land: and in some sense it may be given out that it is God</w:t>
      </w:r>
      <w:r w:rsidR="00565574" w:rsidRPr="00601EE7">
        <w:rPr>
          <w:rFonts w:ascii="Garamond" w:hAnsi="Garamond"/>
          <w:sz w:val="22"/>
          <w:szCs w:val="22"/>
        </w:rPr>
        <w:t>’</w:t>
      </w:r>
      <w:r w:rsidRPr="00601EE7">
        <w:rPr>
          <w:rFonts w:ascii="Garamond" w:hAnsi="Garamond"/>
          <w:sz w:val="22"/>
          <w:szCs w:val="22"/>
        </w:rPr>
        <w:t>s land.  And He that hath the weakest knowledge and the worst memory can easily tell that we are a redeemed people.  We were a redeemed people, when first God was pleased to look favourably upon us, and to bring us out of the hands of Popery in that never-to-be-forgotten reformation, that most significant and greatest the nation hath felt or tasted.</w:t>
      </w:r>
      <w:r w:rsidRPr="00601EE7">
        <w:rPr>
          <w:rStyle w:val="EndnoteReference"/>
          <w:rFonts w:ascii="Garamond" w:hAnsi="Garamond"/>
          <w:sz w:val="22"/>
          <w:szCs w:val="22"/>
        </w:rPr>
        <w:endnoteReference w:id="30"/>
      </w:r>
    </w:p>
    <w:p w:rsidR="008557A1" w:rsidRPr="00601EE7" w:rsidRDefault="00DB1599" w:rsidP="00601EE7">
      <w:pPr>
        <w:pStyle w:val="BodyTextIndent2"/>
        <w:spacing w:line="240" w:lineRule="auto"/>
        <w:ind w:firstLine="0"/>
        <w:rPr>
          <w:rFonts w:ascii="Garamond" w:hAnsi="Garamond"/>
          <w:sz w:val="22"/>
          <w:szCs w:val="22"/>
        </w:rPr>
      </w:pPr>
      <w:r w:rsidRPr="00601EE7">
        <w:rPr>
          <w:rFonts w:ascii="Garamond" w:hAnsi="Garamond"/>
          <w:sz w:val="22"/>
          <w:szCs w:val="22"/>
        </w:rPr>
        <w:t xml:space="preserve">Yet almost immediately Cromwell ran into problems.  The Humble Petition and Advice had removed the power of the Lord Protector and the Council to exclude elected members, and this allowed many of those who had been so excluded in 1656 to return to Parliament.  </w:t>
      </w:r>
      <w:r w:rsidR="00EB4007" w:rsidRPr="00601EE7">
        <w:rPr>
          <w:rFonts w:ascii="Garamond" w:hAnsi="Garamond"/>
          <w:sz w:val="22"/>
          <w:szCs w:val="22"/>
        </w:rPr>
        <w:t>These included some highly articulate Commonwealthsmen, such as Sir Arthur Hesilrige and Thomas Scott, who had never been sympathetic to the Protectorate.</w:t>
      </w:r>
    </w:p>
    <w:p w:rsidR="00E542E0" w:rsidRPr="00601EE7" w:rsidRDefault="00E542E0" w:rsidP="00601EE7">
      <w:pPr>
        <w:pStyle w:val="BodyTextIndent2"/>
        <w:spacing w:line="240" w:lineRule="auto"/>
        <w:ind w:firstLine="0"/>
        <w:rPr>
          <w:rFonts w:ascii="Garamond" w:hAnsi="Garamond"/>
          <w:sz w:val="22"/>
          <w:szCs w:val="22"/>
        </w:rPr>
      </w:pPr>
    </w:p>
    <w:p w:rsidR="009C01B5" w:rsidRPr="00601EE7" w:rsidRDefault="00AD63F0" w:rsidP="00601EE7">
      <w:pPr>
        <w:pStyle w:val="BodyTextIndent2"/>
        <w:spacing w:line="240" w:lineRule="auto"/>
        <w:ind w:firstLine="0"/>
        <w:rPr>
          <w:rFonts w:ascii="Garamond" w:hAnsi="Garamond"/>
          <w:sz w:val="22"/>
          <w:szCs w:val="22"/>
        </w:rPr>
      </w:pPr>
      <w:r w:rsidRPr="00601EE7">
        <w:rPr>
          <w:rFonts w:ascii="Garamond" w:hAnsi="Garamond"/>
          <w:sz w:val="22"/>
          <w:szCs w:val="22"/>
        </w:rPr>
        <w:t>By this time t</w:t>
      </w:r>
      <w:r w:rsidR="00E542E0" w:rsidRPr="00601EE7">
        <w:rPr>
          <w:rFonts w:ascii="Garamond" w:hAnsi="Garamond"/>
          <w:sz w:val="22"/>
          <w:szCs w:val="22"/>
        </w:rPr>
        <w:t xml:space="preserve">here was a further bone of contention in the form of the second chamber, the ‘Other House’, which the Humble Petition and Advice had created.  Jonathan Fitzgibbons discusses this in detail elsewhere </w:t>
      </w:r>
      <w:r w:rsidR="002956AD" w:rsidRPr="00601EE7">
        <w:rPr>
          <w:rFonts w:ascii="Garamond" w:hAnsi="Garamond"/>
          <w:sz w:val="22"/>
          <w:szCs w:val="22"/>
        </w:rPr>
        <w:t xml:space="preserve">in this issue of </w:t>
      </w:r>
      <w:r w:rsidR="002956AD" w:rsidRPr="00601EE7">
        <w:rPr>
          <w:rFonts w:ascii="Garamond" w:hAnsi="Garamond"/>
          <w:i/>
          <w:sz w:val="22"/>
          <w:szCs w:val="22"/>
        </w:rPr>
        <w:t>Cromwelliana</w:t>
      </w:r>
      <w:r w:rsidR="00475A51" w:rsidRPr="00601EE7">
        <w:rPr>
          <w:rFonts w:ascii="Garamond" w:hAnsi="Garamond"/>
          <w:sz w:val="22"/>
          <w:szCs w:val="22"/>
        </w:rPr>
        <w:t xml:space="preserve"> and </w:t>
      </w:r>
      <w:r w:rsidR="00E542E0" w:rsidRPr="00601EE7">
        <w:rPr>
          <w:rFonts w:ascii="Garamond" w:hAnsi="Garamond"/>
          <w:sz w:val="22"/>
          <w:szCs w:val="22"/>
        </w:rPr>
        <w:t>in his important new book</w:t>
      </w:r>
      <w:r w:rsidR="000429B8" w:rsidRPr="00601EE7">
        <w:rPr>
          <w:rFonts w:ascii="Garamond" w:hAnsi="Garamond"/>
          <w:sz w:val="22"/>
          <w:szCs w:val="22"/>
        </w:rPr>
        <w:t>.</w:t>
      </w:r>
      <w:r w:rsidR="00475A51" w:rsidRPr="00601EE7">
        <w:rPr>
          <w:rStyle w:val="EndnoteReference"/>
          <w:rFonts w:ascii="Garamond" w:hAnsi="Garamond"/>
          <w:sz w:val="22"/>
          <w:szCs w:val="22"/>
        </w:rPr>
        <w:endnoteReference w:id="31"/>
      </w:r>
      <w:r w:rsidR="006908A5" w:rsidRPr="00601EE7">
        <w:rPr>
          <w:rFonts w:ascii="Garamond" w:hAnsi="Garamond"/>
          <w:i/>
          <w:sz w:val="22"/>
          <w:szCs w:val="22"/>
        </w:rPr>
        <w:t xml:space="preserve"> </w:t>
      </w:r>
      <w:r w:rsidR="000429B8" w:rsidRPr="00601EE7">
        <w:rPr>
          <w:rFonts w:ascii="Garamond" w:hAnsi="Garamond"/>
          <w:sz w:val="22"/>
          <w:szCs w:val="22"/>
        </w:rPr>
        <w:t xml:space="preserve"> H</w:t>
      </w:r>
      <w:r w:rsidR="00E542E0" w:rsidRPr="00601EE7">
        <w:rPr>
          <w:rFonts w:ascii="Garamond" w:hAnsi="Garamond"/>
          <w:sz w:val="22"/>
          <w:szCs w:val="22"/>
        </w:rPr>
        <w:t>ere it is just worth noting that the ‘Other House’ proved to be another disappointment to Cromwell: only 42 of his 62 nominees actually accepted the invitation, and the creation of the second chamber both reduced his support in the Commons and antagonised those Commonwealthsmen</w:t>
      </w:r>
      <w:r w:rsidR="000429B8" w:rsidRPr="00601EE7">
        <w:rPr>
          <w:rFonts w:ascii="Garamond" w:hAnsi="Garamond"/>
          <w:sz w:val="22"/>
          <w:szCs w:val="22"/>
        </w:rPr>
        <w:t xml:space="preserve"> to</w:t>
      </w:r>
      <w:r w:rsidR="00E542E0" w:rsidRPr="00601EE7">
        <w:rPr>
          <w:rFonts w:ascii="Garamond" w:hAnsi="Garamond"/>
          <w:sz w:val="22"/>
          <w:szCs w:val="22"/>
        </w:rPr>
        <w:t xml:space="preserve"> whom it seemed much too like the old House of Lords.</w:t>
      </w:r>
      <w:r w:rsidR="00E542E0" w:rsidRPr="00601EE7">
        <w:rPr>
          <w:rStyle w:val="EndnoteReference"/>
          <w:rFonts w:ascii="Garamond" w:hAnsi="Garamond"/>
          <w:sz w:val="22"/>
          <w:szCs w:val="22"/>
        </w:rPr>
        <w:endnoteReference w:id="32"/>
      </w:r>
      <w:r w:rsidR="000429B8" w:rsidRPr="00601EE7">
        <w:rPr>
          <w:rFonts w:ascii="Garamond" w:hAnsi="Garamond"/>
          <w:sz w:val="22"/>
          <w:szCs w:val="22"/>
        </w:rPr>
        <w:t xml:space="preserve">  A significant number of members of the Commons refused to recognise the ‘Other House’, and this sparked a passionate speech from Cromwell </w:t>
      </w:r>
      <w:r w:rsidR="009C01B5" w:rsidRPr="00601EE7">
        <w:rPr>
          <w:rFonts w:ascii="Garamond" w:hAnsi="Garamond"/>
          <w:sz w:val="22"/>
          <w:szCs w:val="22"/>
        </w:rPr>
        <w:t>on 25 January 1658:</w:t>
      </w:r>
    </w:p>
    <w:p w:rsidR="008557A1" w:rsidRPr="00601EE7" w:rsidRDefault="00DE5D19" w:rsidP="00601EE7">
      <w:pPr>
        <w:pStyle w:val="BodyTextIndent2"/>
        <w:spacing w:line="240" w:lineRule="auto"/>
        <w:ind w:left="720" w:firstLine="0"/>
        <w:rPr>
          <w:rFonts w:ascii="Garamond" w:hAnsi="Garamond"/>
          <w:sz w:val="22"/>
          <w:szCs w:val="22"/>
        </w:rPr>
      </w:pPr>
      <w:r w:rsidRPr="00601EE7">
        <w:rPr>
          <w:rFonts w:ascii="Garamond" w:hAnsi="Garamond"/>
          <w:sz w:val="22"/>
          <w:szCs w:val="22"/>
        </w:rPr>
        <w:t>What is the general spirit of this nation?  Is it not that each sect of people … may be uppermost?  That every sort of men may get power into their hands? ... I</w:t>
      </w:r>
      <w:r w:rsidR="008557A1" w:rsidRPr="00601EE7">
        <w:rPr>
          <w:rFonts w:ascii="Garamond" w:hAnsi="Garamond"/>
          <w:sz w:val="22"/>
          <w:szCs w:val="22"/>
        </w:rPr>
        <w:t>t were a happy thing if the nation would be content with rule.  Content with rule, if it were but in civil things, and with those that would rule worst; because misrule is better than no rule, and an ill government, a bad one, is better than none</w:t>
      </w:r>
      <w:r w:rsidRPr="00601EE7">
        <w:rPr>
          <w:rFonts w:ascii="Garamond" w:hAnsi="Garamond"/>
          <w:sz w:val="22"/>
          <w:szCs w:val="22"/>
        </w:rPr>
        <w:t xml:space="preserve"> … But we have an appetite to variety, to be not only making wounds but widening those already made</w:t>
      </w:r>
      <w:r w:rsidR="000D6164" w:rsidRPr="00601EE7">
        <w:rPr>
          <w:rFonts w:ascii="Garamond" w:hAnsi="Garamond"/>
          <w:sz w:val="22"/>
          <w:szCs w:val="22"/>
        </w:rPr>
        <w:t>, as if we should see one making wounds in a man’s side, and would desire nothing more than to be groping and grovelling in those wounds.</w:t>
      </w:r>
      <w:r w:rsidR="008557A1" w:rsidRPr="00601EE7">
        <w:rPr>
          <w:rStyle w:val="EndnoteReference"/>
          <w:rFonts w:ascii="Garamond" w:hAnsi="Garamond"/>
          <w:sz w:val="22"/>
          <w:szCs w:val="22"/>
        </w:rPr>
        <w:endnoteReference w:id="33"/>
      </w:r>
    </w:p>
    <w:p w:rsidR="008557A1" w:rsidRPr="00601EE7" w:rsidRDefault="000D6164" w:rsidP="00601EE7">
      <w:pPr>
        <w:pStyle w:val="BodyTextIndent2"/>
        <w:spacing w:line="240" w:lineRule="auto"/>
        <w:ind w:firstLine="0"/>
        <w:rPr>
          <w:rFonts w:ascii="Garamond" w:hAnsi="Garamond"/>
          <w:sz w:val="22"/>
          <w:szCs w:val="22"/>
        </w:rPr>
      </w:pPr>
      <w:r w:rsidRPr="00601EE7">
        <w:rPr>
          <w:rFonts w:ascii="Garamond" w:hAnsi="Garamond"/>
          <w:sz w:val="22"/>
          <w:szCs w:val="22"/>
        </w:rPr>
        <w:t xml:space="preserve">Even this extraordinary language failed to deflect the </w:t>
      </w:r>
      <w:r w:rsidR="006C2FBE" w:rsidRPr="00601EE7">
        <w:rPr>
          <w:rFonts w:ascii="Garamond" w:hAnsi="Garamond"/>
          <w:sz w:val="22"/>
          <w:szCs w:val="22"/>
        </w:rPr>
        <w:t>Commons</w:t>
      </w:r>
      <w:r w:rsidRPr="00601EE7">
        <w:rPr>
          <w:rFonts w:ascii="Garamond" w:hAnsi="Garamond"/>
          <w:sz w:val="22"/>
          <w:szCs w:val="22"/>
        </w:rPr>
        <w:t xml:space="preserve"> away from the ‘Other House’ and onto Cromwell’s godly agenda.  Barely a week later, on 4 February, he decided that he had had enough.  He insisted that he had not sought power for himself: ‘</w:t>
      </w:r>
      <w:r w:rsidR="008557A1" w:rsidRPr="00601EE7">
        <w:rPr>
          <w:rFonts w:ascii="Garamond" w:hAnsi="Garamond"/>
          <w:sz w:val="22"/>
          <w:szCs w:val="22"/>
        </w:rPr>
        <w:t>I can say in the presence of God, in comparison with whom we are but like poor creeping ants upon the earth, I would have been glad to have lived under my woodside, to have kept a flock of sheep rather than undertaken such a government as this</w:t>
      </w:r>
      <w:r w:rsidR="006C2FBE" w:rsidRPr="00601EE7">
        <w:rPr>
          <w:rFonts w:ascii="Garamond" w:hAnsi="Garamond"/>
          <w:sz w:val="22"/>
          <w:szCs w:val="22"/>
        </w:rPr>
        <w:t>’.  However, some of the members were</w:t>
      </w:r>
      <w:r w:rsidRPr="00601EE7">
        <w:rPr>
          <w:rFonts w:ascii="Garamond" w:hAnsi="Garamond"/>
          <w:sz w:val="22"/>
          <w:szCs w:val="22"/>
        </w:rPr>
        <w:t xml:space="preserve"> ‘not to be satisfied’, and therefore: ‘</w:t>
      </w:r>
      <w:r w:rsidR="008557A1" w:rsidRPr="00601EE7">
        <w:rPr>
          <w:rFonts w:ascii="Garamond" w:hAnsi="Garamond"/>
          <w:sz w:val="22"/>
          <w:szCs w:val="22"/>
        </w:rPr>
        <w:t>I think it high time that an end be put to your sitting.  And I do dissolve this Parliament!  And let God be judge between you and me!</w:t>
      </w:r>
      <w:r w:rsidRPr="00601EE7">
        <w:rPr>
          <w:rFonts w:ascii="Garamond" w:hAnsi="Garamond"/>
          <w:sz w:val="22"/>
          <w:szCs w:val="22"/>
        </w:rPr>
        <w:t>’</w:t>
      </w:r>
      <w:r w:rsidR="008557A1" w:rsidRPr="00601EE7">
        <w:rPr>
          <w:rStyle w:val="EndnoteReference"/>
          <w:rFonts w:ascii="Garamond" w:hAnsi="Garamond"/>
          <w:sz w:val="22"/>
          <w:szCs w:val="22"/>
        </w:rPr>
        <w:endnoteReference w:id="34"/>
      </w:r>
      <w:r w:rsidR="006E3414" w:rsidRPr="00601EE7">
        <w:rPr>
          <w:rFonts w:ascii="Garamond" w:hAnsi="Garamond"/>
          <w:sz w:val="22"/>
          <w:szCs w:val="22"/>
        </w:rPr>
        <w:t xml:space="preserve">  Whereupon</w:t>
      </w:r>
      <w:r w:rsidR="002D051F" w:rsidRPr="00601EE7">
        <w:rPr>
          <w:rFonts w:ascii="Garamond" w:hAnsi="Garamond"/>
          <w:sz w:val="22"/>
          <w:szCs w:val="22"/>
        </w:rPr>
        <w:t>,</w:t>
      </w:r>
      <w:r w:rsidR="006E3414" w:rsidRPr="00601EE7">
        <w:rPr>
          <w:rFonts w:ascii="Garamond" w:hAnsi="Garamond"/>
          <w:sz w:val="22"/>
          <w:szCs w:val="22"/>
        </w:rPr>
        <w:t xml:space="preserve"> it was reported</w:t>
      </w:r>
      <w:r w:rsidR="002D051F" w:rsidRPr="00601EE7">
        <w:rPr>
          <w:rFonts w:ascii="Garamond" w:hAnsi="Garamond"/>
          <w:sz w:val="22"/>
          <w:szCs w:val="22"/>
        </w:rPr>
        <w:t>,</w:t>
      </w:r>
      <w:r w:rsidR="006E3414" w:rsidRPr="00601EE7">
        <w:rPr>
          <w:rFonts w:ascii="Garamond" w:hAnsi="Garamond"/>
          <w:sz w:val="22"/>
          <w:szCs w:val="22"/>
        </w:rPr>
        <w:t xml:space="preserve"> ‘many of the Commons cried Amen’</w:t>
      </w:r>
      <w:r w:rsidR="00413B37" w:rsidRPr="00601EE7">
        <w:rPr>
          <w:rFonts w:ascii="Garamond" w:hAnsi="Garamond"/>
          <w:sz w:val="22"/>
          <w:szCs w:val="22"/>
        </w:rPr>
        <w:t>.</w:t>
      </w:r>
      <w:r w:rsidR="00413B37" w:rsidRPr="00601EE7">
        <w:rPr>
          <w:rStyle w:val="EndnoteReference"/>
          <w:rFonts w:ascii="Garamond" w:hAnsi="Garamond"/>
          <w:sz w:val="22"/>
          <w:szCs w:val="22"/>
        </w:rPr>
        <w:endnoteReference w:id="35"/>
      </w:r>
    </w:p>
    <w:p w:rsidR="00573DCC" w:rsidRPr="00601EE7" w:rsidRDefault="00573DCC" w:rsidP="00601EE7">
      <w:pPr>
        <w:pStyle w:val="BodyTextIndent2"/>
        <w:spacing w:line="240" w:lineRule="auto"/>
        <w:ind w:firstLine="0"/>
        <w:rPr>
          <w:rFonts w:ascii="Garamond" w:hAnsi="Garamond"/>
          <w:sz w:val="22"/>
          <w:szCs w:val="22"/>
        </w:rPr>
      </w:pPr>
    </w:p>
    <w:p w:rsidR="005E41D3" w:rsidRPr="00601EE7" w:rsidRDefault="00573DCC" w:rsidP="00601EE7">
      <w:pPr>
        <w:rPr>
          <w:rFonts w:ascii="Garamond" w:hAnsi="Garamond"/>
          <w:sz w:val="22"/>
          <w:szCs w:val="22"/>
        </w:rPr>
      </w:pPr>
      <w:r w:rsidRPr="00601EE7">
        <w:rPr>
          <w:rFonts w:ascii="Garamond" w:hAnsi="Garamond"/>
          <w:sz w:val="22"/>
          <w:szCs w:val="22"/>
        </w:rPr>
        <w:t xml:space="preserve">On that bitter note, Cromwell’s turbulent relationship with Parliaments drew to a close.  In the end, he felt much cause for disappointment.  He had hoped to work constructively with Parliaments and to use them to further his vision of England as an elect nation.  </w:t>
      </w:r>
      <w:r w:rsidR="00B35063" w:rsidRPr="00601EE7">
        <w:rPr>
          <w:rFonts w:ascii="Garamond" w:hAnsi="Garamond"/>
          <w:sz w:val="22"/>
          <w:szCs w:val="22"/>
        </w:rPr>
        <w:t xml:space="preserve">Yet most members did not share his enthusiasm for extending liberty of conscience or for promoting a ‘reformation of manners’.  </w:t>
      </w:r>
      <w:r w:rsidR="00B10FA1" w:rsidRPr="00601EE7">
        <w:rPr>
          <w:rFonts w:ascii="Garamond" w:hAnsi="Garamond"/>
          <w:sz w:val="22"/>
          <w:szCs w:val="22"/>
        </w:rPr>
        <w:t xml:space="preserve">To them, it mattered far more to </w:t>
      </w:r>
      <w:r w:rsidR="00F06E8A" w:rsidRPr="00601EE7">
        <w:rPr>
          <w:rFonts w:ascii="Garamond" w:hAnsi="Garamond"/>
          <w:sz w:val="22"/>
          <w:szCs w:val="22"/>
        </w:rPr>
        <w:t xml:space="preserve">protect the rule of law and to </w:t>
      </w:r>
      <w:r w:rsidR="00B10FA1" w:rsidRPr="00601EE7">
        <w:rPr>
          <w:rFonts w:ascii="Garamond" w:hAnsi="Garamond"/>
          <w:sz w:val="22"/>
          <w:szCs w:val="22"/>
        </w:rPr>
        <w:t>safeguard the rights and privileges of Parliament.</w:t>
      </w:r>
      <w:r w:rsidR="00311D9D" w:rsidRPr="00601EE7">
        <w:rPr>
          <w:rFonts w:ascii="Garamond" w:hAnsi="Garamond"/>
          <w:sz w:val="22"/>
          <w:szCs w:val="22"/>
        </w:rPr>
        <w:t xml:space="preserve">  At the heart of the problem lay the fact that although Cromwell was always committed to the principle of Parliaments, he was never committed to any individual Parliament</w:t>
      </w:r>
      <w:r w:rsidR="00BC3973" w:rsidRPr="00601EE7">
        <w:rPr>
          <w:rFonts w:ascii="Garamond" w:hAnsi="Garamond"/>
          <w:sz w:val="22"/>
          <w:szCs w:val="22"/>
        </w:rPr>
        <w:t xml:space="preserve">.  His eyes were always on the higher goal of protecting </w:t>
      </w:r>
      <w:r w:rsidR="00BC3973" w:rsidRPr="00601EE7">
        <w:rPr>
          <w:rFonts w:ascii="Garamond" w:hAnsi="Garamond"/>
          <w:sz w:val="22"/>
          <w:szCs w:val="22"/>
        </w:rPr>
        <w:lastRenderedPageBreak/>
        <w:t xml:space="preserve">God’s cause and God’s people, and the moment </w:t>
      </w:r>
      <w:r w:rsidR="000832DF" w:rsidRPr="00601EE7">
        <w:rPr>
          <w:rFonts w:ascii="Garamond" w:hAnsi="Garamond"/>
          <w:sz w:val="22"/>
          <w:szCs w:val="22"/>
        </w:rPr>
        <w:t>he came to believe that</w:t>
      </w:r>
      <w:r w:rsidR="00BC3973" w:rsidRPr="00601EE7">
        <w:rPr>
          <w:rFonts w:ascii="Garamond" w:hAnsi="Garamond"/>
          <w:sz w:val="22"/>
          <w:szCs w:val="22"/>
        </w:rPr>
        <w:t xml:space="preserve"> any Parliament </w:t>
      </w:r>
      <w:r w:rsidR="00BC1E77" w:rsidRPr="00601EE7">
        <w:rPr>
          <w:rFonts w:ascii="Garamond" w:hAnsi="Garamond"/>
          <w:sz w:val="22"/>
          <w:szCs w:val="22"/>
        </w:rPr>
        <w:t xml:space="preserve">had </w:t>
      </w:r>
      <w:r w:rsidR="00BC3973" w:rsidRPr="00601EE7">
        <w:rPr>
          <w:rFonts w:ascii="Garamond" w:hAnsi="Garamond"/>
          <w:sz w:val="22"/>
          <w:szCs w:val="22"/>
        </w:rPr>
        <w:t>ceased to pursue that goal he ruthlessly discarded it.</w:t>
      </w:r>
    </w:p>
    <w:p w:rsidR="005E41D3" w:rsidRPr="00601EE7" w:rsidRDefault="005E41D3" w:rsidP="00601EE7">
      <w:pPr>
        <w:rPr>
          <w:rFonts w:ascii="Garamond" w:hAnsi="Garamond"/>
          <w:sz w:val="22"/>
          <w:szCs w:val="22"/>
        </w:rPr>
      </w:pPr>
    </w:p>
    <w:p w:rsidR="00413B37" w:rsidRPr="00601EE7" w:rsidRDefault="005E41D3" w:rsidP="00601EE7">
      <w:pPr>
        <w:rPr>
          <w:rFonts w:ascii="Garamond" w:hAnsi="Garamond"/>
          <w:sz w:val="22"/>
          <w:szCs w:val="22"/>
        </w:rPr>
      </w:pPr>
      <w:r w:rsidRPr="00601EE7">
        <w:rPr>
          <w:rFonts w:ascii="Garamond" w:hAnsi="Garamond"/>
          <w:sz w:val="22"/>
          <w:szCs w:val="22"/>
        </w:rPr>
        <w:t>Cromwell’s relations with Parliament were theref</w:t>
      </w:r>
      <w:r w:rsidR="00BC1E77" w:rsidRPr="00601EE7">
        <w:rPr>
          <w:rFonts w:ascii="Garamond" w:hAnsi="Garamond"/>
          <w:sz w:val="22"/>
          <w:szCs w:val="22"/>
        </w:rPr>
        <w:t>ore always complex and often</w:t>
      </w:r>
      <w:r w:rsidRPr="00601EE7">
        <w:rPr>
          <w:rFonts w:ascii="Garamond" w:hAnsi="Garamond"/>
          <w:sz w:val="22"/>
          <w:szCs w:val="22"/>
        </w:rPr>
        <w:t xml:space="preserve"> very difficult.  </w:t>
      </w:r>
      <w:r w:rsidR="00085D77" w:rsidRPr="00601EE7">
        <w:rPr>
          <w:rFonts w:ascii="Garamond" w:hAnsi="Garamond"/>
          <w:sz w:val="22"/>
          <w:szCs w:val="22"/>
        </w:rPr>
        <w:t xml:space="preserve">Whether he deserves to be praised as a champion of Parliaments will no doubt remain a controversial question.  </w:t>
      </w:r>
      <w:r w:rsidR="00BD2BF3" w:rsidRPr="00601EE7">
        <w:rPr>
          <w:rFonts w:ascii="Garamond" w:hAnsi="Garamond"/>
          <w:sz w:val="22"/>
          <w:szCs w:val="22"/>
        </w:rPr>
        <w:t xml:space="preserve">What can be said, in conclusion, is that </w:t>
      </w:r>
      <w:r w:rsidR="00D514FC" w:rsidRPr="00601EE7">
        <w:rPr>
          <w:rFonts w:ascii="Garamond" w:hAnsi="Garamond"/>
          <w:sz w:val="22"/>
          <w:szCs w:val="22"/>
        </w:rPr>
        <w:t>Cromwell’s relations with Parliaments present the fascinating spectacle – one virtually unique in British history – of a republican Head of State</w:t>
      </w:r>
      <w:r w:rsidR="005B0249" w:rsidRPr="00601EE7">
        <w:rPr>
          <w:rFonts w:ascii="Garamond" w:hAnsi="Garamond"/>
          <w:sz w:val="22"/>
          <w:szCs w:val="22"/>
        </w:rPr>
        <w:t xml:space="preserve"> attempting to work</w:t>
      </w:r>
      <w:r w:rsidR="00D514FC" w:rsidRPr="00601EE7">
        <w:rPr>
          <w:rFonts w:ascii="Garamond" w:hAnsi="Garamond"/>
          <w:sz w:val="22"/>
          <w:szCs w:val="22"/>
        </w:rPr>
        <w:t xml:space="preserve"> with Parliaments.</w:t>
      </w:r>
      <w:r w:rsidR="005B0249" w:rsidRPr="00601EE7">
        <w:rPr>
          <w:rFonts w:ascii="Garamond" w:hAnsi="Garamond"/>
          <w:sz w:val="22"/>
          <w:szCs w:val="22"/>
        </w:rPr>
        <w:t xml:space="preserve">  </w:t>
      </w:r>
      <w:r w:rsidR="00E763CE" w:rsidRPr="00601EE7">
        <w:rPr>
          <w:rFonts w:ascii="Garamond" w:hAnsi="Garamond"/>
          <w:sz w:val="22"/>
          <w:szCs w:val="22"/>
        </w:rPr>
        <w:t>M</w:t>
      </w:r>
      <w:r w:rsidR="00596131" w:rsidRPr="00601EE7">
        <w:rPr>
          <w:rFonts w:ascii="Garamond" w:hAnsi="Garamond"/>
          <w:sz w:val="22"/>
          <w:szCs w:val="22"/>
        </w:rPr>
        <w:t xml:space="preserve">uch of British political and constitutional history has been written in terms of Crown and Parliament, and the Interregnum affords the one opportunity we have to see how a non-royal ruler handled and interacted with a series of different Parliaments.  </w:t>
      </w:r>
      <w:r w:rsidR="005B0249" w:rsidRPr="00601EE7">
        <w:rPr>
          <w:rFonts w:ascii="Garamond" w:hAnsi="Garamond"/>
          <w:sz w:val="22"/>
          <w:szCs w:val="22"/>
        </w:rPr>
        <w:t xml:space="preserve">For </w:t>
      </w:r>
      <w:r w:rsidR="00596131" w:rsidRPr="00601EE7">
        <w:rPr>
          <w:rFonts w:ascii="Garamond" w:hAnsi="Garamond"/>
          <w:sz w:val="22"/>
          <w:szCs w:val="22"/>
        </w:rPr>
        <w:t xml:space="preserve">that reason – </w:t>
      </w:r>
      <w:r w:rsidR="005B0249" w:rsidRPr="00601EE7">
        <w:rPr>
          <w:rFonts w:ascii="Garamond" w:hAnsi="Garamond"/>
          <w:sz w:val="22"/>
          <w:szCs w:val="22"/>
        </w:rPr>
        <w:t>and despite all his f</w:t>
      </w:r>
      <w:r w:rsidR="00596131" w:rsidRPr="00601EE7">
        <w:rPr>
          <w:rFonts w:ascii="Garamond" w:hAnsi="Garamond"/>
          <w:sz w:val="22"/>
          <w:szCs w:val="22"/>
        </w:rPr>
        <w:t>rustrations and disappointments –</w:t>
      </w:r>
      <w:r w:rsidR="005B0249" w:rsidRPr="00601EE7">
        <w:rPr>
          <w:rFonts w:ascii="Garamond" w:hAnsi="Garamond"/>
          <w:sz w:val="22"/>
          <w:szCs w:val="22"/>
        </w:rPr>
        <w:t xml:space="preserve"> this aspect of Cromwell’s career remains</w:t>
      </w:r>
      <w:r w:rsidR="009C7EC1" w:rsidRPr="00601EE7">
        <w:rPr>
          <w:rFonts w:ascii="Garamond" w:hAnsi="Garamond"/>
          <w:sz w:val="22"/>
          <w:szCs w:val="22"/>
        </w:rPr>
        <w:t xml:space="preserve"> of commanding interest.  It </w:t>
      </w:r>
      <w:r w:rsidR="00292498" w:rsidRPr="00601EE7">
        <w:rPr>
          <w:rFonts w:ascii="Garamond" w:hAnsi="Garamond"/>
          <w:sz w:val="22"/>
          <w:szCs w:val="22"/>
        </w:rPr>
        <w:t>provide</w:t>
      </w:r>
      <w:r w:rsidR="005B0249" w:rsidRPr="00601EE7">
        <w:rPr>
          <w:rFonts w:ascii="Garamond" w:hAnsi="Garamond"/>
          <w:sz w:val="22"/>
          <w:szCs w:val="22"/>
        </w:rPr>
        <w:t xml:space="preserve">s </w:t>
      </w:r>
      <w:r w:rsidR="00795261" w:rsidRPr="00601EE7">
        <w:rPr>
          <w:rFonts w:ascii="Garamond" w:hAnsi="Garamond"/>
          <w:sz w:val="22"/>
          <w:szCs w:val="22"/>
        </w:rPr>
        <w:t xml:space="preserve">yet </w:t>
      </w:r>
      <w:r w:rsidR="005B0249" w:rsidRPr="00601EE7">
        <w:rPr>
          <w:rFonts w:ascii="Garamond" w:hAnsi="Garamond"/>
          <w:sz w:val="22"/>
          <w:szCs w:val="22"/>
        </w:rPr>
        <w:t xml:space="preserve">another reason why </w:t>
      </w:r>
      <w:r w:rsidR="009C7EC1" w:rsidRPr="00601EE7">
        <w:rPr>
          <w:rFonts w:ascii="Garamond" w:hAnsi="Garamond"/>
          <w:sz w:val="22"/>
          <w:szCs w:val="22"/>
        </w:rPr>
        <w:t xml:space="preserve">we should </w:t>
      </w:r>
      <w:r w:rsidR="00CA6C1E" w:rsidRPr="00601EE7">
        <w:rPr>
          <w:rFonts w:ascii="Garamond" w:hAnsi="Garamond"/>
          <w:sz w:val="22"/>
          <w:szCs w:val="22"/>
        </w:rPr>
        <w:t xml:space="preserve">still </w:t>
      </w:r>
      <w:r w:rsidR="009C7EC1" w:rsidRPr="00601EE7">
        <w:rPr>
          <w:rFonts w:ascii="Garamond" w:hAnsi="Garamond"/>
          <w:sz w:val="22"/>
          <w:szCs w:val="22"/>
        </w:rPr>
        <w:t xml:space="preserve">care about him, and why </w:t>
      </w:r>
      <w:r w:rsidR="005B0249" w:rsidRPr="00601EE7">
        <w:rPr>
          <w:rFonts w:ascii="Garamond" w:hAnsi="Garamond"/>
          <w:sz w:val="22"/>
          <w:szCs w:val="22"/>
        </w:rPr>
        <w:t>he is still worth studying.</w:t>
      </w:r>
    </w:p>
    <w:p w:rsidR="00413B37" w:rsidRPr="00601EE7" w:rsidRDefault="00413B37" w:rsidP="00601EE7">
      <w:pPr>
        <w:rPr>
          <w:rFonts w:ascii="Garamond" w:hAnsi="Garamond"/>
          <w:sz w:val="22"/>
          <w:szCs w:val="22"/>
        </w:rPr>
      </w:pPr>
    </w:p>
    <w:p w:rsidR="00873577" w:rsidRPr="00601EE7" w:rsidRDefault="00873577" w:rsidP="00601EE7">
      <w:pPr>
        <w:rPr>
          <w:rFonts w:ascii="Garamond" w:hAnsi="Garamond"/>
          <w:sz w:val="22"/>
          <w:szCs w:val="22"/>
        </w:rPr>
      </w:pPr>
    </w:p>
    <w:sectPr w:rsidR="00873577" w:rsidRPr="00601EE7" w:rsidSect="005714EE">
      <w:footerReference w:type="default" r:id="rId7"/>
      <w:endnotePr>
        <w:numFmt w:val="decimal"/>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69E" w:rsidRDefault="0029069E" w:rsidP="0047422F">
      <w:r>
        <w:separator/>
      </w:r>
    </w:p>
  </w:endnote>
  <w:endnote w:type="continuationSeparator" w:id="0">
    <w:p w:rsidR="0029069E" w:rsidRDefault="0029069E" w:rsidP="0047422F">
      <w:r>
        <w:continuationSeparator/>
      </w:r>
    </w:p>
  </w:endnote>
  <w:endnote w:id="1">
    <w:p w:rsidR="008557A1" w:rsidRPr="00601EE7" w:rsidRDefault="008557A1" w:rsidP="00601EE7">
      <w:pPr>
        <w:pStyle w:val="EndnoteText"/>
        <w:rPr>
          <w:rFonts w:ascii="Garamond" w:hAnsi="Garamond"/>
          <w:sz w:val="22"/>
          <w:szCs w:val="22"/>
        </w:rPr>
      </w:pPr>
      <w:r w:rsidRPr="00601EE7">
        <w:rPr>
          <w:rStyle w:val="EndnoteReference"/>
          <w:rFonts w:ascii="Garamond" w:hAnsi="Garamond"/>
          <w:sz w:val="22"/>
          <w:szCs w:val="22"/>
        </w:rPr>
        <w:endnoteRef/>
      </w:r>
      <w:r w:rsidR="00D12971" w:rsidRPr="00601EE7">
        <w:rPr>
          <w:rFonts w:ascii="Garamond" w:hAnsi="Garamond"/>
          <w:sz w:val="22"/>
          <w:szCs w:val="22"/>
        </w:rPr>
        <w:t xml:space="preserve">  </w:t>
      </w:r>
      <w:r w:rsidR="00D95EB9" w:rsidRPr="00601EE7">
        <w:rPr>
          <w:rFonts w:ascii="Garamond" w:hAnsi="Garamond"/>
          <w:sz w:val="22"/>
          <w:szCs w:val="22"/>
        </w:rPr>
        <w:t xml:space="preserve">On the controversy surrounding the erection of the Cromwell statue outside the Palace of Westminster, see especially </w:t>
      </w:r>
      <w:r w:rsidR="00A10A5C" w:rsidRPr="00601EE7">
        <w:rPr>
          <w:rFonts w:ascii="Garamond" w:hAnsi="Garamond"/>
          <w:sz w:val="22"/>
          <w:szCs w:val="22"/>
        </w:rPr>
        <w:t xml:space="preserve">Blair Worden, </w:t>
      </w:r>
      <w:r w:rsidR="00A10A5C" w:rsidRPr="00601EE7">
        <w:rPr>
          <w:rFonts w:ascii="Garamond" w:hAnsi="Garamond"/>
          <w:i/>
          <w:sz w:val="22"/>
          <w:szCs w:val="22"/>
        </w:rPr>
        <w:t>Roundhead Reputations: The English Civil Wars and the Passions of Posterity</w:t>
      </w:r>
      <w:r w:rsidR="00A10A5C" w:rsidRPr="00601EE7">
        <w:rPr>
          <w:rFonts w:ascii="Garamond" w:hAnsi="Garamond"/>
          <w:sz w:val="22"/>
          <w:szCs w:val="22"/>
        </w:rPr>
        <w:t xml:space="preserve"> (London, 2001), pp. 296-315; </w:t>
      </w:r>
      <w:r w:rsidR="00D12971" w:rsidRPr="00601EE7">
        <w:rPr>
          <w:rFonts w:ascii="Garamond" w:hAnsi="Garamond"/>
          <w:sz w:val="22"/>
          <w:szCs w:val="22"/>
        </w:rPr>
        <w:t xml:space="preserve">Jonathan Fitzgibbons, </w:t>
      </w:r>
      <w:r w:rsidR="00D12971" w:rsidRPr="00601EE7">
        <w:rPr>
          <w:rFonts w:ascii="Garamond" w:hAnsi="Garamond"/>
          <w:i/>
          <w:sz w:val="22"/>
          <w:szCs w:val="22"/>
        </w:rPr>
        <w:t>Cromwell’s Head</w:t>
      </w:r>
      <w:r w:rsidR="00D12971" w:rsidRPr="00601EE7">
        <w:rPr>
          <w:rFonts w:ascii="Garamond" w:hAnsi="Garamond"/>
          <w:sz w:val="22"/>
          <w:szCs w:val="22"/>
        </w:rPr>
        <w:t xml:space="preserve"> (Kew, 2008), pp. 198-204; </w:t>
      </w:r>
      <w:r w:rsidR="00D200D1" w:rsidRPr="00601EE7">
        <w:rPr>
          <w:rFonts w:ascii="Garamond" w:hAnsi="Garamond"/>
          <w:sz w:val="22"/>
          <w:szCs w:val="22"/>
        </w:rPr>
        <w:t xml:space="preserve">and </w:t>
      </w:r>
      <w:r w:rsidR="00D12971" w:rsidRPr="00601EE7">
        <w:rPr>
          <w:rFonts w:ascii="Garamond" w:hAnsi="Garamond"/>
          <w:sz w:val="22"/>
          <w:szCs w:val="22"/>
        </w:rPr>
        <w:t>Peter Gaunt, ‘The Reputation of Oliver C</w:t>
      </w:r>
      <w:r w:rsidR="00D95EB9" w:rsidRPr="00601EE7">
        <w:rPr>
          <w:rFonts w:ascii="Garamond" w:hAnsi="Garamond"/>
          <w:sz w:val="22"/>
          <w:szCs w:val="22"/>
        </w:rPr>
        <w:t>romwell in the 19</w:t>
      </w:r>
      <w:r w:rsidR="00D12971" w:rsidRPr="00601EE7">
        <w:rPr>
          <w:rFonts w:ascii="Garamond" w:hAnsi="Garamond"/>
          <w:sz w:val="22"/>
          <w:szCs w:val="22"/>
        </w:rPr>
        <w:t xml:space="preserve">th Century’, </w:t>
      </w:r>
      <w:r w:rsidR="00D12971" w:rsidRPr="00601EE7">
        <w:rPr>
          <w:rFonts w:ascii="Garamond" w:hAnsi="Garamond"/>
          <w:i/>
          <w:sz w:val="22"/>
          <w:szCs w:val="22"/>
        </w:rPr>
        <w:t>Parliamentary History</w:t>
      </w:r>
      <w:r w:rsidR="00D12971" w:rsidRPr="00601EE7">
        <w:rPr>
          <w:rFonts w:ascii="Garamond" w:hAnsi="Garamond"/>
          <w:sz w:val="22"/>
          <w:szCs w:val="22"/>
        </w:rPr>
        <w:t>,</w:t>
      </w:r>
      <w:r w:rsidR="00D95EB9" w:rsidRPr="00601EE7">
        <w:rPr>
          <w:rFonts w:ascii="Garamond" w:hAnsi="Garamond"/>
          <w:sz w:val="22"/>
          <w:szCs w:val="22"/>
        </w:rPr>
        <w:t xml:space="preserve"> 28 (2009)</w:t>
      </w:r>
      <w:r w:rsidR="00F045B6" w:rsidRPr="00601EE7">
        <w:rPr>
          <w:rFonts w:ascii="Garamond" w:hAnsi="Garamond"/>
          <w:sz w:val="22"/>
          <w:szCs w:val="22"/>
        </w:rPr>
        <w:t>,</w:t>
      </w:r>
      <w:r w:rsidR="00D95EB9" w:rsidRPr="00601EE7">
        <w:rPr>
          <w:rFonts w:ascii="Garamond" w:hAnsi="Garamond"/>
          <w:sz w:val="22"/>
          <w:szCs w:val="22"/>
        </w:rPr>
        <w:t xml:space="preserve"> 425-8</w:t>
      </w:r>
      <w:r w:rsidR="00D200D1" w:rsidRPr="00601EE7">
        <w:rPr>
          <w:rFonts w:ascii="Garamond" w:hAnsi="Garamond"/>
          <w:sz w:val="22"/>
          <w:szCs w:val="22"/>
        </w:rPr>
        <w:t>.</w:t>
      </w:r>
      <w:r w:rsidR="00D12971" w:rsidRPr="00601EE7">
        <w:rPr>
          <w:rFonts w:ascii="Garamond" w:hAnsi="Garamond"/>
          <w:sz w:val="22"/>
          <w:szCs w:val="22"/>
        </w:rPr>
        <w:t xml:space="preserve"> </w:t>
      </w:r>
    </w:p>
  </w:endnote>
  <w:endnote w:id="2">
    <w:p w:rsidR="008557A1" w:rsidRPr="00601EE7" w:rsidRDefault="008557A1" w:rsidP="00601EE7">
      <w:pPr>
        <w:pStyle w:val="EndnoteText"/>
        <w:rPr>
          <w:rFonts w:ascii="Garamond" w:hAnsi="Garamond"/>
          <w:sz w:val="22"/>
          <w:szCs w:val="22"/>
        </w:rPr>
      </w:pPr>
      <w:r w:rsidRPr="00601EE7">
        <w:rPr>
          <w:rStyle w:val="EndnoteReference"/>
          <w:rFonts w:ascii="Garamond" w:hAnsi="Garamond"/>
          <w:sz w:val="22"/>
          <w:szCs w:val="22"/>
        </w:rPr>
        <w:endnoteRef/>
      </w:r>
      <w:r w:rsidRPr="00601EE7">
        <w:rPr>
          <w:rFonts w:ascii="Garamond" w:hAnsi="Garamond"/>
          <w:sz w:val="22"/>
          <w:szCs w:val="22"/>
        </w:rPr>
        <w:t xml:space="preserve">  S.C. Lomas (ed.), </w:t>
      </w:r>
      <w:r w:rsidRPr="00601EE7">
        <w:rPr>
          <w:rFonts w:ascii="Garamond" w:hAnsi="Garamond"/>
          <w:i/>
          <w:sz w:val="22"/>
          <w:szCs w:val="22"/>
        </w:rPr>
        <w:t>The Letters and Speeches of Oliver Cromwell, with Elucidations by Thomas Carlyle</w:t>
      </w:r>
      <w:r w:rsidRPr="00601EE7">
        <w:rPr>
          <w:rFonts w:ascii="Garamond" w:hAnsi="Garamond"/>
          <w:sz w:val="22"/>
          <w:szCs w:val="22"/>
        </w:rPr>
        <w:t xml:space="preserve"> (3 vols., London, 1904) [hereafter cited as Lomas-Carlyle], 3:362 (Cromwell at the Putney Debates, 28 October 1647).</w:t>
      </w:r>
    </w:p>
  </w:endnote>
  <w:endnote w:id="3">
    <w:p w:rsidR="008557A1" w:rsidRPr="00601EE7" w:rsidRDefault="008557A1" w:rsidP="00601EE7">
      <w:pPr>
        <w:pStyle w:val="EndnoteText"/>
        <w:rPr>
          <w:rFonts w:ascii="Garamond" w:hAnsi="Garamond"/>
          <w:sz w:val="22"/>
          <w:szCs w:val="22"/>
        </w:rPr>
      </w:pPr>
      <w:r w:rsidRPr="00601EE7">
        <w:rPr>
          <w:rStyle w:val="EndnoteReference"/>
          <w:rFonts w:ascii="Garamond" w:hAnsi="Garamond"/>
          <w:sz w:val="22"/>
          <w:szCs w:val="22"/>
        </w:rPr>
        <w:endnoteRef/>
      </w:r>
      <w:r w:rsidRPr="00601EE7">
        <w:rPr>
          <w:rFonts w:ascii="Garamond" w:hAnsi="Garamond"/>
          <w:sz w:val="22"/>
          <w:szCs w:val="22"/>
        </w:rPr>
        <w:t xml:space="preserve">  Lomas-Carlyle, 2:108 (Cromwell to William Lenthall, 4 September 1650).</w:t>
      </w:r>
    </w:p>
  </w:endnote>
  <w:endnote w:id="4">
    <w:p w:rsidR="00FA0FB8" w:rsidRPr="00601EE7" w:rsidRDefault="00FA0FB8" w:rsidP="00601EE7">
      <w:pPr>
        <w:pStyle w:val="EndnoteText"/>
        <w:rPr>
          <w:rFonts w:ascii="Garamond" w:hAnsi="Garamond"/>
          <w:sz w:val="22"/>
          <w:szCs w:val="22"/>
        </w:rPr>
      </w:pPr>
      <w:r w:rsidRPr="00601EE7">
        <w:rPr>
          <w:rStyle w:val="EndnoteReference"/>
          <w:rFonts w:ascii="Garamond" w:hAnsi="Garamond"/>
          <w:sz w:val="22"/>
          <w:szCs w:val="22"/>
        </w:rPr>
        <w:endnoteRef/>
      </w:r>
      <w:r w:rsidRPr="00601EE7">
        <w:rPr>
          <w:rFonts w:ascii="Garamond" w:hAnsi="Garamond"/>
          <w:sz w:val="22"/>
          <w:szCs w:val="22"/>
        </w:rPr>
        <w:t xml:space="preserve">  Blair Worden, </w:t>
      </w:r>
      <w:r w:rsidRPr="00601EE7">
        <w:rPr>
          <w:rFonts w:ascii="Garamond" w:hAnsi="Garamond"/>
          <w:i/>
          <w:sz w:val="22"/>
          <w:szCs w:val="22"/>
        </w:rPr>
        <w:t>The Rump Parliament, 1648-1653</w:t>
      </w:r>
      <w:r w:rsidRPr="00601EE7">
        <w:rPr>
          <w:rFonts w:ascii="Garamond" w:hAnsi="Garamond"/>
          <w:sz w:val="22"/>
          <w:szCs w:val="22"/>
        </w:rPr>
        <w:t xml:space="preserve"> (Cambridge, 1974), chapters 14-17.</w:t>
      </w:r>
    </w:p>
  </w:endnote>
  <w:endnote w:id="5">
    <w:p w:rsidR="008557A1" w:rsidRPr="00601EE7" w:rsidRDefault="008557A1" w:rsidP="00601EE7">
      <w:pPr>
        <w:pStyle w:val="EndnoteText"/>
        <w:rPr>
          <w:rFonts w:ascii="Garamond" w:hAnsi="Garamond"/>
          <w:sz w:val="22"/>
          <w:szCs w:val="22"/>
        </w:rPr>
      </w:pPr>
      <w:r w:rsidRPr="00601EE7">
        <w:rPr>
          <w:rStyle w:val="EndnoteReference"/>
          <w:rFonts w:ascii="Garamond" w:hAnsi="Garamond"/>
          <w:sz w:val="22"/>
          <w:szCs w:val="22"/>
        </w:rPr>
        <w:endnoteRef/>
      </w:r>
      <w:r w:rsidRPr="00601EE7">
        <w:rPr>
          <w:rFonts w:ascii="Garamond" w:hAnsi="Garamond"/>
          <w:sz w:val="22"/>
          <w:szCs w:val="22"/>
        </w:rPr>
        <w:t xml:space="preserve">  S.R. Gardiner (</w:t>
      </w:r>
      <w:r w:rsidRPr="00601EE7">
        <w:rPr>
          <w:rFonts w:ascii="Garamond" w:eastAsia="Calibri" w:hAnsi="Garamond"/>
          <w:sz w:val="22"/>
          <w:szCs w:val="22"/>
        </w:rPr>
        <w:t>ed.</w:t>
      </w:r>
      <w:r w:rsidRPr="00601EE7">
        <w:rPr>
          <w:rFonts w:ascii="Garamond" w:hAnsi="Garamond"/>
          <w:sz w:val="22"/>
          <w:szCs w:val="22"/>
        </w:rPr>
        <w:t>)</w:t>
      </w:r>
      <w:r w:rsidRPr="00601EE7">
        <w:rPr>
          <w:rFonts w:ascii="Garamond" w:eastAsia="Calibri" w:hAnsi="Garamond"/>
          <w:sz w:val="22"/>
          <w:szCs w:val="22"/>
        </w:rPr>
        <w:t xml:space="preserve">, </w:t>
      </w:r>
      <w:r w:rsidRPr="00601EE7">
        <w:rPr>
          <w:rFonts w:ascii="Garamond" w:eastAsia="Calibri" w:hAnsi="Garamond"/>
          <w:i/>
          <w:sz w:val="22"/>
          <w:szCs w:val="22"/>
        </w:rPr>
        <w:t xml:space="preserve">Constitutional Documents of the Puritan Revolution, 1625-1660 </w:t>
      </w:r>
      <w:r w:rsidRPr="00601EE7">
        <w:rPr>
          <w:rFonts w:ascii="Garamond" w:eastAsia="Calibri" w:hAnsi="Garamond"/>
          <w:sz w:val="22"/>
          <w:szCs w:val="22"/>
        </w:rPr>
        <w:t>(3rd edition, Oxford, 1906)</w:t>
      </w:r>
      <w:r w:rsidRPr="00601EE7">
        <w:rPr>
          <w:rFonts w:ascii="Garamond" w:hAnsi="Garamond"/>
          <w:sz w:val="22"/>
          <w:szCs w:val="22"/>
        </w:rPr>
        <w:t>, pp. 401-2 (Cromwell</w:t>
      </w:r>
      <w:r w:rsidR="00565574" w:rsidRPr="00601EE7">
        <w:rPr>
          <w:rFonts w:ascii="Garamond" w:hAnsi="Garamond"/>
          <w:sz w:val="22"/>
          <w:szCs w:val="22"/>
        </w:rPr>
        <w:t>’</w:t>
      </w:r>
      <w:r w:rsidRPr="00601EE7">
        <w:rPr>
          <w:rFonts w:ascii="Garamond" w:hAnsi="Garamond"/>
          <w:sz w:val="22"/>
          <w:szCs w:val="22"/>
        </w:rPr>
        <w:t>s</w:t>
      </w:r>
      <w:r w:rsidR="00232DA7" w:rsidRPr="00601EE7">
        <w:rPr>
          <w:rFonts w:ascii="Garamond" w:hAnsi="Garamond"/>
          <w:sz w:val="22"/>
          <w:szCs w:val="22"/>
        </w:rPr>
        <w:t xml:space="preserve"> Declaration, </w:t>
      </w:r>
      <w:r w:rsidRPr="00601EE7">
        <w:rPr>
          <w:rFonts w:ascii="Garamond" w:hAnsi="Garamond"/>
          <w:sz w:val="22"/>
          <w:szCs w:val="22"/>
        </w:rPr>
        <w:t>22 April 1653).</w:t>
      </w:r>
    </w:p>
  </w:endnote>
  <w:endnote w:id="6">
    <w:p w:rsidR="008557A1" w:rsidRPr="00601EE7" w:rsidRDefault="008557A1" w:rsidP="00601EE7">
      <w:pPr>
        <w:pStyle w:val="EndnoteText"/>
        <w:rPr>
          <w:rFonts w:ascii="Garamond" w:hAnsi="Garamond"/>
          <w:sz w:val="22"/>
          <w:szCs w:val="22"/>
        </w:rPr>
      </w:pPr>
      <w:r w:rsidRPr="00601EE7">
        <w:rPr>
          <w:rStyle w:val="EndnoteReference"/>
          <w:rFonts w:ascii="Garamond" w:hAnsi="Garamond"/>
          <w:sz w:val="22"/>
          <w:szCs w:val="22"/>
        </w:rPr>
        <w:endnoteRef/>
      </w:r>
      <w:r w:rsidRPr="00601EE7">
        <w:rPr>
          <w:rFonts w:ascii="Garamond" w:hAnsi="Garamond"/>
          <w:sz w:val="22"/>
          <w:szCs w:val="22"/>
        </w:rPr>
        <w:t xml:space="preserve">  G.C. Moore Smith (ed.), </w:t>
      </w:r>
      <w:r w:rsidRPr="00601EE7">
        <w:rPr>
          <w:rFonts w:ascii="Garamond" w:hAnsi="Garamond"/>
          <w:i/>
          <w:sz w:val="22"/>
          <w:szCs w:val="22"/>
        </w:rPr>
        <w:t>The Letters of Dorothy Osborne to William Temple</w:t>
      </w:r>
      <w:r w:rsidRPr="00601EE7">
        <w:rPr>
          <w:rFonts w:ascii="Garamond" w:hAnsi="Garamond"/>
          <w:sz w:val="22"/>
          <w:szCs w:val="22"/>
        </w:rPr>
        <w:t xml:space="preserve"> (Oxford, 1928), p. 39 (Dorothy Osborne to William Temple, 23 April 1653).</w:t>
      </w:r>
    </w:p>
  </w:endnote>
  <w:endnote w:id="7">
    <w:p w:rsidR="00AF416C" w:rsidRPr="00601EE7" w:rsidRDefault="00AF416C" w:rsidP="00601EE7">
      <w:pPr>
        <w:pStyle w:val="EndnoteText"/>
        <w:rPr>
          <w:rFonts w:ascii="Garamond" w:hAnsi="Garamond"/>
          <w:sz w:val="22"/>
          <w:szCs w:val="22"/>
        </w:rPr>
      </w:pPr>
      <w:r w:rsidRPr="00601EE7">
        <w:rPr>
          <w:rStyle w:val="EndnoteReference"/>
          <w:rFonts w:ascii="Garamond" w:hAnsi="Garamond"/>
          <w:sz w:val="22"/>
          <w:szCs w:val="22"/>
        </w:rPr>
        <w:endnoteRef/>
      </w:r>
      <w:r w:rsidRPr="00601EE7">
        <w:rPr>
          <w:rFonts w:ascii="Garamond" w:hAnsi="Garamond"/>
          <w:sz w:val="22"/>
          <w:szCs w:val="22"/>
        </w:rPr>
        <w:t xml:space="preserve">  The fullest account of Barebone’s Parliament remains Austin Woolrych, </w:t>
      </w:r>
      <w:r w:rsidRPr="00601EE7">
        <w:rPr>
          <w:rFonts w:ascii="Garamond" w:hAnsi="Garamond"/>
          <w:i/>
          <w:sz w:val="22"/>
          <w:szCs w:val="22"/>
        </w:rPr>
        <w:t xml:space="preserve">Commonwealth to Protectorate </w:t>
      </w:r>
      <w:r w:rsidRPr="00601EE7">
        <w:rPr>
          <w:rFonts w:ascii="Garamond" w:hAnsi="Garamond"/>
          <w:sz w:val="22"/>
          <w:szCs w:val="22"/>
        </w:rPr>
        <w:t>(Oxford, 1982).</w:t>
      </w:r>
    </w:p>
  </w:endnote>
  <w:endnote w:id="8">
    <w:p w:rsidR="008557A1" w:rsidRPr="00601EE7" w:rsidRDefault="008557A1" w:rsidP="00601EE7">
      <w:pPr>
        <w:pStyle w:val="EndnoteText"/>
        <w:rPr>
          <w:rFonts w:ascii="Garamond" w:hAnsi="Garamond"/>
          <w:sz w:val="22"/>
          <w:szCs w:val="22"/>
        </w:rPr>
      </w:pPr>
      <w:r w:rsidRPr="00601EE7">
        <w:rPr>
          <w:rStyle w:val="EndnoteReference"/>
          <w:rFonts w:ascii="Garamond" w:hAnsi="Garamond"/>
          <w:sz w:val="22"/>
          <w:szCs w:val="22"/>
        </w:rPr>
        <w:endnoteRef/>
      </w:r>
      <w:r w:rsidRPr="00601EE7">
        <w:rPr>
          <w:rFonts w:ascii="Garamond" w:hAnsi="Garamond"/>
          <w:sz w:val="22"/>
          <w:szCs w:val="22"/>
        </w:rPr>
        <w:t xml:space="preserve">  Lomas-Carlyle, 2: 290, 296 (Cromwell to Barebone</w:t>
      </w:r>
      <w:r w:rsidR="00565574" w:rsidRPr="00601EE7">
        <w:rPr>
          <w:rFonts w:ascii="Garamond" w:hAnsi="Garamond"/>
          <w:sz w:val="22"/>
          <w:szCs w:val="22"/>
        </w:rPr>
        <w:t>’</w:t>
      </w:r>
      <w:r w:rsidRPr="00601EE7">
        <w:rPr>
          <w:rFonts w:ascii="Garamond" w:hAnsi="Garamond"/>
          <w:sz w:val="22"/>
          <w:szCs w:val="22"/>
        </w:rPr>
        <w:t>s Parliament, 4 July 1653).</w:t>
      </w:r>
    </w:p>
  </w:endnote>
  <w:endnote w:id="9">
    <w:p w:rsidR="00564CD2" w:rsidRPr="00601EE7" w:rsidRDefault="00564CD2" w:rsidP="00601EE7">
      <w:pPr>
        <w:pStyle w:val="EndnoteText"/>
        <w:rPr>
          <w:rFonts w:ascii="Garamond" w:hAnsi="Garamond"/>
          <w:sz w:val="22"/>
          <w:szCs w:val="22"/>
        </w:rPr>
      </w:pPr>
      <w:r w:rsidRPr="00601EE7">
        <w:rPr>
          <w:rStyle w:val="EndnoteReference"/>
          <w:rFonts w:ascii="Garamond" w:hAnsi="Garamond"/>
          <w:sz w:val="22"/>
          <w:szCs w:val="22"/>
        </w:rPr>
        <w:endnoteRef/>
      </w:r>
      <w:r w:rsidRPr="00601EE7">
        <w:rPr>
          <w:rFonts w:ascii="Garamond" w:hAnsi="Garamond"/>
          <w:sz w:val="22"/>
          <w:szCs w:val="22"/>
        </w:rPr>
        <w:t xml:space="preserve">  Lomas-Carlyle, 3:98</w:t>
      </w:r>
      <w:r w:rsidR="00093ED5" w:rsidRPr="00601EE7">
        <w:rPr>
          <w:rFonts w:ascii="Garamond" w:hAnsi="Garamond"/>
          <w:sz w:val="22"/>
          <w:szCs w:val="22"/>
        </w:rPr>
        <w:t xml:space="preserve"> (Cromwell to the representatives of the second Protectorate Parliament, 21 April 1657).</w:t>
      </w:r>
      <w:r w:rsidRPr="00601EE7">
        <w:rPr>
          <w:rFonts w:ascii="Garamond" w:hAnsi="Garamond"/>
          <w:sz w:val="22"/>
          <w:szCs w:val="22"/>
        </w:rPr>
        <w:t xml:space="preserve"> </w:t>
      </w:r>
    </w:p>
  </w:endnote>
  <w:endnote w:id="10">
    <w:p w:rsidR="006E4B0D" w:rsidRPr="00601EE7" w:rsidRDefault="006E4B0D" w:rsidP="00601EE7">
      <w:pPr>
        <w:pStyle w:val="EndnoteText"/>
        <w:rPr>
          <w:rFonts w:ascii="Garamond" w:hAnsi="Garamond"/>
          <w:sz w:val="22"/>
          <w:szCs w:val="22"/>
        </w:rPr>
      </w:pPr>
      <w:r w:rsidRPr="00601EE7">
        <w:rPr>
          <w:rStyle w:val="EndnoteReference"/>
          <w:rFonts w:ascii="Garamond" w:hAnsi="Garamond"/>
          <w:sz w:val="22"/>
          <w:szCs w:val="22"/>
        </w:rPr>
        <w:endnoteRef/>
      </w:r>
      <w:r w:rsidRPr="00601EE7">
        <w:rPr>
          <w:rFonts w:ascii="Garamond" w:hAnsi="Garamond"/>
          <w:sz w:val="22"/>
          <w:szCs w:val="22"/>
        </w:rPr>
        <w:t xml:space="preserve">  Lomas-Carlyle, 2:381 (Cromwell to the first Protectorate Parliament, 12 September 1654).</w:t>
      </w:r>
      <w:r w:rsidR="00CD2831" w:rsidRPr="00601EE7">
        <w:rPr>
          <w:rFonts w:ascii="Garamond" w:hAnsi="Garamond"/>
          <w:sz w:val="22"/>
          <w:szCs w:val="22"/>
        </w:rPr>
        <w:t xml:space="preserve">  For the full text of the Instrument of Government, see Gardiner (</w:t>
      </w:r>
      <w:r w:rsidR="00CD2831" w:rsidRPr="00601EE7">
        <w:rPr>
          <w:rFonts w:ascii="Garamond" w:eastAsia="Calibri" w:hAnsi="Garamond"/>
          <w:sz w:val="22"/>
          <w:szCs w:val="22"/>
        </w:rPr>
        <w:t>ed.</w:t>
      </w:r>
      <w:r w:rsidR="00CD2831" w:rsidRPr="00601EE7">
        <w:rPr>
          <w:rFonts w:ascii="Garamond" w:hAnsi="Garamond"/>
          <w:sz w:val="22"/>
          <w:szCs w:val="22"/>
        </w:rPr>
        <w:t>)</w:t>
      </w:r>
      <w:r w:rsidR="00CD2831" w:rsidRPr="00601EE7">
        <w:rPr>
          <w:rFonts w:ascii="Garamond" w:eastAsia="Calibri" w:hAnsi="Garamond"/>
          <w:sz w:val="22"/>
          <w:szCs w:val="22"/>
        </w:rPr>
        <w:t xml:space="preserve">, </w:t>
      </w:r>
      <w:r w:rsidR="00CD2831" w:rsidRPr="00601EE7">
        <w:rPr>
          <w:rFonts w:ascii="Garamond" w:eastAsia="Calibri" w:hAnsi="Garamond"/>
          <w:i/>
          <w:sz w:val="22"/>
          <w:szCs w:val="22"/>
        </w:rPr>
        <w:t>Constitutional Documents</w:t>
      </w:r>
      <w:r w:rsidR="00CD2831" w:rsidRPr="00601EE7">
        <w:rPr>
          <w:rFonts w:ascii="Garamond" w:eastAsia="Calibri" w:hAnsi="Garamond"/>
          <w:sz w:val="22"/>
          <w:szCs w:val="22"/>
        </w:rPr>
        <w:t xml:space="preserve">, pp. </w:t>
      </w:r>
      <w:r w:rsidR="000075D5" w:rsidRPr="00601EE7">
        <w:rPr>
          <w:rFonts w:ascii="Garamond" w:eastAsia="Calibri" w:hAnsi="Garamond"/>
          <w:sz w:val="22"/>
          <w:szCs w:val="22"/>
        </w:rPr>
        <w:t>405-17.</w:t>
      </w:r>
      <w:r w:rsidR="00CD2831" w:rsidRPr="00601EE7">
        <w:rPr>
          <w:rFonts w:ascii="Garamond" w:hAnsi="Garamond"/>
          <w:sz w:val="22"/>
          <w:szCs w:val="22"/>
        </w:rPr>
        <w:t xml:space="preserve"> </w:t>
      </w:r>
    </w:p>
  </w:endnote>
  <w:endnote w:id="11">
    <w:p w:rsidR="007A4DDF" w:rsidRPr="00601EE7" w:rsidRDefault="007A4DDF" w:rsidP="00601EE7">
      <w:pPr>
        <w:pStyle w:val="EndnoteText"/>
        <w:rPr>
          <w:rFonts w:ascii="Garamond" w:hAnsi="Garamond"/>
          <w:sz w:val="22"/>
          <w:szCs w:val="22"/>
        </w:rPr>
      </w:pPr>
      <w:r w:rsidRPr="00601EE7">
        <w:rPr>
          <w:rStyle w:val="EndnoteReference"/>
          <w:rFonts w:ascii="Garamond" w:hAnsi="Garamond"/>
          <w:sz w:val="22"/>
          <w:szCs w:val="22"/>
        </w:rPr>
        <w:endnoteRef/>
      </w:r>
      <w:r w:rsidRPr="00601EE7">
        <w:rPr>
          <w:rFonts w:ascii="Garamond" w:hAnsi="Garamond"/>
          <w:sz w:val="22"/>
          <w:szCs w:val="22"/>
        </w:rPr>
        <w:t xml:space="preserve">  Gardiner (</w:t>
      </w:r>
      <w:r w:rsidRPr="00601EE7">
        <w:rPr>
          <w:rFonts w:ascii="Garamond" w:eastAsia="Calibri" w:hAnsi="Garamond"/>
          <w:sz w:val="22"/>
          <w:szCs w:val="22"/>
        </w:rPr>
        <w:t>ed.</w:t>
      </w:r>
      <w:r w:rsidRPr="00601EE7">
        <w:rPr>
          <w:rFonts w:ascii="Garamond" w:hAnsi="Garamond"/>
          <w:sz w:val="22"/>
          <w:szCs w:val="22"/>
        </w:rPr>
        <w:t>)</w:t>
      </w:r>
      <w:r w:rsidRPr="00601EE7">
        <w:rPr>
          <w:rFonts w:ascii="Garamond" w:eastAsia="Calibri" w:hAnsi="Garamond"/>
          <w:sz w:val="22"/>
          <w:szCs w:val="22"/>
        </w:rPr>
        <w:t xml:space="preserve">, </w:t>
      </w:r>
      <w:r w:rsidRPr="00601EE7">
        <w:rPr>
          <w:rFonts w:ascii="Garamond" w:eastAsia="Calibri" w:hAnsi="Garamond"/>
          <w:i/>
          <w:sz w:val="22"/>
          <w:szCs w:val="22"/>
        </w:rPr>
        <w:t>Constitutional Documents</w:t>
      </w:r>
      <w:r w:rsidRPr="00601EE7">
        <w:rPr>
          <w:rFonts w:ascii="Garamond" w:eastAsia="Calibri" w:hAnsi="Garamond"/>
          <w:sz w:val="22"/>
          <w:szCs w:val="22"/>
        </w:rPr>
        <w:t>, p. 411 (Instrument of Government, 16 December 1653).</w:t>
      </w:r>
    </w:p>
  </w:endnote>
  <w:endnote w:id="12">
    <w:p w:rsidR="00F529A2" w:rsidRPr="00601EE7" w:rsidRDefault="00F529A2" w:rsidP="00601EE7">
      <w:pPr>
        <w:pStyle w:val="EndnoteText"/>
        <w:rPr>
          <w:rFonts w:ascii="Garamond" w:hAnsi="Garamond"/>
          <w:sz w:val="22"/>
          <w:szCs w:val="22"/>
        </w:rPr>
      </w:pPr>
      <w:r w:rsidRPr="00601EE7">
        <w:rPr>
          <w:rStyle w:val="EndnoteReference"/>
          <w:rFonts w:ascii="Garamond" w:hAnsi="Garamond"/>
          <w:sz w:val="22"/>
          <w:szCs w:val="22"/>
        </w:rPr>
        <w:endnoteRef/>
      </w:r>
      <w:r w:rsidRPr="00601EE7">
        <w:rPr>
          <w:rFonts w:ascii="Garamond" w:hAnsi="Garamond"/>
          <w:sz w:val="22"/>
          <w:szCs w:val="22"/>
        </w:rPr>
        <w:t xml:space="preserve">  For fuller discussion of what follows, see Patrick Little and David L. Smith, </w:t>
      </w:r>
      <w:r w:rsidRPr="00601EE7">
        <w:rPr>
          <w:rFonts w:ascii="Garamond" w:hAnsi="Garamond"/>
          <w:i/>
          <w:sz w:val="22"/>
          <w:szCs w:val="22"/>
        </w:rPr>
        <w:t>Parliaments and Politics during the Cromwellian Protectorate</w:t>
      </w:r>
      <w:r w:rsidRPr="00601EE7">
        <w:rPr>
          <w:rFonts w:ascii="Garamond" w:hAnsi="Garamond"/>
          <w:sz w:val="22"/>
          <w:szCs w:val="22"/>
        </w:rPr>
        <w:t xml:space="preserve"> (Cambridge, 2007).</w:t>
      </w:r>
    </w:p>
  </w:endnote>
  <w:endnote w:id="13">
    <w:p w:rsidR="008557A1" w:rsidRPr="00601EE7" w:rsidRDefault="008557A1" w:rsidP="00601EE7">
      <w:pPr>
        <w:pStyle w:val="EndnoteText"/>
        <w:rPr>
          <w:rFonts w:ascii="Garamond" w:hAnsi="Garamond"/>
          <w:sz w:val="22"/>
          <w:szCs w:val="22"/>
        </w:rPr>
      </w:pPr>
      <w:r w:rsidRPr="00601EE7">
        <w:rPr>
          <w:rStyle w:val="EndnoteReference"/>
          <w:rFonts w:ascii="Garamond" w:hAnsi="Garamond"/>
          <w:sz w:val="22"/>
          <w:szCs w:val="22"/>
        </w:rPr>
        <w:endnoteRef/>
      </w:r>
      <w:r w:rsidRPr="00601EE7">
        <w:rPr>
          <w:rFonts w:ascii="Garamond" w:hAnsi="Garamond"/>
          <w:sz w:val="22"/>
          <w:szCs w:val="22"/>
        </w:rPr>
        <w:t xml:space="preserve">  Lomas-Carlyle, 2:339, 358 (Cromwell to the first Protectorate Parliament, 4 September 1654).</w:t>
      </w:r>
    </w:p>
  </w:endnote>
  <w:endnote w:id="14">
    <w:p w:rsidR="008557A1" w:rsidRPr="00601EE7" w:rsidRDefault="008557A1" w:rsidP="00601EE7">
      <w:pPr>
        <w:pStyle w:val="EndnoteText"/>
        <w:rPr>
          <w:rFonts w:ascii="Garamond" w:hAnsi="Garamond"/>
          <w:sz w:val="22"/>
          <w:szCs w:val="22"/>
        </w:rPr>
      </w:pPr>
      <w:r w:rsidRPr="00601EE7">
        <w:rPr>
          <w:rStyle w:val="EndnoteReference"/>
          <w:rFonts w:ascii="Garamond" w:hAnsi="Garamond"/>
          <w:sz w:val="22"/>
          <w:szCs w:val="22"/>
        </w:rPr>
        <w:endnoteRef/>
      </w:r>
      <w:r w:rsidRPr="00601EE7">
        <w:rPr>
          <w:rFonts w:ascii="Garamond" w:hAnsi="Garamond"/>
          <w:sz w:val="22"/>
          <w:szCs w:val="22"/>
        </w:rPr>
        <w:t xml:space="preserve">  Lomas-Carlyle, 2:382-3 (Cromwell to the first Protectorate Parliament, 12 September 1654).</w:t>
      </w:r>
    </w:p>
  </w:endnote>
  <w:endnote w:id="15">
    <w:p w:rsidR="00FE75F3" w:rsidRPr="00601EE7" w:rsidRDefault="00FE75F3" w:rsidP="00601EE7">
      <w:pPr>
        <w:pStyle w:val="EndnoteText"/>
        <w:rPr>
          <w:rFonts w:ascii="Garamond" w:hAnsi="Garamond"/>
          <w:sz w:val="22"/>
          <w:szCs w:val="22"/>
        </w:rPr>
      </w:pPr>
      <w:r w:rsidRPr="00601EE7">
        <w:rPr>
          <w:rStyle w:val="EndnoteReference"/>
          <w:rFonts w:ascii="Garamond" w:hAnsi="Garamond"/>
          <w:sz w:val="22"/>
          <w:szCs w:val="22"/>
        </w:rPr>
        <w:endnoteRef/>
      </w:r>
      <w:r w:rsidRPr="00601EE7">
        <w:rPr>
          <w:rFonts w:ascii="Garamond" w:hAnsi="Garamond"/>
          <w:sz w:val="22"/>
          <w:szCs w:val="22"/>
        </w:rPr>
        <w:t xml:space="preserve">  See, for example, Gardiner (</w:t>
      </w:r>
      <w:r w:rsidRPr="00601EE7">
        <w:rPr>
          <w:rFonts w:ascii="Garamond" w:eastAsia="Calibri" w:hAnsi="Garamond"/>
          <w:sz w:val="22"/>
          <w:szCs w:val="22"/>
        </w:rPr>
        <w:t>ed.</w:t>
      </w:r>
      <w:r w:rsidRPr="00601EE7">
        <w:rPr>
          <w:rFonts w:ascii="Garamond" w:hAnsi="Garamond"/>
          <w:sz w:val="22"/>
          <w:szCs w:val="22"/>
        </w:rPr>
        <w:t>)</w:t>
      </w:r>
      <w:r w:rsidRPr="00601EE7">
        <w:rPr>
          <w:rFonts w:ascii="Garamond" w:eastAsia="Calibri" w:hAnsi="Garamond"/>
          <w:sz w:val="22"/>
          <w:szCs w:val="22"/>
        </w:rPr>
        <w:t xml:space="preserve">, </w:t>
      </w:r>
      <w:r w:rsidRPr="00601EE7">
        <w:rPr>
          <w:rFonts w:ascii="Garamond" w:eastAsia="Calibri" w:hAnsi="Garamond"/>
          <w:i/>
          <w:sz w:val="22"/>
          <w:szCs w:val="22"/>
        </w:rPr>
        <w:t>Constitutional Documents</w:t>
      </w:r>
      <w:r w:rsidRPr="00601EE7">
        <w:rPr>
          <w:rFonts w:ascii="Garamond" w:eastAsia="Calibri" w:hAnsi="Garamond"/>
          <w:sz w:val="22"/>
          <w:szCs w:val="22"/>
        </w:rPr>
        <w:t>, p. 443 (constitutional bill, 1654-5).</w:t>
      </w:r>
      <w:r w:rsidRPr="00601EE7">
        <w:rPr>
          <w:rFonts w:ascii="Garamond" w:hAnsi="Garamond"/>
          <w:sz w:val="22"/>
          <w:szCs w:val="22"/>
        </w:rPr>
        <w:t xml:space="preserve"> </w:t>
      </w:r>
    </w:p>
  </w:endnote>
  <w:endnote w:id="16">
    <w:p w:rsidR="00A9011E" w:rsidRPr="00601EE7" w:rsidRDefault="00A9011E" w:rsidP="00601EE7">
      <w:pPr>
        <w:pStyle w:val="EndnoteText"/>
        <w:rPr>
          <w:rFonts w:ascii="Garamond" w:hAnsi="Garamond"/>
          <w:sz w:val="22"/>
          <w:szCs w:val="22"/>
        </w:rPr>
      </w:pPr>
      <w:r w:rsidRPr="00601EE7">
        <w:rPr>
          <w:rStyle w:val="EndnoteReference"/>
          <w:rFonts w:ascii="Garamond" w:hAnsi="Garamond"/>
          <w:sz w:val="22"/>
          <w:szCs w:val="22"/>
        </w:rPr>
        <w:endnoteRef/>
      </w:r>
      <w:r w:rsidRPr="00601EE7">
        <w:rPr>
          <w:rFonts w:ascii="Garamond" w:hAnsi="Garamond"/>
          <w:sz w:val="22"/>
          <w:szCs w:val="22"/>
        </w:rPr>
        <w:t xml:space="preserve">  Gardiner (</w:t>
      </w:r>
      <w:r w:rsidRPr="00601EE7">
        <w:rPr>
          <w:rFonts w:ascii="Garamond" w:eastAsia="Calibri" w:hAnsi="Garamond"/>
          <w:sz w:val="22"/>
          <w:szCs w:val="22"/>
        </w:rPr>
        <w:t>ed.</w:t>
      </w:r>
      <w:r w:rsidRPr="00601EE7">
        <w:rPr>
          <w:rFonts w:ascii="Garamond" w:hAnsi="Garamond"/>
          <w:sz w:val="22"/>
          <w:szCs w:val="22"/>
        </w:rPr>
        <w:t>)</w:t>
      </w:r>
      <w:r w:rsidRPr="00601EE7">
        <w:rPr>
          <w:rFonts w:ascii="Garamond" w:eastAsia="Calibri" w:hAnsi="Garamond"/>
          <w:sz w:val="22"/>
          <w:szCs w:val="22"/>
        </w:rPr>
        <w:t xml:space="preserve">, </w:t>
      </w:r>
      <w:r w:rsidRPr="00601EE7">
        <w:rPr>
          <w:rFonts w:ascii="Garamond" w:eastAsia="Calibri" w:hAnsi="Garamond"/>
          <w:i/>
          <w:sz w:val="22"/>
          <w:szCs w:val="22"/>
        </w:rPr>
        <w:t>Constitutional Documents</w:t>
      </w:r>
      <w:r w:rsidRPr="00601EE7">
        <w:rPr>
          <w:rFonts w:ascii="Garamond" w:eastAsia="Calibri" w:hAnsi="Garamond"/>
          <w:sz w:val="22"/>
          <w:szCs w:val="22"/>
        </w:rPr>
        <w:t xml:space="preserve">, p. 406 (Instrument of Government, </w:t>
      </w:r>
      <w:r w:rsidR="007A4DDF" w:rsidRPr="00601EE7">
        <w:rPr>
          <w:rFonts w:ascii="Garamond" w:eastAsia="Calibri" w:hAnsi="Garamond"/>
          <w:sz w:val="22"/>
          <w:szCs w:val="22"/>
        </w:rPr>
        <w:t xml:space="preserve">16 </w:t>
      </w:r>
      <w:r w:rsidRPr="00601EE7">
        <w:rPr>
          <w:rFonts w:ascii="Garamond" w:eastAsia="Calibri" w:hAnsi="Garamond"/>
          <w:sz w:val="22"/>
          <w:szCs w:val="22"/>
        </w:rPr>
        <w:t>December 1653).</w:t>
      </w:r>
    </w:p>
  </w:endnote>
  <w:endnote w:id="17">
    <w:p w:rsidR="008557A1" w:rsidRPr="00601EE7" w:rsidRDefault="008557A1" w:rsidP="00601EE7">
      <w:pPr>
        <w:pStyle w:val="EndnoteText"/>
        <w:rPr>
          <w:rFonts w:ascii="Garamond" w:hAnsi="Garamond"/>
          <w:sz w:val="22"/>
          <w:szCs w:val="22"/>
        </w:rPr>
      </w:pPr>
      <w:r w:rsidRPr="00601EE7">
        <w:rPr>
          <w:rStyle w:val="EndnoteReference"/>
          <w:rFonts w:ascii="Garamond" w:hAnsi="Garamond"/>
          <w:sz w:val="22"/>
          <w:szCs w:val="22"/>
        </w:rPr>
        <w:endnoteRef/>
      </w:r>
      <w:r w:rsidRPr="00601EE7">
        <w:rPr>
          <w:rFonts w:ascii="Garamond" w:hAnsi="Garamond"/>
          <w:sz w:val="22"/>
          <w:szCs w:val="22"/>
        </w:rPr>
        <w:t xml:space="preserve">  Lomas-Carlyle, 2:417, 429-30 (Cromwell to the first Protectorate Parliament, 22 January 1655).</w:t>
      </w:r>
    </w:p>
  </w:endnote>
  <w:endnote w:id="18">
    <w:p w:rsidR="00E71999" w:rsidRPr="00601EE7" w:rsidRDefault="00E71999" w:rsidP="00601EE7">
      <w:pPr>
        <w:pStyle w:val="EndnoteText"/>
        <w:rPr>
          <w:rFonts w:ascii="Garamond" w:hAnsi="Garamond"/>
          <w:sz w:val="22"/>
          <w:szCs w:val="22"/>
        </w:rPr>
      </w:pPr>
      <w:r w:rsidRPr="00601EE7">
        <w:rPr>
          <w:rStyle w:val="EndnoteReference"/>
          <w:rFonts w:ascii="Garamond" w:hAnsi="Garamond"/>
          <w:sz w:val="22"/>
          <w:szCs w:val="22"/>
        </w:rPr>
        <w:endnoteRef/>
      </w:r>
      <w:r w:rsidRPr="00601EE7">
        <w:rPr>
          <w:rFonts w:ascii="Garamond" w:hAnsi="Garamond"/>
          <w:sz w:val="22"/>
          <w:szCs w:val="22"/>
        </w:rPr>
        <w:t xml:space="preserve"> </w:t>
      </w:r>
      <w:r w:rsidR="00A81259" w:rsidRPr="00601EE7">
        <w:rPr>
          <w:rFonts w:ascii="Garamond" w:hAnsi="Garamond"/>
          <w:sz w:val="22"/>
          <w:szCs w:val="22"/>
        </w:rPr>
        <w:t xml:space="preserve"> Natalie Mears, Alasdair Raffe, Stephen Taylor and Philip Williamson (eds.), </w:t>
      </w:r>
      <w:r w:rsidR="00A81259" w:rsidRPr="00601EE7">
        <w:rPr>
          <w:rFonts w:ascii="Garamond" w:hAnsi="Garamond"/>
          <w:i/>
          <w:sz w:val="22"/>
          <w:szCs w:val="22"/>
        </w:rPr>
        <w:t>National Prayers: Special Worship since the Reformation, Volume 1: Special Prayers, Fasts and Thanksgivings in the British Isles, 1533-1688</w:t>
      </w:r>
      <w:r w:rsidR="00A81259" w:rsidRPr="00601EE7">
        <w:rPr>
          <w:rFonts w:ascii="Garamond" w:hAnsi="Garamond"/>
          <w:sz w:val="22"/>
          <w:szCs w:val="22"/>
        </w:rPr>
        <w:t xml:space="preserve"> (Church of England Record Society, 20, </w:t>
      </w:r>
      <w:r w:rsidR="00D340FB" w:rsidRPr="00601EE7">
        <w:rPr>
          <w:rFonts w:ascii="Garamond" w:hAnsi="Garamond"/>
          <w:sz w:val="22"/>
          <w:szCs w:val="22"/>
        </w:rPr>
        <w:t xml:space="preserve">Woodbridge, </w:t>
      </w:r>
      <w:r w:rsidR="00A81259" w:rsidRPr="00601EE7">
        <w:rPr>
          <w:rFonts w:ascii="Garamond" w:hAnsi="Garamond"/>
          <w:sz w:val="22"/>
          <w:szCs w:val="22"/>
        </w:rPr>
        <w:t>2013)</w:t>
      </w:r>
      <w:r w:rsidRPr="00601EE7">
        <w:rPr>
          <w:rFonts w:ascii="Garamond" w:hAnsi="Garamond"/>
          <w:sz w:val="22"/>
          <w:szCs w:val="22"/>
        </w:rPr>
        <w:t>, p</w:t>
      </w:r>
      <w:r w:rsidR="00A81259" w:rsidRPr="00601EE7">
        <w:rPr>
          <w:rFonts w:ascii="Garamond" w:hAnsi="Garamond"/>
          <w:sz w:val="22"/>
          <w:szCs w:val="22"/>
        </w:rPr>
        <w:t>p</w:t>
      </w:r>
      <w:r w:rsidRPr="00601EE7">
        <w:rPr>
          <w:rFonts w:ascii="Garamond" w:hAnsi="Garamond"/>
          <w:sz w:val="22"/>
          <w:szCs w:val="22"/>
        </w:rPr>
        <w:t>. 606</w:t>
      </w:r>
      <w:r w:rsidR="00A81259" w:rsidRPr="00601EE7">
        <w:rPr>
          <w:rFonts w:ascii="Garamond" w:hAnsi="Garamond"/>
          <w:sz w:val="22"/>
          <w:szCs w:val="22"/>
        </w:rPr>
        <w:t>-7</w:t>
      </w:r>
      <w:r w:rsidRPr="00601EE7">
        <w:rPr>
          <w:rFonts w:ascii="Garamond" w:hAnsi="Garamond"/>
          <w:sz w:val="22"/>
          <w:szCs w:val="22"/>
        </w:rPr>
        <w:t xml:space="preserve"> (Cromwell’s Declaration</w:t>
      </w:r>
      <w:r w:rsidR="00A81259" w:rsidRPr="00601EE7">
        <w:rPr>
          <w:rFonts w:ascii="Garamond" w:hAnsi="Garamond"/>
          <w:sz w:val="22"/>
          <w:szCs w:val="22"/>
        </w:rPr>
        <w:t>s, 21 November 1655, 13 March 1656).</w:t>
      </w:r>
    </w:p>
  </w:endnote>
  <w:endnote w:id="19">
    <w:p w:rsidR="001A4019" w:rsidRPr="00601EE7" w:rsidRDefault="001A4019" w:rsidP="00601EE7">
      <w:pPr>
        <w:pStyle w:val="EndnoteText"/>
        <w:rPr>
          <w:rFonts w:ascii="Garamond" w:hAnsi="Garamond"/>
          <w:sz w:val="22"/>
          <w:szCs w:val="22"/>
        </w:rPr>
      </w:pPr>
      <w:r w:rsidRPr="00601EE7">
        <w:rPr>
          <w:rStyle w:val="EndnoteReference"/>
          <w:rFonts w:ascii="Garamond" w:hAnsi="Garamond"/>
          <w:sz w:val="22"/>
          <w:szCs w:val="22"/>
        </w:rPr>
        <w:endnoteRef/>
      </w:r>
      <w:r w:rsidRPr="00601EE7">
        <w:rPr>
          <w:rFonts w:ascii="Garamond" w:hAnsi="Garamond"/>
          <w:sz w:val="22"/>
          <w:szCs w:val="22"/>
        </w:rPr>
        <w:t xml:space="preserve"> </w:t>
      </w:r>
      <w:r w:rsidR="007F4CB5" w:rsidRPr="00601EE7">
        <w:rPr>
          <w:rFonts w:ascii="Garamond" w:hAnsi="Garamond"/>
          <w:sz w:val="22"/>
          <w:szCs w:val="22"/>
        </w:rPr>
        <w:t xml:space="preserve"> For Cromwell’s use of the phrase ‘reformation of manners’, se</w:t>
      </w:r>
      <w:r w:rsidR="00F9326C" w:rsidRPr="00601EE7">
        <w:rPr>
          <w:rFonts w:ascii="Garamond" w:hAnsi="Garamond"/>
          <w:sz w:val="22"/>
          <w:szCs w:val="22"/>
        </w:rPr>
        <w:t>e for example Lomas-C</w:t>
      </w:r>
      <w:r w:rsidR="001C3425" w:rsidRPr="00601EE7">
        <w:rPr>
          <w:rFonts w:ascii="Garamond" w:hAnsi="Garamond"/>
          <w:sz w:val="22"/>
          <w:szCs w:val="22"/>
        </w:rPr>
        <w:t>arlyle</w:t>
      </w:r>
      <w:r w:rsidR="00F9326C" w:rsidRPr="00601EE7">
        <w:rPr>
          <w:rFonts w:ascii="Garamond" w:hAnsi="Garamond"/>
          <w:sz w:val="22"/>
          <w:szCs w:val="22"/>
        </w:rPr>
        <w:t>, 2:538, 540 (Cromwell to the second Protectorate Parliament, 17 September 1656).</w:t>
      </w:r>
    </w:p>
  </w:endnote>
  <w:endnote w:id="20">
    <w:p w:rsidR="008557A1" w:rsidRPr="00601EE7" w:rsidRDefault="008557A1" w:rsidP="00601EE7">
      <w:pPr>
        <w:pStyle w:val="EndnoteText"/>
        <w:rPr>
          <w:rFonts w:ascii="Garamond" w:hAnsi="Garamond"/>
          <w:sz w:val="22"/>
          <w:szCs w:val="22"/>
        </w:rPr>
      </w:pPr>
      <w:r w:rsidRPr="00601EE7">
        <w:rPr>
          <w:rStyle w:val="EndnoteReference"/>
          <w:rFonts w:ascii="Garamond" w:hAnsi="Garamond"/>
          <w:sz w:val="22"/>
          <w:szCs w:val="22"/>
        </w:rPr>
        <w:endnoteRef/>
      </w:r>
      <w:r w:rsidRPr="00601EE7">
        <w:rPr>
          <w:rFonts w:ascii="Garamond" w:hAnsi="Garamond"/>
          <w:sz w:val="22"/>
          <w:szCs w:val="22"/>
        </w:rPr>
        <w:t xml:space="preserve">  J.P. Kenyon (ed.), </w:t>
      </w:r>
      <w:r w:rsidRPr="00601EE7">
        <w:rPr>
          <w:rFonts w:ascii="Garamond" w:hAnsi="Garamond"/>
          <w:i/>
          <w:sz w:val="22"/>
          <w:szCs w:val="22"/>
        </w:rPr>
        <w:t>The Stuart Constitution: Documents and Commentary</w:t>
      </w:r>
      <w:r w:rsidRPr="00601EE7">
        <w:rPr>
          <w:rFonts w:ascii="Garamond" w:hAnsi="Garamond"/>
          <w:sz w:val="22"/>
          <w:szCs w:val="22"/>
        </w:rPr>
        <w:t xml:space="preserve"> (2nd edition, Cambridge, 1986), p. 323 (Cromwell</w:t>
      </w:r>
      <w:r w:rsidR="00565574" w:rsidRPr="00601EE7">
        <w:rPr>
          <w:rFonts w:ascii="Garamond" w:hAnsi="Garamond"/>
          <w:sz w:val="22"/>
          <w:szCs w:val="22"/>
        </w:rPr>
        <w:t>’</w:t>
      </w:r>
      <w:r w:rsidRPr="00601EE7">
        <w:rPr>
          <w:rFonts w:ascii="Garamond" w:hAnsi="Garamond"/>
          <w:sz w:val="22"/>
          <w:szCs w:val="22"/>
        </w:rPr>
        <w:t>s instructions to the Major-Generals, October 1655).</w:t>
      </w:r>
    </w:p>
  </w:endnote>
  <w:endnote w:id="21">
    <w:p w:rsidR="001A4019" w:rsidRPr="00601EE7" w:rsidRDefault="001A4019" w:rsidP="00601EE7">
      <w:pPr>
        <w:pStyle w:val="EndnoteText"/>
        <w:rPr>
          <w:rFonts w:ascii="Garamond" w:hAnsi="Garamond"/>
          <w:sz w:val="22"/>
          <w:szCs w:val="22"/>
        </w:rPr>
      </w:pPr>
      <w:r w:rsidRPr="00601EE7">
        <w:rPr>
          <w:rStyle w:val="EndnoteReference"/>
          <w:rFonts w:ascii="Garamond" w:hAnsi="Garamond"/>
          <w:sz w:val="22"/>
          <w:szCs w:val="22"/>
        </w:rPr>
        <w:endnoteRef/>
      </w:r>
      <w:r w:rsidR="000645F7" w:rsidRPr="00601EE7">
        <w:rPr>
          <w:rFonts w:ascii="Garamond" w:hAnsi="Garamond"/>
          <w:sz w:val="22"/>
          <w:szCs w:val="22"/>
        </w:rPr>
        <w:t xml:space="preserve">  Lomas-Carlyle, 3:345 (Cromwell at the Reading Debates, 16 July 1647).</w:t>
      </w:r>
      <w:r w:rsidRPr="00601EE7">
        <w:rPr>
          <w:rFonts w:ascii="Garamond" w:hAnsi="Garamond"/>
          <w:sz w:val="22"/>
          <w:szCs w:val="22"/>
        </w:rPr>
        <w:t xml:space="preserve"> </w:t>
      </w:r>
    </w:p>
  </w:endnote>
  <w:endnote w:id="22">
    <w:p w:rsidR="007A16BB" w:rsidRPr="00601EE7" w:rsidRDefault="007A16BB" w:rsidP="00601EE7">
      <w:pPr>
        <w:pStyle w:val="EndnoteText"/>
        <w:rPr>
          <w:rFonts w:ascii="Garamond" w:hAnsi="Garamond"/>
          <w:sz w:val="22"/>
          <w:szCs w:val="22"/>
        </w:rPr>
      </w:pPr>
      <w:r w:rsidRPr="00601EE7">
        <w:rPr>
          <w:rStyle w:val="EndnoteReference"/>
          <w:rFonts w:ascii="Garamond" w:hAnsi="Garamond"/>
          <w:sz w:val="22"/>
          <w:szCs w:val="22"/>
        </w:rPr>
        <w:endnoteRef/>
      </w:r>
      <w:r w:rsidRPr="00601EE7">
        <w:rPr>
          <w:rFonts w:ascii="Garamond" w:hAnsi="Garamond"/>
          <w:sz w:val="22"/>
          <w:szCs w:val="22"/>
        </w:rPr>
        <w:t xml:space="preserve">  Christopher Durston, </w:t>
      </w:r>
      <w:r w:rsidRPr="00601EE7">
        <w:rPr>
          <w:rFonts w:ascii="Garamond" w:hAnsi="Garamond"/>
          <w:i/>
          <w:sz w:val="22"/>
          <w:szCs w:val="22"/>
        </w:rPr>
        <w:t>Cromwell’s Major-Generals: Godly Government during the English Revolution</w:t>
      </w:r>
      <w:r w:rsidRPr="00601EE7">
        <w:rPr>
          <w:rFonts w:ascii="Garamond" w:hAnsi="Garamond"/>
          <w:sz w:val="22"/>
          <w:szCs w:val="22"/>
        </w:rPr>
        <w:t xml:space="preserve"> (Manchester, 2001).</w:t>
      </w:r>
    </w:p>
  </w:endnote>
  <w:endnote w:id="23">
    <w:p w:rsidR="0018170B" w:rsidRPr="00601EE7" w:rsidRDefault="0018170B" w:rsidP="00601EE7">
      <w:pPr>
        <w:pStyle w:val="EndnoteText"/>
        <w:rPr>
          <w:rFonts w:ascii="Garamond" w:hAnsi="Garamond"/>
          <w:sz w:val="22"/>
          <w:szCs w:val="22"/>
        </w:rPr>
      </w:pPr>
      <w:r w:rsidRPr="00601EE7">
        <w:rPr>
          <w:rStyle w:val="EndnoteReference"/>
          <w:rFonts w:ascii="Garamond" w:hAnsi="Garamond"/>
          <w:sz w:val="22"/>
          <w:szCs w:val="22"/>
        </w:rPr>
        <w:endnoteRef/>
      </w:r>
      <w:r w:rsidRPr="00601EE7">
        <w:rPr>
          <w:rFonts w:ascii="Garamond" w:hAnsi="Garamond"/>
          <w:sz w:val="22"/>
          <w:szCs w:val="22"/>
        </w:rPr>
        <w:t xml:space="preserve">  For a list of thes</w:t>
      </w:r>
      <w:r w:rsidR="00F529A2" w:rsidRPr="00601EE7">
        <w:rPr>
          <w:rFonts w:ascii="Garamond" w:hAnsi="Garamond"/>
          <w:sz w:val="22"/>
          <w:szCs w:val="22"/>
        </w:rPr>
        <w:t xml:space="preserve">e excluded members, see Little and </w:t>
      </w:r>
      <w:r w:rsidRPr="00601EE7">
        <w:rPr>
          <w:rFonts w:ascii="Garamond" w:hAnsi="Garamond"/>
          <w:sz w:val="22"/>
          <w:szCs w:val="22"/>
        </w:rPr>
        <w:t xml:space="preserve">Smith, </w:t>
      </w:r>
      <w:r w:rsidR="00F529A2" w:rsidRPr="00601EE7">
        <w:rPr>
          <w:rFonts w:ascii="Garamond" w:hAnsi="Garamond"/>
          <w:i/>
          <w:sz w:val="22"/>
          <w:szCs w:val="22"/>
        </w:rPr>
        <w:t>Parliaments and Politics</w:t>
      </w:r>
      <w:r w:rsidRPr="00601EE7">
        <w:rPr>
          <w:rFonts w:ascii="Garamond" w:hAnsi="Garamond"/>
          <w:sz w:val="22"/>
          <w:szCs w:val="22"/>
        </w:rPr>
        <w:t>, pp. 302-5.</w:t>
      </w:r>
    </w:p>
  </w:endnote>
  <w:endnote w:id="24">
    <w:p w:rsidR="008557A1" w:rsidRPr="00601EE7" w:rsidRDefault="008557A1" w:rsidP="00601EE7">
      <w:pPr>
        <w:pStyle w:val="EndnoteText"/>
        <w:rPr>
          <w:rFonts w:ascii="Garamond" w:hAnsi="Garamond"/>
          <w:sz w:val="22"/>
          <w:szCs w:val="22"/>
        </w:rPr>
      </w:pPr>
      <w:r w:rsidRPr="00601EE7">
        <w:rPr>
          <w:rStyle w:val="EndnoteReference"/>
          <w:rFonts w:ascii="Garamond" w:hAnsi="Garamond"/>
          <w:sz w:val="22"/>
          <w:szCs w:val="22"/>
        </w:rPr>
        <w:endnoteRef/>
      </w:r>
      <w:r w:rsidRPr="00601EE7">
        <w:rPr>
          <w:rFonts w:ascii="Garamond" w:hAnsi="Garamond"/>
          <w:sz w:val="22"/>
          <w:szCs w:val="22"/>
        </w:rPr>
        <w:t xml:space="preserve">  Lomas-Carlyle, 2:543-4 (Cromwell to the second Protectorate Parliament, 17 September 1656).</w:t>
      </w:r>
    </w:p>
  </w:endnote>
  <w:endnote w:id="25">
    <w:p w:rsidR="00C80744" w:rsidRPr="00601EE7" w:rsidRDefault="00C80744" w:rsidP="00601EE7">
      <w:pPr>
        <w:pStyle w:val="EndnoteText"/>
        <w:rPr>
          <w:rFonts w:ascii="Garamond" w:hAnsi="Garamond"/>
          <w:sz w:val="22"/>
          <w:szCs w:val="22"/>
        </w:rPr>
      </w:pPr>
      <w:r w:rsidRPr="00601EE7">
        <w:rPr>
          <w:rStyle w:val="EndnoteReference"/>
          <w:rFonts w:ascii="Garamond" w:hAnsi="Garamond"/>
          <w:sz w:val="22"/>
          <w:szCs w:val="22"/>
        </w:rPr>
        <w:endnoteRef/>
      </w:r>
      <w:r w:rsidRPr="00601EE7">
        <w:rPr>
          <w:rFonts w:ascii="Garamond" w:hAnsi="Garamond"/>
          <w:sz w:val="22"/>
          <w:szCs w:val="22"/>
        </w:rPr>
        <w:t xml:space="preserve"> </w:t>
      </w:r>
      <w:r w:rsidR="00971848" w:rsidRPr="00601EE7">
        <w:rPr>
          <w:rFonts w:ascii="Garamond" w:hAnsi="Garamond"/>
          <w:sz w:val="22"/>
          <w:szCs w:val="22"/>
        </w:rPr>
        <w:t xml:space="preserve"> Bulstrode Whitelocke, </w:t>
      </w:r>
      <w:r w:rsidR="00971848" w:rsidRPr="00601EE7">
        <w:rPr>
          <w:rFonts w:ascii="Garamond" w:hAnsi="Garamond"/>
          <w:i/>
          <w:sz w:val="22"/>
          <w:szCs w:val="22"/>
        </w:rPr>
        <w:t>Memorials of the English Affairs</w:t>
      </w:r>
      <w:r w:rsidR="00971848" w:rsidRPr="00601EE7">
        <w:rPr>
          <w:rFonts w:ascii="Garamond" w:hAnsi="Garamond"/>
          <w:sz w:val="22"/>
          <w:szCs w:val="22"/>
        </w:rPr>
        <w:t xml:space="preserve"> (4 vols., Oxford, 1853),</w:t>
      </w:r>
      <w:r w:rsidR="00D340FB" w:rsidRPr="00601EE7">
        <w:rPr>
          <w:rFonts w:ascii="Garamond" w:hAnsi="Garamond"/>
          <w:sz w:val="22"/>
          <w:szCs w:val="22"/>
        </w:rPr>
        <w:t xml:space="preserve"> 3:471 (November 1652); Ruth Spalding (ed.), </w:t>
      </w:r>
      <w:r w:rsidR="00D340FB" w:rsidRPr="00601EE7">
        <w:rPr>
          <w:rFonts w:ascii="Garamond" w:hAnsi="Garamond"/>
          <w:i/>
          <w:sz w:val="22"/>
          <w:szCs w:val="22"/>
        </w:rPr>
        <w:t>The Diary of Bulstrode Whitelocke, 1605-1675</w:t>
      </w:r>
      <w:r w:rsidR="00D340FB" w:rsidRPr="00601EE7">
        <w:rPr>
          <w:rFonts w:ascii="Garamond" w:hAnsi="Garamond"/>
          <w:sz w:val="22"/>
          <w:szCs w:val="22"/>
        </w:rPr>
        <w:t xml:space="preserve"> (British Academy, Records of Social and Economic History, new series, 13, Oxford, 1990),</w:t>
      </w:r>
      <w:r w:rsidR="00D340FB" w:rsidRPr="00601EE7">
        <w:rPr>
          <w:rFonts w:ascii="Garamond" w:hAnsi="Garamond"/>
          <w:b/>
          <w:sz w:val="22"/>
          <w:szCs w:val="22"/>
        </w:rPr>
        <w:t xml:space="preserve"> </w:t>
      </w:r>
      <w:r w:rsidR="00D340FB" w:rsidRPr="00601EE7">
        <w:rPr>
          <w:rFonts w:ascii="Garamond" w:hAnsi="Garamond"/>
          <w:sz w:val="22"/>
          <w:szCs w:val="22"/>
        </w:rPr>
        <w:t>p. 281.</w:t>
      </w:r>
    </w:p>
  </w:endnote>
  <w:endnote w:id="26">
    <w:p w:rsidR="008557A1" w:rsidRPr="00601EE7" w:rsidRDefault="008557A1" w:rsidP="00601EE7">
      <w:pPr>
        <w:pStyle w:val="EndnoteText"/>
        <w:rPr>
          <w:rFonts w:ascii="Garamond" w:hAnsi="Garamond"/>
          <w:sz w:val="22"/>
          <w:szCs w:val="22"/>
        </w:rPr>
      </w:pPr>
      <w:r w:rsidRPr="00601EE7">
        <w:rPr>
          <w:rStyle w:val="EndnoteReference"/>
          <w:rFonts w:ascii="Garamond" w:hAnsi="Garamond"/>
          <w:sz w:val="22"/>
          <w:szCs w:val="22"/>
        </w:rPr>
        <w:endnoteRef/>
      </w:r>
      <w:r w:rsidRPr="00601EE7">
        <w:rPr>
          <w:rFonts w:ascii="Garamond" w:hAnsi="Garamond"/>
          <w:sz w:val="22"/>
          <w:szCs w:val="22"/>
        </w:rPr>
        <w:t xml:space="preserve">  Lomas-Carlyle, 3:70-1 (Cromwell to the representatives of the second Protectorate Parliament, 13 April 1657).</w:t>
      </w:r>
    </w:p>
  </w:endnote>
  <w:endnote w:id="27">
    <w:p w:rsidR="00227732" w:rsidRPr="00601EE7" w:rsidRDefault="00227732" w:rsidP="00601EE7">
      <w:pPr>
        <w:pStyle w:val="EndnoteText"/>
        <w:rPr>
          <w:rFonts w:ascii="Garamond" w:hAnsi="Garamond"/>
          <w:sz w:val="22"/>
          <w:szCs w:val="22"/>
        </w:rPr>
      </w:pPr>
      <w:r w:rsidRPr="00601EE7">
        <w:rPr>
          <w:rStyle w:val="EndnoteReference"/>
          <w:rFonts w:ascii="Garamond" w:hAnsi="Garamond"/>
          <w:sz w:val="22"/>
          <w:szCs w:val="22"/>
        </w:rPr>
        <w:endnoteRef/>
      </w:r>
      <w:r w:rsidRPr="00601EE7">
        <w:rPr>
          <w:rFonts w:ascii="Garamond" w:hAnsi="Garamond"/>
          <w:sz w:val="22"/>
          <w:szCs w:val="22"/>
        </w:rPr>
        <w:t xml:space="preserve">  Gardiner (</w:t>
      </w:r>
      <w:r w:rsidRPr="00601EE7">
        <w:rPr>
          <w:rFonts w:ascii="Garamond" w:eastAsia="Calibri" w:hAnsi="Garamond"/>
          <w:sz w:val="22"/>
          <w:szCs w:val="22"/>
        </w:rPr>
        <w:t>ed.</w:t>
      </w:r>
      <w:r w:rsidRPr="00601EE7">
        <w:rPr>
          <w:rFonts w:ascii="Garamond" w:hAnsi="Garamond"/>
          <w:sz w:val="22"/>
          <w:szCs w:val="22"/>
        </w:rPr>
        <w:t>)</w:t>
      </w:r>
      <w:r w:rsidRPr="00601EE7">
        <w:rPr>
          <w:rFonts w:ascii="Garamond" w:eastAsia="Calibri" w:hAnsi="Garamond"/>
          <w:sz w:val="22"/>
          <w:szCs w:val="22"/>
        </w:rPr>
        <w:t xml:space="preserve">, </w:t>
      </w:r>
      <w:r w:rsidRPr="00601EE7">
        <w:rPr>
          <w:rFonts w:ascii="Garamond" w:eastAsia="Calibri" w:hAnsi="Garamond"/>
          <w:i/>
          <w:sz w:val="22"/>
          <w:szCs w:val="22"/>
        </w:rPr>
        <w:t>Constitutional Documents</w:t>
      </w:r>
      <w:r w:rsidRPr="00601EE7">
        <w:rPr>
          <w:rFonts w:ascii="Garamond" w:eastAsia="Calibri" w:hAnsi="Garamond"/>
          <w:sz w:val="22"/>
          <w:szCs w:val="22"/>
        </w:rPr>
        <w:t>, pp. 449,</w:t>
      </w:r>
      <w:r w:rsidR="00A150D7" w:rsidRPr="00601EE7">
        <w:rPr>
          <w:rFonts w:ascii="Garamond" w:eastAsia="Calibri" w:hAnsi="Garamond"/>
          <w:sz w:val="22"/>
          <w:szCs w:val="22"/>
        </w:rPr>
        <w:t xml:space="preserve"> 455 (Humble Petition and Advice, 25 May 1657).</w:t>
      </w:r>
      <w:r w:rsidRPr="00601EE7">
        <w:rPr>
          <w:rFonts w:ascii="Garamond" w:eastAsia="Calibri" w:hAnsi="Garamond"/>
          <w:sz w:val="22"/>
          <w:szCs w:val="22"/>
        </w:rPr>
        <w:t xml:space="preserve"> </w:t>
      </w:r>
    </w:p>
  </w:endnote>
  <w:endnote w:id="28">
    <w:p w:rsidR="00B0221E" w:rsidRPr="00601EE7" w:rsidRDefault="00B0221E" w:rsidP="00601EE7">
      <w:pPr>
        <w:pStyle w:val="EndnoteText"/>
        <w:rPr>
          <w:rFonts w:ascii="Garamond" w:hAnsi="Garamond"/>
          <w:sz w:val="22"/>
          <w:szCs w:val="22"/>
        </w:rPr>
      </w:pPr>
      <w:r w:rsidRPr="00601EE7">
        <w:rPr>
          <w:rStyle w:val="EndnoteReference"/>
          <w:rFonts w:ascii="Garamond" w:hAnsi="Garamond"/>
          <w:sz w:val="22"/>
          <w:szCs w:val="22"/>
        </w:rPr>
        <w:endnoteRef/>
      </w:r>
      <w:r w:rsidRPr="00601EE7">
        <w:rPr>
          <w:rFonts w:ascii="Garamond" w:hAnsi="Garamond"/>
          <w:sz w:val="22"/>
          <w:szCs w:val="22"/>
        </w:rPr>
        <w:t xml:space="preserve">  Lomas-Carlyle, 3:31 (Cromwell to the representatives of the second Protectorate Parliament, 3 April 1657).</w:t>
      </w:r>
    </w:p>
  </w:endnote>
  <w:endnote w:id="29">
    <w:p w:rsidR="008557A1" w:rsidRPr="00601EE7" w:rsidRDefault="008557A1" w:rsidP="00601EE7">
      <w:pPr>
        <w:pStyle w:val="EndnoteText"/>
        <w:rPr>
          <w:rFonts w:ascii="Garamond" w:hAnsi="Garamond"/>
          <w:sz w:val="22"/>
          <w:szCs w:val="22"/>
        </w:rPr>
      </w:pPr>
      <w:r w:rsidRPr="00601EE7">
        <w:rPr>
          <w:rStyle w:val="EndnoteReference"/>
          <w:rFonts w:ascii="Garamond" w:hAnsi="Garamond"/>
          <w:sz w:val="22"/>
          <w:szCs w:val="22"/>
        </w:rPr>
        <w:endnoteRef/>
      </w:r>
      <w:r w:rsidRPr="00601EE7">
        <w:rPr>
          <w:rFonts w:ascii="Garamond" w:hAnsi="Garamond"/>
          <w:sz w:val="22"/>
          <w:szCs w:val="22"/>
        </w:rPr>
        <w:t xml:space="preserve">  Lomas-Carlyle, 3:101 (Cromwell to the representatives of the second Protectorate Parliament, 21 April 1657).</w:t>
      </w:r>
    </w:p>
  </w:endnote>
  <w:endnote w:id="30">
    <w:p w:rsidR="008557A1" w:rsidRPr="00601EE7" w:rsidRDefault="008557A1" w:rsidP="00601EE7">
      <w:pPr>
        <w:pStyle w:val="EndnoteText"/>
        <w:rPr>
          <w:rFonts w:ascii="Garamond" w:hAnsi="Garamond"/>
          <w:sz w:val="22"/>
          <w:szCs w:val="22"/>
        </w:rPr>
      </w:pPr>
      <w:r w:rsidRPr="00601EE7">
        <w:rPr>
          <w:rStyle w:val="EndnoteReference"/>
          <w:rFonts w:ascii="Garamond" w:hAnsi="Garamond"/>
          <w:sz w:val="22"/>
          <w:szCs w:val="22"/>
        </w:rPr>
        <w:endnoteRef/>
      </w:r>
      <w:r w:rsidRPr="00601EE7">
        <w:rPr>
          <w:rFonts w:ascii="Garamond" w:hAnsi="Garamond"/>
          <w:sz w:val="22"/>
          <w:szCs w:val="22"/>
        </w:rPr>
        <w:t xml:space="preserve">  Lomas-Carlyle, 3:153 (Cromwell to the second Protectorate Parliament, 20 January 1658).</w:t>
      </w:r>
    </w:p>
  </w:endnote>
  <w:endnote w:id="31">
    <w:p w:rsidR="00475A51" w:rsidRPr="00601EE7" w:rsidRDefault="00475A51" w:rsidP="00601EE7">
      <w:pPr>
        <w:pStyle w:val="EndnoteText"/>
        <w:rPr>
          <w:rFonts w:ascii="Garamond" w:hAnsi="Garamond"/>
          <w:sz w:val="22"/>
          <w:szCs w:val="22"/>
        </w:rPr>
      </w:pPr>
      <w:r w:rsidRPr="00601EE7">
        <w:rPr>
          <w:rStyle w:val="EndnoteReference"/>
          <w:rFonts w:ascii="Garamond" w:hAnsi="Garamond"/>
          <w:sz w:val="22"/>
          <w:szCs w:val="22"/>
        </w:rPr>
        <w:endnoteRef/>
      </w:r>
      <w:r w:rsidRPr="00601EE7">
        <w:rPr>
          <w:rFonts w:ascii="Garamond" w:hAnsi="Garamond"/>
          <w:sz w:val="22"/>
          <w:szCs w:val="22"/>
        </w:rPr>
        <w:t xml:space="preserve">  Jonathan Fitzgibbons, </w:t>
      </w:r>
      <w:r w:rsidRPr="00601EE7">
        <w:rPr>
          <w:rFonts w:ascii="Garamond" w:hAnsi="Garamond"/>
          <w:i/>
          <w:sz w:val="22"/>
          <w:szCs w:val="22"/>
        </w:rPr>
        <w:t>Cromwell’s House of Lords: Politics, Parliaments and Constitutional Revolution, 1642-1660</w:t>
      </w:r>
      <w:r w:rsidRPr="00601EE7">
        <w:rPr>
          <w:rFonts w:ascii="Garamond" w:hAnsi="Garamond"/>
          <w:sz w:val="22"/>
          <w:szCs w:val="22"/>
        </w:rPr>
        <w:t xml:space="preserve"> (Woodbridge, 2018).</w:t>
      </w:r>
    </w:p>
  </w:endnote>
  <w:endnote w:id="32">
    <w:p w:rsidR="00E542E0" w:rsidRPr="00601EE7" w:rsidRDefault="00E542E0" w:rsidP="00601EE7">
      <w:pPr>
        <w:pStyle w:val="EndnoteText"/>
        <w:rPr>
          <w:rFonts w:ascii="Garamond" w:hAnsi="Garamond"/>
          <w:sz w:val="22"/>
          <w:szCs w:val="22"/>
        </w:rPr>
      </w:pPr>
      <w:r w:rsidRPr="00601EE7">
        <w:rPr>
          <w:rStyle w:val="EndnoteReference"/>
          <w:rFonts w:ascii="Garamond" w:hAnsi="Garamond"/>
          <w:sz w:val="22"/>
          <w:szCs w:val="22"/>
        </w:rPr>
        <w:endnoteRef/>
      </w:r>
      <w:r w:rsidRPr="00601EE7">
        <w:rPr>
          <w:rFonts w:ascii="Garamond" w:hAnsi="Garamond"/>
          <w:sz w:val="22"/>
          <w:szCs w:val="22"/>
        </w:rPr>
        <w:t xml:space="preserve">  Fitzgibbons, </w:t>
      </w:r>
      <w:r w:rsidRPr="00601EE7">
        <w:rPr>
          <w:rFonts w:ascii="Garamond" w:hAnsi="Garamond"/>
          <w:i/>
          <w:sz w:val="22"/>
          <w:szCs w:val="22"/>
        </w:rPr>
        <w:t>Cromwell’s House of Lords</w:t>
      </w:r>
      <w:r w:rsidRPr="00601EE7">
        <w:rPr>
          <w:rFonts w:ascii="Garamond" w:hAnsi="Garamond"/>
          <w:sz w:val="22"/>
          <w:szCs w:val="22"/>
        </w:rPr>
        <w:t xml:space="preserve">, chapter 4; Little and Smith, </w:t>
      </w:r>
      <w:r w:rsidRPr="00601EE7">
        <w:rPr>
          <w:rFonts w:ascii="Garamond" w:hAnsi="Garamond"/>
          <w:i/>
          <w:sz w:val="22"/>
          <w:szCs w:val="22"/>
        </w:rPr>
        <w:t>Parliaments and Politics</w:t>
      </w:r>
      <w:r w:rsidRPr="00601EE7">
        <w:rPr>
          <w:rFonts w:ascii="Garamond" w:hAnsi="Garamond"/>
          <w:sz w:val="22"/>
          <w:szCs w:val="22"/>
        </w:rPr>
        <w:t>, pp. 111-12, 138-9</w:t>
      </w:r>
      <w:r w:rsidR="002F65F1" w:rsidRPr="00601EE7">
        <w:rPr>
          <w:rFonts w:ascii="Garamond" w:hAnsi="Garamond"/>
          <w:sz w:val="22"/>
          <w:szCs w:val="22"/>
        </w:rPr>
        <w:t>.</w:t>
      </w:r>
    </w:p>
  </w:endnote>
  <w:endnote w:id="33">
    <w:p w:rsidR="008557A1" w:rsidRPr="00601EE7" w:rsidRDefault="008557A1" w:rsidP="00601EE7">
      <w:pPr>
        <w:pStyle w:val="EndnoteText"/>
        <w:rPr>
          <w:rFonts w:ascii="Garamond" w:hAnsi="Garamond"/>
          <w:sz w:val="22"/>
          <w:szCs w:val="22"/>
        </w:rPr>
      </w:pPr>
      <w:r w:rsidRPr="00601EE7">
        <w:rPr>
          <w:rStyle w:val="EndnoteReference"/>
          <w:rFonts w:ascii="Garamond" w:hAnsi="Garamond"/>
          <w:sz w:val="22"/>
          <w:szCs w:val="22"/>
        </w:rPr>
        <w:endnoteRef/>
      </w:r>
      <w:r w:rsidR="00D55F36" w:rsidRPr="00601EE7">
        <w:rPr>
          <w:rFonts w:ascii="Garamond" w:hAnsi="Garamond"/>
          <w:sz w:val="22"/>
          <w:szCs w:val="22"/>
        </w:rPr>
        <w:t xml:space="preserve">  Lomas-Carlyle, 3:174-5</w:t>
      </w:r>
      <w:r w:rsidRPr="00601EE7">
        <w:rPr>
          <w:rFonts w:ascii="Garamond" w:hAnsi="Garamond"/>
          <w:sz w:val="22"/>
          <w:szCs w:val="22"/>
        </w:rPr>
        <w:t xml:space="preserve"> (Cromwell to the second Protectorate Parliament, 25 January 1658).</w:t>
      </w:r>
    </w:p>
  </w:endnote>
  <w:endnote w:id="34">
    <w:p w:rsidR="008557A1" w:rsidRPr="00601EE7" w:rsidRDefault="008557A1" w:rsidP="00601EE7">
      <w:pPr>
        <w:pStyle w:val="EndnoteText"/>
        <w:rPr>
          <w:rFonts w:ascii="Garamond" w:hAnsi="Garamond"/>
          <w:sz w:val="22"/>
          <w:szCs w:val="22"/>
        </w:rPr>
      </w:pPr>
      <w:r w:rsidRPr="00601EE7">
        <w:rPr>
          <w:rStyle w:val="EndnoteReference"/>
          <w:rFonts w:ascii="Garamond" w:hAnsi="Garamond"/>
          <w:sz w:val="22"/>
          <w:szCs w:val="22"/>
        </w:rPr>
        <w:endnoteRef/>
      </w:r>
      <w:r w:rsidRPr="00601EE7">
        <w:rPr>
          <w:rFonts w:ascii="Garamond" w:hAnsi="Garamond"/>
          <w:sz w:val="22"/>
          <w:szCs w:val="22"/>
        </w:rPr>
        <w:t xml:space="preserve">  Lomas-Carlyle, 3: 188-9, 192 (Cromwell to the second Protectorate Parliament, 4 February 1658).</w:t>
      </w:r>
    </w:p>
  </w:endnote>
  <w:endnote w:id="35">
    <w:p w:rsidR="00413B37" w:rsidRPr="00601EE7" w:rsidRDefault="00413B37" w:rsidP="00601EE7">
      <w:pPr>
        <w:pStyle w:val="EndnoteText"/>
        <w:rPr>
          <w:rFonts w:ascii="Garamond" w:hAnsi="Garamond"/>
          <w:sz w:val="22"/>
          <w:szCs w:val="22"/>
        </w:rPr>
      </w:pPr>
      <w:r w:rsidRPr="00601EE7">
        <w:rPr>
          <w:rStyle w:val="EndnoteReference"/>
          <w:rFonts w:ascii="Garamond" w:hAnsi="Garamond"/>
          <w:sz w:val="22"/>
          <w:szCs w:val="22"/>
        </w:rPr>
        <w:endnoteRef/>
      </w:r>
      <w:r w:rsidRPr="00601EE7">
        <w:rPr>
          <w:rFonts w:ascii="Garamond" w:hAnsi="Garamond"/>
          <w:sz w:val="22"/>
          <w:szCs w:val="22"/>
        </w:rPr>
        <w:t xml:space="preserve">  </w:t>
      </w:r>
      <w:r w:rsidR="008E6212" w:rsidRPr="00601EE7">
        <w:rPr>
          <w:rFonts w:ascii="Garamond" w:hAnsi="Garamond"/>
          <w:sz w:val="22"/>
          <w:szCs w:val="22"/>
        </w:rPr>
        <w:t xml:space="preserve">C.H. Firth (ed.), </w:t>
      </w:r>
      <w:r w:rsidR="008E6212" w:rsidRPr="00601EE7">
        <w:rPr>
          <w:rFonts w:ascii="Garamond" w:hAnsi="Garamond"/>
          <w:i/>
          <w:sz w:val="22"/>
          <w:szCs w:val="22"/>
        </w:rPr>
        <w:t>The Clarke Papers</w:t>
      </w:r>
      <w:r w:rsidR="008E6212" w:rsidRPr="00601EE7">
        <w:rPr>
          <w:rFonts w:ascii="Garamond" w:hAnsi="Garamond"/>
          <w:sz w:val="22"/>
          <w:szCs w:val="22"/>
        </w:rPr>
        <w:t>, volume 3 (Camden Society, 2n</w:t>
      </w:r>
      <w:r w:rsidR="007F7E73" w:rsidRPr="00601EE7">
        <w:rPr>
          <w:rFonts w:ascii="Garamond" w:hAnsi="Garamond"/>
          <w:sz w:val="22"/>
          <w:szCs w:val="22"/>
        </w:rPr>
        <w:t>d series</w:t>
      </w:r>
      <w:r w:rsidR="008E6212" w:rsidRPr="00601EE7">
        <w:rPr>
          <w:rFonts w:ascii="Garamond" w:hAnsi="Garamond"/>
          <w:sz w:val="22"/>
          <w:szCs w:val="22"/>
        </w:rPr>
        <w:t xml:space="preserve">, 1899), p. </w:t>
      </w:r>
      <w:r w:rsidRPr="00601EE7">
        <w:rPr>
          <w:rFonts w:ascii="Garamond" w:hAnsi="Garamond"/>
          <w:sz w:val="22"/>
          <w:szCs w:val="22"/>
        </w:rPr>
        <w:t>139 (4 February 1658).</w:t>
      </w:r>
    </w:p>
    <w:p w:rsidR="007F7E73" w:rsidRPr="00601EE7" w:rsidRDefault="007F7E73" w:rsidP="00601EE7">
      <w:pPr>
        <w:pStyle w:val="EndnoteText"/>
        <w:rPr>
          <w:rFonts w:ascii="Garamond" w:hAnsi="Garamond"/>
          <w:sz w:val="22"/>
          <w:szCs w:val="22"/>
        </w:rPr>
      </w:pPr>
    </w:p>
    <w:p w:rsidR="007F7E73" w:rsidRPr="00601EE7" w:rsidRDefault="007F7E73" w:rsidP="00601EE7">
      <w:pPr>
        <w:pStyle w:val="EndnoteText"/>
        <w:rPr>
          <w:rFonts w:ascii="Garamond" w:hAnsi="Garamond"/>
          <w:sz w:val="22"/>
          <w:szCs w:val="22"/>
        </w:rPr>
      </w:pPr>
      <w:bookmarkStart w:id="0" w:name="_GoBack"/>
      <w:bookmarkEnd w:id="0"/>
    </w:p>
    <w:p w:rsidR="007F7E73" w:rsidRPr="00601EE7" w:rsidRDefault="007F7E73" w:rsidP="00601EE7">
      <w:pPr>
        <w:pStyle w:val="EndnoteText"/>
        <w:rPr>
          <w:rFonts w:ascii="Garamond" w:hAnsi="Garamond"/>
          <w:sz w:val="22"/>
          <w:szCs w:val="22"/>
        </w:rPr>
      </w:pPr>
    </w:p>
    <w:p w:rsidR="007F7E73" w:rsidRPr="00601EE7" w:rsidRDefault="007F7E73" w:rsidP="00601EE7">
      <w:pPr>
        <w:rPr>
          <w:rFonts w:ascii="Garamond" w:hAnsi="Garamond"/>
          <w:sz w:val="22"/>
          <w:szCs w:val="22"/>
        </w:rPr>
      </w:pPr>
      <w:r w:rsidRPr="00601EE7">
        <w:rPr>
          <w:rFonts w:ascii="Garamond" w:hAnsi="Garamond"/>
          <w:sz w:val="22"/>
          <w:szCs w:val="22"/>
        </w:rPr>
        <w:t xml:space="preserve">Dr David L. Smith is a Fellow and Director of Studies in History at Selwyn College, Cambridge.  He was a Trustee of the Cromwell Association from 2012 to 2015.    </w:t>
      </w:r>
    </w:p>
    <w:p w:rsidR="007F7E73" w:rsidRPr="00601EE7" w:rsidRDefault="007F7E73" w:rsidP="00601EE7">
      <w:pPr>
        <w:pStyle w:val="EndnoteText"/>
        <w:rPr>
          <w:rFonts w:ascii="Garamond" w:hAnsi="Garamond"/>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F1E" w:rsidRDefault="00BC7852">
    <w:pPr>
      <w:pStyle w:val="Footer"/>
      <w:jc w:val="center"/>
    </w:pPr>
    <w:r>
      <w:rPr>
        <w:rStyle w:val="PageNumber"/>
      </w:rPr>
      <w:fldChar w:fldCharType="begin"/>
    </w:r>
    <w:r w:rsidR="0086037D">
      <w:rPr>
        <w:rStyle w:val="PageNumber"/>
      </w:rPr>
      <w:instrText xml:space="preserve"> PAGE </w:instrText>
    </w:r>
    <w:r>
      <w:rPr>
        <w:rStyle w:val="PageNumber"/>
      </w:rPr>
      <w:fldChar w:fldCharType="separate"/>
    </w:r>
    <w:r w:rsidR="00601EE7">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69E" w:rsidRDefault="0029069E" w:rsidP="0047422F">
      <w:r>
        <w:separator/>
      </w:r>
    </w:p>
  </w:footnote>
  <w:footnote w:type="continuationSeparator" w:id="0">
    <w:p w:rsidR="0029069E" w:rsidRDefault="0029069E" w:rsidP="00474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EE587D"/>
    <w:rsid w:val="00005A03"/>
    <w:rsid w:val="000075D5"/>
    <w:rsid w:val="0001690C"/>
    <w:rsid w:val="00027488"/>
    <w:rsid w:val="00037EFD"/>
    <w:rsid w:val="0004179D"/>
    <w:rsid w:val="000429B8"/>
    <w:rsid w:val="0004538B"/>
    <w:rsid w:val="0005667E"/>
    <w:rsid w:val="000645F7"/>
    <w:rsid w:val="000832DF"/>
    <w:rsid w:val="00085D77"/>
    <w:rsid w:val="00093ED5"/>
    <w:rsid w:val="000B44FB"/>
    <w:rsid w:val="000D1D41"/>
    <w:rsid w:val="000D6164"/>
    <w:rsid w:val="000D6FF3"/>
    <w:rsid w:val="00123D47"/>
    <w:rsid w:val="001248A8"/>
    <w:rsid w:val="00127BD5"/>
    <w:rsid w:val="0015441F"/>
    <w:rsid w:val="00155C6B"/>
    <w:rsid w:val="00161083"/>
    <w:rsid w:val="00163787"/>
    <w:rsid w:val="0018170B"/>
    <w:rsid w:val="00184024"/>
    <w:rsid w:val="001A4019"/>
    <w:rsid w:val="001C3425"/>
    <w:rsid w:val="001C7C91"/>
    <w:rsid w:val="001C7D65"/>
    <w:rsid w:val="001D5ED2"/>
    <w:rsid w:val="001E597B"/>
    <w:rsid w:val="001F33CF"/>
    <w:rsid w:val="002053E7"/>
    <w:rsid w:val="00205B0F"/>
    <w:rsid w:val="002105C8"/>
    <w:rsid w:val="0022649F"/>
    <w:rsid w:val="00227732"/>
    <w:rsid w:val="00232DA7"/>
    <w:rsid w:val="002358B0"/>
    <w:rsid w:val="00245D45"/>
    <w:rsid w:val="00260999"/>
    <w:rsid w:val="00283E90"/>
    <w:rsid w:val="0029069E"/>
    <w:rsid w:val="00292498"/>
    <w:rsid w:val="0029346E"/>
    <w:rsid w:val="002956AD"/>
    <w:rsid w:val="002B68AF"/>
    <w:rsid w:val="002C2EB2"/>
    <w:rsid w:val="002D051F"/>
    <w:rsid w:val="002D267F"/>
    <w:rsid w:val="002E049C"/>
    <w:rsid w:val="002F4AFB"/>
    <w:rsid w:val="002F65F1"/>
    <w:rsid w:val="00311D9D"/>
    <w:rsid w:val="00314145"/>
    <w:rsid w:val="003374D1"/>
    <w:rsid w:val="00355A23"/>
    <w:rsid w:val="003759D7"/>
    <w:rsid w:val="00384E20"/>
    <w:rsid w:val="003A0323"/>
    <w:rsid w:val="003D576F"/>
    <w:rsid w:val="003E2D98"/>
    <w:rsid w:val="003F090C"/>
    <w:rsid w:val="003F336D"/>
    <w:rsid w:val="0040322E"/>
    <w:rsid w:val="00413B37"/>
    <w:rsid w:val="00415189"/>
    <w:rsid w:val="004159D8"/>
    <w:rsid w:val="00416006"/>
    <w:rsid w:val="00436559"/>
    <w:rsid w:val="00441193"/>
    <w:rsid w:val="00445E5A"/>
    <w:rsid w:val="0045278B"/>
    <w:rsid w:val="00461605"/>
    <w:rsid w:val="00461EAB"/>
    <w:rsid w:val="00462650"/>
    <w:rsid w:val="00465246"/>
    <w:rsid w:val="0047422F"/>
    <w:rsid w:val="00475A51"/>
    <w:rsid w:val="00485369"/>
    <w:rsid w:val="00490E41"/>
    <w:rsid w:val="004A15D8"/>
    <w:rsid w:val="004A53BD"/>
    <w:rsid w:val="004A5AA9"/>
    <w:rsid w:val="004C2AE6"/>
    <w:rsid w:val="004D3639"/>
    <w:rsid w:val="004E36F3"/>
    <w:rsid w:val="004E4FD2"/>
    <w:rsid w:val="0050037B"/>
    <w:rsid w:val="00507C9C"/>
    <w:rsid w:val="005114A8"/>
    <w:rsid w:val="00531BED"/>
    <w:rsid w:val="00540355"/>
    <w:rsid w:val="00540E8B"/>
    <w:rsid w:val="00564CD2"/>
    <w:rsid w:val="00565574"/>
    <w:rsid w:val="00573DCC"/>
    <w:rsid w:val="00573F9B"/>
    <w:rsid w:val="00594046"/>
    <w:rsid w:val="00596131"/>
    <w:rsid w:val="005962B9"/>
    <w:rsid w:val="00596556"/>
    <w:rsid w:val="00596738"/>
    <w:rsid w:val="005A279E"/>
    <w:rsid w:val="005A282A"/>
    <w:rsid w:val="005B0249"/>
    <w:rsid w:val="005D1429"/>
    <w:rsid w:val="005D60FD"/>
    <w:rsid w:val="005E41D3"/>
    <w:rsid w:val="005F3B2F"/>
    <w:rsid w:val="00601EE7"/>
    <w:rsid w:val="00603D6A"/>
    <w:rsid w:val="00623720"/>
    <w:rsid w:val="0062421A"/>
    <w:rsid w:val="00637D64"/>
    <w:rsid w:val="006418B9"/>
    <w:rsid w:val="006453EF"/>
    <w:rsid w:val="0065462B"/>
    <w:rsid w:val="00661489"/>
    <w:rsid w:val="00677ACA"/>
    <w:rsid w:val="006908A5"/>
    <w:rsid w:val="006B7572"/>
    <w:rsid w:val="006C0E54"/>
    <w:rsid w:val="006C2FBE"/>
    <w:rsid w:val="006D6D18"/>
    <w:rsid w:val="006E3414"/>
    <w:rsid w:val="006E4B0D"/>
    <w:rsid w:val="006F4FF6"/>
    <w:rsid w:val="007023C8"/>
    <w:rsid w:val="00711ADE"/>
    <w:rsid w:val="00730A04"/>
    <w:rsid w:val="007312F2"/>
    <w:rsid w:val="00757829"/>
    <w:rsid w:val="007737E7"/>
    <w:rsid w:val="00790CC4"/>
    <w:rsid w:val="007932F1"/>
    <w:rsid w:val="00795261"/>
    <w:rsid w:val="007A076B"/>
    <w:rsid w:val="007A16BB"/>
    <w:rsid w:val="007A4DDF"/>
    <w:rsid w:val="007B1DFE"/>
    <w:rsid w:val="007B31B9"/>
    <w:rsid w:val="007B7B01"/>
    <w:rsid w:val="007C216E"/>
    <w:rsid w:val="007D46B8"/>
    <w:rsid w:val="007F4CB5"/>
    <w:rsid w:val="007F7E73"/>
    <w:rsid w:val="0080023E"/>
    <w:rsid w:val="008173AE"/>
    <w:rsid w:val="0082675C"/>
    <w:rsid w:val="00827856"/>
    <w:rsid w:val="008552C3"/>
    <w:rsid w:val="008557A1"/>
    <w:rsid w:val="0086037D"/>
    <w:rsid w:val="00873577"/>
    <w:rsid w:val="008835D6"/>
    <w:rsid w:val="008A346C"/>
    <w:rsid w:val="008B0141"/>
    <w:rsid w:val="008C4381"/>
    <w:rsid w:val="008C4757"/>
    <w:rsid w:val="008D66BF"/>
    <w:rsid w:val="008D7A6C"/>
    <w:rsid w:val="008E6212"/>
    <w:rsid w:val="008F07C4"/>
    <w:rsid w:val="008F5324"/>
    <w:rsid w:val="00902A71"/>
    <w:rsid w:val="00903108"/>
    <w:rsid w:val="00911594"/>
    <w:rsid w:val="00920282"/>
    <w:rsid w:val="00934737"/>
    <w:rsid w:val="00934740"/>
    <w:rsid w:val="009355EC"/>
    <w:rsid w:val="00944F4C"/>
    <w:rsid w:val="009611FD"/>
    <w:rsid w:val="00966E62"/>
    <w:rsid w:val="00971848"/>
    <w:rsid w:val="00980025"/>
    <w:rsid w:val="009803DD"/>
    <w:rsid w:val="00982F78"/>
    <w:rsid w:val="00985727"/>
    <w:rsid w:val="009865EC"/>
    <w:rsid w:val="00991E0D"/>
    <w:rsid w:val="0099612D"/>
    <w:rsid w:val="009A209E"/>
    <w:rsid w:val="009C01B5"/>
    <w:rsid w:val="009C7EC1"/>
    <w:rsid w:val="00A10A5C"/>
    <w:rsid w:val="00A150D7"/>
    <w:rsid w:val="00A251FB"/>
    <w:rsid w:val="00A25CC9"/>
    <w:rsid w:val="00A26B63"/>
    <w:rsid w:val="00A31933"/>
    <w:rsid w:val="00A52CE9"/>
    <w:rsid w:val="00A62C44"/>
    <w:rsid w:val="00A75FBF"/>
    <w:rsid w:val="00A80CF0"/>
    <w:rsid w:val="00A81259"/>
    <w:rsid w:val="00A85747"/>
    <w:rsid w:val="00A9011E"/>
    <w:rsid w:val="00AA6304"/>
    <w:rsid w:val="00AA6922"/>
    <w:rsid w:val="00AC0351"/>
    <w:rsid w:val="00AD0FF5"/>
    <w:rsid w:val="00AD1FD6"/>
    <w:rsid w:val="00AD27A8"/>
    <w:rsid w:val="00AD63F0"/>
    <w:rsid w:val="00AF416C"/>
    <w:rsid w:val="00B0221E"/>
    <w:rsid w:val="00B053C0"/>
    <w:rsid w:val="00B06698"/>
    <w:rsid w:val="00B10FA1"/>
    <w:rsid w:val="00B24468"/>
    <w:rsid w:val="00B35063"/>
    <w:rsid w:val="00B41D1C"/>
    <w:rsid w:val="00B55C38"/>
    <w:rsid w:val="00B610BB"/>
    <w:rsid w:val="00B671DE"/>
    <w:rsid w:val="00BA69FC"/>
    <w:rsid w:val="00BB4334"/>
    <w:rsid w:val="00BC1E77"/>
    <w:rsid w:val="00BC3973"/>
    <w:rsid w:val="00BC7852"/>
    <w:rsid w:val="00BD2BF3"/>
    <w:rsid w:val="00BE1F5D"/>
    <w:rsid w:val="00BE3D59"/>
    <w:rsid w:val="00BF69D1"/>
    <w:rsid w:val="00C11917"/>
    <w:rsid w:val="00C13CC7"/>
    <w:rsid w:val="00C2712D"/>
    <w:rsid w:val="00C42855"/>
    <w:rsid w:val="00C52A71"/>
    <w:rsid w:val="00C80744"/>
    <w:rsid w:val="00C80E51"/>
    <w:rsid w:val="00C87A45"/>
    <w:rsid w:val="00CA6C1E"/>
    <w:rsid w:val="00CA7630"/>
    <w:rsid w:val="00CD2831"/>
    <w:rsid w:val="00D03929"/>
    <w:rsid w:val="00D06ACB"/>
    <w:rsid w:val="00D12971"/>
    <w:rsid w:val="00D200D1"/>
    <w:rsid w:val="00D21672"/>
    <w:rsid w:val="00D22EA2"/>
    <w:rsid w:val="00D340FB"/>
    <w:rsid w:val="00D37051"/>
    <w:rsid w:val="00D514FC"/>
    <w:rsid w:val="00D5244F"/>
    <w:rsid w:val="00D55F36"/>
    <w:rsid w:val="00D6510A"/>
    <w:rsid w:val="00D708CD"/>
    <w:rsid w:val="00D76031"/>
    <w:rsid w:val="00D82CC8"/>
    <w:rsid w:val="00D95EB9"/>
    <w:rsid w:val="00DB1599"/>
    <w:rsid w:val="00DC716A"/>
    <w:rsid w:val="00DD177E"/>
    <w:rsid w:val="00DD40EB"/>
    <w:rsid w:val="00DD55F3"/>
    <w:rsid w:val="00DD5B81"/>
    <w:rsid w:val="00DE2BD8"/>
    <w:rsid w:val="00DE5D19"/>
    <w:rsid w:val="00DF297C"/>
    <w:rsid w:val="00DF5167"/>
    <w:rsid w:val="00E01FCD"/>
    <w:rsid w:val="00E06682"/>
    <w:rsid w:val="00E16F5E"/>
    <w:rsid w:val="00E542E0"/>
    <w:rsid w:val="00E71999"/>
    <w:rsid w:val="00E763CE"/>
    <w:rsid w:val="00E807D1"/>
    <w:rsid w:val="00E87C6D"/>
    <w:rsid w:val="00E90165"/>
    <w:rsid w:val="00E95D1F"/>
    <w:rsid w:val="00E97657"/>
    <w:rsid w:val="00EA01FD"/>
    <w:rsid w:val="00EA0B8A"/>
    <w:rsid w:val="00EA0E53"/>
    <w:rsid w:val="00EA6D20"/>
    <w:rsid w:val="00EB4007"/>
    <w:rsid w:val="00EC2B83"/>
    <w:rsid w:val="00ED2940"/>
    <w:rsid w:val="00EE587D"/>
    <w:rsid w:val="00F00677"/>
    <w:rsid w:val="00F045B6"/>
    <w:rsid w:val="00F050B6"/>
    <w:rsid w:val="00F05501"/>
    <w:rsid w:val="00F06E8A"/>
    <w:rsid w:val="00F22ECE"/>
    <w:rsid w:val="00F24FB5"/>
    <w:rsid w:val="00F40A98"/>
    <w:rsid w:val="00F44224"/>
    <w:rsid w:val="00F47B8C"/>
    <w:rsid w:val="00F529A2"/>
    <w:rsid w:val="00F56376"/>
    <w:rsid w:val="00F57E66"/>
    <w:rsid w:val="00F64A92"/>
    <w:rsid w:val="00F66B79"/>
    <w:rsid w:val="00F706BE"/>
    <w:rsid w:val="00F71381"/>
    <w:rsid w:val="00F71D74"/>
    <w:rsid w:val="00F912A8"/>
    <w:rsid w:val="00F92D7A"/>
    <w:rsid w:val="00F9310D"/>
    <w:rsid w:val="00F9326C"/>
    <w:rsid w:val="00F93526"/>
    <w:rsid w:val="00FA04BA"/>
    <w:rsid w:val="00FA0FB8"/>
    <w:rsid w:val="00FA182C"/>
    <w:rsid w:val="00FA2CA0"/>
    <w:rsid w:val="00FB2555"/>
    <w:rsid w:val="00FC0786"/>
    <w:rsid w:val="00FD56FC"/>
    <w:rsid w:val="00FE553C"/>
    <w:rsid w:val="00FE75F3"/>
    <w:rsid w:val="00FF6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9EEC2"/>
  <w15:docId w15:val="{E3359188-34A2-4C9B-A6FC-54CAB829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8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E587D"/>
    <w:pPr>
      <w:jc w:val="center"/>
    </w:pPr>
    <w:rPr>
      <w:b/>
      <w:bCs/>
      <w:u w:val="single"/>
    </w:rPr>
  </w:style>
  <w:style w:type="character" w:customStyle="1" w:styleId="TitleChar">
    <w:name w:val="Title Char"/>
    <w:basedOn w:val="DefaultParagraphFont"/>
    <w:link w:val="Title"/>
    <w:rsid w:val="00EE587D"/>
    <w:rPr>
      <w:rFonts w:ascii="Times New Roman" w:eastAsia="Times New Roman" w:hAnsi="Times New Roman" w:cs="Times New Roman"/>
      <w:b/>
      <w:bCs/>
      <w:sz w:val="24"/>
      <w:szCs w:val="24"/>
      <w:u w:val="single"/>
    </w:rPr>
  </w:style>
  <w:style w:type="paragraph" w:styleId="Footer">
    <w:name w:val="footer"/>
    <w:basedOn w:val="Normal"/>
    <w:link w:val="FooterChar"/>
    <w:rsid w:val="00EE587D"/>
    <w:pPr>
      <w:tabs>
        <w:tab w:val="center" w:pos="4153"/>
        <w:tab w:val="right" w:pos="8306"/>
      </w:tabs>
    </w:pPr>
  </w:style>
  <w:style w:type="character" w:customStyle="1" w:styleId="FooterChar">
    <w:name w:val="Footer Char"/>
    <w:basedOn w:val="DefaultParagraphFont"/>
    <w:link w:val="Footer"/>
    <w:rsid w:val="00EE587D"/>
    <w:rPr>
      <w:rFonts w:ascii="Times New Roman" w:eastAsia="Times New Roman" w:hAnsi="Times New Roman" w:cs="Times New Roman"/>
      <w:sz w:val="24"/>
      <w:szCs w:val="24"/>
    </w:rPr>
  </w:style>
  <w:style w:type="character" w:styleId="PageNumber">
    <w:name w:val="page number"/>
    <w:basedOn w:val="DefaultParagraphFont"/>
    <w:rsid w:val="00EE587D"/>
  </w:style>
  <w:style w:type="paragraph" w:styleId="BodyTextIndent">
    <w:name w:val="Body Text Indent"/>
    <w:basedOn w:val="Normal"/>
    <w:link w:val="BodyTextIndentChar"/>
    <w:rsid w:val="00EE587D"/>
    <w:pPr>
      <w:spacing w:line="360" w:lineRule="auto"/>
      <w:ind w:left="720"/>
    </w:pPr>
  </w:style>
  <w:style w:type="character" w:customStyle="1" w:styleId="BodyTextIndentChar">
    <w:name w:val="Body Text Indent Char"/>
    <w:basedOn w:val="DefaultParagraphFont"/>
    <w:link w:val="BodyTextIndent"/>
    <w:rsid w:val="00EE587D"/>
    <w:rPr>
      <w:rFonts w:ascii="Times New Roman" w:eastAsia="Times New Roman" w:hAnsi="Times New Roman" w:cs="Times New Roman"/>
      <w:sz w:val="24"/>
      <w:szCs w:val="24"/>
    </w:rPr>
  </w:style>
  <w:style w:type="paragraph" w:styleId="EndnoteText">
    <w:name w:val="endnote text"/>
    <w:basedOn w:val="Normal"/>
    <w:link w:val="EndnoteTextChar"/>
    <w:semiHidden/>
    <w:rsid w:val="00EE587D"/>
    <w:rPr>
      <w:sz w:val="20"/>
      <w:szCs w:val="20"/>
    </w:rPr>
  </w:style>
  <w:style w:type="character" w:customStyle="1" w:styleId="EndnoteTextChar">
    <w:name w:val="Endnote Text Char"/>
    <w:basedOn w:val="DefaultParagraphFont"/>
    <w:link w:val="EndnoteText"/>
    <w:semiHidden/>
    <w:rsid w:val="00EE587D"/>
    <w:rPr>
      <w:rFonts w:ascii="Times New Roman" w:eastAsia="Times New Roman" w:hAnsi="Times New Roman" w:cs="Times New Roman"/>
      <w:sz w:val="20"/>
      <w:szCs w:val="20"/>
    </w:rPr>
  </w:style>
  <w:style w:type="paragraph" w:styleId="BodyTextIndent2">
    <w:name w:val="Body Text Indent 2"/>
    <w:basedOn w:val="Normal"/>
    <w:link w:val="BodyTextIndent2Char"/>
    <w:rsid w:val="00EE587D"/>
    <w:pPr>
      <w:spacing w:line="480" w:lineRule="auto"/>
      <w:ind w:firstLine="720"/>
    </w:pPr>
  </w:style>
  <w:style w:type="character" w:customStyle="1" w:styleId="BodyTextIndent2Char">
    <w:name w:val="Body Text Indent 2 Char"/>
    <w:basedOn w:val="DefaultParagraphFont"/>
    <w:link w:val="BodyTextIndent2"/>
    <w:rsid w:val="00EE587D"/>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7422F"/>
    <w:rPr>
      <w:sz w:val="20"/>
      <w:szCs w:val="20"/>
    </w:rPr>
  </w:style>
  <w:style w:type="character" w:customStyle="1" w:styleId="FootnoteTextChar">
    <w:name w:val="Footnote Text Char"/>
    <w:basedOn w:val="DefaultParagraphFont"/>
    <w:link w:val="FootnoteText"/>
    <w:uiPriority w:val="99"/>
    <w:semiHidden/>
    <w:rsid w:val="0047422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7422F"/>
    <w:rPr>
      <w:vertAlign w:val="superscript"/>
    </w:rPr>
  </w:style>
  <w:style w:type="character" w:styleId="EndnoteReference">
    <w:name w:val="endnote reference"/>
    <w:basedOn w:val="DefaultParagraphFont"/>
    <w:uiPriority w:val="99"/>
    <w:semiHidden/>
    <w:unhideWhenUsed/>
    <w:rsid w:val="008557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AA628-2BF8-4A3F-AF85-6F0CE3CB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7</Pages>
  <Words>4109</Words>
  <Characters>20139</Characters>
  <Application>Microsoft Office Word</Application>
  <DocSecurity>0</DocSecurity>
  <Lines>330</Lines>
  <Paragraphs>36</Paragraphs>
  <ScaleCrop>false</ScaleCrop>
  <HeadingPairs>
    <vt:vector size="2" baseType="variant">
      <vt:variant>
        <vt:lpstr>Title</vt:lpstr>
      </vt:variant>
      <vt:variant>
        <vt:i4>1</vt:i4>
      </vt:variant>
    </vt:vector>
  </HeadingPairs>
  <TitlesOfParts>
    <vt:vector size="1" baseType="lpstr">
      <vt:lpstr/>
    </vt:vector>
  </TitlesOfParts>
  <Company>Selwyn College</Company>
  <LinksUpToDate>false</LinksUpToDate>
  <CharactersWithSpaces>24212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David Smith</cp:lastModifiedBy>
  <cp:revision>278</cp:revision>
  <cp:lastPrinted>2018-06-04T09:24:00Z</cp:lastPrinted>
  <dcterms:created xsi:type="dcterms:W3CDTF">2018-06-02T15:18:00Z</dcterms:created>
  <dcterms:modified xsi:type="dcterms:W3CDTF">2018-10-28T10:57:00Z</dcterms:modified>
</cp:coreProperties>
</file>