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669F72" w14:textId="220E79AE" w:rsidR="00012A7E" w:rsidRPr="001A7586" w:rsidRDefault="00012A7E" w:rsidP="00012A7E">
      <w:pPr>
        <w:spacing w:after="119" w:line="240" w:lineRule="auto"/>
        <w:jc w:val="both"/>
        <w:rPr>
          <w:rFonts w:cs="Times New Roman"/>
          <w:b/>
        </w:rPr>
      </w:pPr>
      <w:bookmarkStart w:id="0" w:name="_GoBack"/>
      <w:bookmarkEnd w:id="0"/>
      <w:r w:rsidRPr="001A7586">
        <w:rPr>
          <w:rFonts w:cs="Times New Roman"/>
          <w:b/>
        </w:rPr>
        <w:t>Title Page.</w:t>
      </w:r>
    </w:p>
    <w:p w14:paraId="58E75BF5" w14:textId="77777777" w:rsidR="00744AA8" w:rsidRPr="001A7586" w:rsidRDefault="00744AA8" w:rsidP="00012A7E">
      <w:pPr>
        <w:spacing w:after="119" w:line="240" w:lineRule="auto"/>
        <w:jc w:val="both"/>
        <w:rPr>
          <w:rFonts w:cs="Times New Roman"/>
          <w:b/>
        </w:rPr>
      </w:pPr>
      <w:r w:rsidRPr="001A7586">
        <w:rPr>
          <w:rFonts w:cs="Times New Roman"/>
          <w:b/>
        </w:rPr>
        <w:t>Title:</w:t>
      </w:r>
    </w:p>
    <w:p w14:paraId="7F9FE032" w14:textId="1A675F42" w:rsidR="00FB1517" w:rsidRPr="001A7586" w:rsidRDefault="00FB1517" w:rsidP="00012A7E">
      <w:pPr>
        <w:spacing w:after="119" w:line="240" w:lineRule="auto"/>
        <w:jc w:val="both"/>
        <w:rPr>
          <w:rFonts w:cs="Times New Roman"/>
          <w:b/>
        </w:rPr>
      </w:pPr>
      <w:r w:rsidRPr="001A7586">
        <w:rPr>
          <w:rFonts w:cs="Times New Roman"/>
          <w:b/>
        </w:rPr>
        <w:t>Glutamate within the</w:t>
      </w:r>
      <w:r w:rsidR="00702C93" w:rsidRPr="001A7586">
        <w:rPr>
          <w:rFonts w:cs="Times New Roman"/>
          <w:b/>
        </w:rPr>
        <w:t xml:space="preserve"> </w:t>
      </w:r>
      <w:r w:rsidRPr="001A7586">
        <w:rPr>
          <w:rFonts w:cs="Times New Roman"/>
          <w:b/>
        </w:rPr>
        <w:t xml:space="preserve">marmoset </w:t>
      </w:r>
      <w:r w:rsidR="00702C93" w:rsidRPr="001A7586">
        <w:rPr>
          <w:rFonts w:cs="Times New Roman"/>
          <w:b/>
        </w:rPr>
        <w:t xml:space="preserve">anterior hippocampus </w:t>
      </w:r>
      <w:r w:rsidRPr="001A7586">
        <w:rPr>
          <w:rFonts w:cs="Times New Roman"/>
          <w:b/>
        </w:rPr>
        <w:t>interacts with</w:t>
      </w:r>
      <w:r w:rsidR="00AF18CF" w:rsidRPr="001A7586">
        <w:rPr>
          <w:rFonts w:cs="Times New Roman"/>
          <w:b/>
        </w:rPr>
        <w:t xml:space="preserve"> area</w:t>
      </w:r>
      <w:r w:rsidR="00C2293D" w:rsidRPr="001A7586">
        <w:rPr>
          <w:rFonts w:cs="Times New Roman"/>
          <w:b/>
        </w:rPr>
        <w:t xml:space="preserve"> 25 to regulate the </w:t>
      </w:r>
      <w:r w:rsidR="00D71B0B" w:rsidRPr="001A7586">
        <w:rPr>
          <w:rFonts w:cs="Times New Roman"/>
          <w:b/>
        </w:rPr>
        <w:t>behavior</w:t>
      </w:r>
      <w:r w:rsidR="00C2293D" w:rsidRPr="001A7586">
        <w:rPr>
          <w:rFonts w:cs="Times New Roman"/>
          <w:b/>
        </w:rPr>
        <w:t xml:space="preserve">al and cardiovascular correlates of </w:t>
      </w:r>
      <w:r w:rsidR="00444E79" w:rsidRPr="001A7586">
        <w:rPr>
          <w:rFonts w:cs="Times New Roman"/>
          <w:b/>
        </w:rPr>
        <w:t>high-trait</w:t>
      </w:r>
      <w:r w:rsidRPr="001A7586">
        <w:rPr>
          <w:rFonts w:cs="Times New Roman"/>
          <w:b/>
        </w:rPr>
        <w:t xml:space="preserve"> anxiety</w:t>
      </w:r>
    </w:p>
    <w:p w14:paraId="3368E6E9" w14:textId="3B9ECA28" w:rsidR="00FB1517" w:rsidRPr="001A7586" w:rsidRDefault="00FB1517" w:rsidP="00012A7E">
      <w:pPr>
        <w:spacing w:after="119" w:line="240" w:lineRule="auto"/>
        <w:jc w:val="both"/>
        <w:rPr>
          <w:rFonts w:cs="Times New Roman"/>
          <w:b/>
        </w:rPr>
      </w:pPr>
      <w:r w:rsidRPr="001A7586">
        <w:rPr>
          <w:rFonts w:cs="Times New Roman"/>
          <w:b/>
        </w:rPr>
        <w:t xml:space="preserve">Abbreviated title: Hippocampus, medial PFC and trait anxiety </w:t>
      </w:r>
    </w:p>
    <w:p w14:paraId="5C01897F" w14:textId="77777777" w:rsidR="00744AA8" w:rsidRPr="001A7586" w:rsidRDefault="00067FF2" w:rsidP="00012A7E">
      <w:pPr>
        <w:spacing w:after="119" w:line="240" w:lineRule="auto"/>
        <w:jc w:val="both"/>
        <w:rPr>
          <w:rFonts w:cs="Times New Roman"/>
          <w:b/>
        </w:rPr>
      </w:pPr>
      <w:r w:rsidRPr="001A7586">
        <w:rPr>
          <w:rFonts w:cs="Times New Roman"/>
          <w:b/>
        </w:rPr>
        <w:t>Authors:</w:t>
      </w:r>
    </w:p>
    <w:p w14:paraId="31B3E75A" w14:textId="4961FC13" w:rsidR="00DB3B5A" w:rsidRPr="001A7586" w:rsidRDefault="007032A5" w:rsidP="00012A7E">
      <w:pPr>
        <w:spacing w:after="119" w:line="240" w:lineRule="auto"/>
        <w:jc w:val="both"/>
        <w:rPr>
          <w:rFonts w:cstheme="minorHAnsi"/>
          <w:vertAlign w:val="superscript"/>
        </w:rPr>
      </w:pPr>
      <w:r w:rsidRPr="001A7586">
        <w:rPr>
          <w:rFonts w:cstheme="minorHAnsi"/>
        </w:rPr>
        <w:t>Jorge L. Zeredo</w:t>
      </w:r>
      <w:r w:rsidRPr="001A7586">
        <w:rPr>
          <w:rFonts w:cstheme="minorHAnsi"/>
          <w:vertAlign w:val="superscript"/>
        </w:rPr>
        <w:t>1</w:t>
      </w:r>
      <w:r w:rsidRPr="001A7586">
        <w:rPr>
          <w:rFonts w:cstheme="minorHAnsi"/>
        </w:rPr>
        <w:t xml:space="preserve">, </w:t>
      </w:r>
      <w:r w:rsidR="003513E8" w:rsidRPr="001A7586">
        <w:rPr>
          <w:rFonts w:cstheme="minorHAnsi"/>
        </w:rPr>
        <w:t>Shaun K. L. Quah</w:t>
      </w:r>
      <w:r w:rsidR="003513E8" w:rsidRPr="001A7586">
        <w:rPr>
          <w:rFonts w:cstheme="minorHAnsi"/>
          <w:vertAlign w:val="superscript"/>
        </w:rPr>
        <w:t>2</w:t>
      </w:r>
      <w:r w:rsidR="003513E8" w:rsidRPr="001A7586">
        <w:rPr>
          <w:rFonts w:cstheme="minorHAnsi"/>
        </w:rPr>
        <w:t>,</w:t>
      </w:r>
      <w:r w:rsidR="003513E8" w:rsidRPr="001A7586">
        <w:rPr>
          <w:rFonts w:cstheme="minorHAnsi"/>
          <w:vertAlign w:val="superscript"/>
        </w:rPr>
        <w:t xml:space="preserve"> </w:t>
      </w:r>
      <w:r w:rsidR="00DB3B5A" w:rsidRPr="001A7586">
        <w:rPr>
          <w:rFonts w:cstheme="minorHAnsi"/>
        </w:rPr>
        <w:t>Chloe U. Wallis</w:t>
      </w:r>
      <w:r w:rsidRPr="001A7586">
        <w:rPr>
          <w:rFonts w:cstheme="minorHAnsi"/>
          <w:vertAlign w:val="superscript"/>
        </w:rPr>
        <w:t>2</w:t>
      </w:r>
      <w:r w:rsidR="00DB3B5A" w:rsidRPr="001A7586">
        <w:rPr>
          <w:rFonts w:cstheme="minorHAnsi"/>
        </w:rPr>
        <w:t xml:space="preserve">, </w:t>
      </w:r>
      <w:r w:rsidRPr="001A7586">
        <w:rPr>
          <w:rFonts w:cstheme="minorHAnsi"/>
        </w:rPr>
        <w:t>Laith Alexander</w:t>
      </w:r>
      <w:r w:rsidRPr="001A7586">
        <w:rPr>
          <w:rFonts w:cstheme="minorHAnsi"/>
          <w:vertAlign w:val="superscript"/>
        </w:rPr>
        <w:t xml:space="preserve">2 </w:t>
      </w:r>
      <w:r w:rsidR="003513E8" w:rsidRPr="001A7586">
        <w:rPr>
          <w:rFonts w:cstheme="minorHAnsi"/>
        </w:rPr>
        <w:t xml:space="preserve">, </w:t>
      </w:r>
      <w:r w:rsidR="00DB3B5A" w:rsidRPr="001A7586">
        <w:rPr>
          <w:rFonts w:cstheme="minorHAnsi"/>
        </w:rPr>
        <w:t>Gemma J. Cockcroft</w:t>
      </w:r>
      <w:r w:rsidRPr="001A7586">
        <w:rPr>
          <w:rFonts w:cstheme="minorHAnsi"/>
          <w:vertAlign w:val="superscript"/>
        </w:rPr>
        <w:t>2</w:t>
      </w:r>
      <w:r w:rsidR="00DB3B5A" w:rsidRPr="001A7586">
        <w:rPr>
          <w:rFonts w:cstheme="minorHAnsi"/>
        </w:rPr>
        <w:t xml:space="preserve">, </w:t>
      </w:r>
      <w:r w:rsidRPr="001A7586">
        <w:rPr>
          <w:rFonts w:cstheme="minorHAnsi"/>
        </w:rPr>
        <w:t>Andrea M. Santangelo</w:t>
      </w:r>
      <w:r w:rsidRPr="001A7586">
        <w:rPr>
          <w:rFonts w:cstheme="minorHAnsi"/>
          <w:vertAlign w:val="superscript"/>
        </w:rPr>
        <w:t>2</w:t>
      </w:r>
      <w:r w:rsidR="00DB3B5A" w:rsidRPr="001A7586">
        <w:rPr>
          <w:rFonts w:cstheme="minorHAnsi"/>
        </w:rPr>
        <w:t xml:space="preserve">, </w:t>
      </w:r>
      <w:r w:rsidRPr="001A7586">
        <w:rPr>
          <w:rFonts w:cstheme="minorHAnsi"/>
        </w:rPr>
        <w:t>Jing Xia</w:t>
      </w:r>
      <w:r w:rsidR="002F462C" w:rsidRPr="001A7586">
        <w:rPr>
          <w:rFonts w:cstheme="minorHAnsi"/>
          <w:vertAlign w:val="superscript"/>
        </w:rPr>
        <w:t>3</w:t>
      </w:r>
      <w:r w:rsidRPr="001A7586">
        <w:rPr>
          <w:rFonts w:cstheme="minorHAnsi"/>
        </w:rPr>
        <w:t xml:space="preserve"> , </w:t>
      </w:r>
      <w:r w:rsidR="00111E0E" w:rsidRPr="001A7586">
        <w:rPr>
          <w:rFonts w:cstheme="minorHAnsi"/>
        </w:rPr>
        <w:t>Yoshiro Shiba</w:t>
      </w:r>
      <w:r w:rsidR="00111E0E" w:rsidRPr="001A7586">
        <w:rPr>
          <w:rFonts w:cstheme="minorHAnsi"/>
          <w:vertAlign w:val="superscript"/>
        </w:rPr>
        <w:t>2</w:t>
      </w:r>
      <w:r w:rsidR="00111E0E" w:rsidRPr="001A7586">
        <w:rPr>
          <w:rFonts w:cstheme="minorHAnsi"/>
        </w:rPr>
        <w:t xml:space="preserve">, </w:t>
      </w:r>
      <w:r w:rsidR="00694FCB" w:rsidRPr="001A7586">
        <w:rPr>
          <w:rFonts w:cstheme="minorHAnsi"/>
        </w:rPr>
        <w:t>Jeff</w:t>
      </w:r>
      <w:r w:rsidR="00BD48C3" w:rsidRPr="001A7586">
        <w:rPr>
          <w:rFonts w:cstheme="minorHAnsi"/>
        </w:rPr>
        <w:t>rey</w:t>
      </w:r>
      <w:r w:rsidR="00694FCB" w:rsidRPr="001A7586">
        <w:rPr>
          <w:rFonts w:cstheme="minorHAnsi"/>
        </w:rPr>
        <w:t xml:space="preserve"> W. Dalley</w:t>
      </w:r>
      <w:r w:rsidR="00694FCB" w:rsidRPr="001A7586">
        <w:rPr>
          <w:rFonts w:cstheme="minorHAnsi"/>
          <w:vertAlign w:val="superscript"/>
        </w:rPr>
        <w:t>3</w:t>
      </w:r>
      <w:r w:rsidR="00BD48C3" w:rsidRPr="001A7586">
        <w:rPr>
          <w:rFonts w:cstheme="minorHAnsi"/>
          <w:vertAlign w:val="superscript"/>
        </w:rPr>
        <w:t>,4</w:t>
      </w:r>
      <w:r w:rsidR="00694FCB" w:rsidRPr="001A7586">
        <w:rPr>
          <w:rFonts w:cstheme="minorHAnsi"/>
        </w:rPr>
        <w:t xml:space="preserve">, </w:t>
      </w:r>
      <w:r w:rsidR="00B437FB" w:rsidRPr="001A7586">
        <w:rPr>
          <w:rFonts w:cstheme="minorHAnsi"/>
        </w:rPr>
        <w:t>Rudolf N. Cardinal</w:t>
      </w:r>
      <w:r w:rsidR="002F462C" w:rsidRPr="001A7586">
        <w:rPr>
          <w:rFonts w:cstheme="minorHAnsi"/>
          <w:vertAlign w:val="superscript"/>
        </w:rPr>
        <w:t>4</w:t>
      </w:r>
      <w:r w:rsidR="00B437FB" w:rsidRPr="001A7586">
        <w:rPr>
          <w:rFonts w:cstheme="minorHAnsi"/>
          <w:vertAlign w:val="superscript"/>
        </w:rPr>
        <w:t>,</w:t>
      </w:r>
      <w:r w:rsidR="002F462C" w:rsidRPr="001A7586">
        <w:rPr>
          <w:rFonts w:cstheme="minorHAnsi"/>
          <w:vertAlign w:val="superscript"/>
        </w:rPr>
        <w:t>5</w:t>
      </w:r>
      <w:r w:rsidR="00B437FB" w:rsidRPr="001A7586">
        <w:rPr>
          <w:rFonts w:cstheme="minorHAnsi"/>
        </w:rPr>
        <w:t xml:space="preserve">, </w:t>
      </w:r>
      <w:r w:rsidR="00DB3B5A" w:rsidRPr="001A7586">
        <w:rPr>
          <w:rFonts w:cstheme="minorHAnsi"/>
        </w:rPr>
        <w:t>Angela C</w:t>
      </w:r>
      <w:r w:rsidR="001F02E4" w:rsidRPr="001A7586">
        <w:rPr>
          <w:rFonts w:cstheme="minorHAnsi"/>
        </w:rPr>
        <w:t>.</w:t>
      </w:r>
      <w:r w:rsidR="00DB3B5A" w:rsidRPr="001A7586">
        <w:rPr>
          <w:rFonts w:cstheme="minorHAnsi"/>
        </w:rPr>
        <w:t xml:space="preserve"> Roberts</w:t>
      </w:r>
      <w:r w:rsidR="00DB3B5A" w:rsidRPr="001A7586">
        <w:rPr>
          <w:rFonts w:cstheme="minorHAnsi"/>
          <w:vertAlign w:val="superscript"/>
        </w:rPr>
        <w:t>2</w:t>
      </w:r>
      <w:r w:rsidR="00DB3B5A" w:rsidRPr="001A7586">
        <w:rPr>
          <w:rFonts w:cstheme="minorHAnsi"/>
        </w:rPr>
        <w:t xml:space="preserve"> and Hannah F</w:t>
      </w:r>
      <w:r w:rsidR="001F02E4" w:rsidRPr="001A7586">
        <w:rPr>
          <w:rFonts w:cstheme="minorHAnsi"/>
        </w:rPr>
        <w:t>.</w:t>
      </w:r>
      <w:r w:rsidR="00DB3B5A" w:rsidRPr="001A7586">
        <w:rPr>
          <w:rFonts w:cstheme="minorHAnsi"/>
        </w:rPr>
        <w:t xml:space="preserve"> Clarke</w:t>
      </w:r>
      <w:r w:rsidR="00DB3B5A" w:rsidRPr="001A7586">
        <w:rPr>
          <w:rFonts w:cstheme="minorHAnsi"/>
          <w:vertAlign w:val="superscript"/>
        </w:rPr>
        <w:t>2</w:t>
      </w:r>
    </w:p>
    <w:p w14:paraId="5DBF255C" w14:textId="77777777" w:rsidR="00DB3B5A" w:rsidRPr="001A7586" w:rsidRDefault="00DB3B5A" w:rsidP="00012A7E">
      <w:pPr>
        <w:pStyle w:val="ListParagraph"/>
        <w:spacing w:after="119" w:line="240" w:lineRule="auto"/>
        <w:jc w:val="both"/>
        <w:rPr>
          <w:rFonts w:cstheme="minorHAnsi"/>
        </w:rPr>
      </w:pPr>
    </w:p>
    <w:p w14:paraId="2AB8F14C" w14:textId="2668A480" w:rsidR="007032A5" w:rsidRPr="001A7586" w:rsidRDefault="007032A5" w:rsidP="00012A7E">
      <w:pPr>
        <w:pStyle w:val="ListParagraph"/>
        <w:spacing w:after="119" w:line="240" w:lineRule="auto"/>
        <w:ind w:left="0"/>
        <w:jc w:val="both"/>
        <w:rPr>
          <w:rFonts w:cstheme="minorHAnsi"/>
        </w:rPr>
      </w:pPr>
      <w:r w:rsidRPr="001A7586">
        <w:rPr>
          <w:vertAlign w:val="superscript"/>
        </w:rPr>
        <w:t>1</w:t>
      </w:r>
      <w:r w:rsidR="0070120B" w:rsidRPr="001A7586">
        <w:t>Graduate Program in Health Science and Technology</w:t>
      </w:r>
      <w:r w:rsidRPr="001A7586">
        <w:t>, University of Brasilia, Brasilia, Brazil</w:t>
      </w:r>
    </w:p>
    <w:p w14:paraId="09092712" w14:textId="2C672043" w:rsidR="00DB3B5A" w:rsidRPr="001A7586" w:rsidRDefault="007032A5" w:rsidP="00012A7E">
      <w:pPr>
        <w:pStyle w:val="NormalWeb"/>
        <w:suppressAutoHyphens/>
        <w:spacing w:beforeAutospacing="0"/>
        <w:rPr>
          <w:rFonts w:asciiTheme="minorHAnsi" w:hAnsiTheme="minorHAnsi" w:cstheme="minorHAnsi"/>
          <w:bCs/>
          <w:color w:val="auto"/>
          <w:sz w:val="22"/>
          <w:szCs w:val="22"/>
        </w:rPr>
      </w:pPr>
      <w:r w:rsidRPr="001A7586">
        <w:rPr>
          <w:rFonts w:asciiTheme="minorHAnsi" w:hAnsiTheme="minorHAnsi" w:cstheme="minorHAnsi"/>
          <w:bCs/>
          <w:color w:val="auto"/>
          <w:sz w:val="22"/>
          <w:szCs w:val="22"/>
          <w:vertAlign w:val="superscript"/>
        </w:rPr>
        <w:t>2</w:t>
      </w:r>
      <w:r w:rsidR="00DB3B5A" w:rsidRPr="001A7586">
        <w:rPr>
          <w:rFonts w:asciiTheme="minorHAnsi" w:hAnsiTheme="minorHAnsi" w:cstheme="minorHAnsi"/>
          <w:bCs/>
          <w:color w:val="auto"/>
          <w:sz w:val="22"/>
          <w:szCs w:val="22"/>
        </w:rPr>
        <w:t xml:space="preserve">Department of Physiology, Development and Neuroscience, University of Cambridge, Downing Street, Cambridge, CB2 3DY  </w:t>
      </w:r>
    </w:p>
    <w:p w14:paraId="3705DCCA" w14:textId="7853A796" w:rsidR="00DB3B5A" w:rsidRPr="001A7586" w:rsidRDefault="002F462C" w:rsidP="00012A7E">
      <w:pPr>
        <w:pStyle w:val="NormalWeb"/>
        <w:suppressAutoHyphens/>
        <w:spacing w:beforeAutospacing="0"/>
        <w:rPr>
          <w:rFonts w:asciiTheme="minorHAnsi" w:hAnsiTheme="minorHAnsi" w:cstheme="minorHAnsi"/>
          <w:bCs/>
          <w:color w:val="auto"/>
          <w:sz w:val="22"/>
          <w:szCs w:val="22"/>
        </w:rPr>
      </w:pPr>
      <w:r w:rsidRPr="001A7586">
        <w:rPr>
          <w:rFonts w:asciiTheme="minorHAnsi" w:hAnsiTheme="minorHAnsi" w:cstheme="minorHAnsi"/>
          <w:bCs/>
          <w:color w:val="auto"/>
          <w:sz w:val="22"/>
          <w:szCs w:val="22"/>
          <w:vertAlign w:val="superscript"/>
        </w:rPr>
        <w:t>3</w:t>
      </w:r>
      <w:r w:rsidR="007032A5" w:rsidRPr="001A7586">
        <w:rPr>
          <w:rFonts w:asciiTheme="minorHAnsi" w:hAnsiTheme="minorHAnsi" w:cstheme="minorHAnsi"/>
          <w:bCs/>
          <w:color w:val="auto"/>
          <w:sz w:val="22"/>
          <w:szCs w:val="22"/>
        </w:rPr>
        <w:t xml:space="preserve">Department of Psychology, University of Cambridge, Downing Street, Cambridge, CB2 3EB  </w:t>
      </w:r>
    </w:p>
    <w:p w14:paraId="6064DDDF" w14:textId="3C510CF8" w:rsidR="000C163B" w:rsidRPr="001A7586" w:rsidRDefault="002F462C" w:rsidP="00012A7E">
      <w:pPr>
        <w:pStyle w:val="NormalWeb"/>
        <w:spacing w:beforeAutospacing="0"/>
        <w:rPr>
          <w:rFonts w:asciiTheme="minorHAnsi" w:hAnsiTheme="minorHAnsi" w:cstheme="minorHAnsi"/>
          <w:bCs/>
          <w:color w:val="auto"/>
          <w:sz w:val="22"/>
          <w:szCs w:val="22"/>
        </w:rPr>
      </w:pPr>
      <w:r w:rsidRPr="001A7586">
        <w:rPr>
          <w:rFonts w:asciiTheme="minorHAnsi" w:hAnsiTheme="minorHAnsi" w:cstheme="minorHAnsi"/>
          <w:bCs/>
          <w:color w:val="auto"/>
          <w:sz w:val="22"/>
          <w:szCs w:val="22"/>
          <w:vertAlign w:val="superscript"/>
        </w:rPr>
        <w:t>4</w:t>
      </w:r>
      <w:r w:rsidR="000C163B" w:rsidRPr="001A7586">
        <w:rPr>
          <w:rFonts w:asciiTheme="minorHAnsi" w:hAnsiTheme="minorHAnsi" w:cstheme="minorHAnsi"/>
          <w:bCs/>
          <w:color w:val="auto"/>
          <w:sz w:val="22"/>
          <w:szCs w:val="22"/>
        </w:rPr>
        <w:t>Department of Psychiatry,</w:t>
      </w:r>
      <w:r w:rsidR="000C163B" w:rsidRPr="001A7586">
        <w:rPr>
          <w:rFonts w:asciiTheme="minorHAnsi" w:hAnsiTheme="minorHAnsi" w:cstheme="minorHAnsi"/>
          <w:color w:val="auto"/>
          <w:sz w:val="22"/>
          <w:szCs w:val="22"/>
        </w:rPr>
        <w:t xml:space="preserve"> Box 189, Level E4, Cambridge Biomedical Campus, Cambridge CB2 OQQ</w:t>
      </w:r>
      <w:r w:rsidR="000C163B" w:rsidRPr="001A7586">
        <w:rPr>
          <w:rFonts w:asciiTheme="minorHAnsi" w:hAnsiTheme="minorHAnsi" w:cstheme="minorHAnsi"/>
          <w:bCs/>
          <w:color w:val="auto"/>
          <w:sz w:val="22"/>
          <w:szCs w:val="22"/>
        </w:rPr>
        <w:t xml:space="preserve">, </w:t>
      </w:r>
    </w:p>
    <w:p w14:paraId="12ADC30D" w14:textId="0C6B5A18" w:rsidR="000C163B" w:rsidRPr="001A7586" w:rsidRDefault="000C163B" w:rsidP="00012A7E">
      <w:pPr>
        <w:pStyle w:val="NormalWeb"/>
        <w:spacing w:beforeAutospacing="0"/>
        <w:rPr>
          <w:rFonts w:asciiTheme="minorHAnsi" w:hAnsiTheme="minorHAnsi" w:cstheme="minorHAnsi"/>
          <w:bCs/>
          <w:color w:val="auto"/>
          <w:sz w:val="22"/>
          <w:szCs w:val="22"/>
        </w:rPr>
      </w:pPr>
      <w:r w:rsidRPr="001A7586">
        <w:rPr>
          <w:rFonts w:asciiTheme="minorHAnsi" w:hAnsiTheme="minorHAnsi" w:cstheme="minorHAnsi"/>
          <w:bCs/>
          <w:color w:val="auto"/>
          <w:sz w:val="22"/>
          <w:szCs w:val="22"/>
          <w:vertAlign w:val="superscript"/>
        </w:rPr>
        <w:t xml:space="preserve"> </w:t>
      </w:r>
      <w:r w:rsidR="002F462C" w:rsidRPr="001A7586">
        <w:rPr>
          <w:rFonts w:asciiTheme="minorHAnsi" w:hAnsiTheme="minorHAnsi" w:cstheme="minorHAnsi"/>
          <w:bCs/>
          <w:color w:val="auto"/>
          <w:sz w:val="22"/>
          <w:szCs w:val="22"/>
          <w:vertAlign w:val="superscript"/>
        </w:rPr>
        <w:t>5</w:t>
      </w:r>
      <w:r w:rsidRPr="001A7586">
        <w:rPr>
          <w:rFonts w:asciiTheme="minorHAnsi" w:hAnsiTheme="minorHAnsi" w:cstheme="minorHAnsi"/>
          <w:bCs/>
          <w:color w:val="auto"/>
          <w:sz w:val="22"/>
          <w:szCs w:val="22"/>
        </w:rPr>
        <w:t>Liaison Psychiatry Service, Cambridge and Peterborough NHS Foundation Trust,</w:t>
      </w:r>
      <w:r w:rsidRPr="001A7586">
        <w:rPr>
          <w:rStyle w:val="WW8Num1ztrue"/>
          <w:rFonts w:asciiTheme="minorHAnsi" w:hAnsiTheme="minorHAnsi" w:cstheme="minorHAnsi"/>
          <w:color w:val="auto"/>
          <w:sz w:val="22"/>
          <w:szCs w:val="22"/>
        </w:rPr>
        <w:t xml:space="preserve"> </w:t>
      </w:r>
      <w:r w:rsidRPr="001A7586">
        <w:rPr>
          <w:rFonts w:asciiTheme="minorHAnsi" w:hAnsiTheme="minorHAnsi" w:cstheme="minorHAnsi"/>
          <w:bCs/>
          <w:color w:val="auto"/>
          <w:sz w:val="22"/>
          <w:szCs w:val="22"/>
        </w:rPr>
        <w:t>Box</w:t>
      </w:r>
      <w:r w:rsidRPr="001A7586">
        <w:rPr>
          <w:rFonts w:asciiTheme="minorHAnsi" w:hAnsiTheme="minorHAnsi" w:cstheme="minorHAnsi"/>
          <w:b/>
          <w:bCs/>
          <w:color w:val="auto"/>
          <w:sz w:val="22"/>
          <w:szCs w:val="22"/>
        </w:rPr>
        <w:t xml:space="preserve"> </w:t>
      </w:r>
      <w:r w:rsidRPr="001A7586">
        <w:rPr>
          <w:rFonts w:asciiTheme="minorHAnsi" w:hAnsiTheme="minorHAnsi" w:cstheme="minorHAnsi"/>
          <w:color w:val="auto"/>
          <w:sz w:val="22"/>
          <w:szCs w:val="22"/>
        </w:rPr>
        <w:t>190, Cambridge Biomedical Campus, Cambridge, CB2 OQQ</w:t>
      </w:r>
    </w:p>
    <w:p w14:paraId="2F2084C4" w14:textId="77777777" w:rsidR="000C163B" w:rsidRPr="001A7586" w:rsidRDefault="000C163B" w:rsidP="00012A7E">
      <w:pPr>
        <w:spacing w:after="119" w:line="240" w:lineRule="auto"/>
        <w:jc w:val="both"/>
        <w:outlineLvl w:val="0"/>
        <w:rPr>
          <w:rFonts w:cstheme="minorHAnsi"/>
          <w:b/>
          <w:bCs/>
        </w:rPr>
      </w:pPr>
      <w:r w:rsidRPr="001A7586">
        <w:rPr>
          <w:rFonts w:cstheme="minorHAnsi"/>
          <w:b/>
          <w:bCs/>
        </w:rPr>
        <w:t>Corresponding author:</w:t>
      </w:r>
    </w:p>
    <w:p w14:paraId="40C68881" w14:textId="60FE6129" w:rsidR="000C163B" w:rsidRPr="001A7586" w:rsidRDefault="000C163B" w:rsidP="00012A7E">
      <w:pPr>
        <w:spacing w:after="119" w:line="240" w:lineRule="auto"/>
        <w:jc w:val="both"/>
        <w:rPr>
          <w:rStyle w:val="Hyperlink"/>
          <w:rFonts w:cstheme="minorHAnsi"/>
          <w:bCs/>
        </w:rPr>
      </w:pPr>
      <w:r w:rsidRPr="00E20348">
        <w:rPr>
          <w:rFonts w:cstheme="minorHAnsi"/>
          <w:bCs/>
        </w:rPr>
        <w:t xml:space="preserve">Hannah Clarke, Department of Physiology, Development and Neuroscience, Downing Street, Cambridge, CB2 3DY. Email: </w:t>
      </w:r>
      <w:hyperlink r:id="rId8" w:history="1">
        <w:r w:rsidRPr="001A7586">
          <w:rPr>
            <w:rStyle w:val="Hyperlink"/>
            <w:rFonts w:cstheme="minorHAnsi"/>
            <w:bCs/>
          </w:rPr>
          <w:t>hfc23@cam.ac.uk</w:t>
        </w:r>
      </w:hyperlink>
    </w:p>
    <w:p w14:paraId="03862D78" w14:textId="77777777" w:rsidR="00AF18CF" w:rsidRPr="001A7586" w:rsidRDefault="00AF18CF" w:rsidP="00012A7E">
      <w:pPr>
        <w:spacing w:after="119" w:line="240" w:lineRule="auto"/>
        <w:jc w:val="both"/>
        <w:rPr>
          <w:rStyle w:val="Hyperlink"/>
          <w:rFonts w:cstheme="minorHAnsi"/>
          <w:bCs/>
        </w:rPr>
      </w:pPr>
    </w:p>
    <w:p w14:paraId="56388A96" w14:textId="77777777" w:rsidR="00AF18CF" w:rsidRPr="001A7586" w:rsidRDefault="00AF18CF" w:rsidP="00012A7E">
      <w:pPr>
        <w:spacing w:after="119" w:line="240" w:lineRule="auto"/>
        <w:jc w:val="both"/>
        <w:rPr>
          <w:rFonts w:cstheme="minorHAnsi"/>
          <w:bCs/>
        </w:rPr>
      </w:pPr>
    </w:p>
    <w:tbl>
      <w:tblPr>
        <w:tblStyle w:val="TableGrid"/>
        <w:tblW w:w="0" w:type="auto"/>
        <w:tblLook w:val="04A0" w:firstRow="1" w:lastRow="0" w:firstColumn="1" w:lastColumn="0" w:noHBand="0" w:noVBand="1"/>
      </w:tblPr>
      <w:tblGrid>
        <w:gridCol w:w="3256"/>
        <w:gridCol w:w="5760"/>
      </w:tblGrid>
      <w:tr w:rsidR="00AD533A" w:rsidRPr="001A7586" w14:paraId="6C317EE3" w14:textId="77777777" w:rsidTr="000C163B">
        <w:tc>
          <w:tcPr>
            <w:tcW w:w="3256" w:type="dxa"/>
          </w:tcPr>
          <w:p w14:paraId="246E352E" w14:textId="375EA9D5" w:rsidR="00AD533A" w:rsidRPr="001A7586" w:rsidRDefault="00AD533A" w:rsidP="00012A7E">
            <w:pPr>
              <w:spacing w:after="119"/>
              <w:jc w:val="both"/>
              <w:rPr>
                <w:rFonts w:cs="Times New Roman"/>
                <w:b/>
              </w:rPr>
            </w:pPr>
            <w:r w:rsidRPr="00E20348">
              <w:rPr>
                <w:rFonts w:cs="Times New Roman"/>
                <w:b/>
              </w:rPr>
              <w:t>Number of pages</w:t>
            </w:r>
          </w:p>
        </w:tc>
        <w:tc>
          <w:tcPr>
            <w:tcW w:w="5760" w:type="dxa"/>
          </w:tcPr>
          <w:p w14:paraId="1AC0A974" w14:textId="22B40CFB" w:rsidR="00AD533A" w:rsidRPr="001A7586" w:rsidRDefault="00BD48C3">
            <w:pPr>
              <w:spacing w:after="119"/>
              <w:jc w:val="both"/>
              <w:rPr>
                <w:rFonts w:cs="Times New Roman"/>
                <w:b/>
              </w:rPr>
            </w:pPr>
            <w:r w:rsidRPr="001A7586">
              <w:rPr>
                <w:rFonts w:cs="Times New Roman"/>
                <w:b/>
              </w:rPr>
              <w:t>53</w:t>
            </w:r>
          </w:p>
        </w:tc>
      </w:tr>
      <w:tr w:rsidR="00AD533A" w:rsidRPr="001A7586" w14:paraId="6FC40CC5" w14:textId="77777777" w:rsidTr="000C163B">
        <w:trPr>
          <w:trHeight w:val="396"/>
        </w:trPr>
        <w:tc>
          <w:tcPr>
            <w:tcW w:w="3256" w:type="dxa"/>
          </w:tcPr>
          <w:p w14:paraId="41FA9019" w14:textId="224D8F3B" w:rsidR="00AD533A" w:rsidRPr="001A7586" w:rsidRDefault="00AD533A" w:rsidP="00012A7E">
            <w:pPr>
              <w:spacing w:after="119"/>
              <w:jc w:val="both"/>
              <w:rPr>
                <w:rFonts w:cs="Times New Roman"/>
                <w:b/>
              </w:rPr>
            </w:pPr>
            <w:r w:rsidRPr="001A7586">
              <w:rPr>
                <w:rFonts w:cs="Times New Roman"/>
                <w:b/>
              </w:rPr>
              <w:t>Number of figures</w:t>
            </w:r>
          </w:p>
        </w:tc>
        <w:tc>
          <w:tcPr>
            <w:tcW w:w="5760" w:type="dxa"/>
          </w:tcPr>
          <w:p w14:paraId="41DDA9B3" w14:textId="17576E17" w:rsidR="00AD533A" w:rsidRPr="001A7586" w:rsidRDefault="00040CB6" w:rsidP="00012A7E">
            <w:pPr>
              <w:spacing w:after="119"/>
              <w:jc w:val="both"/>
              <w:rPr>
                <w:rFonts w:cs="Times New Roman"/>
                <w:b/>
              </w:rPr>
            </w:pPr>
            <w:r w:rsidRPr="001A7586">
              <w:rPr>
                <w:rFonts w:cs="Times New Roman"/>
                <w:b/>
              </w:rPr>
              <w:t>5</w:t>
            </w:r>
          </w:p>
        </w:tc>
      </w:tr>
      <w:tr w:rsidR="00AD533A" w:rsidRPr="001A7586" w14:paraId="5A601DC6" w14:textId="77777777" w:rsidTr="000C163B">
        <w:trPr>
          <w:trHeight w:val="396"/>
        </w:trPr>
        <w:tc>
          <w:tcPr>
            <w:tcW w:w="3256" w:type="dxa"/>
          </w:tcPr>
          <w:p w14:paraId="3AB996C3" w14:textId="2C69CC00" w:rsidR="00AD533A" w:rsidRPr="001A7586" w:rsidRDefault="00AD533A" w:rsidP="00012A7E">
            <w:pPr>
              <w:spacing w:after="119"/>
              <w:jc w:val="both"/>
              <w:rPr>
                <w:rFonts w:cs="Times New Roman"/>
                <w:b/>
              </w:rPr>
            </w:pPr>
            <w:r w:rsidRPr="001A7586">
              <w:rPr>
                <w:rFonts w:cs="Times New Roman"/>
                <w:b/>
              </w:rPr>
              <w:t>Number of tables</w:t>
            </w:r>
          </w:p>
        </w:tc>
        <w:tc>
          <w:tcPr>
            <w:tcW w:w="5760" w:type="dxa"/>
          </w:tcPr>
          <w:p w14:paraId="3924F88D" w14:textId="4BB2FEBC" w:rsidR="00AD533A" w:rsidRPr="001A7586" w:rsidRDefault="002E7EB7" w:rsidP="002E7EB7">
            <w:pPr>
              <w:spacing w:after="119"/>
              <w:jc w:val="both"/>
              <w:rPr>
                <w:rFonts w:cs="Times New Roman"/>
                <w:b/>
              </w:rPr>
            </w:pPr>
            <w:r w:rsidRPr="001A7586">
              <w:rPr>
                <w:rFonts w:cs="Times New Roman"/>
                <w:b/>
              </w:rPr>
              <w:t>3</w:t>
            </w:r>
          </w:p>
        </w:tc>
      </w:tr>
      <w:tr w:rsidR="00AD533A" w:rsidRPr="001A7586" w14:paraId="5B9B7ACD" w14:textId="77777777" w:rsidTr="000C163B">
        <w:trPr>
          <w:trHeight w:val="396"/>
        </w:trPr>
        <w:tc>
          <w:tcPr>
            <w:tcW w:w="3256" w:type="dxa"/>
          </w:tcPr>
          <w:p w14:paraId="161708F9" w14:textId="3F631C95" w:rsidR="00AD533A" w:rsidRPr="001A7586" w:rsidRDefault="00AD533A" w:rsidP="00012A7E">
            <w:pPr>
              <w:spacing w:after="119"/>
              <w:jc w:val="both"/>
              <w:rPr>
                <w:rFonts w:cs="Times New Roman"/>
                <w:b/>
              </w:rPr>
            </w:pPr>
            <w:r w:rsidRPr="001A7586">
              <w:rPr>
                <w:rFonts w:cs="Times New Roman"/>
                <w:b/>
              </w:rPr>
              <w:t>Number of words in Abstract</w:t>
            </w:r>
          </w:p>
        </w:tc>
        <w:tc>
          <w:tcPr>
            <w:tcW w:w="5760" w:type="dxa"/>
          </w:tcPr>
          <w:p w14:paraId="34632BFE" w14:textId="6A27404D" w:rsidR="00AD533A" w:rsidRPr="001A7586" w:rsidRDefault="00775F68" w:rsidP="00012A7E">
            <w:pPr>
              <w:spacing w:after="119"/>
              <w:jc w:val="both"/>
              <w:rPr>
                <w:rFonts w:cs="Times New Roman"/>
                <w:b/>
              </w:rPr>
            </w:pPr>
            <w:r w:rsidRPr="001A7586">
              <w:rPr>
                <w:rFonts w:cs="Times New Roman"/>
                <w:b/>
              </w:rPr>
              <w:t>246</w:t>
            </w:r>
          </w:p>
        </w:tc>
      </w:tr>
      <w:tr w:rsidR="00AD533A" w:rsidRPr="001A7586" w14:paraId="2E479C87" w14:textId="77777777" w:rsidTr="000C163B">
        <w:trPr>
          <w:trHeight w:val="396"/>
        </w:trPr>
        <w:tc>
          <w:tcPr>
            <w:tcW w:w="3256" w:type="dxa"/>
          </w:tcPr>
          <w:p w14:paraId="75A65A54" w14:textId="298474A0" w:rsidR="00AD533A" w:rsidRPr="001A7586" w:rsidRDefault="00AD533A" w:rsidP="00012A7E">
            <w:pPr>
              <w:spacing w:after="119"/>
              <w:jc w:val="both"/>
              <w:rPr>
                <w:rFonts w:cs="Times New Roman"/>
                <w:b/>
              </w:rPr>
            </w:pPr>
            <w:r w:rsidRPr="001A7586">
              <w:rPr>
                <w:rFonts w:cs="Times New Roman"/>
                <w:b/>
              </w:rPr>
              <w:t>Number of words in Introduction</w:t>
            </w:r>
          </w:p>
        </w:tc>
        <w:tc>
          <w:tcPr>
            <w:tcW w:w="5760" w:type="dxa"/>
          </w:tcPr>
          <w:p w14:paraId="76C2E7E8" w14:textId="2A2EF629" w:rsidR="00AD533A" w:rsidRPr="001A7586" w:rsidRDefault="004539E0">
            <w:pPr>
              <w:spacing w:after="119"/>
              <w:jc w:val="both"/>
              <w:rPr>
                <w:rFonts w:cs="Times New Roman"/>
                <w:b/>
              </w:rPr>
            </w:pPr>
            <w:r w:rsidRPr="00E20348">
              <w:rPr>
                <w:rFonts w:cs="Times New Roman"/>
                <w:b/>
              </w:rPr>
              <w:t>69</w:t>
            </w:r>
            <w:r w:rsidRPr="001A7586">
              <w:rPr>
                <w:rFonts w:cs="Times New Roman"/>
                <w:b/>
              </w:rPr>
              <w:t>9</w:t>
            </w:r>
          </w:p>
        </w:tc>
      </w:tr>
      <w:tr w:rsidR="00AD533A" w:rsidRPr="001A7586" w14:paraId="769EFAA2" w14:textId="77777777" w:rsidTr="000C163B">
        <w:trPr>
          <w:trHeight w:val="396"/>
        </w:trPr>
        <w:tc>
          <w:tcPr>
            <w:tcW w:w="3256" w:type="dxa"/>
          </w:tcPr>
          <w:p w14:paraId="339E17D2" w14:textId="50F1D0B1" w:rsidR="00AD533A" w:rsidRPr="001A7586" w:rsidRDefault="00AD533A" w:rsidP="00012A7E">
            <w:pPr>
              <w:spacing w:after="119"/>
              <w:jc w:val="both"/>
              <w:rPr>
                <w:rFonts w:cs="Times New Roman"/>
                <w:b/>
              </w:rPr>
            </w:pPr>
            <w:r w:rsidRPr="001A7586">
              <w:rPr>
                <w:rFonts w:cs="Times New Roman"/>
                <w:b/>
              </w:rPr>
              <w:t>Number of words in Discussion</w:t>
            </w:r>
          </w:p>
        </w:tc>
        <w:tc>
          <w:tcPr>
            <w:tcW w:w="5760" w:type="dxa"/>
          </w:tcPr>
          <w:p w14:paraId="0C4CBA97" w14:textId="66A646DA" w:rsidR="00AD533A" w:rsidRPr="001A7586" w:rsidRDefault="004539E0">
            <w:pPr>
              <w:spacing w:after="119"/>
              <w:jc w:val="both"/>
              <w:rPr>
                <w:rFonts w:cs="Times New Roman"/>
                <w:b/>
              </w:rPr>
            </w:pPr>
            <w:r w:rsidRPr="00E20348">
              <w:rPr>
                <w:rFonts w:cs="Times New Roman"/>
                <w:b/>
              </w:rPr>
              <w:t>1</w:t>
            </w:r>
            <w:r w:rsidRPr="001A7586">
              <w:rPr>
                <w:rFonts w:cs="Times New Roman"/>
                <w:b/>
              </w:rPr>
              <w:t>915</w:t>
            </w:r>
          </w:p>
        </w:tc>
      </w:tr>
      <w:tr w:rsidR="00AD533A" w:rsidRPr="001A7586" w14:paraId="07993F0F" w14:textId="77777777" w:rsidTr="000C163B">
        <w:trPr>
          <w:trHeight w:val="396"/>
        </w:trPr>
        <w:tc>
          <w:tcPr>
            <w:tcW w:w="3256" w:type="dxa"/>
          </w:tcPr>
          <w:p w14:paraId="56345D48" w14:textId="641D4999" w:rsidR="00AD533A" w:rsidRPr="001A7586" w:rsidRDefault="00AD533A" w:rsidP="00012A7E">
            <w:pPr>
              <w:spacing w:after="119"/>
              <w:jc w:val="both"/>
              <w:rPr>
                <w:rFonts w:cs="Times New Roman"/>
                <w:b/>
              </w:rPr>
            </w:pPr>
            <w:r w:rsidRPr="001A7586">
              <w:rPr>
                <w:rFonts w:cs="Times New Roman"/>
                <w:b/>
              </w:rPr>
              <w:t>Conflict of interest</w:t>
            </w:r>
          </w:p>
        </w:tc>
        <w:tc>
          <w:tcPr>
            <w:tcW w:w="5760" w:type="dxa"/>
          </w:tcPr>
          <w:p w14:paraId="4C021981" w14:textId="61613D88" w:rsidR="00AD533A" w:rsidRPr="001A7586" w:rsidRDefault="00040CB6" w:rsidP="00012A7E">
            <w:pPr>
              <w:spacing w:after="119"/>
              <w:jc w:val="both"/>
              <w:rPr>
                <w:rFonts w:cs="Times New Roman"/>
                <w:b/>
              </w:rPr>
            </w:pPr>
            <w:r w:rsidRPr="001A7586">
              <w:rPr>
                <w:rFonts w:cs="Times New Roman"/>
                <w:b/>
              </w:rPr>
              <w:t>none</w:t>
            </w:r>
          </w:p>
        </w:tc>
      </w:tr>
      <w:tr w:rsidR="00AD533A" w:rsidRPr="001A7586" w14:paraId="4664F3FB" w14:textId="77777777" w:rsidTr="000C163B">
        <w:trPr>
          <w:trHeight w:val="396"/>
        </w:trPr>
        <w:tc>
          <w:tcPr>
            <w:tcW w:w="3256" w:type="dxa"/>
          </w:tcPr>
          <w:p w14:paraId="75A29129" w14:textId="529D6DFD" w:rsidR="00AD533A" w:rsidRPr="001A7586" w:rsidRDefault="00AD533A" w:rsidP="00012A7E">
            <w:pPr>
              <w:spacing w:after="119"/>
              <w:jc w:val="both"/>
              <w:rPr>
                <w:rFonts w:cs="Times New Roman"/>
                <w:b/>
              </w:rPr>
            </w:pPr>
            <w:r w:rsidRPr="001A7586">
              <w:rPr>
                <w:rFonts w:cs="Times New Roman"/>
                <w:b/>
              </w:rPr>
              <w:t>Acknowledgements</w:t>
            </w:r>
          </w:p>
        </w:tc>
        <w:tc>
          <w:tcPr>
            <w:tcW w:w="5760" w:type="dxa"/>
          </w:tcPr>
          <w:p w14:paraId="1D14EA15" w14:textId="62D64ABE" w:rsidR="00AD533A" w:rsidRPr="001A7586" w:rsidRDefault="000C163B" w:rsidP="00427EDF">
            <w:pPr>
              <w:jc w:val="both"/>
              <w:rPr>
                <w:rFonts w:eastAsia="Times New Roman" w:cstheme="minorHAnsi"/>
                <w:lang w:eastAsia="en-GB"/>
              </w:rPr>
            </w:pPr>
            <w:r w:rsidRPr="001A7586">
              <w:rPr>
                <w:rFonts w:eastAsia="Times New Roman" w:cstheme="minorHAnsi"/>
                <w:lang w:eastAsia="en-GB"/>
              </w:rPr>
              <w:t>This research was supported by a Career Development Award (</w:t>
            </w:r>
            <w:r w:rsidRPr="001A7586">
              <w:rPr>
                <w:rFonts w:cstheme="minorHAnsi"/>
              </w:rPr>
              <w:t xml:space="preserve">RG62920) </w:t>
            </w:r>
            <w:r w:rsidRPr="001A7586">
              <w:rPr>
                <w:rFonts w:eastAsia="Times New Roman" w:cstheme="minorHAnsi"/>
                <w:lang w:eastAsia="en-GB"/>
              </w:rPr>
              <w:t xml:space="preserve">from the Medical Research Council (MRC; to HFC) and was carried out within the Behavioral and Clinical Neuroscience Institute (BCNI) supported by a consortium award from the Wellcome Trust and the Medical Research Council. JLZ was supported by </w:t>
            </w:r>
            <w:bookmarkStart w:id="1" w:name="__DdeLink__2948_1533186585"/>
            <w:r w:rsidR="003A5F1E" w:rsidRPr="001A7586">
              <w:rPr>
                <w:rFonts w:eastAsia="Times New Roman" w:cstheme="minorHAnsi"/>
                <w:lang w:eastAsia="en-GB"/>
              </w:rPr>
              <w:t>CNPq (Brazil)</w:t>
            </w:r>
            <w:bookmarkEnd w:id="1"/>
            <w:r w:rsidRPr="001A7586">
              <w:rPr>
                <w:rFonts w:eastAsia="Times New Roman" w:cstheme="minorHAnsi"/>
                <w:lang w:eastAsia="en-GB"/>
              </w:rPr>
              <w:t xml:space="preserve">, CUW and LA were sponsored by MRC studentships </w:t>
            </w:r>
            <w:r w:rsidR="0065320D" w:rsidRPr="001A7586">
              <w:rPr>
                <w:rFonts w:eastAsia="Times New Roman" w:cstheme="minorHAnsi"/>
                <w:lang w:eastAsia="en-GB"/>
              </w:rPr>
              <w:t xml:space="preserve">to the BCNI </w:t>
            </w:r>
            <w:r w:rsidRPr="001A7586">
              <w:rPr>
                <w:rFonts w:eastAsia="Times New Roman" w:cstheme="minorHAnsi"/>
                <w:lang w:eastAsia="en-GB"/>
              </w:rPr>
              <w:t xml:space="preserve">and GC </w:t>
            </w:r>
            <w:r w:rsidR="00111E0E" w:rsidRPr="001A7586">
              <w:rPr>
                <w:rFonts w:eastAsia="Times New Roman" w:cstheme="minorHAnsi"/>
                <w:lang w:eastAsia="en-GB"/>
              </w:rPr>
              <w:t>and YS were</w:t>
            </w:r>
            <w:r w:rsidR="00E5758B" w:rsidRPr="001A7586">
              <w:rPr>
                <w:rFonts w:eastAsia="Times New Roman" w:cstheme="minorHAnsi"/>
                <w:lang w:eastAsia="en-GB"/>
              </w:rPr>
              <w:t xml:space="preserve"> </w:t>
            </w:r>
            <w:r w:rsidRPr="001A7586">
              <w:rPr>
                <w:rFonts w:eastAsia="Times New Roman" w:cstheme="minorHAnsi"/>
                <w:lang w:eastAsia="en-GB"/>
              </w:rPr>
              <w:t>supported by an MRC Programme grant (</w:t>
            </w:r>
            <w:r w:rsidRPr="001A7586">
              <w:rPr>
                <w:rFonts w:cstheme="minorHAnsi"/>
                <w:lang w:val="en-US"/>
              </w:rPr>
              <w:t xml:space="preserve">MR/M023990/1) </w:t>
            </w:r>
            <w:r w:rsidRPr="001A7586">
              <w:rPr>
                <w:rFonts w:eastAsia="Times New Roman" w:cstheme="minorHAnsi"/>
                <w:lang w:eastAsia="en-GB"/>
              </w:rPr>
              <w:t xml:space="preserve">to ACR. </w:t>
            </w:r>
            <w:r w:rsidR="00427EDF" w:rsidRPr="001A7586">
              <w:rPr>
                <w:rFonts w:eastAsia="Times New Roman" w:cstheme="minorHAnsi"/>
                <w:lang w:eastAsia="en-GB"/>
              </w:rPr>
              <w:t>S</w:t>
            </w:r>
            <w:r w:rsidR="00EE040B" w:rsidRPr="001A7586">
              <w:rPr>
                <w:rFonts w:eastAsia="Times New Roman" w:cstheme="minorHAnsi"/>
                <w:lang w:eastAsia="en-GB"/>
              </w:rPr>
              <w:t>Q</w:t>
            </w:r>
            <w:r w:rsidR="00427EDF" w:rsidRPr="001A7586">
              <w:rPr>
                <w:rFonts w:eastAsia="Times New Roman" w:cstheme="minorHAnsi"/>
                <w:lang w:eastAsia="en-GB"/>
              </w:rPr>
              <w:t xml:space="preserve"> is supported by studentship from the </w:t>
            </w:r>
            <w:r w:rsidR="00427EDF" w:rsidRPr="001A7586">
              <w:t>Malaysian Public Service Department</w:t>
            </w:r>
          </w:p>
        </w:tc>
      </w:tr>
    </w:tbl>
    <w:p w14:paraId="5C34854C" w14:textId="77777777" w:rsidR="00AB62CC" w:rsidRPr="001A7586" w:rsidRDefault="00AB62CC" w:rsidP="00012A7E">
      <w:pPr>
        <w:spacing w:after="119" w:line="240" w:lineRule="auto"/>
        <w:jc w:val="both"/>
        <w:rPr>
          <w:rFonts w:cs="Times New Roman"/>
          <w:b/>
        </w:rPr>
      </w:pPr>
    </w:p>
    <w:p w14:paraId="65EA962A" w14:textId="77777777" w:rsidR="00AB62CC" w:rsidRPr="001A7586" w:rsidRDefault="00AB62CC" w:rsidP="00AF18CF">
      <w:pPr>
        <w:spacing w:after="119" w:line="480" w:lineRule="auto"/>
        <w:jc w:val="both"/>
        <w:rPr>
          <w:rFonts w:cs="Times New Roman"/>
          <w:b/>
        </w:rPr>
      </w:pPr>
    </w:p>
    <w:p w14:paraId="44937083" w14:textId="10272161" w:rsidR="00D500BC" w:rsidRPr="001A7586" w:rsidRDefault="000A359C" w:rsidP="00AF18CF">
      <w:pPr>
        <w:spacing w:after="119" w:line="480" w:lineRule="auto"/>
        <w:jc w:val="both"/>
        <w:rPr>
          <w:rFonts w:cs="Times New Roman"/>
          <w:b/>
        </w:rPr>
      </w:pPr>
      <w:r w:rsidRPr="001A7586">
        <w:rPr>
          <w:rFonts w:cs="Times New Roman"/>
          <w:b/>
        </w:rPr>
        <w:t>Abstract</w:t>
      </w:r>
      <w:r w:rsidR="00D500BC" w:rsidRPr="001A7586">
        <w:rPr>
          <w:rFonts w:cs="Times New Roman"/>
          <w:b/>
        </w:rPr>
        <w:t xml:space="preserve"> </w:t>
      </w:r>
    </w:p>
    <w:p w14:paraId="6AEC8424" w14:textId="4BC87010" w:rsidR="002E7933" w:rsidRPr="001A7586" w:rsidRDefault="00223BBB" w:rsidP="00AF18CF">
      <w:pPr>
        <w:spacing w:after="119" w:line="480" w:lineRule="auto"/>
        <w:jc w:val="both"/>
        <w:rPr>
          <w:rFonts w:cstheme="minorHAnsi"/>
        </w:rPr>
      </w:pPr>
      <w:r w:rsidRPr="001A7586">
        <w:rPr>
          <w:rFonts w:cs="Times New Roman"/>
        </w:rPr>
        <w:t>High-</w:t>
      </w:r>
      <w:r w:rsidR="002E7933" w:rsidRPr="001A7586">
        <w:rPr>
          <w:rFonts w:cs="Times New Roman"/>
        </w:rPr>
        <w:t xml:space="preserve">trait anxiety is a risk factor for the development of affective disorders and has been associated with decreased cardiovascular and </w:t>
      </w:r>
      <w:r w:rsidR="00D71B0B" w:rsidRPr="001A7586">
        <w:rPr>
          <w:rFonts w:cs="Times New Roman"/>
        </w:rPr>
        <w:t>behavior</w:t>
      </w:r>
      <w:r w:rsidR="002E7933" w:rsidRPr="001A7586">
        <w:rPr>
          <w:rFonts w:cs="Times New Roman"/>
        </w:rPr>
        <w:t>al responsivity to acute stressors in humans</w:t>
      </w:r>
      <w:r w:rsidR="00D755C7" w:rsidRPr="001A7586">
        <w:rPr>
          <w:rFonts w:cs="Times New Roman"/>
        </w:rPr>
        <w:t xml:space="preserve"> that may increase the risk of developing cardiovascular disease</w:t>
      </w:r>
      <w:r w:rsidR="002E7933" w:rsidRPr="001A7586">
        <w:rPr>
          <w:rFonts w:cs="Times New Roman"/>
        </w:rPr>
        <w:t xml:space="preserve">. Although </w:t>
      </w:r>
      <w:r w:rsidR="00EB12AF" w:rsidRPr="001A7586">
        <w:rPr>
          <w:rFonts w:cs="Times New Roman"/>
        </w:rPr>
        <w:t xml:space="preserve">human </w:t>
      </w:r>
      <w:r w:rsidRPr="001A7586">
        <w:rPr>
          <w:rFonts w:cs="Times New Roman"/>
        </w:rPr>
        <w:t>neuroimaging studies of high-</w:t>
      </w:r>
      <w:r w:rsidR="002E7933" w:rsidRPr="001A7586">
        <w:rPr>
          <w:rFonts w:cs="Times New Roman"/>
        </w:rPr>
        <w:t xml:space="preserve">trait anxiety reveals dysregulation in primate cingulate areas 25 and 32 and the anterior hippocampus (aHipp), </w:t>
      </w:r>
      <w:r w:rsidR="00002C6B" w:rsidRPr="001A7586">
        <w:rPr>
          <w:rFonts w:cs="Times New Roman"/>
        </w:rPr>
        <w:t xml:space="preserve">and rodent studies reveal the importance of aHipp glutamatergic hypofunction, </w:t>
      </w:r>
      <w:r w:rsidR="00002C6B" w:rsidRPr="001A7586">
        <w:rPr>
          <w:rFonts w:cstheme="minorHAnsi"/>
        </w:rPr>
        <w:t xml:space="preserve">the causal involvement of aHipp glutamate and its interaction with these areas in the primate brain is unknown. </w:t>
      </w:r>
      <w:r w:rsidRPr="001A7586">
        <w:rPr>
          <w:rFonts w:cstheme="minorHAnsi"/>
        </w:rPr>
        <w:t>Accordingly,</w:t>
      </w:r>
      <w:r w:rsidR="00EB12AF" w:rsidRPr="001A7586">
        <w:rPr>
          <w:rFonts w:cstheme="minorHAnsi"/>
        </w:rPr>
        <w:t xml:space="preserve"> we correlated marmoset trait anxi</w:t>
      </w:r>
      <w:r w:rsidRPr="001A7586">
        <w:rPr>
          <w:rFonts w:cstheme="minorHAnsi"/>
        </w:rPr>
        <w:t>ety scores to their post-mortem aHipp</w:t>
      </w:r>
      <w:r w:rsidR="00EB12AF" w:rsidRPr="001A7586">
        <w:rPr>
          <w:rFonts w:cstheme="minorHAnsi"/>
        </w:rPr>
        <w:t xml:space="preserve"> glutamate levels, and</w:t>
      </w:r>
      <w:r w:rsidR="00002C6B" w:rsidRPr="001A7586">
        <w:rPr>
          <w:rFonts w:cstheme="minorHAnsi"/>
        </w:rPr>
        <w:t xml:space="preserve"> show</w:t>
      </w:r>
      <w:r w:rsidR="003662FB" w:rsidRPr="001A7586">
        <w:rPr>
          <w:rFonts w:cstheme="minorHAnsi"/>
        </w:rPr>
        <w:t>ed</w:t>
      </w:r>
      <w:r w:rsidR="00002C6B" w:rsidRPr="001A7586">
        <w:rPr>
          <w:rFonts w:cstheme="minorHAnsi"/>
        </w:rPr>
        <w:t xml:space="preserve"> that low glutamate </w:t>
      </w:r>
      <w:r w:rsidR="003662FB" w:rsidRPr="001A7586">
        <w:rPr>
          <w:rFonts w:cstheme="minorHAnsi"/>
        </w:rPr>
        <w:t xml:space="preserve">in the right aHipp </w:t>
      </w:r>
      <w:r w:rsidR="00775F68" w:rsidRPr="001A7586">
        <w:rPr>
          <w:rFonts w:cstheme="minorHAnsi"/>
        </w:rPr>
        <w:t>is associated with</w:t>
      </w:r>
      <w:r w:rsidR="00002C6B" w:rsidRPr="001A7586">
        <w:rPr>
          <w:rFonts w:cstheme="minorHAnsi"/>
        </w:rPr>
        <w:t xml:space="preserve"> </w:t>
      </w:r>
      <w:r w:rsidR="00AC07D0" w:rsidRPr="001A7586">
        <w:rPr>
          <w:rFonts w:cstheme="minorHAnsi"/>
        </w:rPr>
        <w:t xml:space="preserve">high </w:t>
      </w:r>
      <w:r w:rsidR="00002C6B" w:rsidRPr="001A7586">
        <w:rPr>
          <w:rFonts w:cstheme="minorHAnsi"/>
        </w:rPr>
        <w:t xml:space="preserve">trait anxiety in marmosets. </w:t>
      </w:r>
      <w:r w:rsidR="005D337E" w:rsidRPr="001A7586">
        <w:rPr>
          <w:rFonts w:cstheme="minorHAnsi"/>
        </w:rPr>
        <w:t xml:space="preserve">Moreover, </w:t>
      </w:r>
      <w:r w:rsidR="00AC5F41" w:rsidRPr="001A7586">
        <w:rPr>
          <w:rFonts w:cstheme="minorHAnsi"/>
        </w:rPr>
        <w:t xml:space="preserve">pharmacologically </w:t>
      </w:r>
      <w:r w:rsidR="005D337E" w:rsidRPr="00E20348">
        <w:rPr>
          <w:rFonts w:cstheme="minorHAnsi"/>
        </w:rPr>
        <w:t>increasing aHipp glutamate reduce</w:t>
      </w:r>
      <w:r w:rsidR="00AC5F41" w:rsidRPr="00E20348">
        <w:rPr>
          <w:rFonts w:cstheme="minorHAnsi"/>
        </w:rPr>
        <w:t>d</w:t>
      </w:r>
      <w:r w:rsidR="005D337E" w:rsidRPr="00E20348">
        <w:rPr>
          <w:rFonts w:cstheme="minorHAnsi"/>
        </w:rPr>
        <w:t xml:space="preserve"> anxiety levels</w:t>
      </w:r>
      <w:r w:rsidR="005D337E" w:rsidRPr="001A7586">
        <w:rPr>
          <w:rFonts w:cstheme="minorHAnsi"/>
        </w:rPr>
        <w:t xml:space="preserve"> in high anxious marmosets in two uncertainty based tests of anxiety </w:t>
      </w:r>
      <w:r w:rsidR="00AC07D0" w:rsidRPr="001A7586">
        <w:rPr>
          <w:rFonts w:cstheme="minorHAnsi"/>
          <w:color w:val="000000" w:themeColor="text1"/>
        </w:rPr>
        <w:t xml:space="preserve">– </w:t>
      </w:r>
      <w:r w:rsidR="005D337E" w:rsidRPr="001A7586">
        <w:rPr>
          <w:rFonts w:cstheme="minorHAnsi"/>
          <w:color w:val="000000" w:themeColor="text1"/>
        </w:rPr>
        <w:t>exposure to a</w:t>
      </w:r>
      <w:r w:rsidR="00AC5F41" w:rsidRPr="001A7586">
        <w:rPr>
          <w:rFonts w:cstheme="minorHAnsi"/>
          <w:color w:val="000000" w:themeColor="text1"/>
        </w:rPr>
        <w:t xml:space="preserve"> </w:t>
      </w:r>
      <w:r w:rsidR="00AC07D0" w:rsidRPr="001A7586">
        <w:rPr>
          <w:rFonts w:cstheme="minorHAnsi"/>
          <w:color w:val="000000" w:themeColor="text1"/>
        </w:rPr>
        <w:t>hu</w:t>
      </w:r>
      <w:r w:rsidR="001A7FB0" w:rsidRPr="001A7586">
        <w:rPr>
          <w:rFonts w:cstheme="minorHAnsi"/>
          <w:color w:val="000000" w:themeColor="text1"/>
        </w:rPr>
        <w:t>man</w:t>
      </w:r>
      <w:r w:rsidR="00AC5F41" w:rsidRPr="001A7586">
        <w:rPr>
          <w:rFonts w:cstheme="minorHAnsi"/>
          <w:color w:val="000000" w:themeColor="text1"/>
        </w:rPr>
        <w:t xml:space="preserve"> intruder with uncertain intent</w:t>
      </w:r>
      <w:r w:rsidR="0063395B" w:rsidRPr="001A7586">
        <w:rPr>
          <w:rFonts w:cstheme="minorHAnsi"/>
          <w:color w:val="000000" w:themeColor="text1"/>
        </w:rPr>
        <w:t>,</w:t>
      </w:r>
      <w:r w:rsidR="001A7FB0" w:rsidRPr="001A7586">
        <w:rPr>
          <w:rFonts w:cstheme="minorHAnsi"/>
          <w:color w:val="000000" w:themeColor="text1"/>
        </w:rPr>
        <w:t xml:space="preserve"> and</w:t>
      </w:r>
      <w:r w:rsidR="00AC07D0" w:rsidRPr="001A7586">
        <w:rPr>
          <w:rFonts w:cstheme="minorHAnsi"/>
          <w:color w:val="000000" w:themeColor="text1"/>
        </w:rPr>
        <w:t xml:space="preserve"> unpredictable </w:t>
      </w:r>
      <w:r w:rsidR="005D337E" w:rsidRPr="001A7586">
        <w:rPr>
          <w:rFonts w:cstheme="minorHAnsi"/>
          <w:color w:val="000000" w:themeColor="text1"/>
        </w:rPr>
        <w:t>loud noise</w:t>
      </w:r>
      <w:r w:rsidR="00AC07D0" w:rsidRPr="001A7586">
        <w:rPr>
          <w:rFonts w:cstheme="minorHAnsi"/>
          <w:color w:val="000000" w:themeColor="text1"/>
        </w:rPr>
        <w:t>. In the human intruder test</w:t>
      </w:r>
      <w:r w:rsidR="0063395B" w:rsidRPr="001A7586">
        <w:rPr>
          <w:rFonts w:cstheme="minorHAnsi"/>
          <w:color w:val="000000" w:themeColor="text1"/>
        </w:rPr>
        <w:t>,</w:t>
      </w:r>
      <w:r w:rsidR="00AC07D0" w:rsidRPr="001A7586">
        <w:rPr>
          <w:rFonts w:cstheme="minorHAnsi"/>
          <w:color w:val="000000" w:themeColor="text1"/>
        </w:rPr>
        <w:t xml:space="preserve"> increasing aHipp glutamate decreased anxiety </w:t>
      </w:r>
      <w:r w:rsidR="001A7FB0" w:rsidRPr="001A7586">
        <w:rPr>
          <w:rFonts w:cstheme="minorHAnsi"/>
          <w:color w:val="000000" w:themeColor="text1"/>
        </w:rPr>
        <w:t>by increasing</w:t>
      </w:r>
      <w:r w:rsidR="00AC07D0" w:rsidRPr="001A7586">
        <w:rPr>
          <w:rFonts w:cstheme="minorHAnsi"/>
          <w:color w:val="000000" w:themeColor="text1"/>
        </w:rPr>
        <w:t xml:space="preserve"> approach to the intruder. In the unpredict</w:t>
      </w:r>
      <w:r w:rsidR="001A7FB0" w:rsidRPr="001A7586">
        <w:rPr>
          <w:rFonts w:cstheme="minorHAnsi"/>
          <w:color w:val="000000" w:themeColor="text1"/>
        </w:rPr>
        <w:t xml:space="preserve">able threat test, animals showed </w:t>
      </w:r>
      <w:r w:rsidR="003A5F1E" w:rsidRPr="001A7586">
        <w:rPr>
          <w:rFonts w:cstheme="minorHAnsi"/>
          <w:color w:val="000000" w:themeColor="text1"/>
        </w:rPr>
        <w:t>blunted</w:t>
      </w:r>
      <w:r w:rsidR="001A7FB0" w:rsidRPr="001A7586">
        <w:rPr>
          <w:rFonts w:cstheme="minorHAnsi"/>
          <w:color w:val="000000" w:themeColor="text1"/>
        </w:rPr>
        <w:t xml:space="preserve"> </w:t>
      </w:r>
      <w:r w:rsidR="00D71B0B" w:rsidRPr="001A7586">
        <w:rPr>
          <w:rFonts w:cstheme="minorHAnsi"/>
          <w:color w:val="000000" w:themeColor="text1"/>
        </w:rPr>
        <w:t>behavior</w:t>
      </w:r>
      <w:r w:rsidR="001A7FB0" w:rsidRPr="001A7586">
        <w:rPr>
          <w:rFonts w:cstheme="minorHAnsi"/>
          <w:color w:val="000000" w:themeColor="text1"/>
        </w:rPr>
        <w:t xml:space="preserve">al and cardiovascular responsivity after control infusions, which was </w:t>
      </w:r>
      <w:r w:rsidR="00D8399B" w:rsidRPr="001A7586">
        <w:rPr>
          <w:rFonts w:cstheme="minorHAnsi"/>
          <w:color w:val="000000" w:themeColor="text1"/>
        </w:rPr>
        <w:t>normalize</w:t>
      </w:r>
      <w:r w:rsidR="001A7FB0" w:rsidRPr="001A7586">
        <w:rPr>
          <w:rFonts w:cstheme="minorHAnsi"/>
          <w:color w:val="000000" w:themeColor="text1"/>
        </w:rPr>
        <w:t>d by increasing aHipp glutamate</w:t>
      </w:r>
      <w:r w:rsidR="005D337E" w:rsidRPr="001A7586">
        <w:rPr>
          <w:rFonts w:cstheme="minorHAnsi"/>
          <w:color w:val="000000" w:themeColor="text1"/>
        </w:rPr>
        <w:t>.</w:t>
      </w:r>
      <w:r w:rsidR="001A7FB0" w:rsidRPr="001A7586">
        <w:rPr>
          <w:rFonts w:cstheme="minorHAnsi"/>
          <w:color w:val="000000" w:themeColor="text1"/>
        </w:rPr>
        <w:t xml:space="preserve"> </w:t>
      </w:r>
      <w:r w:rsidR="00D755C7" w:rsidRPr="001A7586">
        <w:rPr>
          <w:rFonts w:cstheme="minorHAnsi"/>
          <w:color w:val="000000" w:themeColor="text1"/>
        </w:rPr>
        <w:t xml:space="preserve">However, this aHipp-mediated </w:t>
      </w:r>
      <w:r w:rsidR="005D337E" w:rsidRPr="001A7586">
        <w:rPr>
          <w:rFonts w:cstheme="minorHAnsi"/>
          <w:color w:val="000000" w:themeColor="text1"/>
        </w:rPr>
        <w:t xml:space="preserve">anxiolytic effect </w:t>
      </w:r>
      <w:r w:rsidR="00AC5F41" w:rsidRPr="001A7586">
        <w:rPr>
          <w:rFonts w:cstheme="minorHAnsi"/>
          <w:color w:val="000000" w:themeColor="text1"/>
        </w:rPr>
        <w:t>was blocked by simultaneous pharmacological inactivation of</w:t>
      </w:r>
      <w:r w:rsidR="00D755C7" w:rsidRPr="001A7586">
        <w:rPr>
          <w:rFonts w:cstheme="minorHAnsi"/>
          <w:color w:val="000000" w:themeColor="text1"/>
        </w:rPr>
        <w:t xml:space="preserve"> area 25, </w:t>
      </w:r>
      <w:r w:rsidR="00EE040B" w:rsidRPr="001A7586">
        <w:rPr>
          <w:rFonts w:cstheme="minorHAnsi"/>
          <w:color w:val="000000" w:themeColor="text1"/>
        </w:rPr>
        <w:t xml:space="preserve">but </w:t>
      </w:r>
      <w:r w:rsidR="00D755C7" w:rsidRPr="001A7586">
        <w:rPr>
          <w:rFonts w:cstheme="minorHAnsi"/>
          <w:color w:val="000000" w:themeColor="text1"/>
        </w:rPr>
        <w:t>not 32</w:t>
      </w:r>
      <w:r w:rsidR="0063395B" w:rsidRPr="001A7586">
        <w:rPr>
          <w:rFonts w:cstheme="minorHAnsi"/>
          <w:color w:val="000000" w:themeColor="text1"/>
        </w:rPr>
        <w:t xml:space="preserve"> ‒</w:t>
      </w:r>
      <w:r w:rsidR="005D337E" w:rsidRPr="001A7586">
        <w:rPr>
          <w:rFonts w:cstheme="minorHAnsi"/>
          <w:color w:val="000000" w:themeColor="text1"/>
        </w:rPr>
        <w:t xml:space="preserve"> areas which when inactivated </w:t>
      </w:r>
      <w:r w:rsidR="00EE040B" w:rsidRPr="001A7586">
        <w:rPr>
          <w:rFonts w:cstheme="minorHAnsi"/>
          <w:color w:val="000000" w:themeColor="text1"/>
        </w:rPr>
        <w:t xml:space="preserve">independently </w:t>
      </w:r>
      <w:r w:rsidR="005D337E" w:rsidRPr="001A7586">
        <w:rPr>
          <w:rFonts w:cstheme="minorHAnsi"/>
          <w:color w:val="000000" w:themeColor="text1"/>
        </w:rPr>
        <w:t>reduced</w:t>
      </w:r>
      <w:r w:rsidR="00E550BB" w:rsidRPr="001A7586">
        <w:rPr>
          <w:rFonts w:cstheme="minorHAnsi"/>
          <w:color w:val="000000" w:themeColor="text1"/>
        </w:rPr>
        <w:t>,</w:t>
      </w:r>
      <w:r w:rsidR="005D337E" w:rsidRPr="001A7586">
        <w:rPr>
          <w:rFonts w:cstheme="minorHAnsi"/>
          <w:color w:val="000000" w:themeColor="text1"/>
        </w:rPr>
        <w:t xml:space="preserve"> and had no effect on anxiety, respectively</w:t>
      </w:r>
      <w:r w:rsidR="00D755C7" w:rsidRPr="001A7586">
        <w:rPr>
          <w:rFonts w:cstheme="minorHAnsi"/>
          <w:color w:val="000000" w:themeColor="text1"/>
        </w:rPr>
        <w:t>. These findings provide ca</w:t>
      </w:r>
      <w:r w:rsidR="00905E33" w:rsidRPr="001A7586">
        <w:rPr>
          <w:rFonts w:cstheme="minorHAnsi"/>
          <w:color w:val="000000" w:themeColor="text1"/>
        </w:rPr>
        <w:t>u</w:t>
      </w:r>
      <w:r w:rsidR="00D755C7" w:rsidRPr="001A7586">
        <w:rPr>
          <w:rFonts w:cstheme="minorHAnsi"/>
          <w:color w:val="000000" w:themeColor="text1"/>
        </w:rPr>
        <w:t xml:space="preserve">sal evidence in </w:t>
      </w:r>
      <w:r w:rsidR="00E77A23" w:rsidRPr="001A7586">
        <w:rPr>
          <w:rFonts w:cstheme="minorHAnsi"/>
        </w:rPr>
        <w:t>male and female</w:t>
      </w:r>
      <w:r w:rsidR="00E77A23" w:rsidRPr="001A7586">
        <w:rPr>
          <w:rFonts w:cstheme="minorHAnsi"/>
          <w:color w:val="000000" w:themeColor="text1"/>
        </w:rPr>
        <w:t xml:space="preserve"> </w:t>
      </w:r>
      <w:r w:rsidR="00D755C7" w:rsidRPr="001A7586">
        <w:rPr>
          <w:rFonts w:cstheme="minorHAnsi"/>
          <w:color w:val="000000" w:themeColor="text1"/>
        </w:rPr>
        <w:t>primates that aHipp glutamatergic hypofunction</w:t>
      </w:r>
      <w:r w:rsidR="00F72955" w:rsidRPr="001A7586">
        <w:rPr>
          <w:rFonts w:cstheme="minorHAnsi"/>
          <w:color w:val="000000" w:themeColor="text1"/>
        </w:rPr>
        <w:t>, and its regulation by area 25,</w:t>
      </w:r>
      <w:r w:rsidR="00D755C7" w:rsidRPr="001A7586">
        <w:rPr>
          <w:rFonts w:cstheme="minorHAnsi"/>
          <w:color w:val="000000" w:themeColor="text1"/>
        </w:rPr>
        <w:t xml:space="preserve"> contributes to the </w:t>
      </w:r>
      <w:r w:rsidR="00D71B0B" w:rsidRPr="001A7586">
        <w:rPr>
          <w:rFonts w:cstheme="minorHAnsi"/>
          <w:color w:val="000000" w:themeColor="text1"/>
        </w:rPr>
        <w:t>behavior</w:t>
      </w:r>
      <w:r w:rsidR="00D755C7" w:rsidRPr="001A7586">
        <w:rPr>
          <w:rFonts w:cstheme="minorHAnsi"/>
          <w:color w:val="000000" w:themeColor="text1"/>
        </w:rPr>
        <w:t xml:space="preserve">al and cardiovascular symptoms of endogenous </w:t>
      </w:r>
      <w:r w:rsidRPr="001A7586">
        <w:rPr>
          <w:rFonts w:cstheme="minorHAnsi"/>
          <w:color w:val="000000" w:themeColor="text1"/>
        </w:rPr>
        <w:t>high-</w:t>
      </w:r>
      <w:r w:rsidR="002A60EB" w:rsidRPr="001A7586">
        <w:rPr>
          <w:rFonts w:cstheme="minorHAnsi"/>
          <w:color w:val="000000" w:themeColor="text1"/>
        </w:rPr>
        <w:t>trait anxiety</w:t>
      </w:r>
      <w:r w:rsidR="005C2C8F" w:rsidRPr="001A7586">
        <w:rPr>
          <w:rFonts w:cstheme="minorHAnsi"/>
          <w:color w:val="000000" w:themeColor="text1"/>
        </w:rPr>
        <w:t>.</w:t>
      </w:r>
      <w:r w:rsidR="002A60EB" w:rsidRPr="001A7586">
        <w:rPr>
          <w:rFonts w:cstheme="minorHAnsi"/>
          <w:color w:val="000000" w:themeColor="text1"/>
        </w:rPr>
        <w:t xml:space="preserve"> </w:t>
      </w:r>
    </w:p>
    <w:p w14:paraId="7B5E2B56" w14:textId="77777777" w:rsidR="00D500BC" w:rsidRPr="001A7586" w:rsidRDefault="00D500BC" w:rsidP="00AF18CF">
      <w:pPr>
        <w:spacing w:after="119" w:line="480" w:lineRule="auto"/>
        <w:jc w:val="both"/>
        <w:rPr>
          <w:rFonts w:cs="Times New Roman"/>
          <w:b/>
        </w:rPr>
      </w:pPr>
    </w:p>
    <w:p w14:paraId="66B16C6A" w14:textId="77777777" w:rsidR="00D500BC" w:rsidRPr="001A7586" w:rsidRDefault="00D500BC" w:rsidP="00AF18CF">
      <w:pPr>
        <w:spacing w:after="119" w:line="480" w:lineRule="auto"/>
        <w:jc w:val="both"/>
        <w:rPr>
          <w:rFonts w:cs="Times New Roman"/>
          <w:b/>
        </w:rPr>
      </w:pPr>
    </w:p>
    <w:p w14:paraId="2C78AD7C" w14:textId="77777777" w:rsidR="00E77A23" w:rsidRPr="001A7586" w:rsidRDefault="00E77A23" w:rsidP="00AF18CF">
      <w:pPr>
        <w:spacing w:after="119" w:line="480" w:lineRule="auto"/>
        <w:jc w:val="both"/>
        <w:rPr>
          <w:rFonts w:cs="Times New Roman"/>
          <w:b/>
        </w:rPr>
      </w:pPr>
    </w:p>
    <w:p w14:paraId="21379FB3" w14:textId="77777777" w:rsidR="00E77A23" w:rsidRPr="001A7586" w:rsidRDefault="00E77A23" w:rsidP="00AF18CF">
      <w:pPr>
        <w:spacing w:after="119" w:line="480" w:lineRule="auto"/>
        <w:jc w:val="both"/>
        <w:rPr>
          <w:rFonts w:cs="Times New Roman"/>
          <w:b/>
        </w:rPr>
      </w:pPr>
    </w:p>
    <w:p w14:paraId="67503026" w14:textId="69F8254F" w:rsidR="00D500BC" w:rsidRPr="001A7586" w:rsidRDefault="00D500BC" w:rsidP="00AF18CF">
      <w:pPr>
        <w:spacing w:after="119" w:line="480" w:lineRule="auto"/>
        <w:jc w:val="both"/>
        <w:rPr>
          <w:rFonts w:cs="Times New Roman"/>
          <w:b/>
        </w:rPr>
      </w:pPr>
      <w:r w:rsidRPr="001A7586">
        <w:rPr>
          <w:rFonts w:cs="Times New Roman"/>
          <w:b/>
        </w:rPr>
        <w:t>Significance statement (</w:t>
      </w:r>
      <w:r w:rsidR="00223BBB" w:rsidRPr="001A7586">
        <w:rPr>
          <w:rFonts w:cs="Times New Roman"/>
          <w:b/>
        </w:rPr>
        <w:t>1</w:t>
      </w:r>
      <w:r w:rsidR="002504B8" w:rsidRPr="001A7586">
        <w:rPr>
          <w:rFonts w:cs="Times New Roman"/>
          <w:b/>
        </w:rPr>
        <w:t>20</w:t>
      </w:r>
      <w:r w:rsidRPr="001A7586">
        <w:rPr>
          <w:rFonts w:cs="Times New Roman"/>
          <w:b/>
        </w:rPr>
        <w:t>/120)</w:t>
      </w:r>
    </w:p>
    <w:p w14:paraId="20DACD85" w14:textId="72F019E5" w:rsidR="00580BDE" w:rsidRPr="001A7586" w:rsidRDefault="003D14C3" w:rsidP="00AF18CF">
      <w:pPr>
        <w:autoSpaceDE w:val="0"/>
        <w:autoSpaceDN w:val="0"/>
        <w:adjustRightInd w:val="0"/>
        <w:spacing w:after="0" w:line="480" w:lineRule="auto"/>
        <w:jc w:val="both"/>
        <w:rPr>
          <w:rFonts w:cstheme="minorHAnsi"/>
        </w:rPr>
      </w:pPr>
      <w:r w:rsidRPr="001A7586">
        <w:rPr>
          <w:rFonts w:cstheme="minorHAnsi"/>
        </w:rPr>
        <w:t xml:space="preserve">High-trait anxiety predisposes sufferers to the development of anxiety and depression. Although neuroimaging of these disorders and rodent modelling implicate dysregulation in hippocampal glutamate and the subgenual/perigenual cingulate cortices (areas 25/32), the causal involvement of these structures in endogenous high-trait anxiety, and their interaction, is unknown. </w:t>
      </w:r>
      <w:r w:rsidR="00BC309C" w:rsidRPr="001A7586">
        <w:rPr>
          <w:rFonts w:cstheme="minorHAnsi"/>
        </w:rPr>
        <w:t>Here we demo</w:t>
      </w:r>
      <w:r w:rsidRPr="001A7586">
        <w:rPr>
          <w:rFonts w:cstheme="minorHAnsi"/>
        </w:rPr>
        <w:t xml:space="preserve">nstrate that </w:t>
      </w:r>
      <w:r w:rsidR="00397A5B" w:rsidRPr="001A7586">
        <w:rPr>
          <w:rFonts w:cstheme="minorHAnsi"/>
        </w:rPr>
        <w:t xml:space="preserve">increased </w:t>
      </w:r>
      <w:r w:rsidR="00BC309C" w:rsidRPr="001A7586">
        <w:rPr>
          <w:rFonts w:cstheme="minorHAnsi"/>
        </w:rPr>
        <w:t>trait anxiety</w:t>
      </w:r>
      <w:r w:rsidRPr="001A7586">
        <w:rPr>
          <w:rFonts w:cstheme="minorHAnsi"/>
        </w:rPr>
        <w:t xml:space="preserve"> in marmoset monkeys</w:t>
      </w:r>
      <w:r w:rsidR="00BC309C" w:rsidRPr="001A7586">
        <w:rPr>
          <w:rFonts w:cstheme="minorHAnsi"/>
        </w:rPr>
        <w:t xml:space="preserve"> </w:t>
      </w:r>
      <w:r w:rsidR="00397A5B" w:rsidRPr="001A7586">
        <w:rPr>
          <w:rFonts w:cstheme="minorHAnsi"/>
        </w:rPr>
        <w:t>correlates with</w:t>
      </w:r>
      <w:r w:rsidR="00BC309C" w:rsidRPr="001A7586">
        <w:rPr>
          <w:rFonts w:cstheme="minorHAnsi"/>
        </w:rPr>
        <w:t xml:space="preserve"> reduced hippocampal glutamate</w:t>
      </w:r>
      <w:r w:rsidR="00397A5B" w:rsidRPr="001A7586">
        <w:rPr>
          <w:rFonts w:cstheme="minorHAnsi"/>
        </w:rPr>
        <w:t>, and that increasing hippocampal glutamate</w:t>
      </w:r>
      <w:r w:rsidR="00135D58" w:rsidRPr="001A7586">
        <w:rPr>
          <w:rFonts w:cstheme="minorHAnsi"/>
        </w:rPr>
        <w:t xml:space="preserve"> release</w:t>
      </w:r>
      <w:r w:rsidR="00397A5B" w:rsidRPr="001A7586">
        <w:rPr>
          <w:rFonts w:cstheme="minorHAnsi"/>
        </w:rPr>
        <w:t xml:space="preserve"> </w:t>
      </w:r>
      <w:r w:rsidR="00223BBB" w:rsidRPr="001A7586">
        <w:rPr>
          <w:rFonts w:cstheme="minorHAnsi"/>
        </w:rPr>
        <w:t xml:space="preserve">in high-trait anxious monkeys </w:t>
      </w:r>
      <w:r w:rsidR="00D8399B" w:rsidRPr="001A7586">
        <w:rPr>
          <w:rFonts w:cstheme="minorHAnsi"/>
        </w:rPr>
        <w:t>normalize</w:t>
      </w:r>
      <w:r w:rsidR="00397A5B" w:rsidRPr="001A7586">
        <w:rPr>
          <w:rFonts w:cstheme="minorHAnsi"/>
        </w:rPr>
        <w:t xml:space="preserve">s the </w:t>
      </w:r>
      <w:r w:rsidR="00223BBB" w:rsidRPr="001A7586">
        <w:rPr>
          <w:rFonts w:cstheme="minorHAnsi"/>
        </w:rPr>
        <w:t xml:space="preserve">aberrant </w:t>
      </w:r>
      <w:r w:rsidR="00D71B0B" w:rsidRPr="001A7586">
        <w:rPr>
          <w:rFonts w:cstheme="minorHAnsi"/>
        </w:rPr>
        <w:t>behavior</w:t>
      </w:r>
      <w:r w:rsidR="00397A5B" w:rsidRPr="001A7586">
        <w:rPr>
          <w:rFonts w:cstheme="minorHAnsi"/>
        </w:rPr>
        <w:t>al and cardiovascular responsivity</w:t>
      </w:r>
      <w:r w:rsidRPr="001A7586">
        <w:rPr>
          <w:rFonts w:cstheme="minorHAnsi"/>
        </w:rPr>
        <w:t xml:space="preserve"> to potential threats</w:t>
      </w:r>
      <w:r w:rsidR="00CB526B" w:rsidRPr="001A7586">
        <w:rPr>
          <w:rFonts w:cstheme="minorHAnsi"/>
        </w:rPr>
        <w:t xml:space="preserve">. </w:t>
      </w:r>
      <w:r w:rsidRPr="001A7586">
        <w:rPr>
          <w:rFonts w:cstheme="minorHAnsi"/>
        </w:rPr>
        <w:t>T</w:t>
      </w:r>
      <w:r w:rsidR="00CB526B" w:rsidRPr="001A7586">
        <w:rPr>
          <w:rFonts w:cstheme="minorHAnsi"/>
        </w:rPr>
        <w:t>his normalisation was blocked by simultaneous inactivation of area 25, but not area 32.</w:t>
      </w:r>
      <w:r w:rsidR="00397A5B" w:rsidRPr="001A7586">
        <w:rPr>
          <w:rFonts w:cstheme="minorHAnsi"/>
        </w:rPr>
        <w:t xml:space="preserve"> </w:t>
      </w:r>
      <w:r w:rsidR="002A60EB" w:rsidRPr="001A7586">
        <w:rPr>
          <w:rFonts w:cstheme="minorHAnsi"/>
        </w:rPr>
        <w:t xml:space="preserve">These findings provide casual evidence in primates that </w:t>
      </w:r>
      <w:r w:rsidR="00504D0F" w:rsidRPr="001A7586">
        <w:rPr>
          <w:rFonts w:cstheme="minorHAnsi"/>
        </w:rPr>
        <w:t>hippocampal</w:t>
      </w:r>
      <w:r w:rsidR="002A60EB" w:rsidRPr="001A7586">
        <w:rPr>
          <w:rFonts w:cstheme="minorHAnsi"/>
        </w:rPr>
        <w:t xml:space="preserve"> glutamatergic hypofunction </w:t>
      </w:r>
      <w:r w:rsidR="00135D58" w:rsidRPr="001A7586">
        <w:rPr>
          <w:rFonts w:cstheme="minorHAnsi"/>
        </w:rPr>
        <w:t>regulates</w:t>
      </w:r>
      <w:r w:rsidR="002A60EB" w:rsidRPr="001A7586">
        <w:rPr>
          <w:rFonts w:cstheme="minorHAnsi"/>
        </w:rPr>
        <w:t xml:space="preserve"> endogenous </w:t>
      </w:r>
      <w:r w:rsidR="00CB526B" w:rsidRPr="001A7586">
        <w:rPr>
          <w:rFonts w:cstheme="minorHAnsi"/>
        </w:rPr>
        <w:t>high-</w:t>
      </w:r>
      <w:r w:rsidR="00135D58" w:rsidRPr="001A7586">
        <w:rPr>
          <w:rFonts w:cstheme="minorHAnsi"/>
        </w:rPr>
        <w:t>trait anxiety</w:t>
      </w:r>
      <w:r w:rsidR="008B4960" w:rsidRPr="001A7586">
        <w:rPr>
          <w:rFonts w:cstheme="minorHAnsi"/>
        </w:rPr>
        <w:t xml:space="preserve">, </w:t>
      </w:r>
      <w:r w:rsidR="002504B8" w:rsidRPr="001A7586">
        <w:rPr>
          <w:rFonts w:cstheme="minorHAnsi"/>
        </w:rPr>
        <w:t xml:space="preserve">and the hippocampal-area 25 circuit </w:t>
      </w:r>
      <w:r w:rsidR="002504B8" w:rsidRPr="00E20348">
        <w:rPr>
          <w:rFonts w:cstheme="minorHAnsi"/>
        </w:rPr>
        <w:t xml:space="preserve">is a potential therapeutic target. </w:t>
      </w:r>
    </w:p>
    <w:p w14:paraId="050B1819" w14:textId="77777777" w:rsidR="00580BDE" w:rsidRPr="001A7586" w:rsidRDefault="00580BDE" w:rsidP="00AF18CF">
      <w:pPr>
        <w:spacing w:after="119" w:line="480" w:lineRule="auto"/>
        <w:jc w:val="both"/>
        <w:rPr>
          <w:rFonts w:cs="Times New Roman"/>
          <w:b/>
        </w:rPr>
      </w:pPr>
    </w:p>
    <w:p w14:paraId="15A83414" w14:textId="77777777" w:rsidR="00580BDE" w:rsidRPr="001A7586" w:rsidRDefault="00580BDE" w:rsidP="00AF18CF">
      <w:pPr>
        <w:spacing w:after="119" w:line="480" w:lineRule="auto"/>
        <w:jc w:val="both"/>
        <w:rPr>
          <w:rFonts w:cs="Times New Roman"/>
          <w:b/>
        </w:rPr>
      </w:pPr>
    </w:p>
    <w:p w14:paraId="0B69B3D4" w14:textId="77777777" w:rsidR="00580BDE" w:rsidRPr="001A7586" w:rsidRDefault="00580BDE" w:rsidP="00AF18CF">
      <w:pPr>
        <w:spacing w:after="119" w:line="480" w:lineRule="auto"/>
        <w:jc w:val="both"/>
        <w:rPr>
          <w:rFonts w:cs="Times New Roman"/>
          <w:b/>
        </w:rPr>
      </w:pPr>
    </w:p>
    <w:p w14:paraId="42C7F857" w14:textId="77777777" w:rsidR="007C1DE8" w:rsidRPr="001A7586" w:rsidRDefault="007C1DE8" w:rsidP="00AF18CF">
      <w:pPr>
        <w:spacing w:after="119" w:line="480" w:lineRule="auto"/>
        <w:jc w:val="both"/>
        <w:rPr>
          <w:rFonts w:cs="Times New Roman"/>
          <w:b/>
        </w:rPr>
      </w:pPr>
    </w:p>
    <w:p w14:paraId="7D4B8BB5" w14:textId="77777777" w:rsidR="007C1DE8" w:rsidRPr="001A7586" w:rsidRDefault="007C1DE8" w:rsidP="00AF18CF">
      <w:pPr>
        <w:spacing w:after="119" w:line="480" w:lineRule="auto"/>
        <w:jc w:val="both"/>
        <w:rPr>
          <w:rFonts w:cs="Times New Roman"/>
          <w:b/>
        </w:rPr>
      </w:pPr>
    </w:p>
    <w:p w14:paraId="214F06C8" w14:textId="77777777" w:rsidR="007C1DE8" w:rsidRPr="001A7586" w:rsidRDefault="007C1DE8" w:rsidP="00AF18CF">
      <w:pPr>
        <w:spacing w:after="119" w:line="480" w:lineRule="auto"/>
        <w:jc w:val="both"/>
        <w:rPr>
          <w:rFonts w:cs="Times New Roman"/>
          <w:b/>
        </w:rPr>
      </w:pPr>
    </w:p>
    <w:p w14:paraId="6FCCD034" w14:textId="77777777" w:rsidR="007C1DE8" w:rsidRPr="001A7586" w:rsidRDefault="007C1DE8" w:rsidP="00AF18CF">
      <w:pPr>
        <w:spacing w:after="119" w:line="480" w:lineRule="auto"/>
        <w:jc w:val="both"/>
        <w:rPr>
          <w:rFonts w:cs="Times New Roman"/>
          <w:b/>
        </w:rPr>
      </w:pPr>
    </w:p>
    <w:p w14:paraId="73695474" w14:textId="77777777" w:rsidR="007C1DE8" w:rsidRPr="001A7586" w:rsidRDefault="007C1DE8" w:rsidP="00AF18CF">
      <w:pPr>
        <w:spacing w:after="119" w:line="480" w:lineRule="auto"/>
        <w:jc w:val="both"/>
        <w:rPr>
          <w:rFonts w:cs="Times New Roman"/>
          <w:b/>
        </w:rPr>
      </w:pPr>
    </w:p>
    <w:p w14:paraId="1918EA65" w14:textId="77777777" w:rsidR="007C1DE8" w:rsidRPr="001A7586" w:rsidRDefault="007C1DE8" w:rsidP="00AF18CF">
      <w:pPr>
        <w:spacing w:after="119" w:line="480" w:lineRule="auto"/>
        <w:jc w:val="both"/>
        <w:rPr>
          <w:rFonts w:cs="Times New Roman"/>
          <w:b/>
        </w:rPr>
      </w:pPr>
    </w:p>
    <w:p w14:paraId="50FF31E8" w14:textId="77777777" w:rsidR="007C1DE8" w:rsidRPr="001A7586" w:rsidRDefault="007C1DE8" w:rsidP="00AF18CF">
      <w:pPr>
        <w:spacing w:after="119" w:line="480" w:lineRule="auto"/>
        <w:jc w:val="both"/>
        <w:rPr>
          <w:rFonts w:cs="Times New Roman"/>
          <w:b/>
        </w:rPr>
      </w:pPr>
    </w:p>
    <w:p w14:paraId="5DA6FC34" w14:textId="77777777" w:rsidR="007C1DE8" w:rsidRPr="001A7586" w:rsidRDefault="007C1DE8" w:rsidP="00AF18CF">
      <w:pPr>
        <w:spacing w:after="119" w:line="480" w:lineRule="auto"/>
        <w:jc w:val="both"/>
        <w:rPr>
          <w:rFonts w:cs="Times New Roman"/>
          <w:b/>
        </w:rPr>
      </w:pPr>
    </w:p>
    <w:p w14:paraId="664A5F84" w14:textId="77777777" w:rsidR="007C1DE8" w:rsidRPr="001A7586" w:rsidRDefault="007C1DE8" w:rsidP="00AF18CF">
      <w:pPr>
        <w:spacing w:after="119" w:line="480" w:lineRule="auto"/>
        <w:jc w:val="both"/>
        <w:rPr>
          <w:rFonts w:cs="Times New Roman"/>
          <w:b/>
        </w:rPr>
      </w:pPr>
    </w:p>
    <w:p w14:paraId="3222C4DC" w14:textId="5BD73D5B" w:rsidR="00830A8E" w:rsidRPr="001A7586" w:rsidRDefault="00D132B0" w:rsidP="00AA42CA">
      <w:pPr>
        <w:spacing w:after="119" w:line="480" w:lineRule="auto"/>
        <w:jc w:val="both"/>
        <w:rPr>
          <w:rFonts w:cs="Times New Roman"/>
          <w:b/>
        </w:rPr>
      </w:pPr>
      <w:r w:rsidRPr="001A7586">
        <w:rPr>
          <w:rFonts w:cs="Times New Roman"/>
          <w:b/>
        </w:rPr>
        <w:t>Introduction</w:t>
      </w:r>
    </w:p>
    <w:p w14:paraId="32F76361" w14:textId="124F99B2" w:rsidR="00B07360" w:rsidRPr="001A7586" w:rsidRDefault="00B07360" w:rsidP="00AA42CA">
      <w:pPr>
        <w:autoSpaceDE w:val="0"/>
        <w:autoSpaceDN w:val="0"/>
        <w:adjustRightInd w:val="0"/>
        <w:spacing w:after="0" w:line="480" w:lineRule="auto"/>
        <w:jc w:val="both"/>
        <w:rPr>
          <w:rFonts w:cstheme="minorHAnsi"/>
        </w:rPr>
      </w:pPr>
      <w:r w:rsidRPr="001A7586">
        <w:rPr>
          <w:rFonts w:cstheme="minorHAnsi"/>
          <w:color w:val="000000"/>
        </w:rPr>
        <w:t>Trait anxiety refers to stable individual differences in how individuals respond to acutely stressful or threatening situations</w:t>
      </w:r>
      <w:r w:rsidR="00C230FF" w:rsidRPr="001A7586">
        <w:rPr>
          <w:rFonts w:cstheme="minorHAnsi"/>
          <w:color w:val="000000"/>
        </w:rPr>
        <w:t>.</w:t>
      </w:r>
      <w:r w:rsidR="00111E0E" w:rsidRPr="001A7586">
        <w:rPr>
          <w:rFonts w:cstheme="minorHAnsi"/>
          <w:szCs w:val="19"/>
        </w:rPr>
        <w:t xml:space="preserve"> </w:t>
      </w:r>
      <w:r w:rsidR="007C1DE8" w:rsidRPr="001A7586">
        <w:rPr>
          <w:rFonts w:cstheme="minorHAnsi"/>
          <w:color w:val="000000"/>
        </w:rPr>
        <w:t>High-</w:t>
      </w:r>
      <w:r w:rsidR="00C230FF" w:rsidRPr="001A7586">
        <w:rPr>
          <w:rFonts w:cstheme="minorHAnsi"/>
          <w:color w:val="000000"/>
        </w:rPr>
        <w:t>trait anxious</w:t>
      </w:r>
      <w:r w:rsidR="007C1DE8" w:rsidRPr="001A7586">
        <w:rPr>
          <w:rFonts w:cstheme="minorHAnsi"/>
          <w:color w:val="000000"/>
        </w:rPr>
        <w:t xml:space="preserve"> individuals</w:t>
      </w:r>
      <w:r w:rsidR="00C230FF" w:rsidRPr="001A7586">
        <w:rPr>
          <w:rFonts w:cstheme="minorHAnsi"/>
          <w:szCs w:val="19"/>
        </w:rPr>
        <w:t xml:space="preserve"> are predisposed</w:t>
      </w:r>
      <w:r w:rsidR="00111E0E" w:rsidRPr="001A7586">
        <w:rPr>
          <w:rFonts w:cstheme="minorHAnsi"/>
          <w:szCs w:val="19"/>
        </w:rPr>
        <w:t xml:space="preserve"> to </w:t>
      </w:r>
      <w:r w:rsidR="00C230FF" w:rsidRPr="001A7586">
        <w:rPr>
          <w:rFonts w:cstheme="minorHAnsi"/>
          <w:szCs w:val="19"/>
        </w:rPr>
        <w:t>develop anxiety</w:t>
      </w:r>
      <w:r w:rsidR="00111E0E" w:rsidRPr="001A7586">
        <w:rPr>
          <w:rFonts w:cstheme="minorHAnsi"/>
          <w:szCs w:val="19"/>
        </w:rPr>
        <w:t xml:space="preserve"> and depression </w:t>
      </w:r>
      <w:r w:rsidR="00111E0E" w:rsidRPr="00E20348">
        <w:rPr>
          <w:rFonts w:cstheme="minorHAnsi"/>
          <w:szCs w:val="19"/>
        </w:rPr>
        <w:fldChar w:fldCharType="begin" w:fldLock="1"/>
      </w:r>
      <w:r w:rsidR="007C1DE8" w:rsidRPr="001A7586">
        <w:rPr>
          <w:rFonts w:cstheme="minorHAnsi"/>
          <w:szCs w:val="19"/>
        </w:rPr>
        <w:instrText>ADDIN CSL_CITATION {"citationItems":[{"id":"ITEM-1","itemData":{"DOI":"10.1016/j.neubiorev.2018.01.012","ISSN":"01497634","PMID":"29407523","abstract":"A great deal of research aims to identify risk factors related to individual vulnerability to develop stress-induced psychopathologies. Here, we summarize evidence that point at anxiety trait as a significant contributor to inter-individual differences in stress-vulnerability. Specifically, we underscore high anxiety trait as a key vulnerability phenotype. Highly anxious individuals show both behavioral alterations and cognitive deficits, along with more reactive physiological stress responses. We discuss efforts and progress towards the identification of genetic variants and polygenetic scores that explain differences in trait anxiety and vulnerability to stress. We then summarize molecular alterations in the brain of individuals with high anxiety trait that can help explaining the increased vulnerability to stress of these individuals. Variation in such systems can act as risk factors, which in combination with severe/prolonged stressful life events can pave the way towards the development of depression. Our viewpoint implies that the consideration of high anxiety trait as a key vulnerability phenotype in stress research can support the overall aim to obtain improved or novel therapeutic approaches.","author":[{"dropping-particle":"","family":"Weger","given":"Meltem","non-dropping-particle":"","parse-names":false,"suffix":""},{"dropping-particle":"","family":"Sandi","given":"Carmen","non-dropping-particle":"","parse-names":false,"suffix":""}],"container-title":"Neuroscience &amp; Biobehavioral Reviews","id":"ITEM-1","issued":{"date-parts":[["2018","4"]]},"page":"27-37","title":"High anxiety trait: A vulnerable phenotype for stress-induced depression","type":"article-journal","volume":"87"},"uris":["http://www.mendeley.com/documents/?uuid=52e139e4-7233-3b59-8bbe-b56129336849"]}],"mendeley":{"formattedCitation":"(Weger and Sandi, 2018)","plainTextFormattedCitation":"(Weger and Sandi, 2018)","previouslyFormattedCitation":"(Weger and Sandi, 2018)"},"properties":{"noteIndex":0},"schema":"https://github.com/citation-style-language/schema/raw/master/csl-citation.json"}</w:instrText>
      </w:r>
      <w:r w:rsidR="00111E0E" w:rsidRPr="00E20348">
        <w:rPr>
          <w:rFonts w:cstheme="minorHAnsi"/>
          <w:szCs w:val="19"/>
        </w:rPr>
        <w:fldChar w:fldCharType="separate"/>
      </w:r>
      <w:r w:rsidR="007C1DE8" w:rsidRPr="001A7586">
        <w:rPr>
          <w:rFonts w:cstheme="minorHAnsi"/>
          <w:noProof/>
          <w:szCs w:val="19"/>
        </w:rPr>
        <w:t>(Weger and Sandi, 2018)</w:t>
      </w:r>
      <w:r w:rsidR="00111E0E" w:rsidRPr="00E20348">
        <w:rPr>
          <w:rFonts w:cstheme="minorHAnsi"/>
          <w:szCs w:val="19"/>
        </w:rPr>
        <w:fldChar w:fldCharType="end"/>
      </w:r>
      <w:r w:rsidR="00C230FF" w:rsidRPr="001A7586">
        <w:rPr>
          <w:rFonts w:cstheme="minorHAnsi"/>
          <w:color w:val="000000"/>
        </w:rPr>
        <w:t>,</w:t>
      </w:r>
      <w:r w:rsidR="007C1DE8" w:rsidRPr="001A7586">
        <w:rPr>
          <w:rFonts w:cstheme="minorHAnsi"/>
          <w:color w:val="000000"/>
        </w:rPr>
        <w:t xml:space="preserve"> </w:t>
      </w:r>
      <w:r w:rsidR="006A1085" w:rsidRPr="001A7586">
        <w:rPr>
          <w:rFonts w:cstheme="minorHAnsi"/>
          <w:color w:val="000000"/>
        </w:rPr>
        <w:t>are</w:t>
      </w:r>
      <w:r w:rsidRPr="001A7586">
        <w:rPr>
          <w:rFonts w:cstheme="minorHAnsi"/>
          <w:color w:val="000000"/>
        </w:rPr>
        <w:t xml:space="preserve"> more likely to interpret ambiguous stimuli as threatening </w:t>
      </w:r>
      <w:r w:rsidRPr="00E20348">
        <w:rPr>
          <w:rFonts w:cstheme="minorHAnsi"/>
          <w:color w:val="000000"/>
        </w:rPr>
        <w:fldChar w:fldCharType="begin" w:fldLock="1"/>
      </w:r>
      <w:r w:rsidR="007C1DE8" w:rsidRPr="001A7586">
        <w:rPr>
          <w:rFonts w:cstheme="minorHAnsi"/>
          <w:color w:val="000000"/>
        </w:rPr>
        <w:instrText>ADDIN CSL_CITATION {"citationItems":[{"id":"ITEM-1","itemData":{"ISSN":"0021-843X","PMID":"2708637","abstract":"In previous studies, we have established that anxiety states are characterized by an attentional bias that favors the processing of threatening stimuli. In the present study we extend this finding to ambiguous stimuli, specifically, homophones with spellings that correspond to either a threatening or a neutral meaning. As predicted, clinically anxious subjects used the threatening spellings relatively more than did controls, whereas recovered subjects were intermediate in this respect. Threatening words were associated with greater skin conductance responses than were neutral words, but the groups did not differ in their electrodermal reactions to homophones. We take these findings as evidence that, although the different meanings of ambiguous stimuli may be processed in parallel by all subjects, an interpretive bias operates such that anxiety-prone individuals tend to become preferentially aware of the more threatening meaning of such events.","author":[{"dropping-particle":"","family":"Mathews","given":"A","non-dropping-particle":"","parse-names":false,"suffix":""},{"dropping-particle":"","family":"Richards","given":"A","non-dropping-particle":"","parse-names":false,"suffix":""},{"dropping-particle":"","family":"Eysenck","given":"M","non-dropping-particle":"","parse-names":false,"suffix":""}],"container-title":"Journal of abnormal psychology","id":"ITEM-1","issue":"1","issued":{"date-parts":[["1989","2"]]},"page":"31-4","title":"Interpretation of homophones related to threat in anxiety states.","type":"article-journal","volume":"98"},"uris":["http://www.mendeley.com/documents/?uuid=c9366b80-7145-30b3-9130-0479896eb782"]}],"mendeley":{"formattedCitation":"(Mathews et al., 1989)","plainTextFormattedCitation":"(Mathews et al., 1989)","previouslyFormattedCitation":"(Mathews et al., 1989)"},"properties":{"noteIndex":0},"schema":"https://github.com/citation-style-language/schema/raw/master/csl-citation.json"}</w:instrText>
      </w:r>
      <w:r w:rsidRPr="00E20348">
        <w:rPr>
          <w:rFonts w:cstheme="minorHAnsi"/>
          <w:color w:val="000000"/>
        </w:rPr>
        <w:fldChar w:fldCharType="separate"/>
      </w:r>
      <w:r w:rsidR="007C1DE8" w:rsidRPr="001A7586">
        <w:rPr>
          <w:rFonts w:cstheme="minorHAnsi"/>
          <w:noProof/>
          <w:color w:val="000000"/>
        </w:rPr>
        <w:t>(Mathews et al., 1989)</w:t>
      </w:r>
      <w:r w:rsidRPr="00E20348">
        <w:rPr>
          <w:rFonts w:cstheme="minorHAnsi"/>
          <w:color w:val="000000"/>
        </w:rPr>
        <w:fldChar w:fldCharType="end"/>
      </w:r>
      <w:r w:rsidR="007C1DE8" w:rsidRPr="001A7586">
        <w:rPr>
          <w:rFonts w:cstheme="minorHAnsi"/>
        </w:rPr>
        <w:t>,</w:t>
      </w:r>
      <w:r w:rsidRPr="001A7586">
        <w:rPr>
          <w:rFonts w:cstheme="minorHAnsi"/>
        </w:rPr>
        <w:t xml:space="preserve"> </w:t>
      </w:r>
      <w:r w:rsidR="00572A6A" w:rsidRPr="001A7586">
        <w:rPr>
          <w:rFonts w:cstheme="minorHAnsi"/>
        </w:rPr>
        <w:t xml:space="preserve">and </w:t>
      </w:r>
      <w:r w:rsidRPr="001A7586">
        <w:rPr>
          <w:rFonts w:cstheme="minorHAnsi"/>
        </w:rPr>
        <w:t xml:space="preserve">show reduced </w:t>
      </w:r>
      <w:r w:rsidR="00572A6A" w:rsidRPr="001A7586">
        <w:rPr>
          <w:rFonts w:cstheme="minorHAnsi"/>
        </w:rPr>
        <w:t>motivation</w:t>
      </w:r>
      <w:r w:rsidRPr="001A7586">
        <w:rPr>
          <w:rFonts w:cstheme="minorHAnsi"/>
        </w:rPr>
        <w:t xml:space="preserve"> </w:t>
      </w:r>
      <w:r w:rsidRPr="00E20348">
        <w:rPr>
          <w:rFonts w:cstheme="minorHAnsi"/>
        </w:rPr>
        <w:fldChar w:fldCharType="begin" w:fldLock="1"/>
      </w:r>
      <w:r w:rsidR="007C1DE8" w:rsidRPr="001A7586">
        <w:rPr>
          <w:rFonts w:cstheme="minorHAnsi"/>
        </w:rPr>
        <w:instrText>ADDIN CSL_CITATION {"citationItems":[{"id":"ITEM-1","itemData":{"DOI":"10.1016/J.BIOPSYCHO.2015.06.001","ISSN":"0301-0511","abstract":"Blunted cardiovascular stress reactions may be a marker for poor behavioral regulation. The present study examined the association between heart rate reactivity and perseverance, operationalized as the failure to complete a subsequent follow-up assessment. The heart rate (using electrocardiography), cardiac output (using Doppler echocardiography) and blood pressure (using a semi- automatic sphygmomanometer) of 176 high school students were measured before and during exposure to a standard 10-min mental arithmetic stress. A year later, all participants were contacted to complete a simple and undemanding on-line assessment. Despite repeated promptings, 44 failed to do so. Diminished heart rate and cardiac output stress reactions predicted failure to complete the follow-up. This result adds to the emerging characterization of those who exhibit blunted stress reactions by revealing associated deficiencies in perseverance. It may also have prognostic implications for the completion of multi-session interventions, as well as for selection bias in stress reactivity studies with follow-up designs.","author":[{"dropping-particle":"","family":"Ginty","given":"Annie T.","non-dropping-particle":"","parse-names":false,"suffix":""},{"dropping-particle":"","family":"Brindle","given":"Ryan C.","non-dropping-particle":"","parse-names":false,"suffix":""},{"dropping-particle":"","family":"Carroll","given":"Douglas","non-dropping-particle":"","parse-names":false,"suffix":""}],"container-title":"Biological Psychology","id":"ITEM-1","issued":{"date-parts":[["2015","7","1"]]},"page":"200-205","publisher":"Elsevier","title":"Cardiac stress reactions and perseverance: Diminished reactivity is associated with study non-completion","type":"article-journal","volume":"109"},"uris":["http://www.mendeley.com/documents/?uuid=4a14ec2b-7bb1-34cf-b55c-6b8122803c51"]}],"mendeley":{"formattedCitation":"(Ginty et al., 2015)","plainTextFormattedCitation":"(Ginty et al., 2015)","previouslyFormattedCitation":"(Ginty et al., 2015)"},"properties":{"noteIndex":0},"schema":"https://github.com/citation-style-language/schema/raw/master/csl-citation.json"}</w:instrText>
      </w:r>
      <w:r w:rsidRPr="00E20348">
        <w:rPr>
          <w:rFonts w:cstheme="minorHAnsi"/>
        </w:rPr>
        <w:fldChar w:fldCharType="separate"/>
      </w:r>
      <w:r w:rsidR="007C1DE8" w:rsidRPr="001A7586">
        <w:rPr>
          <w:rFonts w:cstheme="minorHAnsi"/>
          <w:noProof/>
        </w:rPr>
        <w:t>(Ginty et al., 2015)</w:t>
      </w:r>
      <w:r w:rsidRPr="00E20348">
        <w:rPr>
          <w:rFonts w:cstheme="minorHAnsi"/>
        </w:rPr>
        <w:fldChar w:fldCharType="end"/>
      </w:r>
      <w:r w:rsidRPr="001A7586">
        <w:rPr>
          <w:rFonts w:cstheme="minorHAnsi"/>
        </w:rPr>
        <w:t xml:space="preserve">. </w:t>
      </w:r>
      <w:r w:rsidRPr="001A7586">
        <w:rPr>
          <w:rFonts w:cstheme="minorHAnsi"/>
          <w:szCs w:val="19"/>
        </w:rPr>
        <w:t>Physiologically,</w:t>
      </w:r>
      <w:r w:rsidRPr="00E20348">
        <w:rPr>
          <w:rFonts w:cstheme="minorHAnsi"/>
        </w:rPr>
        <w:t xml:space="preserve"> increased anxiety</w:t>
      </w:r>
      <w:r w:rsidR="00097298" w:rsidRPr="00E20348">
        <w:rPr>
          <w:rFonts w:cstheme="minorHAnsi"/>
        </w:rPr>
        <w:t xml:space="preserve"> is normally </w:t>
      </w:r>
      <w:r w:rsidR="002606DF" w:rsidRPr="00E20348">
        <w:rPr>
          <w:rFonts w:cstheme="minorHAnsi"/>
        </w:rPr>
        <w:t>associated with</w:t>
      </w:r>
      <w:r w:rsidRPr="00E20348">
        <w:rPr>
          <w:rFonts w:cstheme="minorHAnsi"/>
        </w:rPr>
        <w:t xml:space="preserve"> increases in the autonomic indice</w:t>
      </w:r>
      <w:r w:rsidR="00097298" w:rsidRPr="00E20348">
        <w:rPr>
          <w:rFonts w:cstheme="minorHAnsi"/>
        </w:rPr>
        <w:t>s of fear</w:t>
      </w:r>
      <w:r w:rsidR="002606DF" w:rsidRPr="00E20348">
        <w:rPr>
          <w:rFonts w:cstheme="minorHAnsi"/>
        </w:rPr>
        <w:t xml:space="preserve"> in response to fearful stimuli</w:t>
      </w:r>
      <w:r w:rsidR="00097298" w:rsidRPr="00E20348">
        <w:rPr>
          <w:rFonts w:cstheme="minorHAnsi"/>
        </w:rPr>
        <w:t xml:space="preserve">.  </w:t>
      </w:r>
      <w:r w:rsidR="0063395B" w:rsidRPr="001A7586">
        <w:t xml:space="preserve">However, a principle diagnosis in the domain of 'anxiety' covers </w:t>
      </w:r>
      <w:r w:rsidR="00097298" w:rsidRPr="00E20348">
        <w:rPr>
          <w:rFonts w:cstheme="minorHAnsi"/>
        </w:rPr>
        <w:t>a wide spectrum of anxiety-related and comorbid disorders, and while enhanced fear physiology is seen in specific phobia patients, there is increasing evidence that high chronic</w:t>
      </w:r>
      <w:r w:rsidR="0063395B" w:rsidRPr="00E20348">
        <w:rPr>
          <w:rFonts w:cstheme="minorHAnsi"/>
        </w:rPr>
        <w:t xml:space="preserve"> (</w:t>
      </w:r>
      <w:r w:rsidR="00097298" w:rsidRPr="00E20348">
        <w:rPr>
          <w:rFonts w:cstheme="minorHAnsi"/>
        </w:rPr>
        <w:t>trait</w:t>
      </w:r>
      <w:r w:rsidR="0063395B" w:rsidRPr="00E20348">
        <w:rPr>
          <w:rFonts w:cstheme="minorHAnsi"/>
        </w:rPr>
        <w:t>)</w:t>
      </w:r>
      <w:r w:rsidR="00097298" w:rsidRPr="00E20348">
        <w:rPr>
          <w:rFonts w:cstheme="minorHAnsi"/>
        </w:rPr>
        <w:t xml:space="preserve"> levels of anxiety and negative affect</w:t>
      </w:r>
      <w:r w:rsidRPr="00E20348">
        <w:rPr>
          <w:rFonts w:cstheme="minorHAnsi"/>
        </w:rPr>
        <w:t xml:space="preserve"> </w:t>
      </w:r>
      <w:r w:rsidR="00097298" w:rsidRPr="00E20348">
        <w:rPr>
          <w:rFonts w:cstheme="minorHAnsi"/>
        </w:rPr>
        <w:t>are</w:t>
      </w:r>
      <w:r w:rsidRPr="00E20348">
        <w:rPr>
          <w:rFonts w:cstheme="minorHAnsi"/>
        </w:rPr>
        <w:t xml:space="preserve"> associated with blunted cardiovascular responsivity, and a failure to show the adaptive </w:t>
      </w:r>
      <w:r w:rsidR="00347412" w:rsidRPr="00E20348">
        <w:rPr>
          <w:rFonts w:cstheme="minorHAnsi"/>
        </w:rPr>
        <w:t xml:space="preserve">cardiovascular changes </w:t>
      </w:r>
      <w:r w:rsidRPr="00E20348">
        <w:rPr>
          <w:rFonts w:cstheme="minorHAnsi"/>
        </w:rPr>
        <w:t xml:space="preserve">that characterise a healthy </w:t>
      </w:r>
      <w:r w:rsidRPr="00E20348">
        <w:rPr>
          <w:bCs/>
        </w:rPr>
        <w:t xml:space="preserve">‘fight or flight’ response </w:t>
      </w:r>
      <w:r w:rsidRPr="001A7586">
        <w:rPr>
          <w:bCs/>
        </w:rPr>
        <w:fldChar w:fldCharType="begin" w:fldLock="1"/>
      </w:r>
      <w:r w:rsidR="000D18A1" w:rsidRPr="00E20348">
        <w:rPr>
          <w:bCs/>
        </w:rPr>
        <w:instrText>ADDIN CSL_CITATION {"citationItems":[{"id":"ITEM-1","itemData":{"DOI":"10.1016/j.ijpsycho.2013.06.003","ISSN":"1872-7697","PMID":"23872489","abstract":"Symptoms of depression are related to blunted cardiovascular reactions to acute stress tasks. However, it is unclear what factors might mediate this association and whether blunted responses are specific to mental stress tasks or are also evident with other forms of stress. The present study assessed cardiovascular reactivity to both mental and postural stress and the role of background stress exposure and stress perception. Undergraduate students (N=119, 81 females) were screened for depressive symptoms using the Beck Depression Inventory. Twenty-six participants with probable depression and 26 non-depressed controls underwent cardiovascular stress testing. Heart rate (HR), systolic (SBP) and diastolic (DBP) blood pressure were measured at rest and in response to a 5min orthostatic challenge and an 8min mental arithmetic task. Stress exposure was measured using the Undergraduate Stress Questionnaire. Perceptions of general life stress were assessed using the Perceived Stress Scale (PSS) and perceptions of the stress task impact were measured using Threat Appraisal (TA). Symptoms of depression were associated with blunted HR, F(2,98)=5.26, p=.010, η(2)=.097, and SBP, F(2,98)=6.47, p=.008, η(2)=.117, reactions to the mental stress but not to postural challenge. HR reactions were mediated by PSS score, while both PSS score and TA emerged independently as mediators of SBP reactions. These results confirm a negative relationship between depressive symptoms and cardiovascular reactions to acute stress, suggest that this association may be stress task-specific, and may be mediated by perceptions of stress.","author":[{"dropping-particle":"","family":"Brindle","given":"Ryan C","non-dropping-particle":"","parse-names":false,"suffix":""},{"dropping-particle":"","family":"Ginty","given":"Annie T","non-dropping-particle":"","parse-names":false,"suffix":""},{"dropping-particle":"","family":"Conklin","given":"Sarah M","non-dropping-particle":"","parse-names":false,"suffix":""}],"container-title":"International journal of psychophysiology : official journal of the International Organization of Psychophysiology","id":"ITEM-1","issue":"1","issued":{"date-parts":[["2013","10"]]},"page":"66-72","title":"Is the association between depression and blunted cardiovascular stress reactions mediated by perceptions of stress?","type":"article-journal","volume":"90"},"uris":["http://www.mendeley.com/documents/?uuid=8f603f51-3cd6-3588-b1a8-956f34578293"]},{"id":"ITEM-2","itemData":{"DOI":"10.1186/s12868-015-0216-9","ISSN":"1471-2202","PMID":"26597843","abstract":"BACKGROUND Both exaggerated and diminished reactivity to stress can be maladaptive. Previous studies have shown that performing increasingly difficult tasks leads first to increased reactivity and then to a blunted response when success is impossible. Our aim was to investigate the influence of trait anxiety on cardiac and cortisol response to and recovery from a standardized psychosocial stress task (Trier Social Stress Task) in a homogeneous sample of healthy peacekeepers. We hypothesized that participants with higher trait anxiety would show blunted reactivity during the performance of an overwhelmingly difficult and stressful task. Participants (N = 50) delivered a speech and performed an arithmetic task in the presence of critical evaluators. Cortisol samples and electrocardiogram data were collected. Participants completed the State-Trait Anxiety Inventory-Trait version, the Posttraumatic Stress Disorder Checklist-Civilian Version (PCL-C) and the Military Peace Force Stressor Inventory. RESULTS For heart rate, the findings showed that peacekeepers with higher trait anxiety reacted less to the speech task (p = 0.03) and to the arithmetic task (p = 0.008) than those with lower trait anxiety. Trait anxiety did not modulate cortisol responses to the task. Despite the high trait anxiety group having higher PCL-C scores than the low trait anxiety group (p &lt; 0.0001), this did not influence the cardiac results. CONCLUSIONS We concluded that individuals with higher trait anxiety had less tachycardia in response to acute psychological stress than those with lower trait anxiety. The present results point to a higher risk for more anxious individuals of a maladaptive reaction to stressful events.","author":[{"dropping-particle":"","family":"Souza","given":"Gabriela Guerra Leal","non-dropping-particle":"","parse-names":false,"suffix":""},{"dropping-particle":"","family":"Mendonça-de-Souza","given":"Ana Carolina Ferraz","non-dropping-particle":"","parse-names":false,"suffix":""},{"dropping-particle":"","family":"Duarte","given":"Antônio Fernando Araújo","non-dropping-particle":"","parse-names":false,"suffix":""},{"dropping-particle":"","family":"Fischer","given":"Nastassja Lopes","non-dropping-particle":"","parse-names":false,"suffix":""},{"dropping-particle":"","family":"Souza","given":"Wanderson Fernandes","non-dropping-particle":"","parse-names":false,"suffix":""},{"dropping-particle":"","family":"Silva Freire Coutinho","given":"Evandro","non-dropping-particle":"","parse-names":false,"suffix":""},{"dropping-particle":"","family":"Figueira","given":"Ivan","non-dropping-particle":"","parse-names":false,"suffix":""},{"dropping-particle":"","family":"Volchan","given":"Eliane","non-dropping-particle":"","parse-names":false,"suffix":""}],"container-title":"BMC Neuroscience","id":"ITEM-2","issue":"1","issued":{"date-parts":[["2015","12","23"]]},"page":"81","title":"Blunted cardiac reactivity to psychological stress associated with higher trait anxiety: a study in peacekeepers","type":"article-journal","volume":"16"},"uris":["http://www.mendeley.com/documents/?uuid=896baff2-7965-3ec5-8639-bc1aa848d830"]},{"id":"ITEM-3","itemData":{"DOI":"10.1016/j.biopsycho.2011.01.002","ISSN":"03010511","PMID":"21291951","abstract":"The current study examined whether the perception of life stress related to cardiovascular reactivity. Participants (n = 100) completed the Perceived Stress Scale, the Undergraduate Stress Questionnaire, and undertook a standard mental arithmetic stress task. Blood pressure and pulse rate were measured at baseline, during, and following stress task exposure. Reactivity was the difference between stress and baseline cardiovascular activity. A perceived stress difference score (PSDS) was calculated by subtracting the Undergraduate Stress Questionnaire scores from the Perceived Stress Scale scores. Two groups were created: high PSDS (n = 15; PSDS at least 1SD above the mean) and low PSDS (n = 15; PSDS at least 1SD below the mean). There was a significant difference between groups in pulse rate reactivity, F(1,28) = 8.73, p = .006, η² = .24. High PSDS scores were associated with significantly lower pulse rate reactions to stress. Those who perceived their lives as more stressful than their actual stress exposures justified would appear to be characterised by blunted cardiac reactivity.","author":[{"dropping-particle":"","family":"Ginty","given":"Annie T.","non-dropping-particle":"","parse-names":false,"suffix":""},{"dropping-particle":"","family":"Conklin","given":"Sarah M.","non-dropping-particle":"","parse-names":false,"suffix":""}],"container-title":"Biological Psychology","id":"ITEM-3","issue":"3","issued":{"date-parts":[["2011","3"]]},"page":"383-385","title":"High perceived stress in relation to life events is associated with blunted cardiac reactivity","type":"article-journal","volume":"86"},"uris":["http://www.mendeley.com/documents/?uuid=23e4533e-7724-332d-9c9a-dd3e999de9a1"]},{"id":"ITEM-4","itemData":{"DOI":"10.3233/RNN-139012","ISSN":"0922-6028","author":[{"dropping-particle":"","family":"Lang","given":"Peter J.","non-dropping-particle":"","parse-names":false,"suffix":""},{"dropping-particle":"","family":"McTeague","given":"Lisa M.","non-dropping-particle":"","parse-names":false,"suffix":""},{"dropping-particle":"","family":"Bradley","given":"Margaret M.","non-dropping-particle":"","parse-names":false,"suffix":""}],"container-title":"Restorative Neurology and Neuroscience","id":"ITEM-4","issue":"1","issued":{"date-parts":[["2014","1","1"]]},"page":"63-77","publisher":"IOS Press","title":"Pathological anxiety and function/dysfunction in the brain's fear/defense circuitry","type":"article-journal","volume":"32"},"uris":["http://www.mendeley.com/documents/?uuid=e61aa5b4-b11f-3265-a644-d0a9589d1a21"]},{"id":"ITEM-5","itemData":{"DOI":"10.1111/psyp.12462","ISSN":"00485772","PMID":"26877123","abstract":"Evidence is presented supporting a dimension of defensive reactivity that varies across the anxiety disorder spectrum and is defined by physiological responses during threat-imagery challenges that covary with objective measures of psychopathology. Previous imagery studies of anxiety disorders are reviewed, highlighting that, regardless of contemporary diagnostic convention, reliable psychophysiological patterns emerge for patients diagnosed with circumscribed fear compared to those diagnosed with pervasive anxious-misery disorders. Based on the heuristic outlined by the Research Domain Criteria (RDoC) initiative, an exploratory transdiagnostic analysis is presented, based on a sample of 425 treatment-seeking patients from across the spectrum of DSM-IV anxiety diagnoses. Using a composite index of startle reflex and heart rate reactivity during idiographic fear imagery for each patient, a defensive dimension was defined by ranking patients from most defensively reactive to least reactive and then creating five groups of equivalent size (quintile; N = 85). Subsequent analyses showed significant parallel trends of diminishing reactivity in both electrodermal and facial electromyographic reactions across this defensive dimension. Negative affectivity, defined by questionnaire and extent of functional interference, however, showed consistent, inverse trends with defensive reactivity-as reports of distress increased, defensive reactivity was increasingly attenuated. Notably, representatives of each principal diagnosis appeared in each quintile, underscoring the reality of pronounced within-diagnosis heterogeneity in defensive reactivity. In concluding, we describe our new RDoC research project, focusing on the assessment of brain circuit function as it determines hypo/hyperreactivity to challenge-somatic and autonomic-and may relate to patients' stress history and genetic inheritance.","author":[{"dropping-particle":"","family":"Lang","given":"Peter J.","non-dropping-particle":"","parse-names":false,"suffix":""},{"dropping-particle":"","family":"McTeague","given":"Lisa M.","non-dropping-particle":"","parse-names":false,"suffix":""},{"dropping-particle":"","family":"Bradley","given":"Margaret M.","non-dropping-particle":"","parse-names":false,"suffix":""}],"container-title":"Psychophysiology","id":"ITEM-5","issue":"3","issued":{"date-parts":[["2016","3"]]},"page":"336-347","title":"RDoC, DSM, and the reflex physiology of fear: A biodimensional analysis of the anxiety disorders spectrum","type":"article-journal","volume":"53"},"uris":["http://www.mendeley.com/documents/?uuid=b2a3ab9d-af03-3e5c-a0d9-da2b48092dac"]}],"mendeley":{"formattedCitation":"(Ginty and Conklin, 2011; Brindle et al., 2013; Lang et al., 2014, 2016; Souza et al., 2015)","plainTextFormattedCitation":"(Ginty and Conklin, 2011; Brindle et al., 2013; Lang et al., 2014, 2016; Souza et al., 2015)","previouslyFormattedCitation":"(Ginty and Conklin, 2011; Brindle et al., 2013; Lang et al., 2014, 2016; Souza et al., 2015)"},"properties":{"noteIndex":0},"schema":"https://github.com/citation-style-language/schema/raw/master/csl-citation.json"}</w:instrText>
      </w:r>
      <w:r w:rsidRPr="00E20348">
        <w:rPr>
          <w:bCs/>
        </w:rPr>
        <w:fldChar w:fldCharType="separate"/>
      </w:r>
      <w:r w:rsidR="002606DF" w:rsidRPr="00E20348">
        <w:rPr>
          <w:bCs/>
          <w:noProof/>
        </w:rPr>
        <w:t>(Ginty and Conklin, 2011; Brindle et al., 2013; Lang et al., 2014, 2016; Souza et al., 2015)</w:t>
      </w:r>
      <w:r w:rsidRPr="00E20348">
        <w:rPr>
          <w:bCs/>
        </w:rPr>
        <w:fldChar w:fldCharType="end"/>
      </w:r>
      <w:r w:rsidRPr="001A7586">
        <w:rPr>
          <w:bCs/>
        </w:rPr>
        <w:t xml:space="preserve">. </w:t>
      </w:r>
      <w:r w:rsidR="00BF5FA6" w:rsidRPr="001A7586">
        <w:rPr>
          <w:bCs/>
        </w:rPr>
        <w:t>Moreover</w:t>
      </w:r>
      <w:r w:rsidRPr="001A7586">
        <w:rPr>
          <w:bCs/>
        </w:rPr>
        <w:t>, the cardiovascular function of high-trait anxious</w:t>
      </w:r>
      <w:r w:rsidR="002606DF" w:rsidRPr="001A7586">
        <w:rPr>
          <w:bCs/>
        </w:rPr>
        <w:t xml:space="preserve"> and negative</w:t>
      </w:r>
      <w:r w:rsidRPr="001A7586">
        <w:rPr>
          <w:bCs/>
        </w:rPr>
        <w:t xml:space="preserve"> individuals does not discriminate between acutely stressful and non-stressful conditions </w:t>
      </w:r>
      <w:r w:rsidRPr="00E20348">
        <w:rPr>
          <w:bCs/>
        </w:rPr>
        <w:fldChar w:fldCharType="begin" w:fldLock="1"/>
      </w:r>
      <w:r w:rsidR="007C1DE8" w:rsidRPr="001A7586">
        <w:rPr>
          <w:bCs/>
        </w:rPr>
        <w:instrText>ADDIN CSL_CITATION {"citationItems":[{"id":"ITEM-1","itemData":{"DOI":"10.1016/j.neubiorev.2017.02.025","ISSN":"01497634","author":[{"dropping-particle":"","family":"Carroll","given":"Douglas","non-dropping-particle":"","parse-names":false,"suffix":""},{"dropping-particle":"","family":"Ginty","given":"Annie T.","non-dropping-particle":"","parse-names":false,"suffix":""},{"dropping-particle":"","family":"Whittaker","given":"Anna C.","non-dropping-particle":"","parse-names":false,"suffix":""},{"dropping-particle":"","family":"Lovallo","given":"William R.","non-dropping-particle":"","parse-names":false,"suffix":""},{"dropping-particle":"","family":"Rooij","given":"Susanne R.","non-dropping-particle":"de","parse-names":false,"suffix":""}],"container-title":"Neuroscience &amp; Biobehavioral Reviews","id":"ITEM-1","issued":{"date-parts":[["2017","6"]]},"page":"74-86","title":"The behavioural, cognitive, and neural corollaries of blunted cardiovascular and cortisol reactions to acute psychological stress","type":"article-journal","volume":"77"},"uris":["http://www.mendeley.com/documents/?uuid=cd0b8cd4-ab62-3a36-9958-31ae42246ae5"]}],"mendeley":{"formattedCitation":"(Carroll et al., 2017)","plainTextFormattedCitation":"(Carroll et al., 2017)","previouslyFormattedCitation":"(Carroll et al., 2017)"},"properties":{"noteIndex":0},"schema":"https://github.com/citation-style-language/schema/raw/master/csl-citation.json"}</w:instrText>
      </w:r>
      <w:r w:rsidRPr="00E20348">
        <w:rPr>
          <w:bCs/>
        </w:rPr>
        <w:fldChar w:fldCharType="separate"/>
      </w:r>
      <w:r w:rsidR="007C1DE8" w:rsidRPr="001A7586">
        <w:rPr>
          <w:bCs/>
          <w:noProof/>
        </w:rPr>
        <w:t>(Carroll et al., 2017)</w:t>
      </w:r>
      <w:r w:rsidRPr="00E20348">
        <w:rPr>
          <w:bCs/>
        </w:rPr>
        <w:fldChar w:fldCharType="end"/>
      </w:r>
      <w:r w:rsidRPr="001A7586">
        <w:rPr>
          <w:bCs/>
        </w:rPr>
        <w:t xml:space="preserve">, an adaptive failure that may contribute to the increased incidence of cardiovascular disease in patients suffering from </w:t>
      </w:r>
      <w:r w:rsidR="00F02BF3" w:rsidRPr="001A7586">
        <w:rPr>
          <w:bCs/>
        </w:rPr>
        <w:t xml:space="preserve">depression </w:t>
      </w:r>
      <w:r w:rsidRPr="001A7586">
        <w:rPr>
          <w:bCs/>
        </w:rPr>
        <w:t xml:space="preserve">and anxiety </w:t>
      </w:r>
      <w:r w:rsidRPr="00E20348">
        <w:rPr>
          <w:bCs/>
        </w:rPr>
        <w:fldChar w:fldCharType="begin" w:fldLock="1"/>
      </w:r>
      <w:r w:rsidR="00572A6A" w:rsidRPr="001A7586">
        <w:rPr>
          <w:bCs/>
        </w:rPr>
        <w:instrText>ADDIN CSL_CITATION {"citationItems":[{"id":"ITEM-1","itemData":{"DOI":"10.3109/00048674.2011.570427","ISSN":"1440-1614","PMID":"21500954","abstract":"OBJECTIVE: Major depressive disorder (MDD) and coronary heart disease (CHD) are both clinically important public health problems. Depression is linked with a higher incidence of ischaemic cardiac events and MDD is more prevalent in patients with CHD. No single comprehensive model has yet described the causal mechanisms linking MDD to CHD. Several key mechanisms have been put forward, comprising behavioural mechanisms, genetic mechanisms, dysregulation of immune mechanisms, coagulation abnormalities and vascular endothelial dysfunction, polyunsaturated omega-3 free fatty acid deficiency, and autonomic mechanisms. It has been suggested that these mechanisms form a network, which links MDD and CHD. The aim of this review is to examine the causal mechanisms underlying the relationship between MDD and CHD, with the aim of constructing a topological map of the causal network which describes the relationship between MDD and CHD.\n\nMETHODS: The search term 'depression and heart disease' was entered into an electronic multiple database search engine. Abstracts were screened for relevance and individually selected articles were collated.\n\nRESULTS: This review introduces the first topological map of the causal network which describes the relationship between MDD and CHD.\n\nCONCLUSIONS: Viewing the causal pathways as an interdependent network presents a new paradigm in this field and provides fertile ground for further research. The causal network can be studied using the methodology of systems biology, which is briefly introduced. Future research should focus on the creation of a more comprehensive topological map of the causal network and the quantification of the activity between each node of the causal network.","author":[{"dropping-particle":"","family":"Stapelberg","given":"Nicolas J C","non-dropping-particle":"","parse-names":false,"suffix":""},{"dropping-particle":"","family":"Neumann","given":"David L","non-dropping-particle":"","parse-names":false,"suffix":""},{"dropping-particle":"","family":"Shum","given":"David H K","non-dropping-particle":"","parse-names":false,"suffix":""},{"dropping-particle":"","family":"McConnell","given":"Harry","non-dropping-particle":"","parse-names":false,"suffix":""},{"dropping-particle":"","family":"Hamilton-Craig","given":"Ian","non-dropping-particle":"","parse-names":false,"suffix":""}],"container-title":"The Australian and New Zealand journal of psychiatry","id":"ITEM-1","issue":"5","issued":{"date-parts":[["2011","5"]]},"page":"351-69","title":"A topographical map of the causal network of mechanisms underlying the relationship between major depressive disorder and coronary heart disease.","type":"article-journal","volume":"45"},"uris":["http://www.mendeley.com/documents/?uuid=2fbd305c-3b44-4562-99ef-85659dc7a4c2"]},{"id":"ITEM-2","itemData":{"DOI":"10.1177/0004867412444624","ISSN":"1440-1614","PMID":"22528974","abstract":"OBJECTIVE: There is a reciprocal association between major depressive disorder (MDD) and coronary heart disease (CHD). These conditions are linked by a causal network of mechanisms. This causal network should be quantitatively studied and it is hypothesised that the investigation of vagal function represents a promising starting point. Heart rate variability (HRV) has been used to investigate cardiac vagal control in the context of MDD and CHD. This review aims to examine the relationship of HRV to both MDD and CHD in the context of vagal function and to make recommendations for clinical practice and research.\n\nMETHODS: The search terms 'heart rate variability', 'depression' and 'heart disease' were entered into an electronic multiple database search engine. Abstracts were screened for their relevance and articles were individually selected and collated.\n\nRESULTS: Decreased HRV is found in both MDD and CHD. Both diseases are theorized to disrupt autonomic control feedback loops on the heart and are linked to vagal function. Existing theories link vagal function to both mood and emotion as well as cardiac function. However, several factors can potentially confound HRV measures and would thus impact on a complete understanding of vagal mechanisms in the link between MDD and CHD.\n\nCONCLUSIONS: The quantitative investigation of vagal function using HRV represents a reasonable starting point in the study of the relationship between MDD and CHD. Many psychotropic and cardiac medications have effects on HRV, which may have clinical importance. Future studies of HRV in MDD and CHD should consider antidepressant medication, as well as anxiety, as potential confounders.","author":[{"dropping-particle":"","family":"Stapelberg","given":"Nicolas J","non-dropping-particle":"","parse-names":false,"suffix":""},{"dropping-particle":"","family":"Hamilton-Craig","given":"Ian","non-dropping-particle":"","parse-names":false,"suffix":""},{"dropping-particle":"","family":"Neumann","given":"David L","non-dropping-particle":"","parse-names":false,"suffix":""},{"dropping-particle":"","family":"Shum","given":"David H K","non-dropping-particle":"","parse-names":false,"suffix":""},{"dropping-particle":"","family":"McConnell","given":"Harry","non-dropping-particle":"","parse-names":false,"suffix":""}],"container-title":"The Australian and New Zealand journal of psychiatry","id":"ITEM-2","issue":"10","issued":{"date-parts":[["2012","10"]]},"page":"946-57","title":"Mind and heart: heart rate variability in major depressive disorder and coronary heart disease - a review and recommendations.","type":"article-journal","volume":"46"},"uris":["http://www.mendeley.com/documents/?uuid=caf03d90-8c9f-4181-a2b5-29c615a75804"]}],"mendeley":{"formattedCitation":"(Stapelberg et al., 2011, 2012)","plainTextFormattedCitation":"(Stapelberg et al., 2011, 2012)","previouslyFormattedCitation":"(Stapelberg et al., 2011, 2012)"},"properties":{"noteIndex":0},"schema":"https://github.com/citation-style-language/schema/raw/master/csl-citation.json"}</w:instrText>
      </w:r>
      <w:r w:rsidRPr="00E20348">
        <w:rPr>
          <w:bCs/>
        </w:rPr>
        <w:fldChar w:fldCharType="separate"/>
      </w:r>
      <w:r w:rsidR="007C1DE8" w:rsidRPr="001A7586">
        <w:rPr>
          <w:bCs/>
          <w:noProof/>
        </w:rPr>
        <w:t>(Stapelberg et al., 2011, 2012)</w:t>
      </w:r>
      <w:r w:rsidRPr="00E20348">
        <w:rPr>
          <w:bCs/>
        </w:rPr>
        <w:fldChar w:fldCharType="end"/>
      </w:r>
      <w:r w:rsidRPr="001A7586">
        <w:rPr>
          <w:bCs/>
        </w:rPr>
        <w:t>.</w:t>
      </w:r>
    </w:p>
    <w:p w14:paraId="57AC3E5A" w14:textId="77777777" w:rsidR="00B07360" w:rsidRPr="001A7586" w:rsidRDefault="00B07360" w:rsidP="00AA42CA">
      <w:pPr>
        <w:autoSpaceDE w:val="0"/>
        <w:autoSpaceDN w:val="0"/>
        <w:adjustRightInd w:val="0"/>
        <w:spacing w:after="0" w:line="480" w:lineRule="auto"/>
        <w:jc w:val="both"/>
        <w:rPr>
          <w:bCs/>
        </w:rPr>
      </w:pPr>
    </w:p>
    <w:p w14:paraId="05E0F2CB" w14:textId="5149D160" w:rsidR="00B07360" w:rsidRPr="001A7586" w:rsidRDefault="00347412" w:rsidP="00AA42CA">
      <w:pPr>
        <w:autoSpaceDE w:val="0"/>
        <w:autoSpaceDN w:val="0"/>
        <w:adjustRightInd w:val="0"/>
        <w:spacing w:after="0" w:line="480" w:lineRule="auto"/>
        <w:jc w:val="both"/>
      </w:pPr>
      <w:r w:rsidRPr="001A7586">
        <w:rPr>
          <w:rFonts w:cstheme="minorHAnsi"/>
          <w:szCs w:val="19"/>
        </w:rPr>
        <w:t>Numerous</w:t>
      </w:r>
      <w:r w:rsidR="00111E0E" w:rsidRPr="001A7586">
        <w:rPr>
          <w:rFonts w:cstheme="minorHAnsi"/>
          <w:szCs w:val="19"/>
        </w:rPr>
        <w:t xml:space="preserve"> </w:t>
      </w:r>
      <w:r w:rsidR="00B07360" w:rsidRPr="001A7586">
        <w:rPr>
          <w:rFonts w:cstheme="minorHAnsi"/>
          <w:szCs w:val="19"/>
        </w:rPr>
        <w:t xml:space="preserve">models of high-trait anxiety have been developed to investigate the neurobiology of these disorders. One such model of rodent prenatal stress, links a high-trait/depressive phenotype in the offspring with </w:t>
      </w:r>
      <w:r w:rsidRPr="001A7586">
        <w:rPr>
          <w:rFonts w:cstheme="minorHAnsi"/>
          <w:szCs w:val="19"/>
        </w:rPr>
        <w:t>decreased</w:t>
      </w:r>
      <w:r w:rsidR="00B07360" w:rsidRPr="001A7586">
        <w:rPr>
          <w:rFonts w:cstheme="minorHAnsi"/>
          <w:szCs w:val="19"/>
        </w:rPr>
        <w:t xml:space="preserve"> depolarisation-evoked glutamate release in the ventral hippocampus (vHipp)</w:t>
      </w:r>
      <w:r w:rsidR="00B07360" w:rsidRPr="001A7586">
        <w:t xml:space="preserve"> </w:t>
      </w:r>
      <w:r w:rsidR="00B07360" w:rsidRPr="00E20348">
        <w:rPr>
          <w:rFonts w:cstheme="minorHAnsi"/>
          <w:szCs w:val="19"/>
        </w:rPr>
        <w:fldChar w:fldCharType="begin" w:fldLock="1"/>
      </w:r>
      <w:r w:rsidR="007C1DE8" w:rsidRPr="001A7586">
        <w:rPr>
          <w:rFonts w:cstheme="minorHAnsi"/>
          <w:szCs w:val="19"/>
        </w:rPr>
        <w:instrText>ADDIN CSL_CITATION {"citationItems":[{"id":"ITEM-1","itemData":{"DOI":"10.1523/JNEUROSCI.4131-13.2014","ISSN":"0270-6474","PMID":"24501344","abstract":"Abnormalities of synaptic transmission in the hippocampus represent an integral part of the altered programming triggered by early life stress, which enhances the vulnerability to stress-related disorders in the adult life. Rats exposed to prenatal restraint stress (PRS) develop enduring biochemical and behavioral changes characteristic of an anxious/depressive-like phenotype. Most neurochemical abnormalities in PRS rats are found in the ventral hippocampus, a region that encodes memories related to stress and emotions. We have recently demonstrated a causal link between the reduction of glutamate release in the ventral hippocampus and anxiety-like behavior in PRS rats. To confer pharmacological validity to the glutamatergic hypothesis of stress-related disorders, we examined whether chronic treatment with two antidepressants with different mechanisms of action could correct the defect in glutamate release and associated behavioral abnormalities in PRS rats. Adult unstressed or PRS rats were treated daily with either agomelatine (40 mg/kg, i.p.) or fluoxetine (5 mg/kg, i.p.) for 21 d. Both treatments reversed the reduction in depolarization-evoked glutamate release and in the expression of synaptic vesicle-associated proteins in the ventral hippocampus of PRS rats. Antidepressant treatment also corrected abnormalities in anxiety-/depression-like behavior and social memory performance in PRS rats. The effect on glutamate release was strongly correlated with the improvement of anxiety-like behavior and social memory. These data offer the pharmacological demonstration that glutamatergic hypofunction in the ventral hippocampus lies at the core of the pathological phenotype caused by early life stress and represents an attractive pharmacological target for novel therapeutic strategies.","author":[{"dropping-particle":"","family":"Marrocco","given":"J.","non-dropping-particle":"","parse-names":false,"suffix":""},{"dropping-particle":"","family":"Reynaert","given":"M.-L.","non-dropping-particle":"","parse-names":false,"suffix":""},{"dropping-particle":"","family":"Gatta","given":"E.","non-dropping-particle":"","parse-names":false,"suffix":""},{"dropping-particle":"","family":"Gabriel","given":"C.","non-dropping-particle":"","parse-names":false,"suffix":""},{"dropping-particle":"","family":"Mocaer","given":"E.","non-dropping-particle":"","parse-names":false,"suffix":""},{"dropping-particle":"","family":"Prisco","given":"S.","non-dropping-particle":"Di","parse-names":false,"suffix":""},{"dropping-particle":"","family":"Merega","given":"E.","non-dropping-particle":"","parse-names":false,"suffix":""},{"dropping-particle":"","family":"Pittaluga","given":"A.","non-dropping-particle":"","parse-names":false,"suffix":""},{"dropping-particle":"","family":"Nicoletti","given":"F.","non-dropping-particle":"","parse-names":false,"suffix":""},{"dropping-particle":"","family":"Maccari","given":"S.","non-dropping-particle":"","parse-names":false,"suffix":""},{"dropping-particle":"","family":"Morley-Fletcher","given":"S.","non-dropping-particle":"","parse-names":false,"suffix":""},{"dropping-particle":"","family":"Mairesse","given":"J.","non-dropping-particle":"","parse-names":false,"suffix":""}],"container-title":"Journal of Neuroscience","id":"ITEM-1","issue":"6","issued":{"date-parts":[["2014","2","5"]]},"page":"2015-2024","title":"The Effects of Antidepressant Treatment in Prenatally Stressed Rats Support the Glutamatergic Hypothesis of Stress-Related Disorders","type":"article-journal","volume":"34"},"uris":["http://www.mendeley.com/documents/?uuid=27a2c739-5332-380b-adb3-1b7841fd17cf"]},{"id":"ITEM-2","itemData":{"DOI":"10.1523/JNEUROSCI.1040-12.2012","ISSN":"1529-2401","PMID":"23197707","abstract":"Abnormalities of synaptic transmission and plasticity in the hippocampus represent an integral part of the altered programming triggered by early life stress. Prenatally restraint stressed (PRS) rats develop long-lasting biochemical and behavioral changes, which are the expression of an anxious/depressive-like phenotype. We report here that PRS rats showed a selective impairment of depolarization- or kainate-stimulated glutamate and [(3)H]d-aspartate release in the ventral hippocampus, a region encoding memories related to stress and emotions. GABA release was unaffected in PRS rats. As a consequence of reduced glutamate release, PRS rats were also highly resistant to kainate-induced seizures. Abnormalities of glutamate release were associated with large reductions in the levels of synaptic vesicle-related proteins, such as VAMP (synaptobrevin), syntaxin-1, synaptophysin, synapsin Ia/b and IIa, munc-18, and Rab3A in the ventral hippocampus of PRS rats. Anxiety-like behavior in male PRS (and control) rats was inversely related to the extent of depolarization-evoked glutamate release in the ventral hippocampus. A causal relationship between anxiety-like behavior and reduction in glutamate release was demonstrated using a mixture of the mGlu2/3 receptor antagonist, LY341495, and the GABA(B) receptor antagonist, CGP52432, which was shown to amplify depolarization-evoked [(3)H]d-aspartate release in the ventral hippocampus. Bilateral microinfusion of CGP52432 plus LY341495 in the ventral hippocampus abolished anxiety-like behavior in PRS rats. These findings indicate that an impairment of glutamate release in the ventral hippocampus is a key component of the neuroplastic program induced by PRS, and that strategies aimed at enhancing glutamate release in the ventral hippocampus correct the \"anxious phenotype\" caused by early life stress.","author":[{"dropping-particle":"","family":"Marrocco","given":"Jordan","non-dropping-particle":"","parse-names":false,"suffix":""},{"dropping-particle":"","family":"Mairesse","given":"Jérôme","non-dropping-particle":"","parse-names":false,"suffix":""},{"dropping-particle":"","family":"Ngomba","given":"Richard Teke","non-dropping-particle":"","parse-names":false,"suffix":""},{"dropping-particle":"","family":"Silletti","given":"Viviana","non-dropping-particle":"","parse-names":false,"suffix":""},{"dropping-particle":"","family":"Camp","given":"Gilles","non-dropping-particle":"Van","parse-names":false,"suffix":""},{"dropping-particle":"","family":"Bouwalerh","given":"Hammou","non-dropping-particle":"","parse-names":false,"suffix":""},{"dropping-particle":"","family":"Summa","given":"Maria","non-dropping-particle":"","parse-names":false,"suffix":""},{"dropping-particle":"","family":"Pittaluga","given":"Anna","non-dropping-particle":"","parse-names":false,"suffix":""},{"dropping-particle":"","family":"Nicoletti","given":"Ferdinando","non-dropping-particle":"","parse-names":false,"suffix":""},{"dropping-particle":"","family":"Maccari","given":"Stefania","non-dropping-particle":"","parse-names":false,"suffix":""},{"dropping-particle":"","family":"Morley-Fletcher","given":"Sara","non-dropping-particle":"","parse-names":false,"suffix":""}],"container-title":"The Journal of neuroscience : the official journal of the Society for Neuroscience","id":"ITEM-2","issue":"48","issued":{"date-parts":[["2012","11","28"]]},"page":"17143-54","title":"Anxiety-like behavior of prenatally stressed rats is associated with a selective reduction of glutamate release in the ventral hippocampus.","type":"article-journal","volume":"32"},"uris":["http://www.mendeley.com/documents/?uuid=c43322cd-1bc2-39c8-9a21-5323649356ac"]}],"mendeley":{"formattedCitation":"(Marrocco et al., 2012, 2014)","plainTextFormattedCitation":"(Marrocco et al., 2012, 2014)","previouslyFormattedCitation":"(Marrocco et al., 2012, 2014)"},"properties":{"noteIndex":0},"schema":"https://github.com/citation-style-language/schema/raw/master/csl-citation.json"}</w:instrText>
      </w:r>
      <w:r w:rsidR="00B07360" w:rsidRPr="00E20348">
        <w:rPr>
          <w:rFonts w:cstheme="minorHAnsi"/>
          <w:szCs w:val="19"/>
        </w:rPr>
        <w:fldChar w:fldCharType="separate"/>
      </w:r>
      <w:r w:rsidR="007C1DE8" w:rsidRPr="001A7586">
        <w:rPr>
          <w:rFonts w:cstheme="minorHAnsi"/>
          <w:noProof/>
          <w:szCs w:val="19"/>
        </w:rPr>
        <w:t>(Marrocco et al., 2012, 2014)</w:t>
      </w:r>
      <w:r w:rsidR="00B07360" w:rsidRPr="00E20348">
        <w:rPr>
          <w:rFonts w:cstheme="minorHAnsi"/>
          <w:szCs w:val="19"/>
        </w:rPr>
        <w:fldChar w:fldCharType="end"/>
      </w:r>
      <w:r w:rsidR="00B07360" w:rsidRPr="001A7586">
        <w:t>. Although the relevance of such models to endogenous h</w:t>
      </w:r>
      <w:r w:rsidR="00BD145B" w:rsidRPr="001A7586">
        <w:t>igh-trait anxiety is uncertain,</w:t>
      </w:r>
      <w:r w:rsidR="002606DF" w:rsidRPr="001A7586">
        <w:t xml:space="preserve"> early life stress is a known risk factor for a</w:t>
      </w:r>
      <w:r w:rsidR="00BD145B" w:rsidRPr="00E20348">
        <w:t>ffective</w:t>
      </w:r>
      <w:r w:rsidR="002606DF" w:rsidRPr="00E20348">
        <w:t xml:space="preserve"> disorders</w:t>
      </w:r>
      <w:r w:rsidR="00BD145B" w:rsidRPr="001A7586">
        <w:t xml:space="preserve"> and </w:t>
      </w:r>
      <w:r w:rsidR="006A1085" w:rsidRPr="001A7586">
        <w:t>there is</w:t>
      </w:r>
      <w:r w:rsidR="00B07360" w:rsidRPr="001A7586">
        <w:t xml:space="preserve"> growing evidence that </w:t>
      </w:r>
      <w:r w:rsidRPr="001A7586">
        <w:rPr>
          <w:rFonts w:cstheme="minorHAnsi"/>
        </w:rPr>
        <w:t>reduced</w:t>
      </w:r>
      <w:r w:rsidR="00B07360" w:rsidRPr="001A7586">
        <w:rPr>
          <w:rFonts w:cstheme="minorHAnsi"/>
        </w:rPr>
        <w:t xml:space="preserve"> hippocampal glutamatergic function </w:t>
      </w:r>
      <w:r w:rsidR="00DC6F16" w:rsidRPr="001A7586">
        <w:rPr>
          <w:rFonts w:cstheme="minorHAnsi"/>
        </w:rPr>
        <w:t>contribute</w:t>
      </w:r>
      <w:r w:rsidRPr="001A7586">
        <w:rPr>
          <w:rFonts w:cstheme="minorHAnsi"/>
        </w:rPr>
        <w:t>s</w:t>
      </w:r>
      <w:r w:rsidR="00DC6F16" w:rsidRPr="001A7586">
        <w:rPr>
          <w:rFonts w:cstheme="minorHAnsi"/>
        </w:rPr>
        <w:t xml:space="preserve"> to</w:t>
      </w:r>
      <w:r w:rsidR="00B07360" w:rsidRPr="001A7586">
        <w:rPr>
          <w:rFonts w:cstheme="minorHAnsi"/>
        </w:rPr>
        <w:t xml:space="preserve"> </w:t>
      </w:r>
      <w:r w:rsidR="00DC6F16" w:rsidRPr="001A7586">
        <w:rPr>
          <w:rFonts w:cstheme="minorHAnsi"/>
        </w:rPr>
        <w:t>affective</w:t>
      </w:r>
      <w:r w:rsidRPr="001A7586">
        <w:rPr>
          <w:rFonts w:cstheme="minorHAnsi"/>
        </w:rPr>
        <w:t xml:space="preserve"> disorder pathophysiology</w:t>
      </w:r>
      <w:r w:rsidR="004D05AC" w:rsidRPr="001A7586">
        <w:rPr>
          <w:rFonts w:cstheme="minorHAnsi"/>
        </w:rPr>
        <w:t>. Certainly</w:t>
      </w:r>
      <w:r w:rsidR="00B07360" w:rsidRPr="001A7586">
        <w:rPr>
          <w:rFonts w:cstheme="minorHAnsi"/>
        </w:rPr>
        <w:t xml:space="preserve"> </w:t>
      </w:r>
      <w:r w:rsidR="00482FC7" w:rsidRPr="001A7586">
        <w:rPr>
          <w:rFonts w:cstheme="minorHAnsi"/>
        </w:rPr>
        <w:t xml:space="preserve">hippocampal </w:t>
      </w:r>
      <w:r w:rsidR="00B07360" w:rsidRPr="001A7586">
        <w:t>glutamate</w:t>
      </w:r>
      <w:r w:rsidR="004D05AC" w:rsidRPr="001A7586">
        <w:t>rgic</w:t>
      </w:r>
      <w:r w:rsidR="00B07360" w:rsidRPr="001A7586">
        <w:t xml:space="preserve"> </w:t>
      </w:r>
      <w:r w:rsidR="004D05AC" w:rsidRPr="001A7586">
        <w:t>hypo</w:t>
      </w:r>
      <w:r w:rsidR="00B07360" w:rsidRPr="001A7586">
        <w:t>function correlate</w:t>
      </w:r>
      <w:r w:rsidR="008B4903" w:rsidRPr="001A7586">
        <w:t>s</w:t>
      </w:r>
      <w:r w:rsidR="00B07360" w:rsidRPr="001A7586">
        <w:t xml:space="preserve"> with depressive </w:t>
      </w:r>
      <w:r w:rsidR="00B07360" w:rsidRPr="001A7586">
        <w:rPr>
          <w:rStyle w:val="highlight"/>
        </w:rPr>
        <w:t>illness</w:t>
      </w:r>
      <w:r w:rsidR="00B07360" w:rsidRPr="001A7586">
        <w:t xml:space="preserve"> duration </w:t>
      </w:r>
      <w:r w:rsidR="00B07360" w:rsidRPr="00E20348">
        <w:rPr>
          <w:rFonts w:cstheme="minorHAnsi"/>
        </w:rPr>
        <w:fldChar w:fldCharType="begin" w:fldLock="1"/>
      </w:r>
      <w:r w:rsidR="007C1DE8" w:rsidRPr="001A7586">
        <w:rPr>
          <w:rFonts w:cstheme="minorHAnsi"/>
        </w:rPr>
        <w:instrText>ADDIN CSL_CITATION {"citationItems":[{"id":"ITEM-1","itemData":{"DOI":"10.1503/jpn.110185","ISSN":"1488-2434","PMID":"23425950","abstract":"BACKGROUND Smaller hippocampal volumes in major depressive disorder (MDD) have been linked with earlier onset, previous recurrences and treatment refractoriness. The aim of our study was to investigate metabolite abnormalities in the hippocampus associated with past depressive illness burden. METHODS Glutamate/glutamine (Glx), N-acetylaspartate (NAA) and choline (Cho), potential markers of glial/neuronal integrity and membrane turnover, respectively, were measured in adults with depression and healthy controls using a 3 T magnetic resonance spectroscopy scanner. Voxels were placed in the head of the right and left hippocampus. We controlled for systematic differences resulting from volume-of-interest (VOI) tissue composition and total hippocampal volume. RESULTS Our final sample comprised a total of 16 healthy controls and 52 adult patients with depression in different stages of the illness (20 treatment-resistant/chronic, 18 remitted-recurrent and 14 first-episode), comparable for age and sex distribution. Patients with treatment-resistant/chronic and remitted-recurrent depression had significantly lower levels of Glx and NAA than controls, especially in the right hippocampal region (p ≤ 0.025). Diminished levels of Glx were correlated with longer illness duration (left VOI r = -0.34, p = 0.01). By contrast, Cho levels were significantly higher in patients with treatment-resistant/chronic depression than those with first-episode depression or controls in the right and left hippocampus (up to 19% higher; all p ≤ 0.025) and were consistently related to longer illness duration (right VOI r = 0.30, p = 0.028; left VOI r = 0.38, p = 0.004) and more previous episodes (right VOI r = 0.46, p = 0.001; left VOI r = 0.44, p = 0.001). LIMITATIONS The cross-sectional design and the inclusion of treated patients are the main limitations of the study. CONCLUSION Our results support that metabolite alterations within the hippocampus are more pronounced in patients with a clinical evolution characterized by recurrences and/or chronicity and add further evidence to the potential deleterious effects of stress and depression on this region.","author":[{"dropping-particle":"","family":"Diego-Adeliño","given":"Javier","non-dropping-particle":"de","parse-names":false,"suffix":""},{"dropping-particle":"","family":"Portella","given":"Maria J","non-dropping-particle":"","parse-names":false,"suffix":""},{"dropping-particle":"","family":"Gómez-Ansón","given":"Beatriz","non-dropping-particle":"","parse-names":false,"suffix":""},{"dropping-particle":"","family":"López-Moruelo","given":"Olga","non-dropping-particle":"","parse-names":false,"suffix":""},{"dropping-particle":"","family":"Serra-Blasco","given":"Maria","non-dropping-particle":"","parse-names":false,"suffix":""},{"dropping-particle":"","family":"Vives","given":"Yolanda","non-dropping-particle":"","parse-names":false,"suffix":""},{"dropping-particle":"","family":"Puigdemont","given":"Dolors","non-dropping-particle":"","parse-names":false,"suffix":""},{"dropping-particle":"","family":"Pérez-Egea","given":"Rosario","non-dropping-particle":"","parse-names":false,"suffix":""},{"dropping-particle":"","family":"Álvarez","given":"Enric","non-dropping-particle":"","parse-names":false,"suffix":""},{"dropping-particle":"","family":"Pérez","given":"Víctor","non-dropping-particle":"","parse-names":false,"suffix":""}],"container-title":"Journal of psychiatry &amp; neuroscience : JPN","id":"ITEM-1","issue":"2","issued":{"date-parts":[["2013","3"]]},"page":"107-16","publisher":"Canadian Medical Association","title":"Hippocampal abnormalities of glutamate/glutamine, N-acetylaspartate and choline in patients with depression are related to past illness burden.","type":"article-journal","volume":"38"},"uris":["http://www.mendeley.com/documents/?uuid=206b1620-64d0-3b7d-a57d-ef6aab2d6039"]},{"id":"ITEM-2","itemData":{"DOI":"10.1017/S1461145708009516","ISSN":"1461-1457","PMID":"18845018","abstract":"Various lines of research suggest that neurotrophic processes in the hippocampus are key mechanisms in major depressive disorder and are of relevance for response to antidepressive treatment. We performed proton magnetic resonance spectroscopy (1H-MRS) of the hippocampus at 3 T in 18 unmedicated subjects with unipolar major depressive episodes and in 10 age- and gender-matched healthy volunteers. Thirteen patients underwent a second examination after 8 wk treatment with either citalopram (n=7) or nortriptyline (n=6). Of these patients, 11 MRS datasets could be used for the assessment of treatment correlates. In the cross-sectional comparison, we observed a significant reduction of the metabolic ratios Glx/Cr (Glx=glutamine, glutamate and gamma-aminobutyric acid) and glutamine (Gln)/Cr in the patient group. The Gln/Glx ratio also showed a trend towards significant reduction. The individual effect of treatment correlated with an increase in the absolute concentrations of N-acetylaspartate (NAA) and of choline compounds (Cho). Low baseline NAA and Cho levels predicted positive treatment effects. There was no difference in any clinical or metabolic measure, either at baseline or at follow-up between the two treatment groups (citalopram, nortriptyline). Our data provide first evidence for a reduction of Gln in the hippocampus of subjects with major depression. Furthermore, we provide first evidence in patients with major depression for neurorestorative effects in the hippocampus by pharmacological treatment expressed by a correlation of NAA and Cho increases with treatment response. This accounts in particular for those patients with low NAA and Cho baseline levels.","author":[{"dropping-particle":"","family":"Block","given":"Wolfgang","non-dropping-particle":"","parse-names":false,"suffix":""},{"dropping-particle":"","family":"Tr?ber","given":"Frank","non-dropping-particle":"","parse-names":false,"suffix":""},{"dropping-particle":"","family":"Widdern","given":"Olrik","non-dropping-particle":"von","parse-names":false,"suffix":""},{"dropping-particle":"","family":"Metten","given":"Martin","non-dropping-particle":"","parse-names":false,"suffix":""},{"dropping-particle":"","family":"Schild","given":"Hans","non-dropping-particle":"","parse-names":false,"suffix":""},{"dropping-particle":"","family":"Maier","given":"Wolfgang","non-dropping-particle":"","parse-names":false,"suffix":""},{"dropping-particle":"","family":"Zobel","given":"Astrid","non-dropping-particle":"","parse-names":false,"suffix":""},{"dropping-particle":"","family":"Jessen","given":"Frank","non-dropping-particle":"","parse-names":false,"suffix":""}],"container-title":"The International Journal of Neuropsychopharmacology","id":"ITEM-2","issue":"03","issued":{"date-parts":[["2009","4","10"]]},"page":"415","title":"Proton MR spectroscopy of the hippocampus at 3 T in patients with unipolar major depressive disorder: correlates and predictors of treatment response","type":"article-journal","volume":"12"},"uris":["http://www.mendeley.com/documents/?uuid=af82f105-796f-4319-ad6b-443cf07283a8"]}],"mendeley":{"formattedCitation":"(Block et al., 2009; de Diego-Adeliño et al., 2013)","plainTextFormattedCitation":"(Block et al., 2009; de Diego-Adeliño et al., 2013)","previouslyFormattedCitation":"(Block et al., 2009; de Diego-Adeliño et al., 2013)"},"properties":{"noteIndex":0},"schema":"https://github.com/citation-style-language/schema/raw/master/csl-citation.json"}</w:instrText>
      </w:r>
      <w:r w:rsidR="00B07360" w:rsidRPr="00E20348">
        <w:rPr>
          <w:rFonts w:cstheme="minorHAnsi"/>
        </w:rPr>
        <w:fldChar w:fldCharType="separate"/>
      </w:r>
      <w:r w:rsidR="007C1DE8" w:rsidRPr="001A7586">
        <w:rPr>
          <w:rFonts w:cstheme="minorHAnsi"/>
          <w:noProof/>
        </w:rPr>
        <w:t>(Block et al., 2009; de Diego-Adeliño et al., 2013)</w:t>
      </w:r>
      <w:r w:rsidR="00B07360" w:rsidRPr="00E20348">
        <w:rPr>
          <w:rFonts w:cstheme="minorHAnsi"/>
        </w:rPr>
        <w:fldChar w:fldCharType="end"/>
      </w:r>
      <w:r w:rsidR="00B07360" w:rsidRPr="001A7586">
        <w:t xml:space="preserve">, and </w:t>
      </w:r>
      <w:r w:rsidR="009B4BB3" w:rsidRPr="001A7586">
        <w:t xml:space="preserve">disrupted </w:t>
      </w:r>
      <w:r w:rsidR="00B07360" w:rsidRPr="001A7586">
        <w:t>glut</w:t>
      </w:r>
      <w:r w:rsidR="00482FC7" w:rsidRPr="001A7586">
        <w:t xml:space="preserve">amatergic </w:t>
      </w:r>
      <w:r w:rsidR="003110FA" w:rsidRPr="001A7586">
        <w:t>signalling</w:t>
      </w:r>
      <w:r w:rsidR="00482FC7" w:rsidRPr="001A7586">
        <w:t xml:space="preserve"> pathways</w:t>
      </w:r>
      <w:r w:rsidR="009B4BB3" w:rsidRPr="001A7586">
        <w:t xml:space="preserve"> are </w:t>
      </w:r>
      <w:r w:rsidR="009B4BB3" w:rsidRPr="001A7586">
        <w:lastRenderedPageBreak/>
        <w:t>associated with anxious</w:t>
      </w:r>
      <w:r w:rsidRPr="001A7586">
        <w:t>/</w:t>
      </w:r>
      <w:r w:rsidR="009B4BB3" w:rsidRPr="001A7586">
        <w:t>depressive behaviors in mice and humans</w:t>
      </w:r>
      <w:r w:rsidR="00482FC7" w:rsidRPr="001A7586">
        <w:t xml:space="preserve"> </w:t>
      </w:r>
      <w:r w:rsidR="009B4BB3" w:rsidRPr="00E20348">
        <w:fldChar w:fldCharType="begin" w:fldLock="1"/>
      </w:r>
      <w:r w:rsidR="00296AFE" w:rsidRPr="001A7586">
        <w:instrText>ADDIN CSL_CITATION {"citationItems":[{"id":"ITEM-1","itemData":{"DOI":"10.1017/S1461145712000016","ISSN":"1461-1457","PMID":"22339950","abstract":"Major depressive disorder (MDD) has been linked to changes in function and activity of the hippocampus, one of the central limbic regions involved in regulation of emotions and mood. The exact cellular and molecular mechanisms underlying hippocampal plasticity in response to stress are yet to be fully characterized. In this study, we examined the genetic profile of micro-dissected subfields of post-mortem hippocampus from subjects diagnosed with MDD and comparison subjects matched for sex, race and age. Gene expression profiles of the dentate gyrus and CA1 were assessed by 48K human HEEBO whole genome microarrays and a subgroup of identified genes was confirmed by real-time polymerase chain reaction (qPCR). Pathway analysis revealed altered expression of several gene families, including cytoskeletal proteins involved in rearrangement of neuronal processes. Based on this and evidence of hippocampal neuronal atrophy in MDD, we focused on the expression of cytoskeletal, synaptic and glutamate receptor genes. Our findings demonstrate significant dysregulation of synaptic function/structure related genes SNAP25, DLG2 (SAP93), and MAP1A, and 2-amino-3-(5-methyl-3-oxo-1,2-oxazol-4-yl)propanoic acid receptor subunit genes GLUR1 and GLUR3. Several of these human target genes were similarly dysregulated in a rat model of chronic unpredictable stress and the effects reversed by antidepressant treatment. Together, these studies provide new evidence that disruption of synaptic and glutamatergic signalling pathways contribute to the pathophysiology underlying MDD and provide interesting targets for novel therapeutic interventions.","author":[{"dropping-particle":"","family":"Duric","given":"Vanja","non-dropping-particle":"","parse-names":false,"suffix":""},{"dropping-particle":"","family":"Banasr","given":"Mounira","non-dropping-particle":"","parse-names":false,"suffix":""},{"dropping-particle":"","family":"Stockmeier","given":"Craig A.","non-dropping-particle":"","parse-names":false,"suffix":""},{"dropping-particle":"","family":"Simen","given":"Arthur A.","non-dropping-particle":"","parse-names":false,"suffix":""},{"dropping-particle":"","family":"Newton","given":"Samuel S.","non-dropping-particle":"","parse-names":false,"suffix":""},{"dropping-particle":"","family":"Overholser","given":"James C.","non-dropping-particle":"","parse-names":false,"suffix":""},{"dropping-particle":"","family":"Jurjus","given":"George J.","non-dropping-particle":"","parse-names":false,"suffix":""},{"dropping-particle":"","family":"Dieter","given":"Lesa","non-dropping-particle":"","parse-names":false,"suffix":""},{"dropping-particle":"","family":"Duman","given":"Ronald S.","non-dropping-particle":"","parse-names":false,"suffix":""}],"container-title":"The International Journal of Neuropsychopharmacology","id":"ITEM-1","issue":"01","issued":{"date-parts":[["2013","2","17"]]},"page":"69-82","title":"Altered expression of synapse and glutamate related genes in post-mortem hippocampus of depressed subjects","type":"article-journal","volume":"16"},"uris":["http://www.mendeley.com/documents/?uuid=5d48b50e-70b1-3bf0-aade-f2c2a479738c"]},{"id":"ITEM-2","itemData":{"DOI":"10.1016/j.biopsych.2009.02.027","ISSN":"1873-2402","PMID":"19409534","abstract":"BACKGROUND Many studies link depression to an increase in the excitatory-inhibitory ratio in the forebrain. Presynaptic alterations in a shared pathway of the glutamate/gamma-aminobutyric acid (GABA) cycle may account for this imbalance. Evidence suggests that decreased vesicular glutamate transporter 1 (VGLUT1) levels in the forebrain affect the glutamate/GABA cycle and induce helpless behavior. We studied decreased VGLUT1 as a potential factor enhancing a depressive-like phenotype in an animal model. METHODS Glutamate and GABA synthesis as well as oxidative metabolism were studied in heterozygous mice for the VGLUT1+/- and wildtype. The regulation of neurotransmitter levels, proteins involved in the glutamate/GABA cycle, and behavior by both genotype and chronic mild stress (CMS) were studied. Finally, the effect of chronic imipramine on VGLUT1 control and CMS mice was studied. RESULTS VGLUT1+/- mice showed increased neuronal synthesis of glutamate; decreased cortical and hippocampal GABA, VGLUT1, and excitatory amino acid transporter 1 (EAAT1) as well as helplessness and anhedonia. CMS induced an increase of glutamate and a decrease of GABA, the vesicular GABA transporter (VGAT), and glutamic acid decarboxylase 65 (GAD65) in both areas and led to upregulation of EAAT1 in the hippocampus. Moreover, CMS induced anhedonia, helplessness, anxiety, and impaired recognition memory. VGLUT1+/- CMS mice showed a combined phenotype (genotype plus stress) and specific alterations, such as an upregulation of VGLUT2 and hyperlocomotion. Moreover, an increased vulnerability to anhedonia and helplessness reversible by chronic imipramine was shown. CONCLUSIONS These studies highlight a crucial role for decreased VGLUT1 in the forebrain as a biological mediator of increased vulnerability to chronic mild stress.","author":[{"dropping-particle":"","family":"Garcia-Garcia","given":"Alvaro L","non-dropping-particle":"","parse-names":false,"suffix":""},{"dropping-particle":"","family":"Elizalde","given":"Natalia","non-dropping-particle":"","parse-names":false,"suffix":""},{"dropping-particle":"","family":"Matrov","given":"Denis","non-dropping-particle":"","parse-names":false,"suffix":""},{"dropping-particle":"","family":"Harro","given":"Jaanus","non-dropping-particle":"","parse-names":false,"suffix":""},{"dropping-particle":"","family":"Wojcik","given":"Sonja M","non-dropping-particle":"","parse-names":false,"suffix":""},{"dropping-particle":"","family":"Venzala","given":"Elisabet","non-dropping-particle":"","parse-names":false,"suffix":""},{"dropping-particle":"","family":"Ramírez","given":"Maria J","non-dropping-particle":"","parse-names":false,"suffix":""},{"dropping-particle":"","family":"Rio","given":"Joaquin","non-dropping-particle":"Del","parse-names":false,"suffix":""},{"dropping-particle":"","family":"Tordera","given":"Rosa M","non-dropping-particle":"","parse-names":false,"suffix":""}],"container-title":"Biological psychiatry","id":"ITEM-2","issue":"3","issued":{"date-parts":[["2009","8","1"]]},"page":"275-82","title":"Increased vulnerability to depressive-like behavior of mice with decreased expression of VGLUT1.","type":"article-journal","volume":"66"},"uris":["http://www.mendeley.com/documents/?uuid=1808c23d-cb6c-315e-910d-5eb3d9d0f6f2"]},{"id":"ITEM-3","itemData":{"DOI":"10.1111/j.1460-9568.2006.05259.x","ISSN":"0953816X","PMID":"17241289","abstract":"Three isoforms of a vesicular glutamate transporter (VGLUT1-3) have been identified. Of these, VGLUT1 is the major isoform in the cerebral cortex and hippocampus where it is selectively located on synaptic vesicles of excitatory glutamatergic terminals. Variations in VGLUT1 expression levels have a major impact on the efficacy of glutamate synaptic transmission. Given evidence linking alterations in glutamate neurotransmission to various neuropsychiatric disorders, we investigated the possible influence of a down-regulation of VGLUT1 transporter on anxiety, depressive-like behaviour and learning. The behavioural phenotype of VGLUT1-heterozygous mice (C57BL/6) was compared to wild-type (WT) littermates. Moreover, VGLUT1-3 expression, hippocampal excitatory terminal ultrastructure and neurochemical phenotype were analysed. VGLUT1-heterozygous mice displayed normal spontaneous locomotor activity, increased anxiety in the light-dark exploration test and depressive-like behaviour in the forced swimming test: no differences were shown in the elevated plus-maze model of anxiety. In the novel object recognition test, VGLUT1(+/-) mice showed normal short-term but impaired long-term memory. Spatial memory in the Morris water maze was unaffected. Western blot analysis confirmed that VGLUT1 heterozygotes expressed half the amount of transporter compared to WT. In addition, a reduction in the reserve pool of synaptic vesicles of hippocampal excitatory terminals and a 35-45% reduction in GABA in the frontal cortex and the hippocampus were observed in the mutant mice. These observations suggest that a VGLUT1-mediated presynaptic alteration of the glutamatergic synapses, in specific brain regions, leads to a behavioural phenotype resembling certain aspects of psychiatric and cognitive disorders.","author":[{"dropping-particle":"","family":"Tordera","given":"R. M.","non-dropping-particle":"","parse-names":false,"suffix":""},{"dropping-particle":"","family":"Totterdell","given":"S.","non-dropping-particle":"","parse-names":false,"suffix":""},{"dropping-particle":"","family":"Wojcik","given":"S. M.","non-dropping-particle":"","parse-names":false,"suffix":""},{"dropping-particle":"","family":"Brose","given":"N.","non-dropping-particle":"","parse-names":false,"suffix":""},{"dropping-particle":"","family":"Elizalde","given":"N.","non-dropping-particle":"","parse-names":false,"suffix":""},{"dropping-particle":"","family":"Lasheras","given":"B.","non-dropping-particle":"","parse-names":false,"suffix":""},{"dropping-particle":"","family":"Rio","given":"J.","non-dropping-particle":"Del","parse-names":false,"suffix":""}],"container-title":"European Journal of Neuroscience","id":"ITEM-3","issue":"1","issued":{"date-parts":[["2007","1","12"]]},"page":"281-290","title":"Enhanced anxiety, depressive-like behaviour and impaired recognition memory in mice with reduced expression of the vesicular glutamate transporter 1 (VGLUT1)","type":"article-journal","volume":"25"},"uris":["http://www.mendeley.com/documents/?uuid=fb654d3f-f4dd-47ed-9585-374429a08cdc"]}],"mendeley":{"formattedCitation":"(Tordera et al., 2007; Garcia-Garcia et al., 2009; Duric et al., 2013)","plainTextFormattedCitation":"(Tordera et al., 2007; Garcia-Garcia et al., 2009; Duric et al., 2013)","previouslyFormattedCitation":"(Tordera et al., 2007; Garcia-Garcia et al., 2009; Duric et al., 2013)"},"properties":{"noteIndex":0},"schema":"https://github.com/citation-style-language/schema/raw/master/csl-citation.json"}</w:instrText>
      </w:r>
      <w:r w:rsidR="009B4BB3" w:rsidRPr="00E20348">
        <w:fldChar w:fldCharType="separate"/>
      </w:r>
      <w:r w:rsidR="009B4BB3" w:rsidRPr="001A7586">
        <w:rPr>
          <w:noProof/>
        </w:rPr>
        <w:t>(Tordera et al., 2007; Garcia-Garcia et al., 2009; Duric et al., 2013)</w:t>
      </w:r>
      <w:r w:rsidR="009B4BB3" w:rsidRPr="00E20348">
        <w:fldChar w:fldCharType="end"/>
      </w:r>
      <w:r w:rsidR="00B07360" w:rsidRPr="001A7586">
        <w:t>. However</w:t>
      </w:r>
      <w:r w:rsidR="003A5F1E" w:rsidRPr="001A7586">
        <w:t>,</w:t>
      </w:r>
      <w:r w:rsidR="00B07360" w:rsidRPr="001A7586">
        <w:t xml:space="preserve"> these findings </w:t>
      </w:r>
      <w:r w:rsidR="00DC6F16" w:rsidRPr="001A7586">
        <w:t>conflict</w:t>
      </w:r>
      <w:r w:rsidR="00B07360" w:rsidRPr="001A7586">
        <w:t xml:space="preserve"> with studies of non-anxious rodents in which re</w:t>
      </w:r>
      <w:r w:rsidR="00482FC7" w:rsidRPr="001A7586">
        <w:t>ductions in vHipp</w:t>
      </w:r>
      <w:r w:rsidR="00B07360" w:rsidRPr="001A7586">
        <w:t xml:space="preserve"> glutamate function are anxiolytic in ethological tests of anxiety </w:t>
      </w:r>
      <w:r w:rsidR="00B07360" w:rsidRPr="00E20348">
        <w:fldChar w:fldCharType="begin" w:fldLock="1"/>
      </w:r>
      <w:r w:rsidR="007C1DE8" w:rsidRPr="001A7586">
        <w:instrText>ADDIN CSL_CITATION {"citationItems":[{"id":"ITEM-1","itemData":{"DOI":"S0014-2999(09)00903-0 [pii]\r10.1016/j.ejphar.2009.10.014","ISBN":"1879-0712 (Electronic)\r0014-2999 (Linking)","PMID":"19836379","abstract":"David De Wied had a fundamental interest in the brain and behaviour, with a particular interest in the interface between cognition and emotion, and how impairments at this interface could underlie human psychopathology. The NMDA subtype of glutamate receptor is an important mediator of synaptic plasticity and plays a central role in the neurobiological mechanisms of emotionality, as well as learning and memory. NMDA receptor antagonists affect various aspects of emotionality including fear, anxiety and depression, as well as impairing certain forms of learning and memory. The hippocampus is a key brain structure, implicated in both cognition and emotion. Lesion studies in animals have suggested that dorsal and ventral sub-regions of the hippocampus are differentially involved in dissociable aspects of hippocampus-dependent behaviour. Cytotoxic lesions of the dorsal hippocampus (septal pole) in rodents impair spatial learning but have no effect on anxiety, whereas ventral hippocampal lesions reduce anxiety but are without effect on spatial memory. This role for the ventral hippocampus in anxiety is distinct from the role of the amygdala in other aspects of emotional processing, such as fear conditioning. Recent studies with genetically modified mice have shown that NR1 NMDA receptor subunit deletion, specifically from the granule cells of the dentate gyrus, not only impairs short-term spatial memory but also reduces anxiety. This suggests that NMDA receptors in ventral hippocampus may be a key locus supporting the anxiolytic effects of NMDA receptor antagonists. These data support Gray's neuropsychological account of hippocampal function.","author":[{"dropping-particle":"","family":"Barkus","given":"C","non-dropping-particle":"","parse-names":false,"suffix":""},{"dropping-particle":"","family":"McHugh","given":"S B","non-dropping-particle":"","parse-names":false,"suffix":""},{"dropping-particle":"","family":"Sprengel","given":"R","non-dropping-particle":"","parse-names":false,"suffix":""},{"dropping-particle":"","family":"Seeburg","given":"P H","non-dropping-particle":"","parse-names":false,"suffix":""},{"dropping-particle":"","family":"Rawlins","given":"J N","non-dropping-particle":"","parse-names":false,"suffix":""},{"dropping-particle":"","family":"Bannerman","given":"D M","non-dropping-particle":"","parse-names":false,"suffix":""}],"container-title":"European Journal of Pharmacology","edition":"2009/10/20","id":"ITEM-1","issue":"1","issued":{"date-parts":[["2010"]]},"language":"eng","note":"Barkus, Christopher\nMcHugh, Stephen B\nSprengel, Rolf\nSeeburg, Peter H\nRawlins, J Nicholas P\nBannerman, David M\nReview\nNetherlands\nEuropean journal of pharmacology\nEur J Pharmacol. 2010 Jan 10;626(1):49-56. Epub 2009 Oct 15.","page":"49-56","title":"Hippocampal NMDA receptors and anxiety: at the interface between cognition and emotion","type":"article-journal","volume":"626"},"prefix":"see","uris":["http://www.mendeley.com/documents/?uuid=c9829a65-4bf3-4600-a480-6424fd909eb7"]}],"mendeley":{"formattedCitation":"(see Barkus et al., 2010)","plainTextFormattedCitation":"(see Barkus et al., 2010)","previouslyFormattedCitation":"(see Barkus et al., 2010)"},"properties":{"noteIndex":0},"schema":"https://github.com/citation-style-language/schema/raw/master/csl-citation.json"}</w:instrText>
      </w:r>
      <w:r w:rsidR="00B07360" w:rsidRPr="00E20348">
        <w:fldChar w:fldCharType="separate"/>
      </w:r>
      <w:r w:rsidR="007C1DE8" w:rsidRPr="001A7586">
        <w:rPr>
          <w:noProof/>
        </w:rPr>
        <w:t>(see Barkus et al., 2010)</w:t>
      </w:r>
      <w:r w:rsidR="00B07360" w:rsidRPr="00E20348">
        <w:fldChar w:fldCharType="end"/>
      </w:r>
      <w:r w:rsidR="00B07360" w:rsidRPr="001A7586">
        <w:t xml:space="preserve">, and the anxiolytic effects of hippocampal lesions in non-anxious primates </w:t>
      </w:r>
      <w:r w:rsidR="00B07360" w:rsidRPr="00E20348">
        <w:fldChar w:fldCharType="begin" w:fldLock="1"/>
      </w:r>
      <w:r w:rsidR="007C1DE8" w:rsidRPr="001A7586">
        <w:instrText>ADDIN CSL_CITATION {"citationItems":[{"id":"ITEM-1","itemData":{"DOI":"10.1111/j.1460-9568.2009.07012.x","ISSN":"0953816X","PMID":"20092575","abstract":"The present study attempted to distinguish the independent contributions of the amygdala and hippocampus to fear expression. Rhesus monkeys (Macaca mulatta) with bilateral excitotoxic amygdala lesions (n = 4), bilateral excitotoxic hippocampal lesions (n = 8) and unoperated controls (n = 9) were allowed to reach over a neutral junk object or fear-provoking stimulus (i.e., a rubber snake or a jumping rubber spider) to retrieve a food reward. Monkeys were exposed to each stimulus for 30 s. On each trial we recorded the monkey's latency to retrieve the food reward and scored their whole-body reactions to the object. Confirming previous work we found that, relative to controls, both operated groups showed shorter food-retrieval latencies and exhibited fewer defensive and more approach behaviors when exposed to the fear-provoking stimuli. However, only monkeys with amygdala lesions showed an abnormal, excessive visual interest in the snake and spider. By contrast, monkeys with hippocampal lesions displayed behaviors that were unrelated to the presence of the fear stimuli, thereby indicating a lack of interest in, and emotional reactivity towards, the snake and spider. These data show that the hippocampus and amygdala contribute independently to the overall expression of defensive responses.","author":[{"dropping-particle":"","family":"Chudasama","given":"Yogita","non-dropping-particle":"","parse-names":false,"suffix":""},{"dropping-particle":"","family":"Izquierdo","given":"Alicia","non-dropping-particle":"","parse-names":false,"suffix":""},{"dropping-particle":"","family":"Murray","given":"Elisabeth A.","non-dropping-particle":"","parse-names":false,"suffix":""}],"container-title":"European Journal of Neuroscience","id":"ITEM-1","issue":"12","issued":{"date-parts":[["2009","12"]]},"page":"2327-2337","title":"Distinct contributions of the amygdala and hippocampus to fear expression","type":"article-journal","volume":"30"},"uris":["http://www.mendeley.com/documents/?uuid=8fb34f17-6c3c-3b1f-a7ea-5f133c7432d5"]},{"id":"ITEM-2","itemData":{"DOI":"10.1016/j.biopsych.2007.11.012","ISSN":"00063223","PMID":"18191111","abstract":"BACKGROUND Although the role of the hippocampus in emotional behavior has long been recognized, the extent to which the hippocampus plays a role in the regulation and expression of emotion in rhesus monkeys has not been systematically explored. METHODS Rhesus monkeys (Macaca mulatta) with excitotoxic lesions of the hippocampal formation and unoperated control animals were assessed on two different types of emotional processing: defensive reactions to a potential predator (experiment 1) and ability to update the value of positive reinforcers, in this case food (experiment 2). Monkeys with aspiration lesions of the perirhinal cortex were also included in this study as an operated control group. RESULTS In experiment 1, whereas both operated groups showed reduced latencies to retrieve food located near an innately fear-provoking stimulus, a fake snake, only monkeys with hippocampal lesions displayed reduced defensive reactions to the snake. In experiment 2, both operated groups performed as well as control animals when choosing objects flexibly based on the current value of a food. CONCLUSIONS These findings dissociate the hippocampus and perirhinal cortex in fear expression and specifically implicate the hippocampal formation in generating responses to stimuli that are potentially threatening.","author":[{"dropping-particle":"","family":"Chudasama","given":"Yogita","non-dropping-particle":"","parse-names":false,"suffix":""},{"dropping-particle":"","family":"Wright","given":"Katherine S.","non-dropping-particle":"","parse-names":false,"suffix":""},{"dropping-particle":"","family":"Murray","given":"Elisabeth A.","non-dropping-particle":"","parse-names":false,"suffix":""}],"container-title":"Biological Psychiatry","id":"ITEM-2","issue":"11","issued":{"date-parts":[["2008","6","1"]]},"page":"1084-1091","title":"Hippocampal Lesions in Rhesus Monkeys Disrupt Emotional Responses but Not Reinforcer Devaluation Effects","type":"article-journal","volume":"63"},"uris":["http://www.mendeley.com/documents/?uuid=1e960a2a-9632-3d27-8986-cd58a31afc50"]}],"mendeley":{"formattedCitation":"(Chudasama et al., 2008, 2009)","plainTextFormattedCitation":"(Chudasama et al., 2008, 2009)","previouslyFormattedCitation":"(Chudasama et al., 2008, 2009)"},"properties":{"noteIndex":0},"schema":"https://github.com/citation-style-language/schema/raw/master/csl-citation.json"}</w:instrText>
      </w:r>
      <w:r w:rsidR="00B07360" w:rsidRPr="00E20348">
        <w:fldChar w:fldCharType="separate"/>
      </w:r>
      <w:r w:rsidR="007C1DE8" w:rsidRPr="001A7586">
        <w:rPr>
          <w:noProof/>
        </w:rPr>
        <w:t>(Chudasama et al., 2008, 2009)</w:t>
      </w:r>
      <w:r w:rsidR="00B07360" w:rsidRPr="00E20348">
        <w:fldChar w:fldCharType="end"/>
      </w:r>
      <w:r w:rsidR="00B07360" w:rsidRPr="001A7586">
        <w:t>. Thus</w:t>
      </w:r>
      <w:r w:rsidR="00B006BF" w:rsidRPr="001A7586">
        <w:t>,</w:t>
      </w:r>
      <w:r w:rsidR="00B07360" w:rsidRPr="001A7586">
        <w:t xml:space="preserve"> there may be fundamental differences in </w:t>
      </w:r>
      <w:r w:rsidR="007C1DE8" w:rsidRPr="001A7586">
        <w:t xml:space="preserve">how </w:t>
      </w:r>
      <w:r w:rsidR="00B07360" w:rsidRPr="001A7586">
        <w:t>hippocampal glutamate</w:t>
      </w:r>
      <w:r w:rsidR="007C1DE8" w:rsidRPr="001A7586">
        <w:t xml:space="preserve"> contributes</w:t>
      </w:r>
      <w:r w:rsidR="00B07360" w:rsidRPr="001A7586">
        <w:t xml:space="preserve"> to healthy and high-trait anxious/affective disorder states. The hippocampus modulates such </w:t>
      </w:r>
      <w:r w:rsidR="00D71B0B" w:rsidRPr="001A7586">
        <w:t>behavior</w:t>
      </w:r>
      <w:r w:rsidR="00B07360" w:rsidRPr="001A7586">
        <w:t xml:space="preserve">, in part, via a network of medial PFC (mPFC) brain regions </w:t>
      </w:r>
      <w:r w:rsidR="00B07360" w:rsidRPr="001A7586">
        <w:rPr>
          <w:rFonts w:cstheme="minorHAnsi"/>
        </w:rPr>
        <w:t>including Brodmann’s area 25 and area 32</w:t>
      </w:r>
      <w:r w:rsidR="00B07360" w:rsidRPr="001A7586">
        <w:t xml:space="preserve">, and changes in anterior hippocampal (aHipp, </w:t>
      </w:r>
      <w:r w:rsidR="00B07360" w:rsidRPr="001A7586">
        <w:rPr>
          <w:rFonts w:cstheme="minorHAnsi"/>
          <w:color w:val="000000" w:themeColor="text1"/>
        </w:rPr>
        <w:t>the primate equivalent of the vHipp</w:t>
      </w:r>
      <w:r w:rsidR="008B4960" w:rsidRPr="001A7586">
        <w:t>) connectivity with the mPFC are</w:t>
      </w:r>
      <w:r w:rsidR="00B07360" w:rsidRPr="001A7586">
        <w:t xml:space="preserve"> implicated in</w:t>
      </w:r>
      <w:r w:rsidR="00B07360" w:rsidRPr="001A7586">
        <w:rPr>
          <w:rFonts w:cstheme="minorHAnsi"/>
          <w:color w:val="000000" w:themeColor="text1"/>
        </w:rPr>
        <w:t xml:space="preserve"> </w:t>
      </w:r>
      <w:r w:rsidR="008B4960" w:rsidRPr="001A7586">
        <w:rPr>
          <w:rFonts w:cstheme="minorHAnsi"/>
          <w:color w:val="000000" w:themeColor="text1"/>
        </w:rPr>
        <w:t>affective</w:t>
      </w:r>
      <w:r w:rsidR="00B07360" w:rsidRPr="001A7586">
        <w:rPr>
          <w:rFonts w:cstheme="minorHAnsi"/>
          <w:color w:val="000000" w:themeColor="text1"/>
        </w:rPr>
        <w:t xml:space="preserve"> disorders in humans </w:t>
      </w:r>
      <w:r w:rsidR="00B07360" w:rsidRPr="00E20348">
        <w:rPr>
          <w:rFonts w:cstheme="minorHAnsi"/>
          <w:color w:val="000000" w:themeColor="text1"/>
        </w:rPr>
        <w:fldChar w:fldCharType="begin" w:fldLock="1"/>
      </w:r>
      <w:r w:rsidR="00A2368A" w:rsidRPr="001A7586">
        <w:rPr>
          <w:rFonts w:cstheme="minorHAnsi"/>
          <w:color w:val="000000" w:themeColor="text1"/>
        </w:rPr>
        <w:instrText>ADDIN CSL_CITATION {"citationItems":[{"id":"ITEM-1","itemData":{"DOI":"10.1016/j.neuropsychologia.2011.02.055","ISSN":"1873-3514","PMID":"21382385","abstract":"Post-traumatic stress disorder (PTSD) is characterized by a failure of psychological recovery from a traumatic experience. At a neural level, it is associated with abnormalities of the areas of the neural system that process threatening information, including the amygdala and medial-prefrontal cortex, as well as of that involved in episodic memory, including the hippocampus. However, little is known about how the function of these regions may change as one recovers from the disorder. In this investigation, PTSD patients underwent two functional magnetic resonance imaging (fMRI) scans, 6-9 months apart, while viewing fearful and neutral faces in preparation for a memory test (administered outside the scanner). At Time 2, 65% of patients were in remission. Current symptom levels correlated positively with memory-related fMRI activity in the amygdala and ventral-medial prefrontal cortex (vmPFC). In addition, the change in activity within the hippocampus and the subgenual anterior cingulate cortex (sgACC) was associated with the degree of symptom improvement (n=18). These results suggest differential involvement of structures within the fear network in symptom manifestation and in recovery from PTSD: whereas activity within the amygdala and vmPFC appeared to be a marker of current symptom severity, functional changes in the hippocampus and sgACC reflected recovery. These results underscore the importance of longitudinal investigations for the identification of the differential neural structures associated with the expression and remission of anxiety disorders.","author":[{"dropping-particle":"","family":"Dickie","given":"Erin W","non-dropping-particle":"","parse-names":false,"suffix":""},{"dropping-particle":"","family":"Brunet","given":"Alain","non-dropping-particle":"","parse-names":false,"suffix":""},{"dropping-particle":"","family":"Akerib","given":"Vivian","non-dropping-particle":"","parse-names":false,"suffix":""},{"dropping-particle":"","family":"Armony","given":"Jorge L","non-dropping-particle":"","parse-names":false,"suffix":""}],"container-title":"Neuropsychologia","id":"ITEM-1","issue":"7","issued":{"date-parts":[["2011","6"]]},"page":"1771-8","title":"Neural correlates of recovery from post-traumatic stress disorder: a longitudinal fMRI investigation of memory encoding.","type":"article-journal","volume":"49"},"uris":["http://www.mendeley.com/documents/?uuid=a16a4b56-8a34-379c-ac02-17ad4b94deb2"]},{"id":"ITEM-2","itemData":{"DOI":"10.1016/j.biopsych.2014.06.018","ISSN":"1873-2402","PMID":"25109665","abstract":"BACKGROUND Longitudinal studies of illness progression in patients with major depressive disorder (MDD) indicate that the onset of subsequent depressive episodes becomes increasingly decoupled from external stressors. A possible mechanism underlying this phenomenon is that multiple episodes induce long-lasting neurobiological changes that confer increased risk for recurrence. Prior morphometric studies have frequently reported volumetric reductions in patients with MDD--especially in medial prefrontal cortex (mPFC) and the hippocampus--but few studies have investigated whether these changes are exacerbated by prior episodes. METHODS In a sample of 103 medication-free patients with depression and control subjects with no history of depression, structural magnetic resonance imaging was performed to examine relationships between number of prior episodes, current stress, hippocampal subfield volume and cortical thickness. Volumetric analyses of the hippocampus were performed using a recently validated subfield segmentation approach, and cortical thickness estimates were obtained using vertex-based methods. Participants were grouped on the basis of the number of prior depressive episodes and current depressive diagnosis. RESULTS Number of prior episodes was associated with both lower reported stress levels and reduced volume in the dentate gyrus. Cortical thinning of the left mPFC was associated with a greater number of prior depressive episodes but not current depressive diagnosis. CONCLUSIONS Collectively, these findings are consistent with preclinical models suggesting that the dentate gyrus and mPFC are especially vulnerable to stress exposure and provide evidence for morphometric changes that are consistent with stress-sensitization models of recurrence in MDD.","author":[{"dropping-particle":"","family":"Treadway","given":"Michael T","non-dropping-particle":"","parse-names":false,"suffix":""},{"dropping-particle":"","family":"Waskom","given":"Michael L","non-dropping-particle":"","parse-names":false,"suffix":""},{"dropping-particle":"","family":"Dillon","given":"Daniel G","non-dropping-particle":"","parse-names":false,"suffix":""},{"dropping-particle":"","family":"Holmes","given":"Avram J","non-dropping-particle":"","parse-names":false,"suffix":""},{"dropping-particle":"","family":"Park","given":"Min Tae M","non-dropping-particle":"","parse-names":false,"suffix":""},{"dropping-particle":"","family":"Chakravarty","given":"M Mallar","non-dropping-particle":"","parse-names":false,"suffix":""},{"dropping-particle":"","family":"Dutra","given":"Sunny J","non-dropping-particle":"","parse-names":false,"suffix":""},{"dropping-particle":"","family":"Polli","given":"Frida E","non-dropping-particle":"","parse-names":false,"suffix":""},{"dropping-particle":"V","family":"Iosifescu","given":"Dan","non-dropping-particle":"","parse-names":false,"suffix":""},{"dropping-particle":"","family":"Fava","given":"Maurizio","non-dropping-particle":"","parse-names":false,"suffix":""},{"dropping-particle":"","family":"Gabrieli","given":"John D E","non-dropping-particle":"","parse-names":false,"suffix":""},{"dropping-particle":"","family":"Pizzagalli","given":"Diego A","non-dropping-particle":"","parse-names":false,"suffix":""}],"container-title":"Biological psychiatry","id":"ITEM-2","issue":"3","issued":{"date-parts":[["2015","2","1"]]},"page":"285-294","publisher":"NIH Public Access","title":"Illness progression, recent stress, and morphometry of hippocampal subfields and medial prefrontal cortex in major depression.","type":"article-journal","volume":"77"},"uris":["http://www.mendeley.com/documents/?uuid=e7592ba5-1b41-33d3-a4e7-961c7975d793"]},{"id":"ITEM-3","itemData":{"DOI":"10.1038/mp.2010.46\rmp201046 [pii]","ISBN":"1476-5578 (Electronic)\r1359-4184 (Linking)","PMID":"20479758","abstract":"Major Depressive Disorder (MDD) has been conceptualized as a neural network-level disease. Few studies of the neural bases of depression, however, have used analytical techniques that are capable of testing network-level hypotheses of neural dysfunction in this disorder. Moreover, of those that have, fewer still have attempted to determine the directionality of influence within functionally abnormal networks of structures. We used multivariate GC analysis, a technique that estimates the extent to which preceding neural activity in one or more seed regions predicts subsequent activity in target brain regions, to analyze blood-oxygen-level-dependent (BOLD) data collected during eyes-closed rest from depressed and never-depressed persons. We found that activation in the hippocampus predicted subsequent increases in ventral anterior cingulate cortex (vACC) activity in depression, and that activity in the medial prefrontal cortex and vACC were mutually reinforcing in MDD. Hippocampal and vACC activation in depressed participants predicted subsequent decreases in dorsal cortical activity. This study shows that, on a moment-by-moment basis, there is increased excitatory activity among limbic and paralimbic structures, as well as increased inhibition in the activity of dorsal cortical structures, by limbic structures in depression; these aberrant patterns of effective connectivity implicate disturbances in the mesostriatal dopamine system in depression. These findings advance the neural theory of depression by detailing specific patterns of limbic excitation in MDD, by making explicit the primary role of limbic inhibition of dorsal cortex in the cortico-limbic relation posited to underlie depression, and by presenting an integrated neurofunctional account of altered dopamine function in this disorder.","author":[{"dropping-particle":"","family":"Hamilton","given":"J P","non-dropping-particle":"","parse-names":false,"suffix":""},{"dropping-particle":"","family":"Chen","given":"G","non-dropping-particle":"","parse-names":false,"suffix":""},{"dropping-particle":"","family":"Thomason","given":"M E","non-dropping-particle":"","parse-names":false,"suffix":""},{"dropping-particle":"","family":"Schwartz","given":"M E","non-dropping-particle":"","parse-names":false,"suffix":""},{"dropping-particle":"","family":"Gotlib","given":"I H","non-dropping-particle":"","parse-names":false,"suffix":""}],"container-title":"Mol Psychiatry","edition":"2010/05/19","id":"ITEM-3","issue":"7","issued":{"date-parts":[["2011"]]},"language":"eng","note":"Hamilton, J P\nChen, G\nThomason, M E\nSchwartz, M E\nGotlib, I H\nMH079651/MH/NIMH NIH HHS/United States\nMH59259/MH/NIMH NIH HHS/United States\nR01 MH059259-11/MH/NIMH NIH HHS/United States\nResearch Support, N.I.H., Extramural\nEngland\nMolecular psychiatry\nMol Psychiatry. 2011 Jul;16(7):763-72. doi: 10.1038/mp.2010.46. Epub 2010 May 18.","page":"763-772","title":"Investigating neural primacy in Major Depressive Disorder: multivariate Granger causality analysis of resting-state fMRI time-series data","type":"article-journal","volume":"16"},"uris":["http://www.mendeley.com/documents/?uuid=0db61cf4-3e2c-4e7c-b6e1-37556d23256c"]}],"mendeley":{"formattedCitation":"(Dickie et al., 2011; Hamilton et al., 2011; Treadway et al., 2015)","plainTextFormattedCitation":"(Dickie et al., 2011; Hamilton et al., 2011; Treadway et al., 2015)","previouslyFormattedCitation":"(Dickie et al., 2011; Hamilton et al., 2011; Treadway et al., 2015)"},"properties":{"noteIndex":0},"schema":"https://github.com/citation-style-language/schema/raw/master/csl-citation.json"}</w:instrText>
      </w:r>
      <w:r w:rsidR="00B07360" w:rsidRPr="00E20348">
        <w:rPr>
          <w:rFonts w:cstheme="minorHAnsi"/>
          <w:color w:val="000000" w:themeColor="text1"/>
        </w:rPr>
        <w:fldChar w:fldCharType="separate"/>
      </w:r>
      <w:r w:rsidR="00572A6A" w:rsidRPr="001A7586">
        <w:rPr>
          <w:rFonts w:cstheme="minorHAnsi"/>
          <w:noProof/>
          <w:color w:val="000000" w:themeColor="text1"/>
        </w:rPr>
        <w:t>(Dickie et al., 2011; Hamilton et al., 2011; Treadway et al., 2015)</w:t>
      </w:r>
      <w:r w:rsidR="00B07360" w:rsidRPr="00E20348">
        <w:rPr>
          <w:rFonts w:cstheme="minorHAnsi"/>
          <w:color w:val="000000" w:themeColor="text1"/>
        </w:rPr>
        <w:fldChar w:fldCharType="end"/>
      </w:r>
      <w:r w:rsidR="008B4960" w:rsidRPr="001A7586">
        <w:rPr>
          <w:rFonts w:cstheme="minorHAnsi"/>
          <w:color w:val="000000" w:themeColor="text1"/>
        </w:rPr>
        <w:t>. Rodent studies also highlight</w:t>
      </w:r>
      <w:r w:rsidR="00B07360" w:rsidRPr="001A7586">
        <w:rPr>
          <w:rFonts w:cstheme="minorHAnsi"/>
          <w:color w:val="000000" w:themeColor="text1"/>
        </w:rPr>
        <w:t xml:space="preserve"> the importance of vHipp-mPFC connect</w:t>
      </w:r>
      <w:r w:rsidR="008B4960" w:rsidRPr="001A7586">
        <w:rPr>
          <w:rFonts w:cstheme="minorHAnsi"/>
          <w:color w:val="000000" w:themeColor="text1"/>
        </w:rPr>
        <w:t>ivity in the control of anxiety-</w:t>
      </w:r>
      <w:r w:rsidR="00B07360" w:rsidRPr="001A7586">
        <w:rPr>
          <w:rFonts w:cstheme="minorHAnsi"/>
          <w:color w:val="000000" w:themeColor="text1"/>
        </w:rPr>
        <w:t xml:space="preserve">related behavior </w:t>
      </w:r>
      <w:r w:rsidR="00B07360" w:rsidRPr="00E20348">
        <w:rPr>
          <w:rFonts w:cstheme="minorHAnsi"/>
          <w:color w:val="000000" w:themeColor="text1"/>
        </w:rPr>
        <w:fldChar w:fldCharType="begin" w:fldLock="1"/>
      </w:r>
      <w:r w:rsidR="007C1DE8" w:rsidRPr="001A7586">
        <w:rPr>
          <w:rFonts w:cstheme="minorHAnsi"/>
          <w:color w:val="000000" w:themeColor="text1"/>
        </w:rPr>
        <w:instrText>ADDIN CSL_CITATION {"citationItems":[{"id":"ITEM-1","itemData":{"DOI":"10.1016/j.neuron.2016.01.011","ISSN":"08966273","PMID":"26853301","abstract":"The ventral hippocampus (vHPC), medial prefrontal cortex (mPFC), and basolateral amygdala (BLA) are each required for the expression of anxiety-like behavior. Yet the role of each individual element of the circuit is unclear. The projection from the vHPC to the mPFC has been implicated in anxiety-related neural synchrony and spatial representations of aversion. The role of this projection was examined using multi-site neural recordings combined with optogenetic terminal inhibition. Inhibition of vHPC input to the mPFC disrupted anxiety and mPFC representations of aversion, and reduced theta synchrony in a pathway-, frequency- and task-specific manner. Moreover, bilateral, but not unilateral, inhibition altered physiological correlates of anxiety in the BLA, mimicking a safety-like state. These results reveal a specific role for the vHPC-mPFC projection in anxiety-related behavior and the spatial representation of aversive information within the mPFC.","author":[{"dropping-particle":"","family":"Padilla-Coreano","given":"Nancy","non-dropping-particle":"","parse-names":false,"suffix":""},{"dropping-particle":"","family":"Bolkan","given":"Scott S.","non-dropping-particle":"","parse-names":false,"suffix":""},{"dropping-particle":"","family":"Pierce","given":"Georgia M.","non-dropping-particle":"","parse-names":false,"suffix":""},{"dropping-particle":"","family":"Blackman","given":"Dakota R.","non-dropping-particle":"","parse-names":false,"suffix":""},{"dropping-particle":"","family":"Hardin","given":"William D.","non-dropping-particle":"","parse-names":false,"suffix":""},{"dropping-particle":"","family":"Garcia-Garcia","given":"Alvaro L.","non-dropping-particle":"","parse-names":false,"suffix":""},{"dropping-particle":"","family":"Spellman","given":"Timothy J.","non-dropping-particle":"","parse-names":false,"suffix":""},{"dropping-particle":"","family":"Gordon","given":"Joshua A.","non-dropping-particle":"","parse-names":false,"suffix":""}],"container-title":"Neuron","id":"ITEM-1","issue":"4","issued":{"date-parts":[["2016","2","17"]]},"page":"857-866","title":"Direct Ventral Hippocampal-Prefrontal Input Is Required for Anxiety-Related Neural Activity and Behavior","type":"article-journal","volume":"89"},"uris":["http://www.mendeley.com/documents/?uuid=52d86076-af24-3eda-86a9-2a5719421003"]},{"id":"ITEM-2","itemData":{"DOI":"10.1016/j.neuron.2009.12.002","ISSN":"1097-4199","PMID":"20152131","abstract":"The ventral hippocampus, unlike its dorsal counterpart, is required for anxiety-like behavior. The means by which it acts are unknown. We hypothesized that the hippocampus synchronizes with downstream targets that influence anxiety, such as the medial prefrontal cortex (mPFC). To test this hypothesis, we recorded mPFC and hippocampal activity in mice exposed to two anxiogenic arenas. Theta-frequency activity in the mPFC and ventral, but not dorsal, hippocampus was highly correlated at baseline, and this correlation increased in both anxiogenic environments. Increases in mPFC theta power predicted avoidance of the aversive compartments of each arena and were larger in serotonin 1A receptor knockout mice, a genetic model of increased anxiety-like behavior. These results suggest a role for theta-frequency synchronization between the ventral hippocampus and the mPFC in anxiety. They are consistent with the notion that such synchronization is a general mechanism by which the hippocampus communicates with downstream structures of behavioral relevance.","author":[{"dropping-particle":"","family":"Adhikari","given":"Avishek","non-dropping-particle":"","parse-names":false,"suffix":""},{"dropping-particle":"","family":"Topiwala","given":"Mihir A","non-dropping-particle":"","parse-names":false,"suffix":""},{"dropping-particle":"","family":"Gordon","given":"Joshua A","non-dropping-particle":"","parse-names":false,"suffix":""}],"container-title":"Neuron","id":"ITEM-2","issue":"2","issued":{"date-parts":[["2010","1","28"]]},"page":"257-69","title":"Synchronized activity between the ventral hippocampus and the medial prefrontal cortex during anxiety.","type":"article-journal","volume":"65"},"uris":["http://www.mendeley.com/documents/?uuid=28e9fe1b-a952-3809-9d71-22dd834a45ff"]}],"mendeley":{"formattedCitation":"(Adhikari et al., 2010; Padilla-Coreano et al., 2016)","plainTextFormattedCitation":"(Adhikari et al., 2010; Padilla-Coreano et al., 2016)","previouslyFormattedCitation":"(Adhikari et al., 2010; Padilla-Coreano et al., 2016)"},"properties":{"noteIndex":0},"schema":"https://github.com/citation-style-language/schema/raw/master/csl-citation.json"}</w:instrText>
      </w:r>
      <w:r w:rsidR="00B07360" w:rsidRPr="00E20348">
        <w:rPr>
          <w:rFonts w:cstheme="minorHAnsi"/>
          <w:color w:val="000000" w:themeColor="text1"/>
        </w:rPr>
        <w:fldChar w:fldCharType="separate"/>
      </w:r>
      <w:r w:rsidR="007C1DE8" w:rsidRPr="001A7586">
        <w:rPr>
          <w:rFonts w:cstheme="minorHAnsi"/>
          <w:noProof/>
          <w:color w:val="000000" w:themeColor="text1"/>
        </w:rPr>
        <w:t>(Adhikari et al., 2010; Padilla-Coreano et al., 2016)</w:t>
      </w:r>
      <w:r w:rsidR="00B07360" w:rsidRPr="00E20348">
        <w:rPr>
          <w:rFonts w:cstheme="minorHAnsi"/>
          <w:color w:val="000000" w:themeColor="text1"/>
        </w:rPr>
        <w:fldChar w:fldCharType="end"/>
      </w:r>
      <w:r w:rsidR="00B07360" w:rsidRPr="001A7586">
        <w:rPr>
          <w:rFonts w:cstheme="minorHAnsi"/>
          <w:color w:val="000000" w:themeColor="text1"/>
        </w:rPr>
        <w:t>. However, the contr</w:t>
      </w:r>
      <w:r w:rsidR="00A2368A" w:rsidRPr="001A7586">
        <w:rPr>
          <w:rFonts w:cstheme="minorHAnsi"/>
          <w:color w:val="000000" w:themeColor="text1"/>
        </w:rPr>
        <w:t>ibution</w:t>
      </w:r>
      <w:r w:rsidR="00EF3CC0" w:rsidRPr="001A7586">
        <w:rPr>
          <w:rFonts w:cstheme="minorHAnsi"/>
          <w:color w:val="000000" w:themeColor="text1"/>
        </w:rPr>
        <w:t>s</w:t>
      </w:r>
      <w:r w:rsidR="00A2368A" w:rsidRPr="001A7586">
        <w:rPr>
          <w:rFonts w:cstheme="minorHAnsi"/>
          <w:color w:val="000000" w:themeColor="text1"/>
        </w:rPr>
        <w:t xml:space="preserve"> of hippocampal glutamate,</w:t>
      </w:r>
      <w:r w:rsidR="00B07360" w:rsidRPr="001A7586">
        <w:rPr>
          <w:rFonts w:cstheme="minorHAnsi"/>
          <w:color w:val="000000" w:themeColor="text1"/>
        </w:rPr>
        <w:t xml:space="preserve"> and hippocampal-mPFC circuitry in the </w:t>
      </w:r>
      <w:r w:rsidR="00D71B0B" w:rsidRPr="001A7586">
        <w:rPr>
          <w:rFonts w:cstheme="minorHAnsi"/>
          <w:color w:val="000000" w:themeColor="text1"/>
        </w:rPr>
        <w:t>behavior</w:t>
      </w:r>
      <w:r w:rsidR="00B07360" w:rsidRPr="001A7586">
        <w:rPr>
          <w:rFonts w:cstheme="minorHAnsi"/>
          <w:color w:val="000000" w:themeColor="text1"/>
        </w:rPr>
        <w:t xml:space="preserve">al and cardiovascular symptoms of </w:t>
      </w:r>
      <w:r w:rsidR="00A2368A" w:rsidRPr="001A7586">
        <w:rPr>
          <w:rFonts w:cstheme="minorHAnsi"/>
          <w:color w:val="000000" w:themeColor="text1"/>
        </w:rPr>
        <w:t xml:space="preserve">endogenous high-trait anxiety </w:t>
      </w:r>
      <w:r w:rsidR="00EF3CC0" w:rsidRPr="001A7586">
        <w:rPr>
          <w:rFonts w:cstheme="minorHAnsi"/>
          <w:color w:val="000000" w:themeColor="text1"/>
        </w:rPr>
        <w:t>remain</w:t>
      </w:r>
      <w:r w:rsidR="00B07360" w:rsidRPr="001A7586">
        <w:rPr>
          <w:rFonts w:cstheme="minorHAnsi"/>
          <w:color w:val="000000" w:themeColor="text1"/>
        </w:rPr>
        <w:t xml:space="preserve"> unknown.</w:t>
      </w:r>
    </w:p>
    <w:p w14:paraId="21CEFF09" w14:textId="77777777" w:rsidR="00B07360" w:rsidRPr="001A7586" w:rsidRDefault="00B07360" w:rsidP="00AA42CA">
      <w:pPr>
        <w:autoSpaceDE w:val="0"/>
        <w:autoSpaceDN w:val="0"/>
        <w:adjustRightInd w:val="0"/>
        <w:spacing w:after="0" w:line="480" w:lineRule="auto"/>
        <w:jc w:val="both"/>
        <w:rPr>
          <w:bCs/>
        </w:rPr>
      </w:pPr>
    </w:p>
    <w:p w14:paraId="1D1AB2F8" w14:textId="5259C75E" w:rsidR="00B07360" w:rsidRPr="001A7586" w:rsidRDefault="00B07360" w:rsidP="00AA42CA">
      <w:pPr>
        <w:autoSpaceDE w:val="0"/>
        <w:autoSpaceDN w:val="0"/>
        <w:adjustRightInd w:val="0"/>
        <w:spacing w:after="0" w:line="480" w:lineRule="auto"/>
        <w:jc w:val="both"/>
      </w:pPr>
      <w:r w:rsidRPr="001A7586">
        <w:rPr>
          <w:rFonts w:cs="Times New Roman"/>
        </w:rPr>
        <w:t xml:space="preserve">We have recently demonstrated the utility of a marmoset model for probing the </w:t>
      </w:r>
      <w:r w:rsidR="00D71B0B" w:rsidRPr="001A7586">
        <w:rPr>
          <w:rFonts w:cs="Times New Roman"/>
        </w:rPr>
        <w:t>behavior</w:t>
      </w:r>
      <w:r w:rsidRPr="001A7586">
        <w:rPr>
          <w:rFonts w:cs="Times New Roman"/>
        </w:rPr>
        <w:t xml:space="preserve">al and cardiovascular correlates of mPFC function and conditioned fear </w:t>
      </w:r>
      <w:r w:rsidRPr="00E20348">
        <w:rPr>
          <w:rFonts w:cs="Times New Roman"/>
        </w:rPr>
        <w:fldChar w:fldCharType="begin" w:fldLock="1"/>
      </w:r>
      <w:r w:rsidR="007C1DE8" w:rsidRPr="001A7586">
        <w:rPr>
          <w:rFonts w:cs="Times New Roman"/>
        </w:rPr>
        <w:instrText>ADDIN CSL_CITATION {"citationItems":[{"id":"ITEM-1","itemData":{"DOI":"10.1073/pnas.1620115114","ISSN":"10916490","abstract":"Disorders of dysregulated negative emotion such as depression and anxiety also feature increased cardiovascular mortality and decreased heart-rate variability (HRV). These disorders are correlated with dysfunction within areas 25 and 32 of the ventromedial prefrontal cortex (vmPFC), but a causal relationship between dysregulation of these areas and such symptoms has not been demonstrated. Furthermore, cross-species translation is limited by inconsistent findings between rodent fear extinction and human neuroimaging studies of negative emotion. To reconcile these literatures, we applied an investigative approach to the brain-body interactions at the core of negative emotional dysregulation. We show that, in marmoset monkeys (a nonhuman primate that has far greater vmPFC homology to humans than rodents), areas 25 and 32 have causal yet opposing roles in regulating the cardiovascular and behavioral correlates of negative emotion. In novel Pavlovian fear conditioning and extinction paradigms, pharmacological inactivation of area 25 decreased the autonomic and behavioral correlates of negative emotion expectation, whereas inactivation of area 32 increased them via generalization. Area 25 inactivation also increased resting HRV. These findings are inconsistent with current theories of rodent/primate prefrontal functional similarity, and provide insight into the role of these brain regions in affective disorders. They demonstrate that area 32 hypoactivity causes behavioral generalization relevant to anxiety, and that area 25 is a causal node governing the emotional and cardiovascular symptomatology relevant to anxiety and depression.","author":[{"dropping-particle":"","family":"Wallis","given":"C.U.","non-dropping-particle":"","parse-names":false,"suffix":""},{"dropping-particle":"","family":"Cardinal","given":"R.N.","non-dropping-particle":"","parse-names":false,"suffix":""},{"dropping-particle":"","family":"Alexander","given":"L.","non-dropping-particle":"","parse-names":false,"suffix":""},{"dropping-particle":"","family":"Roberts","given":"A.C.","non-dropping-particle":"","parse-names":false,"suffix":""},{"dropping-particle":"","family":"Clarke","given":"H.F.","non-dropping-particle":"","parse-names":false,"suffix":""}],"container-title":"Proceedings of the National Academy of Sciences of the United States of America","id":"ITEM-1","issue":"20","issued":{"date-parts":[["2017"]]},"title":"Opposing roles of primate areas 25 and 32 and their putative rodent homologs in the regulation of negative emotion","type":"article-journal","volume":"114"},"uris":["http://www.mendeley.com/documents/?uuid=0c7170ec-f639-395d-b8c8-595fbc1b77ef"]}],"mendeley":{"formattedCitation":"(Wallis et al., 2017)","plainTextFormattedCitation":"(Wallis et al., 2017)","previouslyFormattedCitation":"(Wallis et al., 2017)"},"properties":{"noteIndex":0},"schema":"https://github.com/citation-style-language/schema/raw/master/csl-citation.json"}</w:instrText>
      </w:r>
      <w:r w:rsidRPr="00E20348">
        <w:rPr>
          <w:rFonts w:cs="Times New Roman"/>
        </w:rPr>
        <w:fldChar w:fldCharType="separate"/>
      </w:r>
      <w:r w:rsidR="007C1DE8" w:rsidRPr="001A7586">
        <w:rPr>
          <w:rFonts w:cs="Times New Roman"/>
          <w:noProof/>
        </w:rPr>
        <w:t>(Wallis et al., 2017)</w:t>
      </w:r>
      <w:r w:rsidRPr="00E20348">
        <w:rPr>
          <w:rFonts w:cs="Times New Roman"/>
        </w:rPr>
        <w:fldChar w:fldCharType="end"/>
      </w:r>
      <w:r w:rsidR="004D067E" w:rsidRPr="001A7586">
        <w:rPr>
          <w:rFonts w:cs="Times New Roman"/>
        </w:rPr>
        <w:t xml:space="preserve">, and </w:t>
      </w:r>
      <w:r w:rsidRPr="001A7586">
        <w:t xml:space="preserve">described </w:t>
      </w:r>
      <w:r w:rsidRPr="001A7586">
        <w:rPr>
          <w:rFonts w:cs="Times New Roman"/>
        </w:rPr>
        <w:t>a subpopulation of marmosets with an endogenous high-trait anxiety phenotype</w:t>
      </w:r>
      <w:r w:rsidR="00AF5335" w:rsidRPr="001A7586">
        <w:rPr>
          <w:rFonts w:cs="Times New Roman"/>
        </w:rPr>
        <w:t xml:space="preserve"> that </w:t>
      </w:r>
      <w:r w:rsidRPr="001A7586">
        <w:rPr>
          <w:rFonts w:cs="Times New Roman"/>
        </w:rPr>
        <w:t xml:space="preserve">is associated with </w:t>
      </w:r>
      <w:r w:rsidR="00BF5FA6" w:rsidRPr="001A7586">
        <w:rPr>
          <w:rFonts w:cs="Times New Roman"/>
        </w:rPr>
        <w:t xml:space="preserve">impaired discriminative Pavlovian conditioning, </w:t>
      </w:r>
      <w:r w:rsidRPr="001A7586">
        <w:rPr>
          <w:rFonts w:cs="Times New Roman"/>
        </w:rPr>
        <w:t xml:space="preserve">blunted </w:t>
      </w:r>
      <w:r w:rsidR="009B4BB3" w:rsidRPr="001A7586">
        <w:rPr>
          <w:rFonts w:cs="Times New Roman"/>
        </w:rPr>
        <w:t xml:space="preserve">amygdala </w:t>
      </w:r>
      <w:r w:rsidRPr="001A7586">
        <w:rPr>
          <w:rFonts w:cs="Times New Roman"/>
        </w:rPr>
        <w:t>seroto</w:t>
      </w:r>
      <w:r w:rsidR="00EE06FA" w:rsidRPr="001A7586">
        <w:rPr>
          <w:rFonts w:cs="Times New Roman"/>
        </w:rPr>
        <w:t xml:space="preserve">nin function and </w:t>
      </w:r>
      <w:r w:rsidRPr="001A7586">
        <w:rPr>
          <w:rFonts w:cs="Times New Roman"/>
        </w:rPr>
        <w:t>reduced dorsal anterior cingulate cortex</w:t>
      </w:r>
      <w:r w:rsidR="009B4BB3" w:rsidRPr="001A7586">
        <w:rPr>
          <w:rFonts w:cs="Times New Roman"/>
        </w:rPr>
        <w:t xml:space="preserve"> volume</w:t>
      </w:r>
      <w:r w:rsidR="00AF5335" w:rsidRPr="001A7586">
        <w:rPr>
          <w:rFonts w:cs="Times New Roman"/>
        </w:rPr>
        <w:t xml:space="preserve"> </w:t>
      </w:r>
      <w:r w:rsidR="00AF5335" w:rsidRPr="00E20348">
        <w:rPr>
          <w:rFonts w:cs="Times New Roman"/>
        </w:rPr>
        <w:fldChar w:fldCharType="begin" w:fldLock="1"/>
      </w:r>
      <w:r w:rsidR="007C1DE8" w:rsidRPr="001A7586">
        <w:rPr>
          <w:rFonts w:cs="Times New Roman"/>
        </w:rPr>
        <w:instrText>ADDIN CSL_CITATION {"citationItems":[{"id":"ITEM-1","itemData":{"DOI":"10.3389/fnbeh.2014.00137","ISSN":"1662-5153","PMID":"24795587","abstract":"High trait anxiety is a risk factor for the development of anxiety disorders. Like the disorders themselves high trait anxiety has marked phenotypic variation at the level of symptomatology and neural circuits, suggesting that there may be different symptoms and distinct neural circuits associated with risk for these disorders. To address these issues, it is essential to develop reliable animal models of trait anxiety in a non-human primate whose brain bears structural and functional similarity to humans. The present study investigated individual variation in responsivity to fearful and anxiety provoking stimuli in the common marmoset monkey. Seven out of 27 animals failed to display discriminative, conditioned cardiovascular and behavioral responses on an auditory fear discrimination task, similar to that seen in high anxious humans and rodents. Their heightened emotionality to a rubber snake was consistent with the hypothesis that they were high in trait-like anxiety. Evidence for phenotypic variation in the high anxiety group was provided by the finding that discrimination failure was predicted early in conditioning by either hyper-vigilant scanning to the cues or a reduction in blood pressure to the context, i.e., test apparatus. Given that high trait anxiety in humans can be associated with altered prefrontal cognitive functioning and previously we implicated the marmoset anterior orbitofrontal (antOFC) and ventrolateral prefrontal cortex (vlPFC) in negative emotion regulation, we also tested the marmosets on two tests of cognitive flexibility differentially dependent on these two regions. While the high anxious group did not differ overall in their perseverative performance, the two distinct phenotypes were differentially correlated with reduced perseverative responding on the OFC- and vlPFC-dependent flexibility tests. Together, this study provides a new model of trait anxiety in marmosets amenable to analysis of phenotypic variation and neural circuitry.","author":[{"dropping-particle":"","family":"Shiba","given":"Yoshiro","non-dropping-particle":"","parse-names":false,"suffix":""},{"dropping-particle":"","family":"Santangelo","given":"Andrea M","non-dropping-particle":"","parse-names":false,"suffix":""},{"dropping-particle":"","family":"Braesicke","given":"Katrin","non-dropping-particle":"","parse-names":false,"suffix":""},{"dropping-particle":"","family":"Agustín-Pavón","given":"Carmen","non-dropping-particle":"","parse-names":false,"suffix":""},{"dropping-particle":"","family":"Cockcroft","given":"Gemma","non-dropping-particle":"","parse-names":false,"suffix":""},{"dropping-particle":"","family":"Haggard","given":"Mark","non-dropping-particle":"","parse-names":false,"suffix":""},{"dropping-particle":"","family":"Roberts","given":"Angela C","non-dropping-particle":"","parse-names":false,"suffix":""}],"container-title":"Frontiers in behavioral neuroscience","id":"ITEM-1","issued":{"date-parts":[["2014","1"]]},"page":"137","title":"Individual differences in behavioral and cardiovascular reactivity to emotive stimuli and their relationship to cognitive flexibility in a primate model of trait anxiety.","type":"article-journal","volume":"8"},"uris":["http://www.mendeley.com/documents/?uuid=94810cb1-8e65-4185-b965-d227ccc5cf9a"]},{"id":"ITEM-2","itemData":{"DOI":"10.1038/npp.2014.324","ISSN":"0893-133X","PMID":"25586542","abstract":"Trait anxiety is a risk factor for the development and maintenance of affective disorders, and insights into the underlying brain mechanisms are vital for improving treatment and prevention strategies. Translational studies in non-human primates, where targeted neurochemical and genetic manipulations can be made, are critical in view of their close neuroanatomical similarity to humans in brain regions implicated in trait anxiety. Thus, we characterised the serotonergic and regional brain volume correlates of trait-like anxiety in the marmoset monkey. Low- and high-anxious animals were identified by behavioral responses to a human intruder (HI) that are known to be sensitive to anxiolytic drug treatment. Extracellular serotonin levels within the amygdala were measured with in vivo microdialysis, at baseline and in response to challenge with the selective serotonin reuptake inhibitor, citalopram. Regional brain volume was assessed by structural magnetic resonance imaging. Anxious individuals showed persistent, long-term fearful responses to both a HI and a model snake, alongside sustained attention (vigilance) to novel cues in a context associated with unpredictable threat. Neurally, high-anxious marmosets showed reduced amygdala serotonin levels, and smaller volumes in a closely connected prefrontal region, the dorsal anterior cingulate cortex. These findings highlight behavioral and neural similarities between trait-like anxiety in marmosets and humans, and set the stage for further investigation of the processes contributing to vulnerability and resilience to affective disorders.","author":[{"dropping-particle":"","family":"Mikheenko","given":"Yevheniia","non-dropping-particle":"","parse-names":false,"suffix":""},{"dropping-particle":"","family":"Shiba","given":"Yoshiro","non-dropping-particle":"","parse-names":false,"suffix":""},{"dropping-particle":"","family":"Sawiak","given":"Stephen","non-dropping-particle":"","parse-names":false,"suffix":""},{"dropping-particle":"","family":"Braesicke","given":"Katrin","non-dropping-particle":"","parse-names":false,"suffix":""},{"dropping-particle":"","family":"Cockcroft","given":"Gemma","non-dropping-particle":"","parse-names":false,"suffix":""},{"dropping-particle":"","family":"Clarke","given":"Hannah","non-dropping-particle":"","parse-names":false,"suffix":""},{"dropping-particle":"","family":"Roberts","given":"Angela C","non-dropping-particle":"","parse-names":false,"suffix":""}],"container-title":"Neuropsychopharmacology","id":"ITEM-2","issue":"6","issued":{"date-parts":[["2015","5","11"]]},"page":"1395-1404","title":"Serotonergic, Brain Volume and Attentional Correlates of Trait Anxiety in Primates","type":"article-journal","volume":"40"},"uris":["http://www.mendeley.com/documents/?uuid=f05a9ffd-cd56-3925-a49c-0c13b78668e6"]}],"mendeley":{"formattedCitation":"(Shiba et al., 2014; Mikheenko et al., 2015)","plainTextFormattedCitation":"(Shiba et al., 2014; Mikheenko et al., 2015)","previouslyFormattedCitation":"(Shiba et al., 2014; Mikheenko et al., 2015)"},"properties":{"noteIndex":0},"schema":"https://github.com/citation-style-language/schema/raw/master/csl-citation.json"}</w:instrText>
      </w:r>
      <w:r w:rsidR="00AF5335" w:rsidRPr="00E20348">
        <w:rPr>
          <w:rFonts w:cs="Times New Roman"/>
        </w:rPr>
        <w:fldChar w:fldCharType="separate"/>
      </w:r>
      <w:r w:rsidR="007C1DE8" w:rsidRPr="001A7586">
        <w:rPr>
          <w:rFonts w:cs="Times New Roman"/>
          <w:noProof/>
        </w:rPr>
        <w:t>(Shiba et al., 2014; Mikheenko et al., 2015)</w:t>
      </w:r>
      <w:r w:rsidR="00AF5335" w:rsidRPr="00E20348">
        <w:rPr>
          <w:rFonts w:cs="Times New Roman"/>
        </w:rPr>
        <w:fldChar w:fldCharType="end"/>
      </w:r>
      <w:r w:rsidRPr="001A7586">
        <w:rPr>
          <w:rFonts w:cs="Times New Roman"/>
        </w:rPr>
        <w:t xml:space="preserve">. However, </w:t>
      </w:r>
      <w:r w:rsidR="00EF3CC0" w:rsidRPr="001A7586">
        <w:rPr>
          <w:rFonts w:cs="Times New Roman"/>
        </w:rPr>
        <w:t>the contribution of</w:t>
      </w:r>
      <w:r w:rsidRPr="001A7586">
        <w:rPr>
          <w:rFonts w:cs="Times New Roman"/>
        </w:rPr>
        <w:t xml:space="preserve"> hippocampal glutamate to this phenotype </w:t>
      </w:r>
      <w:r w:rsidR="00DC6F16" w:rsidRPr="001A7586">
        <w:rPr>
          <w:rFonts w:cs="Times New Roman"/>
        </w:rPr>
        <w:t>is unknown</w:t>
      </w:r>
      <w:r w:rsidRPr="001A7586">
        <w:rPr>
          <w:rFonts w:cs="Times New Roman"/>
        </w:rPr>
        <w:t xml:space="preserve">. Consequently, </w:t>
      </w:r>
      <w:r w:rsidR="009B4BB3" w:rsidRPr="001A7586">
        <w:rPr>
          <w:rFonts w:cstheme="minorHAnsi"/>
        </w:rPr>
        <w:t>the first aim</w:t>
      </w:r>
      <w:r w:rsidRPr="001A7586">
        <w:rPr>
          <w:rFonts w:cstheme="minorHAnsi"/>
        </w:rPr>
        <w:t xml:space="preserve"> of the present study (Experiment 1) was to assess whether </w:t>
      </w:r>
      <w:r w:rsidR="00C230FF" w:rsidRPr="001A7586">
        <w:rPr>
          <w:rFonts w:cstheme="minorHAnsi"/>
        </w:rPr>
        <w:t xml:space="preserve">reduced post-mortem </w:t>
      </w:r>
      <w:r w:rsidR="009B4BB3" w:rsidRPr="001A7586">
        <w:rPr>
          <w:rFonts w:cstheme="minorHAnsi"/>
        </w:rPr>
        <w:t>hippocampal glutamate</w:t>
      </w:r>
      <w:r w:rsidR="00C230FF" w:rsidRPr="001A7586">
        <w:rPr>
          <w:rFonts w:cstheme="minorHAnsi"/>
        </w:rPr>
        <w:t xml:space="preserve"> levels </w:t>
      </w:r>
      <w:r w:rsidR="00B006BF" w:rsidRPr="001A7586">
        <w:rPr>
          <w:rFonts w:cstheme="minorHAnsi"/>
        </w:rPr>
        <w:t>predicted heightened</w:t>
      </w:r>
      <w:r w:rsidR="00F02BF3" w:rsidRPr="001A7586">
        <w:rPr>
          <w:rFonts w:cstheme="minorHAnsi"/>
        </w:rPr>
        <w:t xml:space="preserve"> </w:t>
      </w:r>
      <w:r w:rsidRPr="001A7586">
        <w:rPr>
          <w:rFonts w:cstheme="minorHAnsi"/>
        </w:rPr>
        <w:t xml:space="preserve">responsivity of </w:t>
      </w:r>
      <w:r w:rsidR="00F02BF3" w:rsidRPr="001A7586">
        <w:rPr>
          <w:rFonts w:cstheme="minorHAnsi"/>
        </w:rPr>
        <w:t xml:space="preserve">a </w:t>
      </w:r>
      <w:r w:rsidRPr="001A7586">
        <w:rPr>
          <w:rFonts w:cstheme="minorHAnsi"/>
        </w:rPr>
        <w:t>marmoset</w:t>
      </w:r>
      <w:r w:rsidR="00DC6F16" w:rsidRPr="001A7586">
        <w:rPr>
          <w:rFonts w:cstheme="minorHAnsi"/>
        </w:rPr>
        <w:t xml:space="preserve"> </w:t>
      </w:r>
      <w:r w:rsidR="00F02BF3" w:rsidRPr="001A7586">
        <w:rPr>
          <w:rFonts w:cstheme="minorHAnsi"/>
        </w:rPr>
        <w:t>cohort</w:t>
      </w:r>
      <w:r w:rsidRPr="001A7586">
        <w:rPr>
          <w:rFonts w:cstheme="minorHAnsi"/>
        </w:rPr>
        <w:t xml:space="preserve"> to an unknown human. </w:t>
      </w:r>
      <w:r w:rsidR="00AA5223" w:rsidRPr="001A7586">
        <w:t xml:space="preserve">Having established a </w:t>
      </w:r>
      <w:r w:rsidR="00AA5223" w:rsidRPr="00E20348">
        <w:rPr>
          <w:bCs/>
        </w:rPr>
        <w:t>negative correlation</w:t>
      </w:r>
      <w:r w:rsidR="00AA5223" w:rsidRPr="001A7586">
        <w:t xml:space="preserve"> between hippocampal glutamate and such responsivity</w:t>
      </w:r>
      <w:r w:rsidR="00DF0576" w:rsidRPr="001A7586">
        <w:rPr>
          <w:rFonts w:cstheme="minorHAnsi"/>
        </w:rPr>
        <w:t>, the second aim (Experiment 2) was to determine if hippocampal glutamate and high-trait anxiety were causally related</w:t>
      </w:r>
      <w:r w:rsidRPr="001A7586">
        <w:rPr>
          <w:rFonts w:cstheme="minorHAnsi"/>
        </w:rPr>
        <w:t xml:space="preserve">. Thus, </w:t>
      </w:r>
      <w:r w:rsidR="009B4BB3" w:rsidRPr="001A7586">
        <w:rPr>
          <w:rFonts w:cstheme="minorHAnsi"/>
        </w:rPr>
        <w:t>we used anatomically-</w:t>
      </w:r>
      <w:r w:rsidR="00C230FF" w:rsidRPr="001A7586">
        <w:rPr>
          <w:rFonts w:cstheme="minorHAnsi"/>
        </w:rPr>
        <w:t>specif</w:t>
      </w:r>
      <w:r w:rsidR="009B4BB3" w:rsidRPr="001A7586">
        <w:rPr>
          <w:rFonts w:cstheme="minorHAnsi"/>
        </w:rPr>
        <w:t>ic intracerebral infusions to</w:t>
      </w:r>
      <w:r w:rsidR="004D067E" w:rsidRPr="001A7586">
        <w:rPr>
          <w:rFonts w:cstheme="minorHAnsi"/>
        </w:rPr>
        <w:t xml:space="preserve"> increase </w:t>
      </w:r>
      <w:r w:rsidR="00C230FF" w:rsidRPr="001A7586">
        <w:rPr>
          <w:rFonts w:cstheme="minorHAnsi"/>
        </w:rPr>
        <w:t xml:space="preserve">presynaptic </w:t>
      </w:r>
      <w:r w:rsidRPr="001A7586">
        <w:rPr>
          <w:rFonts w:cstheme="minorHAnsi"/>
        </w:rPr>
        <w:lastRenderedPageBreak/>
        <w:t>hippocampal glutamate</w:t>
      </w:r>
      <w:r w:rsidR="00C230FF" w:rsidRPr="001A7586">
        <w:rPr>
          <w:rFonts w:cstheme="minorHAnsi"/>
        </w:rPr>
        <w:t xml:space="preserve"> release</w:t>
      </w:r>
      <w:r w:rsidRPr="001A7586">
        <w:rPr>
          <w:rFonts w:cstheme="minorHAnsi"/>
        </w:rPr>
        <w:t xml:space="preserve"> </w:t>
      </w:r>
      <w:r w:rsidR="00EF3CC0" w:rsidRPr="001A7586">
        <w:rPr>
          <w:rFonts w:cstheme="minorHAnsi"/>
        </w:rPr>
        <w:t xml:space="preserve">in high-trait anxious monkeys </w:t>
      </w:r>
      <w:r w:rsidR="004D067E" w:rsidRPr="001A7586">
        <w:rPr>
          <w:rFonts w:cstheme="minorHAnsi"/>
        </w:rPr>
        <w:t xml:space="preserve">and assessed </w:t>
      </w:r>
      <w:r w:rsidR="00C230FF" w:rsidRPr="001A7586">
        <w:rPr>
          <w:rFonts w:cstheme="minorHAnsi"/>
        </w:rPr>
        <w:t xml:space="preserve">its </w:t>
      </w:r>
      <w:r w:rsidRPr="001A7586">
        <w:rPr>
          <w:rFonts w:cstheme="minorHAnsi"/>
        </w:rPr>
        <w:t xml:space="preserve">effectiveness in ameliorating the </w:t>
      </w:r>
      <w:r w:rsidR="00D71B0B" w:rsidRPr="001A7586">
        <w:rPr>
          <w:rFonts w:cstheme="minorHAnsi"/>
        </w:rPr>
        <w:t>behavior</w:t>
      </w:r>
      <w:r w:rsidRPr="001A7586">
        <w:rPr>
          <w:rFonts w:cstheme="minorHAnsi"/>
        </w:rPr>
        <w:t xml:space="preserve">al and cardiovascular correlates of </w:t>
      </w:r>
      <w:r w:rsidR="00C230FF" w:rsidRPr="001A7586">
        <w:rPr>
          <w:rFonts w:cstheme="minorHAnsi"/>
        </w:rPr>
        <w:t>negative emotion</w:t>
      </w:r>
      <w:r w:rsidR="00EF3CC0" w:rsidRPr="001A7586">
        <w:rPr>
          <w:rFonts w:cstheme="minorHAnsi"/>
        </w:rPr>
        <w:t xml:space="preserve"> in </w:t>
      </w:r>
      <w:r w:rsidRPr="001A7586">
        <w:rPr>
          <w:rFonts w:cs="Times New Roman"/>
        </w:rPr>
        <w:t xml:space="preserve">two </w:t>
      </w:r>
      <w:r w:rsidR="00296AFE" w:rsidRPr="001A7586">
        <w:rPr>
          <w:rFonts w:cs="Times New Roman"/>
        </w:rPr>
        <w:t>anxiety tests</w:t>
      </w:r>
      <w:r w:rsidRPr="001A7586">
        <w:rPr>
          <w:rFonts w:cs="Times New Roman"/>
        </w:rPr>
        <w:t xml:space="preserve"> – the human intruder paradigm which measures uncertainty-based </w:t>
      </w:r>
      <w:r w:rsidR="00D71B0B" w:rsidRPr="001A7586">
        <w:rPr>
          <w:rFonts w:cs="Times New Roman"/>
        </w:rPr>
        <w:t>behavior</w:t>
      </w:r>
      <w:r w:rsidRPr="001A7586">
        <w:rPr>
          <w:rFonts w:cs="Times New Roman"/>
        </w:rPr>
        <w:t xml:space="preserve"> </w:t>
      </w:r>
      <w:r w:rsidR="00296AFE" w:rsidRPr="001A7586">
        <w:rPr>
          <w:rFonts w:cs="Times New Roman"/>
        </w:rPr>
        <w:t>in the homecage</w:t>
      </w:r>
      <w:r w:rsidRPr="001A7586">
        <w:rPr>
          <w:rFonts w:cs="Times New Roman"/>
        </w:rPr>
        <w:t>, and an unpredictable threat test</w:t>
      </w:r>
      <w:r w:rsidR="00111E0E" w:rsidRPr="001A7586">
        <w:rPr>
          <w:rFonts w:cs="Times New Roman"/>
        </w:rPr>
        <w:t xml:space="preserve"> presented</w:t>
      </w:r>
      <w:r w:rsidRPr="001A7586">
        <w:rPr>
          <w:rFonts w:cs="Times New Roman"/>
        </w:rPr>
        <w:t xml:space="preserve"> </w:t>
      </w:r>
      <w:r w:rsidR="00111E0E" w:rsidRPr="001A7586">
        <w:rPr>
          <w:rFonts w:cs="Times New Roman"/>
        </w:rPr>
        <w:t>in an automated test apparatus</w:t>
      </w:r>
      <w:r w:rsidR="004D067E" w:rsidRPr="001A7586">
        <w:rPr>
          <w:rFonts w:cs="Times New Roman"/>
        </w:rPr>
        <w:t xml:space="preserve"> which measures real time </w:t>
      </w:r>
      <w:r w:rsidR="00D71B0B" w:rsidRPr="001A7586">
        <w:rPr>
          <w:rFonts w:cs="Times New Roman"/>
        </w:rPr>
        <w:t>behavior</w:t>
      </w:r>
      <w:r w:rsidR="004D067E" w:rsidRPr="001A7586">
        <w:rPr>
          <w:rFonts w:cs="Times New Roman"/>
        </w:rPr>
        <w:t>al</w:t>
      </w:r>
      <w:r w:rsidRPr="001A7586">
        <w:rPr>
          <w:rFonts w:cs="Times New Roman"/>
        </w:rPr>
        <w:t xml:space="preserve"> and cardiovascular </w:t>
      </w:r>
      <w:r w:rsidR="00C230FF" w:rsidRPr="001A7586">
        <w:rPr>
          <w:rFonts w:cs="Times New Roman"/>
        </w:rPr>
        <w:t>responses</w:t>
      </w:r>
      <w:r w:rsidRPr="001A7586">
        <w:rPr>
          <w:rFonts w:cs="Times New Roman"/>
        </w:rPr>
        <w:t xml:space="preserve">. </w:t>
      </w:r>
      <w:r w:rsidR="00AA5223" w:rsidRPr="001A7586">
        <w:t xml:space="preserve">We then determined whether this amelioration </w:t>
      </w:r>
      <w:r w:rsidR="004D067E" w:rsidRPr="001A7586">
        <w:rPr>
          <w:rFonts w:cstheme="minorHAnsi"/>
        </w:rPr>
        <w:t xml:space="preserve"> utilised hippocampal-mPFC circuitry</w:t>
      </w:r>
      <w:r w:rsidR="00AA5223" w:rsidRPr="001A7586">
        <w:rPr>
          <w:rFonts w:cstheme="minorHAnsi"/>
        </w:rPr>
        <w:t>.</w:t>
      </w:r>
    </w:p>
    <w:p w14:paraId="4229A504" w14:textId="77777777" w:rsidR="005741DD" w:rsidRPr="001A7586" w:rsidRDefault="005741DD" w:rsidP="00AF18CF">
      <w:pPr>
        <w:spacing w:after="119" w:line="480" w:lineRule="auto"/>
        <w:jc w:val="both"/>
        <w:rPr>
          <w:b/>
        </w:rPr>
      </w:pPr>
    </w:p>
    <w:p w14:paraId="52AC6ABC" w14:textId="77777777" w:rsidR="005741DD" w:rsidRPr="001A7586" w:rsidRDefault="005741DD" w:rsidP="00AF18CF">
      <w:pPr>
        <w:spacing w:after="119" w:line="480" w:lineRule="auto"/>
        <w:jc w:val="both"/>
        <w:rPr>
          <w:b/>
        </w:rPr>
      </w:pPr>
    </w:p>
    <w:p w14:paraId="0C803D47" w14:textId="77777777" w:rsidR="0006441C" w:rsidRPr="001A7586" w:rsidRDefault="00C265AA" w:rsidP="00AF18CF">
      <w:pPr>
        <w:spacing w:after="119" w:line="480" w:lineRule="auto"/>
        <w:jc w:val="both"/>
        <w:rPr>
          <w:b/>
        </w:rPr>
      </w:pPr>
      <w:r w:rsidRPr="001A7586">
        <w:rPr>
          <w:b/>
        </w:rPr>
        <w:t>Methods</w:t>
      </w:r>
    </w:p>
    <w:p w14:paraId="2EBB8690" w14:textId="77777777" w:rsidR="00C265AA" w:rsidRPr="001A7586" w:rsidRDefault="00C265AA" w:rsidP="00AF18CF">
      <w:pPr>
        <w:spacing w:after="119" w:line="480" w:lineRule="auto"/>
        <w:jc w:val="both"/>
        <w:rPr>
          <w:b/>
          <w:i/>
        </w:rPr>
      </w:pPr>
      <w:r w:rsidRPr="001A7586">
        <w:rPr>
          <w:b/>
          <w:i/>
        </w:rPr>
        <w:t>Animals</w:t>
      </w:r>
    </w:p>
    <w:p w14:paraId="1E751328" w14:textId="59424314" w:rsidR="007917EA" w:rsidRPr="001A7586" w:rsidRDefault="007917EA" w:rsidP="00AF18CF">
      <w:pPr>
        <w:spacing w:after="119" w:line="480" w:lineRule="auto"/>
        <w:jc w:val="both"/>
      </w:pPr>
      <w:r w:rsidRPr="001A7586">
        <w:t>All the marmosets</w:t>
      </w:r>
      <w:r w:rsidRPr="001A7586">
        <w:rPr>
          <w:i/>
        </w:rPr>
        <w:t xml:space="preserve"> </w:t>
      </w:r>
      <w:r w:rsidRPr="001A7586">
        <w:t>(</w:t>
      </w:r>
      <w:r w:rsidRPr="001A7586">
        <w:rPr>
          <w:i/>
        </w:rPr>
        <w:t>Callithrix jacchus</w:t>
      </w:r>
      <w:r w:rsidRPr="001A7586">
        <w:t>)</w:t>
      </w:r>
      <w:r w:rsidRPr="001A7586">
        <w:rPr>
          <w:i/>
        </w:rPr>
        <w:t xml:space="preserve"> </w:t>
      </w:r>
      <w:r w:rsidRPr="001A7586">
        <w:t>used in these studies were bred on</w:t>
      </w:r>
      <w:r w:rsidR="00AA5223" w:rsidRPr="001A7586">
        <w:t xml:space="preserve"> </w:t>
      </w:r>
      <w:r w:rsidRPr="001A7586">
        <w:t xml:space="preserve">site at the University of Cambridge Marmoset Breeding Colony, and were housed in male/female pairs (males were vasectomised). They were kept in a 12 hour light-dark cycle (lights-on at 7am, lights-off at 7pm) in a controlled environment of 22 ± 1ᵒC in temperature and 50 ± 1% humidity. Their cages contained a variety of environmental enrichment aids including boxes to play in, and suspended ladders, wooden branches and ropes to climb and swing on. Animals were fed a varied diet including fruit, rusk, malt loaf, peanuts, eggs, sandwiches and weekend treats and they had </w:t>
      </w:r>
      <w:r w:rsidRPr="001A7586">
        <w:rPr>
          <w:i/>
        </w:rPr>
        <w:t>ad libitum</w:t>
      </w:r>
      <w:r w:rsidRPr="001A7586">
        <w:t xml:space="preserve"> access to water. All procedures were carried out in accordance with the UK Animals (Scientific Procedures) Act 1986 and the University of Cambridge Animal Welfare and Ethical Review Board.</w:t>
      </w:r>
    </w:p>
    <w:p w14:paraId="50547CB4" w14:textId="77777777" w:rsidR="00914F1C" w:rsidRPr="001A7586" w:rsidRDefault="00914F1C" w:rsidP="00AF18CF">
      <w:pPr>
        <w:spacing w:after="119" w:line="480" w:lineRule="auto"/>
        <w:jc w:val="both"/>
        <w:rPr>
          <w:b/>
          <w:i/>
        </w:rPr>
      </w:pPr>
    </w:p>
    <w:p w14:paraId="767B42D1" w14:textId="25A01FA1" w:rsidR="00914F1C" w:rsidRPr="001A7586" w:rsidRDefault="007917EA" w:rsidP="00AF18CF">
      <w:pPr>
        <w:spacing w:after="119" w:line="480" w:lineRule="auto"/>
        <w:jc w:val="both"/>
        <w:rPr>
          <w:b/>
          <w:i/>
        </w:rPr>
      </w:pPr>
      <w:r w:rsidRPr="001A7586">
        <w:rPr>
          <w:b/>
          <w:i/>
        </w:rPr>
        <w:t>Experiment 1</w:t>
      </w:r>
    </w:p>
    <w:p w14:paraId="6131B8AE" w14:textId="77777777" w:rsidR="006476B1" w:rsidRPr="001A7586" w:rsidRDefault="006476B1" w:rsidP="00AF18CF">
      <w:pPr>
        <w:autoSpaceDE w:val="0"/>
        <w:autoSpaceDN w:val="0"/>
        <w:adjustRightInd w:val="0"/>
        <w:spacing w:after="0" w:line="480" w:lineRule="auto"/>
        <w:jc w:val="both"/>
        <w:rPr>
          <w:b/>
          <w:i/>
        </w:rPr>
      </w:pPr>
      <w:r w:rsidRPr="001A7586">
        <w:rPr>
          <w:b/>
          <w:i/>
        </w:rPr>
        <w:t xml:space="preserve">Hippocampal Neurochemical Quantification. </w:t>
      </w:r>
    </w:p>
    <w:p w14:paraId="0CD70FF6" w14:textId="77BBCEF1" w:rsidR="00F57231" w:rsidRPr="001A7586" w:rsidRDefault="006476B1" w:rsidP="00F57231">
      <w:pPr>
        <w:autoSpaceDE w:val="0"/>
        <w:autoSpaceDN w:val="0"/>
        <w:adjustRightInd w:val="0"/>
        <w:spacing w:after="0" w:line="480" w:lineRule="auto"/>
        <w:jc w:val="both"/>
      </w:pPr>
      <w:r w:rsidRPr="001A7586">
        <w:t xml:space="preserve">To assess the contribution of hippocampal neurochemistry to the high-trait anxious phenotype, stored hippocampal </w:t>
      </w:r>
      <w:r w:rsidR="00EC6F89" w:rsidRPr="001A7586">
        <w:t>tissue from</w:t>
      </w:r>
      <w:r w:rsidRPr="001A7586">
        <w:t xml:space="preserve"> 1</w:t>
      </w:r>
      <w:r w:rsidR="00896417" w:rsidRPr="001A7586">
        <w:t>2</w:t>
      </w:r>
      <w:r w:rsidR="00A010C6" w:rsidRPr="001A7586">
        <w:t xml:space="preserve"> </w:t>
      </w:r>
      <w:r w:rsidRPr="001A7586">
        <w:t xml:space="preserve">marmosets </w:t>
      </w:r>
      <w:r w:rsidR="00A010C6" w:rsidRPr="001A7586">
        <w:t xml:space="preserve">(6 male, 6 female) </w:t>
      </w:r>
      <w:r w:rsidRPr="001A7586">
        <w:t xml:space="preserve">with a range of anxiety scores on the human </w:t>
      </w:r>
      <w:r w:rsidRPr="001A7586">
        <w:lastRenderedPageBreak/>
        <w:t xml:space="preserve">intruder test (described below) was </w:t>
      </w:r>
      <w:r w:rsidR="00D8399B" w:rsidRPr="001A7586">
        <w:t>analyzed</w:t>
      </w:r>
      <w:r w:rsidRPr="001A7586">
        <w:t xml:space="preserve">. </w:t>
      </w:r>
      <w:r w:rsidR="00D71B0B" w:rsidRPr="001A7586">
        <w:t>Behavior</w:t>
      </w:r>
      <w:r w:rsidRPr="001A7586">
        <w:t xml:space="preserve">al and cardiovascular data from these marmosets have previously been published elsewhere </w:t>
      </w:r>
      <w:r w:rsidRPr="00E20348">
        <w:fldChar w:fldCharType="begin" w:fldLock="1"/>
      </w:r>
      <w:r w:rsidR="007C1DE8" w:rsidRPr="001A7586">
        <w:instrText>ADDIN CSL_CITATION {"citationItems":[{"id":"ITEM-1","itemData":{"DOI":"10.3389/fnbeh.2014.00137","ISSN":"1662-5153","PMID":"24795587","abstract":"High trait anxiety is a risk factor for the development of anxiety disorders. Like the disorders themselves high trait anxiety has marked phenotypic variation at the level of symptomatology and neural circuits, suggesting that there may be different symptoms and distinct neural circuits associated with risk for these disorders. To address these issues, it is essential to develop reliable animal models of trait anxiety in a non-human primate whose brain bears structural and functional similarity to humans. The present study investigated individual variation in responsivity to fearful and anxiety provoking stimuli in the common marmoset monkey. Seven out of 27 animals failed to display discriminative, conditioned cardiovascular and behavioral responses on an auditory fear discrimination task, similar to that seen in high anxious humans and rodents. Their heightened emotionality to a rubber snake was consistent with the hypothesis that they were high in trait-like anxiety. Evidence for phenotypic variation in the high anxiety group was provided by the finding that discrimination failure was predicted early in conditioning by either hyper-vigilant scanning to the cues or a reduction in blood pressure to the context, i.e., test apparatus. Given that high trait anxiety in humans can be associated with altered prefrontal cognitive functioning and previously we implicated the marmoset anterior orbitofrontal (antOFC) and ventrolateral prefrontal cortex (vlPFC) in negative emotion regulation, we also tested the marmosets on two tests of cognitive flexibility differentially dependent on these two regions. While the high anxious group did not differ overall in their perseverative performance, the two distinct phenotypes were differentially correlated with reduced perseverative responding on the OFC- and vlPFC-dependent flexibility tests. Together, this study provides a new model of trait anxiety in marmosets amenable to analysis of phenotypic variation and neural circuitry.","author":[{"dropping-particle":"","family":"Shiba","given":"Yoshiro","non-dropping-particle":"","parse-names":false,"suffix":""},{"dropping-particle":"","family":"Santangelo","given":"Andrea M","non-dropping-particle":"","parse-names":false,"suffix":""},{"dropping-particle":"","family":"Braesicke","given":"Katrin","non-dropping-particle":"","parse-names":false,"suffix":""},{"dropping-particle":"","family":"Agustín-Pavón","given":"Carmen","non-dropping-particle":"","parse-names":false,"suffix":""},{"dropping-particle":"","family":"Cockcroft","given":"Gemma","non-dropping-particle":"","parse-names":false,"suffix":""},{"dropping-particle":"","family":"Haggard","given":"Mark","non-dropping-particle":"","parse-names":false,"suffix":""},{"dropping-particle":"","family":"Roberts","given":"Angela C","non-dropping-particle":"","parse-names":false,"suffix":""}],"container-title":"Frontiers in behavioral neuroscience","id":"ITEM-1","issued":{"date-parts":[["2014","1"]]},"page":"137","title":"Individual differences in behavioral and cardiovascular reactivity to emotive stimuli and their relationship to cognitive flexibility in a primate model of trait anxiety.","type":"article-journal","volume":"8"},"uris":["http://www.mendeley.com/documents/?uuid=94810cb1-8e65-4185-b965-d227ccc5cf9a"]}],"mendeley":{"formattedCitation":"(Shiba et al., 2014)","plainTextFormattedCitation":"(Shiba et al., 2014)","previouslyFormattedCitation":"(Shiba et al., 2014)"},"properties":{"noteIndex":0},"schema":"https://github.com/citation-style-language/schema/raw/master/csl-citation.json"}</w:instrText>
      </w:r>
      <w:r w:rsidRPr="00E20348">
        <w:fldChar w:fldCharType="separate"/>
      </w:r>
      <w:r w:rsidR="007C1DE8" w:rsidRPr="001A7586">
        <w:rPr>
          <w:noProof/>
        </w:rPr>
        <w:t>(Shiba et al., 2014)</w:t>
      </w:r>
      <w:r w:rsidRPr="00E20348">
        <w:fldChar w:fldCharType="end"/>
      </w:r>
      <w:r w:rsidRPr="001A7586">
        <w:t xml:space="preserve">. After euthanasia, the brain was removed and the anterior two-thirds of the </w:t>
      </w:r>
      <w:r w:rsidR="00F84590" w:rsidRPr="001A7586">
        <w:t xml:space="preserve">left and </w:t>
      </w:r>
      <w:r w:rsidRPr="001A7586">
        <w:t>right hippocampus was visualised, immediately dissected out and flash frozen into liquid nitrogen prior to storage at -80</w:t>
      </w:r>
      <w:r w:rsidRPr="001A7586">
        <w:rPr>
          <w:vertAlign w:val="superscript"/>
        </w:rPr>
        <w:t>o</w:t>
      </w:r>
      <w:r w:rsidRPr="001A7586">
        <w:t xml:space="preserve">C. For analysis, these tissues samples were thawed on ice and homogenised with 500 </w:t>
      </w:r>
      <w:r w:rsidRPr="001A7586">
        <w:rPr>
          <w:rFonts w:cstheme="minorHAnsi"/>
        </w:rPr>
        <w:t>µ</w:t>
      </w:r>
      <w:r w:rsidRPr="001A7586">
        <w:t xml:space="preserve">l of Lysis Buffer NL from the Qiagen Qproteome Nuclear Protein Kit, before 250 </w:t>
      </w:r>
      <w:r w:rsidRPr="001A7586">
        <w:rPr>
          <w:rFonts w:cstheme="minorHAnsi"/>
        </w:rPr>
        <w:t>µ</w:t>
      </w:r>
      <w:r w:rsidRPr="001A7586">
        <w:t xml:space="preserve">l of this sample was </w:t>
      </w:r>
      <w:r w:rsidRPr="001A7586">
        <w:rPr>
          <w:rFonts w:cs="Minion-Regular"/>
        </w:rPr>
        <w:t xml:space="preserve">analyzed using reversed phase high performance liquid chromatography (HPLC) and electrochemical detection for both monoamines and glutamate as described previously </w:t>
      </w:r>
      <w:r w:rsidRPr="00E20348">
        <w:fldChar w:fldCharType="begin" w:fldLock="1"/>
      </w:r>
      <w:r w:rsidR="007C1DE8" w:rsidRPr="001A7586">
        <w:instrText>ADDIN CSL_CITATION {"citationItems":[{"id":"ITEM-1","itemData":{"author":[{"dropping-particle":"","family":"Tsai","given":"T H","non-dropping-particle":"","parse-names":false,"suffix":""},{"dropping-particle":"","family":"Matthews","given":"K","non-dropping-particle":"","parse-names":false,"suffix":""},{"dropping-particle":"","family":"Dalley","given":"J.W.","non-dropping-particle":"","parse-names":false,"suffix":""}],"container-title":"J. Liq. Chrom &amp; Rel. Technol.","id":"ITEM-1","issued":{"date-parts":[["1997"]]},"page":"3039-3047","title":"Determination of glutamate in rat brain microdialysates by microbore liquid chromatography with electrochemical detection","type":"article-journal","volume":"20 (18)"},"uris":["http://www.mendeley.com/documents/?uuid=bf25ed5f-0ad2-4fa0-8f07-ebc76cfa2e93"]},{"id":"ITEM-2","itemData":{"DOI":"10.1126/science.1094987","ISSN":"1095-9203","PMID":"15131308","abstract":"Serotonergic dysregulation within the prefrontal cortex (PFC) is implicated in many neuropsychiatric disorders, but the precise role of serotonin within the PFC is poorly understood. Using a serial discrimination reversal paradigm, we showed that upon reversal, selective serotonin depletion of the marmoset PFC produced perseverative responding to the previously rewarded stimulus without any significant effects on either retention of a discrimination learned preoperatively or acquisition of a novel discrimination postoperatively. These results highlight the importance of prefrontal serotonin in behavioral flexibility and are highly relevant to obsessive-compulsive disorder, schizophrenia, and the cognitive sequelae of drug abuse in which perseveration is prominent.","author":[{"dropping-particle":"","family":"Clarke","given":"H.F. F","non-dropping-particle":"","parse-names":false,"suffix":""},{"dropping-particle":"","family":"Dalley","given":"J.W. W","non-dropping-particle":"","parse-names":false,"suffix":""},{"dropping-particle":"","family":"Crofts","given":"H.S. S","non-dropping-particle":"","parse-names":false,"suffix":""},{"dropping-particle":"","family":"Robbins","given":"T.W. W","non-dropping-particle":"","parse-names":false,"suffix":""},{"dropping-particle":"","family":"Roberts","given":"A.C. C","non-dropping-particle":"","parse-names":false,"suffix":""}],"container-title":"Science (New York, N.Y.)","id":"ITEM-2","issue":"5672","issued":{"date-parts":[["2004","5","7"]]},"page":"878-80","title":"Cognitive inflexibility after prefrontal serotonin depletion.","type":"article-journal","volume":"304"},"uris":["http://www.mendeley.com/documents/?uuid=06b1d5f7-22a7-4e51-bcac-61bf8007ca33"]}],"mendeley":{"formattedCitation":"(Tsai et al., 1997; Clarke et al., 2004)","plainTextFormattedCitation":"(Tsai et al., 1997; Clarke et al., 2004)","previouslyFormattedCitation":"(Tsai et al., 1997; Clarke et al., 2004)"},"properties":{"noteIndex":0},"schema":"https://github.com/citation-style-language/schema/raw/master/csl-citation.json"}</w:instrText>
      </w:r>
      <w:r w:rsidRPr="00E20348">
        <w:fldChar w:fldCharType="separate"/>
      </w:r>
      <w:r w:rsidR="007C1DE8" w:rsidRPr="001A7586">
        <w:rPr>
          <w:noProof/>
        </w:rPr>
        <w:t>(Tsai et al., 1997; Clarke et al., 2004)</w:t>
      </w:r>
      <w:r w:rsidRPr="00E20348">
        <w:fldChar w:fldCharType="end"/>
      </w:r>
      <w:r w:rsidRPr="001A7586">
        <w:rPr>
          <w:rFonts w:cs="Minion-Regular"/>
        </w:rPr>
        <w:t xml:space="preserve">. </w:t>
      </w:r>
      <w:r w:rsidR="00F57231" w:rsidRPr="001A7586">
        <w:rPr>
          <w:rFonts w:cstheme="minorHAnsi"/>
        </w:rPr>
        <w:t xml:space="preserve">Briefly, </w:t>
      </w:r>
      <w:r w:rsidR="00BD145B" w:rsidRPr="00E20348">
        <w:t>monoamines were separated on a C18 silica-based analytical column (10</w:t>
      </w:r>
      <w:r w:rsidR="0098412D" w:rsidRPr="00E20348">
        <w:t xml:space="preserve"> </w:t>
      </w:r>
      <w:r w:rsidR="00BD145B" w:rsidRPr="00E20348">
        <w:t>x</w:t>
      </w:r>
      <w:r w:rsidR="0098412D" w:rsidRPr="00E20348">
        <w:t xml:space="preserve"> </w:t>
      </w:r>
      <w:r w:rsidR="00BD145B" w:rsidRPr="00E20348">
        <w:t>4.6 mm ODS3, Hypersil, Phenomoex, UK) using a mobile phase consisting of 13.6 g/l KH</w:t>
      </w:r>
      <w:r w:rsidR="00BD145B" w:rsidRPr="00E20348">
        <w:rPr>
          <w:vertAlign w:val="subscript"/>
        </w:rPr>
        <w:t>2</w:t>
      </w:r>
      <w:r w:rsidR="00BD145B" w:rsidRPr="00E20348">
        <w:t>PO</w:t>
      </w:r>
      <w:r w:rsidR="00BD145B" w:rsidRPr="00E20348">
        <w:rPr>
          <w:vertAlign w:val="subscript"/>
        </w:rPr>
        <w:t>4</w:t>
      </w:r>
      <w:r w:rsidR="00BD145B" w:rsidRPr="00E20348">
        <w:t>.H</w:t>
      </w:r>
      <w:r w:rsidR="00BD145B" w:rsidRPr="00E20348">
        <w:rPr>
          <w:vertAlign w:val="subscript"/>
        </w:rPr>
        <w:t>2</w:t>
      </w:r>
      <w:r w:rsidR="00BD145B" w:rsidRPr="00E20348">
        <w:t>0, 185 mg/l octane sulphonic acid, 18% methanol (pH 2.75) delivered at 0.8 ml/min by a dual piston pump. Detection was achieved electrochemically using a dual electrode analytical cell and electrochemical detector with electrode 1 set at -150 mV and electrode 2 set at 180 mV with reference to a palladium reference electrode. For the measurement of glutamate, 6</w:t>
      </w:r>
      <w:r w:rsidR="00DC6130" w:rsidRPr="00E20348">
        <w:t xml:space="preserve"> </w:t>
      </w:r>
      <w:r w:rsidR="00BD145B" w:rsidRPr="00E20348">
        <w:t>μL of each sample was reacted with an equal volume of a derivatizing agent containing o‐phthalaldehyde and β‐mercaptoethanol for 2</w:t>
      </w:r>
      <w:r w:rsidR="00DC6130" w:rsidRPr="00E20348">
        <w:t xml:space="preserve"> </w:t>
      </w:r>
      <w:r w:rsidR="00BD145B" w:rsidRPr="00E20348">
        <w:t>min at room temperature. The derivatizing solution was prepared daily by diluting 1</w:t>
      </w:r>
      <w:r w:rsidR="00DC6130" w:rsidRPr="00E20348">
        <w:t xml:space="preserve"> </w:t>
      </w:r>
      <w:r w:rsidR="00BD145B" w:rsidRPr="00E20348">
        <w:t>mL of stock solution containing 27.5</w:t>
      </w:r>
      <w:r w:rsidR="00DC6130" w:rsidRPr="00E20348">
        <w:t xml:space="preserve"> </w:t>
      </w:r>
      <w:r w:rsidR="00BD145B" w:rsidRPr="00E20348">
        <w:t>mg o‐phthalaldehyde, 1</w:t>
      </w:r>
      <w:r w:rsidR="00DC6130" w:rsidRPr="00E20348">
        <w:t xml:space="preserve"> </w:t>
      </w:r>
      <w:r w:rsidR="00BD145B" w:rsidRPr="00E20348">
        <w:t>mL methanol, 5</w:t>
      </w:r>
      <w:r w:rsidR="00DC6130" w:rsidRPr="00E20348">
        <w:t xml:space="preserve"> </w:t>
      </w:r>
      <w:r w:rsidR="00BD145B" w:rsidRPr="00E20348">
        <w:t>μL β‐mercaptoethanol and 9</w:t>
      </w:r>
      <w:r w:rsidR="00DC6130" w:rsidRPr="00E20348">
        <w:t xml:space="preserve"> </w:t>
      </w:r>
      <w:r w:rsidR="00BD145B" w:rsidRPr="00E20348">
        <w:t>mL 0.4</w:t>
      </w:r>
      <w:r w:rsidR="00DC6130" w:rsidRPr="00E20348">
        <w:t xml:space="preserve"> M</w:t>
      </w:r>
      <w:r w:rsidR="00BD145B" w:rsidRPr="00E20348">
        <w:t xml:space="preserve"> potassium tetraborate buffer (pH</w:t>
      </w:r>
      <w:r w:rsidR="00DC6130" w:rsidRPr="00E20348">
        <w:t xml:space="preserve"> </w:t>
      </w:r>
      <w:r w:rsidR="00BD145B" w:rsidRPr="00E20348">
        <w:t>10.4) in 3</w:t>
      </w:r>
      <w:r w:rsidR="00DC6130" w:rsidRPr="00E20348">
        <w:t xml:space="preserve"> </w:t>
      </w:r>
      <w:r w:rsidR="00BD145B" w:rsidRPr="00E20348">
        <w:t>mL of potassium tetraborate buffer. Glutamate was detected by HPLC and fluorescence detection (CMA 280) with excitation and emission wavelengths of 315–370</w:t>
      </w:r>
      <w:r w:rsidR="00BD48C3" w:rsidRPr="00E20348">
        <w:t xml:space="preserve"> </w:t>
      </w:r>
      <w:r w:rsidR="00BD145B" w:rsidRPr="00E20348">
        <w:t>nm and 395–545</w:t>
      </w:r>
      <w:r w:rsidR="00DC6130" w:rsidRPr="00E20348">
        <w:t xml:space="preserve"> </w:t>
      </w:r>
      <w:r w:rsidR="00BD145B" w:rsidRPr="00E20348">
        <w:t>nm, respectively. Separation was achieved at 24°C using a Hypersil ODS 5</w:t>
      </w:r>
      <w:r w:rsidR="00DC6130" w:rsidRPr="00E20348">
        <w:t xml:space="preserve"> </w:t>
      </w:r>
      <w:r w:rsidR="00BD145B" w:rsidRPr="00E20348">
        <w:t>μm analytical column (80</w:t>
      </w:r>
      <w:r w:rsidR="00DC6130" w:rsidRPr="00E20348">
        <w:t xml:space="preserve"> </w:t>
      </w:r>
      <w:r w:rsidR="00BD145B" w:rsidRPr="00E20348">
        <w:t>×</w:t>
      </w:r>
      <w:r w:rsidR="00DC6130" w:rsidRPr="00E20348">
        <w:t xml:space="preserve"> </w:t>
      </w:r>
      <w:r w:rsidR="00BD145B" w:rsidRPr="00E20348">
        <w:t>4.6</w:t>
      </w:r>
      <w:r w:rsidR="00DC6130" w:rsidRPr="00E20348">
        <w:t xml:space="preserve"> </w:t>
      </w:r>
      <w:r w:rsidR="00BD145B" w:rsidRPr="00E20348">
        <w:t>mm; HPLC Technology, UK), and a mobile phase consisting of 100</w:t>
      </w:r>
      <w:r w:rsidR="00DC6130" w:rsidRPr="00E20348">
        <w:t xml:space="preserve"> </w:t>
      </w:r>
      <w:r w:rsidR="00BD145B" w:rsidRPr="00E20348">
        <w:t>mm Na</w:t>
      </w:r>
      <w:r w:rsidR="00BD145B" w:rsidRPr="00E20348">
        <w:rPr>
          <w:vertAlign w:val="subscript"/>
        </w:rPr>
        <w:t>2</w:t>
      </w:r>
      <w:r w:rsidR="00BD145B" w:rsidRPr="00E20348">
        <w:t>HPO</w:t>
      </w:r>
      <w:r w:rsidR="00BD145B" w:rsidRPr="00E20348">
        <w:rPr>
          <w:vertAlign w:val="subscript"/>
        </w:rPr>
        <w:t>4</w:t>
      </w:r>
      <w:r w:rsidR="00BD145B" w:rsidRPr="00E20348">
        <w:t xml:space="preserve"> and 30% methanol, adjusted to pH</w:t>
      </w:r>
      <w:r w:rsidR="00DC6130" w:rsidRPr="00E20348">
        <w:t xml:space="preserve"> </w:t>
      </w:r>
      <w:r w:rsidR="00BD145B" w:rsidRPr="00E20348">
        <w:t>6.38 with orthophosphoric acid, which was delivered at 1</w:t>
      </w:r>
      <w:r w:rsidR="00DC6130" w:rsidRPr="00E20348">
        <w:t xml:space="preserve"> </w:t>
      </w:r>
      <w:r w:rsidR="00BD145B" w:rsidRPr="00E20348">
        <w:t>mL/min. Before use, the buffer was filtered through a 0.</w:t>
      </w:r>
      <w:r w:rsidR="00BD48C3" w:rsidRPr="00E20348">
        <w:t>2</w:t>
      </w:r>
      <w:r w:rsidR="00DC6130" w:rsidRPr="00E20348">
        <w:t xml:space="preserve"> </w:t>
      </w:r>
      <w:r w:rsidR="00BD145B" w:rsidRPr="00E20348">
        <w:t xml:space="preserve">μm filter under vacuum. </w:t>
      </w:r>
      <w:r w:rsidR="00F57231" w:rsidRPr="00E20348">
        <w:rPr>
          <w:rFonts w:cstheme="minorHAnsi"/>
        </w:rPr>
        <w:t>The HPLC systems was calibrated using standards containing known amounts of monoamines and glutamate</w:t>
      </w:r>
      <w:r w:rsidR="00BD145B" w:rsidRPr="00E20348">
        <w:rPr>
          <w:rFonts w:cstheme="minorHAnsi"/>
        </w:rPr>
        <w:t xml:space="preserve">. </w:t>
      </w:r>
      <w:r w:rsidR="00BD145B" w:rsidRPr="00E20348">
        <w:t>Data were acquired on‐line</w:t>
      </w:r>
      <w:r w:rsidR="00F57231" w:rsidRPr="00E20348">
        <w:rPr>
          <w:rFonts w:cstheme="minorHAnsi"/>
        </w:rPr>
        <w:t xml:space="preserve"> and the</w:t>
      </w:r>
      <w:r w:rsidR="00F57231" w:rsidRPr="001A7586">
        <w:rPr>
          <w:rFonts w:cs="Minion-Regular"/>
        </w:rPr>
        <w:t xml:space="preserve"> signals were integrated using Chromeleon software (v6.2, Dionex). The resulting monoamine and glutamate levels of each animal were then compared to their anxiety scores. </w:t>
      </w:r>
    </w:p>
    <w:p w14:paraId="0CEBEDC5" w14:textId="77777777" w:rsidR="006476B1" w:rsidRPr="001A7586" w:rsidRDefault="006476B1" w:rsidP="00AF18CF">
      <w:pPr>
        <w:autoSpaceDE w:val="0"/>
        <w:autoSpaceDN w:val="0"/>
        <w:adjustRightInd w:val="0"/>
        <w:spacing w:after="0" w:line="480" w:lineRule="auto"/>
        <w:jc w:val="both"/>
      </w:pPr>
    </w:p>
    <w:p w14:paraId="520D44A1" w14:textId="77777777" w:rsidR="006476B1" w:rsidRPr="001A7586" w:rsidRDefault="006476B1" w:rsidP="00AF18CF">
      <w:pPr>
        <w:autoSpaceDE w:val="0"/>
        <w:autoSpaceDN w:val="0"/>
        <w:adjustRightInd w:val="0"/>
        <w:spacing w:after="0" w:line="480" w:lineRule="auto"/>
        <w:jc w:val="both"/>
      </w:pPr>
    </w:p>
    <w:p w14:paraId="620EB8D1" w14:textId="77777777" w:rsidR="006476B1" w:rsidRPr="001A7586" w:rsidRDefault="006476B1" w:rsidP="00AF18CF">
      <w:pPr>
        <w:spacing w:line="480" w:lineRule="auto"/>
        <w:jc w:val="both"/>
        <w:rPr>
          <w:b/>
        </w:rPr>
      </w:pPr>
      <w:r w:rsidRPr="001A7586">
        <w:rPr>
          <w:b/>
        </w:rPr>
        <w:t>Experiment 2</w:t>
      </w:r>
    </w:p>
    <w:p w14:paraId="69D50C14" w14:textId="6FBFFCBB" w:rsidR="006476B1" w:rsidRPr="001A7586" w:rsidRDefault="006476B1" w:rsidP="00AF18CF">
      <w:pPr>
        <w:spacing w:line="480" w:lineRule="auto"/>
        <w:jc w:val="both"/>
      </w:pPr>
      <w:r w:rsidRPr="001A7586">
        <w:t xml:space="preserve">To determine whether increases in hippocampal glutamate activity could ameliorate the </w:t>
      </w:r>
      <w:r w:rsidR="00D71B0B" w:rsidRPr="001A7586">
        <w:t>behavior</w:t>
      </w:r>
      <w:r w:rsidRPr="001A7586">
        <w:t xml:space="preserve">al and cardiovascular responses associated with high-trait anxiety, we performed two </w:t>
      </w:r>
      <w:r w:rsidR="00D71B0B" w:rsidRPr="001A7586">
        <w:t>behavior</w:t>
      </w:r>
      <w:r w:rsidRPr="001A7586">
        <w:t xml:space="preserve">al experiments on marmosets that had been characterised as </w:t>
      </w:r>
      <w:r w:rsidR="00A010C6" w:rsidRPr="001A7586">
        <w:t>high anxious (described below).</w:t>
      </w:r>
      <w:r w:rsidRPr="001A7586">
        <w:t xml:space="preserve"> In Experiment 2a we investigated the effects of selectively increasing aHipp glutamate levels on </w:t>
      </w:r>
      <w:r w:rsidR="00D71B0B" w:rsidRPr="001A7586">
        <w:t>behavior</w:t>
      </w:r>
      <w:r w:rsidRPr="001A7586">
        <w:t>al performance in the human intruder test in six animals</w:t>
      </w:r>
      <w:r w:rsidR="00A010C6" w:rsidRPr="001A7586">
        <w:t xml:space="preserve"> (3 males, 3 females)</w:t>
      </w:r>
      <w:r w:rsidRPr="001A7586">
        <w:t>.  In Experiment 2b, in 6 animals (4 of which also contributed to Expt 2a</w:t>
      </w:r>
      <w:r w:rsidR="00A010C6" w:rsidRPr="001A7586">
        <w:t>; 2 females, 4 males</w:t>
      </w:r>
      <w:r w:rsidRPr="001A7586">
        <w:t xml:space="preserve">), we investigated the </w:t>
      </w:r>
      <w:r w:rsidR="00D71B0B" w:rsidRPr="001A7586">
        <w:t>behavior</w:t>
      </w:r>
      <w:r w:rsidRPr="001A7586">
        <w:t>al and cardiovascular effects of selectively increasing aHipp glutamate levels in an unpredictable threat test, and also investigated the contribution of mPFC regions 25 and 32 to these effects</w:t>
      </w:r>
      <w:r w:rsidR="00EE12FB" w:rsidRPr="001A7586">
        <w:t xml:space="preserve"> (see Table 1)</w:t>
      </w:r>
      <w:r w:rsidRPr="001A7586">
        <w:t>.</w:t>
      </w:r>
    </w:p>
    <w:p w14:paraId="5D08AE06" w14:textId="0AC66728" w:rsidR="006F3052" w:rsidRPr="001A7586" w:rsidRDefault="006F3052" w:rsidP="00AF18CF">
      <w:pPr>
        <w:spacing w:line="480" w:lineRule="auto"/>
        <w:jc w:val="both"/>
      </w:pPr>
      <w:r w:rsidRPr="001A7586">
        <w:t xml:space="preserve">To allow the selective anatomical manipulation of either the aHipp and/or areas 25 and 32, all ten animals in Experiment 2 underwent an aseptic surgical procedure to implant intracerebral cannulae targeting either the aHipp alone, or the aHipp and areas 25 and 32.  Of these, the six animals who also undertook Experiment 2B, had another surgery to implant a telemetric blood pressure </w:t>
      </w:r>
      <w:r w:rsidRPr="001A7586">
        <w:rPr>
          <w:rStyle w:val="Emphasis"/>
          <w:i w:val="0"/>
        </w:rPr>
        <w:t>monitor into the descending aorta. Both surgeries were completed prior to the animals be</w:t>
      </w:r>
      <w:r w:rsidR="00FB1517" w:rsidRPr="001A7586">
        <w:rPr>
          <w:rStyle w:val="Emphasis"/>
          <w:i w:val="0"/>
        </w:rPr>
        <w:t xml:space="preserve">ginning any </w:t>
      </w:r>
      <w:r w:rsidR="00D71B0B" w:rsidRPr="001A7586">
        <w:rPr>
          <w:rStyle w:val="Emphasis"/>
          <w:i w:val="0"/>
        </w:rPr>
        <w:t>behavior</w:t>
      </w:r>
      <w:r w:rsidR="00FB1517" w:rsidRPr="001A7586">
        <w:rPr>
          <w:rStyle w:val="Emphasis"/>
          <w:i w:val="0"/>
        </w:rPr>
        <w:t>al testing.</w:t>
      </w:r>
    </w:p>
    <w:p w14:paraId="400F51BE" w14:textId="77777777" w:rsidR="00D516A6" w:rsidRPr="001A7586" w:rsidRDefault="00D516A6" w:rsidP="00AF18CF">
      <w:pPr>
        <w:spacing w:after="119" w:line="480" w:lineRule="auto"/>
        <w:jc w:val="both"/>
        <w:rPr>
          <w:b/>
          <w:i/>
        </w:rPr>
      </w:pPr>
      <w:r w:rsidRPr="001A7586">
        <w:rPr>
          <w:b/>
          <w:i/>
        </w:rPr>
        <w:t>Cannulation</w:t>
      </w:r>
      <w:r w:rsidR="000271CE" w:rsidRPr="001A7586">
        <w:rPr>
          <w:b/>
          <w:i/>
        </w:rPr>
        <w:t xml:space="preserve"> Surgery</w:t>
      </w:r>
    </w:p>
    <w:p w14:paraId="18D5ACF4" w14:textId="2614FA3D" w:rsidR="006F3052" w:rsidRPr="001A7586" w:rsidRDefault="00D516A6" w:rsidP="00AF18CF">
      <w:pPr>
        <w:pStyle w:val="CommentText"/>
        <w:spacing w:line="480" w:lineRule="auto"/>
        <w:jc w:val="both"/>
        <w:rPr>
          <w:rFonts w:cs="AdvOT118e7927"/>
          <w:sz w:val="22"/>
          <w:szCs w:val="22"/>
        </w:rPr>
      </w:pPr>
      <w:r w:rsidRPr="001A7586">
        <w:rPr>
          <w:sz w:val="22"/>
          <w:szCs w:val="22"/>
        </w:rPr>
        <w:t xml:space="preserve">Marmosets were pre-medicated with ketamine hydrochloride (Vetalar; 0.05 ml of a 100 mg solution, i.m.; Amersham Biosciences and Upjohn, Crawley, UK) before being given a long lasting non-steroidal, anti-inflammatory analgesic (Carprieve; 0.03ml of 50mg/ml carprofen, s.c; Pfizer, Kent, UK). They were </w:t>
      </w:r>
      <w:r w:rsidRPr="001A7586">
        <w:rPr>
          <w:rFonts w:cs="Times New Roman"/>
          <w:sz w:val="22"/>
          <w:szCs w:val="22"/>
        </w:rPr>
        <w:t>intubated and maintained on 2.0–2.5% isoflurane in 0.3 l/min O</w:t>
      </w:r>
      <w:r w:rsidRPr="001A7586">
        <w:rPr>
          <w:rFonts w:cs="Times New Roman"/>
          <w:sz w:val="22"/>
          <w:szCs w:val="22"/>
          <w:vertAlign w:val="subscript"/>
        </w:rPr>
        <w:t>2</w:t>
      </w:r>
      <w:r w:rsidRPr="001A7586">
        <w:rPr>
          <w:rFonts w:cs="Times New Roman"/>
          <w:sz w:val="22"/>
          <w:szCs w:val="22"/>
        </w:rPr>
        <w:t xml:space="preserve"> and placed into a stereotaxic frame modified for the marmoset (David Kopf, Tujanga, CA). Pulse-rate, O</w:t>
      </w:r>
      <w:r w:rsidRPr="001A7586">
        <w:rPr>
          <w:rFonts w:cs="Times New Roman"/>
          <w:sz w:val="22"/>
          <w:szCs w:val="22"/>
          <w:vertAlign w:val="subscript"/>
        </w:rPr>
        <w:t>2</w:t>
      </w:r>
      <w:r w:rsidRPr="001A7586">
        <w:rPr>
          <w:rFonts w:cs="Times New Roman"/>
          <w:sz w:val="22"/>
          <w:szCs w:val="22"/>
        </w:rPr>
        <w:t xml:space="preserve"> saturation, breathing rate, and CO</w:t>
      </w:r>
      <w:r w:rsidRPr="001A7586">
        <w:rPr>
          <w:rFonts w:cs="Times New Roman"/>
          <w:sz w:val="22"/>
          <w:szCs w:val="22"/>
          <w:vertAlign w:val="subscript"/>
        </w:rPr>
        <w:t xml:space="preserve">2 </w:t>
      </w:r>
      <w:r w:rsidRPr="001A7586">
        <w:rPr>
          <w:rFonts w:cs="Times New Roman"/>
          <w:sz w:val="22"/>
          <w:szCs w:val="22"/>
        </w:rPr>
        <w:t xml:space="preserve">saturation were all monitored by pulse-oximetry and capnography (Microcap Handheld </w:t>
      </w:r>
      <w:r w:rsidRPr="001A7586">
        <w:rPr>
          <w:rFonts w:cs="Times New Roman"/>
          <w:sz w:val="22"/>
          <w:szCs w:val="22"/>
        </w:rPr>
        <w:lastRenderedPageBreak/>
        <w:t xml:space="preserve">Capnograph, Oridion Capnography Inc., MA, USA), and core body temperature was monitored by a rectal thermometer (TES-1319 K-type digital thermometer, TES Electrical Electronic Corp., Taipei, Taiwan). </w:t>
      </w:r>
      <w:r w:rsidRPr="001A7586">
        <w:rPr>
          <w:rFonts w:cs="AdvOT118e7927"/>
          <w:sz w:val="22"/>
          <w:szCs w:val="22"/>
        </w:rPr>
        <w:t xml:space="preserve">Cannulae (Plastics One, Roanoke, VA) were implanted into </w:t>
      </w:r>
      <w:r w:rsidR="007D2382" w:rsidRPr="001A7586">
        <w:rPr>
          <w:rFonts w:cstheme="minorHAnsi"/>
          <w:sz w:val="22"/>
          <w:szCs w:val="22"/>
        </w:rPr>
        <w:t>area 25 [double 7-mm-long cannulae, 1 mm apart, anteroposterior (AP) + 14, lateromedial (LM ± 0.5), area 32 (double 2mm long cannulae, 1mm apart; AP +17; LM ± 0.5 at a 30</w:t>
      </w:r>
      <w:r w:rsidR="007D2382" w:rsidRPr="001A7586">
        <w:rPr>
          <w:rFonts w:cstheme="minorHAnsi"/>
          <w:sz w:val="22"/>
          <w:szCs w:val="22"/>
          <w:vertAlign w:val="superscript"/>
        </w:rPr>
        <w:t>0</w:t>
      </w:r>
      <w:r w:rsidR="007D2382" w:rsidRPr="001A7586">
        <w:rPr>
          <w:rFonts w:cstheme="minorHAnsi"/>
          <w:sz w:val="22"/>
          <w:szCs w:val="22"/>
        </w:rPr>
        <w:t xml:space="preserve"> AP angle) and the anterior hippocampus (double 15-mm-long cannula, 1 mm apart, AP + 6, LM ± 5.75/7.75, ventral + 5) </w:t>
      </w:r>
      <w:r w:rsidRPr="001A7586">
        <w:rPr>
          <w:sz w:val="22"/>
          <w:szCs w:val="22"/>
        </w:rPr>
        <w:t xml:space="preserve"> </w:t>
      </w:r>
      <w:r w:rsidR="007D2382" w:rsidRPr="001A7586">
        <w:rPr>
          <w:sz w:val="22"/>
          <w:szCs w:val="22"/>
        </w:rPr>
        <w:t xml:space="preserve">with coordinates </w:t>
      </w:r>
      <w:r w:rsidRPr="001A7586">
        <w:rPr>
          <w:rFonts w:cs="AdvOT118e7927"/>
          <w:sz w:val="22"/>
          <w:szCs w:val="22"/>
        </w:rPr>
        <w:t xml:space="preserve">adjusted where necessary in situ according to cortical depth </w:t>
      </w:r>
      <w:r w:rsidRPr="00E20348">
        <w:rPr>
          <w:rFonts w:cs="AdvOT118e7927"/>
          <w:sz w:val="22"/>
          <w:szCs w:val="22"/>
        </w:rPr>
        <w:fldChar w:fldCharType="begin" w:fldLock="1"/>
      </w:r>
      <w:r w:rsidR="007C1DE8" w:rsidRPr="001A7586">
        <w:rPr>
          <w:rFonts w:cs="AdvOT118e7927"/>
          <w:sz w:val="22"/>
          <w:szCs w:val="22"/>
        </w:rPr>
        <w:instrText>ADDIN CSL_CITATION {"citationItems":[{"id":"ITEM-1","itemData":{"PMID":"17335041","abstract":"The cortical and subcortical forebrain connections of the marmoset prefrontal cortex (PFC) were examined by injecting the retrograde tracer, choleratoxin, and the anterograde tracer, biotin dextran amine, into four sites within the PFC. Two of the sites, the lateral and orbital regions, had previously been shown to provide functionally dissociable contributions to distinct forms of behavioral flexibility, attentional set-shifting and discrimination reversal learning, respectively. The dysgranular and agranular regions lying on the orbital and medial surfaces of the frontal lobes were most closely connected with limbic structures including cingulate cortex, amygdala, parahippocampal cortex, subiculum, hippocampus, hypothalamus, medial caudate nucleus, and nucleus accumbens as well as the magnocellular division of the mediodorsal nucleus of the thalamus and midline thalamic nuclei, consistent with findings in the rhesus monkey. In contrast, the granular region on the dorsal surface closely resembled area 8Ad in macaques and had connections restricted to posterior parietal cortex primarily associated with visuospatial functions. However, it also had connections with limbic cortex, including retrosplenial and caudal cingulate cortex as well as auditory processing regions in the superior temporal cortex. The granular region on the lateral convexity had the most extensive connections. Based on its architectonics and functionality, it resembled areas 12/45 in macaques. It had connections with high-order visual processing regions in the inferotemporal cortex and posterior parietal cortex, higher-order auditory and polymodal processing regions in the superior temporal cortex. In addition it had extensive connections with limbic regions including the amygdala, parahippocampal cortex, cingulate, and retrosplenial cortex.","author":[{"dropping-particle":"","family":"Roberts","given":"A C","non-dropping-particle":"","parse-names":false,"suffix":""},{"dropping-particle":"","family":"Tomic","given":"D L","non-dropping-particle":"","parse-names":false,"suffix":""},{"dropping-particle":"","family":"Parkinson","given":"C H","non-dropping-particle":"","parse-names":false,"suffix":""},{"dropping-particle":"","family":"Roeling","given":"T A","non-dropping-particle":"","parse-names":false,"suffix":""},{"dropping-particle":"","family":"Cutter","given":"D J","non-dropping-particle":"","parse-names":false,"suffix":""},{"dropping-particle":"","family":"Robbins","given":"T W","non-dropping-particle":"","parse-names":false,"suffix":""},{"dropping-particle":"","family":"Everitt","given":"B J","non-dropping-particle":"","parse-names":false,"suffix":""}],"container-title":"Journal of Comparative Neurology","id":"ITEM-1","issue":"1","issued":{"date-parts":[["2007"]]},"note":"0021-9967 (Print)\nJournal Article\nResearch Support, Non-U.S. Gov't","page":"86-112","title":"Forebrain connectivity of the prefrontal cortex in the marmoset monkey (Callithrix jacchus): an anterograde and retrograde tract-tracing study","type":"article-journal","volume":"502"},"uris":["http://www.mendeley.com/documents/?uuid=5448a0d3-7a08-4b1a-9ea5-d821c4d725a5"]}],"mendeley":{"formattedCitation":"(Roberts et al., 2007)","plainTextFormattedCitation":"(Roberts et al., 2007)","previouslyFormattedCitation":"(Roberts et al., 2007)"},"properties":{"noteIndex":0},"schema":"https://github.com/citation-style-language/schema/raw/master/csl-citation.json"}</w:instrText>
      </w:r>
      <w:r w:rsidRPr="00E20348">
        <w:rPr>
          <w:rFonts w:cs="AdvOT118e7927"/>
          <w:sz w:val="22"/>
          <w:szCs w:val="22"/>
        </w:rPr>
        <w:fldChar w:fldCharType="separate"/>
      </w:r>
      <w:r w:rsidR="007C1DE8" w:rsidRPr="001A7586">
        <w:rPr>
          <w:rFonts w:cs="AdvOT118e7927"/>
          <w:noProof/>
          <w:sz w:val="22"/>
          <w:szCs w:val="22"/>
        </w:rPr>
        <w:t>(Roberts et al., 2007)</w:t>
      </w:r>
      <w:r w:rsidRPr="00E20348">
        <w:rPr>
          <w:rFonts w:cs="AdvOT118e7927"/>
          <w:sz w:val="22"/>
          <w:szCs w:val="22"/>
        </w:rPr>
        <w:fldChar w:fldCharType="end"/>
      </w:r>
      <w:r w:rsidRPr="001A7586">
        <w:rPr>
          <w:rFonts w:cs="AdvOT118e7927"/>
          <w:sz w:val="22"/>
          <w:szCs w:val="22"/>
        </w:rPr>
        <w:t>.</w:t>
      </w:r>
      <w:r w:rsidRPr="001A7586">
        <w:rPr>
          <w:rFonts w:cs="Times New Roman"/>
          <w:sz w:val="22"/>
          <w:szCs w:val="22"/>
        </w:rPr>
        <w:t xml:space="preserve"> </w:t>
      </w:r>
      <w:r w:rsidRPr="001A7586">
        <w:rPr>
          <w:rFonts w:cs="AdvOT118e7927"/>
          <w:sz w:val="22"/>
          <w:szCs w:val="22"/>
        </w:rPr>
        <w:t>Postoperatively, and when fully</w:t>
      </w:r>
      <w:r w:rsidRPr="001A7586">
        <w:rPr>
          <w:rFonts w:cs="Times New Roman"/>
          <w:sz w:val="22"/>
          <w:szCs w:val="22"/>
        </w:rPr>
        <w:t xml:space="preserve"> </w:t>
      </w:r>
      <w:r w:rsidRPr="001A7586">
        <w:rPr>
          <w:rFonts w:cs="AdvOT118e7927"/>
          <w:sz w:val="22"/>
          <w:szCs w:val="22"/>
        </w:rPr>
        <w:t>recovered, all monkeys were returned to their home cage and then received</w:t>
      </w:r>
      <w:r w:rsidRPr="001A7586">
        <w:rPr>
          <w:rFonts w:cs="Times New Roman"/>
          <w:sz w:val="22"/>
          <w:szCs w:val="22"/>
        </w:rPr>
        <w:t xml:space="preserve"> </w:t>
      </w:r>
      <w:r w:rsidRPr="001A7586">
        <w:rPr>
          <w:rFonts w:cs="AdvOT118e7927"/>
          <w:sz w:val="22"/>
          <w:szCs w:val="22"/>
        </w:rPr>
        <w:t>the analgesic meloxicam (0.1 mL of a 1.5 mg/mL oral suspension; Boehringer</w:t>
      </w:r>
      <w:r w:rsidRPr="001A7586">
        <w:rPr>
          <w:rFonts w:cs="Times New Roman"/>
          <w:sz w:val="22"/>
          <w:szCs w:val="22"/>
        </w:rPr>
        <w:t xml:space="preserve"> </w:t>
      </w:r>
      <w:r w:rsidRPr="001A7586">
        <w:rPr>
          <w:rFonts w:cs="AdvOT118e7927"/>
          <w:sz w:val="22"/>
          <w:szCs w:val="22"/>
        </w:rPr>
        <w:t xml:space="preserve">Ingelheim) </w:t>
      </w:r>
      <w:r w:rsidRPr="001A7586">
        <w:rPr>
          <w:sz w:val="22"/>
          <w:szCs w:val="22"/>
        </w:rPr>
        <w:t xml:space="preserve">for 3 days after which they had at least a further 10 days recovery. </w:t>
      </w:r>
      <w:r w:rsidRPr="001A7586">
        <w:rPr>
          <w:rFonts w:cs="AdvOT118e7927"/>
          <w:sz w:val="22"/>
          <w:szCs w:val="22"/>
        </w:rPr>
        <w:t>Cannulae were cleaned</w:t>
      </w:r>
      <w:r w:rsidRPr="001A7586">
        <w:rPr>
          <w:rFonts w:cs="Times New Roman"/>
          <w:sz w:val="22"/>
          <w:szCs w:val="22"/>
        </w:rPr>
        <w:t xml:space="preserve"> </w:t>
      </w:r>
      <w:r w:rsidRPr="001A7586">
        <w:rPr>
          <w:rFonts w:cs="AdvOT118e7927"/>
          <w:sz w:val="22"/>
          <w:szCs w:val="22"/>
        </w:rPr>
        <w:t>every week (and caps and cannula blockers changed) to ensure the cannula</w:t>
      </w:r>
      <w:r w:rsidRPr="001A7586">
        <w:rPr>
          <w:rFonts w:cs="Times New Roman"/>
          <w:sz w:val="22"/>
          <w:szCs w:val="22"/>
        </w:rPr>
        <w:t xml:space="preserve"> </w:t>
      </w:r>
      <w:r w:rsidRPr="001A7586">
        <w:rPr>
          <w:rFonts w:cs="AdvOT118e7927"/>
          <w:sz w:val="22"/>
          <w:szCs w:val="22"/>
        </w:rPr>
        <w:t>site remained free from infection.</w:t>
      </w:r>
    </w:p>
    <w:p w14:paraId="613C2025" w14:textId="77777777" w:rsidR="006F3052" w:rsidRPr="001A7586" w:rsidRDefault="006F3052" w:rsidP="00AF18CF">
      <w:pPr>
        <w:spacing w:after="119" w:line="480" w:lineRule="auto"/>
        <w:jc w:val="both"/>
        <w:rPr>
          <w:b/>
          <w:i/>
        </w:rPr>
      </w:pPr>
      <w:r w:rsidRPr="001A7586">
        <w:rPr>
          <w:b/>
          <w:i/>
        </w:rPr>
        <w:t>Telemetry Surgery</w:t>
      </w:r>
    </w:p>
    <w:p w14:paraId="5858C9A2" w14:textId="25E88068" w:rsidR="006F3052" w:rsidRPr="001A7586" w:rsidRDefault="006F3052" w:rsidP="00AF18CF">
      <w:pPr>
        <w:spacing w:line="480" w:lineRule="auto"/>
        <w:jc w:val="both"/>
      </w:pPr>
      <w:r w:rsidRPr="001A7586">
        <w:t>Animals were anaesthetised as before, the descending aorta was visualised within the abdominal cavity and the probe catheter of a telemetric blood pressure transmitter (Data Sciences International [DSI],</w:t>
      </w:r>
      <w:r w:rsidRPr="001A7586">
        <w:rPr>
          <w:rFonts w:cs="Tahoma"/>
        </w:rPr>
        <w:t xml:space="preserve"> St. Paul, MN, USA</w:t>
      </w:r>
      <w:r w:rsidRPr="001A7586">
        <w:t xml:space="preserve">) implanted into the aorta as described previously </w:t>
      </w:r>
      <w:r w:rsidRPr="00E20348">
        <w:fldChar w:fldCharType="begin" w:fldLock="1"/>
      </w:r>
      <w:r w:rsidR="007C1DE8" w:rsidRPr="001A7586">
        <w:instrText>ADDIN CSL_CITATION {"citationItems":[{"id":"ITEM-1","itemData":{"PMID":"15845101","abstract":"Central to many emotional responses is the accompanying peripheral somatic and autonomic arousal, feedback from which has been hypothesized to enhance emotional memory and to contribute to appraisal processes and decision making, and dysfunction of which may contribute to antisocial behaviour. Whilst peripheral arousal may accompany both positive and negative emotional contexts, its relationship with the former is poorly understood, as are the neural mechanisms underlying such a relationship. The purpose of the present study was to determine the autonomic correlates of anticipation, as well as consumption, of high incentive food, in the freely moving common marmoset and to investigate the contribution of the amygdala to such effects. Blood pressure (BP) and heart rate (HR) were measured remotely by a telemetric device implanted into the descending aorta and behavioural responses were monitored whilst marmosets viewed preferred or non-preferred foods and were then allowed access to eat those foods. A marked rise in blood pressure in unrestrained marmosets was observed in response both to the sight of highly preferred foods (anticipatory period) as well as during the actual consumption of those foods (consummatory period). Excitotoxic lesions of the amygdala abolished the autonomic arousal in the anticipatory period, but spared both the behavioural arousal in the anticipatory period and the autonomic arousal in the consummatory period. Together these data serve as an important step towards understanding the role of autonomic arousal in emotion and its neural underpinnings.","author":[{"dropping-particle":"","family":"Braesicke","given":"K","non-dropping-particle":"","parse-names":false,"suffix":""},{"dropping-particle":"","family":"Parkinson","given":"J A","non-dropping-particle":"","parse-names":false,"suffix":""},{"dropping-particle":"","family":"Reekie","given":"Y","non-dropping-particle":"","parse-names":false,"suffix":""},{"dropping-particle":"","family":"Man","given":"M S","non-dropping-particle":"","parse-names":false,"suffix":""},{"dropping-particle":"","family":"Hopewell","given":"L","non-dropping-particle":"","parse-names":false,"suffix":""},{"dropping-particle":"","family":"Pears","given":"A","non-dropping-particle":"","parse-names":false,"suffix":""},{"dropping-particle":"","family":"Crofts","given":"H","non-dropping-particle":"","parse-names":false,"suffix":""},{"dropping-particle":"","family":"Schnell","given":"C R","non-dropping-particle":"","parse-names":false,"suffix":""},{"dropping-particle":"","family":"Roberts","given":"A C","non-dropping-particle":"","parse-names":false,"suffix":""}],"container-title":"European Journal of Neuroscience","id":"ITEM-1","issue":"6","issued":{"date-parts":[["2005"]]},"note":"0953-816X (Print)\nComparative Study\nJournal Article\nResearch Support, Non-U.S. Gov't","page":"1733-1740","title":"Autonomic arousal in an appetitive context in primates: a behavioural and neural analysis","type":"article-journal","volume":"21"},"uris":["http://www.mendeley.com/documents/?uuid=8a4ee663-edec-4c2a-b662-3936a3a69c1b"]}],"mendeley":{"formattedCitation":"(Braesicke et al., 2005)","plainTextFormattedCitation":"(Braesicke et al., 2005)","previouslyFormattedCitation":"(Braesicke et al., 2005)"},"properties":{"noteIndex":0},"schema":"https://github.com/citation-style-language/schema/raw/master/csl-citation.json"}</w:instrText>
      </w:r>
      <w:r w:rsidRPr="00E20348">
        <w:fldChar w:fldCharType="separate"/>
      </w:r>
      <w:r w:rsidR="007C1DE8" w:rsidRPr="001A7586">
        <w:rPr>
          <w:noProof/>
        </w:rPr>
        <w:t>(Braesicke et al., 2005)</w:t>
      </w:r>
      <w:r w:rsidRPr="00E20348">
        <w:fldChar w:fldCharType="end"/>
      </w:r>
      <w:r w:rsidRPr="001A7586">
        <w:t>. All monkeys received meloxicam as before in addition to prophylactic treatment with amoxicillin and clavulanic acid</w:t>
      </w:r>
      <w:r w:rsidRPr="001A7586">
        <w:rPr>
          <w:rFonts w:cs="Times New Roman"/>
        </w:rPr>
        <w:t xml:space="preserve"> (Synulox; 50mg/ml solution, Pfizer, Kent, UK), for one day before and 6 days after telemetry surgery.</w:t>
      </w:r>
    </w:p>
    <w:p w14:paraId="527BE598" w14:textId="77777777" w:rsidR="006328C4" w:rsidRPr="001A7586" w:rsidRDefault="00D516A6" w:rsidP="00AF18CF">
      <w:pPr>
        <w:spacing w:after="119" w:line="480" w:lineRule="auto"/>
        <w:jc w:val="both"/>
      </w:pPr>
      <w:r w:rsidRPr="001A7586">
        <w:rPr>
          <w:b/>
          <w:i/>
        </w:rPr>
        <w:t>Drug Infusions</w:t>
      </w:r>
      <w:r w:rsidRPr="001A7586">
        <w:t xml:space="preserve"> </w:t>
      </w:r>
    </w:p>
    <w:p w14:paraId="6E579095" w14:textId="49D952B6" w:rsidR="007D2382" w:rsidRPr="001A7586" w:rsidRDefault="006328C4" w:rsidP="00AF18CF">
      <w:pPr>
        <w:spacing w:after="119" w:line="480" w:lineRule="auto"/>
        <w:jc w:val="both"/>
        <w:rPr>
          <w:rFonts w:cs="Times New Roman"/>
        </w:rPr>
      </w:pPr>
      <w:r w:rsidRPr="001A7586">
        <w:rPr>
          <w:rFonts w:cs="AdvOT118e7927"/>
          <w:color w:val="000000" w:themeColor="text1"/>
        </w:rPr>
        <w:t xml:space="preserve">Approximately </w:t>
      </w:r>
      <w:r w:rsidR="00B43F47" w:rsidRPr="001A7586">
        <w:rPr>
          <w:rFonts w:cs="AdvOT118e7927"/>
          <w:color w:val="000000" w:themeColor="text1"/>
        </w:rPr>
        <w:t>once</w:t>
      </w:r>
      <w:r w:rsidRPr="001A7586">
        <w:rPr>
          <w:rFonts w:cs="AdvOT118e7927"/>
          <w:color w:val="000000" w:themeColor="text1"/>
        </w:rPr>
        <w:t xml:space="preserve"> a week </w:t>
      </w:r>
      <w:r w:rsidR="008538C8" w:rsidRPr="001A7586">
        <w:rPr>
          <w:rFonts w:cs="AdvOT118e7927"/>
          <w:color w:val="000000" w:themeColor="text1"/>
        </w:rPr>
        <w:t xml:space="preserve">prior to </w:t>
      </w:r>
      <w:r w:rsidR="00D71B0B" w:rsidRPr="001A7586">
        <w:rPr>
          <w:rFonts w:cs="AdvOT118e7927"/>
          <w:color w:val="000000" w:themeColor="text1"/>
        </w:rPr>
        <w:t>behavior</w:t>
      </w:r>
      <w:r w:rsidR="006F3052" w:rsidRPr="001A7586">
        <w:rPr>
          <w:rFonts w:cs="AdvOT118e7927"/>
          <w:color w:val="000000" w:themeColor="text1"/>
        </w:rPr>
        <w:t xml:space="preserve">al </w:t>
      </w:r>
      <w:r w:rsidRPr="001A7586">
        <w:rPr>
          <w:rFonts w:cs="AdvOT118e7927"/>
          <w:color w:val="000000" w:themeColor="text1"/>
        </w:rPr>
        <w:t xml:space="preserve">testing, animals received infusions of drug or vehicle down the cannulae. </w:t>
      </w:r>
      <w:r w:rsidRPr="001A7586">
        <w:rPr>
          <w:rFonts w:cs="Times New Roman"/>
          <w:color w:val="000000" w:themeColor="text1"/>
        </w:rPr>
        <w:t xml:space="preserve">The use of </w:t>
      </w:r>
      <w:r w:rsidRPr="001A7586">
        <w:rPr>
          <w:rFonts w:cs="AdvOTfbba3ace.B"/>
          <w:color w:val="000000" w:themeColor="text1"/>
        </w:rPr>
        <w:t>chronically implanted cannulae and acute infusions allowed animals to act as their own controls and reduced experimental variation caused by inter-subject differences</w:t>
      </w:r>
      <w:r w:rsidRPr="001A7586">
        <w:rPr>
          <w:rFonts w:cs="Times New Roman"/>
          <w:color w:val="000000" w:themeColor="text1"/>
        </w:rPr>
        <w:t xml:space="preserve">. </w:t>
      </w:r>
      <w:r w:rsidR="00D516A6" w:rsidRPr="001A7586">
        <w:t xml:space="preserve">For all sterile </w:t>
      </w:r>
      <w:r w:rsidRPr="001A7586">
        <w:t>central infusions</w:t>
      </w:r>
      <w:r w:rsidR="00D516A6" w:rsidRPr="001A7586">
        <w:t xml:space="preserve"> the marmoset was held gently in a research</w:t>
      </w:r>
      <w:r w:rsidRPr="001A7586">
        <w:t>er’s hand</w:t>
      </w:r>
      <w:r w:rsidR="00D516A6" w:rsidRPr="001A7586">
        <w:t>, the caps and cannula blockers were removed from the guide, and the site was cleaned with 70% alcohol. A sterile injector (Plastics One) connected to a 2</w:t>
      </w:r>
      <w:r w:rsidR="00D516A6" w:rsidRPr="001A7586">
        <w:rPr>
          <w:rFonts w:cs="Times New Roman"/>
        </w:rPr>
        <w:t xml:space="preserve"> μl</w:t>
      </w:r>
      <w:r w:rsidR="00D516A6" w:rsidRPr="001A7586">
        <w:t xml:space="preserve"> gas tight syringe in a syringe pump was inserted into the guide </w:t>
      </w:r>
      <w:r w:rsidR="00D516A6" w:rsidRPr="001A7586">
        <w:lastRenderedPageBreak/>
        <w:t xml:space="preserve">cannula for </w:t>
      </w:r>
      <w:r w:rsidR="000D467C" w:rsidRPr="001A7586">
        <w:t xml:space="preserve">a 2 minute </w:t>
      </w:r>
      <w:r w:rsidR="00D516A6" w:rsidRPr="001A7586">
        <w:t>drug infusion. Following the infusion, the injector was left in place for a further minute to allow the drug to diffuse before injector removal. Sterile cannula blockers and caps were replaced and the marmoset was returned to its homecage for the</w:t>
      </w:r>
      <w:r w:rsidR="00643B51" w:rsidRPr="001A7586">
        <w:t xml:space="preserve"> </w:t>
      </w:r>
      <w:r w:rsidR="007D2382" w:rsidRPr="001A7586">
        <w:t xml:space="preserve">relevant </w:t>
      </w:r>
      <w:r w:rsidR="00D516A6" w:rsidRPr="001A7586">
        <w:t xml:space="preserve">pre- treatment time. </w:t>
      </w:r>
      <w:r w:rsidR="0067085B" w:rsidRPr="001A7586">
        <w:t xml:space="preserve">To increase glutamate in the hippocampus </w:t>
      </w:r>
      <w:r w:rsidR="00D516A6" w:rsidRPr="001A7586">
        <w:t>1</w:t>
      </w:r>
      <w:r w:rsidR="00D516A6" w:rsidRPr="001A7586">
        <w:rPr>
          <w:rFonts w:cs="Times New Roman"/>
        </w:rPr>
        <w:t xml:space="preserve">μl of a mixture of </w:t>
      </w:r>
      <w:r w:rsidR="00A55DF2" w:rsidRPr="001A7586">
        <w:rPr>
          <w:rFonts w:cs="Times New Roman"/>
        </w:rPr>
        <w:t xml:space="preserve">the mGlu2/3 receptor antagonist </w:t>
      </w:r>
      <w:r w:rsidR="00D516A6" w:rsidRPr="001A7586">
        <w:rPr>
          <w:rFonts w:cs="MinionMM-SemiBoldCondensed"/>
          <w:bCs/>
        </w:rPr>
        <w:t>LY341495 (</w:t>
      </w:r>
      <w:r w:rsidR="00D516A6" w:rsidRPr="001A7586">
        <w:t>1ng/µl</w:t>
      </w:r>
      <w:r w:rsidR="000D467C" w:rsidRPr="001A7586">
        <w:t>; Tocris Bioscience, UK</w:t>
      </w:r>
      <w:r w:rsidR="00D516A6" w:rsidRPr="001A7586">
        <w:rPr>
          <w:rFonts w:cs="MinionMM-SemiBoldCondensed"/>
          <w:bCs/>
        </w:rPr>
        <w:t>), and the GABA</w:t>
      </w:r>
      <w:r w:rsidR="00D516A6" w:rsidRPr="001A7586">
        <w:rPr>
          <w:rFonts w:cs="MinionMM-SemiBoldCondensed"/>
          <w:bCs/>
          <w:vertAlign w:val="subscript"/>
        </w:rPr>
        <w:t>B</w:t>
      </w:r>
      <w:r w:rsidR="00D516A6" w:rsidRPr="001A7586">
        <w:rPr>
          <w:rFonts w:cs="MinionMM-SemiBoldCondensed"/>
          <w:bCs/>
        </w:rPr>
        <w:t xml:space="preserve"> receptor antagonist, CGP52432 (1ng/µl</w:t>
      </w:r>
      <w:r w:rsidR="006D0301" w:rsidRPr="001A7586">
        <w:t>; Tocris Bioscience, UK) ‒ the ‘</w:t>
      </w:r>
      <w:r w:rsidR="003B097F" w:rsidRPr="001A7586">
        <w:t>LY/CGP</w:t>
      </w:r>
      <w:r w:rsidR="006D0301" w:rsidRPr="001A7586">
        <w:t xml:space="preserve"> cocktail’ ‒ </w:t>
      </w:r>
      <w:r w:rsidR="000D467C" w:rsidRPr="001A7586">
        <w:t xml:space="preserve">was bilaterally infused at a rate of </w:t>
      </w:r>
      <w:r w:rsidR="000D467C" w:rsidRPr="001A7586">
        <w:rPr>
          <w:rFonts w:cs="Times New Roman"/>
        </w:rPr>
        <w:t>0.5 μl per minute</w:t>
      </w:r>
      <w:r w:rsidR="000024BE" w:rsidRPr="001A7586">
        <w:rPr>
          <w:rFonts w:cs="Times New Roman"/>
        </w:rPr>
        <w:t>, with a 15 min pre-treatment time</w:t>
      </w:r>
      <w:r w:rsidR="001F3450" w:rsidRPr="001A7586">
        <w:rPr>
          <w:rFonts w:cs="Times New Roman"/>
        </w:rPr>
        <w:t xml:space="preserve"> </w:t>
      </w:r>
      <w:r w:rsidR="001F3450" w:rsidRPr="00E20348">
        <w:rPr>
          <w:rFonts w:cs="Times New Roman"/>
        </w:rPr>
        <w:fldChar w:fldCharType="begin" w:fldLock="1"/>
      </w:r>
      <w:r w:rsidR="007C1DE8" w:rsidRPr="001A7586">
        <w:rPr>
          <w:rFonts w:cs="Times New Roman"/>
        </w:rPr>
        <w:instrText>ADDIN CSL_CITATION {"citationItems":[{"id":"ITEM-1","itemData":{"DOI":"10.1523/JNEUROSCI.1040-12.2012","ISSN":"1529-2401","PMID":"23197707","abstract":"Abnormalities of synaptic transmission and plasticity in the hippocampus represent an integral part of the altered programming triggered by early life stress. Prenatally restraint stressed (PRS) rats develop long-lasting biochemical and behavioral changes, which are the expression of an anxious/depressive-like phenotype. We report here that PRS rats showed a selective impairment of depolarization- or kainate-stimulated glutamate and [(3)H]d-aspartate release in the ventral hippocampus, a region encoding memories related to stress and emotions. GABA release was unaffected in PRS rats. As a consequence of reduced glutamate release, PRS rats were also highly resistant to kainate-induced seizures. Abnormalities of glutamate release were associated with large reductions in the levels of synaptic vesicle-related proteins, such as VAMP (synaptobrevin), syntaxin-1, synaptophysin, synapsin Ia/b and IIa, munc-18, and Rab3A in the ventral hippocampus of PRS rats. Anxiety-like behavior in male PRS (and control) rats was inversely related to the extent of depolarization-evoked glutamate release in the ventral hippocampus. A causal relationship between anxiety-like behavior and reduction in glutamate release was demonstrated using a mixture of the mGlu2/3 receptor antagonist, LY341495, and the GABA(B) receptor antagonist, CGP52432, which was shown to amplify depolarization-evoked [(3)H]d-aspartate release in the ventral hippocampus. Bilateral microinfusion of CGP52432 plus LY341495 in the ventral hippocampus abolished anxiety-like behavior in PRS rats. These findings indicate that an impairment of glutamate release in the ventral hippocampus is a key component of the neuroplastic program induced by PRS, and that strategies aimed at enhancing glutamate release in the ventral hippocampus correct the \"anxious phenotype\" caused by early life stress.","author":[{"dropping-particle":"","family":"Marrocco","given":"Jordan","non-dropping-particle":"","parse-names":false,"suffix":""},{"dropping-particle":"","family":"Mairesse","given":"Jérôme","non-dropping-particle":"","parse-names":false,"suffix":""},{"dropping-particle":"","family":"Ngomba","given":"Richard Teke","non-dropping-particle":"","parse-names":false,"suffix":""},{"dropping-particle":"","family":"Silletti","given":"Viviana","non-dropping-particle":"","parse-names":false,"suffix":""},{"dropping-particle":"","family":"Camp","given":"Gilles","non-dropping-particle":"Van","parse-names":false,"suffix":""},{"dropping-particle":"","family":"Bouwalerh","given":"Hammou","non-dropping-particle":"","parse-names":false,"suffix":""},{"dropping-particle":"","family":"Summa","given":"Maria","non-dropping-particle":"","parse-names":false,"suffix":""},{"dropping-particle":"","family":"Pittaluga","given":"Anna","non-dropping-particle":"","parse-names":false,"suffix":""},{"dropping-particle":"","family":"Nicoletti","given":"Ferdinando","non-dropping-particle":"","parse-names":false,"suffix":""},{"dropping-particle":"","family":"Maccari","given":"Stefania","non-dropping-particle":"","parse-names":false,"suffix":""},{"dropping-particle":"","family":"Morley-Fletcher","given":"Sara","non-dropping-particle":"","parse-names":false,"suffix":""}],"container-title":"The Journal of neuroscience : the official journal of the Society for Neuroscience","id":"ITEM-1","issue":"48","issued":{"date-parts":[["2012","11","28"]]},"page":"17143-54","title":"Anxiety-like behavior of prenatally stressed rats is associated with a selective reduction of glutamate release in the ventral hippocampus.","type":"article-journal","volume":"32"},"uris":["http://www.mendeley.com/documents/?uuid=c43322cd-1bc2-39c8-9a21-5323649356ac"]}],"mendeley":{"formattedCitation":"(Marrocco et al., 2012)","plainTextFormattedCitation":"(Marrocco et al., 2012)","previouslyFormattedCitation":"(Marrocco et al., 2012)"},"properties":{"noteIndex":0},"schema":"https://github.com/citation-style-language/schema/raw/master/csl-citation.json"}</w:instrText>
      </w:r>
      <w:r w:rsidR="001F3450" w:rsidRPr="00E20348">
        <w:rPr>
          <w:rFonts w:cs="Times New Roman"/>
        </w:rPr>
        <w:fldChar w:fldCharType="separate"/>
      </w:r>
      <w:r w:rsidR="007C1DE8" w:rsidRPr="001A7586">
        <w:rPr>
          <w:rFonts w:cs="Times New Roman"/>
          <w:noProof/>
        </w:rPr>
        <w:t>(Marrocco et al., 2012)</w:t>
      </w:r>
      <w:r w:rsidR="001F3450" w:rsidRPr="00E20348">
        <w:rPr>
          <w:rFonts w:cs="Times New Roman"/>
        </w:rPr>
        <w:fldChar w:fldCharType="end"/>
      </w:r>
      <w:r w:rsidR="000D467C" w:rsidRPr="001A7586">
        <w:rPr>
          <w:rFonts w:cs="Times New Roman"/>
        </w:rPr>
        <w:t xml:space="preserve">. </w:t>
      </w:r>
      <w:r w:rsidR="00A55DF2" w:rsidRPr="001A7586">
        <w:rPr>
          <w:rFonts w:cs="Times New Roman"/>
        </w:rPr>
        <w:t>These receptors both act</w:t>
      </w:r>
      <w:r w:rsidR="0067085B" w:rsidRPr="001A7586">
        <w:rPr>
          <w:rFonts w:cs="Times New Roman"/>
        </w:rPr>
        <w:t xml:space="preserve"> to</w:t>
      </w:r>
      <w:r w:rsidR="00A55DF2" w:rsidRPr="001A7586">
        <w:rPr>
          <w:rFonts w:cs="Times New Roman"/>
        </w:rPr>
        <w:t xml:space="preserve"> limit presynaptic glutamate release, and their antagonism therefore acts to increase the amount of glutamate released</w:t>
      </w:r>
      <w:r w:rsidR="0067085B" w:rsidRPr="001A7586">
        <w:rPr>
          <w:rFonts w:cs="Times New Roman"/>
        </w:rPr>
        <w:t xml:space="preserve">. </w:t>
      </w:r>
      <w:r w:rsidR="007D2382" w:rsidRPr="001A7586">
        <w:rPr>
          <w:rFonts w:cs="Times New Roman"/>
        </w:rPr>
        <w:t xml:space="preserve">To inactivate areas 25 or 32 we used </w:t>
      </w:r>
      <w:r w:rsidR="007A7361" w:rsidRPr="001A7586">
        <w:rPr>
          <w:rFonts w:cs="Times New Roman"/>
        </w:rPr>
        <w:t>the GABA</w:t>
      </w:r>
      <w:r w:rsidR="0064527D" w:rsidRPr="001A7586">
        <w:rPr>
          <w:rFonts w:cs="Times New Roman"/>
          <w:vertAlign w:val="subscript"/>
        </w:rPr>
        <w:t xml:space="preserve">A </w:t>
      </w:r>
      <w:r w:rsidR="007A7361" w:rsidRPr="001A7586">
        <w:rPr>
          <w:rFonts w:cs="Times New Roman"/>
        </w:rPr>
        <w:t xml:space="preserve">agonist </w:t>
      </w:r>
      <w:r w:rsidR="007A7361" w:rsidRPr="001A7586">
        <w:rPr>
          <w:rFonts w:cstheme="minorHAnsi"/>
        </w:rPr>
        <w:t xml:space="preserve">muscimol and </w:t>
      </w:r>
      <w:r w:rsidR="0064527D" w:rsidRPr="001A7586">
        <w:rPr>
          <w:rFonts w:cstheme="minorHAnsi"/>
        </w:rPr>
        <w:t>the GABA</w:t>
      </w:r>
      <w:r w:rsidR="0064527D" w:rsidRPr="001A7586">
        <w:rPr>
          <w:rFonts w:cstheme="minorHAnsi"/>
          <w:vertAlign w:val="subscript"/>
        </w:rPr>
        <w:t xml:space="preserve">B </w:t>
      </w:r>
      <w:r w:rsidR="0064527D" w:rsidRPr="001A7586">
        <w:rPr>
          <w:rFonts w:cstheme="minorHAnsi"/>
        </w:rPr>
        <w:t>agonist</w:t>
      </w:r>
      <w:r w:rsidR="0064527D" w:rsidRPr="001A7586">
        <w:rPr>
          <w:rFonts w:cstheme="minorHAnsi"/>
          <w:vertAlign w:val="subscript"/>
        </w:rPr>
        <w:t xml:space="preserve"> </w:t>
      </w:r>
      <w:r w:rsidR="007D2382" w:rsidRPr="001A7586">
        <w:rPr>
          <w:rFonts w:cstheme="minorHAnsi"/>
        </w:rPr>
        <w:t>baclofen (0.5 μl of 0.1 mM muscimol [Sigma, UK]/1.0 mM baclofen [Sigma, UK]) infusion at a rate of 0.25μl/min and a pre-treatment time of 25 mins (‘musbac’).</w:t>
      </w:r>
      <w:r w:rsidR="007A7361" w:rsidRPr="001A7586">
        <w:rPr>
          <w:rFonts w:cs="Times New Roman"/>
        </w:rPr>
        <w:t xml:space="preserve"> Saline infusions </w:t>
      </w:r>
      <w:r w:rsidR="00F72E63" w:rsidRPr="001A7586">
        <w:rPr>
          <w:rFonts w:cs="Times New Roman"/>
        </w:rPr>
        <w:t>acted</w:t>
      </w:r>
      <w:r w:rsidR="007A7361" w:rsidRPr="001A7586">
        <w:rPr>
          <w:rFonts w:cs="Times New Roman"/>
        </w:rPr>
        <w:t xml:space="preserve"> as </w:t>
      </w:r>
      <w:r w:rsidR="00F72E63" w:rsidRPr="001A7586">
        <w:rPr>
          <w:rFonts w:cs="Times New Roman"/>
        </w:rPr>
        <w:t xml:space="preserve">vehicle </w:t>
      </w:r>
      <w:r w:rsidR="007A7361" w:rsidRPr="001A7586">
        <w:rPr>
          <w:rFonts w:cs="Times New Roman"/>
        </w:rPr>
        <w:t>controls.</w:t>
      </w:r>
    </w:p>
    <w:p w14:paraId="5963626B" w14:textId="77777777" w:rsidR="00D516A6" w:rsidRPr="001A7586" w:rsidRDefault="00D516A6" w:rsidP="00AF18CF">
      <w:pPr>
        <w:spacing w:after="119" w:line="480" w:lineRule="auto"/>
        <w:jc w:val="both"/>
      </w:pPr>
    </w:p>
    <w:p w14:paraId="5219D162" w14:textId="5275B821" w:rsidR="007A7361" w:rsidRPr="001A7586" w:rsidRDefault="00D97A08" w:rsidP="00AF18CF">
      <w:pPr>
        <w:spacing w:line="480" w:lineRule="auto"/>
        <w:jc w:val="both"/>
      </w:pPr>
      <w:r w:rsidRPr="001A7586">
        <w:rPr>
          <w:b/>
          <w:i/>
        </w:rPr>
        <w:t>H</w:t>
      </w:r>
      <w:r w:rsidR="004F0AA4" w:rsidRPr="001A7586">
        <w:rPr>
          <w:b/>
          <w:i/>
        </w:rPr>
        <w:t>uman intruder test</w:t>
      </w:r>
    </w:p>
    <w:p w14:paraId="2CDA8D5F" w14:textId="77777777" w:rsidR="007E1AC3" w:rsidRPr="001A7586" w:rsidRDefault="007E1AC3" w:rsidP="00AF18CF">
      <w:pPr>
        <w:spacing w:after="119" w:line="480" w:lineRule="auto"/>
        <w:jc w:val="both"/>
      </w:pPr>
      <w:bookmarkStart w:id="2" w:name="OLE_LINK42"/>
      <w:bookmarkStart w:id="3" w:name="OLE_LINK43"/>
      <w:bookmarkStart w:id="4" w:name="OLE_LINK44"/>
      <w:r w:rsidRPr="001A7586">
        <w:t>Defining a high anxiety trait</w:t>
      </w:r>
    </w:p>
    <w:p w14:paraId="576E3234" w14:textId="071D1E1B" w:rsidR="007E1AC3" w:rsidRPr="001A7586" w:rsidRDefault="007E1AC3" w:rsidP="00AF18CF">
      <w:pPr>
        <w:spacing w:after="119" w:line="480" w:lineRule="auto"/>
        <w:jc w:val="both"/>
      </w:pPr>
      <w:r w:rsidRPr="001A7586">
        <w:t>At approx. 2 years of age, high-trait anxious marmosets were identified accor</w:t>
      </w:r>
      <w:r w:rsidR="00374C2F" w:rsidRPr="001A7586">
        <w:t>ding to their performance on a human intruder t</w:t>
      </w:r>
      <w:r w:rsidRPr="00E20348">
        <w:t>est</w:t>
      </w:r>
      <w:r w:rsidRPr="001A7586">
        <w:t xml:space="preserve"> – a well</w:t>
      </w:r>
      <w:r w:rsidR="00330E12" w:rsidRPr="001A7586">
        <w:t>-</w:t>
      </w:r>
      <w:r w:rsidRPr="001A7586">
        <w:t xml:space="preserve">validated test of uncertainty-based anxiety in primates </w:t>
      </w:r>
      <w:r w:rsidRPr="00E20348">
        <w:fldChar w:fldCharType="begin" w:fldLock="1"/>
      </w:r>
      <w:r w:rsidR="007C1DE8" w:rsidRPr="001A7586">
        <w:instrText>ADDIN CSL_CITATION {"citationItems":[{"id":"ITEM-1","itemData":{"DOI":"10.1016/0091-3057(92)90458-R","ISSN":"0091-3057","abstract":"The effects of the anxiogenic agents FG7142, caffeine, pentylenetetrazole, and amphetamine were assessed in two anxiety situations in the marmoset, first in an “anxiogenic” test based on the animal's response to a human observer standing in front of the home cage and second in a low-anxiety situation where animals behaviour was videotaped in the absence of the observer. In response to the human observer, the anxiolytic agent diazepam (0.1–2.5 mg/kg, SC) was shown to reduce the intensity of behaviours such as postures, while increasing time spent on the cage front. In this test, with the exception of amphetamine, which only modified responding at stereotypic doses, the anxiogenic agents failed to modify marmoset behaviour. In contrast, in the low-anxiety filming protocol the anxiogenic agents consistently reduced measures of locomotor activity while increasing the amount of time animals spent in the nest box. It is suggested that the low-anxiety protocol may be useful to evaluate drug-induced anxiogenesis and in studies of withdrawal from chronic anxiolytic treatment or drugs of abuse.","author":[{"dropping-particle":"","family":"Carey","given":"G. J.","non-dropping-particle":"","parse-names":false,"suffix":""},{"dropping-particle":"","family":"Costall","given":"B.","non-dropping-particle":"","parse-names":false,"suffix":""},{"dropping-particle":"","family":"Domeney","given":"A. M.","non-dropping-particle":"","parse-names":false,"suffix":""},{"dropping-particle":"","family":"Jones","given":"D. N. C.","non-dropping-particle":"","parse-names":false,"suffix":""},{"dropping-particle":"","family":"Naylor","given":"R. J.","non-dropping-particle":"","parse-names":false,"suffix":""}],"container-title":"Pharmacology Biochemistry and Behavior","id":"ITEM-1","issue":"1","issued":{"date-parts":[["1992","5"]]},"page":"143-153","title":"Behavioural effects of anxiogenic agents in the common marmoset","type":"article-journal","volume":"42"},"uris":["http://www.mendeley.com/documents/?uuid=c06f20d2-9fc0-49a9-a47a-b1c3a90cde00"]},{"id":"ITEM-2","itemData":{"DOI":"29/32/9961 [pii]\r10.1523/JNEUROSCI.0795-09.2009","ISBN":"1529-2401 (Electronic)\r0270-6474 (Linking)","PMID":"19675230","abstract":"The serotonin transporter (5-HTT) plays a critical role in regulating serotonergic neurotransmission and is implicated in the pathophysiology of anxiety and affective disorders. Positron emission tomography scans using [(11)C]DASB [(11)C]-3-amino-4-(2-dimethylaminomethylphenylsulfanyl)-benzonitrile] to measure 5-HTT availability (an index of receptor density and binding) were performed in 34 rhesus monkeys in which the relationship between regional brain glucose metabolism and anxious temperament was previously established. 5-HTT availability in the amygdalohippocampal area and bed nucleus of the stria terminalis correlated positively with individual differences in a behavioral and neuroendocrine composite of anxious temperament. 5-HTT availability also correlated positively with stress-induced metabolic activity within these regions. Collectively, these findings suggest that serotonergic modulation of neuronal excitability in the neural circuitry associated with anxiety mediates the developmental risk for affect-related psychopathology.","author":[{"dropping-particle":"","family":"Oler","given":"J A","non-dropping-particle":"","parse-names":false,"suffix":""},{"dropping-particle":"","family":"Fox","given":"A S","non-dropping-particle":"","parse-names":false,"suffix":""},{"dropping-particle":"","family":"Shelton","given":"S E","non-dropping-particle":"","parse-names":false,"suffix":""},{"dropping-particle":"","family":"Christian","given":"B T","non-dropping-particle":"","parse-names":false,"suffix":""},{"dropping-particle":"","family":"Murali","given":"D","non-dropping-particle":"","parse-names":false,"suffix":""},{"dropping-particle":"","family":"Oakes","given":"T R","non-dropping-particle":"","parse-names":false,"suffix":""},{"dropping-particle":"","family":"Davidson","given":"R J","non-dropping-particle":"","parse-names":false,"suffix":""},{"dropping-particle":"","family":"Kalin","given":"N H","non-dropping-particle":"","parse-names":false,"suffix":""}],"container-title":"Journal of Neuroscience","edition":"2009/08/14","id":"ITEM-2","issue":"32","issued":{"date-parts":[["2009"]]},"language":"eng","note":"Oler, Jonathan A\nFox, Andrew S\nShelton, Steven E\nChristian, Bradley T\nMurali, Dhanabalan\nOakes, Terrence R\nDavidson, Richard J\nKalin, Ned H\nMH46729/MH/NIMH NIH HHS/United States\nMH84051/MH/NIMH NIH HHS/United States\nP50 MH084051-020001/MH/NIMH NIH HHS/United States\nR01 MH046729-17/MH/NIMH NIH HHS/United States\nR01 MH081884-03/MH/NIMH NIH HHS/United States\nRR000167/RR/NCRR NIH HHS/United States\nResearch Support, N.I.H., Extramural\nResearch Support, Non-U.S. Gov't\nUnited States\nThe Journal of neuroscience : the official journal of the Society for Neuroscience\nJ Neurosci. 2009 Aug 12;29(32):9961-6.","page":"9961-9966","title":"Serotonin transporter availability in the amygdala and bed nucleus of the stria terminalis predicts anxious temperament and brain glucose metabolic activity","type":"article-journal","volume":"29"},"uris":["http://www.mendeley.com/documents/?uuid=76c35da0-4310-497c-a2d6-fb132fb864e5"]},{"id":"ITEM-3","itemData":{"DOI":"10.1523/JNEUROSCI.5952-09.2010\r30/20/7023 [pii]","ISBN":"1529-2401 (Electronic)\r0270-6474 (Linking)","PMID":"20484644","abstract":"In children, behavioral inhibition (BI) in response to potential threat predicts the development of anxiety and affective disorders, and primate lesion studies suggest involvement of the orbitofrontal cortex (OFC) in mediating BI. Lesion studies are essential for establishing causality in brain-behavior relationships, but should be interpreted cautiously because the impact of a discrete lesion on a complex neural circuit extends beyond the lesion location. Complementary functional imaging methods assessing how lesions influence other parts of the circuit can aid in precisely understanding how lesions affect behavior. Using this combination of approaches in monkeys, we found that OFC lesions concomitantly alter BI and metabolism in the bed nucleus of stria terminalis (BNST) region and that individual differences in BNST activity predict BI. Thus it appears that an important function of the OFC in response to threat is to modulate the BNST, which may more directly influence the expression of BI.","author":[{"dropping-particle":"","family":"Fox","given":"A S","non-dropping-particle":"","parse-names":false,"suffix":""},{"dropping-particle":"","family":"Shelton","given":"S E","non-dropping-particle":"","parse-names":false,"suffix":""},{"dropping-particle":"","family":"Oakes","given":"T R","non-dropping-particle":"","parse-names":false,"suffix":""},{"dropping-particle":"","family":"Converse","given":"A K","non-dropping-particle":"","parse-names":false,"suffix":""},{"dropping-particle":"","family":"Davidson","given":"R J","non-dropping-particle":"","parse-names":false,"suffix":""},{"dropping-particle":"","family":"Kalin","given":"N H","non-dropping-particle":"","parse-names":false,"suffix":""}],"container-title":"Journal of Neuroscience","edition":"2010/05/21","id":"ITEM-3","issue":"20","issued":{"date-parts":[["2010"]]},"language":"eng","note":"From Duplicate 1 (Orbitofrontal cortex lesions alter anxiety-related activity in the primate bed nucleus of stria terminalis - Fox, A S; Shelton, S E; Oakes, T R; Converse, A K; Davidson, R J; Kalin, N H)\n\nFox, Andrew S\nShelton, Steven E\nOakes, Terrence R\nConverse, Alexander K\nDavidson, Richard J\nKalin, Ned H\nMH46729/MH/NIMH NIH HHS/United States\nMH69315/MH/NIMH NIH HHS/United States\nP50 MH069315/MH/NIMH NIH HHS/United States\nP50 MH069315-050002/MH/NIMH NIH HHS/United States\nR01 MH046729/MH/NIMH NIH HHS/United States\nR01 MH046729-17/MH/NIMH NIH HHS/United States\nT32 MH018931-22/MH/NIMH NIH HHS/United States\nT32-MH018931/MH/NIMH NIH HHS/United States\nResearch Support, N.I.H., Extramural\nResearch Support, Non-U.S. Gov't\nUnited States\nThe Journal of neuroscience : the official journal of the Society for Neuroscience\nJ Neurosci. 2010 May 19;30(20):7023-7. doi: 10.1523/JNEUROSCI.5952-09.2010.\n\nFrom Duplicate 2 (Orbitofrontal cortex lesions alter anxiety-related activity in the primate bed nucleus of stria terminalis - Fox, A S; Shelton, S E; Oakes, T R; Converse, A K; Davidson, R J; Kalin, N H)\n\nFox, Andrew S\nShelton, Steven E\nOakes, Terrence R\nConverse, Alexander K\nDavidson, Richard J\nKalin, Ned H\nMH46729/MH/NIMH NIH HHS/United States\nMH69315/MH/NIMH NIH HHS/United States\nP50 MH069315-050002/MH/NIMH NIH HHS/United States\nR01 MH046729-17/MH/NIMH NIH HHS/United States\nT32 MH018931-22/MH/NIMH NIH HHS/United States\nT32-MH018931/MH/NIMH NIH HHS/United States\nResearch Support, N.I.H., Extramural\nResearch Support, Non-U.S. Gov't\nUnited States\nThe Journal of neuroscience : the official journal of the Society for Neuroscience\nJ Neurosci. 2010 May 19;30(20):7023-7.","page":"7023-7027","title":"Orbitofrontal cortex lesions alter anxiety-related activity in the primate bed nucleus of stria terminalis","type":"article-journal","volume":"30"},"uris":["http://www.mendeley.com/documents/?uuid=7be70cbc-226e-49aa-a2ef-cbbc49f8d844"]},{"id":"ITEM-4","itemData":{"DOI":"10.1038/npp.2014.324","ISSN":"0893-133X","PMID":"25586542","abstract":"Trait anxiety is a risk factor for the development and maintenance of affective disorders, and insights into the underlying brain mechanisms are vital for improving treatment and prevention strategies. Translational studies in non-human primates, where targeted neurochemical and genetic manipulations can be made, are critical in view of their close neuroanatomical similarity to humans in brain regions implicated in trait anxiety. Thus, we characterised the serotonergic and regional brain volume correlates of trait-like anxiety in the marmoset monkey. Low- and high-anxious animals were identified by behavioral responses to a human intruder (HI) that are known to be sensitive to anxiolytic drug treatment. Extracellular serotonin levels within the amygdala were measured with in vivo microdialysis, at baseline and in response to challenge with the selective serotonin reuptake inhibitor, citalopram. Regional brain volume was assessed by structural magnetic resonance imaging. Anxious individuals showed persistent, long-term fearful responses to both a HI and a model snake, alongside sustained attention (vigilance) to novel cues in a context associated with unpredictable threat. Neurally, high-anxious marmosets showed reduced amygdala serotonin levels, and smaller volumes in a closely connected prefrontal region, the dorsal anterior cingulate cortex. These findings highlight behavioral and neural similarities between trait-like anxiety in marmosets and humans, and set the stage for further investigation of the processes contributing to vulnerability and resilience to affective disorders.","author":[{"dropping-particle":"","family":"Mikheenko","given":"Yevheniia","non-dropping-particle":"","parse-names":false,"suffix":""},{"dropping-particle":"","family":"Shiba","given":"Yoshiro","non-dropping-particle":"","parse-names":false,"suffix":""},{"dropping-particle":"","family":"Sawiak","given":"Stephen","non-dropping-particle":"","parse-names":false,"suffix":""},{"dropping-particle":"","family":"Braesicke","given":"Katrin","non-dropping-particle":"","parse-names":false,"suffix":""},{"dropping-particle":"","family":"Cockcroft","given":"Gemma","non-dropping-particle":"","parse-names":false,"suffix":""},{"dropping-particle":"","family":"Clarke","given":"Hannah","non-dropping-particle":"","parse-names":false,"suffix":""},{"dropping-particle":"","family":"Roberts","given":"Angela C","non-dropping-particle":"","parse-names":false,"suffix":""}],"container-title":"Neuropsychopharmacology","id":"ITEM-4","issue":"6","issued":{"date-parts":[["2015","5","11"]]},"page":"1395-1404","title":"Serotonergic, Brain Volume and Attentional Correlates of Trait Anxiety in Primates","type":"article-journal","volume":"40"},"uris":["http://www.mendeley.com/documents/?uuid=f05a9ffd-cd56-3925-a49c-0c13b78668e6"]}],"mendeley":{"formattedCitation":"(Carey et al., 1992; Oler et al., 2009; Fox et al., 2010; Mikheenko et al., 2015)","plainTextFormattedCitation":"(Carey et al., 1992; Oler et al., 2009; Fox et al., 2010; Mikheenko et al., 2015)","previouslyFormattedCitation":"(Carey et al., 1992; Oler et al., 2009; Fox et al., 2010; Mikheenko et al., 2015)"},"properties":{"noteIndex":0},"schema":"https://github.com/citation-style-language/schema/raw/master/csl-citation.json"}</w:instrText>
      </w:r>
      <w:r w:rsidRPr="00E20348">
        <w:fldChar w:fldCharType="separate"/>
      </w:r>
      <w:r w:rsidR="007C1DE8" w:rsidRPr="001A7586">
        <w:rPr>
          <w:noProof/>
        </w:rPr>
        <w:t>(Carey et al., 1992; Oler et al., 2009; Fox et al., 2010; Mikheenko et al., 2015)</w:t>
      </w:r>
      <w:r w:rsidRPr="00E20348">
        <w:fldChar w:fldCharType="end"/>
      </w:r>
      <w:r w:rsidRPr="001A7586">
        <w:t xml:space="preserve">.  In the marmoset version of this test, the monkey is </w:t>
      </w:r>
      <w:r w:rsidR="00330E12" w:rsidRPr="001A7586">
        <w:t>confined to</w:t>
      </w:r>
      <w:r w:rsidRPr="001A7586">
        <w:t xml:space="preserve"> the upper right hand quadrant of their cage, away from their cage-mate, and a video camera </w:t>
      </w:r>
      <w:r w:rsidR="00D8399B" w:rsidRPr="001A7586">
        <w:t>focused</w:t>
      </w:r>
      <w:r w:rsidRPr="001A7586">
        <w:t xml:space="preserve"> on their quadrant to allow their </w:t>
      </w:r>
      <w:r w:rsidR="00D71B0B" w:rsidRPr="001A7586">
        <w:t>behavior</w:t>
      </w:r>
      <w:r w:rsidRPr="001A7586">
        <w:t xml:space="preserve"> to be quantified post-test. After an 8 min habituation period, an unfamiliar human </w:t>
      </w:r>
      <w:r w:rsidR="00AE4992" w:rsidRPr="001A7586">
        <w:t>(wearing a</w:t>
      </w:r>
      <w:r w:rsidR="004468A4" w:rsidRPr="001A7586">
        <w:t xml:space="preserve">n unfamiliar </w:t>
      </w:r>
      <w:r w:rsidR="00AE4992" w:rsidRPr="001A7586">
        <w:t xml:space="preserve"> latex human face mask) </w:t>
      </w:r>
      <w:r w:rsidRPr="001A7586">
        <w:t xml:space="preserve">enters the room, stands 30 cm away from the quadrant front and maintains eye contact with the monkey for two minutes </w:t>
      </w:r>
      <w:r w:rsidRPr="00E20348">
        <w:fldChar w:fldCharType="begin" w:fldLock="1"/>
      </w:r>
      <w:r w:rsidR="007C1DE8" w:rsidRPr="001A7586">
        <w:instrText>ADDIN CSL_CITATION {"citationItems":[{"id":"ITEM-1","itemData":{"DOI":"10.1016/j.biopsych.2012.03.007","ISSN":"1873-2402","PMID":"22502990","abstract":"Heightened fear and anxiety are core symptoms of a variety of neuropsychiatric disorders. They are associated with structural and activity changes throughout neural circuitry that includes the ventral and medial prefrontal cortices (PFC), the amygdala, and hippocampus. Although the contributions of the medial PFC, amygdala, and hippocampus to fear and anxiety have been studied extensively with animal models, the selective roles of the ventral PFC-including the ventrolateral prefrontal cortex (vlPFC) and orbitofrontal cortex-are poorly understood.","author":[{"dropping-particle":"","family":"Agustín-Pavón","given":"Carmen","non-dropping-particle":"","parse-names":false,"suffix":""},{"dropping-particle":"","family":"Braesicke","given":"Katrin","non-dropping-particle":"","parse-names":false,"suffix":""},{"dropping-particle":"","family":"Shiba","given":"Yoshiro","non-dropping-particle":"","parse-names":false,"suffix":""},{"dropping-particle":"","family":"Santangelo","given":"Andrea M","non-dropping-particle":"","parse-names":false,"suffix":""},{"dropping-particle":"","family":"Mikheenko","given":"Yevheniia","non-dropping-particle":"","parse-names":false,"suffix":""},{"dropping-particle":"","family":"Cockroft","given":"Gemma","non-dropping-particle":"","parse-names":false,"suffix":""},{"dropping-particle":"","family":"Asma","given":"Faaiza","non-dropping-particle":"","parse-names":false,"suffix":""},{"dropping-particle":"","family":"Clarke","given":"Hannah","non-dropping-particle":"","parse-names":false,"suffix":""},{"dropping-particle":"","family":"Man","given":"Mei-See","non-dropping-particle":"","parse-names":false,"suffix":""},{"dropping-particle":"","family":"Roberts","given":"Angela C","non-dropping-particle":"","parse-names":false,"suffix":""}],"container-title":"Biological psychiatry","id":"ITEM-1","issue":"4","issued":{"date-parts":[["2012","8"]]},"page":"266-72","publisher":"Elsevier Inc.","title":"Lesions of ventrolateral prefrontal or anterior orbitofrontal cortex in primates heighten negative emotion.","type":"article-journal","volume":"72"},"uris":["http://www.mendeley.com/documents/?uuid=45b73c56-54f3-4e01-afdf-f88faca7c5fa"]}],"mendeley":{"formattedCitation":"(Agustín-Pavón et al., 2012b)","plainTextFormattedCitation":"(Agustín-Pavón et al., 2012b)","previouslyFormattedCitation":"(Agustín-Pavón et al., 2012b)"},"properties":{"noteIndex":0},"schema":"https://github.com/citation-style-language/schema/raw/master/csl-citation.json"}</w:instrText>
      </w:r>
      <w:r w:rsidRPr="00E20348">
        <w:fldChar w:fldCharType="separate"/>
      </w:r>
      <w:r w:rsidR="007C1DE8" w:rsidRPr="001A7586">
        <w:rPr>
          <w:noProof/>
        </w:rPr>
        <w:t>(Agustín-Pavón et al., 2012b)</w:t>
      </w:r>
      <w:r w:rsidRPr="00E20348">
        <w:fldChar w:fldCharType="end"/>
      </w:r>
      <w:r w:rsidRPr="001A7586">
        <w:t xml:space="preserve">. See figure 1. </w:t>
      </w:r>
      <w:r w:rsidR="00AE4992" w:rsidRPr="001A7586">
        <w:t xml:space="preserve">Because the intent of the unknown human is unclear, e.g. may provide treats or may try and hold/catch the monkey, the uncertainty tends to induce </w:t>
      </w:r>
      <w:r w:rsidR="00F136DC" w:rsidRPr="001A7586">
        <w:t>anxious beh</w:t>
      </w:r>
      <w:r w:rsidR="00F136DC" w:rsidRPr="00E20348">
        <w:t>avior</w:t>
      </w:r>
      <w:r w:rsidR="00AE4992" w:rsidRPr="00E20348">
        <w:t>.</w:t>
      </w:r>
      <w:r w:rsidR="00AE4992" w:rsidRPr="001A7586">
        <w:t xml:space="preserve"> </w:t>
      </w:r>
      <w:r w:rsidRPr="001A7586">
        <w:t xml:space="preserve">There are many </w:t>
      </w:r>
      <w:r w:rsidR="00D71B0B" w:rsidRPr="001A7586">
        <w:t>behavior</w:t>
      </w:r>
      <w:r w:rsidRPr="001A7586">
        <w:t xml:space="preserve">s that can be </w:t>
      </w:r>
      <w:r w:rsidR="00D8399B" w:rsidRPr="001A7586">
        <w:t>analyzed</w:t>
      </w:r>
      <w:r w:rsidRPr="001A7586">
        <w:t xml:space="preserve"> in this paradigm, but one of the most relevant is the location of the animal within the cage. In contrast to </w:t>
      </w:r>
      <w:r w:rsidRPr="001A7586">
        <w:lastRenderedPageBreak/>
        <w:t xml:space="preserve">normal animals, high-trait anxious marmosets characteristically retreat from the human intruder to the back (increased average depth from intruder) and/or the top (increased average height from intruder) of the cage, and therefore have a high score for time spent at the top/back of the cage and a very low score for time spent at the front (TSAF) of the cage.  In particular, TSAF has been shown to be sensitive to anxiolytics </w:t>
      </w:r>
      <w:r w:rsidRPr="00E20348">
        <w:fldChar w:fldCharType="begin" w:fldLock="1"/>
      </w:r>
      <w:r w:rsidR="007C1DE8" w:rsidRPr="001A7586">
        <w:instrText>ADDIN CSL_CITATION {"citationItems":[{"id":"ITEM-1","itemData":{"DOI":"10.1016/0091-3057(92)90458-R","ISSN":"0091-3057","abstract":"The effects of the anxiogenic agents FG7142, caffeine, pentylenetetrazole, and amphetamine were assessed in two anxiety situations in the marmoset, first in an “anxiogenic” test based on the animal's response to a human observer standing in front of the home cage and second in a low-anxiety situation where animals behaviour was videotaped in the absence of the observer. In response to the human observer, the anxiolytic agent diazepam (0.1–2.5 mg/kg, SC) was shown to reduce the intensity of behaviours such as postures, while increasing time spent on the cage front. In this test, with the exception of amphetamine, which only modified responding at stereotypic doses, the anxiogenic agents failed to modify marmoset behaviour. In contrast, in the low-anxiety filming protocol the anxiogenic agents consistently reduced measures of locomotor activity while increasing the amount of time animals spent in the nest box. It is suggested that the low-anxiety protocol may be useful to evaluate drug-induced anxiogenesis and in studies of withdrawal from chronic anxiolytic treatment or drugs of abuse.","author":[{"dropping-particle":"","family":"Carey","given":"G. J.","non-dropping-particle":"","parse-names":false,"suffix":""},{"dropping-particle":"","family":"Costall","given":"B.","non-dropping-particle":"","parse-names":false,"suffix":""},{"dropping-particle":"","family":"Domeney","given":"A. M.","non-dropping-particle":"","parse-names":false,"suffix":""},{"dropping-particle":"","family":"Jones","given":"D. N. C.","non-dropping-particle":"","parse-names":false,"suffix":""},{"dropping-particle":"","family":"Naylor","given":"R. J.","non-dropping-particle":"","parse-names":false,"suffix":""}],"container-title":"Pharmacology Biochemistry and Behavior","id":"ITEM-1","issue":"1","issued":{"date-parts":[["1992","5"]]},"page":"143-153","title":"Behavioural effects of anxiogenic agents in the common marmoset","type":"article-journal","volume":"42"},"uris":["http://www.mendeley.com/documents/?uuid=c06f20d2-9fc0-49a9-a47a-b1c3a90cde00"]},{"id":"ITEM-2","itemData":{"DOI":"10.1038/npp.2016.41","ISSN":"1740634X","abstract":"Genetic polymorphisms in the repeat upstream region of the serotonin transporter gene (SLC6A4) are associated with individual differences in stress reactivity, vulnerability to affective disorders, and response to pharmacotherapy. However, the molecular, neurodevelopmental and psychopharmacological mechanisms underlying the link between SLC6A4 polymorphisms and the emotionally vulnerable phenotype are not fully understood. Thus, using the marmoset monkey Callithrix jacchus we characterize here a new neurobiological model to help to address these questions. We first sequenced the marmoset SLC6A4 promoter and identified a double nucleotide polymorphism (-2053AC/CT) and two single-nucleotide polymorphisms (-2022C/T and -1592G/C) within the repeat upstream region. We showed their association with gene expression using in vivo quantitative PCR and with affective behavior using a primate test of anxiety (human intruder test). The low-expressing haplotype (AC/C/G) was linked with high anxiety while the high-expressing one (CT/T/C) was associated with an active coping strategy in response to threat. Pharmacological challenge with an acute dose of the selective serotonin reuptake inhibitor, citalopram, revealed a genotype-dependent behavioral response. While individuals homozygous for the high anxiety-related haplotype AC/C/G exhibited a dose-dependent, anxiogenic response, individuals homozygous for the low anxiety-related haplotype CT/T/C showed an opposing, dose-dependent anxiolytic effect. These findings provide a novel genetic and behavioral primate model to study the molecular, neurodevelopmental, and psychopharmacological mechanisms that underlie genetic variation-associated complex behaviors, with specific implications for the understanding of normal and abnormal serotonin actions and the development of personalized pharmacological treatments for psychiatric disorders.","author":[{"dropping-particle":"","family":"Santangelo","given":"A.M.","non-dropping-particle":"","parse-names":false,"suffix":""},{"dropping-particle":"","family":"Ito","given":"M.","non-dropping-particle":"","parse-names":false,"suffix":""},{"dropping-particle":"","family":"Shiba","given":"Y.","non-dropping-particle":"","parse-names":false,"suffix":""},{"dropping-particle":"","family":"Clarke","given":"H.F.","non-dropping-particle":"","parse-names":false,"suffix":""},{"dropping-particle":"","family":"Schut","given":"E.H.S.","non-dropping-particle":"","parse-names":false,"suffix":""},{"dropping-particle":"","family":"Cockcroft","given":"G.","non-dropping-particle":"","parse-names":false,"suffix":""},{"dropping-particle":"","family":"Ferguson-Smith","given":"A.C.","non-dropping-particle":"","parse-names":false,"suffix":""},{"dropping-particle":"","family":"Roberts","given":"A.C.","non-dropping-particle":"","parse-names":false,"suffix":""}],"container-title":"Neuropsychopharmacology","id":"ITEM-2","issue":"9","issued":{"date-parts":[["2016"]]},"title":"Novel primate model of serotonin transporter genetic polymorphisms associated with gene expression, anxiety and sensitivity to antidepressants","type":"article-journal","volume":"41"},"uris":["http://www.mendeley.com/documents/?uuid=2d529ddd-4b74-30a2-b203-1a4348607a44"]}],"mendeley":{"formattedCitation":"(Carey et al., 1992; Santangelo et al., 2016)","plainTextFormattedCitation":"(Carey et al., 1992; Santangelo et al., 2016)","previouslyFormattedCitation":"(Carey et al., 1992; Santangelo et al., 2016)"},"properties":{"noteIndex":0},"schema":"https://github.com/citation-style-language/schema/raw/master/csl-citation.json"}</w:instrText>
      </w:r>
      <w:r w:rsidRPr="00E20348">
        <w:fldChar w:fldCharType="separate"/>
      </w:r>
      <w:r w:rsidR="007C1DE8" w:rsidRPr="001A7586">
        <w:rPr>
          <w:noProof/>
        </w:rPr>
        <w:t>(Carey et al., 1992; Santangelo et al., 2016)</w:t>
      </w:r>
      <w:r w:rsidRPr="00E20348">
        <w:fldChar w:fldCharType="end"/>
      </w:r>
      <w:r w:rsidRPr="001A7586">
        <w:t xml:space="preserve"> and marmosets with a TSAF score of</w:t>
      </w:r>
      <w:r w:rsidRPr="001A7586" w:rsidDel="00BB75C1">
        <w:t xml:space="preserve"> </w:t>
      </w:r>
      <w:r w:rsidRPr="001A7586">
        <w:t xml:space="preserve">less than 9% (based on the lower confidence interval of the median of 63 naïve marmosets tested on the human intruder) have been shown to display stable characteristic trait anxious </w:t>
      </w:r>
      <w:r w:rsidR="00D71B0B" w:rsidRPr="001A7586">
        <w:t>behavior</w:t>
      </w:r>
      <w:r w:rsidRPr="001A7586">
        <w:t xml:space="preserve">s and blunted serotonin signalling when compared to marmosets that scored over 25% TSAF (upper 95% confidence interval) </w:t>
      </w:r>
      <w:r w:rsidRPr="00E20348">
        <w:fldChar w:fldCharType="begin" w:fldLock="1"/>
      </w:r>
      <w:r w:rsidR="007C1DE8" w:rsidRPr="001A7586">
        <w:instrText>ADDIN CSL_CITATION {"citationItems":[{"id":"ITEM-1","itemData":{"DOI":"10.1038/npp.2014.324","ISSN":"0893-133X","PMID":"25586542","abstract":"Trait anxiety is a risk factor for the development and maintenance of affective disorders, and insights into the underlying brain mechanisms are vital for improving treatment and prevention strategies. Translational studies in non-human primates, where targeted neurochemical and genetic manipulations can be made, are critical in view of their close neuroanatomical similarity to humans in brain regions implicated in trait anxiety. Thus, we characterised the serotonergic and regional brain volume correlates of trait-like anxiety in the marmoset monkey. Low- and high-anxious animals were identified by behavioral responses to a human intruder (HI) that are known to be sensitive to anxiolytic drug treatment. Extracellular serotonin levels within the amygdala were measured with in vivo microdialysis, at baseline and in response to challenge with the selective serotonin reuptake inhibitor, citalopram. Regional brain volume was assessed by structural magnetic resonance imaging. Anxious individuals showed persistent, long-term fearful responses to both a HI and a model snake, alongside sustained attention (vigilance) to novel cues in a context associated with unpredictable threat. Neurally, high-anxious marmosets showed reduced amygdala serotonin levels, and smaller volumes in a closely connected prefrontal region, the dorsal anterior cingulate cortex. These findings highlight behavioral and neural similarities between trait-like anxiety in marmosets and humans, and set the stage for further investigation of the processes contributing to vulnerability and resilience to affective disorders.","author":[{"dropping-particle":"","family":"Mikheenko","given":"Yevheniia","non-dropping-particle":"","parse-names":false,"suffix":""},{"dropping-particle":"","family":"Shiba","given":"Yoshiro","non-dropping-particle":"","parse-names":false,"suffix":""},{"dropping-particle":"","family":"Sawiak","given":"Stephen","non-dropping-particle":"","parse-names":false,"suffix":""},{"dropping-particle":"","family":"Braesicke","given":"Katrin","non-dropping-particle":"","parse-names":false,"suffix":""},{"dropping-particle":"","family":"Cockcroft","given":"Gemma","non-dropping-particle":"","parse-names":false,"suffix":""},{"dropping-particle":"","family":"Clarke","given":"Hannah","non-dropping-particle":"","parse-names":false,"suffix":""},{"dropping-particle":"","family":"Roberts","given":"Angela C","non-dropping-particle":"","parse-names":false,"suffix":""}],"container-title":"Neuropsychopharmacology","id":"ITEM-1","issue":"6","issued":{"date-parts":[["2015","5","11"]]},"page":"1395-1404","title":"Serotonergic, Brain Volume and Attentional Correlates of Trait Anxiety in Primates","type":"article-journal","volume":"40"},"uris":["http://www.mendeley.com/documents/?uuid=f05a9ffd-cd56-3925-a49c-0c13b78668e6"]}],"mendeley":{"formattedCitation":"(Mikheenko et al., 2015)","plainTextFormattedCitation":"(Mikheenko et al., 2015)","previouslyFormattedCitation":"(Mikheenko et al., 2015)"},"properties":{"noteIndex":0},"schema":"https://github.com/citation-style-language/schema/raw/master/csl-citation.json"}</w:instrText>
      </w:r>
      <w:r w:rsidRPr="00E20348">
        <w:fldChar w:fldCharType="separate"/>
      </w:r>
      <w:r w:rsidR="007C1DE8" w:rsidRPr="001A7586">
        <w:rPr>
          <w:noProof/>
        </w:rPr>
        <w:t>(Mikheenko et al., 2015)</w:t>
      </w:r>
      <w:r w:rsidRPr="00E20348">
        <w:fldChar w:fldCharType="end"/>
      </w:r>
      <w:r w:rsidRPr="001A7586">
        <w:t xml:space="preserve">. Thus, those animals with a TSAF score of less than 9% were defined as high anxious in this study. </w:t>
      </w:r>
    </w:p>
    <w:p w14:paraId="3988D3AD" w14:textId="77777777" w:rsidR="007E1AC3" w:rsidRPr="001A7586" w:rsidRDefault="007E1AC3" w:rsidP="00AF18CF">
      <w:pPr>
        <w:spacing w:after="119" w:line="480" w:lineRule="auto"/>
        <w:jc w:val="both"/>
      </w:pPr>
    </w:p>
    <w:p w14:paraId="512D6512" w14:textId="77777777" w:rsidR="007E1AC3" w:rsidRPr="001A7586" w:rsidRDefault="007E1AC3" w:rsidP="00AF18CF">
      <w:pPr>
        <w:spacing w:after="119" w:line="480" w:lineRule="auto"/>
        <w:jc w:val="both"/>
      </w:pPr>
      <w:r w:rsidRPr="001A7586">
        <w:t>Drug treatments</w:t>
      </w:r>
    </w:p>
    <w:p w14:paraId="558B397B" w14:textId="03189720" w:rsidR="007E1AC3" w:rsidRPr="001A7586" w:rsidRDefault="007E1AC3" w:rsidP="00AF18CF">
      <w:pPr>
        <w:spacing w:after="119" w:line="480" w:lineRule="auto"/>
        <w:jc w:val="both"/>
      </w:pPr>
      <w:r w:rsidRPr="001A7586">
        <w:t xml:space="preserve">To investigate whether increasing hippocampal glutamate release altered anxiety </w:t>
      </w:r>
      <w:r w:rsidR="00D71B0B" w:rsidRPr="001A7586">
        <w:t>behavior</w:t>
      </w:r>
      <w:r w:rsidRPr="001A7586">
        <w:t xml:space="preserve">s in the human intruder test, five high-trait anxious animals performed this test on an additional 3 occasions, a minimum of a week apart (4 animals had cannulae in areas 25, 32 and the aHipp, 2 animals </w:t>
      </w:r>
      <w:r w:rsidR="00AF5335" w:rsidRPr="001A7586">
        <w:t>had cannulae in the aHipp only)</w:t>
      </w:r>
      <w:r w:rsidRPr="001A7586">
        <w:t xml:space="preserve">. The first and third tests were presented after aHipp saline treatment while the middle test was presented after aHipp LY/CGP treatment. This treatment order allowed us to determine whether any drug effects were being confounded by habituation that might occur upon repeated exposure to a human intruder. To help </w:t>
      </w:r>
      <w:r w:rsidR="00D8399B" w:rsidRPr="001A7586">
        <w:t>minimize</w:t>
      </w:r>
      <w:r w:rsidRPr="001A7586">
        <w:t xml:space="preserve"> habituation and to ensure the intruder was novel in appearance on each occasion, the </w:t>
      </w:r>
      <w:r w:rsidR="000E604F" w:rsidRPr="001A7586">
        <w:t xml:space="preserve">same </w:t>
      </w:r>
      <w:r w:rsidRPr="001A7586">
        <w:t>intruder wore a different human rubber mask as a disguise for each test. These masks were c</w:t>
      </w:r>
      <w:r w:rsidR="00BD145B" w:rsidRPr="001A7586">
        <w:t>ounterbalanced between animals</w:t>
      </w:r>
      <w:r w:rsidR="009C64C6" w:rsidRPr="001A7586">
        <w:t xml:space="preserve">, covered the </w:t>
      </w:r>
      <w:r w:rsidR="00F050BA" w:rsidRPr="00E20348">
        <w:t>whole</w:t>
      </w:r>
      <w:r w:rsidR="009C64C6" w:rsidRPr="00E20348">
        <w:t xml:space="preserve"> head and hair of the experimenter</w:t>
      </w:r>
      <w:r w:rsidR="00BD145B" w:rsidRPr="00E20348">
        <w:t xml:space="preserve"> and were close fitting so they did not compromise the ability to maintain eye</w:t>
      </w:r>
      <w:r w:rsidR="00330E12" w:rsidRPr="00E20348">
        <w:t xml:space="preserve"> </w:t>
      </w:r>
      <w:r w:rsidR="00BD145B" w:rsidRPr="00E20348">
        <w:t>contact.</w:t>
      </w:r>
    </w:p>
    <w:p w14:paraId="03D4254C" w14:textId="77777777" w:rsidR="0030434C" w:rsidRPr="001A7586" w:rsidRDefault="0030434C" w:rsidP="00AF18CF">
      <w:pPr>
        <w:spacing w:after="119" w:line="480" w:lineRule="auto"/>
        <w:jc w:val="both"/>
        <w:rPr>
          <w:b/>
          <w:i/>
        </w:rPr>
      </w:pPr>
    </w:p>
    <w:bookmarkEnd w:id="2"/>
    <w:bookmarkEnd w:id="3"/>
    <w:bookmarkEnd w:id="4"/>
    <w:p w14:paraId="0D3D8B76" w14:textId="0D1BF008" w:rsidR="0030434C" w:rsidRPr="001A7586" w:rsidRDefault="0030434C" w:rsidP="00AF18CF">
      <w:pPr>
        <w:spacing w:line="480" w:lineRule="auto"/>
        <w:jc w:val="both"/>
        <w:rPr>
          <w:b/>
        </w:rPr>
      </w:pPr>
      <w:r w:rsidRPr="001A7586">
        <w:rPr>
          <w:b/>
        </w:rPr>
        <w:t>Human Intruder Analysis</w:t>
      </w:r>
    </w:p>
    <w:p w14:paraId="04203E76" w14:textId="087812CC" w:rsidR="006F6BE7" w:rsidRPr="001A7586" w:rsidRDefault="006F6BE7" w:rsidP="00AF18CF">
      <w:pPr>
        <w:spacing w:line="480" w:lineRule="auto"/>
        <w:jc w:val="both"/>
      </w:pPr>
      <w:r w:rsidRPr="001A7586">
        <w:lastRenderedPageBreak/>
        <w:t xml:space="preserve">Behavior during the human intruder test was recorded and subsequently scored by an experimenter who was blind to the drug infusion used. </w:t>
      </w:r>
      <w:r w:rsidR="00374C2F" w:rsidRPr="001A7586">
        <w:t>During the 2 minute intruder period t</w:t>
      </w:r>
      <w:r w:rsidRPr="00E20348">
        <w:t xml:space="preserve">he </w:t>
      </w:r>
      <w:r w:rsidR="00374C2F" w:rsidRPr="00E20348">
        <w:t>time (seconds) that the animal spent in particular locations within the cage</w:t>
      </w:r>
      <w:r w:rsidR="00374C2F" w:rsidRPr="001A7586">
        <w:t xml:space="preserve"> </w:t>
      </w:r>
      <w:r w:rsidRPr="001A7586">
        <w:t>in terms of height (floor, low, medium, high, top of nestbox or average height) and depth (front, middle, back) was recorded</w:t>
      </w:r>
      <w:r w:rsidR="00D71477" w:rsidRPr="001A7586">
        <w:t xml:space="preserve"> as a percentage of the total time</w:t>
      </w:r>
      <w:r w:rsidR="00374C2F" w:rsidRPr="001A7586">
        <w:t xml:space="preserve">, </w:t>
      </w:r>
      <w:r w:rsidRPr="001A7586">
        <w:t xml:space="preserve">alongside </w:t>
      </w:r>
      <w:r w:rsidR="00374C2F" w:rsidRPr="001A7586">
        <w:t xml:space="preserve">the number of </w:t>
      </w:r>
      <w:r w:rsidRPr="001A7586">
        <w:t>jumps towards the intruder and the amount of time spent locomoting around the cage</w:t>
      </w:r>
      <w:r w:rsidR="00374C2F" w:rsidRPr="001A7586">
        <w:t xml:space="preserve"> (number of seconds)</w:t>
      </w:r>
      <w:r w:rsidRPr="001A7586">
        <w:t xml:space="preserve">. Additional measures included species specific </w:t>
      </w:r>
      <w:r w:rsidR="00D71B0B" w:rsidRPr="001A7586">
        <w:t>behavior</w:t>
      </w:r>
      <w:r w:rsidRPr="001A7586">
        <w:t xml:space="preserve">s namely, </w:t>
      </w:r>
      <w:r w:rsidR="00374C2F" w:rsidRPr="001A7586">
        <w:t xml:space="preserve">the number of seconds spent </w:t>
      </w:r>
      <w:r w:rsidRPr="001A7586">
        <w:t xml:space="preserve">head and body bobbing (a marmoset </w:t>
      </w:r>
      <w:r w:rsidR="00D71B0B" w:rsidRPr="001A7586">
        <w:t>behavior</w:t>
      </w:r>
      <w:r w:rsidRPr="001A7586">
        <w:t xml:space="preserve"> indicative of anxiety  </w:t>
      </w:r>
      <w:r w:rsidRPr="00E20348">
        <w:rPr>
          <w:lang w:val="en-US"/>
        </w:rPr>
        <w:fldChar w:fldCharType="begin" w:fldLock="1"/>
      </w:r>
      <w:r w:rsidR="007C1DE8" w:rsidRPr="001A7586">
        <w:rPr>
          <w:lang w:val="en-US"/>
        </w:rPr>
        <w:instrText>ADDIN CSL_CITATION {"citationID":"MJOg4UmH","citationItems":[{"id":"ITEM-1","itemData":{"DOI":"10.1016/0091-3057(92)90458-R","ISSN":"0091-3057","abstract":"The effects of the anxiogenic agents FG7142, caffeine, pentylenetetrazole, and amphetamine were assessed in two anxiety situations in the marmoset, first in an “anxiogenic” test based on the animal's response to a human observer standing in front of the home cage and second in a low-anxiety situation where animals behaviour was videotaped in the absence of the observer. In response to the human observer, the anxiolytic agent diazepam (0.1–2.5 mg/kg, SC) was shown to reduce the intensity of behaviours such as postures, while increasing time spent on the cage front. In this test, with the exception of amphetamine, which only modified responding at stereotypic doses, the anxiogenic agents failed to modify marmoset behaviour. In contrast, in the low-anxiety filming protocol the anxiogenic agents consistently reduced measures of locomotor activity while increasing the amount of time animals spent in the nest box. It is suggested that the low-anxiety protocol may be useful to evaluate drug-induced anxiogenesis and in studies of withdrawal from chronic anxiolytic treatment or drugs of abuse.","author":[{"dropping-particle":"","family":"Carey","given":"G. J.","non-dropping-particle":"","parse-names":false,"suffix":""},{"dropping-particle":"","family":"Costall","given":"B.","non-dropping-particle":"","parse-names":false,"suffix":""},{"dropping-particle":"","family":"Domeney","given":"A. M.","non-dropping-particle":"","parse-names":false,"suffix":""},{"dropping-particle":"","family":"Jones","given":"D. N. C.","non-dropping-particle":"","parse-names":false,"suffix":""},{"dropping-particle":"","family":"Naylor","given":"R. J.","non-dropping-particle":"","parse-names":false,"suffix":""}],"container-title":"Pharmacology Biochemistry and Behavior","id":"ITEM-1","issue":"1","issued":{"date-parts":[["1992","5"]]},"page":"143-153","title":"Behavioural effects of anxiogenic agents in the common marmoset","type":"article-journal","volume":"42"},"uri":["http://zotero.org/users/1824538/items/XA2Z5QWX"],"uris":["http://zotero.org/users/1824538/items/XA2Z5QWX","http://www.mendeley.com/documents/?uuid=c06f20d2-9fc0-49a9-a47a-b1c3a90cde00"]},{"id":"ITEM-2","itemData":{"DOI":"10.1111/j.1460-9568.2011.07813.x","ISBN":"1460-9568 (Electronic)\r0953-816X (Linking)","PMID":"21848920","abstract":"The development of food preferences contributes to a balanced diet, and involves both innate and learnt factors. By associating flavour cues with the reinforcing properties of the food (i.e. postingestive nutrient cues and innately preferred tastes, such as sweetness), animals acquire individual preferences. How the brain codes and guides selection when the subject has to choose between different palatable foods is little understood. To investigate this issue, we trained common marmoset monkeys (Callithrix jacchus) to respond to abstract visual patterns on a touch-sensitive computer screen to gain access to four different flavoured juices. After preferences were stable, animals received excitotoxic lesions of either the amygdala, the orbitofrontal cortex or the medial prefrontal cortex. Neither the orbitofrontal nor the medial prefrontal cortex lesions affected pre-surgery-expressed flavour preferences or the expression of preferences for novel flavours post-surgery. In contrast, amygdala lesions caused a shift in the preferences for juices expressed pre-surgery such that, post-surgery, juices were chosen according to their overall carbohydrate (simple sugars) content or 'sweetness'. Subsequent tests revealed that amygdala-lesioned animals only expressed juice preferences if they differed in 'sweetness'. Unlike controls, orbitofrontal cortex-lesioned and medial prefrontal cortex-lesioned animals, they were unable to display preferences between juices matched for 'sweetness' i.e. 5% sucrose solutions aromatised with different essential oils. The most parsimonious explanation is that the amygdala contributes to the expression of food preferences based on learnt cues but not those based on an innate preference for sweetness.","author":[{"dropping-particle":"","family":"Agustin-Pavon","given":"C","non-dropping-particle":"","parse-names":false,"suffix":""},{"dropping-particle":"","family":"Parkinson","given":"J","non-dropping-particle":"","parse-names":false,"suffix":""},{"dropping-particle":"","family":"Man","given":"M S","non-dropping-particle":"","parse-names":false,"suffix":""},{"dropping-particle":"","family":"Roberts","given":"A C","non-dropping-particle":"","parse-names":false,"suffix":""}],"container-title":"European Journal of Neuroscience","edition":"2011/08/19","id":"ITEM-2","issue":"6","issued":{"date-parts":[["2011"]]},"language":"eng","note":"Agustin-Pavon, Carmen\nParkinson, John\nMan, Mei-See\nRoberts, Angela C\nMedical Research Council/United Kingdom\nResearch Support, Non-U.S. Gov't\nFrance\nThe European journal of neuroscience\nEur J Neurosci. 2011 Sep;34(6):1006-17. doi: 10.1111/j.1460-9568.2011.07813.x. Epub 2011 Aug 16.","page":"1006-1017","title":"Contribution of the amygdala, but not orbitofrontal or medial prefrontal cortices, to the expression of flavour preferences in marmoset monkeys","type":"article-journal","volume":"34"},"uris":["http://www.mendeley.com/documents/?uuid=b4e312f0-7eae-42f4-8464-dd20c86b0632"]},{"id":"ITEM-3","itemData":{"DOI":"10.1038/npp.2016.41","ISSN":"1740634X","abstract":"Genetic polymorphisms in the repeat upstream region of the serotonin transporter gene (SLC6A4) are associated with individual differences in stress reactivity, vulnerability to affective disorders, and response to pharmacotherapy. However, the molecular, neurodevelopmental and psychopharmacological mechanisms underlying the link between SLC6A4 polymorphisms and the emotionally vulnerable phenotype are not fully understood. Thus, using the marmoset monkey Callithrix jacchus we characterize here a new neurobiological model to help to address these questions. We first sequenced the marmoset SLC6A4 promoter and identified a double nucleotide polymorphism (-2053AC/CT) and two single-nucleotide polymorphisms (-2022C/T and -1592G/C) within the repeat upstream region. We showed their association with gene expression using in vivo quantitative PCR and with affective behavior using a primate test of anxiety (human intruder test). The low-expressing haplotype (AC/C/G) was linked with high anxiety while the high-expressing one (CT/T/C) was associated with an active coping strategy in response to threat. Pharmacological challenge with an acute dose of the selective serotonin reuptake inhibitor, citalopram, revealed a genotype-dependent behavioral response. While individuals homozygous for the high anxiety-related haplotype AC/C/G exhibited a dose-dependent, anxiogenic response, individuals homozygous for the low anxiety-related haplotype CT/T/C showed an opposing, dose-dependent anxiolytic effect. These findings provide a novel genetic and behavioral primate model to study the molecular, neurodevelopmental, and psychopharmacological mechanisms that underlie genetic variation-associated complex behaviors, with specific implications for the understanding of normal and abnormal serotonin actions and the development of personalized pharmacological treatments for psychiatric disorders.","author":[{"dropping-particle":"","family":"Santangelo","given":"A.M.","non-dropping-particle":"","parse-names":false,"suffix":""},{"dropping-particle":"","family":"Ito","given":"M.","non-dropping-particle":"","parse-names":false,"suffix":""},{"dropping-particle":"","family":"Shiba","given":"Y.","non-dropping-particle":"","parse-names":false,"suffix":""},{"dropping-particle":"","family":"Clarke","given":"H.F.","non-dropping-particle":"","parse-names":false,"suffix":""},{"dropping-particle":"","family":"Schut","given":"E.H.S.","non-dropping-particle":"","parse-names":false,"suffix":""},{"dropping-particle":"","family":"Cockcroft","given":"G.","non-dropping-particle":"","parse-names":false,"suffix":""},{"dropping-particle":"","family":"Ferguson-Smith","given":"A.C.","non-dropping-particle":"","parse-names":false,"suffix":""},{"dropping-particle":"","family":"Roberts","given":"A.C.","non-dropping-particle":"","parse-names":false,"suffix":""}],"container-title":"Neuropsychopharmacology","id":"ITEM-3","issue":"9","issued":{"date-parts":[["2016"]]},"title":"Novel primate model of serotonin transporter genetic polymorphisms associated with gene expression, anxiety and sensitivity to antidepressants","type":"article-journal","volume":"41"},"uris":["http://www.mendeley.com/documents/?uuid=2d529ddd-4b74-30a2-b203-1a4348607a44"]}],"mendeley":{"formattedCitation":"(Carey et al., 1992; Agustin-Pavon et al., 2011; Santangelo et al., 2016)","plainTextFormattedCitation":"(Carey et al., 1992; Agustin-Pavon et al., 2011; Santangelo et al., 2016)","previouslyFormattedCitation":"(Carey et al., 1992; Agustin-Pavon et al., 2011; Santangelo et al., 2016)"},"properties":{"formattedCitation":"{\\rtf (Carey et al. 1992a; Agust\\uc0\\u237{}n-Pav\\uc0\\u243{}n et al. 2011; Santangelo et al. 2016)}","noteIndex":0,"plainCitation":"(Carey et al. 1992a; Agustín-Pavón et al. 2011; Santangelo et al. 2016)"},"schema":"https://github.com/citation-style-language/schema/raw/master/csl-citation.json"}</w:instrText>
      </w:r>
      <w:r w:rsidRPr="00E20348">
        <w:rPr>
          <w:lang w:val="en-US"/>
        </w:rPr>
        <w:fldChar w:fldCharType="separate"/>
      </w:r>
      <w:r w:rsidR="007C1DE8" w:rsidRPr="001A7586">
        <w:rPr>
          <w:noProof/>
        </w:rPr>
        <w:t>(Carey et al., 1992; Agustin-Pavon et al., 2011; Santangelo et al., 2016)</w:t>
      </w:r>
      <w:r w:rsidRPr="00E20348">
        <w:rPr>
          <w:lang w:val="en-US"/>
        </w:rPr>
        <w:fldChar w:fldCharType="end"/>
      </w:r>
      <w:r w:rsidR="00374C2F" w:rsidRPr="001A7586">
        <w:rPr>
          <w:lang w:val="en-US"/>
        </w:rPr>
        <w:t>)</w:t>
      </w:r>
      <w:r w:rsidRPr="001A7586">
        <w:t xml:space="preserve"> and </w:t>
      </w:r>
      <w:r w:rsidR="00374C2F" w:rsidRPr="001A7586">
        <w:t>the num</w:t>
      </w:r>
      <w:r w:rsidR="00374C2F" w:rsidRPr="00E20348">
        <w:t>ber of</w:t>
      </w:r>
      <w:r w:rsidR="00374C2F" w:rsidRPr="001A7586">
        <w:t xml:space="preserve"> </w:t>
      </w:r>
      <w:r w:rsidRPr="001A7586">
        <w:t xml:space="preserve">various types of </w:t>
      </w:r>
      <w:r w:rsidR="00D8399B" w:rsidRPr="00E20348">
        <w:t>vocalizations</w:t>
      </w:r>
      <w:r w:rsidRPr="00E20348">
        <w:t xml:space="preserve"> based on differences in sound, length and frequency range</w:t>
      </w:r>
      <w:r w:rsidRPr="00E20348">
        <w:rPr>
          <w:lang w:val="en-US"/>
        </w:rPr>
        <w:t>.</w:t>
      </w:r>
      <w:r w:rsidRPr="00E20348">
        <w:t xml:space="preserve"> </w:t>
      </w:r>
      <w:r w:rsidR="002F2D6B" w:rsidRPr="00E20348">
        <w:t>These include the tsik call, a proactive</w:t>
      </w:r>
      <w:r w:rsidR="007C45AE" w:rsidRPr="00E20348">
        <w:t xml:space="preserve"> alarm call used </w:t>
      </w:r>
      <w:r w:rsidR="00D33543" w:rsidRPr="00E20348">
        <w:t xml:space="preserve">either </w:t>
      </w:r>
      <w:r w:rsidR="007C45AE" w:rsidRPr="00E20348">
        <w:t>singly or repetitively in mobbing situat</w:t>
      </w:r>
      <w:r w:rsidR="00D33543" w:rsidRPr="00E20348">
        <w:t>ions</w:t>
      </w:r>
      <w:r w:rsidR="007C45AE" w:rsidRPr="00E20348">
        <w:t xml:space="preserve"> in response to a potential intruder, tse and egg calls which are both indicative of </w:t>
      </w:r>
      <w:r w:rsidR="00536B77" w:rsidRPr="00E20348">
        <w:t>less proactive</w:t>
      </w:r>
      <w:r w:rsidR="007C45AE" w:rsidRPr="00E20348">
        <w:t xml:space="preserve"> alarm/anxiety </w:t>
      </w:r>
      <w:r w:rsidR="00D33543" w:rsidRPr="00E20348">
        <w:t xml:space="preserve">and </w:t>
      </w:r>
      <w:r w:rsidR="007C45AE" w:rsidRPr="00E20348">
        <w:t xml:space="preserve">are associated with vigilance </w:t>
      </w:r>
      <w:r w:rsidR="00D8399B" w:rsidRPr="00E20348">
        <w:t>behavior</w:t>
      </w:r>
      <w:r w:rsidR="002F2D6B" w:rsidRPr="00E20348">
        <w:t>,</w:t>
      </w:r>
      <w:r w:rsidR="007C45AE" w:rsidRPr="00E20348">
        <w:t xml:space="preserve"> and combinations of calls such as tsik-egg and tse-egg which may serve to coordinate mobbing</w:t>
      </w:r>
      <w:r w:rsidR="00D33543" w:rsidRPr="00E20348">
        <w:t xml:space="preserve">, </w:t>
      </w:r>
      <w:r w:rsidR="007C45AE" w:rsidRPr="00E20348">
        <w:t>vigilance</w:t>
      </w:r>
      <w:r w:rsidR="00D33543" w:rsidRPr="00E20348">
        <w:t xml:space="preserve"> and anxiety</w:t>
      </w:r>
      <w:r w:rsidR="007C45AE" w:rsidRPr="00E20348">
        <w:t xml:space="preserve"> between group members</w:t>
      </w:r>
      <w:r w:rsidR="002F2D6B" w:rsidRPr="00E20348">
        <w:rPr>
          <w:lang w:val="en-US"/>
        </w:rPr>
        <w:t xml:space="preserve"> </w:t>
      </w:r>
      <w:r w:rsidR="002F2D6B" w:rsidRPr="001A7586">
        <w:rPr>
          <w:lang w:val="en-US"/>
        </w:rPr>
        <w:fldChar w:fldCharType="begin" w:fldLock="1"/>
      </w:r>
      <w:r w:rsidR="002F2D6B" w:rsidRPr="00E20348">
        <w:rPr>
          <w:lang w:val="en-US"/>
        </w:rPr>
        <w:instrText>ADDIN CSL_CITATION {"citationID":"lvr2XhVX","citationItems":[{"id":"ITEM-1","itemData":{"author":[{"dropping-particle":"","family":"Bezerra","given":"Bruna Martins","non-dropping-particle":"","parse-names":false,"suffix":""},{"dropping-particle":"","family":"Souto","given":"Antonio","non-dropping-particle":"","parse-names":false,"suffix":""}],"container-title":"International Journal of Primatology","id":"ITEM-1","issue":"3","issued":{"date-parts":[["2008"]]},"page":"671–701","title":"Structure and usage of the vocal repertoire of Callithrix jacchus","type":"article-journal","volume":"29"},"uri":["http://zotero.org/users/1824538/items/TA4C7AUG"],"uris":["http://zotero.org/users/1824538/items/TA4C7AUG","http://www.mendeley.com/documents/?uuid=0ea442f4-f1a6-4924-83e4-6aca4a25c429"]}],"mendeley":{"formattedCitation":"(Bezerra and Souto, 2008)","plainTextFormattedCitation":"(Bezerra and Souto, 2008)","previouslyFormattedCitation":"(Bezerra and Souto, 2008)"},"properties":{"formattedCitation":"(Bezerra and Souto 2008)","noteIndex":0,"plainCitation":"(Bezerra and Souto 2008)"},"schema":"https://github.com/citation-style-language/schema/raw/master/csl-citation.json"}</w:instrText>
      </w:r>
      <w:r w:rsidR="002F2D6B" w:rsidRPr="00E20348">
        <w:rPr>
          <w:lang w:val="en-US"/>
        </w:rPr>
        <w:fldChar w:fldCharType="separate"/>
      </w:r>
      <w:r w:rsidR="002F2D6B" w:rsidRPr="00E20348">
        <w:rPr>
          <w:noProof/>
        </w:rPr>
        <w:t>(Bezerra and Souto, 2008)</w:t>
      </w:r>
      <w:r w:rsidR="002F2D6B" w:rsidRPr="00E20348">
        <w:rPr>
          <w:lang w:val="en-US"/>
        </w:rPr>
        <w:fldChar w:fldCharType="end"/>
      </w:r>
      <w:r w:rsidR="002F2D6B" w:rsidRPr="001A7586">
        <w:rPr>
          <w:lang w:val="en-US"/>
        </w:rPr>
        <w:t>.</w:t>
      </w:r>
      <w:r w:rsidR="002F2D6B" w:rsidRPr="001A7586">
        <w:t xml:space="preserve"> </w:t>
      </w:r>
      <w:r w:rsidRPr="001A7586">
        <w:t>All these behavioral variables have previously been shown to contribute to an animal</w:t>
      </w:r>
      <w:r w:rsidR="00330E12" w:rsidRPr="001A7586">
        <w:t>’</w:t>
      </w:r>
      <w:r w:rsidRPr="001A7586">
        <w:t xml:space="preserve">s overall response to a human intruder </w:t>
      </w:r>
      <w:r w:rsidRPr="00E20348">
        <w:fldChar w:fldCharType="begin" w:fldLock="1"/>
      </w:r>
      <w:r w:rsidR="007C1DE8" w:rsidRPr="001A7586">
        <w:instrText>ADDIN CSL_CITATION {"citationItems":[{"id":"ITEM-1","itemData":{"DOI":"10.1016/j.biopsych.2012.03.007","ISSN":"1873-2402","PMID":"22502990","abstract":"Heightened fear and anxiety are core symptoms of a variety of neuropsychiatric disorders. They are associated with structural and activity changes throughout neural circuitry that includes the ventral and medial prefrontal cortices (PFC), the amygdala, and hippocampus. Although the contributions of the medial PFC, amygdala, and hippocampus to fear and anxiety have been studied extensively with animal models, the selective roles of the ventral PFC-including the ventrolateral prefrontal cortex (vlPFC) and orbitofrontal cortex-are poorly understood.","author":[{"dropping-particle":"","family":"Agustín-Pavón","given":"Carmen","non-dropping-particle":"","parse-names":false,"suffix":""},{"dropping-particle":"","family":"Braesicke","given":"Katrin","non-dropping-particle":"","parse-names":false,"suffix":""},{"dropping-particle":"","family":"Shiba","given":"Yoshiro","non-dropping-particle":"","parse-names":false,"suffix":""},{"dropping-particle":"","family":"Santangelo","given":"Andrea M","non-dropping-particle":"","parse-names":false,"suffix":""},{"dropping-particle":"","family":"Mikheenko","given":"Yevheniia","non-dropping-particle":"","parse-names":false,"suffix":""},{"dropping-particle":"","family":"Cockroft","given":"Gemma","non-dropping-particle":"","parse-names":false,"suffix":""},{"dropping-particle":"","family":"Asma","given":"Faaiza","non-dropping-particle":"","parse-names":false,"suffix":""},{"dropping-particle":"","family":"Clarke","given":"Hannah","non-dropping-particle":"","parse-names":false,"suffix":""},{"dropping-particle":"","family":"Man","given":"Mei-See","non-dropping-particle":"","parse-names":false,"suffix":""},{"dropping-particle":"","family":"Roberts","given":"Angela C","non-dropping-particle":"","parse-names":false,"suffix":""}],"container-title":"Biological psychiatry","id":"ITEM-1","issue":"4","issued":{"date-parts":[["2012","8"]]},"page":"266-72","publisher":"Elsevier Inc.","title":"Lesions of ventrolateral prefrontal or anterior orbitofrontal cortex in primates heighten negative emotion.","type":"article-journal","volume":"72"},"uris":["http://www.mendeley.com/documents/?uuid=45b73c56-54f3-4e01-afdf-f88faca7c5fa"]}],"mendeley":{"formattedCitation":"(Agustín-Pavón et al., 2012b)","plainTextFormattedCitation":"(Agustín-Pavón et al., 2012b)","previouslyFormattedCitation":"(Agustín-Pavón et al., 2012b)"},"properties":{"noteIndex":0},"schema":"https://github.com/citation-style-language/schema/raw/master/csl-citation.json"}</w:instrText>
      </w:r>
      <w:r w:rsidRPr="00E20348">
        <w:fldChar w:fldCharType="separate"/>
      </w:r>
      <w:r w:rsidR="007C1DE8" w:rsidRPr="001A7586">
        <w:rPr>
          <w:noProof/>
        </w:rPr>
        <w:t>(Agustín-Pavón et al., 2012b)</w:t>
      </w:r>
      <w:r w:rsidRPr="00E20348">
        <w:fldChar w:fldCharType="end"/>
      </w:r>
      <w:r w:rsidR="00E73CCC" w:rsidRPr="001A7586">
        <w:t>, and some have been shown to load onto a single factor</w:t>
      </w:r>
      <w:r w:rsidR="00B4758E" w:rsidRPr="00E20348">
        <w:t xml:space="preserve"> that was calculated from an exploratory factor analysis (EFA) that was carried out on human intruder test scores obtained as part of a screening procedure on 171 marmosets from the University of Cambridge Marmoset Breeding Colony.  This EFA was used to predict the extent to which the different behaviors in the human intruder test are driven by any underlying latent variables. The EFA included: TSAF, TSAB, average height, proportion of time spent in locomotion, number of bobs, egg calls, tsik call, tsik-egg calls, and tse-egg calls. In total, nine factors were identified but based on the point of inflection on a scree plot, a single factor was extracted accounting for 39.7% of the total variance in </w:t>
      </w:r>
      <w:r w:rsidR="00D8399B" w:rsidRPr="00E20348">
        <w:t>behavior</w:t>
      </w:r>
      <w:r w:rsidR="00B4758E" w:rsidRPr="00E20348">
        <w:t>.</w:t>
      </w:r>
      <w:r w:rsidR="00B4758E" w:rsidRPr="001A7586">
        <w:t xml:space="preserve"> </w:t>
      </w:r>
      <w:r w:rsidR="00BE03FA" w:rsidRPr="001A7586">
        <w:t>See table 2</w:t>
      </w:r>
      <w:r w:rsidR="00536B77" w:rsidRPr="00E20348">
        <w:t>.</w:t>
      </w:r>
      <w:r w:rsidR="00536B77" w:rsidRPr="001A7586">
        <w:t xml:space="preserve"> </w:t>
      </w:r>
      <w:r w:rsidRPr="001A7586">
        <w:rPr>
          <w:lang w:val="en-US"/>
        </w:rPr>
        <w:t xml:space="preserve">The major </w:t>
      </w:r>
      <w:r w:rsidR="00D71B0B" w:rsidRPr="001A7586">
        <w:rPr>
          <w:lang w:val="en-US"/>
        </w:rPr>
        <w:t>behavior</w:t>
      </w:r>
      <w:r w:rsidRPr="001A7586">
        <w:rPr>
          <w:lang w:val="en-US"/>
        </w:rPr>
        <w:t xml:space="preserve">s that contributed to this factor were the </w:t>
      </w:r>
      <w:r w:rsidRPr="001A7586">
        <w:t xml:space="preserve">percentage times spent at the front and back of the cage, the average height of the monkey within the cage, </w:t>
      </w:r>
      <w:r w:rsidR="00D71477" w:rsidRPr="001A7586">
        <w:t xml:space="preserve">and </w:t>
      </w:r>
      <w:r w:rsidRPr="001A7586">
        <w:t>the amount of head and body bobbing</w:t>
      </w:r>
      <w:r w:rsidR="00D71477" w:rsidRPr="001A7586">
        <w:t>, tse-egg calls and locomotion</w:t>
      </w:r>
      <w:r w:rsidRPr="001A7586">
        <w:t xml:space="preserve">. The minor contributory </w:t>
      </w:r>
      <w:r w:rsidR="00D71B0B" w:rsidRPr="001A7586">
        <w:t>behavior</w:t>
      </w:r>
      <w:r w:rsidRPr="001A7586">
        <w:t xml:space="preserve">s were </w:t>
      </w:r>
      <w:r w:rsidR="00D71477" w:rsidRPr="001A7586">
        <w:t xml:space="preserve">the </w:t>
      </w:r>
      <w:r w:rsidR="00D33543" w:rsidRPr="001A7586">
        <w:t>number of tsik-egg and e</w:t>
      </w:r>
      <w:r w:rsidRPr="001A7586">
        <w:t xml:space="preserve">gg </w:t>
      </w:r>
      <w:r w:rsidR="00D8399B" w:rsidRPr="001A7586">
        <w:lastRenderedPageBreak/>
        <w:t>vocalizations</w:t>
      </w:r>
      <w:r w:rsidR="004211D6" w:rsidRPr="001A7586">
        <w:t>, and the influence of the tsik calls was negligible</w:t>
      </w:r>
      <w:r w:rsidRPr="001A7586">
        <w:t xml:space="preserve">. Specifically, animals who scored highly on this composite score spent more time at the back of the cage and high in the cage, indicating a greater </w:t>
      </w:r>
      <w:r w:rsidR="00703DEA" w:rsidRPr="001A7586">
        <w:t xml:space="preserve">avoidance of </w:t>
      </w:r>
      <w:r w:rsidRPr="001A7586">
        <w:t xml:space="preserve">the human intruder. They also spent more time head and body bobbing, less time locomoting and made </w:t>
      </w:r>
      <w:r w:rsidR="00536B77" w:rsidRPr="001A7586">
        <w:t xml:space="preserve">fewer tsik </w:t>
      </w:r>
      <w:r w:rsidR="00D8399B" w:rsidRPr="001A7586">
        <w:t>vocalizations</w:t>
      </w:r>
      <w:r w:rsidR="00536B77" w:rsidRPr="001A7586">
        <w:t xml:space="preserve"> and </w:t>
      </w:r>
      <w:r w:rsidRPr="001A7586">
        <w:t xml:space="preserve">more egg/tse-egg </w:t>
      </w:r>
      <w:r w:rsidR="00D8399B" w:rsidRPr="001A7586">
        <w:t>vocalizations</w:t>
      </w:r>
      <w:r w:rsidRPr="001A7586">
        <w:t xml:space="preserve">, </w:t>
      </w:r>
      <w:r w:rsidR="00703DEA" w:rsidRPr="001A7586">
        <w:t>all</w:t>
      </w:r>
      <w:r w:rsidRPr="001A7586">
        <w:t xml:space="preserve"> signs of anxious </w:t>
      </w:r>
      <w:r w:rsidR="00D71B0B" w:rsidRPr="001A7586">
        <w:t>behavior</w:t>
      </w:r>
      <w:r w:rsidRPr="001A7586">
        <w:t xml:space="preserve"> in marmosets </w:t>
      </w:r>
      <w:r w:rsidRPr="00E20348">
        <w:fldChar w:fldCharType="begin" w:fldLock="1"/>
      </w:r>
      <w:r w:rsidR="007C1DE8" w:rsidRPr="001A7586">
        <w:instrText>ADDIN CSL_CITATION {"citationItems":[{"id":"ITEM-1","itemData":{"author":[{"dropping-particle":"","family":"Bezerra","given":"Bruna Martins","non-dropping-particle":"","parse-names":false,"suffix":""},{"dropping-particle":"","family":"Souto","given":"Antonio","non-dropping-particle":"","parse-names":false,"suffix":""}],"container-title":"International Journal of Primatology","id":"ITEM-1","issue":"3","issued":{"date-parts":[["2008"]]},"page":"671–701","title":"Structure and usage of the vocal repertoire of Callithrix jacchus","type":"article-journal","volume":"29"},"uris":["http://www.mendeley.com/documents/?uuid=0ea442f4-f1a6-4924-83e4-6aca4a25c429"]},{"id":"ITEM-2","itemData":{"DOI":"10.1016/0091-3057(92)90458-R","ISSN":"0091-3057","abstract":"The effects of the anxiogenic agents FG7142, caffeine, pentylenetetrazole, and amphetamine were assessed in two anxiety situations in the marmoset, first in an “anxiogenic” test based on the animal's response to a human observer standing in front of the home cage and second in a low-anxiety situation where animals behaviour was videotaped in the absence of the observer. In response to the human observer, the anxiolytic agent diazepam (0.1–2.5 mg/kg, SC) was shown to reduce the intensity of behaviours such as postures, while increasing time spent on the cage front. In this test, with the exception of amphetamine, which only modified responding at stereotypic doses, the anxiogenic agents failed to modify marmoset behaviour. In contrast, in the low-anxiety filming protocol the anxiogenic agents consistently reduced measures of locomotor activity while increasing the amount of time animals spent in the nest box. It is suggested that the low-anxiety protocol may be useful to evaluate drug-induced anxiogenesis and in studies of withdrawal from chronic anxiolytic treatment or drugs of abuse.","author":[{"dropping-particle":"","family":"Carey","given":"G. J.","non-dropping-particle":"","parse-names":false,"suffix":""},{"dropping-particle":"","family":"Costall","given":"B.","non-dropping-particle":"","parse-names":false,"suffix":""},{"dropping-particle":"","family":"Domeney","given":"A. M.","non-dropping-particle":"","parse-names":false,"suffix":""},{"dropping-particle":"","family":"Jones","given":"D. N. C.","non-dropping-particle":"","parse-names":false,"suffix":""},{"dropping-particle":"","family":"Naylor","given":"R. J.","non-dropping-particle":"","parse-names":false,"suffix":""}],"container-title":"Pharmacology Biochemistry and Behavior","id":"ITEM-2","issue":"1","issued":{"date-parts":[["1992","5"]]},"page":"143-153","title":"Behavioural effects of anxiogenic agents in the common marmoset","type":"article-journal","volume":"42"},"uris":["http://www.mendeley.com/documents/?uuid=c06f20d2-9fc0-49a9-a47a-b1c3a90cde00"]},{"id":"ITEM-3","itemData":{"DOI":"10.1016/j.biopsych.2012.03.007\rS0006-3223(12)00225-9 [pii]","ISBN":"1873-2402 (Electronic)\r0006-3223 (Linking)","ISSN":"00063223","PMID":"22502990","abstract":"BACKGROUND: Heightened fear and anxiety are core symptoms of a variety of neuropsychiatric disorders. They are associated with structural and activity changes throughout neural circuitry that includes the ventral and medial prefrontal cortices (PFC), the amygdala, and hippocampus. Although the contributions of the medial PFC, amygdala, and hippocampus to fear and anxiety have been studied extensively with animal models, the selective roles of the ventral PFC-including the ventrolateral prefrontal cortex (vlPFC) and orbitofrontal cortex-are poorly understood. METHODS: We investigated the effects of selective excitotoxic lesions of either the vlPFC or anterior orbitofrontal cortex (antOFC) on anxious behavior and Pavlovian conditioned autonomic and behavioral fear responses in the New World primate, the common marmoset. RESULTS: Both vlPFC and antOFC lesions resulted in stronger, less adaptable conditioned fear responses. They also heightened the anxiety responses of a marmoset to a human intruder. In contrast, only a lesion of the vlPFC affected the coping style that a marmoset displayed in the presence of the human intruder, increasing the likelihood of proactive mobbing. CONCLUSIONS: These results suggest that both the antOFC and vlPFC can downregulate fear and anxiety and, together, provide necessary but independent contributions to the top-down control of negative emotion.","author":[{"dropping-particle":"","family":"Agustín-Pavón","given":"C.","non-dropping-particle":"","parse-names":false,"suffix":""},{"dropping-particle":"","family":"Braesicke","given":"K.","non-dropping-particle":"","parse-names":false,"suffix":""},{"dropping-particle":"","family":"Shiba","given":"Y.","non-dropping-particle":"","parse-names":false,"suffix":""},{"dropping-particle":"","family":"Santangelo","given":"A.M. M","non-dropping-particle":"","parse-names":false,"suffix":""},{"dropping-particle":"","family":"Mikheenko","given":"Y.","non-dropping-particle":"","parse-names":false,"suffix":""},{"dropping-particle":"","family":"Cockroft","given":"G.","non-dropping-particle":"","parse-names":false,"suffix":""},{"dropping-particle":"","family":"Asma","given":"F.","non-dropping-particle":"","parse-names":false,"suffix":""},{"dropping-particle":"","family":"Clarke","given":"H.","non-dropping-particle":"","parse-names":false,"suffix":""},{"dropping-particle":"","family":"Man","given":"M.-S. S","non-dropping-particle":"","parse-names":false,"suffix":""},{"dropping-particle":"","family":"Roberts","given":"A.C. C","non-dropping-particle":"","parse-names":false,"suffix":""},{"dropping-particle":"","family":"Agustin-Pavon","given":"C","non-dropping-particle":"","parse-names":false,"suffix":""},{"dropping-particle":"","family":"Braesicke","given":"K.","non-dropping-particle":"","parse-names":false,"suffix":""},{"dropping-particle":"","family":"Shiba","given":"Y.","non-dropping-particle":"","parse-names":false,"suffix":""},{"dropping-particle":"","family":"Santangelo","given":"A.M. M","non-dropping-particle":"","parse-names":false,"suffix":""},{"dropping-particle":"","family":"Mikheenko","given":"Y.","non-dropping-particle":"","parse-names":false,"suffix":""},{"dropping-particle":"","family":"Cockroft","given":"G.","non-dropping-particle":"","parse-names":false,"suffix":""},{"dropping-particle":"","family":"Asma","given":"F.","non-dropping-particle":"","parse-names":false,"suffix":""},{"dropping-particle":"","family":"Clarke","given":"H.","non-dropping-particle":"","parse-names":false,"suffix":""},{"dropping-particle":"","family":"Man","given":"M.-S. S","non-dropping-particle":"","parse-names":false,"suffix":""},{"dropping-particle":"","family":"Roberts","given":"A.C. C","non-dropping-particle":"","parse-names":false,"suffix":""}],"container-title":"Biological Psychiatry","edition":"2012/04/17","id":"ITEM-3","issue":"4","issued":{"date-parts":[["2012"]]},"language":"eng","note":"From Duplicate 1 (Lesions of ventrolateral prefrontal or anterior orbitofrontal cortex in primates heighten negative emotion - Agustin-Pavon, C; Braesicke, K; Shiba, Y; Santangelo, A M; Mikheenko, Y; Cockroft, G; Asma, F; Clarke, H; Man, M S; Roberts, A C)\n\nAgustin-Pavon, Carmen\nBraesicke, Katrin\nShiba, Yoshiro\nSantangelo, Andrea M\nMikheenko, Yevheniia\nCockroft, Gemma\nAsma, Faaiza\nClarke, Hannah\nMan, Mei-See\nRoberts, Angela C\nG0901884/Medical Research Council/United Kingdom\nResearch Support, Non-U.S. Gov't\nUnited States\nBiological psychiatry\nBiol Psychiatry. 2012 Aug 15;72(4):266-72. doi: 10.1016/j.biopsych.2012.03.007. Epub 2012 Apr 12.","page":"266-272","title":"Lesions of ventrolateral prefrontal or anterior orbitofrontal cortex in primates heighten negative emotion","type":"article-journal","volume":"72"},"uris":["http://www.mendeley.com/documents/?uuid=4590a8d0-afec-45b3-843d-13571352c3ea"]},{"id":"ITEM-4","itemData":{"DOI":"10.1038/npp.2016.41","ISSN":"1740634X","abstract":"Genetic polymorphisms in the repeat upstream region of the serotonin transporter gene (SLC6A4) are associated with individual differences in stress reactivity, vulnerability to affective disorders, and response to pharmacotherapy. However, the molecular, neurodevelopmental and psychopharmacological mechanisms underlying the link between SLC6A4 polymorphisms and the emotionally vulnerable phenotype are not fully understood. Thus, using the marmoset monkey Callithrix jacchus we characterize here a new neurobiological model to help to address these questions. We first sequenced the marmoset SLC6A4 promoter and identified a double nucleotide polymorphism (-2053AC/CT) and two single-nucleotide polymorphisms (-2022C/T and -1592G/C) within the repeat upstream region. We showed their association with gene expression using in vivo quantitative PCR and with affective behavior using a primate test of anxiety (human intruder test). The low-expressing haplotype (AC/C/G) was linked with high anxiety while the high-expressing one (CT/T/C) was associated with an active coping strategy in response to threat. Pharmacological challenge with an acute dose of the selective serotonin reuptake inhibitor, citalopram, revealed a genotype-dependent behavioral response. While individuals homozygous for the high anxiety-related haplotype AC/C/G exhibited a dose-dependent, anxiogenic response, individuals homozygous for the low anxiety-related haplotype CT/T/C showed an opposing, dose-dependent anxiolytic effect. These findings provide a novel genetic and behavioral primate model to study the molecular, neurodevelopmental, and psychopharmacological mechanisms that underlie genetic variation-associated complex behaviors, with specific implications for the understanding of normal and abnormal serotonin actions and the development of personalized pharmacological treatments for psychiatric disorders.","author":[{"dropping-particle":"","family":"Santangelo","given":"A.M.","non-dropping-particle":"","parse-names":false,"suffix":""},{"dropping-particle":"","family":"Ito","given":"M.","non-dropping-particle":"","parse-names":false,"suffix":""},{"dropping-particle":"","family":"Shiba","given":"Y.","non-dropping-particle":"","parse-names":false,"suffix":""},{"dropping-particle":"","family":"Clarke","given":"H.F.","non-dropping-particle":"","parse-names":false,"suffix":""},{"dropping-particle":"","family":"Schut","given":"E.H.S.","non-dropping-particle":"","parse-names":false,"suffix":""},{"dropping-particle":"","family":"Cockcroft","given":"G.","non-dropping-particle":"","parse-names":false,"suffix":""},{"dropping-particle":"","family":"Ferguson-Smith","given":"A.C.","non-dropping-particle":"","parse-names":false,"suffix":""},{"dropping-particle":"","family":"Roberts","given":"A.C.","non-dropping-particle":"","parse-names":false,"suffix":""}],"container-title":"Neuropsychopharmacology","id":"ITEM-4","issue":"9","issued":{"date-parts":[["2016"]]},"title":"Novel primate model of serotonin transporter genetic polymorphisms associated with gene expression, anxiety and sensitivity to antidepressants","type":"article-journal","volume":"41"},"uris":["http://www.mendeley.com/documents/?uuid=2d529ddd-4b74-30a2-b203-1a4348607a44"]}],"mendeley":{"formattedCitation":"(Carey et al., 1992; Bezerra and Souto, 2008; Agustín-Pavón et al., 2012a; Santangelo et al., 2016)","plainTextFormattedCitation":"(Carey et al., 1992; Bezerra and Souto, 2008; Agustín-Pavón et al., 2012a; Santangelo et al., 2016)","previouslyFormattedCitation":"(Carey et al., 1992; Bezerra and Souto, 2008; Agustín-Pavón et al., 2012a; Santangelo et al., 2016)"},"properties":{"noteIndex":0},"schema":"https://github.com/citation-style-language/schema/raw/master/csl-citation.json"}</w:instrText>
      </w:r>
      <w:r w:rsidRPr="00E20348">
        <w:fldChar w:fldCharType="separate"/>
      </w:r>
      <w:r w:rsidR="007C1DE8" w:rsidRPr="001A7586">
        <w:rPr>
          <w:noProof/>
        </w:rPr>
        <w:t>(Carey et al., 1992; Bezerra and Souto, 2008; Agustín-Pavón et al., 2012a; Santangelo et al., 2016)</w:t>
      </w:r>
      <w:r w:rsidRPr="00E20348">
        <w:fldChar w:fldCharType="end"/>
      </w:r>
      <w:r w:rsidRPr="001A7586">
        <w:t xml:space="preserve">. Thus, </w:t>
      </w:r>
      <w:r w:rsidRPr="001A7586">
        <w:rPr>
          <w:lang w:val="en-US"/>
        </w:rPr>
        <w:t xml:space="preserve">the pattern in which the items cluster on this factor are all indicative of anxious </w:t>
      </w:r>
      <w:r w:rsidR="00D71B0B" w:rsidRPr="001A7586">
        <w:rPr>
          <w:lang w:val="en-US"/>
        </w:rPr>
        <w:t>behavior</w:t>
      </w:r>
      <w:r w:rsidRPr="001A7586">
        <w:rPr>
          <w:lang w:val="en-US"/>
        </w:rPr>
        <w:t xml:space="preserve"> and suggest that these different </w:t>
      </w:r>
      <w:r w:rsidR="00D71B0B" w:rsidRPr="001A7586">
        <w:rPr>
          <w:lang w:val="en-US"/>
        </w:rPr>
        <w:t>behavior</w:t>
      </w:r>
      <w:r w:rsidRPr="001A7586">
        <w:rPr>
          <w:lang w:val="en-US"/>
        </w:rPr>
        <w:t xml:space="preserve">s are acting together to drive one underlying composite </w:t>
      </w:r>
      <w:r w:rsidR="00D71B0B" w:rsidRPr="001A7586">
        <w:rPr>
          <w:lang w:val="en-US"/>
        </w:rPr>
        <w:t>behavior</w:t>
      </w:r>
      <w:r w:rsidRPr="001A7586">
        <w:rPr>
          <w:lang w:val="en-US"/>
        </w:rPr>
        <w:t xml:space="preserve"> that represents an animal’s overall anxiety towards the human intruder. This composite anxiety score was therefore calculated for each of the high anxious animals on each occasion they performed the human intruder test in this study using z scores derived from their performance as a group. </w:t>
      </w:r>
    </w:p>
    <w:p w14:paraId="18522A27" w14:textId="2DCEF16F" w:rsidR="0030434C" w:rsidRPr="001A7586" w:rsidRDefault="0030434C" w:rsidP="00AF18CF">
      <w:pPr>
        <w:spacing w:line="480" w:lineRule="auto"/>
        <w:jc w:val="both"/>
        <w:rPr>
          <w:b/>
          <w:i/>
        </w:rPr>
      </w:pPr>
      <w:r w:rsidRPr="001A7586">
        <w:rPr>
          <w:b/>
          <w:i/>
        </w:rPr>
        <w:t>Unexpected threat paradigm</w:t>
      </w:r>
    </w:p>
    <w:p w14:paraId="141E24BE" w14:textId="11CD8F5D" w:rsidR="00AF7C9C" w:rsidRPr="001A7586" w:rsidRDefault="00D71B0B" w:rsidP="00AF18CF">
      <w:pPr>
        <w:spacing w:line="480" w:lineRule="auto"/>
        <w:jc w:val="both"/>
      </w:pPr>
      <w:r w:rsidRPr="001A7586">
        <w:t>Behavior</w:t>
      </w:r>
      <w:r w:rsidR="00AF7C9C" w:rsidRPr="001A7586">
        <w:t xml:space="preserve">al testing using the unexpected threat paradigm took place within a custom made sound-attenuated testing chamber in a dark room. This apparatus enabled the measurement of real-time cardiovascular activity via a receiver situated directly under the animal. Animals were trained to enter a transparent Perspex carry box (l=21.5, w=19, h=25 cm), with air holes and a removable clear Perspex door in which they were transported to the </w:t>
      </w:r>
      <w:r w:rsidRPr="001A7586">
        <w:t>behavior</w:t>
      </w:r>
      <w:r w:rsidR="00AF7C9C" w:rsidRPr="001A7586">
        <w:t xml:space="preserve">al test apparatus. The Perspex carry box was placed inside the test chamber, and the marmoset remained inside this box at all times during testing. The test chamber was lit by a 3W bulb (houselight), located in the middle of the ceiling of the chamber and contained a computer-controlled speaker and a siren generator </w:t>
      </w:r>
      <w:bookmarkStart w:id="5" w:name="OLE_LINK86"/>
      <w:bookmarkStart w:id="6" w:name="OLE_LINK87"/>
      <w:bookmarkStart w:id="7" w:name="OLE_LINK88"/>
      <w:r w:rsidR="00AF7C9C" w:rsidRPr="001A7586">
        <w:t>(120dB; Biotronix, Cambridge)</w:t>
      </w:r>
      <w:bookmarkEnd w:id="5"/>
      <w:bookmarkEnd w:id="6"/>
      <w:bookmarkEnd w:id="7"/>
      <w:r w:rsidR="00AF7C9C" w:rsidRPr="001A7586">
        <w:t xml:space="preserve"> through which 75dB auditory stimuli and a 117dB siren (mildly aversive loud noise) could be played. The apparatus was controlled by the Whisker control system</w:t>
      </w:r>
      <w:bookmarkStart w:id="8" w:name="OLE_LINK89"/>
      <w:bookmarkStart w:id="9" w:name="OLE_LINK90"/>
      <w:bookmarkStart w:id="10" w:name="OLE_LINK91"/>
      <w:bookmarkStart w:id="11" w:name="OLE_LINK92"/>
      <w:r w:rsidR="00AF7C9C" w:rsidRPr="001A7586">
        <w:t xml:space="preserve"> </w:t>
      </w:r>
      <w:r w:rsidR="00AF7C9C" w:rsidRPr="00E20348">
        <w:fldChar w:fldCharType="begin" w:fldLock="1"/>
      </w:r>
      <w:r w:rsidR="007C1DE8" w:rsidRPr="001A7586">
        <w:instrText>ADDIN CSL_CITATION {"citationItems":[{"id":"ITEM-1","itemData":{"DOI":"10.3758/BRM.42.4.1059\r42/4/1059 [pii]","ISBN":"1554-3528 (Electronic)\r1554-351X (Linking)","PMID":"21139173","abstract":"We describe an original client-server approach to behavioral research control and the Whisker system, a specific implementation of this design. The server process controls several types of hardware, including digital input/output devices, multiple graphical monitors and touchscreens, keyboards, mice, and sound cards. It provides a way to access this hardware for client programs, communicating with them via a simple text-based network protocol based on the standard Internet protocol. Clients to implement behavioral tasks may be written in any network-capable programming language. Applications to date have been in experimental psychology and behavioral and cognitive neuroscience, using rodents, humans, nonhuman primates, dogs, pigs, and birds. This system is flexible and reliable, although there are potential disadvantages in terms of complexity. Its design, features, and performance are described.","author":[{"dropping-particle":"","family":"Cardinal","given":"R N","non-dropping-particle":"","parse-names":false,"suffix":""},{"dropping-particle":"","family":"Aitken","given":"M R","non-dropping-particle":"","parse-names":false,"suffix":""}],"container-title":"Behav Res Methods","edition":"2010/12/09","id":"ITEM-1","issue":"4","issued":{"date-parts":[["2010"]]},"language":"eng","note":"Cardinal, Rudolf N\nAitken, Michael R F\nUnited States\nBehavior research methods\nBehav Res Methods. 2010 Nov;42(4):1059-71. doi: 10.3758/BRM.42.4.1059.","page":"1059-1071","title":"Whisker: a client-server high-performance multimedia research control system","type":"article-journal","volume":"42"},"uris":["http://www.mendeley.com/documents/?uuid=9cd47e9e-e6f9-48e7-bd5a-6fe1a924ca16"]}],"mendeley":{"formattedCitation":"(Cardinal and Aitken, 2010)","plainTextFormattedCitation":"(Cardinal and Aitken, 2010)","previouslyFormattedCitation":"(Cardinal and Aitken, 2010)"},"properties":{"noteIndex":0},"schema":"https://github.com/citation-style-language/schema/raw/master/csl-citation.json"}</w:instrText>
      </w:r>
      <w:r w:rsidR="00AF7C9C" w:rsidRPr="00E20348">
        <w:fldChar w:fldCharType="separate"/>
      </w:r>
      <w:r w:rsidR="007C1DE8" w:rsidRPr="001A7586">
        <w:rPr>
          <w:noProof/>
        </w:rPr>
        <w:t>(Cardinal and Aitken, 2010)</w:t>
      </w:r>
      <w:r w:rsidR="00AF7C9C" w:rsidRPr="00E20348">
        <w:fldChar w:fldCharType="end"/>
      </w:r>
      <w:r w:rsidR="00AF7C9C" w:rsidRPr="001A7586">
        <w:t xml:space="preserve"> and in-house software.</w:t>
      </w:r>
      <w:bookmarkEnd w:id="8"/>
      <w:bookmarkEnd w:id="9"/>
      <w:bookmarkEnd w:id="10"/>
      <w:bookmarkEnd w:id="11"/>
      <w:r w:rsidR="00AF7C9C" w:rsidRPr="001A7586">
        <w:t xml:space="preserve"> </w:t>
      </w:r>
      <w:bookmarkStart w:id="12" w:name="OLE_LINK96"/>
      <w:bookmarkStart w:id="13" w:name="OLE_LINK97"/>
      <w:r w:rsidR="00AF7C9C" w:rsidRPr="001A7586">
        <w:t>Three video cameras were positioned in the test chamber so that the activity of the animal within the Perspex box could be recorded</w:t>
      </w:r>
      <w:bookmarkEnd w:id="12"/>
      <w:bookmarkEnd w:id="13"/>
      <w:r w:rsidR="00AF7C9C" w:rsidRPr="001A7586">
        <w:t xml:space="preserve"> by video software (CyberLink, Power Director, CyberLink Corp), and directly observed by the experimenter during testing.</w:t>
      </w:r>
    </w:p>
    <w:p w14:paraId="0B892928" w14:textId="05B2272F" w:rsidR="004D5EE5" w:rsidRPr="001A7586" w:rsidRDefault="00AF7C9C" w:rsidP="00AF18CF">
      <w:pPr>
        <w:spacing w:line="480" w:lineRule="auto"/>
        <w:jc w:val="both"/>
        <w:rPr>
          <w:bCs/>
        </w:rPr>
      </w:pPr>
      <w:r w:rsidRPr="001A7586">
        <w:lastRenderedPageBreak/>
        <w:t xml:space="preserve">The aim of this test was </w:t>
      </w:r>
      <w:r w:rsidR="004D5EE5" w:rsidRPr="001A7586">
        <w:t xml:space="preserve">to expose </w:t>
      </w:r>
      <w:r w:rsidRPr="001A7586">
        <w:t>marmosets to a particular context with unpredictable threat (aversive loud noise) and then to determine their reactivity to a novel, unfamiliar cue presented within this unpredictable threat context. In order to investigate the effect of a variety of central brain manipulations on their reactivity to unfamiliar cues a repeated block design was used involving a 5-day cycle of sessions per block. In each session, the animal was positioned inside the Perspex carry box within the testing apparatus and the houselight was on. For the first 4 unpredictable threat days, animals were placed in the familiar environment of the testing box for 25 mins and presented intermittently with an aversive sound (</w:t>
      </w:r>
      <w:r w:rsidRPr="001A7586">
        <w:rPr>
          <w:bCs/>
        </w:rPr>
        <w:t xml:space="preserve">unconditioned stimulus (US)) and an auditory cue.  Each auditory </w:t>
      </w:r>
      <w:r w:rsidR="00F07DB0" w:rsidRPr="001A7586">
        <w:rPr>
          <w:bCs/>
        </w:rPr>
        <w:t>cue</w:t>
      </w:r>
      <w:r w:rsidRPr="001A7586">
        <w:rPr>
          <w:bCs/>
        </w:rPr>
        <w:t xml:space="preserve"> was 20 sec long, 75dB and was presented 12 times with an intertrial interval (ITI) of 40-80 sec. Each US was a 0.4 sec, intrinsically aversive 117dB siren </w:t>
      </w:r>
      <w:r w:rsidRPr="00E20348">
        <w:rPr>
          <w:bCs/>
        </w:rPr>
        <w:fldChar w:fldCharType="begin" w:fldLock="1"/>
      </w:r>
      <w:r w:rsidR="007C1DE8" w:rsidRPr="001A7586">
        <w:rPr>
          <w:bCs/>
        </w:rPr>
        <w:instrText>ADDIN CSL_CITATION {"citationItems":[{"id":"ITEM-1","itemData":{"DOI":"10.1016/j.biopsych.2012.03.007","ISSN":"1873-2402","PMID":"22502990","abstract":"Heightened fear and anxiety are core symptoms of a variety of neuropsychiatric disorders. They are associated with structural and activity changes throughout neural circuitry that includes the ventral and medial prefrontal cortices (PFC), the amygdala, and hippocampus. Although the contributions of the medial PFC, amygdala, and hippocampus to fear and anxiety have been studied extensively with animal models, the selective roles of the ventral PFC-including the ventrolateral prefrontal cortex (vlPFC) and orbitofrontal cortex-are poorly understood.","author":[{"dropping-particle":"","family":"Agustín-Pavón","given":"Carmen","non-dropping-particle":"","parse-names":false,"suffix":""},{"dropping-particle":"","family":"Braesicke","given":"Katrin","non-dropping-particle":"","parse-names":false,"suffix":""},{"dropping-particle":"","family":"Shiba","given":"Yoshiro","non-dropping-particle":"","parse-names":false,"suffix":""},{"dropping-particle":"","family":"Santangelo","given":"Andrea M","non-dropping-particle":"","parse-names":false,"suffix":""},{"dropping-particle":"","family":"Mikheenko","given":"Yevheniia","non-dropping-particle":"","parse-names":false,"suffix":""},{"dropping-particle":"","family":"Cockroft","given":"Gemma","non-dropping-particle":"","parse-names":false,"suffix":""},{"dropping-particle":"","family":"Asma","given":"Faaiza","non-dropping-particle":"","parse-names":false,"suffix":""},{"dropping-particle":"","family":"Clarke","given":"Hannah","non-dropping-particle":"","parse-names":false,"suffix":""},{"dropping-particle":"","family":"Man","given":"Mei-See","non-dropping-particle":"","parse-names":false,"suffix":""},{"dropping-particle":"","family":"Roberts","given":"Angela C","non-dropping-particle":"","parse-names":false,"suffix":""}],"container-title":"Biological psychiatry","id":"ITEM-1","issue":"4","issued":{"date-parts":[["2012","8"]]},"page":"266-72","publisher":"Elsevier Inc.","title":"Lesions of ventrolateral prefrontal or anterior orbitofrontal cortex in primates heighten negative emotion.","type":"article-journal","volume":"72"},"uris":["http://www.mendeley.com/documents/?uuid=45b73c56-54f3-4e01-afdf-f88faca7c5fa"]}],"mendeley":{"formattedCitation":"(Agustín-Pavón et al., 2012b)","plainTextFormattedCitation":"(Agustín-Pavón et al., 2012b)","previouslyFormattedCitation":"(Agustín-Pavón et al., 2012b)"},"properties":{"noteIndex":0},"schema":"https://github.com/citation-style-language/schema/raw/master/csl-citation.json"}</w:instrText>
      </w:r>
      <w:r w:rsidRPr="00E20348">
        <w:rPr>
          <w:bCs/>
        </w:rPr>
        <w:fldChar w:fldCharType="separate"/>
      </w:r>
      <w:r w:rsidR="007C1DE8" w:rsidRPr="001A7586">
        <w:rPr>
          <w:bCs/>
          <w:noProof/>
        </w:rPr>
        <w:t>(Agustín-Pavón et al., 2012b)</w:t>
      </w:r>
      <w:r w:rsidRPr="00E20348">
        <w:rPr>
          <w:bCs/>
        </w:rPr>
        <w:fldChar w:fldCharType="end"/>
      </w:r>
      <w:r w:rsidRPr="001A7586">
        <w:rPr>
          <w:bCs/>
        </w:rPr>
        <w:t xml:space="preserve"> and was also presented 12 times per session with an ITI of 40-80 sec. The threat of the aversive US was unpredictable as there was no temporal relationship be</w:t>
      </w:r>
      <w:r w:rsidR="00935F87" w:rsidRPr="001A7586">
        <w:rPr>
          <w:bCs/>
        </w:rPr>
        <w:t>tween the auditory cues and USs</w:t>
      </w:r>
      <w:r w:rsidR="00833B1B" w:rsidRPr="001A7586">
        <w:rPr>
          <w:bCs/>
        </w:rPr>
        <w:t>, thus the best predictor of the aversive noise was the context, namely the test apparatus.</w:t>
      </w:r>
      <w:r w:rsidRPr="001A7586">
        <w:rPr>
          <w:bCs/>
        </w:rPr>
        <w:t xml:space="preserve"> On the ambiguous cue probe (5</w:t>
      </w:r>
      <w:r w:rsidRPr="001A7586">
        <w:rPr>
          <w:bCs/>
          <w:vertAlign w:val="superscript"/>
        </w:rPr>
        <w:t>th</w:t>
      </w:r>
      <w:r w:rsidRPr="001A7586">
        <w:rPr>
          <w:bCs/>
        </w:rPr>
        <w:t xml:space="preserve"> day), monkeys were presented with a novel, 20 sec, 75dB auditory </w:t>
      </w:r>
      <w:r w:rsidR="00F07DB0" w:rsidRPr="001A7586">
        <w:rPr>
          <w:bCs/>
        </w:rPr>
        <w:t>cue</w:t>
      </w:r>
      <w:r w:rsidRPr="001A7586">
        <w:rPr>
          <w:bCs/>
        </w:rPr>
        <w:t xml:space="preserve"> presented 12 times with an ITI of 100-180 sec within this same threatening context. No USs were presented. All drug manipulations occurred on these ambiguous cue probe days. After the cue probe day, the next cycle then started with </w:t>
      </w:r>
      <w:r w:rsidR="00830498" w:rsidRPr="001A7586">
        <w:rPr>
          <w:bCs/>
        </w:rPr>
        <w:t>the</w:t>
      </w:r>
      <w:r w:rsidRPr="001A7586">
        <w:rPr>
          <w:bCs/>
        </w:rPr>
        <w:t xml:space="preserve"> novel auditory cue </w:t>
      </w:r>
      <w:r w:rsidR="00830498" w:rsidRPr="001A7586">
        <w:rPr>
          <w:bCs/>
        </w:rPr>
        <w:t xml:space="preserve">from the prior ambiguous cue probe day </w:t>
      </w:r>
      <w:r w:rsidRPr="001A7586">
        <w:rPr>
          <w:bCs/>
        </w:rPr>
        <w:t xml:space="preserve">incorporated into the unpredictable threat training. </w:t>
      </w:r>
    </w:p>
    <w:p w14:paraId="637438EE" w14:textId="06FB7754" w:rsidR="00AF7C9C" w:rsidRPr="001A7586" w:rsidRDefault="00AF7C9C" w:rsidP="00AF18CF">
      <w:pPr>
        <w:spacing w:line="480" w:lineRule="auto"/>
        <w:jc w:val="both"/>
        <w:rPr>
          <w:bCs/>
        </w:rPr>
      </w:pPr>
      <w:r w:rsidRPr="001A7586">
        <w:rPr>
          <w:bCs/>
        </w:rPr>
        <w:t>This paradigm therefore measures the response to an uncertain, novel stimulus in an environment associated with the unpredicta</w:t>
      </w:r>
      <w:r w:rsidR="00833B1B" w:rsidRPr="001A7586">
        <w:rPr>
          <w:bCs/>
        </w:rPr>
        <w:t xml:space="preserve">ble threat of a noise stressor </w:t>
      </w:r>
      <w:r w:rsidR="00935F87" w:rsidRPr="001A7586">
        <w:rPr>
          <w:bCs/>
        </w:rPr>
        <w:t>(see Figure 3A). However, a</w:t>
      </w:r>
      <w:r w:rsidRPr="001A7586">
        <w:rPr>
          <w:bCs/>
        </w:rPr>
        <w:t xml:space="preserve">s the meaning of the novel cue </w:t>
      </w:r>
      <w:r w:rsidR="004D5EE5" w:rsidRPr="001A7586">
        <w:rPr>
          <w:bCs/>
        </w:rPr>
        <w:t xml:space="preserve">on the probe session </w:t>
      </w:r>
      <w:r w:rsidRPr="001A7586">
        <w:rPr>
          <w:bCs/>
        </w:rPr>
        <w:t>is ambiguous, it is potentially threatening – a potential that is amplified by it being presented within an environment</w:t>
      </w:r>
      <w:r w:rsidR="00935F87" w:rsidRPr="001A7586">
        <w:rPr>
          <w:bCs/>
        </w:rPr>
        <w:t xml:space="preserve"> associated with the risk of unpredictable threat</w:t>
      </w:r>
      <w:r w:rsidRPr="001A7586">
        <w:rPr>
          <w:bCs/>
        </w:rPr>
        <w:t xml:space="preserve">. </w:t>
      </w:r>
      <w:r w:rsidR="00833B1B" w:rsidRPr="001A7586">
        <w:rPr>
          <w:bCs/>
        </w:rPr>
        <w:t xml:space="preserve"> By including an unpaired auditory cue on the unpredictable threat sessions, it </w:t>
      </w:r>
      <w:r w:rsidR="00833B1B" w:rsidRPr="00E20348">
        <w:rPr>
          <w:bCs/>
        </w:rPr>
        <w:t>also becomes part of the context (although to a lesser extent than the testing apparatus), and prevents the marmosets learning that the every auditory cue presentation (the probe days) is associated with no US presentation</w:t>
      </w:r>
      <w:r w:rsidR="00833B1B" w:rsidRPr="001A7586">
        <w:rPr>
          <w:bCs/>
        </w:rPr>
        <w:t xml:space="preserve">. </w:t>
      </w:r>
      <w:r w:rsidRPr="001A7586">
        <w:t xml:space="preserve">Performing the drug manipulations on the cue probe day therefore allows the </w:t>
      </w:r>
      <w:r w:rsidRPr="001A7586">
        <w:lastRenderedPageBreak/>
        <w:t>investigation of the components of this acute stress response in the absence of the noise stressor itself.</w:t>
      </w:r>
    </w:p>
    <w:p w14:paraId="7CB8ED3B" w14:textId="77777777" w:rsidR="00AF7C9C" w:rsidRPr="001A7586" w:rsidRDefault="00AF7C9C" w:rsidP="00AF18CF">
      <w:pPr>
        <w:spacing w:line="480" w:lineRule="auto"/>
        <w:jc w:val="both"/>
        <w:rPr>
          <w:bCs/>
        </w:rPr>
      </w:pPr>
    </w:p>
    <w:p w14:paraId="5D71EA6A" w14:textId="77777777" w:rsidR="00AF7C9C" w:rsidRPr="001A7586" w:rsidRDefault="00AF7C9C" w:rsidP="00AF18CF">
      <w:pPr>
        <w:pStyle w:val="Heading3"/>
        <w:tabs>
          <w:tab w:val="left" w:pos="2670"/>
        </w:tabs>
        <w:spacing w:line="480" w:lineRule="auto"/>
        <w:jc w:val="both"/>
        <w:rPr>
          <w:rFonts w:asciiTheme="minorHAnsi" w:hAnsiTheme="minorHAnsi"/>
          <w:b/>
          <w:color w:val="auto"/>
          <w:sz w:val="22"/>
        </w:rPr>
      </w:pPr>
      <w:r w:rsidRPr="001A7586">
        <w:rPr>
          <w:rFonts w:asciiTheme="minorHAnsi" w:hAnsiTheme="minorHAnsi"/>
          <w:b/>
          <w:color w:val="auto"/>
          <w:sz w:val="22"/>
        </w:rPr>
        <w:t>Unexpected threat analysis</w:t>
      </w:r>
      <w:r w:rsidRPr="001A7586">
        <w:rPr>
          <w:rFonts w:asciiTheme="minorHAnsi" w:hAnsiTheme="minorHAnsi"/>
          <w:b/>
          <w:color w:val="auto"/>
          <w:sz w:val="22"/>
        </w:rPr>
        <w:tab/>
      </w:r>
    </w:p>
    <w:p w14:paraId="7E45C05A" w14:textId="13C6DF37" w:rsidR="004D5EE5" w:rsidRPr="001A7586" w:rsidRDefault="00AF7C9C" w:rsidP="00AF18CF">
      <w:pPr>
        <w:spacing w:line="480" w:lineRule="auto"/>
        <w:jc w:val="both"/>
        <w:rPr>
          <w:rFonts w:cstheme="minorHAnsi"/>
          <w:color w:val="000000"/>
        </w:rPr>
      </w:pPr>
      <w:r w:rsidRPr="001A7586">
        <w:t xml:space="preserve">For cardiovascular analysis, blood pressure (BP) data was continuously transmitted by the implanted probe to a receiver (RPC-1, DSI), located beneath the testing apparatus. By comparison with an ambient pressure reference monitor (APR-1, DSI), a calibrated pressure output </w:t>
      </w:r>
      <w:r w:rsidR="00D8399B" w:rsidRPr="001A7586">
        <w:t>adapter</w:t>
      </w:r>
      <w:r w:rsidRPr="001A7586">
        <w:t xml:space="preserve"> (R11CPA, DSI) converted the absolute pressure into a gauge pressure in mmHg. The data was then collected, </w:t>
      </w:r>
      <w:r w:rsidR="00D8399B" w:rsidRPr="001A7586">
        <w:t>analyzed</w:t>
      </w:r>
      <w:r w:rsidRPr="001A7586">
        <w:t xml:space="preserve"> and stored offline using an analogue/digital converter (micro 1401, Cambridge Electronic Design (CED)) and data acquisition software (Spike2 Version7.01, CED). Any outliers and recording failures in the data were removed (blood pressure values above 200 mmHg or below 0 mmHg, or other abnormal spikes). Data collection was reliable overall, but data gaps of less than 0.4s were replaced by cubic spline interpolation and gaps of more than 0.4s were treated as missing values. Systolic and diastolic BP events were extracted as local maxima and minima for each cardiac cycle and used to calculate the mean arterial pressure (</w:t>
      </w:r>
      <w:r w:rsidRPr="001A7586">
        <w:rPr>
          <w:rFonts w:cstheme="minorHAnsi"/>
        </w:rPr>
        <w:t xml:space="preserve">MAP; </w:t>
      </w:r>
      <w:r w:rsidRPr="001A7586">
        <w:rPr>
          <w:rFonts w:cstheme="minorHAnsi"/>
          <w:color w:val="000000"/>
        </w:rPr>
        <w:t xml:space="preserve">diastolic blood pressure + [1/3 (systolic blood pressure </w:t>
      </w:r>
      <w:r w:rsidRPr="001A7586">
        <w:rPr>
          <w:rFonts w:eastAsia="AdvOTd877c31c+22" w:cstheme="minorHAnsi"/>
          <w:color w:val="000000"/>
        </w:rPr>
        <w:t xml:space="preserve">− </w:t>
      </w:r>
      <w:r w:rsidRPr="001A7586">
        <w:rPr>
          <w:rFonts w:cstheme="minorHAnsi"/>
          <w:color w:val="000000"/>
        </w:rPr>
        <w:t>diastolic blood pressure)])</w:t>
      </w:r>
      <w:r w:rsidRPr="001A7586">
        <w:rPr>
          <w:rFonts w:cstheme="minorHAnsi"/>
        </w:rPr>
        <w:t>, and interbeat intervals used to calculate</w:t>
      </w:r>
      <w:r w:rsidRPr="001A7586">
        <w:t xml:space="preserve"> HR and HRV</w:t>
      </w:r>
      <w:r w:rsidRPr="001A7586">
        <w:rPr>
          <w:shd w:val="clear" w:color="auto" w:fill="FFFFFF"/>
        </w:rPr>
        <w:t xml:space="preserve"> (</w:t>
      </w:r>
      <w:r w:rsidRPr="001A7586">
        <w:rPr>
          <w:rFonts w:cstheme="minorHAnsi"/>
        </w:rPr>
        <w:t xml:space="preserve">the </w:t>
      </w:r>
      <w:r w:rsidRPr="001A7586">
        <w:rPr>
          <w:rFonts w:cstheme="minorHAnsi"/>
          <w:color w:val="000000"/>
        </w:rPr>
        <w:t xml:space="preserve">root-mean-square standard deviation [RMSSD] measure of the time difference between consecutive IBIs), for the 20 sec baseline and 20 sec aversive cue periods using </w:t>
      </w:r>
      <w:r w:rsidR="00330E12" w:rsidRPr="001A7586">
        <w:t>custom-written code (RN Cardinal) and the HRV Toolkit (</w:t>
      </w:r>
      <w:hyperlink r:id="rId9" w:history="1">
        <w:r w:rsidR="00330E12" w:rsidRPr="001A7586">
          <w:rPr>
            <w:rStyle w:val="Hyperlink"/>
          </w:rPr>
          <w:t>https://physionet.org/tutorials/hrv-toolkit/</w:t>
        </w:r>
      </w:hyperlink>
      <w:r w:rsidR="00330E12" w:rsidRPr="001A7586">
        <w:t>)</w:t>
      </w:r>
      <w:r w:rsidRPr="001A7586">
        <w:rPr>
          <w:rFonts w:cstheme="minorHAnsi"/>
          <w:color w:val="000000"/>
        </w:rPr>
        <w:t xml:space="preserve">. </w:t>
      </w:r>
    </w:p>
    <w:p w14:paraId="44C2E06C" w14:textId="30BAB826" w:rsidR="004D5EE5" w:rsidRPr="001A7586" w:rsidRDefault="00330E12" w:rsidP="00AF18CF">
      <w:pPr>
        <w:spacing w:line="480" w:lineRule="auto"/>
        <w:jc w:val="both"/>
        <w:rPr>
          <w:rFonts w:cstheme="minorHAnsi"/>
          <w:color w:val="000000"/>
        </w:rPr>
      </w:pPr>
      <w:r w:rsidRPr="001A7586">
        <w:t xml:space="preserve">As HRV is determined by the interval between heartbeats </w:t>
      </w:r>
      <w:r w:rsidR="00AF7C9C" w:rsidRPr="001A7586">
        <w:rPr>
          <w:rFonts w:cstheme="minorHAnsi"/>
          <w:color w:val="000000"/>
        </w:rPr>
        <w:t>it reflects how flexible the heart is in responding to internal or external stressors. Decreased HRV is associated with anxiety disorders and depression as well as cardiovascular diseas</w:t>
      </w:r>
      <w:r w:rsidR="00C70CCA" w:rsidRPr="001A7586">
        <w:rPr>
          <w:rFonts w:cstheme="minorHAnsi"/>
          <w:color w:val="000000"/>
        </w:rPr>
        <w:t>e and cardiovascular mortality</w:t>
      </w:r>
      <w:r w:rsidR="00AF7C9C" w:rsidRPr="001A7586">
        <w:rPr>
          <w:rFonts w:cstheme="minorHAnsi"/>
          <w:color w:val="000000"/>
        </w:rPr>
        <w:t xml:space="preserve">. HRV </w:t>
      </w:r>
      <w:r w:rsidR="00AF7C9C" w:rsidRPr="001A7586">
        <w:rPr>
          <w:rFonts w:cstheme="minorHAnsi"/>
        </w:rPr>
        <w:t>reflects the balance between the parasympathetic (i.e. vagal) and sympathetic autonomic cardiac regulation</w:t>
      </w:r>
      <w:r w:rsidR="00FA2FCA" w:rsidRPr="001A7586">
        <w:rPr>
          <w:rFonts w:cstheme="minorHAnsi"/>
          <w:color w:val="000000"/>
        </w:rPr>
        <w:t xml:space="preserve"> and</w:t>
      </w:r>
      <w:r w:rsidR="00AF7C9C" w:rsidRPr="001A7586">
        <w:rPr>
          <w:rFonts w:cstheme="minorHAnsi"/>
          <w:color w:val="000000"/>
        </w:rPr>
        <w:t xml:space="preserve"> </w:t>
      </w:r>
      <w:r w:rsidR="00F934B0" w:rsidRPr="001A7586">
        <w:rPr>
          <w:rFonts w:cstheme="minorHAnsi"/>
          <w:color w:val="000000"/>
        </w:rPr>
        <w:t xml:space="preserve">baroreflex activity and </w:t>
      </w:r>
      <w:r w:rsidR="00AF7C9C" w:rsidRPr="001A7586">
        <w:rPr>
          <w:rFonts w:cstheme="minorHAnsi"/>
          <w:color w:val="000000"/>
        </w:rPr>
        <w:t>assess</w:t>
      </w:r>
      <w:r w:rsidR="00FA2FCA" w:rsidRPr="001A7586">
        <w:rPr>
          <w:rFonts w:cstheme="minorHAnsi"/>
          <w:color w:val="000000"/>
        </w:rPr>
        <w:t>es</w:t>
      </w:r>
      <w:r w:rsidR="00AF7C9C" w:rsidRPr="001A7586">
        <w:rPr>
          <w:rFonts w:cstheme="minorHAnsi"/>
          <w:color w:val="000000"/>
        </w:rPr>
        <w:t xml:space="preserve"> the distinct contributions of vagal and sympathetic activity</w:t>
      </w:r>
      <w:r w:rsidRPr="001A7586">
        <w:rPr>
          <w:rFonts w:cstheme="minorHAnsi"/>
          <w:color w:val="000000"/>
        </w:rPr>
        <w:t>.</w:t>
      </w:r>
      <w:r w:rsidR="00AF7C9C" w:rsidRPr="001A7586">
        <w:rPr>
          <w:rFonts w:cstheme="minorHAnsi"/>
          <w:color w:val="000000"/>
        </w:rPr>
        <w:t xml:space="preserve"> Poincaré plots (plot of IBI</w:t>
      </w:r>
      <w:r w:rsidR="00AF7C9C" w:rsidRPr="00E20348">
        <w:rPr>
          <w:rFonts w:cstheme="minorHAnsi"/>
          <w:color w:val="000000"/>
          <w:vertAlign w:val="subscript"/>
        </w:rPr>
        <w:t xml:space="preserve">j+1 </w:t>
      </w:r>
      <w:r w:rsidR="00AF7C9C" w:rsidRPr="001A7586">
        <w:rPr>
          <w:rFonts w:cstheme="minorHAnsi"/>
          <w:color w:val="000000"/>
        </w:rPr>
        <w:t>as a function of IBI</w:t>
      </w:r>
      <w:r w:rsidR="00AF7C9C" w:rsidRPr="00E20348">
        <w:rPr>
          <w:rFonts w:cstheme="minorHAnsi"/>
          <w:color w:val="000000"/>
          <w:vertAlign w:val="subscript"/>
        </w:rPr>
        <w:t>j</w:t>
      </w:r>
      <w:r w:rsidR="00AF7C9C" w:rsidRPr="001A7586">
        <w:rPr>
          <w:rFonts w:cstheme="minorHAnsi"/>
          <w:color w:val="000000"/>
        </w:rPr>
        <w:t>) were created</w:t>
      </w:r>
      <w:r w:rsidRPr="001A7586">
        <w:rPr>
          <w:rFonts w:cstheme="minorHAnsi"/>
          <w:color w:val="000000"/>
        </w:rPr>
        <w:t xml:space="preserve"> and</w:t>
      </w:r>
      <w:r w:rsidR="00AF7C9C" w:rsidRPr="001A7586">
        <w:rPr>
          <w:rFonts w:cstheme="minorHAnsi"/>
          <w:color w:val="000000"/>
        </w:rPr>
        <w:t xml:space="preserve"> </w:t>
      </w:r>
      <w:r w:rsidRPr="001A7586">
        <w:rPr>
          <w:rFonts w:cstheme="minorHAnsi"/>
          <w:color w:val="000000"/>
        </w:rPr>
        <w:t>t</w:t>
      </w:r>
      <w:r w:rsidR="00AF7C9C" w:rsidRPr="001A7586">
        <w:rPr>
          <w:rFonts w:cstheme="minorHAnsi"/>
          <w:color w:val="000000"/>
        </w:rPr>
        <w:t xml:space="preserve">he SD of the points perpendicular to the line </w:t>
      </w:r>
      <w:r w:rsidR="00AF7C9C" w:rsidRPr="001A7586">
        <w:rPr>
          <w:rFonts w:cstheme="minorHAnsi"/>
          <w:color w:val="000000"/>
        </w:rPr>
        <w:lastRenderedPageBreak/>
        <w:t>of identity (SD1), and the SD of the points along the line of identity (SD2) (70) were then used to derive indices of autonomic activity</w:t>
      </w:r>
      <w:r w:rsidRPr="001A7586">
        <w:rPr>
          <w:rFonts w:cstheme="minorHAnsi"/>
          <w:color w:val="000000"/>
        </w:rPr>
        <w:t>. There were</w:t>
      </w:r>
      <w:r w:rsidR="00AF7C9C" w:rsidRPr="001A7586">
        <w:rPr>
          <w:rFonts w:cstheme="minorHAnsi"/>
          <w:color w:val="000000"/>
        </w:rPr>
        <w:t xml:space="preserve"> the cardiac vagal index (CVI)</w:t>
      </w:r>
      <w:r w:rsidR="00F934B0" w:rsidRPr="001A7586">
        <w:rPr>
          <w:rFonts w:cstheme="minorHAnsi"/>
          <w:color w:val="000000"/>
        </w:rPr>
        <w:t>, that represents the parasympa</w:t>
      </w:r>
      <w:r w:rsidR="00F934B0" w:rsidRPr="00E20348">
        <w:rPr>
          <w:rFonts w:cstheme="minorHAnsi"/>
          <w:color w:val="000000"/>
        </w:rPr>
        <w:t>thetic component of cardiac activity,</w:t>
      </w:r>
      <w:r w:rsidR="00AF7C9C" w:rsidRPr="001A7586">
        <w:rPr>
          <w:rFonts w:cstheme="minorHAnsi"/>
          <w:color w:val="000000"/>
        </w:rPr>
        <w:t xml:space="preserve"> and the cardiac sympathetic index CSI)</w:t>
      </w:r>
      <w:r w:rsidR="00F934B0" w:rsidRPr="001A7586">
        <w:rPr>
          <w:rFonts w:cstheme="minorHAnsi"/>
          <w:color w:val="000000"/>
        </w:rPr>
        <w:t>, that represents sympathetic activity as well as some parasympathetic and baroreflex activity</w:t>
      </w:r>
      <w:r w:rsidR="00AF7C9C" w:rsidRPr="001A7586">
        <w:rPr>
          <w:rFonts w:cstheme="minorHAnsi"/>
          <w:color w:val="000000"/>
        </w:rPr>
        <w:t xml:space="preserve"> </w:t>
      </w:r>
      <w:r w:rsidR="00AF7C9C" w:rsidRPr="00E20348">
        <w:rPr>
          <w:rFonts w:cstheme="minorHAnsi"/>
          <w:color w:val="000000"/>
        </w:rPr>
        <w:fldChar w:fldCharType="begin" w:fldLock="1"/>
      </w:r>
      <w:r w:rsidR="00CD1A5A" w:rsidRPr="001A7586">
        <w:rPr>
          <w:rFonts w:cstheme="minorHAnsi"/>
          <w:color w:val="000000"/>
        </w:rPr>
        <w:instrText>ADDIN CSL_CITATION {"citationItems":[{"id":"ITEM-1","itemData":{"ISSN":"0165-1838","PMID":"9021653","abstract":"A new non-linear method of assessing cardiac autonomic function was examined in a pharmacological experiment in ten healthy volunteers. The R-R interval data obtained under a control condition and in autonomic blockade by atropine and by propranolol were analyzed by each of the new methods employing Lorenz plot, spectral analysis and the coefficient of variation. With our method we derived two measures, the cardiac vagal index and the cardiac sympathetic index, which indicate vagal and sympathetic function separately. These two indices were found to be more reliable than those obtained by the other two methods. We anticipate that the non-invasive assessment of short-term cardiac autonomic function will come to be performed more reliably and conveniently by this method.","author":[{"dropping-particle":"","family":"Toichi","given":"M","non-dropping-particle":"","parse-names":false,"suffix":""},{"dropping-particle":"","family":"Sugiura","given":"T","non-dropping-particle":"","parse-names":false,"suffix":""},{"dropping-particle":"","family":"Murai","given":"T","non-dropping-particle":"","parse-names":false,"suffix":""},{"dropping-particle":"","family":"Sengoku","given":"a","non-dropping-particle":"","parse-names":false,"suffix":""}],"container-title":"Journal of the autonomic nervous system","id":"ITEM-1","issue":"1-2","issued":{"date-parts":[["1997","1"]]},"page":"79-84","title":"A new method of assessing cardiac autonomic function and its comparison with spectral analysis and coefficient of variation of R-R interval.","type":"article-journal","volume":"62"},"uris":["http://www.mendeley.com/documents/?uuid=9d7022e5-e965-4c50-a334-f0b8ccd963fa"]},{"id":"ITEM-2","itemData":{"DOI":"10.1007/s10286-010-0098-y","ISSN":"0959-9851","PMID":"21279414","abstract":"BACKGROUND Power spectral analysis of heart rate variability is used to assess cardiac autonomic function. The relationship of low frequency (LF) power to cardiac sympathetic tone has been unclear. We reported previously that LF power may reflect baroreflex modulation. In this study we attempted to replicate our findings in additional subject cohorts, taking into account possible influences of respiration and using different methods to measure baroreflex-cardiovagal gain (BCG). OBJECTIVE We assessed relationships of LF power, including respiration-adjusted LF power (LFa), with cardiac sympathetic innervation and baroreflex function in subjects with or without neuroimaging evidence of cardiac sympathetic denervation. METHODS Values for LF power at baseline supine, seated, and during the Valsalva maneuver were compared between subject groups with low or normal myocardial concentrations of 6-[(18)F]fluorodopamine-derived radioactivity. BCG was calculated from the slope of cardiac interbeat interval vs. systolic pressure during Phase II of the Valsalva maneuver or after i.v. nitroglycerine injection (the Oxford technique). RESULTS LF and LFa were unrelated to myocardial 6-[(18)F]fluorodopamine-derived radioactivity. During sitting rest and the Valsalva maneuver logs of LF and LFa correlated positively with the log of Phase II BCG (r = 0.61, p = 0.0005; r = 0.47, p = 0.009; r = 0.69, p &lt; 0.0001; r = 0.60, p = 0.0006). Groups with Low BCG (≤ 3 ms/mmHg) had low LF and LFa regardless of cardiac innervation. The log of LF power during supine rest correlated with the log of Oxford BCG (r = 0.74, p &lt; 0.0001). CONCLUSION LF power, with or without respiratory adjustment, reflects baroreflex modulation and not cardiac sympathetic tone.","author":[{"dropping-particle":"","family":"Rahman","given":"Faisal","non-dropping-particle":"","parse-names":false,"suffix":""},{"dropping-particle":"","family":"Pechnik","given":"Sandra","non-dropping-particle":"","parse-names":false,"suffix":""},{"dropping-particle":"","family":"Gross","given":"Daniel","non-dropping-particle":"","parse-names":false,"suffix":""},{"dropping-particle":"","family":"Sewell","given":"LaToya","non-dropping-particle":"","parse-names":false,"suffix":""},{"dropping-particle":"","family":"Goldstein","given":"David S.","non-dropping-particle":"","parse-names":false,"suffix":""}],"container-title":"Clinical Autonomic Research","id":"ITEM-2","issue":"3","issued":{"date-parts":[["2011","6","29"]]},"page":"133-141","title":"Low frequency power of heart rate variability reflects baroreflex function, not cardiac sympathetic innervation","type":"article-journal","volume":"21"},"prefix":"but see ","uris":["http://www.mendeley.com/documents/?uuid=bd9d9145-1ae0-3387-9299-69094abb121f"]}],"mendeley":{"formattedCitation":"(Toichi et al., 1997; but see Rahman et al., 2011)","plainTextFormattedCitation":"(Toichi et al., 1997; but see Rahman et al., 2011)","previouslyFormattedCitation":"(Toichi et al., 1997; but see Rahman et al., 2011)"},"properties":{"noteIndex":0},"schema":"https://github.com/citation-style-language/schema/raw/master/csl-citation.json"}</w:instrText>
      </w:r>
      <w:r w:rsidR="00AF7C9C" w:rsidRPr="00E20348">
        <w:rPr>
          <w:rFonts w:cstheme="minorHAnsi"/>
          <w:color w:val="000000"/>
        </w:rPr>
        <w:fldChar w:fldCharType="separate"/>
      </w:r>
      <w:r w:rsidR="00F934B0" w:rsidRPr="001A7586">
        <w:rPr>
          <w:rFonts w:cstheme="minorHAnsi"/>
          <w:noProof/>
          <w:color w:val="000000"/>
        </w:rPr>
        <w:t xml:space="preserve">(Toichi et al., 1997; </w:t>
      </w:r>
      <w:r w:rsidR="00F934B0" w:rsidRPr="00E20348">
        <w:rPr>
          <w:rFonts w:cstheme="minorHAnsi"/>
          <w:noProof/>
          <w:color w:val="000000"/>
        </w:rPr>
        <w:t>but see Rahman et al., 2011)</w:t>
      </w:r>
      <w:r w:rsidR="00AF7C9C" w:rsidRPr="00E20348">
        <w:rPr>
          <w:rFonts w:cstheme="minorHAnsi"/>
          <w:color w:val="000000"/>
        </w:rPr>
        <w:fldChar w:fldCharType="end"/>
      </w:r>
      <w:r w:rsidR="00AF7C9C" w:rsidRPr="001A7586">
        <w:rPr>
          <w:rFonts w:cstheme="minorHAnsi"/>
          <w:color w:val="000000"/>
        </w:rPr>
        <w:t xml:space="preserve">. </w:t>
      </w:r>
      <w:r w:rsidR="00AF7C9C" w:rsidRPr="001A7586">
        <w:t xml:space="preserve">For each trial, the mean parameter of interest was calculated for the 20 sec aversive cue presentation and for the immediately preceding 20 sec baseline (BL) period (the last 20 seconds of the preceding intertrial interval). Thus, during each cue presentation, the cue-directed HR was calculated as (HR during the cue) </w:t>
      </w:r>
      <w:r w:rsidR="00AF7C9C" w:rsidRPr="001A7586">
        <w:rPr>
          <w:rFonts w:cstheme="minorHAnsi"/>
        </w:rPr>
        <w:t xml:space="preserve">– (HR during BL). </w:t>
      </w:r>
      <w:r w:rsidR="00AF7C9C" w:rsidRPr="001A7586">
        <w:rPr>
          <w:rFonts w:cstheme="minorHAnsi"/>
          <w:color w:val="000000"/>
        </w:rPr>
        <w:t xml:space="preserve">HRV was also assessed during each 20 sec baseline and cue period. This was possible because of the high </w:t>
      </w:r>
      <w:r w:rsidR="00AF5335" w:rsidRPr="001A7586">
        <w:rPr>
          <w:rFonts w:cstheme="minorHAnsi"/>
          <w:color w:val="000000"/>
        </w:rPr>
        <w:t>resting heart rate of marmosets</w:t>
      </w:r>
      <w:r w:rsidR="00AF7C9C" w:rsidRPr="001A7586">
        <w:rPr>
          <w:rFonts w:cstheme="minorHAnsi"/>
          <w:color w:val="000000"/>
        </w:rPr>
        <w:t xml:space="preserve"> ensuring an adequate number of IBIs (approximately 100) were gathered across the two sampling periods</w:t>
      </w:r>
      <w:r w:rsidRPr="001A7586">
        <w:rPr>
          <w:rFonts w:cstheme="minorHAnsi"/>
          <w:color w:val="000000"/>
        </w:rPr>
        <w:t xml:space="preserve"> </w:t>
      </w:r>
      <w:r w:rsidRPr="00E20348">
        <w:rPr>
          <w:rFonts w:cstheme="minorHAnsi"/>
          <w:color w:val="000000"/>
        </w:rPr>
        <w:fldChar w:fldCharType="begin" w:fldLock="1"/>
      </w:r>
      <w:r w:rsidRPr="001A7586">
        <w:rPr>
          <w:rFonts w:cstheme="minorHAnsi"/>
          <w:color w:val="000000"/>
        </w:rPr>
        <w:instrText>ADDIN CSL_CITATION {"citationItems":[{"id":"ITEM-1","itemData":{"ISSN":"0165-1838","PMID":"9021653","abstract":"A new non-linear method of assessing cardiac autonomic function was examined in a pharmacological experiment in ten healthy volunteers. The R-R interval data obtained under a control condition and in autonomic blockade by atropine and by propranolol were analyzed by each of the new methods employing Lorenz plot, spectral analysis and the coefficient of variation. With our method we derived two measures, the cardiac vagal index and the cardiac sympathetic index, which indicate vagal and sympathetic function separately. These two indices were found to be more reliable than those obtained by the other two methods. We anticipate that the non-invasive assessment of short-term cardiac autonomic function will come to be performed more reliably and conveniently by this method.","author":[{"dropping-particle":"","family":"Toichi","given":"M","non-dropping-particle":"","parse-names":false,"suffix":""},{"dropping-particle":"","family":"Sugiura","given":"T","non-dropping-particle":"","parse-names":false,"suffix":""},{"dropping-particle":"","family":"Murai","given":"T","non-dropping-particle":"","parse-names":false,"suffix":""},{"dropping-particle":"","family":"Sengoku","given":"a","non-dropping-particle":"","parse-names":false,"suffix":""}],"container-title":"Journal of the autonomic nervous system","id":"ITEM-1","issue":"1-2","issued":{"date-parts":[["1997","1"]]},"page":"79-84","title":"A new method of assessing cardiac autonomic function and its comparison with spectral analysis and coefficient of variation of R-R interval.","type":"article-journal","volume":"62"},"uris":["http://www.mendeley.com/documents/?uuid=9d7022e5-e965-4c50-a334-f0b8ccd963fa"]}],"mendeley":{"formattedCitation":"(Toichi et al., 1997)","plainTextFormattedCitation":"(Toichi et al., 1997)"},"properties":{"noteIndex":0},"schema":"https://github.com/citation-style-language/schema/raw/master/csl-citation.json"}</w:instrText>
      </w:r>
      <w:r w:rsidRPr="00E20348">
        <w:rPr>
          <w:rFonts w:cstheme="minorHAnsi"/>
          <w:color w:val="000000"/>
        </w:rPr>
        <w:fldChar w:fldCharType="separate"/>
      </w:r>
      <w:r w:rsidRPr="001A7586">
        <w:rPr>
          <w:rFonts w:cstheme="minorHAnsi"/>
          <w:noProof/>
          <w:color w:val="000000"/>
        </w:rPr>
        <w:t>(Toichi et al., 1997)</w:t>
      </w:r>
      <w:r w:rsidRPr="00E20348">
        <w:rPr>
          <w:rFonts w:cstheme="minorHAnsi"/>
          <w:color w:val="000000"/>
        </w:rPr>
        <w:fldChar w:fldCharType="end"/>
      </w:r>
      <w:r w:rsidR="00AF7C9C" w:rsidRPr="001A7586">
        <w:rPr>
          <w:rFonts w:cstheme="minorHAnsi"/>
          <w:color w:val="000000"/>
        </w:rPr>
        <w:t xml:space="preserve">. </w:t>
      </w:r>
    </w:p>
    <w:p w14:paraId="763AD99E" w14:textId="2EF0602D" w:rsidR="00AF7C9C" w:rsidRPr="001A7586" w:rsidRDefault="00AF7C9C" w:rsidP="00AF18CF">
      <w:pPr>
        <w:spacing w:line="480" w:lineRule="auto"/>
        <w:jc w:val="both"/>
        <w:rPr>
          <w:bCs/>
        </w:rPr>
      </w:pPr>
      <w:r w:rsidRPr="001A7586">
        <w:rPr>
          <w:bCs/>
        </w:rPr>
        <w:t xml:space="preserve">The normal healthy cardiovascular response to an ambiguous cue in a potentially threatening environment would be to show a heightened stress response to the potential threat, </w:t>
      </w:r>
      <w:r w:rsidRPr="001A7586">
        <w:rPr>
          <w:rFonts w:cstheme="minorHAnsi"/>
          <w:color w:val="000000"/>
        </w:rPr>
        <w:t>an increase in HR and CSI and a withdrawal of CVI leading to a transient reduction in HRV in preparation for fight or flight</w:t>
      </w:r>
      <w:r w:rsidRPr="001A7586">
        <w:rPr>
          <w:bCs/>
        </w:rPr>
        <w:t xml:space="preserve"> </w:t>
      </w:r>
      <w:r w:rsidRPr="00E20348">
        <w:rPr>
          <w:rFonts w:cstheme="minorHAnsi"/>
          <w:color w:val="000000"/>
        </w:rPr>
        <w:fldChar w:fldCharType="begin" w:fldLock="1"/>
      </w:r>
      <w:r w:rsidR="007C1DE8" w:rsidRPr="001A7586">
        <w:rPr>
          <w:rFonts w:cstheme="minorHAnsi"/>
          <w:color w:val="000000"/>
        </w:rPr>
        <w:instrText>ADDIN CSL_CITATION {"citationItems":[{"id":"ITEM-1","itemData":{"ISSN":"0048-5772","PMID":"2236448","abstract":"Aerobic fitness has been associated with various desirable psychological and physiological characteristics. Recently, attenuation of physiological reactivity during stressful situations was added to this list, although comparison of the stress responses of sportsmen and sedentary subjects has yielded equivocal results. The present study examined cardiovascular patterns rather than single variables, and tried to clarify these matters. Tasks were used that were known to increase blood pressure through different combinations of changes in cardiac output and vascular resistance. Autonomic nervous system dynamics underlying these response patterns were studied using preejection period as an index of beta-adrenergic activity, and respiratory sinus arrhythmia as an index of vagal activity. Pre-existing differences in aerobic fitness in a sample of sedentary subjects were related to their responses during the stressful tasks and the recovery periods afterwards. This approach prevented confounding of the relationship between fitness and stress-reactivity with the psychological effects of regular exercise. Furthermore, it excluded the bias in psychological makeup that is introduced when subjects spontaneously engaged in sports are compared to non-exercising persons. To rule out a third (hereditary?) factor underlying both stress-reactivity and fitness, physiological responses before and after a seven-week training program were compared to those of subjects in a waiting list control group. Substantial individual differences in aerobic fitness were found in spite of the fact that all subjects reported low levels of habitual activity. During two active coping tasks, diastolic blood pressure reactivity and vagal withdrawal were negatively related to these pre-existing differences in fitness. No such relation was seen during a cold pressor test or during recovery from the tasks. Neither beta-adrenergic cardiac reactivity nor heart rate responses were related to fitness, but the absolute heart rate during the tasks was lower in the more fit subjects. Seven weeks of training were not effective in changing either reactivity or recovery of any of the variables. The discrepancy between cross-sectional and longitudinal results in the present study suggests that training of longer duration is necessary to induce the psychological or physiological changes underlying reduced reactivity. The latter may include changes in cardiac vagal/sympathetic balance or in adrenoceptor sens…","author":[{"dropping-particle":"","family":"Geus","given":"E J","non-dropping-particle":"de","parse-names":false,"suffix":""},{"dropping-particle":"","family":"Doornen","given":"L J","non-dropping-particle":"van","parse-names":false,"suffix":""},{"dropping-particle":"","family":"Visser","given":"D C","non-dropping-particle":"de","parse-names":false,"suffix":""},{"dropping-particle":"","family":"Orlebeke","given":"J F","non-dropping-particle":"","parse-names":false,"suffix":""}],"container-title":"Psychophysiology","id":"ITEM-1","issue":"4","issued":{"date-parts":[["1990","7"]]},"page":"457-78","title":"Existing and training induced differences in aerobic fitness: their relationship to physiological response patterns during different types of stress.","type":"article-journal","volume":"27"},"uris":["http://www.mendeley.com/documents/?uuid=ab4153d8-be42-39a3-a74c-9c94a84dfb53"]},{"id":"ITEM-2","itemData":{"ISSN":"1079-5014","PMID":"8809002","abstract":"Blood pressure, heart rate, rate pressure product, heart rate variability, stroke volume, cardiac output, peripheral resistance, and cardiac contractility derived from impedance cardiography were obtained from 15 young and 15 old males during and after the Stroop task. The old group demonstrated significantly higher absolute heart rate, systolic and mean arterial pressure, peripheral resistance, and rate pressure product, and lower cardiac output, stroke volume, and heart rate variability both during and recovering from Stroop. The young group showed significantly greater relative heart rate increase at the start of Stroop, higher relative levels of contractility during and recovering, and greater relative levels of peripheral resistance during and recovering from Stroop. Overall, old compared to young subjects possessed greater absolute but smaller relative cardiovascular responses during and recovering from Stroop. These results suggest that although the aging cardiovasculature may be less reactive, it may be under greater hemodynamic stress both during rest and mental challenge.","author":[{"dropping-particle":"","family":"Boutcher","given":"S H","non-dropping-particle":"","parse-names":false,"suffix":""},{"dropping-particle":"","family":"Stocker","given":"D","non-dropping-particle":"","parse-names":false,"suffix":""}],"container-title":"The journals of gerontology. Series B, Psychological sciences and social sciences","id":"ITEM-2","issue":"5","issued":{"date-parts":[["1996","9"]]},"page":"P261-7","title":"Cardiovascular response of young and older males to mental challenge.","type":"article-journal","volume":"51"},"uris":["http://www.mendeley.com/documents/?uuid=d5ab4072-d9e0-3c09-ae1d-6f6e3abec94b"]},{"id":"ITEM-3","itemData":{"ISSN":"0009-7322","PMID":"9118511","abstract":"BACKGROUND Spectral analysis of RR interval and systolic arterial pressure variabilities may provide indirect markers of the balance between sympathetic and vagal cardiovascular control. METHODS AND RESULTS We examined the relationship between power spectral measurements of variabilities in RR interval, systolic arterial pressure, and muscle sympathetic nerve activity (MSNA) obtained by microneurography over a range of blood pressures. In eight healthy human volunteers, MSNA, RR interval, intra-arterial pressure, and respiration were measured during blood pressure reductions induced by nitroprusside and during blood pressure increases induced by phenylephrine. Both low-frequency (LF; 0.10 +/- 0.01 Hz) and high-frequency (HF; 0.23 +/- 0.01 Hz) components were detected in MSNA variability. Increasing levels of MSNA were associated with a shift of the spectral power toward its LF component. Decreasing levels of MSNA were associated with a shift of MSNA spectral power toward the HF component. Over the range of pressure changes, the LF component of MSNA variability was positively and tightly correlated with LF components of RR interval (in normalized units; P &lt; 10(-6)) and of systolic arterial pressure variability (both in millimeters of mercury squared and normalized units; P &lt; 5 x 10(-5) and P &lt; 5 x 10(-6), respectively). The HF component of MSNA variability was positively and tightly correlated with the HF component (in normalized units) of RR-interval variability (P &lt; 3 x 10(-4)) and of systolic arterial pressure variability (P &lt; .01). CONCLUSIONS During sympathetic activation in normal humans, there is a predominance in the LF oscillation of blood pressure, RR interval, and sympathetic nerve activity. During sympathetic inhibition, the HF component of cardiovascular variability predominates. This relationship is best seen when power spectral components are normalized for total power. Synchronous changes in the LF and HF rhythms of both RR interval and MSNA during different levels of sympathetic drive are suggestive of common central mechanisms governing both parasympathetic and sympathetic cardiovascular modulation.","author":[{"dropping-particle":"","family":"Pagani","given":"M","non-dropping-particle":"","parse-names":false,"suffix":""},{"dropping-particle":"","family":"Montano","given":"N","non-dropping-particle":"","parse-names":false,"suffix":""},{"dropping-particle":"","family":"Porta","given":"A","non-dropping-particle":"","parse-names":false,"suffix":""},{"dropping-particle":"","family":"Malliani","given":"A","non-dropping-particle":"","parse-names":false,"suffix":""},{"dropping-particle":"","family":"Abboud","given":"F M","non-dropping-particle":"","parse-names":false,"suffix":""},{"dropping-particle":"","family":"Birkett","given":"C","non-dropping-particle":"","parse-names":false,"suffix":""},{"dropping-particle":"","family":"Somers","given":"V K","non-dropping-particle":"","parse-names":false,"suffix":""}],"container-title":"Circulation","id":"ITEM-3","issue":"6","issued":{"date-parts":[["1997","3","18"]]},"page":"1441-8","title":"Relationship between spectral components of cardiovascular variabilities and direct measures of muscle sympathetic nerve activity in humans.","type":"article-journal","volume":"95"},"uris":["http://www.mendeley.com/documents/?uuid=dfb0994f-ffc4-3591-b2a9-6e82eac1b1a6"]}],"mendeley":{"formattedCitation":"(de Geus et al., 1990; Boutcher and Stocker, 1996; Pagani et al., 1997)","plainTextFormattedCitation":"(de Geus et al., 1990; Boutcher and Stocker, 1996; Pagani et al., 1997)","previouslyFormattedCitation":"(de Geus et al., 1990; Boutcher and Stocker, 1996; Pagani et al., 1997)"},"properties":{"noteIndex":0},"schema":"https://github.com/citation-style-language/schema/raw/master/csl-citation.json"}</w:instrText>
      </w:r>
      <w:r w:rsidRPr="00E20348">
        <w:rPr>
          <w:rFonts w:cstheme="minorHAnsi"/>
          <w:color w:val="000000"/>
        </w:rPr>
        <w:fldChar w:fldCharType="separate"/>
      </w:r>
      <w:r w:rsidR="007C1DE8" w:rsidRPr="001A7586">
        <w:rPr>
          <w:rFonts w:cstheme="minorHAnsi"/>
          <w:noProof/>
          <w:color w:val="000000"/>
        </w:rPr>
        <w:t>(de Geus et al., 1990; Boutcher and Stocker, 1996; Pagani et al., 1997)</w:t>
      </w:r>
      <w:r w:rsidRPr="00E20348">
        <w:rPr>
          <w:rFonts w:cstheme="minorHAnsi"/>
          <w:color w:val="000000"/>
        </w:rPr>
        <w:fldChar w:fldCharType="end"/>
      </w:r>
      <w:r w:rsidRPr="001A7586">
        <w:t xml:space="preserve">. However, this cardiac responsivity is not seen in high trait anxious individuals in response to acute stress, </w:t>
      </w:r>
      <w:r w:rsidR="004D5EE5" w:rsidRPr="001A7586">
        <w:t xml:space="preserve">who </w:t>
      </w:r>
      <w:r w:rsidRPr="001A7586">
        <w:t xml:space="preserve">instead show no differences in cardiovascular function between the stress condition and the baseline. This has been referred to as ‘cardiovascular blunting’ </w:t>
      </w:r>
      <w:r w:rsidRPr="00E20348">
        <w:fldChar w:fldCharType="begin" w:fldLock="1"/>
      </w:r>
      <w:r w:rsidR="007C1DE8" w:rsidRPr="001A7586">
        <w:instrText>ADDIN CSL_CITATION {"citationItems":[{"id":"ITEM-1","itemData":{"DOI":"10.1016/j.jad.2016.07.019","ISSN":"01650327","PMID":"27449553","abstract":"BACKGROUND To date only a few published studies have examined the effect of disorder-relevant stressors on heart rate variability (HRV) in participants meeting a clinical diagnosis of GAD, with conflicting results. The primary aim of this study was to determine if GAD is associated with lower HRV at rest, and whether vagal regulation during task varies by type (i.e., baseline, anticipation, imagery, or worry). METHODS This study investigated resting cardiac vagal tone and vagal regulation in a sample of 40 participants with or without a validated diagnosis of generalized anxiety disorder (GAD). High-frequency heart rate variability (HF-HRV) was used to index cardiac vagal activity. RESULTS GAD was associated with vagal withdrawal during both imagery and worry inductions, but no group differences in resting vagal tone or worry were observed. LIMITATIONS Methodological limitations include inherent limits to generalizability of laboratory-based findings; specifically worry induction and cardiac reactivity to lab-based stressors. CONCLUSIONS The results support the notion that GAD is associated with vagal withdrawal during active bouts of idiographic worry and imagery, and question the assumption that GAD is associated with low resting vagal tone. In light of polyvagal theory these findings provide additional support for the presence of emotion regulation deficits in GAD, and identify specific ANS processes that underlie GAD.","author":[{"dropping-particle":"","family":"Levine","given":"Jason C.","non-dropping-particle":"","parse-names":false,"suffix":""},{"dropping-particle":"","family":"Fleming","given":"Raymond","non-dropping-particle":"","parse-names":false,"suffix":""},{"dropping-particle":"","family":"Piedmont","given":"Joanna I.","non-dropping-particle":"","parse-names":false,"suffix":""},{"dropping-particle":"","family":"Cain","given":"Samantha M.","non-dropping-particle":"","parse-names":false,"suffix":""},{"dropping-particle":"","family":"Chen","given":"Wei-Ju","non-dropping-particle":"","parse-names":false,"suffix":""}],"container-title":"Journal of Affective Disorders","id":"ITEM-1","issued":{"date-parts":[["2016","11","15"]]},"page":"207-215","title":"Heart rate variability and generalized anxiety disorder during laboratory-induced worry and aversive imagery","type":"article-journal","volume":"205"},"uris":["http://www.mendeley.com/documents/?uuid=406a2470-78a4-30b6-8c05-51f8a1860ab5"]},{"id":"ITEM-2","itemData":{"DOI":"10.1016/j.neubiorev.2017.02.025","ISSN":"01497634","author":[{"dropping-particle":"","family":"Carroll","given":"Douglas","non-dropping-particle":"","parse-names":false,"suffix":""},{"dropping-particle":"","family":"Ginty","given":"Annie T.","non-dropping-particle":"","parse-names":false,"suffix":""},{"dropping-particle":"","family":"Whittaker","given":"Anna C.","non-dropping-particle":"","parse-names":false,"suffix":""},{"dropping-particle":"","family":"Lovallo","given":"William R.","non-dropping-particle":"","parse-names":false,"suffix":""},{"dropping-particle":"","family":"Rooij","given":"Susanne R.","non-dropping-particle":"de","parse-names":false,"suffix":""}],"container-title":"Neuroscience &amp; Biobehavioral Reviews","id":"ITEM-2","issued":{"date-parts":[["2017","6"]]},"page":"74-86","title":"The behavioural, cognitive, and neural corollaries of blunted cardiovascular and cortisol reactions to acute psychological stress","type":"article-journal","volume":"77"},"uris":["http://www.mendeley.com/documents/?uuid=cd0b8cd4-ab62-3a36-9958-31ae42246ae5"]},{"id":"ITEM-3","itemData":{"DOI":"10.1016/j.ijpsycho.2013.06.003","ISSN":"1872-7697","PMID":"23872489","abstract":"Symptoms of depression are related to blunted cardiovascular reactions to acute stress tasks. However, it is unclear what factors might mediate this association and whether blunted responses are specific to mental stress tasks or are also evident with other forms of stress. The present study assessed cardiovascular reactivity to both mental and postural stress and the role of background stress exposure and stress perception. Undergraduate students (N=119, 81 females) were screened for depressive symptoms using the Beck Depression Inventory. Twenty-six participants with probable depression and 26 non-depressed controls underwent cardiovascular stress testing. Heart rate (HR), systolic (SBP) and diastolic (DBP) blood pressure were measured at rest and in response to a 5min orthostatic challenge and an 8min mental arithmetic task. Stress exposure was measured using the Undergraduate Stress Questionnaire. Perceptions of general life stress were assessed using the Perceived Stress Scale (PSS) and perceptions of the stress task impact were measured using Threat Appraisal (TA). Symptoms of depression were associated with blunted HR, F(2,98)=5.26, p=.010, η(2)=.097, and SBP, F(2,98)=6.47, p=.008, η(2)=.117, reactions to the mental stress but not to postural challenge. HR reactions were mediated by PSS score, while both PSS score and TA emerged independently as mediators of SBP reactions. These results confirm a negative relationship between depressive symptoms and cardiovascular reactions to acute stress, suggest that this association may be stress task-specific, and may be mediated by perceptions of stress.","author":[{"dropping-particle":"","family":"Brindle","given":"Ryan C","non-dropping-particle":"","parse-names":false,"suffix":""},{"dropping-particle":"","family":"Ginty","given":"Annie T","non-dropping-particle":"","parse-names":false,"suffix":""},{"dropping-particle":"","family":"Conklin","given":"Sarah M","non-dropping-particle":"","parse-names":false,"suffix":""}],"container-title":"International journal of psychophysiology : official journal of the International Organization of Psychophysiology","id":"ITEM-3","issue":"1","issued":{"date-parts":[["2013","10"]]},"page":"66-72","title":"Is the association between depression and blunted cardiovascular stress reactions mediated by perceptions of stress?","type":"article-journal","volume":"90"},"uris":["http://www.mendeley.com/documents/?uuid=8f603f51-3cd6-3588-b1a8-956f34578293"]},{"id":"ITEM-4","itemData":{"DOI":"10.1016/j.biopsycho.2011.01.002","ISSN":"03010511","PMID":"21291951","abstract":"The current study examined whether the perception of life stress related to cardiovascular reactivity. Participants (n = 100) completed the Perceived Stress Scale, the Undergraduate Stress Questionnaire, and undertook a standard mental arithmetic stress task. Blood pressure and pulse rate were measured at baseline, during, and following stress task exposure. Reactivity was the difference between stress and baseline cardiovascular activity. A perceived stress difference score (PSDS) was calculated by subtracting the Undergraduate Stress Questionnaire scores from the Perceived Stress Scale scores. Two groups were created: high PSDS (n = 15; PSDS at least 1SD above the mean) and low PSDS (n = 15; PSDS at least 1SD below the mean). There was a significant difference between groups in pulse rate reactivity, F(1,28) = 8.73, p = .006, η² = .24. High PSDS scores were associated with significantly lower pulse rate reactions to stress. Those who perceived their lives as more stressful than their actual stress exposures justified would appear to be characterised by blunted cardiac reactivity.","author":[{"dropping-particle":"","family":"Ginty","given":"Annie T.","non-dropping-particle":"","parse-names":false,"suffix":""},{"dropping-particle":"","family":"Conklin","given":"Sarah M.","non-dropping-particle":"","parse-names":false,"suffix":""}],"container-title":"Biological Psychology","id":"ITEM-4","issue":"3","issued":{"date-parts":[["2011","3"]]},"page":"383-385","title":"High perceived stress in relation to life events is associated with blunted cardiac reactivity","type":"article-journal","volume":"86"},"uris":["http://www.mendeley.com/documents/?uuid=23e4533e-7724-332d-9c9a-dd3e999de9a1"]}],"mendeley":{"formattedCitation":"(Ginty and Conklin, 2011; Brindle et al., 2013; Levine et al., 2016; Carroll et al., 2017)","plainTextFormattedCitation":"(Ginty and Conklin, 2011; Brindle et al., 2013; Levine et al., 2016; Carroll et al., 2017)","previouslyFormattedCitation":"(Ginty and Conklin, 2011; Brindle et al., 2013; Levine et al., 2016; Carroll et al., 2017)"},"properties":{"noteIndex":0},"schema":"https://github.com/citation-style-language/schema/raw/master/csl-citation.json"}</w:instrText>
      </w:r>
      <w:r w:rsidRPr="00E20348">
        <w:fldChar w:fldCharType="separate"/>
      </w:r>
      <w:r w:rsidR="007C1DE8" w:rsidRPr="001A7586">
        <w:rPr>
          <w:noProof/>
        </w:rPr>
        <w:t>(Ginty and Conklin, 2011; Brindle et al., 2013; Levine et al., 2016; Carroll et al., 2017)</w:t>
      </w:r>
      <w:r w:rsidRPr="00E20348">
        <w:fldChar w:fldCharType="end"/>
      </w:r>
      <w:r w:rsidRPr="001A7586">
        <w:t>.</w:t>
      </w:r>
    </w:p>
    <w:p w14:paraId="1601461B" w14:textId="06375A22" w:rsidR="00AF7C9C" w:rsidRPr="001A7586" w:rsidRDefault="00AF7C9C" w:rsidP="00AF18CF">
      <w:pPr>
        <w:spacing w:line="480" w:lineRule="auto"/>
        <w:jc w:val="both"/>
      </w:pPr>
      <w:r w:rsidRPr="001A7586">
        <w:t xml:space="preserve">The behavior measured during the unexpected threat paradigm was vigilant </w:t>
      </w:r>
      <w:r w:rsidR="00330E12" w:rsidRPr="001A7586">
        <w:t xml:space="preserve">scanning </w:t>
      </w:r>
      <w:r w:rsidRPr="001A7586">
        <w:t xml:space="preserve">(VS), which is defined as a watchful scanning of surroundings accompanied by tense, vigilant body posture </w:t>
      </w:r>
      <w:r w:rsidRPr="00E20348">
        <w:fldChar w:fldCharType="begin" w:fldLock="1"/>
      </w:r>
      <w:r w:rsidR="007C1DE8" w:rsidRPr="001A7586">
        <w:instrText>ADDIN CSL_CITATION {"citationItems":[{"id":"ITEM-1","itemData":{"DOI":"2010-06301-002 [pii] 10.1037/a0018868","ISBN":"1939-0084 (Electronic) 0735-7044 (Linking)","PMID":"20364879","author":[{"dropping-particle":"","family":"Mikheenko","given":"Y","non-dropping-particle":"","parse-names":false,"suffix":""},{"dropping-particle":"","family":"Man","given":"M S","non-dropping-particle":"","parse-names":false,"suffix":""},{"dropping-particle":"","family":"Braesicke","given":"K","non-dropping-particle":"","parse-names":false,"suffix":""},{"dropping-particle":"","family":"Johns","given":"M E","non-dropping-particle":"","parse-names":false,"suffix":""},{"dropping-particle":"","family":"Hill","given":"G","non-dropping-particle":"","parse-names":false,"suffix":""},{"dropping-particle":"","family":"Agustin-Pavon","given":"C","non-dropping-particle":"","parse-names":false,"suffix":""},{"dropping-particle":"","family":"Roberts","given":"A C","non-dropping-particle":"","parse-names":false,"suffix":""}],"container-title":"Behavioral Neuroscience","edition":"2010/04/07","id":"ITEM-1","issue":"2","issued":{"date-parts":[["2010"]]},"language":"eng","note":"Mikheenko, Yevheniia\nMan, Mei-See\nBraesicke, Katrin\nJohns, Moira E\nHill, Gemma\nAgustin-Pavon, Carmen\nRoberts, Angela C\nG0401411/Medical Research Council/United Kingdom\nWellcome Trust/United Kingdom\nResearch Support, Non-U.S. Gov't\nUnited States\nBehavioral neuroscience\nBehav Neurosci. 2010 Apr;124(2):192-203.","page":"192-203","title":"Autonomic, behavioral, and neural analyses of mild conditioned negative affect in marmosets","type":"article-journal","volume":"124"},"uris":["http://www.mendeley.com/documents/?uuid=6fa72097-7f6c-4013-a23d-af764fcb8ed8"]},{"id":"ITEM-2","itemData":{"DOI":"10.1016/j.biopsych.2012.03.007","ISSN":"1873-2402","PMID":"22502990","abstract":"Heightened fear and anxiety are core symptoms of a variety of neuropsychiatric disorders. They are associated with structural and activity changes throughout neural circuitry that includes the ventral and medial prefrontal cortices (PFC), the amygdala, and hippocampus. Although the contributions of the medial PFC, amygdala, and hippocampus to fear and anxiety have been studied extensively with animal models, the selective roles of the ventral PFC-including the ventrolateral prefrontal cortex (vlPFC) and orbitofrontal cortex-are poorly understood.","author":[{"dropping-particle":"","family":"Agustín-Pavón","given":"Carmen","non-dropping-particle":"","parse-names":false,"suffix":""},{"dropping-particle":"","family":"Braesicke","given":"Katrin","non-dropping-particle":"","parse-names":false,"suffix":""},{"dropping-particle":"","family":"Shiba","given":"Yoshiro","non-dropping-particle":"","parse-names":false,"suffix":""},{"dropping-particle":"","family":"Santangelo","given":"Andrea M","non-dropping-particle":"","parse-names":false,"suffix":""},{"dropping-particle":"","family":"Mikheenko","given":"Yevheniia","non-dropping-particle":"","parse-names":false,"suffix":""},{"dropping-particle":"","family":"Cockroft","given":"Gemma","non-dropping-particle":"","parse-names":false,"suffix":""},{"dropping-particle":"","family":"Asma","given":"Faaiza","non-dropping-particle":"","parse-names":false,"suffix":""},{"dropping-particle":"","family":"Clarke","given":"Hannah","non-dropping-particle":"","parse-names":false,"suffix":""},{"dropping-particle":"","family":"Man","given":"Mei-See","non-dropping-particle":"","parse-names":false,"suffix":""},{"dropping-particle":"","family":"Roberts","given":"Angela C","non-dropping-particle":"","parse-names":false,"suffix":""}],"container-title":"Biological psychiatry","id":"ITEM-2","issue":"4","issued":{"date-parts":[["2012","8"]]},"page":"266-72","publisher":"Elsevier Inc.","title":"Lesions of ventrolateral prefrontal or anterior orbitofrontal cortex in primates heighten negative emotion.","type":"article-journal","volume":"72"},"uris":["http://www.mendeley.com/documents/?uuid=2083073e-dd65-4e89-acb0-5a8ddb4c4def","http://www.mendeley.com/documents/?uuid=45b73c56-54f3-4e01-afdf-f88faca7c5fa"]}],"mendeley":{"formattedCitation":"(Mikheenko et al., 2010; Agustín-Pavón et al., 2012b)","plainTextFormattedCitation":"(Mikheenko et al., 2010; Agustín-Pavón et al., 2012b)","previouslyFormattedCitation":"(Mikheenko et al., 2010; Agustín-Pavón et al., 2012b)"},"properties":{"noteIndex":0},"schema":"https://github.com/citation-style-language/schema/raw/master/csl-citation.json"}</w:instrText>
      </w:r>
      <w:r w:rsidRPr="00E20348">
        <w:fldChar w:fldCharType="separate"/>
      </w:r>
      <w:r w:rsidR="007C1DE8" w:rsidRPr="001A7586">
        <w:rPr>
          <w:noProof/>
        </w:rPr>
        <w:t>(Mikheenko et al., 2010; Agustín-Pavón et al., 2012b)</w:t>
      </w:r>
      <w:r w:rsidRPr="00E20348">
        <w:fldChar w:fldCharType="end"/>
      </w:r>
      <w:r w:rsidRPr="001A7586">
        <w:t xml:space="preserve">. The time the animal spent engaged in this behavior during the 20s cue period and 20s BL period was scored. Cue-directed VS was calculated as the difference between these two (synonymous to cue-directed HR). </w:t>
      </w:r>
      <w:r w:rsidRPr="001A7586">
        <w:rPr>
          <w:rFonts w:cstheme="minorHAnsi"/>
          <w:color w:val="000000"/>
        </w:rPr>
        <w:t xml:space="preserve">Studies of healthy individuals indicate that an acute mild stress response is normally associated with an increases in cue-directed VS </w:t>
      </w:r>
      <w:r w:rsidRPr="001A7586">
        <w:rPr>
          <w:rFonts w:cstheme="minorHAnsi"/>
          <w:color w:val="000000"/>
        </w:rPr>
        <w:lastRenderedPageBreak/>
        <w:t xml:space="preserve">as the animal engages with the potential threat </w:t>
      </w:r>
      <w:r w:rsidRPr="00E20348">
        <w:rPr>
          <w:rFonts w:cstheme="minorHAnsi"/>
          <w:color w:val="000000"/>
        </w:rPr>
        <w:fldChar w:fldCharType="begin" w:fldLock="1"/>
      </w:r>
      <w:r w:rsidR="007C1DE8" w:rsidRPr="001A7586">
        <w:rPr>
          <w:rFonts w:cstheme="minorHAnsi"/>
          <w:color w:val="000000"/>
        </w:rPr>
        <w:instrText>ADDIN CSL_CITATION {"citationItems":[{"id":"ITEM-1","itemData":{"DOI":"10.1016/j.biopsych.2012.03.007","ISSN":"1873-2402","PMID":"22502990","abstract":"Heightened fear and anxiety are core symptoms of a variety of neuropsychiatric disorders. They are associated with structural and activity changes throughout neural circuitry that includes the ventral and medial prefrontal cortices (PFC), the amygdala, and hippocampus. Although the contributions of the medial PFC, amygdala, and hippocampus to fear and anxiety have been studied extensively with animal models, the selective roles of the ventral PFC-including the ventrolateral prefrontal cortex (vlPFC) and orbitofrontal cortex-are poorly understood.","author":[{"dropping-particle":"","family":"Agustín-Pavón","given":"Carmen","non-dropping-particle":"","parse-names":false,"suffix":""},{"dropping-particle":"","family":"Braesicke","given":"Katrin","non-dropping-particle":"","parse-names":false,"suffix":""},{"dropping-particle":"","family":"Shiba","given":"Yoshiro","non-dropping-particle":"","parse-names":false,"suffix":""},{"dropping-particle":"","family":"Santangelo","given":"Andrea M","non-dropping-particle":"","parse-names":false,"suffix":""},{"dropping-particle":"","family":"Mikheenko","given":"Yevheniia","non-dropping-particle":"","parse-names":false,"suffix":""},{"dropping-particle":"","family":"Cockroft","given":"Gemma","non-dropping-particle":"","parse-names":false,"suffix":""},{"dropping-particle":"","family":"Asma","given":"Faaiza","non-dropping-particle":"","parse-names":false,"suffix":""},{"dropping-particle":"","family":"Clarke","given":"Hannah","non-dropping-particle":"","parse-names":false,"suffix":""},{"dropping-particle":"","family":"Man","given":"Mei-See","non-dropping-particle":"","parse-names":false,"suffix":""},{"dropping-particle":"","family":"Roberts","given":"Angela C","non-dropping-particle":"","parse-names":false,"suffix":""}],"container-title":"Biological psychiatry","id":"ITEM-1","issue":"4","issued":{"date-parts":[["2012","8"]]},"page":"266-72","publisher":"Elsevier Inc.","title":"Lesions of ventrolateral prefrontal or anterior orbitofrontal cortex in primates heighten negative emotion.","type":"article-journal","volume":"72"},"uris":["http://www.mendeley.com/documents/?uuid=45b73c56-54f3-4e01-afdf-f88faca7c5fa"]}],"mendeley":{"formattedCitation":"(Agustín-Pavón et al., 2012b)","plainTextFormattedCitation":"(Agustín-Pavón et al., 2012b)","previouslyFormattedCitation":"(Agustín-Pavón et al., 2012b)"},"properties":{"noteIndex":0},"schema":"https://github.com/citation-style-language/schema/raw/master/csl-citation.json"}</w:instrText>
      </w:r>
      <w:r w:rsidRPr="00E20348">
        <w:rPr>
          <w:rFonts w:cstheme="minorHAnsi"/>
          <w:color w:val="000000"/>
        </w:rPr>
        <w:fldChar w:fldCharType="separate"/>
      </w:r>
      <w:r w:rsidR="007C1DE8" w:rsidRPr="001A7586">
        <w:rPr>
          <w:rFonts w:cstheme="minorHAnsi"/>
          <w:noProof/>
          <w:color w:val="000000"/>
        </w:rPr>
        <w:t>(Agustín-Pavón et al., 2012b)</w:t>
      </w:r>
      <w:r w:rsidRPr="00E20348">
        <w:rPr>
          <w:rFonts w:cstheme="minorHAnsi"/>
          <w:color w:val="000000"/>
        </w:rPr>
        <w:fldChar w:fldCharType="end"/>
      </w:r>
      <w:r w:rsidRPr="001A7586">
        <w:rPr>
          <w:rFonts w:cstheme="minorHAnsi"/>
          <w:color w:val="000000"/>
        </w:rPr>
        <w:t xml:space="preserve">. However high-trait anxious individuals show deficits in motivational </w:t>
      </w:r>
      <w:r w:rsidR="00D71B0B" w:rsidRPr="001A7586">
        <w:rPr>
          <w:rFonts w:cstheme="minorHAnsi"/>
          <w:color w:val="000000"/>
        </w:rPr>
        <w:t>behavior</w:t>
      </w:r>
      <w:r w:rsidRPr="001A7586">
        <w:rPr>
          <w:rFonts w:cstheme="minorHAnsi"/>
          <w:color w:val="000000"/>
        </w:rPr>
        <w:t>s and task engage</w:t>
      </w:r>
      <w:r w:rsidR="00907793" w:rsidRPr="001A7586">
        <w:rPr>
          <w:rFonts w:cstheme="minorHAnsi"/>
          <w:color w:val="000000"/>
        </w:rPr>
        <w:t>ment that could be considered</w:t>
      </w:r>
      <w:r w:rsidRPr="001A7586">
        <w:rPr>
          <w:rFonts w:cstheme="minorHAnsi"/>
          <w:color w:val="000000"/>
        </w:rPr>
        <w:t xml:space="preserve"> a ‘</w:t>
      </w:r>
      <w:r w:rsidR="00D71B0B" w:rsidRPr="001A7586">
        <w:rPr>
          <w:rFonts w:cstheme="minorHAnsi"/>
          <w:color w:val="000000"/>
        </w:rPr>
        <w:t>behavior</w:t>
      </w:r>
      <w:r w:rsidRPr="001A7586">
        <w:rPr>
          <w:rFonts w:cstheme="minorHAnsi"/>
          <w:color w:val="000000"/>
        </w:rPr>
        <w:t xml:space="preserve">al blunting’ </w:t>
      </w:r>
      <w:r w:rsidRPr="00E20348">
        <w:rPr>
          <w:rFonts w:cstheme="minorHAnsi"/>
          <w:color w:val="000000"/>
        </w:rPr>
        <w:fldChar w:fldCharType="begin" w:fldLock="1"/>
      </w:r>
      <w:r w:rsidR="007C1DE8" w:rsidRPr="001A7586">
        <w:rPr>
          <w:rFonts w:cstheme="minorHAnsi"/>
          <w:color w:val="000000"/>
        </w:rPr>
        <w:instrText>ADDIN CSL_CITATION {"citationItems":[{"id":"ITEM-1","itemData":{"DOI":"10.1016/j.neubiorev.2017.02.025","ISSN":"01497634","author":[{"dropping-particle":"","family":"Carroll","given":"Douglas","non-dropping-particle":"","parse-names":false,"suffix":""},{"dropping-particle":"","family":"Ginty","given":"Annie T.","non-dropping-particle":"","parse-names":false,"suffix":""},{"dropping-particle":"","family":"Whittaker","given":"Anna C.","non-dropping-particle":"","parse-names":false,"suffix":""},{"dropping-particle":"","family":"Lovallo","given":"William R.","non-dropping-particle":"","parse-names":false,"suffix":""},{"dropping-particle":"","family":"Rooij","given":"Susanne R.","non-dropping-particle":"de","parse-names":false,"suffix":""}],"container-title":"Neuroscience &amp; Biobehavioral Reviews","id":"ITEM-1","issued":{"date-parts":[["2017","6"]]},"page":"74-86","title":"The behavioural, cognitive, and neural corollaries of blunted cardiovascular and cortisol reactions to acute psychological stress","type":"article-journal","volume":"77"},"uris":["http://www.mendeley.com/documents/?uuid=cd0b8cd4-ab62-3a36-9958-31ae42246ae5"]}],"mendeley":{"formattedCitation":"(Carroll et al., 2017)","plainTextFormattedCitation":"(Carroll et al., 2017)","previouslyFormattedCitation":"(Carroll et al., 2017)"},"properties":{"noteIndex":0},"schema":"https://github.com/citation-style-language/schema/raw/master/csl-citation.json"}</w:instrText>
      </w:r>
      <w:r w:rsidRPr="00E20348">
        <w:rPr>
          <w:rFonts w:cstheme="minorHAnsi"/>
          <w:color w:val="000000"/>
        </w:rPr>
        <w:fldChar w:fldCharType="separate"/>
      </w:r>
      <w:r w:rsidR="007C1DE8" w:rsidRPr="001A7586">
        <w:rPr>
          <w:rFonts w:cstheme="minorHAnsi"/>
          <w:noProof/>
          <w:color w:val="000000"/>
        </w:rPr>
        <w:t>(Carroll et al., 2017)</w:t>
      </w:r>
      <w:r w:rsidRPr="00E20348">
        <w:rPr>
          <w:rFonts w:cstheme="minorHAnsi"/>
          <w:color w:val="000000"/>
        </w:rPr>
        <w:fldChar w:fldCharType="end"/>
      </w:r>
      <w:r w:rsidRPr="001A7586">
        <w:rPr>
          <w:rFonts w:cstheme="minorHAnsi"/>
          <w:color w:val="000000"/>
        </w:rPr>
        <w:t xml:space="preserve">. </w:t>
      </w:r>
    </w:p>
    <w:p w14:paraId="2AAB3DA9" w14:textId="737CC53C" w:rsidR="00B21E43" w:rsidRPr="001A7586" w:rsidRDefault="00AF7C9C" w:rsidP="00AF18CF">
      <w:pPr>
        <w:spacing w:line="480" w:lineRule="auto"/>
        <w:jc w:val="both"/>
      </w:pPr>
      <w:r w:rsidRPr="001A7586">
        <w:t>A second person blind to the conditions of the experiment scored a subset of the discrimination sessions. Interscorer reliability was high (R</w:t>
      </w:r>
      <w:r w:rsidRPr="001A7586">
        <w:rPr>
          <w:vertAlign w:val="subscript"/>
        </w:rPr>
        <w:t>72</w:t>
      </w:r>
      <w:r w:rsidRPr="001A7586">
        <w:t xml:space="preserve"> = 0.76, P &lt;0.001). </w:t>
      </w:r>
    </w:p>
    <w:p w14:paraId="0BBE0102" w14:textId="77777777" w:rsidR="00B21E43" w:rsidRPr="001A7586" w:rsidRDefault="00B21E43" w:rsidP="00AF18CF">
      <w:pPr>
        <w:autoSpaceDE w:val="0"/>
        <w:autoSpaceDN w:val="0"/>
        <w:adjustRightInd w:val="0"/>
        <w:spacing w:after="0" w:line="480" w:lineRule="auto"/>
        <w:jc w:val="both"/>
        <w:rPr>
          <w:rFonts w:cs="Times New Roman"/>
          <w:b/>
          <w:i/>
        </w:rPr>
      </w:pPr>
    </w:p>
    <w:p w14:paraId="00B9AA38" w14:textId="77777777" w:rsidR="00B21E43" w:rsidRPr="001A7586" w:rsidRDefault="00B21E43" w:rsidP="00AF18CF">
      <w:pPr>
        <w:autoSpaceDE w:val="0"/>
        <w:autoSpaceDN w:val="0"/>
        <w:adjustRightInd w:val="0"/>
        <w:spacing w:after="0" w:line="480" w:lineRule="auto"/>
        <w:jc w:val="both"/>
        <w:rPr>
          <w:rFonts w:cs="Times New Roman"/>
          <w:b/>
          <w:i/>
        </w:rPr>
      </w:pPr>
      <w:r w:rsidRPr="001A7586">
        <w:rPr>
          <w:rFonts w:cs="Times New Roman"/>
          <w:b/>
          <w:i/>
        </w:rPr>
        <w:t>Experimental design and Statistical Analysis</w:t>
      </w:r>
    </w:p>
    <w:p w14:paraId="0E320A94" w14:textId="71F9339D" w:rsidR="00646997" w:rsidRPr="001A7586" w:rsidRDefault="00D52508" w:rsidP="00AF18CF">
      <w:pPr>
        <w:autoSpaceDE w:val="0"/>
        <w:autoSpaceDN w:val="0"/>
        <w:adjustRightInd w:val="0"/>
        <w:spacing w:after="0" w:line="480" w:lineRule="auto"/>
        <w:jc w:val="both"/>
        <w:rPr>
          <w:rFonts w:cs="Times New Roman"/>
          <w:b/>
          <w:i/>
        </w:rPr>
      </w:pPr>
      <w:r w:rsidRPr="001A7586">
        <w:rPr>
          <w:rFonts w:cstheme="minorHAnsi"/>
        </w:rPr>
        <w:t xml:space="preserve">Glutamate levels </w:t>
      </w:r>
      <w:r w:rsidR="00B21E43" w:rsidRPr="001A7586">
        <w:rPr>
          <w:rFonts w:cstheme="minorHAnsi"/>
        </w:rPr>
        <w:t xml:space="preserve">from the 12 monkeys in Expt 1 </w:t>
      </w:r>
      <w:r w:rsidRPr="001A7586">
        <w:rPr>
          <w:rFonts w:cstheme="minorHAnsi"/>
        </w:rPr>
        <w:t xml:space="preserve">were correlated to </w:t>
      </w:r>
      <w:r w:rsidR="00A010C6" w:rsidRPr="001A7586">
        <w:rPr>
          <w:rFonts w:cstheme="minorHAnsi"/>
        </w:rPr>
        <w:t xml:space="preserve">their </w:t>
      </w:r>
      <w:r w:rsidRPr="001A7586">
        <w:rPr>
          <w:rFonts w:cstheme="minorHAnsi"/>
        </w:rPr>
        <w:t xml:space="preserve">anxiety-related </w:t>
      </w:r>
      <w:r w:rsidR="00D71B0B" w:rsidRPr="001A7586">
        <w:rPr>
          <w:rFonts w:cstheme="minorHAnsi"/>
        </w:rPr>
        <w:t>behavior</w:t>
      </w:r>
      <w:r w:rsidRPr="001A7586">
        <w:rPr>
          <w:rFonts w:cstheme="minorHAnsi"/>
        </w:rPr>
        <w:t>s using parametric bivariate correlation analyses in SPSS v22 (IBM, NY, USA)</w:t>
      </w:r>
      <w:r w:rsidR="00F8026C" w:rsidRPr="001A7586">
        <w:rPr>
          <w:rFonts w:cstheme="minorHAnsi"/>
        </w:rPr>
        <w:t xml:space="preserve"> for both left and right hippocampi</w:t>
      </w:r>
      <w:r w:rsidRPr="001A7586">
        <w:rPr>
          <w:rFonts w:cstheme="minorHAnsi"/>
        </w:rPr>
        <w:t>. Human intruder test d</w:t>
      </w:r>
      <w:r w:rsidR="00CB7DA3" w:rsidRPr="001A7586">
        <w:rPr>
          <w:rFonts w:cstheme="minorHAnsi"/>
        </w:rPr>
        <w:t>ata</w:t>
      </w:r>
      <w:r w:rsidR="00A010C6" w:rsidRPr="001A7586">
        <w:rPr>
          <w:rFonts w:cstheme="minorHAnsi"/>
        </w:rPr>
        <w:t xml:space="preserve"> from Expt 2a</w:t>
      </w:r>
      <w:r w:rsidR="00CB7DA3" w:rsidRPr="001A7586">
        <w:rPr>
          <w:rFonts w:cstheme="minorHAnsi"/>
        </w:rPr>
        <w:t xml:space="preserve"> were </w:t>
      </w:r>
      <w:r w:rsidR="00D8399B" w:rsidRPr="001A7586">
        <w:rPr>
          <w:rFonts w:cstheme="minorHAnsi"/>
        </w:rPr>
        <w:t>analyzed</w:t>
      </w:r>
      <w:r w:rsidR="00CB7DA3" w:rsidRPr="001A7586">
        <w:rPr>
          <w:rFonts w:cstheme="minorHAnsi"/>
        </w:rPr>
        <w:t xml:space="preserve"> using </w:t>
      </w:r>
      <w:r w:rsidRPr="001A7586">
        <w:rPr>
          <w:rFonts w:cstheme="minorHAnsi"/>
        </w:rPr>
        <w:t>repeated measures ANOVA and post-hoc paired</w:t>
      </w:r>
      <w:r w:rsidR="00B21E43" w:rsidRPr="001A7586">
        <w:rPr>
          <w:rFonts w:cstheme="minorHAnsi"/>
        </w:rPr>
        <w:t xml:space="preserve"> (within-subjects)</w:t>
      </w:r>
      <w:r w:rsidRPr="001A7586">
        <w:rPr>
          <w:rFonts w:cstheme="minorHAnsi"/>
        </w:rPr>
        <w:t xml:space="preserve"> t-tests in </w:t>
      </w:r>
      <w:r w:rsidR="00CB7DA3" w:rsidRPr="001A7586">
        <w:rPr>
          <w:rFonts w:cstheme="minorHAnsi"/>
        </w:rPr>
        <w:t>SPSS v22 (IBM, NY, USA)</w:t>
      </w:r>
      <w:r w:rsidRPr="001A7586">
        <w:rPr>
          <w:rFonts w:cstheme="minorHAnsi"/>
        </w:rPr>
        <w:t xml:space="preserve"> </w:t>
      </w:r>
      <w:r w:rsidR="00B21E43" w:rsidRPr="001A7586">
        <w:rPr>
          <w:rFonts w:cstheme="minorHAnsi"/>
        </w:rPr>
        <w:t xml:space="preserve">using </w:t>
      </w:r>
      <w:r w:rsidR="000C163B" w:rsidRPr="001A7586">
        <w:rPr>
          <w:rFonts w:cstheme="minorHAnsi"/>
        </w:rPr>
        <w:t>factor</w:t>
      </w:r>
      <w:r w:rsidR="00B21E43" w:rsidRPr="001A7586">
        <w:rPr>
          <w:rFonts w:cstheme="minorHAnsi"/>
        </w:rPr>
        <w:t>s</w:t>
      </w:r>
      <w:r w:rsidRPr="001A7586">
        <w:rPr>
          <w:rFonts w:cstheme="minorHAnsi"/>
        </w:rPr>
        <w:t xml:space="preserve"> of test (saline 1, aHipp L</w:t>
      </w:r>
      <w:r w:rsidR="003A5F1E" w:rsidRPr="001A7586">
        <w:rPr>
          <w:rFonts w:cstheme="minorHAnsi"/>
        </w:rPr>
        <w:t>Y</w:t>
      </w:r>
      <w:r w:rsidRPr="001A7586">
        <w:rPr>
          <w:rFonts w:cstheme="minorHAnsi"/>
        </w:rPr>
        <w:t xml:space="preserve">/CGP or saline 2). Cardiovascular and </w:t>
      </w:r>
      <w:r w:rsidR="00D71B0B" w:rsidRPr="001A7586">
        <w:rPr>
          <w:rFonts w:cstheme="minorHAnsi"/>
        </w:rPr>
        <w:t>behavior</w:t>
      </w:r>
      <w:r w:rsidRPr="001A7586">
        <w:rPr>
          <w:rFonts w:cstheme="minorHAnsi"/>
        </w:rPr>
        <w:t>al data from the unpredictable th</w:t>
      </w:r>
      <w:r w:rsidR="00771540" w:rsidRPr="001A7586">
        <w:rPr>
          <w:rFonts w:cstheme="minorHAnsi"/>
        </w:rPr>
        <w:t>reat paradigm</w:t>
      </w:r>
      <w:r w:rsidR="00A010C6" w:rsidRPr="001A7586">
        <w:rPr>
          <w:rFonts w:cstheme="minorHAnsi"/>
        </w:rPr>
        <w:t xml:space="preserve"> (Expt 2b)</w:t>
      </w:r>
      <w:r w:rsidR="00771540" w:rsidRPr="001A7586">
        <w:rPr>
          <w:rFonts w:cstheme="minorHAnsi"/>
        </w:rPr>
        <w:t xml:space="preserve"> were</w:t>
      </w:r>
      <w:r w:rsidRPr="001A7586">
        <w:rPr>
          <w:rFonts w:cstheme="minorHAnsi"/>
        </w:rPr>
        <w:t xml:space="preserve"> </w:t>
      </w:r>
      <w:r w:rsidR="00D8399B" w:rsidRPr="001A7586">
        <w:rPr>
          <w:rFonts w:cstheme="minorHAnsi"/>
        </w:rPr>
        <w:t>analyzed</w:t>
      </w:r>
      <w:r w:rsidRPr="001A7586">
        <w:rPr>
          <w:rFonts w:cstheme="minorHAnsi"/>
        </w:rPr>
        <w:t xml:space="preserve"> in R version 3.2.2 </w:t>
      </w:r>
      <w:r w:rsidRPr="00E20348">
        <w:rPr>
          <w:rFonts w:cstheme="minorHAnsi"/>
        </w:rPr>
        <w:fldChar w:fldCharType="begin" w:fldLock="1"/>
      </w:r>
      <w:r w:rsidR="00BF4D98" w:rsidRPr="001A7586">
        <w:rPr>
          <w:rFonts w:cstheme="minorHAnsi"/>
        </w:rPr>
        <w:instrText>ADDIN CSL_CITATION {"citationItems":[{"id":"ITEM-1","itemData":{"author":[{"dropping-particle":"","family":"Core Team","given":"R","non-dropping-particle":"","parse-names":false,"suffix":""}],"id":"ITEM-1","issued":{"date-parts":[["2016"]]},"title":"R: A Language and Environment For Statistical Computing","type":"article"},"uris":["http://www.mendeley.com/documents/?uuid=92d3b808-2a6b-4e5b-943b-05e062c4d0a2"]}],"mendeley":{"formattedCitation":"(Core Team, 2016)","manualFormatting":"(R Core Team, 2016)","plainTextFormattedCitation":"(Core Team, 2016)","previouslyFormattedCitation":"(Core Team, 2016)"},"properties":{"noteIndex":0},"schema":"https://github.com/citation-style-language/schema/raw/master/csl-citation.json"}</w:instrText>
      </w:r>
      <w:r w:rsidRPr="00E20348">
        <w:rPr>
          <w:rFonts w:cstheme="minorHAnsi"/>
        </w:rPr>
        <w:fldChar w:fldCharType="separate"/>
      </w:r>
      <w:r w:rsidR="007C1DE8" w:rsidRPr="001A7586">
        <w:rPr>
          <w:rFonts w:cstheme="minorHAnsi"/>
          <w:noProof/>
        </w:rPr>
        <w:t>(</w:t>
      </w:r>
      <w:r w:rsidR="00BF4D98" w:rsidRPr="001A7586">
        <w:rPr>
          <w:rFonts w:cstheme="minorHAnsi"/>
          <w:noProof/>
        </w:rPr>
        <w:t xml:space="preserve">R </w:t>
      </w:r>
      <w:r w:rsidR="007C1DE8" w:rsidRPr="001A7586">
        <w:rPr>
          <w:rFonts w:cstheme="minorHAnsi"/>
          <w:noProof/>
        </w:rPr>
        <w:t>Core Team, 2016)</w:t>
      </w:r>
      <w:r w:rsidRPr="00E20348">
        <w:rPr>
          <w:rFonts w:cstheme="minorHAnsi"/>
        </w:rPr>
        <w:fldChar w:fldCharType="end"/>
      </w:r>
      <w:r w:rsidRPr="001A7586">
        <w:rPr>
          <w:rFonts w:cstheme="minorHAnsi"/>
        </w:rPr>
        <w:t xml:space="preserve"> using</w:t>
      </w:r>
      <w:r w:rsidR="00B21E43" w:rsidRPr="001A7586">
        <w:rPr>
          <w:rFonts w:cstheme="minorHAnsi"/>
        </w:rPr>
        <w:t xml:space="preserve"> repeated measures ANOVA and post-hoc paired (within-subjects) t-tests </w:t>
      </w:r>
      <w:r w:rsidRPr="001A7586">
        <w:rPr>
          <w:rFonts w:cstheme="minorHAnsi"/>
        </w:rPr>
        <w:t xml:space="preserve">from the lmerTest package, and type III sums of squares with the Satterthwaite approximation for degrees of </w:t>
      </w:r>
      <w:r w:rsidR="00BF4D98" w:rsidRPr="001A7586">
        <w:rPr>
          <w:rFonts w:cstheme="minorHAnsi"/>
        </w:rPr>
        <w:t>freedom</w:t>
      </w:r>
      <w:r w:rsidRPr="001A7586">
        <w:rPr>
          <w:rFonts w:cstheme="minorHAnsi"/>
        </w:rPr>
        <w:t>.</w:t>
      </w:r>
      <w:r w:rsidR="000C163B" w:rsidRPr="001A7586">
        <w:rPr>
          <w:rFonts w:cstheme="minorHAnsi"/>
        </w:rPr>
        <w:t xml:space="preserve"> Factors included area (levels including aHipp, area 32, area 25 and combinations) and drug (including LY/CGP, saline and musbac).</w:t>
      </w:r>
      <w:r w:rsidR="00FA626E" w:rsidRPr="001A7586">
        <w:rPr>
          <w:rFonts w:cstheme="minorHAnsi"/>
        </w:rPr>
        <w:t xml:space="preserve"> Although MAP was </w:t>
      </w:r>
      <w:r w:rsidR="00D8399B" w:rsidRPr="001A7586">
        <w:rPr>
          <w:rFonts w:cstheme="minorHAnsi"/>
        </w:rPr>
        <w:t>analyzed</w:t>
      </w:r>
      <w:r w:rsidR="00FA626E" w:rsidRPr="001A7586">
        <w:rPr>
          <w:rFonts w:cstheme="minorHAnsi"/>
        </w:rPr>
        <w:t xml:space="preserve"> throughout, it was highly variable and was not statistically affected by any of the manipulations used in the present study</w:t>
      </w:r>
      <w:r w:rsidR="001C5FF8" w:rsidRPr="001A7586">
        <w:rPr>
          <w:rFonts w:cstheme="minorHAnsi"/>
        </w:rPr>
        <w:t>. MAP data is therefore not presented.</w:t>
      </w:r>
      <w:r w:rsidR="00A010C6" w:rsidRPr="001A7586">
        <w:rPr>
          <w:rFonts w:cstheme="minorHAnsi"/>
        </w:rPr>
        <w:t xml:space="preserve"> In all cases n=5 or above gives a high statistical power-to-subject ratio</w:t>
      </w:r>
      <w:r w:rsidR="00F8026C" w:rsidRPr="001A7586">
        <w:rPr>
          <w:rFonts w:cstheme="minorHAnsi"/>
        </w:rPr>
        <w:t xml:space="preserve"> while </w:t>
      </w:r>
      <w:r w:rsidR="00D8399B" w:rsidRPr="001A7586">
        <w:rPr>
          <w:rFonts w:cstheme="minorHAnsi"/>
        </w:rPr>
        <w:t>minimizing</w:t>
      </w:r>
      <w:r w:rsidR="00F8026C" w:rsidRPr="001A7586">
        <w:rPr>
          <w:rFonts w:cstheme="minorHAnsi"/>
        </w:rPr>
        <w:t xml:space="preserve"> the number of animals used</w:t>
      </w:r>
      <w:r w:rsidR="00A010C6" w:rsidRPr="001A7586">
        <w:rPr>
          <w:rFonts w:cstheme="minorHAnsi"/>
        </w:rPr>
        <w:t>.</w:t>
      </w:r>
    </w:p>
    <w:p w14:paraId="30CC9454" w14:textId="77777777" w:rsidR="00D516A6" w:rsidRPr="001A7586" w:rsidRDefault="00D516A6" w:rsidP="00AF18CF">
      <w:pPr>
        <w:spacing w:after="119" w:line="480" w:lineRule="auto"/>
        <w:jc w:val="both"/>
        <w:rPr>
          <w:rFonts w:ascii="Minion-Regular" w:hAnsi="Minion-Regular" w:cs="Minion-Regular"/>
          <w:sz w:val="17"/>
          <w:szCs w:val="17"/>
        </w:rPr>
      </w:pPr>
    </w:p>
    <w:p w14:paraId="336315B6" w14:textId="77777777" w:rsidR="003F2723" w:rsidRPr="001A7586" w:rsidRDefault="003F2723" w:rsidP="00AF18CF">
      <w:pPr>
        <w:pStyle w:val="Heading3"/>
        <w:spacing w:line="480" w:lineRule="auto"/>
        <w:jc w:val="both"/>
        <w:rPr>
          <w:rFonts w:asciiTheme="minorHAnsi" w:hAnsiTheme="minorHAnsi"/>
          <w:b/>
          <w:color w:val="auto"/>
          <w:sz w:val="22"/>
        </w:rPr>
      </w:pPr>
      <w:bookmarkStart w:id="14" w:name="OLE_LINK45"/>
      <w:bookmarkStart w:id="15" w:name="OLE_LINK46"/>
      <w:bookmarkStart w:id="16" w:name="OLE_LINK47"/>
      <w:r w:rsidRPr="001A7586">
        <w:rPr>
          <w:rFonts w:asciiTheme="minorHAnsi" w:hAnsiTheme="minorHAnsi"/>
          <w:b/>
          <w:i/>
          <w:color w:val="auto"/>
          <w:sz w:val="22"/>
        </w:rPr>
        <w:t>Post mortem</w:t>
      </w:r>
      <w:r w:rsidRPr="001A7586">
        <w:rPr>
          <w:rFonts w:asciiTheme="minorHAnsi" w:hAnsiTheme="minorHAnsi"/>
          <w:b/>
          <w:color w:val="auto"/>
          <w:sz w:val="22"/>
        </w:rPr>
        <w:t xml:space="preserve"> assessment of cannulae placement</w:t>
      </w:r>
    </w:p>
    <w:bookmarkEnd w:id="14"/>
    <w:bookmarkEnd w:id="15"/>
    <w:bookmarkEnd w:id="16"/>
    <w:p w14:paraId="7B44AD9F" w14:textId="2E5AA7E5" w:rsidR="003F2723" w:rsidRPr="001A7586" w:rsidRDefault="003F2723" w:rsidP="00AF18CF">
      <w:pPr>
        <w:spacing w:line="480" w:lineRule="auto"/>
        <w:jc w:val="both"/>
        <w:rPr>
          <w:szCs w:val="24"/>
        </w:rPr>
      </w:pPr>
      <w:r w:rsidRPr="001A7586">
        <w:t>Animals were premedicated w</w:t>
      </w:r>
      <w:r w:rsidR="00B54332" w:rsidRPr="001A7586">
        <w:t>ith ketamine hydrochloride (Veta</w:t>
      </w:r>
      <w:r w:rsidRPr="001A7586">
        <w:t xml:space="preserve">lar; 0.05 ml of a 100 mg solution, i.m.; Amersham Biosciences and Upjohn, Crawley, UK) before being euthanized with pentobarbitol sodium (Dolethal; 1ml of a 200mg/ml solution, i.v.; Merial Animal Health, Essex, U.K.). Animals were then perfused transcardially with 500ml 0.1M PBS, followed by 500ml of 4% paraformaldehyde fixative </w:t>
      </w:r>
      <w:r w:rsidRPr="001A7586">
        <w:lastRenderedPageBreak/>
        <w:t xml:space="preserve">solution, over approximately 15 minutes. The brain was removed and left in the 4% paraformaldehyde fixative solution overnight before being transferred to 30% sucrose solution for at least 48 hours. Brains were then sectioned on a freezing microtome (coronal sections; 60µm), mounted on slides, and stained with cressyl fast violet. The sections were viewed under a Leitz DMRD microscope (Leica Microsystems, Wetzlar, Germany). </w:t>
      </w:r>
      <w:r w:rsidRPr="001A7586">
        <w:rPr>
          <w:szCs w:val="24"/>
        </w:rPr>
        <w:t xml:space="preserve">The cannula locations for each animal were schematized onto drawings of standard marmoset brain coronal sections and composite diagrams were then made to illustrate the extent of overlap between animals. </w:t>
      </w:r>
    </w:p>
    <w:p w14:paraId="14C5AA0B" w14:textId="77777777" w:rsidR="00C265AA" w:rsidRPr="001A7586" w:rsidRDefault="00C265AA" w:rsidP="00AF18CF">
      <w:pPr>
        <w:spacing w:after="119" w:line="480" w:lineRule="auto"/>
        <w:jc w:val="both"/>
      </w:pPr>
    </w:p>
    <w:p w14:paraId="3E9CB6D2" w14:textId="77777777" w:rsidR="00863E0F" w:rsidRPr="001A7586" w:rsidRDefault="00863E0F" w:rsidP="00AF18CF">
      <w:pPr>
        <w:spacing w:after="119" w:line="480" w:lineRule="auto"/>
        <w:jc w:val="both"/>
      </w:pPr>
    </w:p>
    <w:p w14:paraId="284A9413" w14:textId="77777777" w:rsidR="0006441C" w:rsidRPr="001A7586" w:rsidRDefault="0006441C" w:rsidP="00AF18CF">
      <w:pPr>
        <w:spacing w:after="119" w:line="480" w:lineRule="auto"/>
        <w:jc w:val="both"/>
      </w:pPr>
    </w:p>
    <w:p w14:paraId="501F5CAA" w14:textId="77777777" w:rsidR="002E3DD2" w:rsidRPr="001A7586" w:rsidRDefault="002E3DD2" w:rsidP="00AF18CF">
      <w:pPr>
        <w:spacing w:after="119" w:line="480" w:lineRule="auto"/>
        <w:jc w:val="both"/>
        <w:rPr>
          <w:color w:val="FF0000"/>
        </w:rPr>
      </w:pPr>
    </w:p>
    <w:p w14:paraId="5E32D5B3" w14:textId="77777777" w:rsidR="001107A9" w:rsidRPr="001A7586" w:rsidRDefault="001107A9" w:rsidP="00AF18CF">
      <w:pPr>
        <w:spacing w:line="480" w:lineRule="auto"/>
        <w:jc w:val="both"/>
        <w:rPr>
          <w:b/>
        </w:rPr>
      </w:pPr>
      <w:r w:rsidRPr="001A7586">
        <w:rPr>
          <w:b/>
        </w:rPr>
        <w:t>Results</w:t>
      </w:r>
    </w:p>
    <w:p w14:paraId="4E600412" w14:textId="77777777" w:rsidR="008F21A6" w:rsidRPr="001A7586" w:rsidRDefault="008F21A6" w:rsidP="00AF18CF">
      <w:pPr>
        <w:spacing w:line="480" w:lineRule="auto"/>
        <w:jc w:val="both"/>
        <w:rPr>
          <w:b/>
        </w:rPr>
      </w:pPr>
      <w:r w:rsidRPr="001A7586">
        <w:rPr>
          <w:b/>
        </w:rPr>
        <w:t>Experiment 1:</w:t>
      </w:r>
    </w:p>
    <w:p w14:paraId="5CC53B46" w14:textId="541CBCFC" w:rsidR="004231C6" w:rsidRPr="001A7586" w:rsidRDefault="003333BD" w:rsidP="00AF18CF">
      <w:pPr>
        <w:spacing w:line="480" w:lineRule="auto"/>
        <w:jc w:val="both"/>
        <w:rPr>
          <w:b/>
        </w:rPr>
      </w:pPr>
      <w:r w:rsidRPr="001A7586">
        <w:rPr>
          <w:b/>
        </w:rPr>
        <w:t>Increased t</w:t>
      </w:r>
      <w:r w:rsidR="001107A9" w:rsidRPr="001A7586">
        <w:rPr>
          <w:b/>
        </w:rPr>
        <w:t xml:space="preserve">rait anxiety is associated with reduced glutamate </w:t>
      </w:r>
      <w:r w:rsidR="00B21FF3" w:rsidRPr="001A7586">
        <w:rPr>
          <w:b/>
        </w:rPr>
        <w:t xml:space="preserve">levels </w:t>
      </w:r>
      <w:r w:rsidR="001107A9" w:rsidRPr="001A7586">
        <w:rPr>
          <w:b/>
        </w:rPr>
        <w:t xml:space="preserve">within the </w:t>
      </w:r>
      <w:r w:rsidR="00A55DF2" w:rsidRPr="001A7586">
        <w:rPr>
          <w:b/>
        </w:rPr>
        <w:t xml:space="preserve">primate </w:t>
      </w:r>
      <w:r w:rsidR="007C4E42" w:rsidRPr="001A7586">
        <w:rPr>
          <w:b/>
        </w:rPr>
        <w:t xml:space="preserve">right anterior </w:t>
      </w:r>
      <w:r w:rsidR="001107A9" w:rsidRPr="001A7586">
        <w:rPr>
          <w:b/>
        </w:rPr>
        <w:t>hippocampus</w:t>
      </w:r>
      <w:r w:rsidR="00A55DF2" w:rsidRPr="001A7586">
        <w:rPr>
          <w:b/>
        </w:rPr>
        <w:t xml:space="preserve"> (aHipp).</w:t>
      </w:r>
    </w:p>
    <w:p w14:paraId="3F864CDF" w14:textId="4BAF352E" w:rsidR="00A36E07" w:rsidRPr="001A7586" w:rsidRDefault="00287848" w:rsidP="00AF18CF">
      <w:pPr>
        <w:spacing w:after="119" w:line="480" w:lineRule="auto"/>
        <w:jc w:val="both"/>
      </w:pPr>
      <w:r w:rsidRPr="001A7586">
        <w:t xml:space="preserve">To assess the contribution of aHipp neurochemistry to the trait anxious phenotype, glutamate and monoamine levels within the right </w:t>
      </w:r>
      <w:r w:rsidR="00F84590" w:rsidRPr="001A7586">
        <w:t xml:space="preserve">and left </w:t>
      </w:r>
      <w:r w:rsidRPr="001A7586">
        <w:t xml:space="preserve">aHipp of marmosets </w:t>
      </w:r>
      <w:r w:rsidRPr="00E20348">
        <w:fldChar w:fldCharType="begin" w:fldLock="1"/>
      </w:r>
      <w:r w:rsidR="007C1DE8" w:rsidRPr="001A7586">
        <w:instrText>ADDIN CSL_CITATION {"citationItems":[{"id":"ITEM-1","itemData":{"DOI":"10.3389/fnbeh.2014.00137","ISSN":"1662-5153","PMID":"24795587","abstract":"High trait anxiety is a risk factor for the development of anxiety disorders. Like the disorders themselves high trait anxiety has marked phenotypic variation at the level of symptomatology and neural circuits, suggesting that there may be different symptoms and distinct neural circuits associated with risk for these disorders. To address these issues, it is essential to develop reliable animal models of trait anxiety in a non-human primate whose brain bears structural and functional similarity to humans. The present study investigated individual variation in responsivity to fearful and anxiety provoking stimuli in the common marmoset monkey. Seven out of 27 animals failed to display discriminative, conditioned cardiovascular and behavioral responses on an auditory fear discrimination task, similar to that seen in high anxious humans and rodents. Their heightened emotionality to a rubber snake was consistent with the hypothesis that they were high in trait-like anxiety. Evidence for phenotypic variation in the high anxiety group was provided by the finding that discrimination failure was predicted early in conditioning by either hyper-vigilant scanning to the cues or a reduction in blood pressure to the context, i.e., test apparatus. Given that high trait anxiety in humans can be associated with altered prefrontal cognitive functioning and previously we implicated the marmoset anterior orbitofrontal (antOFC) and ventrolateral prefrontal cortex (vlPFC) in negative emotion regulation, we also tested the marmosets on two tests of cognitive flexibility differentially dependent on these two regions. While the high anxious group did not differ overall in their perseverative performance, the two distinct phenotypes were differentially correlated with reduced perseverative responding on the OFC- and vlPFC-dependent flexibility tests. Together, this study provides a new model of trait anxiety in marmosets amenable to analysis of phenotypic variation and neural circuitry.","author":[{"dropping-particle":"","family":"Shiba","given":"Yoshiro","non-dropping-particle":"","parse-names":false,"suffix":""},{"dropping-particle":"","family":"Santangelo","given":"Andrea M","non-dropping-particle":"","parse-names":false,"suffix":""},{"dropping-particle":"","family":"Braesicke","given":"Katrin","non-dropping-particle":"","parse-names":false,"suffix":""},{"dropping-particle":"","family":"Agustín-Pavón","given":"Carmen","non-dropping-particle":"","parse-names":false,"suffix":""},{"dropping-particle":"","family":"Cockcroft","given":"Gemma","non-dropping-particle":"","parse-names":false,"suffix":""},{"dropping-particle":"","family":"Haggard","given":"Mark","non-dropping-particle":"","parse-names":false,"suffix":""},{"dropping-particle":"","family":"Roberts","given":"Angela C","non-dropping-particle":"","parse-names":false,"suffix":""}],"container-title":"Frontiers in behavioral neuroscience","id":"ITEM-1","issued":{"date-parts":[["2014","1"]]},"page":"137","title":"Individual differences in behavioral and cardiovascular reactivity to emotive stimuli and their relationship to cognitive flexibility in a primate model of trait anxiety.","type":"article-journal","volume":"8"},"prefix":"factor abalysis; from ","uris":["http://www.mendeley.com/documents/?uuid=94810cb1-8e65-4185-b965-d227ccc5cf9a"]}],"mendeley":{"formattedCitation":"(factor abalysis; from Shiba et al., 2014)","manualFormatting":"(from , 17)","plainTextFormattedCitation":"(factor abalysis; from Shiba et al., 2014)","previouslyFormattedCitation":"(factor abalysis; from Shiba et al., 2014)"},"properties":{"noteIndex":0},"schema":"https://github.com/citation-style-language/schema/raw/master/csl-citation.json"}</w:instrText>
      </w:r>
      <w:r w:rsidRPr="00E20348">
        <w:fldChar w:fldCharType="separate"/>
      </w:r>
      <w:r w:rsidRPr="001A7586">
        <w:rPr>
          <w:noProof/>
        </w:rPr>
        <w:t xml:space="preserve">(from , </w:t>
      </w:r>
      <w:r w:rsidRPr="001A7586">
        <w:rPr>
          <w:i/>
          <w:noProof/>
        </w:rPr>
        <w:t>17</w:t>
      </w:r>
      <w:r w:rsidRPr="001A7586">
        <w:rPr>
          <w:noProof/>
        </w:rPr>
        <w:t>)</w:t>
      </w:r>
      <w:r w:rsidRPr="00E20348">
        <w:fldChar w:fldCharType="end"/>
      </w:r>
      <w:r w:rsidRPr="001A7586">
        <w:t xml:space="preserve"> were compared to the composite anxiety score (as determined by factor analysis) and the individual </w:t>
      </w:r>
      <w:r w:rsidR="00D71B0B" w:rsidRPr="001A7586">
        <w:t>behavior</w:t>
      </w:r>
      <w:r w:rsidRPr="001A7586">
        <w:t>s displayed in response to an unknown human.</w:t>
      </w:r>
      <w:r w:rsidR="00A36E07" w:rsidRPr="001A7586">
        <w:t xml:space="preserve"> </w:t>
      </w:r>
      <w:r w:rsidR="00207DAF" w:rsidRPr="001A7586">
        <w:t xml:space="preserve">Hierarchical linear regression revealed that </w:t>
      </w:r>
      <w:r w:rsidR="00207DAF" w:rsidRPr="001A7586">
        <w:rPr>
          <w:rFonts w:cstheme="minorHAnsi"/>
        </w:rPr>
        <w:t>r</w:t>
      </w:r>
      <w:r w:rsidR="00F84590" w:rsidRPr="00E20348">
        <w:t>ight aHipp g</w:t>
      </w:r>
      <w:r w:rsidRPr="00E20348">
        <w:t>lutamate levels were negatively correlated with the composite anxiety score of the animals, with a higher composite anxiety score correlating with reduced aHipp glutamate (EFA score: R</w:t>
      </w:r>
      <w:r w:rsidRPr="00E20348">
        <w:rPr>
          <w:vertAlign w:val="subscript"/>
        </w:rPr>
        <w:t>1</w:t>
      </w:r>
      <w:r w:rsidR="00896417" w:rsidRPr="00E20348">
        <w:rPr>
          <w:vertAlign w:val="subscript"/>
        </w:rPr>
        <w:t>2</w:t>
      </w:r>
      <w:r w:rsidRPr="00E20348">
        <w:t xml:space="preserve"> = -0.60</w:t>
      </w:r>
      <w:r w:rsidR="00044F18" w:rsidRPr="00E20348">
        <w:t>1</w:t>
      </w:r>
      <w:r w:rsidRPr="00E20348">
        <w:t xml:space="preserve">, </w:t>
      </w:r>
      <w:r w:rsidRPr="00E20348">
        <w:rPr>
          <w:i/>
        </w:rPr>
        <w:t>P</w:t>
      </w:r>
      <w:r w:rsidRPr="00E20348">
        <w:t xml:space="preserve"> =0.0</w:t>
      </w:r>
      <w:r w:rsidR="00044F18" w:rsidRPr="00E20348">
        <w:t>39</w:t>
      </w:r>
      <w:r w:rsidRPr="00E20348">
        <w:t>).</w:t>
      </w:r>
      <w:r w:rsidRPr="001A7586">
        <w:t xml:space="preserve"> </w:t>
      </w:r>
    </w:p>
    <w:p w14:paraId="6A503F95" w14:textId="4B35A920" w:rsidR="00F84590" w:rsidRPr="001A7586" w:rsidRDefault="00CF1CA7" w:rsidP="00AF18CF">
      <w:pPr>
        <w:spacing w:after="119" w:line="480" w:lineRule="auto"/>
        <w:jc w:val="both"/>
      </w:pPr>
      <w:r w:rsidRPr="001A7586">
        <w:t xml:space="preserve">Detailed inspection of correlations between </w:t>
      </w:r>
      <w:r w:rsidR="00207DAF" w:rsidRPr="001A7586">
        <w:t xml:space="preserve">right aHipp </w:t>
      </w:r>
      <w:r w:rsidRPr="001A7586">
        <w:t xml:space="preserve">glutamate levels and individual performance variables </w:t>
      </w:r>
      <w:r w:rsidR="00287848" w:rsidRPr="001A7586">
        <w:t xml:space="preserve">revealed that reduced </w:t>
      </w:r>
      <w:r w:rsidR="00F84590" w:rsidRPr="001A7586">
        <w:t xml:space="preserve">right aHipp </w:t>
      </w:r>
      <w:r w:rsidR="00287848" w:rsidRPr="001A7586">
        <w:t>glutamate was associated with the animals moving further away from the human intruder.</w:t>
      </w:r>
      <w:r w:rsidR="00EB0290" w:rsidRPr="001A7586">
        <w:t xml:space="preserve"> </w:t>
      </w:r>
      <w:r w:rsidR="00287848" w:rsidRPr="001A7586">
        <w:t xml:space="preserve">Thus reduced glutamate was associated with </w:t>
      </w:r>
      <w:r w:rsidR="00EB0290" w:rsidRPr="001A7586">
        <w:t xml:space="preserve">an increased amount of </w:t>
      </w:r>
      <w:r w:rsidR="00EB0290" w:rsidRPr="001A7586">
        <w:lastRenderedPageBreak/>
        <w:t>time spent at the back of the cage and/or on the top of the nestbox – the furthest location possible from the intruder (R</w:t>
      </w:r>
      <w:r w:rsidR="00EB0290" w:rsidRPr="001A7586">
        <w:rPr>
          <w:vertAlign w:val="subscript"/>
        </w:rPr>
        <w:t>12</w:t>
      </w:r>
      <w:r w:rsidR="00EB0290" w:rsidRPr="001A7586">
        <w:t xml:space="preserve"> = -0.649, P = 0.022), and </w:t>
      </w:r>
      <w:r w:rsidR="00287848" w:rsidRPr="001A7586">
        <w:t>a trend towards an increase in average height (calculated from percentage time spent on the floor, low, middle and high locations within the cage; R</w:t>
      </w:r>
      <w:r w:rsidR="00287848" w:rsidRPr="001A7586">
        <w:rPr>
          <w:vertAlign w:val="subscript"/>
        </w:rPr>
        <w:t>1</w:t>
      </w:r>
      <w:r w:rsidR="00044F18" w:rsidRPr="001A7586">
        <w:rPr>
          <w:vertAlign w:val="subscript"/>
        </w:rPr>
        <w:t>2</w:t>
      </w:r>
      <w:r w:rsidR="00287848" w:rsidRPr="001A7586">
        <w:t xml:space="preserve"> = 0.5</w:t>
      </w:r>
      <w:r w:rsidR="00044F18" w:rsidRPr="001A7586">
        <w:t>33</w:t>
      </w:r>
      <w:r w:rsidR="00287848" w:rsidRPr="001A7586">
        <w:t>, P = 0.0</w:t>
      </w:r>
      <w:r w:rsidR="00044F18" w:rsidRPr="001A7586">
        <w:t>75</w:t>
      </w:r>
      <w:r w:rsidR="00287848" w:rsidRPr="001A7586">
        <w:t xml:space="preserve">). Reduced aHipp glutamate was also associated with increases in the amount of head and body bobbing – an anxiety related </w:t>
      </w:r>
      <w:r w:rsidR="00D71B0B" w:rsidRPr="001A7586">
        <w:t>behavior</w:t>
      </w:r>
      <w:r w:rsidR="00287848" w:rsidRPr="001A7586">
        <w:t xml:space="preserve"> (</w:t>
      </w:r>
      <w:r w:rsidR="00044F18" w:rsidRPr="001A7586">
        <w:t>R</w:t>
      </w:r>
      <w:r w:rsidR="00044F18" w:rsidRPr="001A7586">
        <w:rPr>
          <w:vertAlign w:val="subscript"/>
        </w:rPr>
        <w:t>12</w:t>
      </w:r>
      <w:r w:rsidR="00044F18" w:rsidRPr="001A7586">
        <w:t xml:space="preserve"> </w:t>
      </w:r>
      <w:r w:rsidR="00287848" w:rsidRPr="001A7586">
        <w:t>= -0.6</w:t>
      </w:r>
      <w:r w:rsidR="00044F18" w:rsidRPr="001A7586">
        <w:t>41</w:t>
      </w:r>
      <w:r w:rsidR="00287848" w:rsidRPr="001A7586">
        <w:t>, P = 0.0</w:t>
      </w:r>
      <w:r w:rsidR="00044F18" w:rsidRPr="001A7586">
        <w:t>25</w:t>
      </w:r>
      <w:r w:rsidR="00287848" w:rsidRPr="001A7586">
        <w:t xml:space="preserve">), but no changes in </w:t>
      </w:r>
      <w:r w:rsidR="0086050A" w:rsidRPr="001A7586">
        <w:t>the time spent at the front of the cage (R</w:t>
      </w:r>
      <w:r w:rsidR="0086050A" w:rsidRPr="001A7586">
        <w:rPr>
          <w:vertAlign w:val="subscript"/>
        </w:rPr>
        <w:t>12</w:t>
      </w:r>
      <w:r w:rsidR="0086050A" w:rsidRPr="001A7586">
        <w:t xml:space="preserve"> = -0.430, P = 0.163), </w:t>
      </w:r>
      <w:r w:rsidR="00287848" w:rsidRPr="001A7586">
        <w:t>the amount of locomotion (R</w:t>
      </w:r>
      <w:r w:rsidR="00287848" w:rsidRPr="001A7586">
        <w:rPr>
          <w:vertAlign w:val="subscript"/>
        </w:rPr>
        <w:t>13</w:t>
      </w:r>
      <w:r w:rsidR="00287848" w:rsidRPr="001A7586">
        <w:t xml:space="preserve"> = 0.</w:t>
      </w:r>
      <w:r w:rsidR="00044F18" w:rsidRPr="001A7586">
        <w:t>384</w:t>
      </w:r>
      <w:r w:rsidR="00287848" w:rsidRPr="001A7586">
        <w:t>, P =0.</w:t>
      </w:r>
      <w:r w:rsidR="00044F18" w:rsidRPr="001A7586">
        <w:t>217</w:t>
      </w:r>
      <w:r w:rsidR="00287848" w:rsidRPr="001A7586">
        <w:t xml:space="preserve">) or in the types of </w:t>
      </w:r>
      <w:r w:rsidR="00D8399B" w:rsidRPr="001A7586">
        <w:t>vocalizations</w:t>
      </w:r>
      <w:r w:rsidR="00287848" w:rsidRPr="001A7586">
        <w:t xml:space="preserve"> made in response to the intruder (</w:t>
      </w:r>
      <w:r w:rsidR="00F050BA" w:rsidRPr="001A7586">
        <w:t>t</w:t>
      </w:r>
      <w:r w:rsidR="00287848" w:rsidRPr="001A7586">
        <w:t xml:space="preserve">se, </w:t>
      </w:r>
      <w:r w:rsidR="00044F18" w:rsidRPr="001A7586">
        <w:t>R</w:t>
      </w:r>
      <w:r w:rsidR="00044F18" w:rsidRPr="001A7586">
        <w:rPr>
          <w:vertAlign w:val="subscript"/>
        </w:rPr>
        <w:t>12</w:t>
      </w:r>
      <w:r w:rsidR="00044F18" w:rsidRPr="001A7586">
        <w:t xml:space="preserve"> </w:t>
      </w:r>
      <w:r w:rsidR="00287848" w:rsidRPr="001A7586">
        <w:t>= 0.2</w:t>
      </w:r>
      <w:r w:rsidR="00044F18" w:rsidRPr="001A7586">
        <w:t>0</w:t>
      </w:r>
      <w:r w:rsidR="00287848" w:rsidRPr="001A7586">
        <w:t>9, P =0.</w:t>
      </w:r>
      <w:r w:rsidR="00044F18" w:rsidRPr="001A7586">
        <w:t>514</w:t>
      </w:r>
      <w:r w:rsidR="00287848" w:rsidRPr="001A7586">
        <w:t xml:space="preserve">; </w:t>
      </w:r>
      <w:r w:rsidR="00F050BA" w:rsidRPr="001A7586">
        <w:t>t</w:t>
      </w:r>
      <w:r w:rsidR="00287848" w:rsidRPr="001A7586">
        <w:t xml:space="preserve">se-egg, </w:t>
      </w:r>
      <w:r w:rsidR="00044F18" w:rsidRPr="001A7586">
        <w:t>R</w:t>
      </w:r>
      <w:r w:rsidR="00044F18" w:rsidRPr="001A7586">
        <w:rPr>
          <w:vertAlign w:val="subscript"/>
        </w:rPr>
        <w:t>12</w:t>
      </w:r>
      <w:r w:rsidR="00044F18" w:rsidRPr="001A7586">
        <w:t xml:space="preserve"> </w:t>
      </w:r>
      <w:r w:rsidR="00287848" w:rsidRPr="001A7586">
        <w:t>= 0.51</w:t>
      </w:r>
      <w:r w:rsidR="00044F18" w:rsidRPr="001A7586">
        <w:t>5</w:t>
      </w:r>
      <w:r w:rsidR="00287848" w:rsidRPr="001A7586">
        <w:t xml:space="preserve"> P = 0.0</w:t>
      </w:r>
      <w:r w:rsidR="00044F18" w:rsidRPr="001A7586">
        <w:t>87</w:t>
      </w:r>
      <w:r w:rsidR="00287848" w:rsidRPr="001A7586">
        <w:t xml:space="preserve">; </w:t>
      </w:r>
      <w:r w:rsidR="00F050BA" w:rsidRPr="001A7586">
        <w:t>t</w:t>
      </w:r>
      <w:r w:rsidR="00287848" w:rsidRPr="001A7586">
        <w:t xml:space="preserve">sik, </w:t>
      </w:r>
      <w:r w:rsidR="00044F18" w:rsidRPr="001A7586">
        <w:t>R</w:t>
      </w:r>
      <w:r w:rsidR="00044F18" w:rsidRPr="001A7586">
        <w:rPr>
          <w:vertAlign w:val="subscript"/>
        </w:rPr>
        <w:t>12</w:t>
      </w:r>
      <w:r w:rsidR="00044F18" w:rsidRPr="001A7586">
        <w:t xml:space="preserve"> </w:t>
      </w:r>
      <w:r w:rsidR="00287848" w:rsidRPr="001A7586">
        <w:t>= 0.2</w:t>
      </w:r>
      <w:r w:rsidR="00044F18" w:rsidRPr="001A7586">
        <w:t>80</w:t>
      </w:r>
      <w:r w:rsidR="00287848" w:rsidRPr="001A7586">
        <w:t xml:space="preserve"> P = 0.3; </w:t>
      </w:r>
      <w:r w:rsidR="00F050BA" w:rsidRPr="001A7586">
        <w:t>t</w:t>
      </w:r>
      <w:r w:rsidR="00287848" w:rsidRPr="001A7586">
        <w:t xml:space="preserve">sik-egg, </w:t>
      </w:r>
      <w:r w:rsidR="00044F18" w:rsidRPr="001A7586">
        <w:t>R</w:t>
      </w:r>
      <w:r w:rsidR="00044F18" w:rsidRPr="001A7586">
        <w:rPr>
          <w:vertAlign w:val="subscript"/>
        </w:rPr>
        <w:t>12</w:t>
      </w:r>
      <w:r w:rsidR="00044F18" w:rsidRPr="001A7586">
        <w:t xml:space="preserve"> </w:t>
      </w:r>
      <w:r w:rsidR="00287848" w:rsidRPr="001A7586">
        <w:t>= 0.</w:t>
      </w:r>
      <w:r w:rsidR="00044F18" w:rsidRPr="001A7586">
        <w:t>309</w:t>
      </w:r>
      <w:r w:rsidR="00287848" w:rsidRPr="001A7586">
        <w:t xml:space="preserve"> P = 0.3</w:t>
      </w:r>
      <w:r w:rsidR="00044F18" w:rsidRPr="001A7586">
        <w:t>28</w:t>
      </w:r>
      <w:r w:rsidR="00287848" w:rsidRPr="001A7586">
        <w:t xml:space="preserve">; </w:t>
      </w:r>
      <w:r w:rsidR="00F050BA" w:rsidRPr="001A7586">
        <w:t>e</w:t>
      </w:r>
      <w:r w:rsidR="00287848" w:rsidRPr="001A7586">
        <w:t xml:space="preserve">gg, </w:t>
      </w:r>
      <w:r w:rsidR="00044F18" w:rsidRPr="001A7586">
        <w:t>R</w:t>
      </w:r>
      <w:r w:rsidR="00044F18" w:rsidRPr="001A7586">
        <w:rPr>
          <w:vertAlign w:val="subscript"/>
        </w:rPr>
        <w:t>12</w:t>
      </w:r>
      <w:r w:rsidR="00044F18" w:rsidRPr="001A7586">
        <w:t xml:space="preserve"> </w:t>
      </w:r>
      <w:r w:rsidR="00287848" w:rsidRPr="001A7586">
        <w:t>= -0.</w:t>
      </w:r>
      <w:r w:rsidR="00044F18" w:rsidRPr="001A7586">
        <w:t>026</w:t>
      </w:r>
      <w:r w:rsidR="00287848" w:rsidRPr="001A7586">
        <w:t xml:space="preserve"> P = 0.</w:t>
      </w:r>
      <w:r w:rsidR="00044F18" w:rsidRPr="001A7586">
        <w:t>925</w:t>
      </w:r>
      <w:r w:rsidR="00287848" w:rsidRPr="001A7586">
        <w:t xml:space="preserve">). </w:t>
      </w:r>
    </w:p>
    <w:p w14:paraId="31C2F6BB" w14:textId="40A7890E" w:rsidR="005C3199" w:rsidRPr="001A7586" w:rsidRDefault="00F84590" w:rsidP="00AF18CF">
      <w:pPr>
        <w:spacing w:after="119" w:line="480" w:lineRule="auto"/>
        <w:jc w:val="both"/>
        <w:rPr>
          <w:rFonts w:cstheme="minorHAnsi"/>
        </w:rPr>
      </w:pPr>
      <w:r w:rsidRPr="001A7586">
        <w:t xml:space="preserve">These relationships were not seen with glutamate </w:t>
      </w:r>
      <w:r w:rsidR="00CF1CA7" w:rsidRPr="00E20348">
        <w:t xml:space="preserve">levels </w:t>
      </w:r>
      <w:r w:rsidRPr="00E20348">
        <w:t>in the left aHipp</w:t>
      </w:r>
      <w:r w:rsidR="00EF1126" w:rsidRPr="00E20348">
        <w:t xml:space="preserve">, as </w:t>
      </w:r>
      <w:r w:rsidR="00EF1126" w:rsidRPr="00E20348">
        <w:rPr>
          <w:rFonts w:cstheme="minorHAnsi"/>
        </w:rPr>
        <w:t>adding</w:t>
      </w:r>
      <w:r w:rsidR="00EF1126" w:rsidRPr="00E20348">
        <w:rPr>
          <w:rFonts w:eastAsia="Times New Roman" w:cstheme="minorHAnsi"/>
          <w:lang w:eastAsia="en-GB"/>
        </w:rPr>
        <w:t xml:space="preserve"> left aH</w:t>
      </w:r>
      <w:r w:rsidR="00CC3C5E" w:rsidRPr="00E20348">
        <w:rPr>
          <w:rFonts w:eastAsia="Times New Roman" w:cstheme="minorHAnsi"/>
          <w:lang w:eastAsia="en-GB"/>
        </w:rPr>
        <w:t xml:space="preserve">ipp glutamate to the </w:t>
      </w:r>
      <w:r w:rsidR="00207DAF" w:rsidRPr="00E20348">
        <w:rPr>
          <w:rFonts w:eastAsia="Times New Roman" w:cstheme="minorHAnsi"/>
          <w:lang w:eastAsia="en-GB"/>
        </w:rPr>
        <w:t>regression</w:t>
      </w:r>
      <w:r w:rsidR="0001729C" w:rsidRPr="00E20348">
        <w:rPr>
          <w:rFonts w:eastAsia="Times New Roman" w:cstheme="minorHAnsi"/>
          <w:lang w:eastAsia="en-GB"/>
        </w:rPr>
        <w:t xml:space="preserve"> </w:t>
      </w:r>
      <w:r w:rsidR="00EF1126" w:rsidRPr="00E20348">
        <w:rPr>
          <w:rFonts w:eastAsia="Times New Roman" w:cstheme="minorHAnsi"/>
          <w:lang w:eastAsia="en-GB"/>
        </w:rPr>
        <w:t>model</w:t>
      </w:r>
      <w:r w:rsidR="00CC3C5E" w:rsidRPr="00E20348">
        <w:rPr>
          <w:rFonts w:eastAsia="Times New Roman" w:cstheme="minorHAnsi"/>
          <w:lang w:eastAsia="en-GB"/>
        </w:rPr>
        <w:t xml:space="preserve"> predicting EFA</w:t>
      </w:r>
      <w:r w:rsidR="00EF1126" w:rsidRPr="00E20348">
        <w:rPr>
          <w:rFonts w:eastAsia="Times New Roman" w:cstheme="minorHAnsi"/>
          <w:lang w:eastAsia="en-GB"/>
        </w:rPr>
        <w:t xml:space="preserve"> did not improve the fit</w:t>
      </w:r>
      <w:r w:rsidR="00EF1126" w:rsidRPr="00E20348">
        <w:rPr>
          <w:rFonts w:cstheme="minorHAnsi"/>
        </w:rPr>
        <w:t xml:space="preserve"> </w:t>
      </w:r>
      <w:r w:rsidR="00EF1126" w:rsidRPr="00E20348">
        <w:rPr>
          <w:rFonts w:eastAsia="Times New Roman" w:cstheme="minorHAnsi"/>
          <w:lang w:eastAsia="en-GB"/>
        </w:rPr>
        <w:t>(F</w:t>
      </w:r>
      <w:r w:rsidR="00EF1126" w:rsidRPr="00E20348">
        <w:rPr>
          <w:rFonts w:eastAsia="Times New Roman" w:cstheme="minorHAnsi"/>
          <w:vertAlign w:val="subscript"/>
          <w:lang w:eastAsia="en-GB"/>
        </w:rPr>
        <w:t>1,9</w:t>
      </w:r>
      <w:r w:rsidR="00EF1126" w:rsidRPr="00E20348">
        <w:rPr>
          <w:rFonts w:eastAsia="Times New Roman" w:cstheme="minorHAnsi"/>
          <w:lang w:eastAsia="en-GB"/>
        </w:rPr>
        <w:t xml:space="preserve"> &lt; 1, NS). The conclusions were also unchanged by </w:t>
      </w:r>
      <w:r w:rsidR="00D8399B" w:rsidRPr="00E20348">
        <w:rPr>
          <w:rFonts w:eastAsia="Times New Roman" w:cstheme="minorHAnsi"/>
          <w:lang w:eastAsia="en-GB"/>
        </w:rPr>
        <w:t>analyzing</w:t>
      </w:r>
      <w:r w:rsidR="00EF1126" w:rsidRPr="00E20348">
        <w:rPr>
          <w:rFonts w:eastAsia="Times New Roman" w:cstheme="minorHAnsi"/>
          <w:lang w:eastAsia="en-GB"/>
        </w:rPr>
        <w:t xml:space="preserve"> </w:t>
      </w:r>
      <w:r w:rsidR="00B12971" w:rsidRPr="00E20348">
        <w:rPr>
          <w:rFonts w:eastAsia="Times New Roman" w:cstheme="minorHAnsi"/>
          <w:lang w:eastAsia="en-GB"/>
        </w:rPr>
        <w:t>according to</w:t>
      </w:r>
      <w:r w:rsidR="00A246EF" w:rsidRPr="00E20348">
        <w:rPr>
          <w:rFonts w:eastAsia="Times New Roman" w:cstheme="minorHAnsi"/>
          <w:lang w:eastAsia="en-GB"/>
        </w:rPr>
        <w:t xml:space="preserve"> </w:t>
      </w:r>
      <w:r w:rsidR="00EF1126" w:rsidRPr="00E20348">
        <w:rPr>
          <w:rFonts w:eastAsia="Times New Roman" w:cstheme="minorHAnsi"/>
          <w:lang w:eastAsia="en-GB"/>
        </w:rPr>
        <w:t>the</w:t>
      </w:r>
      <w:r w:rsidR="00EF1126" w:rsidRPr="00E20348">
        <w:rPr>
          <w:rFonts w:cstheme="minorHAnsi"/>
        </w:rPr>
        <w:t xml:space="preserve"> </w:t>
      </w:r>
      <w:r w:rsidR="00EF1126" w:rsidRPr="00E20348">
        <w:rPr>
          <w:rFonts w:eastAsia="Times New Roman" w:cstheme="minorHAnsi"/>
          <w:lang w:eastAsia="en-GB"/>
        </w:rPr>
        <w:t xml:space="preserve">alternative sequence: left aHipp glutamate did not predict </w:t>
      </w:r>
      <w:r w:rsidR="007C268C" w:rsidRPr="00E20348">
        <w:rPr>
          <w:rFonts w:eastAsia="Times New Roman" w:cstheme="minorHAnsi"/>
          <w:lang w:eastAsia="en-GB"/>
        </w:rPr>
        <w:t>the EFA score</w:t>
      </w:r>
      <w:r w:rsidR="00EF1126" w:rsidRPr="00E20348">
        <w:rPr>
          <w:rFonts w:eastAsia="Times New Roman" w:cstheme="minorHAnsi"/>
          <w:lang w:eastAsia="en-GB"/>
        </w:rPr>
        <w:t xml:space="preserve"> (F</w:t>
      </w:r>
      <w:r w:rsidR="00EF1126" w:rsidRPr="00E20348">
        <w:rPr>
          <w:rFonts w:eastAsia="Times New Roman" w:cstheme="minorHAnsi"/>
          <w:vertAlign w:val="subscript"/>
          <w:lang w:eastAsia="en-GB"/>
        </w:rPr>
        <w:t>1,10</w:t>
      </w:r>
      <w:r w:rsidR="00EF1126" w:rsidRPr="00E20348">
        <w:rPr>
          <w:rFonts w:eastAsia="Times New Roman" w:cstheme="minorHAnsi"/>
          <w:lang w:eastAsia="en-GB"/>
        </w:rPr>
        <w:t xml:space="preserve"> &lt; 1, NS)</w:t>
      </w:r>
      <w:r w:rsidR="007C268C" w:rsidRPr="00E20348">
        <w:rPr>
          <w:rFonts w:eastAsia="Times New Roman" w:cstheme="minorHAnsi"/>
          <w:lang w:eastAsia="en-GB"/>
        </w:rPr>
        <w:t xml:space="preserve"> </w:t>
      </w:r>
      <w:r w:rsidR="00EF1126" w:rsidRPr="00E20348">
        <w:rPr>
          <w:rFonts w:eastAsia="Times New Roman" w:cstheme="minorHAnsi"/>
          <w:lang w:eastAsia="en-GB"/>
        </w:rPr>
        <w:t>but adding right aHipp glutamate to this model significantly improved the fit (F</w:t>
      </w:r>
      <w:r w:rsidR="00EF1126" w:rsidRPr="00E20348">
        <w:rPr>
          <w:rFonts w:eastAsia="Times New Roman" w:cstheme="minorHAnsi"/>
          <w:vertAlign w:val="subscript"/>
          <w:lang w:eastAsia="en-GB"/>
        </w:rPr>
        <w:t>1,9</w:t>
      </w:r>
      <w:r w:rsidR="00EF1126" w:rsidRPr="00E20348">
        <w:rPr>
          <w:rFonts w:eastAsia="Times New Roman" w:cstheme="minorHAnsi"/>
          <w:lang w:eastAsia="en-GB"/>
        </w:rPr>
        <w:t>= 5.8319, p = 0.03</w:t>
      </w:r>
      <w:r w:rsidR="003E1B27" w:rsidRPr="00E20348">
        <w:rPr>
          <w:rFonts w:eastAsia="Times New Roman" w:cstheme="minorHAnsi"/>
          <w:lang w:eastAsia="en-GB"/>
        </w:rPr>
        <w:t>9</w:t>
      </w:r>
      <w:r w:rsidR="00EF1126" w:rsidRPr="00E20348">
        <w:rPr>
          <w:rFonts w:eastAsia="Times New Roman" w:cstheme="minorHAnsi"/>
          <w:lang w:eastAsia="en-GB"/>
        </w:rPr>
        <w:t>).</w:t>
      </w:r>
      <w:r w:rsidR="007C268C" w:rsidRPr="001A7586">
        <w:rPr>
          <w:rFonts w:cstheme="minorHAnsi"/>
        </w:rPr>
        <w:t xml:space="preserve"> Consistent with this, </w:t>
      </w:r>
      <w:r w:rsidR="007C268C" w:rsidRPr="001A7586">
        <w:t>l</w:t>
      </w:r>
      <w:r w:rsidR="000C6AC1" w:rsidRPr="001A7586">
        <w:t>eft aHipp glutamate did not correlate with a</w:t>
      </w:r>
      <w:r w:rsidRPr="001A7586">
        <w:t xml:space="preserve">verage height </w:t>
      </w:r>
      <w:r w:rsidR="000C6AC1" w:rsidRPr="001A7586">
        <w:t>(</w:t>
      </w:r>
      <w:r w:rsidRPr="001A7586">
        <w:t>R</w:t>
      </w:r>
      <w:r w:rsidRPr="001A7586">
        <w:rPr>
          <w:vertAlign w:val="subscript"/>
        </w:rPr>
        <w:t>12</w:t>
      </w:r>
      <w:r w:rsidRPr="001A7586">
        <w:t xml:space="preserve"> = -0.0.39 P = 0.904</w:t>
      </w:r>
      <w:r w:rsidR="000C6AC1" w:rsidRPr="001A7586">
        <w:t xml:space="preserve">), </w:t>
      </w:r>
      <w:r w:rsidR="0086050A" w:rsidRPr="001A7586">
        <w:t>time spent at front (R</w:t>
      </w:r>
      <w:r w:rsidR="0086050A" w:rsidRPr="001A7586">
        <w:rPr>
          <w:vertAlign w:val="subscript"/>
        </w:rPr>
        <w:t>12</w:t>
      </w:r>
      <w:r w:rsidR="0086050A" w:rsidRPr="001A7586">
        <w:t xml:space="preserve"> = -0.123, P = 0.703), or </w:t>
      </w:r>
      <w:r w:rsidR="00896417" w:rsidRPr="001A7586">
        <w:t>back/top of nestbox (R</w:t>
      </w:r>
      <w:r w:rsidR="00896417" w:rsidRPr="001A7586">
        <w:rPr>
          <w:vertAlign w:val="subscript"/>
        </w:rPr>
        <w:t>12</w:t>
      </w:r>
      <w:r w:rsidR="00896417" w:rsidRPr="001A7586">
        <w:t xml:space="preserve"> = -0.241 P = 0.450) </w:t>
      </w:r>
      <w:r w:rsidR="000C6AC1" w:rsidRPr="001A7586">
        <w:t>b</w:t>
      </w:r>
      <w:r w:rsidRPr="001A7586">
        <w:t>obbing</w:t>
      </w:r>
      <w:r w:rsidR="000C6AC1" w:rsidRPr="001A7586">
        <w:t xml:space="preserve"> (</w:t>
      </w:r>
      <w:r w:rsidRPr="001A7586">
        <w:t>R</w:t>
      </w:r>
      <w:r w:rsidRPr="001A7586">
        <w:rPr>
          <w:vertAlign w:val="subscript"/>
        </w:rPr>
        <w:t>12</w:t>
      </w:r>
      <w:r w:rsidRPr="001A7586">
        <w:t xml:space="preserve"> = -0.007 P = 0.982</w:t>
      </w:r>
      <w:r w:rsidR="000C6AC1" w:rsidRPr="001A7586">
        <w:t xml:space="preserve">), any </w:t>
      </w:r>
      <w:r w:rsidR="00D8399B" w:rsidRPr="001A7586">
        <w:t>vocalizations</w:t>
      </w:r>
      <w:r w:rsidR="000C6AC1" w:rsidRPr="001A7586">
        <w:t xml:space="preserve"> (</w:t>
      </w:r>
      <w:r w:rsidR="00F050BA" w:rsidRPr="001A7586">
        <w:t>t</w:t>
      </w:r>
      <w:r w:rsidRPr="001A7586">
        <w:t>se, R</w:t>
      </w:r>
      <w:r w:rsidRPr="001A7586">
        <w:rPr>
          <w:vertAlign w:val="subscript"/>
        </w:rPr>
        <w:t>13</w:t>
      </w:r>
      <w:r w:rsidRPr="001A7586">
        <w:t xml:space="preserve"> = -0.281, P =0.376; </w:t>
      </w:r>
      <w:r w:rsidR="00F050BA" w:rsidRPr="001A7586">
        <w:t>t</w:t>
      </w:r>
      <w:r w:rsidRPr="001A7586">
        <w:t>se-egg, R</w:t>
      </w:r>
      <w:r w:rsidRPr="001A7586">
        <w:rPr>
          <w:vertAlign w:val="subscript"/>
        </w:rPr>
        <w:t>13</w:t>
      </w:r>
      <w:r w:rsidRPr="001A7586">
        <w:t xml:space="preserve"> = -0.435, P = 0.158; </w:t>
      </w:r>
      <w:r w:rsidR="00F050BA" w:rsidRPr="001A7586">
        <w:t>t</w:t>
      </w:r>
      <w:r w:rsidRPr="001A7586">
        <w:t>sik, R</w:t>
      </w:r>
      <w:r w:rsidRPr="001A7586">
        <w:rPr>
          <w:vertAlign w:val="subscript"/>
        </w:rPr>
        <w:t>13</w:t>
      </w:r>
      <w:r w:rsidR="000C6AC1" w:rsidRPr="001A7586">
        <w:t xml:space="preserve"> = 0.161 P = 0.616</w:t>
      </w:r>
      <w:r w:rsidRPr="001A7586">
        <w:t xml:space="preserve">; </w:t>
      </w:r>
      <w:r w:rsidR="00F050BA" w:rsidRPr="001A7586">
        <w:t>t</w:t>
      </w:r>
      <w:r w:rsidRPr="001A7586">
        <w:t>sik-egg, R</w:t>
      </w:r>
      <w:r w:rsidRPr="001A7586">
        <w:rPr>
          <w:vertAlign w:val="subscript"/>
        </w:rPr>
        <w:t>13</w:t>
      </w:r>
      <w:r w:rsidR="000C6AC1" w:rsidRPr="001A7586">
        <w:t xml:space="preserve"> = 0.004 P = 0.3989</w:t>
      </w:r>
      <w:r w:rsidRPr="001A7586">
        <w:t xml:space="preserve">; </w:t>
      </w:r>
      <w:r w:rsidR="00F050BA" w:rsidRPr="001A7586">
        <w:t>e</w:t>
      </w:r>
      <w:r w:rsidRPr="001A7586">
        <w:t>gg, R</w:t>
      </w:r>
      <w:r w:rsidRPr="001A7586">
        <w:rPr>
          <w:vertAlign w:val="subscript"/>
        </w:rPr>
        <w:t>13</w:t>
      </w:r>
      <w:r w:rsidR="000C6AC1" w:rsidRPr="001A7586">
        <w:t xml:space="preserve"> = -0.102 P = 0.753) or the amount of the locomotion (R</w:t>
      </w:r>
      <w:r w:rsidR="000C6AC1" w:rsidRPr="001A7586">
        <w:rPr>
          <w:vertAlign w:val="subscript"/>
        </w:rPr>
        <w:t>12</w:t>
      </w:r>
      <w:r w:rsidR="000C6AC1" w:rsidRPr="001A7586">
        <w:t xml:space="preserve"> = 0.149 P = 0.645). </w:t>
      </w:r>
    </w:p>
    <w:p w14:paraId="2B236257" w14:textId="7F5D6322" w:rsidR="00534D5D" w:rsidRPr="001A7586" w:rsidRDefault="000C6AC1" w:rsidP="00AF18CF">
      <w:pPr>
        <w:spacing w:after="119" w:line="480" w:lineRule="auto"/>
        <w:jc w:val="both"/>
        <w:rPr>
          <w:rFonts w:cs="Times New Roman"/>
        </w:rPr>
      </w:pPr>
      <w:r w:rsidRPr="001A7586">
        <w:t>Furthermore l</w:t>
      </w:r>
      <w:r w:rsidR="00287848" w:rsidRPr="001A7586">
        <w:t>evels of DA, 5-HT and NA</w:t>
      </w:r>
      <w:r w:rsidRPr="001A7586">
        <w:t xml:space="preserve"> from both the left and right aHipp</w:t>
      </w:r>
      <w:r w:rsidR="00287848" w:rsidRPr="001A7586">
        <w:t xml:space="preserve"> did not correlate with any </w:t>
      </w:r>
      <w:r w:rsidR="00431970" w:rsidRPr="001A7586">
        <w:t xml:space="preserve">of these </w:t>
      </w:r>
      <w:r w:rsidR="00287848" w:rsidRPr="001A7586">
        <w:t xml:space="preserve">individual </w:t>
      </w:r>
      <w:r w:rsidR="00D71B0B" w:rsidRPr="001A7586">
        <w:t>behavior</w:t>
      </w:r>
      <w:r w:rsidR="00287848" w:rsidRPr="001A7586">
        <w:t>s or the composite anxiety score</w:t>
      </w:r>
      <w:r w:rsidR="00534D5D" w:rsidRPr="001A7586">
        <w:t>.</w:t>
      </w:r>
      <w:r w:rsidR="00287848" w:rsidRPr="001A7586">
        <w:t xml:space="preserve"> </w:t>
      </w:r>
      <w:r w:rsidR="00534D5D" w:rsidRPr="001A7586">
        <w:t>However, b</w:t>
      </w:r>
      <w:r w:rsidR="00534D5D" w:rsidRPr="001A7586">
        <w:rPr>
          <w:rFonts w:cs="Times New Roman"/>
        </w:rPr>
        <w:t>oth 5-HT and NA from the right aHipp</w:t>
      </w:r>
      <w:r w:rsidR="003F7558" w:rsidRPr="001A7586">
        <w:rPr>
          <w:rFonts w:cs="Times New Roman"/>
        </w:rPr>
        <w:t>, and DA from the left aHipp</w:t>
      </w:r>
      <w:r w:rsidR="00534D5D" w:rsidRPr="001A7586">
        <w:rPr>
          <w:rFonts w:cs="Times New Roman"/>
        </w:rPr>
        <w:t xml:space="preserve"> showed a positive correlation with the time spent at the back of the cage </w:t>
      </w:r>
      <w:r w:rsidR="00534D5D" w:rsidRPr="001A7586">
        <w:t>(5-HT, R</w:t>
      </w:r>
      <w:r w:rsidR="00534D5D" w:rsidRPr="001A7586">
        <w:rPr>
          <w:vertAlign w:val="subscript"/>
        </w:rPr>
        <w:t>12</w:t>
      </w:r>
      <w:r w:rsidR="00534D5D" w:rsidRPr="001A7586">
        <w:t xml:space="preserve"> = 0.678 P = 0.015; NA, R</w:t>
      </w:r>
      <w:r w:rsidR="00534D5D" w:rsidRPr="001A7586">
        <w:rPr>
          <w:vertAlign w:val="subscript"/>
        </w:rPr>
        <w:t>12</w:t>
      </w:r>
      <w:r w:rsidR="00534D5D" w:rsidRPr="001A7586">
        <w:t xml:space="preserve"> = 0.656 P = 0.021; </w:t>
      </w:r>
      <w:r w:rsidR="003F7558" w:rsidRPr="001A7586">
        <w:t>DA, R</w:t>
      </w:r>
      <w:r w:rsidR="003F7558" w:rsidRPr="001A7586">
        <w:rPr>
          <w:vertAlign w:val="subscript"/>
        </w:rPr>
        <w:t>12</w:t>
      </w:r>
      <w:r w:rsidR="003F7558" w:rsidRPr="001A7586">
        <w:t xml:space="preserve"> = 0.678 P = 0.015; </w:t>
      </w:r>
      <w:r w:rsidR="00534D5D" w:rsidRPr="001A7586">
        <w:t xml:space="preserve">see </w:t>
      </w:r>
      <w:r w:rsidR="00737EE4" w:rsidRPr="001A7586">
        <w:t>Table 2</w:t>
      </w:r>
      <w:r w:rsidR="00534D5D" w:rsidRPr="001A7586">
        <w:t xml:space="preserve">). These findings indicate that while overall levels of trait anxiety can be selectively linked to reduction in right aHipp glutamate, </w:t>
      </w:r>
      <w:r w:rsidR="003F7558" w:rsidRPr="001A7586">
        <w:t>other neurochemicals</w:t>
      </w:r>
      <w:r w:rsidR="00534D5D" w:rsidRPr="001A7586">
        <w:t xml:space="preserve"> may also contribute to specific avoidance </w:t>
      </w:r>
      <w:r w:rsidR="00D71B0B" w:rsidRPr="001A7586">
        <w:t>behavior</w:t>
      </w:r>
      <w:r w:rsidR="00534D5D" w:rsidRPr="001A7586">
        <w:t>s within this test.</w:t>
      </w:r>
    </w:p>
    <w:p w14:paraId="6E2B0A5E" w14:textId="77777777" w:rsidR="00287848" w:rsidRPr="001A7586" w:rsidRDefault="00287848" w:rsidP="00AF18CF">
      <w:pPr>
        <w:spacing w:after="119" w:line="480" w:lineRule="auto"/>
        <w:jc w:val="both"/>
        <w:rPr>
          <w:rFonts w:cs="Times New Roman"/>
          <w:b/>
        </w:rPr>
      </w:pPr>
      <w:r w:rsidRPr="001A7586">
        <w:rPr>
          <w:rFonts w:cs="Times New Roman"/>
          <w:b/>
        </w:rPr>
        <w:lastRenderedPageBreak/>
        <w:t>Experiment 2A</w:t>
      </w:r>
    </w:p>
    <w:p w14:paraId="0439A5EC" w14:textId="77777777" w:rsidR="00287848" w:rsidRPr="001A7586" w:rsidRDefault="00287848" w:rsidP="00AF18CF">
      <w:pPr>
        <w:spacing w:line="480" w:lineRule="auto"/>
        <w:jc w:val="both"/>
        <w:rPr>
          <w:b/>
        </w:rPr>
      </w:pPr>
      <w:r w:rsidRPr="001A7586">
        <w:rPr>
          <w:b/>
        </w:rPr>
        <w:t>Pharmacologically increasing presynaptic glutamate release within the aHipp reversed the high anxiety phenotype on the human intruder test</w:t>
      </w:r>
    </w:p>
    <w:p w14:paraId="329F0642" w14:textId="14D9366C" w:rsidR="00287848" w:rsidRPr="001A7586" w:rsidRDefault="00287848" w:rsidP="00AF18CF">
      <w:pPr>
        <w:spacing w:line="480" w:lineRule="auto"/>
        <w:jc w:val="both"/>
      </w:pPr>
      <w:r w:rsidRPr="001A7586">
        <w:t xml:space="preserve">Pharmacologically boosting aHipp glutamate levels in high-trait anxious monkeys significantly altered their anxiety-related </w:t>
      </w:r>
      <w:r w:rsidR="00D71B0B" w:rsidRPr="001A7586">
        <w:t>behavior</w:t>
      </w:r>
      <w:r w:rsidRPr="001A7586">
        <w:t xml:space="preserve"> in response to the human intruder, but did not affect all </w:t>
      </w:r>
      <w:r w:rsidR="00D71B0B" w:rsidRPr="001A7586">
        <w:t>behavior</w:t>
      </w:r>
      <w:r w:rsidRPr="001A7586">
        <w:t xml:space="preserve">s equally. </w:t>
      </w:r>
      <w:r w:rsidR="00A17AF7" w:rsidRPr="001A7586">
        <w:t>Bilateral i</w:t>
      </w:r>
      <w:r w:rsidRPr="001A7586">
        <w:t xml:space="preserve">nfusion of aHipp LY/CGP did </w:t>
      </w:r>
      <w:r w:rsidR="00EB0290" w:rsidRPr="001A7586">
        <w:t>decrease the</w:t>
      </w:r>
      <w:r w:rsidRPr="001A7586">
        <w:t xml:space="preserve"> composite anxiety score</w:t>
      </w:r>
      <w:r w:rsidR="00A17AF7" w:rsidRPr="001A7586">
        <w:t xml:space="preserve"> (EFA)</w:t>
      </w:r>
      <w:r w:rsidRPr="001A7586">
        <w:t xml:space="preserve"> indicative of a decrease in anxiety. However there was also a tendency for </w:t>
      </w:r>
      <w:r w:rsidR="00EB0290" w:rsidRPr="001A7586">
        <w:t>EFA</w:t>
      </w:r>
      <w:r w:rsidR="00BF4D98" w:rsidRPr="001A7586">
        <w:t xml:space="preserve"> scores</w:t>
      </w:r>
      <w:r w:rsidRPr="001A7586">
        <w:t xml:space="preserve"> to show habituation between the first and second saline infusions (saline1, saline 2). Thus, despite </w:t>
      </w:r>
      <w:r w:rsidR="00EB0290" w:rsidRPr="001A7586">
        <w:t>EFA</w:t>
      </w:r>
      <w:r w:rsidR="00BF4D98" w:rsidRPr="001A7586">
        <w:t xml:space="preserve"> scores</w:t>
      </w:r>
      <w:r w:rsidRPr="001A7586">
        <w:t xml:space="preserve"> correlating with </w:t>
      </w:r>
      <w:r w:rsidR="00A17AF7" w:rsidRPr="001A7586">
        <w:t xml:space="preserve">right </w:t>
      </w:r>
      <w:r w:rsidRPr="001A7586">
        <w:t>aHipp glutamate levels in Exp</w:t>
      </w:r>
      <w:r w:rsidR="003E1B27" w:rsidRPr="001A7586">
        <w:t>t</w:t>
      </w:r>
      <w:r w:rsidRPr="001A7586">
        <w:t xml:space="preserve"> 1, </w:t>
      </w:r>
      <w:r w:rsidR="00EB0290" w:rsidRPr="001A7586">
        <w:t>and</w:t>
      </w:r>
      <w:r w:rsidRPr="001A7586">
        <w:t xml:space="preserve"> showing a decrease after aHipp LY/CGP, </w:t>
      </w:r>
      <w:r w:rsidR="00EB0290" w:rsidRPr="001A7586">
        <w:t xml:space="preserve">its </w:t>
      </w:r>
      <w:r w:rsidRPr="001A7586">
        <w:t xml:space="preserve">failure to return to saline 1 levels after saline 2 means that habituation effects cannot be ruled out (Table </w:t>
      </w:r>
      <w:r w:rsidR="00737EE4" w:rsidRPr="001A7586">
        <w:t>3</w:t>
      </w:r>
      <w:r w:rsidR="003317AC" w:rsidRPr="001A7586">
        <w:t xml:space="preserve"> </w:t>
      </w:r>
      <w:r w:rsidRPr="001A7586">
        <w:t xml:space="preserve">and Figure 2). In contrast, the marked rise in the time spent at the front of the cage after aHipp LY/CGP was not accompanied by habituation between the first and second saline infusions indicating that the animals experienced less anxiety and spent more time in close proximity to the human intruder after aHipp LY/CGP only. </w:t>
      </w:r>
      <w:r w:rsidR="00CF1CA7" w:rsidRPr="001A7586">
        <w:t>Performance variables of height,</w:t>
      </w:r>
      <w:r w:rsidRPr="001A7586">
        <w:t xml:space="preserve"> movements (jumps, bobs and locomotion) and call types were unaffected.</w:t>
      </w:r>
    </w:p>
    <w:p w14:paraId="19BFDC4F" w14:textId="003E0F97" w:rsidR="00287848" w:rsidRPr="001A7586" w:rsidRDefault="00287848" w:rsidP="00AF18CF">
      <w:pPr>
        <w:spacing w:after="119" w:line="480" w:lineRule="auto"/>
        <w:jc w:val="both"/>
        <w:rPr>
          <w:bCs/>
          <w:color w:val="000000" w:themeColor="text1"/>
        </w:rPr>
      </w:pPr>
      <w:r w:rsidRPr="001A7586">
        <w:t>Repeated measures ANOVA of the composite anxiety score revealed a main effect of test</w:t>
      </w:r>
      <w:r w:rsidRPr="001A7586">
        <w:rPr>
          <w:vertAlign w:val="subscript"/>
        </w:rPr>
        <w:t xml:space="preserve"> </w:t>
      </w:r>
      <w:r w:rsidRPr="00E20348">
        <w:t>(saline 1, LY/CGP, saline 2)</w:t>
      </w:r>
      <w:r w:rsidRPr="001A7586">
        <w:t xml:space="preserve"> and a significant decrease in anxiety score between saline 1 and aHipp LY/CGP, but no difference between aHipp LY/CGP and saline 2 indicative of habituation </w:t>
      </w:r>
      <w:r w:rsidRPr="001A7586">
        <w:rPr>
          <w:bCs/>
          <w:color w:val="000000" w:themeColor="text1"/>
        </w:rPr>
        <w:t>(main effect of test</w:t>
      </w:r>
      <w:r w:rsidRPr="001A7586">
        <w:rPr>
          <w:bCs/>
          <w:color w:val="000000" w:themeColor="text1"/>
          <w:vertAlign w:val="subscript"/>
        </w:rPr>
        <w:t>3</w:t>
      </w:r>
      <w:r w:rsidRPr="001A7586">
        <w:rPr>
          <w:bCs/>
          <w:color w:val="000000" w:themeColor="text1"/>
        </w:rPr>
        <w:t xml:space="preserve">, </w:t>
      </w:r>
      <w:r w:rsidRPr="001A7586">
        <w:t>F</w:t>
      </w:r>
      <w:r w:rsidRPr="001A7586">
        <w:rPr>
          <w:vertAlign w:val="subscript"/>
        </w:rPr>
        <w:t>2,10</w:t>
      </w:r>
      <w:r w:rsidR="007C59A5" w:rsidRPr="001A7586">
        <w:t xml:space="preserve"> = </w:t>
      </w:r>
      <w:r w:rsidR="0080636F" w:rsidRPr="001A7586">
        <w:t>7.427</w:t>
      </w:r>
      <w:r w:rsidR="007C59A5" w:rsidRPr="001A7586">
        <w:t>, P = 0.0</w:t>
      </w:r>
      <w:r w:rsidR="0080636F" w:rsidRPr="001A7586">
        <w:t>11</w:t>
      </w:r>
      <w:r w:rsidRPr="001A7586">
        <w:rPr>
          <w:bCs/>
          <w:color w:val="000000" w:themeColor="text1"/>
        </w:rPr>
        <w:t>; first saline vs LY/CGP, t</w:t>
      </w:r>
      <w:r w:rsidRPr="001A7586">
        <w:rPr>
          <w:bCs/>
          <w:color w:val="000000" w:themeColor="text1"/>
          <w:vertAlign w:val="subscript"/>
        </w:rPr>
        <w:t>5</w:t>
      </w:r>
      <w:r w:rsidR="007C59A5" w:rsidRPr="001A7586">
        <w:rPr>
          <w:bCs/>
          <w:color w:val="000000" w:themeColor="text1"/>
        </w:rPr>
        <w:t xml:space="preserve"> = 2.5</w:t>
      </w:r>
      <w:r w:rsidR="0080636F" w:rsidRPr="001A7586">
        <w:rPr>
          <w:bCs/>
          <w:color w:val="000000" w:themeColor="text1"/>
        </w:rPr>
        <w:t>72</w:t>
      </w:r>
      <w:r w:rsidRPr="001A7586">
        <w:rPr>
          <w:bCs/>
          <w:color w:val="000000" w:themeColor="text1"/>
        </w:rPr>
        <w:t xml:space="preserve">, </w:t>
      </w:r>
      <w:r w:rsidRPr="001A7586">
        <w:rPr>
          <w:bCs/>
          <w:i/>
          <w:color w:val="000000" w:themeColor="text1"/>
        </w:rPr>
        <w:t>P</w:t>
      </w:r>
      <w:r w:rsidR="007C59A5" w:rsidRPr="001A7586">
        <w:rPr>
          <w:bCs/>
          <w:color w:val="000000" w:themeColor="text1"/>
        </w:rPr>
        <w:t xml:space="preserve"> = 0.</w:t>
      </w:r>
      <w:r w:rsidR="00B06DDE" w:rsidRPr="001A7586">
        <w:rPr>
          <w:bCs/>
          <w:color w:val="000000" w:themeColor="text1"/>
        </w:rPr>
        <w:t>04</w:t>
      </w:r>
      <w:r w:rsidR="0080636F" w:rsidRPr="001A7586">
        <w:rPr>
          <w:bCs/>
          <w:color w:val="000000" w:themeColor="text1"/>
        </w:rPr>
        <w:t>2</w:t>
      </w:r>
      <w:r w:rsidRPr="001A7586">
        <w:rPr>
          <w:bCs/>
          <w:color w:val="000000" w:themeColor="text1"/>
        </w:rPr>
        <w:t>; second saline vs LY/CGP, t</w:t>
      </w:r>
      <w:r w:rsidRPr="001A7586">
        <w:rPr>
          <w:bCs/>
          <w:color w:val="000000" w:themeColor="text1"/>
          <w:vertAlign w:val="subscript"/>
        </w:rPr>
        <w:t>5</w:t>
      </w:r>
      <w:r w:rsidR="007C59A5" w:rsidRPr="001A7586">
        <w:rPr>
          <w:bCs/>
          <w:color w:val="000000" w:themeColor="text1"/>
        </w:rPr>
        <w:t xml:space="preserve"> = 1.</w:t>
      </w:r>
      <w:r w:rsidR="0080636F" w:rsidRPr="001A7586">
        <w:rPr>
          <w:bCs/>
          <w:color w:val="000000" w:themeColor="text1"/>
        </w:rPr>
        <w:t>197</w:t>
      </w:r>
      <w:r w:rsidRPr="001A7586">
        <w:rPr>
          <w:bCs/>
          <w:color w:val="000000" w:themeColor="text1"/>
        </w:rPr>
        <w:t xml:space="preserve"> </w:t>
      </w:r>
      <w:r w:rsidRPr="001A7586">
        <w:rPr>
          <w:bCs/>
          <w:i/>
          <w:color w:val="000000" w:themeColor="text1"/>
        </w:rPr>
        <w:t>P</w:t>
      </w:r>
      <w:r w:rsidR="007C59A5" w:rsidRPr="001A7586">
        <w:rPr>
          <w:bCs/>
          <w:color w:val="000000" w:themeColor="text1"/>
        </w:rPr>
        <w:t xml:space="preserve"> = 0.</w:t>
      </w:r>
      <w:r w:rsidR="0080636F" w:rsidRPr="001A7586">
        <w:rPr>
          <w:bCs/>
          <w:color w:val="000000" w:themeColor="text1"/>
        </w:rPr>
        <w:t>285</w:t>
      </w:r>
      <w:r w:rsidRPr="001A7586">
        <w:rPr>
          <w:bCs/>
          <w:color w:val="000000" w:themeColor="text1"/>
        </w:rPr>
        <w:t xml:space="preserve">; see Table </w:t>
      </w:r>
      <w:r w:rsidR="00737EE4" w:rsidRPr="001A7586">
        <w:rPr>
          <w:bCs/>
          <w:color w:val="000000" w:themeColor="text1"/>
        </w:rPr>
        <w:t>3</w:t>
      </w:r>
      <w:r w:rsidRPr="001A7586">
        <w:rPr>
          <w:bCs/>
          <w:color w:val="000000" w:themeColor="text1"/>
        </w:rPr>
        <w:t xml:space="preserve">). Repeated measures </w:t>
      </w:r>
      <w:r w:rsidR="00EB0290" w:rsidRPr="001A7586">
        <w:rPr>
          <w:bCs/>
          <w:color w:val="000000" w:themeColor="text1"/>
        </w:rPr>
        <w:t>analysis</w:t>
      </w:r>
      <w:r w:rsidRPr="001A7586">
        <w:rPr>
          <w:bCs/>
          <w:color w:val="000000" w:themeColor="text1"/>
        </w:rPr>
        <w:t xml:space="preserve"> of all </w:t>
      </w:r>
      <w:r w:rsidR="00EB0290" w:rsidRPr="001A7586">
        <w:rPr>
          <w:bCs/>
          <w:color w:val="000000" w:themeColor="text1"/>
        </w:rPr>
        <w:t>three</w:t>
      </w:r>
      <w:r w:rsidRPr="001A7586">
        <w:rPr>
          <w:bCs/>
          <w:color w:val="000000" w:themeColor="text1"/>
        </w:rPr>
        <w:t xml:space="preserve"> depth measures (front, middle, back) also indicated that depth was sensitive to aHipp glutamate levels</w:t>
      </w:r>
      <w:r w:rsidR="00EB0290" w:rsidRPr="001A7586">
        <w:rPr>
          <w:bCs/>
          <w:color w:val="000000" w:themeColor="text1"/>
        </w:rPr>
        <w:t>, but</w:t>
      </w:r>
      <w:r w:rsidR="0070120B" w:rsidRPr="001A7586">
        <w:rPr>
          <w:bCs/>
          <w:color w:val="000000" w:themeColor="text1"/>
        </w:rPr>
        <w:t xml:space="preserve"> this was not due to alterations in</w:t>
      </w:r>
      <w:r w:rsidRPr="001A7586">
        <w:t xml:space="preserve"> time spent in the middle or back (</w:t>
      </w:r>
      <w:r w:rsidR="0070120B" w:rsidRPr="001A7586">
        <w:t xml:space="preserve">no main effects of </w:t>
      </w:r>
      <w:r w:rsidR="0070120B" w:rsidRPr="001A7586">
        <w:rPr>
          <w:bCs/>
          <w:color w:val="000000" w:themeColor="text1"/>
        </w:rPr>
        <w:t>test</w:t>
      </w:r>
      <w:r w:rsidR="0070120B" w:rsidRPr="001A7586">
        <w:rPr>
          <w:bCs/>
          <w:color w:val="000000" w:themeColor="text1"/>
          <w:vertAlign w:val="subscript"/>
        </w:rPr>
        <w:t xml:space="preserve">3: </w:t>
      </w:r>
      <w:r w:rsidRPr="001A7586">
        <w:rPr>
          <w:color w:val="000000" w:themeColor="text1"/>
        </w:rPr>
        <w:t>Middle, F</w:t>
      </w:r>
      <w:r w:rsidRPr="001A7586">
        <w:rPr>
          <w:color w:val="000000" w:themeColor="text1"/>
          <w:vertAlign w:val="subscript"/>
        </w:rPr>
        <w:t>2,10</w:t>
      </w:r>
      <w:r w:rsidRPr="001A7586">
        <w:rPr>
          <w:color w:val="000000" w:themeColor="text1"/>
        </w:rPr>
        <w:t xml:space="preserve"> = 1.98, P = 0.189; Back, F</w:t>
      </w:r>
      <w:r w:rsidRPr="001A7586">
        <w:rPr>
          <w:color w:val="000000" w:themeColor="text1"/>
          <w:vertAlign w:val="subscript"/>
        </w:rPr>
        <w:t>2,10</w:t>
      </w:r>
      <w:r w:rsidRPr="001A7586">
        <w:rPr>
          <w:color w:val="000000" w:themeColor="text1"/>
        </w:rPr>
        <w:t xml:space="preserve"> = 2.239, P = 0.157</w:t>
      </w:r>
      <w:r w:rsidRPr="001A7586">
        <w:t xml:space="preserve">), </w:t>
      </w:r>
      <w:r w:rsidR="0070120B" w:rsidRPr="001A7586">
        <w:t xml:space="preserve">and </w:t>
      </w:r>
      <w:r w:rsidRPr="001A7586">
        <w:t xml:space="preserve">was </w:t>
      </w:r>
      <w:r w:rsidR="0070120B" w:rsidRPr="001A7586">
        <w:t xml:space="preserve">solely due to </w:t>
      </w:r>
      <w:r w:rsidRPr="001A7586">
        <w:t>a main effect of TSAF</w:t>
      </w:r>
      <w:r w:rsidR="0070120B" w:rsidRPr="001A7586">
        <w:t xml:space="preserve">. Importantly this effect was not due to habituation as </w:t>
      </w:r>
      <w:r w:rsidRPr="001A7586">
        <w:rPr>
          <w:bCs/>
          <w:color w:val="000000" w:themeColor="text1"/>
        </w:rPr>
        <w:t>TSAF was relatively low following both saline infusions</w:t>
      </w:r>
      <w:r w:rsidR="0070120B" w:rsidRPr="001A7586">
        <w:rPr>
          <w:bCs/>
          <w:color w:val="000000" w:themeColor="text1"/>
        </w:rPr>
        <w:t>,</w:t>
      </w:r>
      <w:r w:rsidRPr="001A7586">
        <w:rPr>
          <w:bCs/>
          <w:color w:val="000000" w:themeColor="text1"/>
        </w:rPr>
        <w:t xml:space="preserve"> but was markedly increased after </w:t>
      </w:r>
      <w:r w:rsidRPr="001A7586">
        <w:rPr>
          <w:bCs/>
        </w:rPr>
        <w:t>aHipp LY/CGP (effect of test</w:t>
      </w:r>
      <w:r w:rsidRPr="001A7586">
        <w:rPr>
          <w:bCs/>
          <w:vertAlign w:val="subscript"/>
        </w:rPr>
        <w:t>3</w:t>
      </w:r>
      <w:r w:rsidRPr="001A7586">
        <w:rPr>
          <w:bCs/>
        </w:rPr>
        <w:t>, F</w:t>
      </w:r>
      <w:r w:rsidRPr="001A7586">
        <w:rPr>
          <w:bCs/>
          <w:vertAlign w:val="subscript"/>
        </w:rPr>
        <w:t>2,10</w:t>
      </w:r>
      <w:r w:rsidRPr="001A7586">
        <w:rPr>
          <w:bCs/>
        </w:rPr>
        <w:t xml:space="preserve"> = 8.465, </w:t>
      </w:r>
      <w:r w:rsidRPr="001A7586">
        <w:rPr>
          <w:bCs/>
          <w:i/>
        </w:rPr>
        <w:t>P</w:t>
      </w:r>
      <w:r w:rsidRPr="001A7586">
        <w:rPr>
          <w:bCs/>
        </w:rPr>
        <w:t xml:space="preserve"> = 0.007; first saline vs LY/CGP, t</w:t>
      </w:r>
      <w:r w:rsidRPr="001A7586">
        <w:rPr>
          <w:bCs/>
          <w:vertAlign w:val="subscript"/>
        </w:rPr>
        <w:t>5</w:t>
      </w:r>
      <w:r w:rsidRPr="001A7586">
        <w:rPr>
          <w:bCs/>
        </w:rPr>
        <w:t xml:space="preserve"> = 3.759, </w:t>
      </w:r>
      <w:r w:rsidRPr="001A7586">
        <w:rPr>
          <w:bCs/>
          <w:i/>
        </w:rPr>
        <w:t>P</w:t>
      </w:r>
      <w:r w:rsidRPr="001A7586">
        <w:rPr>
          <w:bCs/>
        </w:rPr>
        <w:t xml:space="preserve"> = 0.013; </w:t>
      </w:r>
      <w:r w:rsidRPr="001A7586">
        <w:rPr>
          <w:bCs/>
        </w:rPr>
        <w:lastRenderedPageBreak/>
        <w:t>second saline vs LY/CGP, t</w:t>
      </w:r>
      <w:r w:rsidRPr="001A7586">
        <w:rPr>
          <w:bCs/>
          <w:vertAlign w:val="subscript"/>
        </w:rPr>
        <w:t>5</w:t>
      </w:r>
      <w:r w:rsidRPr="001A7586">
        <w:rPr>
          <w:bCs/>
        </w:rPr>
        <w:t xml:space="preserve"> = 3.256, </w:t>
      </w:r>
      <w:r w:rsidRPr="001A7586">
        <w:rPr>
          <w:bCs/>
          <w:i/>
        </w:rPr>
        <w:t>P</w:t>
      </w:r>
      <w:r w:rsidRPr="001A7586">
        <w:rPr>
          <w:bCs/>
        </w:rPr>
        <w:t xml:space="preserve"> = 0.</w:t>
      </w:r>
      <w:r w:rsidRPr="001A7586">
        <w:rPr>
          <w:bCs/>
          <w:color w:val="000000" w:themeColor="text1"/>
        </w:rPr>
        <w:t xml:space="preserve">023). No other </w:t>
      </w:r>
      <w:r w:rsidR="00CF1CA7" w:rsidRPr="001A7586">
        <w:rPr>
          <w:bCs/>
          <w:color w:val="000000" w:themeColor="text1"/>
        </w:rPr>
        <w:t xml:space="preserve">performance variables </w:t>
      </w:r>
      <w:r w:rsidRPr="001A7586">
        <w:rPr>
          <w:bCs/>
          <w:color w:val="000000" w:themeColor="text1"/>
        </w:rPr>
        <w:t xml:space="preserve">of movement, </w:t>
      </w:r>
      <w:r w:rsidR="00EB0290" w:rsidRPr="001A7586">
        <w:rPr>
          <w:bCs/>
          <w:color w:val="000000" w:themeColor="text1"/>
        </w:rPr>
        <w:t>height, or</w:t>
      </w:r>
      <w:r w:rsidRPr="001A7586">
        <w:rPr>
          <w:bCs/>
          <w:color w:val="000000" w:themeColor="text1"/>
        </w:rPr>
        <w:t xml:space="preserve"> </w:t>
      </w:r>
      <w:r w:rsidR="00D8399B" w:rsidRPr="001A7586">
        <w:rPr>
          <w:bCs/>
          <w:color w:val="000000" w:themeColor="text1"/>
        </w:rPr>
        <w:t>vocalizations</w:t>
      </w:r>
      <w:r w:rsidRPr="001A7586">
        <w:rPr>
          <w:bCs/>
          <w:color w:val="000000" w:themeColor="text1"/>
        </w:rPr>
        <w:t xml:space="preserve"> (repeated measures analysis of all 6 height measures [</w:t>
      </w:r>
      <w:r w:rsidRPr="001A7586">
        <w:t xml:space="preserve">tsik, tsik-egg, tse, egg and tse-egg, number of calls]) were affected </w:t>
      </w:r>
      <w:r w:rsidRPr="001A7586">
        <w:rPr>
          <w:bCs/>
          <w:color w:val="000000" w:themeColor="text1"/>
        </w:rPr>
        <w:t>(</w:t>
      </w:r>
      <w:r w:rsidRPr="001A7586">
        <w:t>Locomotion, F</w:t>
      </w:r>
      <w:r w:rsidRPr="001A7586">
        <w:rPr>
          <w:vertAlign w:val="subscript"/>
        </w:rPr>
        <w:t>2,10</w:t>
      </w:r>
      <w:r w:rsidRPr="001A7586">
        <w:t xml:space="preserve"> = 1.17, P = 0.348; Jumps F</w:t>
      </w:r>
      <w:r w:rsidRPr="001A7586">
        <w:rPr>
          <w:vertAlign w:val="subscript"/>
        </w:rPr>
        <w:t>2,10</w:t>
      </w:r>
      <w:r w:rsidRPr="001A7586">
        <w:t xml:space="preserve"> = 1.027, P = 0.393; or Bobs F</w:t>
      </w:r>
      <w:r w:rsidRPr="001A7586">
        <w:rPr>
          <w:vertAlign w:val="subscript"/>
        </w:rPr>
        <w:t>2,10</w:t>
      </w:r>
      <w:r w:rsidRPr="001A7586">
        <w:t xml:space="preserve"> = 2.9, P = 0.101</w:t>
      </w:r>
      <w:r w:rsidRPr="001A7586">
        <w:rPr>
          <w:bCs/>
          <w:color w:val="000000" w:themeColor="text1"/>
        </w:rPr>
        <w:t xml:space="preserve">; </w:t>
      </w:r>
      <w:r w:rsidRPr="001A7586">
        <w:rPr>
          <w:bCs/>
        </w:rPr>
        <w:t>height</w:t>
      </w:r>
      <w:r w:rsidRPr="001A7586">
        <w:rPr>
          <w:bCs/>
          <w:vertAlign w:val="subscript"/>
        </w:rPr>
        <w:t>5</w:t>
      </w:r>
      <w:r w:rsidRPr="001A7586">
        <w:rPr>
          <w:bCs/>
        </w:rPr>
        <w:t xml:space="preserve"> x test</w:t>
      </w:r>
      <w:r w:rsidRPr="001A7586">
        <w:rPr>
          <w:bCs/>
          <w:vertAlign w:val="subscript"/>
        </w:rPr>
        <w:t>3</w:t>
      </w:r>
      <w:r w:rsidRPr="001A7586">
        <w:rPr>
          <w:bCs/>
        </w:rPr>
        <w:t xml:space="preserve">, </w:t>
      </w:r>
      <w:r w:rsidRPr="001A7586">
        <w:t>F</w:t>
      </w:r>
      <w:r w:rsidRPr="001A7586">
        <w:rPr>
          <w:vertAlign w:val="subscript"/>
        </w:rPr>
        <w:t>10,50</w:t>
      </w:r>
      <w:r w:rsidRPr="001A7586">
        <w:t xml:space="preserve"> = 1.69, P = 0.108; or </w:t>
      </w:r>
      <w:r w:rsidR="00D8399B" w:rsidRPr="001A7586">
        <w:t>vocalizations</w:t>
      </w:r>
      <w:r w:rsidRPr="001A7586">
        <w:rPr>
          <w:vertAlign w:val="subscript"/>
        </w:rPr>
        <w:t xml:space="preserve">6 </w:t>
      </w:r>
      <w:r w:rsidRPr="001A7586">
        <w:rPr>
          <w:bCs/>
        </w:rPr>
        <w:t>x test</w:t>
      </w:r>
      <w:r w:rsidRPr="001A7586">
        <w:rPr>
          <w:bCs/>
          <w:vertAlign w:val="subscript"/>
        </w:rPr>
        <w:t>3</w:t>
      </w:r>
      <w:r w:rsidRPr="001A7586">
        <w:t>, F</w:t>
      </w:r>
      <w:r w:rsidRPr="001A7586">
        <w:rPr>
          <w:vertAlign w:val="subscript"/>
        </w:rPr>
        <w:t>10,50</w:t>
      </w:r>
      <w:r w:rsidRPr="001A7586">
        <w:t xml:space="preserve"> = 1.776, P = 0.09)</w:t>
      </w:r>
      <w:r w:rsidRPr="001A7586">
        <w:rPr>
          <w:color w:val="000000" w:themeColor="text1"/>
        </w:rPr>
        <w:t>.</w:t>
      </w:r>
    </w:p>
    <w:p w14:paraId="5A1A1439" w14:textId="26C50C8C" w:rsidR="00662380" w:rsidRPr="001A7586" w:rsidRDefault="00287848" w:rsidP="00AF18CF">
      <w:pPr>
        <w:spacing w:after="119" w:line="480" w:lineRule="auto"/>
        <w:jc w:val="both"/>
        <w:rPr>
          <w:color w:val="000000" w:themeColor="text1"/>
        </w:rPr>
      </w:pPr>
      <w:r w:rsidRPr="001A7586">
        <w:t>Thus</w:t>
      </w:r>
      <w:r w:rsidR="00BA2149" w:rsidRPr="001A7586">
        <w:t>,</w:t>
      </w:r>
      <w:r w:rsidRPr="001A7586">
        <w:t xml:space="preserve"> enhancement of glutamate release in the aHipp specifically ameliorates the high-trait anxiety phenotype by </w:t>
      </w:r>
      <w:r w:rsidR="00BD2385" w:rsidRPr="001A7586">
        <w:t xml:space="preserve">increasing </w:t>
      </w:r>
      <w:r w:rsidRPr="001A7586">
        <w:t xml:space="preserve">the approach to </w:t>
      </w:r>
      <w:r w:rsidR="00BD2385" w:rsidRPr="001A7586">
        <w:t xml:space="preserve">a </w:t>
      </w:r>
      <w:r w:rsidRPr="001A7586">
        <w:t xml:space="preserve">human intruder. </w:t>
      </w:r>
    </w:p>
    <w:p w14:paraId="120DADF8" w14:textId="77777777" w:rsidR="00AE7727" w:rsidRPr="001A7586" w:rsidRDefault="00AE7727" w:rsidP="00AF18CF">
      <w:pPr>
        <w:spacing w:after="119" w:line="480" w:lineRule="auto"/>
        <w:jc w:val="both"/>
      </w:pPr>
    </w:p>
    <w:p w14:paraId="66C3C40E" w14:textId="26D44703" w:rsidR="0057584B" w:rsidRPr="001A7586" w:rsidRDefault="0062296B" w:rsidP="00AF18CF">
      <w:pPr>
        <w:spacing w:after="119" w:line="480" w:lineRule="auto"/>
        <w:jc w:val="both"/>
        <w:rPr>
          <w:rFonts w:cstheme="minorHAnsi"/>
          <w:b/>
        </w:rPr>
      </w:pPr>
      <w:r w:rsidRPr="001A7586">
        <w:rPr>
          <w:rFonts w:cstheme="minorHAnsi"/>
          <w:b/>
        </w:rPr>
        <w:t>Experiment 2B</w:t>
      </w:r>
      <w:r w:rsidR="00450AF9" w:rsidRPr="001A7586">
        <w:rPr>
          <w:rFonts w:cstheme="minorHAnsi"/>
          <w:b/>
        </w:rPr>
        <w:t xml:space="preserve"> </w:t>
      </w:r>
    </w:p>
    <w:p w14:paraId="7C523326" w14:textId="67E8C994" w:rsidR="0062296B" w:rsidRPr="001A7586" w:rsidRDefault="00C55526" w:rsidP="00AF18CF">
      <w:pPr>
        <w:spacing w:after="119" w:line="480" w:lineRule="auto"/>
        <w:jc w:val="both"/>
        <w:rPr>
          <w:b/>
          <w:bCs/>
        </w:rPr>
      </w:pPr>
      <w:r w:rsidRPr="001A7586">
        <w:rPr>
          <w:b/>
          <w:bCs/>
        </w:rPr>
        <w:t xml:space="preserve">The </w:t>
      </w:r>
      <w:r w:rsidR="000F257C" w:rsidRPr="001A7586">
        <w:rPr>
          <w:b/>
          <w:bCs/>
        </w:rPr>
        <w:t>low</w:t>
      </w:r>
      <w:r w:rsidRPr="001A7586">
        <w:rPr>
          <w:b/>
          <w:bCs/>
        </w:rPr>
        <w:t xml:space="preserve"> cardiovascular responsivity shown by </w:t>
      </w:r>
      <w:r w:rsidR="00444E79" w:rsidRPr="001A7586">
        <w:rPr>
          <w:b/>
          <w:bCs/>
        </w:rPr>
        <w:t>high-trait</w:t>
      </w:r>
      <w:r w:rsidR="0062296B" w:rsidRPr="001A7586">
        <w:rPr>
          <w:b/>
          <w:bCs/>
        </w:rPr>
        <w:t xml:space="preserve"> anxious monkeys </w:t>
      </w:r>
      <w:r w:rsidR="00450AF9" w:rsidRPr="001A7586">
        <w:rPr>
          <w:b/>
          <w:bCs/>
        </w:rPr>
        <w:t>to the presentation of an uncertain cue in a threatening environment</w:t>
      </w:r>
      <w:r w:rsidR="0062296B" w:rsidRPr="001A7586">
        <w:rPr>
          <w:b/>
          <w:bCs/>
        </w:rPr>
        <w:t xml:space="preserve"> </w:t>
      </w:r>
      <w:r w:rsidR="00BF4D98" w:rsidRPr="001A7586">
        <w:rPr>
          <w:b/>
          <w:bCs/>
        </w:rPr>
        <w:t xml:space="preserve">was </w:t>
      </w:r>
      <w:r w:rsidR="000F257C" w:rsidRPr="001A7586">
        <w:rPr>
          <w:b/>
          <w:bCs/>
        </w:rPr>
        <w:t>increased</w:t>
      </w:r>
      <w:r w:rsidRPr="001A7586">
        <w:rPr>
          <w:b/>
          <w:bCs/>
        </w:rPr>
        <w:t xml:space="preserve"> </w:t>
      </w:r>
      <w:r w:rsidR="0062296B" w:rsidRPr="001A7586">
        <w:rPr>
          <w:b/>
          <w:bCs/>
        </w:rPr>
        <w:t xml:space="preserve">by aHipp presynaptic glutamatergic disinhibition </w:t>
      </w:r>
    </w:p>
    <w:p w14:paraId="73DB8469" w14:textId="51C4D9B6" w:rsidR="00473AD3" w:rsidRPr="001A7586" w:rsidRDefault="00473AD3" w:rsidP="00AF18CF">
      <w:pPr>
        <w:autoSpaceDE w:val="0"/>
        <w:autoSpaceDN w:val="0"/>
        <w:adjustRightInd w:val="0"/>
        <w:spacing w:after="0" w:line="480" w:lineRule="auto"/>
        <w:jc w:val="both"/>
        <w:rPr>
          <w:bCs/>
        </w:rPr>
      </w:pPr>
      <w:r w:rsidRPr="001A7586">
        <w:rPr>
          <w:bCs/>
        </w:rPr>
        <w:t xml:space="preserve">To assess the contribution of aHipp-mPFC circuitry to anxiety we first assessed the response of high-trait anxious animals to a novel auditory cue in a context that has previously been associated with the threat of an unpredictable, aversive loud noise </w:t>
      </w:r>
      <w:r w:rsidRPr="00E20348">
        <w:rPr>
          <w:bCs/>
        </w:rPr>
        <w:fldChar w:fldCharType="begin" w:fldLock="1"/>
      </w:r>
      <w:r w:rsidR="003E1B27" w:rsidRPr="001A7586">
        <w:rPr>
          <w:bCs/>
        </w:rPr>
        <w:instrText>ADDIN CSL_CITATION {"citationItems":[{"id":"ITEM-1","itemData":{"DOI":"2010-06301-002 [pii] 10.1037/a0018868","ISBN":"1939-0084 (Electronic) 0735-7044 (Linking)","PMID":"20364879","author":[{"dropping-particle":"","family":"Mikheenko","given":"Y","non-dropping-particle":"","parse-names":false,"suffix":""},{"dropping-particle":"","family":"Man","given":"M S","non-dropping-particle":"","parse-names":false,"suffix":""},{"dropping-particle":"","family":"Braesicke","given":"K","non-dropping-particle":"","parse-names":false,"suffix":""},{"dropping-particle":"","family":"Johns","given":"M E","non-dropping-particle":"","parse-names":false,"suffix":""},{"dropping-particle":"","family":"Hill","given":"G","non-dropping-particle":"","parse-names":false,"suffix":""},{"dropping-particle":"","family":"Agustin-Pavon","given":"C","non-dropping-particle":"","parse-names":false,"suffix":""},{"dropping-particle":"","family":"Roberts","given":"A C","non-dropping-particle":"","parse-names":false,"suffix":""}],"container-title":"Behavioral Neuroscience","edition":"2010/04/07","id":"ITEM-1","issue":"2","issued":{"date-parts":[["2010"]]},"language":"eng","note":"Mikheenko, Yevheniia\nMan, Mei-See\nBraesicke, Katrin\nJohns, Moira E\nHill, Gemma\nAgustin-Pavon, Carmen\nRoberts, Angela C\nG0401411/Medical Research Council/United Kingdom\nWellcome Trust/United Kingdom\nResearch Support, Non-U.S. Gov't\nUnited States\nBehavioral neuroscience\nBehav Neurosci. 2010 Apr;124(2):192-203.","page":"192-203","title":"Autonomic, behavioral, and neural analyses of mild conditioned negative affect in marmosets","type":"article-journal","volume":"124"},"uris":["http://www.mendeley.com/documents/?uuid=6fa72097-7f6c-4013-a23d-af764fcb8ed8"]}],"mendeley":{"formattedCitation":"(Mikheenko et al., 2010)","plainTextFormattedCitation":"(Mikheenko et al., 2010)","previouslyFormattedCitation":"(Mikheenko et al., 2010)"},"properties":{"noteIndex":0},"schema":"https://github.com/citation-style-language/schema/raw/master/csl-citation.json"}</w:instrText>
      </w:r>
      <w:r w:rsidRPr="00E20348">
        <w:rPr>
          <w:bCs/>
        </w:rPr>
        <w:fldChar w:fldCharType="separate"/>
      </w:r>
      <w:r w:rsidR="003E1B27" w:rsidRPr="001A7586">
        <w:rPr>
          <w:bCs/>
          <w:noProof/>
        </w:rPr>
        <w:t>(Mikheenko et al., 2010)</w:t>
      </w:r>
      <w:r w:rsidRPr="00E20348">
        <w:rPr>
          <w:bCs/>
        </w:rPr>
        <w:fldChar w:fldCharType="end"/>
      </w:r>
      <w:r w:rsidRPr="001A7586">
        <w:rPr>
          <w:bCs/>
        </w:rPr>
        <w:t>. See Figure 3A.</w:t>
      </w:r>
    </w:p>
    <w:p w14:paraId="4773AD20" w14:textId="77777777" w:rsidR="00473AD3" w:rsidRPr="001A7586" w:rsidRDefault="00473AD3" w:rsidP="00AF18CF">
      <w:pPr>
        <w:autoSpaceDE w:val="0"/>
        <w:autoSpaceDN w:val="0"/>
        <w:adjustRightInd w:val="0"/>
        <w:spacing w:after="0" w:line="480" w:lineRule="auto"/>
        <w:jc w:val="both"/>
        <w:rPr>
          <w:bCs/>
        </w:rPr>
      </w:pPr>
    </w:p>
    <w:p w14:paraId="3BC57D91" w14:textId="5E653216" w:rsidR="00473AD3" w:rsidRPr="001A7586" w:rsidRDefault="00473AD3" w:rsidP="00AF18CF">
      <w:pPr>
        <w:autoSpaceDE w:val="0"/>
        <w:autoSpaceDN w:val="0"/>
        <w:adjustRightInd w:val="0"/>
        <w:spacing w:after="0" w:line="480" w:lineRule="auto"/>
        <w:jc w:val="both"/>
        <w:rPr>
          <w:bCs/>
          <w:i/>
        </w:rPr>
      </w:pPr>
      <w:r w:rsidRPr="001A7586">
        <w:rPr>
          <w:bCs/>
          <w:i/>
        </w:rPr>
        <w:t xml:space="preserve">High trait anxious marmosets display </w:t>
      </w:r>
      <w:r w:rsidR="000F257C" w:rsidRPr="001A7586">
        <w:rPr>
          <w:bCs/>
          <w:i/>
        </w:rPr>
        <w:t>low</w:t>
      </w:r>
      <w:r w:rsidRPr="001A7586">
        <w:rPr>
          <w:bCs/>
          <w:i/>
        </w:rPr>
        <w:t xml:space="preserve"> cardiovascular responsivity to the presentation of an ambiguous cue in a threatening environment</w:t>
      </w:r>
    </w:p>
    <w:p w14:paraId="226EEE75" w14:textId="03FA6E1A" w:rsidR="00473AD3" w:rsidRPr="001A7586" w:rsidRDefault="00473AD3" w:rsidP="00AF18CF">
      <w:pPr>
        <w:autoSpaceDE w:val="0"/>
        <w:autoSpaceDN w:val="0"/>
        <w:adjustRightInd w:val="0"/>
        <w:spacing w:after="0" w:line="480" w:lineRule="auto"/>
        <w:jc w:val="both"/>
        <w:rPr>
          <w:color w:val="000000" w:themeColor="text1"/>
        </w:rPr>
      </w:pPr>
      <w:r w:rsidRPr="001A7586">
        <w:rPr>
          <w:bCs/>
        </w:rPr>
        <w:t>S</w:t>
      </w:r>
      <w:r w:rsidR="00907793" w:rsidRPr="001A7586">
        <w:rPr>
          <w:bCs/>
        </w:rPr>
        <w:t>ince the cardiovascular responsivity</w:t>
      </w:r>
      <w:r w:rsidRPr="001A7586">
        <w:rPr>
          <w:bCs/>
        </w:rPr>
        <w:t xml:space="preserve"> of high-trait anxious humans is blunted, we first determined whether the</w:t>
      </w:r>
      <w:r w:rsidRPr="001A7586">
        <w:rPr>
          <w:bCs/>
          <w:color w:val="000000" w:themeColor="text1"/>
        </w:rPr>
        <w:t xml:space="preserve"> cardiovascular and VS response to the novel cue was </w:t>
      </w:r>
      <w:r w:rsidR="003E1B27" w:rsidRPr="001A7586">
        <w:rPr>
          <w:bCs/>
          <w:color w:val="000000" w:themeColor="text1"/>
        </w:rPr>
        <w:t>changed when</w:t>
      </w:r>
      <w:r w:rsidR="00B12971" w:rsidRPr="001A7586">
        <w:rPr>
          <w:bCs/>
          <w:color w:val="000000" w:themeColor="text1"/>
        </w:rPr>
        <w:t xml:space="preserve"> </w:t>
      </w:r>
      <w:r w:rsidRPr="001A7586">
        <w:rPr>
          <w:bCs/>
          <w:color w:val="000000" w:themeColor="text1"/>
        </w:rPr>
        <w:t xml:space="preserve">compared to the preceding baseline (cue minus baseline). High-trait anxious animals did show a slight increase in VS after bilateral aHipp saline infusion, but like high-trait anxious humans, they failed to show any cardiovascular alterations as cue-directed HR, HRV, CSI and CVI were all close to zero </w:t>
      </w:r>
      <w:r w:rsidRPr="00E20348">
        <w:rPr>
          <w:bCs/>
          <w:color w:val="000000" w:themeColor="text1"/>
        </w:rPr>
        <w:fldChar w:fldCharType="begin" w:fldLock="1"/>
      </w:r>
      <w:r w:rsidR="007C1DE8" w:rsidRPr="001A7586">
        <w:rPr>
          <w:bCs/>
          <w:color w:val="000000" w:themeColor="text1"/>
        </w:rPr>
        <w:instrText>ADDIN CSL_CITATION {"citationItems":[{"id":"ITEM-1","itemData":{"DOI":"2010-06301-002 [pii] 10.1037/a0018868","ISBN":"1939-0084 (Electronic) 0735-7044 (Linking)","PMID":"20364879","author":[{"dropping-particle":"","family":"Mikheenko","given":"Y","non-dropping-particle":"","parse-names":false,"suffix":""},{"dropping-particle":"","family":"Man","given":"M S","non-dropping-particle":"","parse-names":false,"suffix":""},{"dropping-particle":"","family":"Braesicke","given":"K","non-dropping-particle":"","parse-names":false,"suffix":""},{"dropping-particle":"","family":"Johns","given":"M E","non-dropping-particle":"","parse-names":false,"suffix":""},{"dropping-particle":"","family":"Hill","given":"G","non-dropping-particle":"","parse-names":false,"suffix":""},{"dropping-particle":"","family":"Agustin-Pavon","given":"C","non-dropping-particle":"","parse-names":false,"suffix":""},{"dropping-particle":"","family":"Roberts","given":"A C","non-dropping-particle":"","parse-names":false,"suffix":""}],"container-title":"Behavioral Neuroscience","edition":"2010/04/07","id":"ITEM-1","issue":"2","issued":{"date-parts":[["2010"]]},"language":"eng","note":"Mikheenko, Yevheniia\nMan, Mei-See\nBraesicke, Katrin\nJohns, Moira E\nHill, Gemma\nAgustin-Pavon, Carmen\nRoberts, Angela C\nG0401411/Medical Research Council/United Kingdom\nWellcome Trust/United Kingdom\nResearch Support, Non-U.S. Gov't\nUnited States\nBehavioral neuroscience\nBehav Neurosci. 2010 Apr;124(2):192-203.","page":"192-203","title":"Autonomic, behavioral, and neural analyses of mild conditioned negative affect in marmosets","type":"article-journal","volume":"124"},"uris":["http://www.mendeley.com/documents/?uuid=6fa72097-7f6c-4013-a23d-af764fcb8ed8"]}],"mendeley":{"formattedCitation":"(Mikheenko et al., 2010)","plainTextFormattedCitation":"(Mikheenko et al., 2010)","previouslyFormattedCitation":"(Mikheenko et al., 2010)"},"properties":{"noteIndex":0},"schema":"https://github.com/citation-style-language/schema/raw/master/csl-citation.json"}</w:instrText>
      </w:r>
      <w:r w:rsidRPr="00E20348">
        <w:rPr>
          <w:bCs/>
          <w:color w:val="000000" w:themeColor="text1"/>
        </w:rPr>
        <w:fldChar w:fldCharType="separate"/>
      </w:r>
      <w:r w:rsidR="007C1DE8" w:rsidRPr="001A7586">
        <w:rPr>
          <w:bCs/>
          <w:noProof/>
          <w:color w:val="000000" w:themeColor="text1"/>
        </w:rPr>
        <w:t>(Mikheenko et al., 2010)</w:t>
      </w:r>
      <w:r w:rsidRPr="00E20348">
        <w:rPr>
          <w:bCs/>
          <w:color w:val="000000" w:themeColor="text1"/>
        </w:rPr>
        <w:fldChar w:fldCharType="end"/>
      </w:r>
      <w:r w:rsidRPr="001A7586">
        <w:rPr>
          <w:bCs/>
          <w:color w:val="000000" w:themeColor="text1"/>
        </w:rPr>
        <w:t xml:space="preserve"> (one sample t-tests comparing to no change: VS, t</w:t>
      </w:r>
      <w:r w:rsidRPr="001A7586">
        <w:rPr>
          <w:bCs/>
          <w:color w:val="000000" w:themeColor="text1"/>
          <w:vertAlign w:val="subscript"/>
        </w:rPr>
        <w:t>5</w:t>
      </w:r>
      <w:r w:rsidRPr="001A7586">
        <w:rPr>
          <w:bCs/>
          <w:color w:val="000000" w:themeColor="text1"/>
        </w:rPr>
        <w:t xml:space="preserve"> = 3.744, P = 0.013; HR, t</w:t>
      </w:r>
      <w:r w:rsidRPr="001A7586">
        <w:rPr>
          <w:bCs/>
          <w:color w:val="000000" w:themeColor="text1"/>
          <w:vertAlign w:val="subscript"/>
        </w:rPr>
        <w:t>5</w:t>
      </w:r>
      <w:r w:rsidRPr="001A7586">
        <w:rPr>
          <w:bCs/>
          <w:color w:val="000000" w:themeColor="text1"/>
        </w:rPr>
        <w:t xml:space="preserve"> = 0.888, P = 0.415; HRV t</w:t>
      </w:r>
      <w:r w:rsidRPr="001A7586">
        <w:rPr>
          <w:bCs/>
          <w:color w:val="000000" w:themeColor="text1"/>
          <w:vertAlign w:val="subscript"/>
        </w:rPr>
        <w:t>5</w:t>
      </w:r>
      <w:r w:rsidRPr="001A7586">
        <w:rPr>
          <w:bCs/>
          <w:color w:val="000000" w:themeColor="text1"/>
        </w:rPr>
        <w:t xml:space="preserve"> = 1.078, p = 0.330; CSI, t</w:t>
      </w:r>
      <w:r w:rsidRPr="001A7586">
        <w:rPr>
          <w:bCs/>
          <w:color w:val="000000" w:themeColor="text1"/>
          <w:vertAlign w:val="subscript"/>
        </w:rPr>
        <w:t>5</w:t>
      </w:r>
      <w:r w:rsidRPr="001A7586">
        <w:rPr>
          <w:bCs/>
          <w:color w:val="000000" w:themeColor="text1"/>
        </w:rPr>
        <w:t xml:space="preserve"> = 0.182, p = 0.863; CVI, t</w:t>
      </w:r>
      <w:r w:rsidRPr="001A7586">
        <w:rPr>
          <w:bCs/>
          <w:color w:val="000000" w:themeColor="text1"/>
          <w:vertAlign w:val="subscript"/>
        </w:rPr>
        <w:t>5</w:t>
      </w:r>
      <w:r w:rsidRPr="001A7586">
        <w:rPr>
          <w:bCs/>
          <w:color w:val="000000" w:themeColor="text1"/>
        </w:rPr>
        <w:t xml:space="preserve"> = 1.043, p = 0.345; see figure 4a). </w:t>
      </w:r>
      <w:r w:rsidRPr="001A7586">
        <w:rPr>
          <w:bCs/>
          <w:color w:val="000000" w:themeColor="text1"/>
        </w:rPr>
        <w:lastRenderedPageBreak/>
        <w:t>Within-subjects correlation analysis of these changes in HR and VS revealed that those animals who showed the least HR responsivity, also showed the smallest changes in VS (</w:t>
      </w:r>
      <w:r w:rsidRPr="001A7586">
        <w:rPr>
          <w:color w:val="000000" w:themeColor="text1"/>
        </w:rPr>
        <w:t>F</w:t>
      </w:r>
      <w:r w:rsidRPr="001A7586">
        <w:rPr>
          <w:color w:val="000000" w:themeColor="text1"/>
          <w:vertAlign w:val="subscript"/>
        </w:rPr>
        <w:t>1,65</w:t>
      </w:r>
      <w:r w:rsidRPr="001A7586">
        <w:rPr>
          <w:color w:val="000000" w:themeColor="text1"/>
        </w:rPr>
        <w:t xml:space="preserve"> = 19.001, P &lt; 0.0001), indicating a relationship between cardiovascular responsivity and </w:t>
      </w:r>
      <w:r w:rsidR="00D71B0B" w:rsidRPr="001A7586">
        <w:rPr>
          <w:color w:val="000000" w:themeColor="text1"/>
        </w:rPr>
        <w:t>behavior</w:t>
      </w:r>
      <w:r w:rsidRPr="001A7586">
        <w:rPr>
          <w:color w:val="000000" w:themeColor="text1"/>
        </w:rPr>
        <w:t xml:space="preserve">al engagement that </w:t>
      </w:r>
      <w:r w:rsidRPr="001A7586">
        <w:t xml:space="preserve">we have previously shown to be independent of alterations in arousal or locomotion </w:t>
      </w:r>
      <w:r w:rsidRPr="00E20348">
        <w:fldChar w:fldCharType="begin" w:fldLock="1"/>
      </w:r>
      <w:r w:rsidR="007C1DE8" w:rsidRPr="001A7586">
        <w:instrText>ADDIN CSL_CITATION {"citationItems":[{"id":"ITEM-1","itemData":{"DOI":"10.1073/pnas.1620115114","ISSN":"10916490","abstract":"Disorders of dysregulated negative emotion such as depression and anxiety also feature increased cardiovascular mortality and decreased heart-rate variability (HRV). These disorders are correlated with dysfunction within areas 25 and 32 of the ventromedial prefrontal cortex (vmPFC), but a causal relationship between dysregulation of these areas and such symptoms has not been demonstrated. Furthermore, cross-species translation is limited by inconsistent findings between rodent fear extinction and human neuroimaging studies of negative emotion. To reconcile these literatures, we applied an investigative approach to the brain-body interactions at the core of negative emotional dysregulation. We show that, in marmoset monkeys (a nonhuman primate that has far greater vmPFC homology to humans than rodents), areas 25 and 32 have causal yet opposing roles in regulating the cardiovascular and behavioral correlates of negative emotion. In novel Pavlovian fear conditioning and extinction paradigms, pharmacological inactivation of area 25 decreased the autonomic and behavioral correlates of negative emotion expectation, whereas inactivation of area 32 increased them via generalization. Area 25 inactivation also increased resting HRV. These findings are inconsistent with current theories of rodent/primate prefrontal functional similarity, and provide insight into the role of these brain regions in affective disorders. They demonstrate that area 32 hypoactivity causes behavioral generalization relevant to anxiety, and that area 25 is a causal node governing the emotional and cardiovascular symptomatology relevant to anxiety and depression.","author":[{"dropping-particle":"","family":"Wallis","given":"C.U.","non-dropping-particle":"","parse-names":false,"suffix":""},{"dropping-particle":"","family":"Cardinal","given":"R.N.","non-dropping-particle":"","parse-names":false,"suffix":""},{"dropping-particle":"","family":"Alexander","given":"L.","non-dropping-particle":"","parse-names":false,"suffix":""},{"dropping-particle":"","family":"Roberts","given":"A.C.","non-dropping-particle":"","parse-names":false,"suffix":""},{"dropping-particle":"","family":"Clarke","given":"H.F.","non-dropping-particle":"","parse-names":false,"suffix":""}],"container-title":"Proceedings of the National Academy of Sciences of the United States of America","id":"ITEM-1","issue":"20","issued":{"date-parts":[["2017"]]},"title":"Opposing roles of primate areas 25 and 32 and their putative rodent homologs in the regulation of negative emotion","type":"article-journal","volume":"114"},"uris":["http://www.mendeley.com/documents/?uuid=0c7170ec-f639-395d-b8c8-595fbc1b77ef"]},{"id":"ITEM-2","itemData":{"DOI":"2010-06301-002 [pii] 10.1037/a0018868","ISBN":"1939-0084 (Electronic) 0735-7044 (Linking)","PMID":"20364879","author":[{"dropping-particle":"","family":"Mikheenko","given":"Y","non-dropping-particle":"","parse-names":false,"suffix":""},{"dropping-particle":"","family":"Man","given":"M S","non-dropping-particle":"","parse-names":false,"suffix":""},{"dropping-particle":"","family":"Braesicke","given":"K","non-dropping-particle":"","parse-names":false,"suffix":""},{"dropping-particle":"","family":"Johns","given":"M E","non-dropping-particle":"","parse-names":false,"suffix":""},{"dropping-particle":"","family":"Hill","given":"G","non-dropping-particle":"","parse-names":false,"suffix":""},{"dropping-particle":"","family":"Agustin-Pavon","given":"C","non-dropping-particle":"","parse-names":false,"suffix":""},{"dropping-particle":"","family":"Roberts","given":"A C","non-dropping-particle":"","parse-names":false,"suffix":""}],"container-title":"Behavioral Neuroscience","edition":"2010/04/07","id":"ITEM-2","issue":"2","issued":{"date-parts":[["2010"]]},"language":"eng","note":"Mikheenko, Yevheniia\nMan, Mei-See\nBraesicke, Katrin\nJohns, Moira E\nHill, Gemma\nAgustin-Pavon, Carmen\nRoberts, Angela C\nG0401411/Medical Research Council/United Kingdom\nWellcome Trust/United Kingdom\nResearch Support, Non-U.S. Gov't\nUnited States\nBehavioral neuroscience\nBehav Neurosci. 2010 Apr;124(2):192-203.","page":"192-203","title":"Autonomic, behavioral, and neural analyses of mild conditioned negative affect in marmosets","type":"article-journal","volume":"124"},"uris":["http://www.mendeley.com/documents/?uuid=6fa72097-7f6c-4013-a23d-af764fcb8ed8"]}],"mendeley":{"formattedCitation":"(Mikheenko et al., 2010; Wallis et al., 2017)","plainTextFormattedCitation":"(Mikheenko et al., 2010; Wallis et al., 2017)","previouslyFormattedCitation":"(Mikheenko et al., 2010; Wallis et al., 2017)"},"properties":{"noteIndex":0},"schema":"https://github.com/citation-style-language/schema/raw/master/csl-citation.json"}</w:instrText>
      </w:r>
      <w:r w:rsidRPr="00E20348">
        <w:fldChar w:fldCharType="separate"/>
      </w:r>
      <w:r w:rsidR="007C1DE8" w:rsidRPr="001A7586">
        <w:rPr>
          <w:noProof/>
        </w:rPr>
        <w:t>(Mikheenko et al., 2010; Wallis et al., 2017)</w:t>
      </w:r>
      <w:r w:rsidRPr="00E20348">
        <w:fldChar w:fldCharType="end"/>
      </w:r>
      <w:r w:rsidRPr="001A7586">
        <w:t xml:space="preserve">. </w:t>
      </w:r>
    </w:p>
    <w:p w14:paraId="14BEBC9F" w14:textId="77777777" w:rsidR="00473AD3" w:rsidRPr="001A7586" w:rsidRDefault="00473AD3" w:rsidP="00AF18CF">
      <w:pPr>
        <w:autoSpaceDE w:val="0"/>
        <w:autoSpaceDN w:val="0"/>
        <w:adjustRightInd w:val="0"/>
        <w:spacing w:after="0" w:line="480" w:lineRule="auto"/>
        <w:jc w:val="both"/>
        <w:rPr>
          <w:color w:val="000000" w:themeColor="text1"/>
        </w:rPr>
      </w:pPr>
    </w:p>
    <w:p w14:paraId="7456E97D" w14:textId="688A15AC" w:rsidR="00473AD3" w:rsidRPr="001A7586" w:rsidRDefault="00473AD3" w:rsidP="00AF18CF">
      <w:pPr>
        <w:autoSpaceDE w:val="0"/>
        <w:autoSpaceDN w:val="0"/>
        <w:adjustRightInd w:val="0"/>
        <w:spacing w:after="0" w:line="480" w:lineRule="auto"/>
        <w:jc w:val="both"/>
        <w:rPr>
          <w:bCs/>
          <w:i/>
        </w:rPr>
      </w:pPr>
      <w:r w:rsidRPr="001A7586">
        <w:rPr>
          <w:bCs/>
          <w:i/>
          <w:color w:val="000000" w:themeColor="text1"/>
        </w:rPr>
        <w:t>aHipp LY/CGP increase</w:t>
      </w:r>
      <w:r w:rsidR="00BF4D98" w:rsidRPr="001A7586">
        <w:rPr>
          <w:bCs/>
          <w:i/>
          <w:color w:val="000000" w:themeColor="text1"/>
        </w:rPr>
        <w:t>d</w:t>
      </w:r>
      <w:r w:rsidRPr="001A7586">
        <w:rPr>
          <w:bCs/>
          <w:i/>
          <w:color w:val="000000" w:themeColor="text1"/>
        </w:rPr>
        <w:t xml:space="preserve"> cardiovascular</w:t>
      </w:r>
      <w:r w:rsidRPr="001A7586">
        <w:rPr>
          <w:bCs/>
          <w:color w:val="000000" w:themeColor="text1"/>
        </w:rPr>
        <w:t xml:space="preserve"> </w:t>
      </w:r>
      <w:r w:rsidRPr="001A7586">
        <w:rPr>
          <w:bCs/>
          <w:i/>
        </w:rPr>
        <w:t>responsivity to the presentation of an ambiguous cue in a threatening environment</w:t>
      </w:r>
    </w:p>
    <w:p w14:paraId="4548566C" w14:textId="707F2DC6" w:rsidR="00473AD3" w:rsidRPr="001A7586" w:rsidRDefault="00473AD3" w:rsidP="00AF18CF">
      <w:pPr>
        <w:spacing w:after="119" w:line="480" w:lineRule="auto"/>
        <w:jc w:val="both"/>
      </w:pPr>
      <w:r w:rsidRPr="001A7586">
        <w:t xml:space="preserve">Compared to the non-responsiveness of the cardiovascular system to the novel auditory cue after a saline infusion, a marked increase in responsiveness was observed following aHipp LY/CGP infusions. A two-way ANOVA with factors of drug (saline or aHipp LY/CGP) and cue presentations (1-12) revealed that aHipp LY/CGP </w:t>
      </w:r>
      <w:r w:rsidRPr="001A7586">
        <w:rPr>
          <w:bCs/>
          <w:color w:val="000000" w:themeColor="text1"/>
        </w:rPr>
        <w:t xml:space="preserve">increased cue-directed HR (main effects of </w:t>
      </w:r>
      <w:r w:rsidRPr="001A7586">
        <w:rPr>
          <w:color w:val="000000" w:themeColor="text1"/>
        </w:rPr>
        <w:t>drug</w:t>
      </w:r>
      <w:r w:rsidRPr="001A7586">
        <w:rPr>
          <w:color w:val="000000" w:themeColor="text1"/>
          <w:vertAlign w:val="subscript"/>
        </w:rPr>
        <w:t>2</w:t>
      </w:r>
      <w:r w:rsidRPr="001A7586">
        <w:rPr>
          <w:color w:val="000000" w:themeColor="text1"/>
        </w:rPr>
        <w:t xml:space="preserve">, </w:t>
      </w:r>
      <w:r w:rsidRPr="001A7586">
        <w:rPr>
          <w:i/>
          <w:iCs/>
          <w:color w:val="000000" w:themeColor="text1"/>
        </w:rPr>
        <w:t>F</w:t>
      </w:r>
      <w:r w:rsidRPr="001A7586">
        <w:rPr>
          <w:color w:val="000000" w:themeColor="text1"/>
          <w:vertAlign w:val="subscript"/>
        </w:rPr>
        <w:t>1,107.67</w:t>
      </w:r>
      <w:r w:rsidRPr="001A7586">
        <w:rPr>
          <w:color w:val="000000" w:themeColor="text1"/>
        </w:rPr>
        <w:t xml:space="preserve"> = 11.25, </w:t>
      </w:r>
      <w:r w:rsidRPr="001A7586">
        <w:rPr>
          <w:i/>
          <w:iCs/>
          <w:color w:val="000000" w:themeColor="text1"/>
        </w:rPr>
        <w:t>P</w:t>
      </w:r>
      <w:r w:rsidRPr="001A7586">
        <w:rPr>
          <w:color w:val="000000" w:themeColor="text1"/>
        </w:rPr>
        <w:t>= 0.001 and drug</w:t>
      </w:r>
      <w:r w:rsidRPr="001A7586">
        <w:rPr>
          <w:color w:val="000000" w:themeColor="text1"/>
          <w:vertAlign w:val="subscript"/>
        </w:rPr>
        <w:t>2</w:t>
      </w:r>
      <w:r w:rsidRPr="001A7586">
        <w:rPr>
          <w:color w:val="000000" w:themeColor="text1"/>
        </w:rPr>
        <w:t xml:space="preserve"> x cue</w:t>
      </w:r>
      <w:r w:rsidRPr="001A7586">
        <w:rPr>
          <w:color w:val="000000" w:themeColor="text1"/>
          <w:vertAlign w:val="subscript"/>
        </w:rPr>
        <w:t>12</w:t>
      </w:r>
      <w:r w:rsidRPr="001A7586">
        <w:rPr>
          <w:color w:val="000000" w:themeColor="text1"/>
        </w:rPr>
        <w:t xml:space="preserve">, </w:t>
      </w:r>
      <w:r w:rsidRPr="001A7586">
        <w:rPr>
          <w:i/>
          <w:iCs/>
          <w:color w:val="000000" w:themeColor="text1"/>
        </w:rPr>
        <w:t>F</w:t>
      </w:r>
      <w:r w:rsidRPr="001A7586">
        <w:rPr>
          <w:color w:val="000000" w:themeColor="text1"/>
          <w:vertAlign w:val="subscript"/>
        </w:rPr>
        <w:t>11,103.22</w:t>
      </w:r>
      <w:r w:rsidRPr="001A7586">
        <w:rPr>
          <w:color w:val="000000" w:themeColor="text1"/>
        </w:rPr>
        <w:t xml:space="preserve"> = 2.65, </w:t>
      </w:r>
      <w:r w:rsidRPr="001A7586">
        <w:rPr>
          <w:i/>
          <w:iCs/>
          <w:color w:val="000000" w:themeColor="text1"/>
        </w:rPr>
        <w:t>P</w:t>
      </w:r>
      <w:r w:rsidRPr="001A7586">
        <w:rPr>
          <w:color w:val="000000" w:themeColor="text1"/>
        </w:rPr>
        <w:t>= 0.005, figure 4). Similar analyses also revealed an increase in cue-directed CSI (main effects of drug</w:t>
      </w:r>
      <w:r w:rsidRPr="001A7586">
        <w:rPr>
          <w:color w:val="000000" w:themeColor="text1"/>
          <w:vertAlign w:val="subscript"/>
        </w:rPr>
        <w:t>2</w:t>
      </w:r>
      <w:r w:rsidRPr="001A7586">
        <w:rPr>
          <w:color w:val="000000" w:themeColor="text1"/>
        </w:rPr>
        <w:t>, F</w:t>
      </w:r>
      <w:r w:rsidRPr="001A7586">
        <w:rPr>
          <w:color w:val="000000" w:themeColor="text1"/>
          <w:vertAlign w:val="subscript"/>
        </w:rPr>
        <w:t>1,108</w:t>
      </w:r>
      <w:r w:rsidRPr="001A7586">
        <w:rPr>
          <w:color w:val="000000" w:themeColor="text1"/>
        </w:rPr>
        <w:t xml:space="preserve"> = 4.954, P = 0.0281, and drug</w:t>
      </w:r>
      <w:r w:rsidRPr="001A7586">
        <w:rPr>
          <w:color w:val="000000" w:themeColor="text1"/>
          <w:vertAlign w:val="subscript"/>
        </w:rPr>
        <w:t>2</w:t>
      </w:r>
      <w:r w:rsidRPr="001A7586">
        <w:rPr>
          <w:color w:val="000000" w:themeColor="text1"/>
        </w:rPr>
        <w:t xml:space="preserve"> x cue</w:t>
      </w:r>
      <w:r w:rsidRPr="001A7586">
        <w:rPr>
          <w:color w:val="000000" w:themeColor="text1"/>
          <w:vertAlign w:val="subscript"/>
        </w:rPr>
        <w:t>12</w:t>
      </w:r>
      <w:r w:rsidRPr="001A7586">
        <w:rPr>
          <w:color w:val="000000" w:themeColor="text1"/>
        </w:rPr>
        <w:t>, F</w:t>
      </w:r>
      <w:r w:rsidRPr="001A7586">
        <w:rPr>
          <w:color w:val="000000" w:themeColor="text1"/>
          <w:vertAlign w:val="subscript"/>
        </w:rPr>
        <w:t>11,101.35</w:t>
      </w:r>
      <w:r w:rsidRPr="001A7586">
        <w:rPr>
          <w:color w:val="000000" w:themeColor="text1"/>
        </w:rPr>
        <w:t xml:space="preserve"> = 2.63, P = 0.005), a decrease in cue-directed HRV (main effect of drug</w:t>
      </w:r>
      <w:r w:rsidRPr="001A7586">
        <w:rPr>
          <w:color w:val="000000" w:themeColor="text1"/>
          <w:vertAlign w:val="subscript"/>
        </w:rPr>
        <w:t xml:space="preserve">2 </w:t>
      </w:r>
      <w:r w:rsidRPr="001A7586">
        <w:rPr>
          <w:color w:val="000000" w:themeColor="text1"/>
        </w:rPr>
        <w:t>only, F</w:t>
      </w:r>
      <w:r w:rsidRPr="001A7586">
        <w:rPr>
          <w:color w:val="000000" w:themeColor="text1"/>
          <w:vertAlign w:val="subscript"/>
        </w:rPr>
        <w:t>1,107.9</w:t>
      </w:r>
      <w:r w:rsidRPr="001A7586">
        <w:rPr>
          <w:color w:val="000000" w:themeColor="text1"/>
        </w:rPr>
        <w:t xml:space="preserve"> = 4.956, P = 0.028) and no change in CVI (no main effect of drug F</w:t>
      </w:r>
      <w:r w:rsidRPr="001A7586">
        <w:rPr>
          <w:color w:val="000000" w:themeColor="text1"/>
          <w:vertAlign w:val="subscript"/>
        </w:rPr>
        <w:t>1,107.9</w:t>
      </w:r>
      <w:r w:rsidRPr="001A7586">
        <w:rPr>
          <w:color w:val="000000" w:themeColor="text1"/>
        </w:rPr>
        <w:t xml:space="preserve"> = 1.446, P = 0.23, drug</w:t>
      </w:r>
      <w:r w:rsidRPr="001A7586">
        <w:rPr>
          <w:color w:val="000000" w:themeColor="text1"/>
          <w:vertAlign w:val="subscript"/>
        </w:rPr>
        <w:t>2</w:t>
      </w:r>
      <w:r w:rsidRPr="001A7586">
        <w:rPr>
          <w:color w:val="000000" w:themeColor="text1"/>
        </w:rPr>
        <w:t xml:space="preserve"> x cue</w:t>
      </w:r>
      <w:r w:rsidRPr="001A7586">
        <w:rPr>
          <w:color w:val="000000" w:themeColor="text1"/>
          <w:vertAlign w:val="subscript"/>
        </w:rPr>
        <w:t>12</w:t>
      </w:r>
      <w:r w:rsidRPr="001A7586">
        <w:rPr>
          <w:color w:val="000000" w:themeColor="text1"/>
        </w:rPr>
        <w:t xml:space="preserve">, F&lt; 1, NS). </w:t>
      </w:r>
    </w:p>
    <w:p w14:paraId="03284A60" w14:textId="36903B0E" w:rsidR="00473AD3" w:rsidRPr="001A7586" w:rsidRDefault="00473AD3" w:rsidP="00AF18CF">
      <w:pPr>
        <w:spacing w:after="119" w:line="480" w:lineRule="auto"/>
        <w:jc w:val="both"/>
        <w:rPr>
          <w:color w:val="FF0000"/>
        </w:rPr>
      </w:pPr>
      <w:r w:rsidRPr="001A7586">
        <w:t xml:space="preserve">In summary, high-trait anxious animals show a marked lack of cardiovascular responsivity in response to threatening cues, but increasing aHipp presynaptic glutamate release significantly increased both the cardiovascular and </w:t>
      </w:r>
      <w:r w:rsidR="00D71B0B" w:rsidRPr="001A7586">
        <w:t>behavior</w:t>
      </w:r>
      <w:r w:rsidRPr="001A7586">
        <w:t>al responsivity.</w:t>
      </w:r>
    </w:p>
    <w:p w14:paraId="0EA4BC66" w14:textId="77777777" w:rsidR="009B3BC3" w:rsidRPr="001A7586" w:rsidRDefault="009B3BC3" w:rsidP="00AF18CF">
      <w:pPr>
        <w:spacing w:after="119" w:line="480" w:lineRule="auto"/>
        <w:jc w:val="both"/>
        <w:rPr>
          <w:color w:val="FF0000"/>
        </w:rPr>
      </w:pPr>
    </w:p>
    <w:p w14:paraId="4CE94FCB" w14:textId="146E46B9" w:rsidR="00183901" w:rsidRPr="001A7586" w:rsidRDefault="00183901" w:rsidP="00AF18CF">
      <w:pPr>
        <w:pStyle w:val="Default"/>
        <w:spacing w:line="480" w:lineRule="auto"/>
        <w:rPr>
          <w:rFonts w:asciiTheme="minorHAnsi" w:hAnsiTheme="minorHAnsi" w:cstheme="minorBidi"/>
          <w:b/>
          <w:bCs/>
          <w:color w:val="auto"/>
          <w:sz w:val="22"/>
          <w:szCs w:val="22"/>
        </w:rPr>
      </w:pPr>
      <w:r w:rsidRPr="001A7586">
        <w:rPr>
          <w:rFonts w:asciiTheme="minorHAnsi" w:hAnsiTheme="minorHAnsi" w:cstheme="minorBidi"/>
          <w:b/>
          <w:bCs/>
          <w:color w:val="auto"/>
          <w:sz w:val="22"/>
          <w:szCs w:val="22"/>
        </w:rPr>
        <w:t xml:space="preserve">Inactivation of area 25 </w:t>
      </w:r>
      <w:r w:rsidR="00BF4D98" w:rsidRPr="001A7586">
        <w:rPr>
          <w:rFonts w:asciiTheme="minorHAnsi" w:hAnsiTheme="minorHAnsi" w:cstheme="minorBidi"/>
          <w:b/>
          <w:bCs/>
          <w:color w:val="auto"/>
          <w:sz w:val="22"/>
          <w:szCs w:val="22"/>
        </w:rPr>
        <w:t xml:space="preserve">blocked </w:t>
      </w:r>
      <w:r w:rsidRPr="001A7586">
        <w:rPr>
          <w:rFonts w:asciiTheme="minorHAnsi" w:hAnsiTheme="minorHAnsi" w:cstheme="minorBidi"/>
          <w:b/>
          <w:bCs/>
          <w:color w:val="auto"/>
          <w:sz w:val="22"/>
          <w:szCs w:val="22"/>
        </w:rPr>
        <w:t>the ability of aHipp LY/CGP to increase cardiovascular responsivity and VS</w:t>
      </w:r>
    </w:p>
    <w:p w14:paraId="2DA6F00B" w14:textId="77777777" w:rsidR="00183901" w:rsidRPr="001A7586" w:rsidRDefault="00183901" w:rsidP="00AF18CF">
      <w:pPr>
        <w:pStyle w:val="Default"/>
        <w:spacing w:line="480" w:lineRule="auto"/>
        <w:rPr>
          <w:rFonts w:asciiTheme="minorHAnsi" w:hAnsiTheme="minorHAnsi" w:cstheme="minorBidi"/>
          <w:color w:val="auto"/>
          <w:sz w:val="22"/>
          <w:szCs w:val="22"/>
        </w:rPr>
      </w:pPr>
    </w:p>
    <w:p w14:paraId="7853B2E7" w14:textId="5893E48A" w:rsidR="00183901" w:rsidRPr="001A7586" w:rsidRDefault="00183901" w:rsidP="00AF18CF">
      <w:pPr>
        <w:spacing w:after="119" w:line="480" w:lineRule="auto"/>
        <w:jc w:val="both"/>
      </w:pPr>
      <w:r w:rsidRPr="001A7586">
        <w:lastRenderedPageBreak/>
        <w:t>To determine whether the increases in cardiovascular responsivity induced by aHipp LY/CGP eng</w:t>
      </w:r>
      <w:r w:rsidR="00A17AF7" w:rsidRPr="001A7586">
        <w:t>age aHipp-area 25 circuitry, aHi</w:t>
      </w:r>
      <w:r w:rsidRPr="001A7586">
        <w:t xml:space="preserve">pp LY/CGP infusions were combined with simultaneous inactivation of area 25 with </w:t>
      </w:r>
      <w:r w:rsidRPr="001A7586">
        <w:rPr>
          <w:rFonts w:cs="AdvOT88ac8687"/>
        </w:rPr>
        <w:t xml:space="preserve">0.5 </w:t>
      </w:r>
      <w:r w:rsidRPr="001A7586">
        <w:rPr>
          <w:rFonts w:cs="AdvOTd877c31c+03"/>
        </w:rPr>
        <w:t>μ</w:t>
      </w:r>
      <w:r w:rsidRPr="001A7586">
        <w:rPr>
          <w:rFonts w:cs="AdvOT88ac8687"/>
        </w:rPr>
        <w:t>L of 0.1 mM muscimol/1.0 mM baclofen (‘musbac’)</w:t>
      </w:r>
      <w:r w:rsidRPr="001A7586">
        <w:t xml:space="preserve">. </w:t>
      </w:r>
    </w:p>
    <w:p w14:paraId="3E03511D" w14:textId="659BD583" w:rsidR="00183901" w:rsidRPr="001A7586" w:rsidRDefault="0004463C" w:rsidP="00AF18CF">
      <w:pPr>
        <w:spacing w:after="119" w:line="480" w:lineRule="auto"/>
        <w:jc w:val="both"/>
        <w:rPr>
          <w:rFonts w:cstheme="minorHAnsi"/>
        </w:rPr>
      </w:pPr>
      <w:r w:rsidRPr="001A7586">
        <w:t>T</w:t>
      </w:r>
      <w:r w:rsidR="00183901" w:rsidRPr="001A7586">
        <w:t xml:space="preserve">his simultaneous inactivation </w:t>
      </w:r>
      <w:r w:rsidRPr="001A7586">
        <w:t xml:space="preserve">was found to </w:t>
      </w:r>
      <w:r w:rsidR="00703DEA" w:rsidRPr="001A7586">
        <w:t xml:space="preserve">reduce </w:t>
      </w:r>
      <w:r w:rsidRPr="001A7586">
        <w:t>the impact of aHipp LY/CGP on HR, VS, HRV and CSI</w:t>
      </w:r>
      <w:r w:rsidRPr="001A7586">
        <w:rPr>
          <w:bCs/>
        </w:rPr>
        <w:t xml:space="preserve">. </w:t>
      </w:r>
      <w:r w:rsidR="00183901" w:rsidRPr="001A7586">
        <w:t xml:space="preserve">Thus </w:t>
      </w:r>
      <w:r w:rsidR="00183901" w:rsidRPr="001A7586">
        <w:rPr>
          <w:rFonts w:cstheme="minorHAnsi"/>
        </w:rPr>
        <w:t xml:space="preserve">repeated measures ANOVA with factors of manipulation (25 musbac, aHipp saline, aHipp LY/CGP, and aHipp LY/CGP + 25 musbac) and cue presentations (1-12)  revealed </w:t>
      </w:r>
      <w:r w:rsidR="005D7FB6" w:rsidRPr="001A7586">
        <w:rPr>
          <w:rFonts w:cstheme="minorHAnsi"/>
        </w:rPr>
        <w:t>changes in</w:t>
      </w:r>
      <w:r w:rsidR="00183901" w:rsidRPr="001A7586">
        <w:rPr>
          <w:rFonts w:cstheme="minorHAnsi"/>
        </w:rPr>
        <w:t xml:space="preserve"> HR, VS, HRV and CSI but not CVI (HR, main effect of manipulation</w:t>
      </w:r>
      <w:r w:rsidR="00183901" w:rsidRPr="001A7586">
        <w:rPr>
          <w:rFonts w:cstheme="minorHAnsi"/>
          <w:vertAlign w:val="subscript"/>
        </w:rPr>
        <w:t>4</w:t>
      </w:r>
      <w:r w:rsidR="00183901" w:rsidRPr="001A7586">
        <w:rPr>
          <w:rFonts w:cstheme="minorHAnsi"/>
        </w:rPr>
        <w:t xml:space="preserve"> </w:t>
      </w:r>
      <w:r w:rsidR="00183901" w:rsidRPr="001A7586">
        <w:t>F</w:t>
      </w:r>
      <w:r w:rsidR="00183901" w:rsidRPr="001A7586">
        <w:rPr>
          <w:vertAlign w:val="subscript"/>
        </w:rPr>
        <w:t>3,16.7</w:t>
      </w:r>
      <w:r w:rsidR="00183901" w:rsidRPr="001A7586">
        <w:t xml:space="preserve"> = 8.98, P = </w:t>
      </w:r>
      <w:r w:rsidR="00183901" w:rsidRPr="001A7586">
        <w:rPr>
          <w:rFonts w:cstheme="minorHAnsi"/>
        </w:rPr>
        <w:t>1.491</w:t>
      </w:r>
      <w:r w:rsidR="00183901" w:rsidRPr="001A7586">
        <w:rPr>
          <w:rFonts w:cstheme="minorHAnsi"/>
          <w:vertAlign w:val="superscript"/>
        </w:rPr>
        <w:t>-05</w:t>
      </w:r>
      <w:r w:rsidR="00183901" w:rsidRPr="001A7586">
        <w:rPr>
          <w:rFonts w:cstheme="minorHAnsi"/>
        </w:rPr>
        <w:t>; VS,</w:t>
      </w:r>
      <w:r w:rsidR="00183901" w:rsidRPr="001A7586">
        <w:rPr>
          <w:rFonts w:cstheme="minorHAnsi"/>
          <w:vertAlign w:val="superscript"/>
        </w:rPr>
        <w:t xml:space="preserve"> </w:t>
      </w:r>
      <w:r w:rsidR="00183901" w:rsidRPr="001A7586">
        <w:rPr>
          <w:rFonts w:cstheme="minorHAnsi"/>
        </w:rPr>
        <w:t>main effect of manipulation</w:t>
      </w:r>
      <w:r w:rsidR="00183901" w:rsidRPr="001A7586">
        <w:rPr>
          <w:rFonts w:cstheme="minorHAnsi"/>
          <w:vertAlign w:val="subscript"/>
        </w:rPr>
        <w:t>4</w:t>
      </w:r>
      <w:r w:rsidR="00183901" w:rsidRPr="001A7586">
        <w:rPr>
          <w:rFonts w:cstheme="minorHAnsi"/>
        </w:rPr>
        <w:t xml:space="preserve"> </w:t>
      </w:r>
      <w:r w:rsidR="00183901" w:rsidRPr="001A7586">
        <w:t>F</w:t>
      </w:r>
      <w:r w:rsidR="00183901" w:rsidRPr="001A7586">
        <w:rPr>
          <w:vertAlign w:val="subscript"/>
        </w:rPr>
        <w:t>3,177.46</w:t>
      </w:r>
      <w:r w:rsidR="00183901" w:rsidRPr="001A7586">
        <w:t xml:space="preserve"> = 4.82, P = </w:t>
      </w:r>
      <w:r w:rsidR="00183901" w:rsidRPr="001A7586">
        <w:rPr>
          <w:rFonts w:cstheme="minorHAnsi"/>
        </w:rPr>
        <w:t>0.002; HRV, main effect of manipulation</w:t>
      </w:r>
      <w:r w:rsidR="00183901" w:rsidRPr="001A7586">
        <w:rPr>
          <w:rFonts w:cstheme="minorHAnsi"/>
          <w:vertAlign w:val="subscript"/>
        </w:rPr>
        <w:t>4</w:t>
      </w:r>
      <w:r w:rsidR="00183901" w:rsidRPr="001A7586">
        <w:rPr>
          <w:rFonts w:cstheme="minorHAnsi"/>
        </w:rPr>
        <w:t xml:space="preserve"> F</w:t>
      </w:r>
      <w:r w:rsidR="00183901" w:rsidRPr="001A7586">
        <w:rPr>
          <w:rFonts w:cstheme="minorHAnsi"/>
          <w:vertAlign w:val="subscript"/>
        </w:rPr>
        <w:t>3,180</w:t>
      </w:r>
      <w:r w:rsidR="00183901" w:rsidRPr="001A7586">
        <w:rPr>
          <w:rFonts w:cstheme="minorHAnsi"/>
        </w:rPr>
        <w:t xml:space="preserve"> = 3.4, P = 0.017</w:t>
      </w:r>
      <w:r w:rsidR="00183901" w:rsidRPr="001A7586">
        <w:t xml:space="preserve">; </w:t>
      </w:r>
      <w:r w:rsidR="00183901" w:rsidRPr="001A7586">
        <w:rPr>
          <w:rFonts w:cstheme="minorHAnsi"/>
        </w:rPr>
        <w:t>CSI, a trending effect of manipulation</w:t>
      </w:r>
      <w:r w:rsidR="00183901" w:rsidRPr="001A7586">
        <w:rPr>
          <w:rFonts w:cstheme="minorHAnsi"/>
          <w:vertAlign w:val="subscript"/>
        </w:rPr>
        <w:t>4</w:t>
      </w:r>
      <w:r w:rsidR="00183901" w:rsidRPr="001A7586">
        <w:rPr>
          <w:rFonts w:cstheme="minorHAnsi"/>
        </w:rPr>
        <w:t xml:space="preserve"> </w:t>
      </w:r>
      <w:r w:rsidR="00183901" w:rsidRPr="001A7586">
        <w:t>F</w:t>
      </w:r>
      <w:r w:rsidR="00183901" w:rsidRPr="001A7586">
        <w:rPr>
          <w:vertAlign w:val="subscript"/>
        </w:rPr>
        <w:t>3,148.22</w:t>
      </w:r>
      <w:r w:rsidR="00183901" w:rsidRPr="001A7586">
        <w:t xml:space="preserve"> = 2.269, P = </w:t>
      </w:r>
      <w:r w:rsidR="00183901" w:rsidRPr="001A7586">
        <w:rPr>
          <w:rFonts w:cstheme="minorHAnsi"/>
        </w:rPr>
        <w:t>0.08, and a manipulation</w:t>
      </w:r>
      <w:r w:rsidR="00183901" w:rsidRPr="001A7586">
        <w:rPr>
          <w:rFonts w:cstheme="minorHAnsi"/>
          <w:vertAlign w:val="subscript"/>
        </w:rPr>
        <w:t>4</w:t>
      </w:r>
      <w:r w:rsidR="00183901" w:rsidRPr="001A7586">
        <w:rPr>
          <w:rFonts w:cstheme="minorHAnsi"/>
        </w:rPr>
        <w:t xml:space="preserve"> x cue number</w:t>
      </w:r>
      <w:r w:rsidR="00183901" w:rsidRPr="001A7586">
        <w:rPr>
          <w:rFonts w:cstheme="minorHAnsi"/>
          <w:vertAlign w:val="subscript"/>
        </w:rPr>
        <w:t>12</w:t>
      </w:r>
      <w:r w:rsidR="00183901" w:rsidRPr="001A7586">
        <w:rPr>
          <w:rFonts w:cstheme="minorHAnsi"/>
        </w:rPr>
        <w:t xml:space="preserve"> interaction F</w:t>
      </w:r>
      <w:r w:rsidR="00183901" w:rsidRPr="001A7586">
        <w:rPr>
          <w:rFonts w:cstheme="minorHAnsi"/>
          <w:vertAlign w:val="subscript"/>
        </w:rPr>
        <w:t>33,173</w:t>
      </w:r>
      <w:r w:rsidR="00183901" w:rsidRPr="001A7586">
        <w:rPr>
          <w:rFonts w:cstheme="minorHAnsi"/>
        </w:rPr>
        <w:t xml:space="preserve"> = 1.59, P = 0.02</w:t>
      </w:r>
      <w:r w:rsidR="00183901" w:rsidRPr="001A7586">
        <w:t>; CVI</w:t>
      </w:r>
      <w:r w:rsidR="00183901" w:rsidRPr="001A7586">
        <w:rPr>
          <w:rFonts w:cstheme="minorHAnsi"/>
        </w:rPr>
        <w:t>, F</w:t>
      </w:r>
      <w:r w:rsidR="00183901" w:rsidRPr="001A7586">
        <w:rPr>
          <w:rFonts w:cstheme="minorHAnsi"/>
          <w:vertAlign w:val="subscript"/>
        </w:rPr>
        <w:t>3,180</w:t>
      </w:r>
      <w:r w:rsidR="00183901" w:rsidRPr="001A7586">
        <w:rPr>
          <w:rFonts w:cstheme="minorHAnsi"/>
        </w:rPr>
        <w:t xml:space="preserve"> = 0.69, P = 0.55).</w:t>
      </w:r>
    </w:p>
    <w:p w14:paraId="204B8F7E" w14:textId="77777777" w:rsidR="00183901" w:rsidRPr="001A7586" w:rsidRDefault="00183901" w:rsidP="00AF18CF">
      <w:pPr>
        <w:spacing w:after="119" w:line="480" w:lineRule="auto"/>
        <w:jc w:val="both"/>
        <w:rPr>
          <w:rFonts w:cstheme="minorHAnsi"/>
        </w:rPr>
      </w:pPr>
      <w:r w:rsidRPr="001A7586">
        <w:t>Post hoc analysis revealed that simultaneous aHipp LY/CGP + area 25 musbac infusions reversed some of the cue-directed changes that were induced by aHipp LY/CGP alone</w:t>
      </w:r>
      <w:r w:rsidRPr="001A7586">
        <w:rPr>
          <w:rFonts w:cstheme="minorHAnsi"/>
        </w:rPr>
        <w:t>. Specifically, the increases in HR that were seen after aHipp LY/CGP were abolished to below control levels, with the effects of aHipp LY/CGP + area 25 musbac no longer different from aHipp saline (</w:t>
      </w:r>
      <w:r w:rsidRPr="001A7586">
        <w:t>t</w:t>
      </w:r>
      <w:r w:rsidRPr="001A7586">
        <w:rPr>
          <w:vertAlign w:val="subscript"/>
        </w:rPr>
        <w:t>3</w:t>
      </w:r>
      <w:r w:rsidRPr="001A7586">
        <w:t xml:space="preserve"> = 1.8, P = </w:t>
      </w:r>
      <w:r w:rsidRPr="001A7586">
        <w:rPr>
          <w:rFonts w:cstheme="minorHAnsi"/>
        </w:rPr>
        <w:t>0.157). Similarly, the increases in VS and CSI seen after aHipp LY/CGP were returned to saline levels after aHipp LY/CGP + area 25 musbac (VS, aHipp saline vs aHipp LY/CGP + area 25 musbac</w:t>
      </w:r>
      <w:r w:rsidRPr="001A7586">
        <w:t xml:space="preserve"> t</w:t>
      </w:r>
      <w:r w:rsidRPr="001A7586">
        <w:rPr>
          <w:vertAlign w:val="subscript"/>
        </w:rPr>
        <w:t>3</w:t>
      </w:r>
      <w:r w:rsidRPr="001A7586">
        <w:t xml:space="preserve"> = 0.7, P = </w:t>
      </w:r>
      <w:r w:rsidRPr="001A7586">
        <w:rPr>
          <w:rFonts w:cstheme="minorHAnsi"/>
        </w:rPr>
        <w:t>0.49, aHipp LY/CGP vs aHipp LY/CGP + area 25 musbac</w:t>
      </w:r>
      <w:r w:rsidRPr="001A7586">
        <w:t xml:space="preserve"> t</w:t>
      </w:r>
      <w:r w:rsidRPr="001A7586">
        <w:rPr>
          <w:vertAlign w:val="subscript"/>
        </w:rPr>
        <w:t>2</w:t>
      </w:r>
      <w:r w:rsidRPr="001A7586">
        <w:t xml:space="preserve"> = 1.45, P = </w:t>
      </w:r>
      <w:r w:rsidRPr="001A7586">
        <w:rPr>
          <w:rFonts w:cstheme="minorHAnsi"/>
        </w:rPr>
        <w:t>0.285. CSI, aHipp saline vs aHipp LY/CGP + area 25 musbac</w:t>
      </w:r>
      <w:r w:rsidRPr="001A7586">
        <w:t xml:space="preserve"> t</w:t>
      </w:r>
      <w:r w:rsidRPr="001A7586">
        <w:rPr>
          <w:vertAlign w:val="subscript"/>
        </w:rPr>
        <w:t>3</w:t>
      </w:r>
      <w:r w:rsidRPr="001A7586">
        <w:t xml:space="preserve"> = 1.5, P = </w:t>
      </w:r>
      <w:r w:rsidRPr="001A7586">
        <w:rPr>
          <w:rFonts w:cstheme="minorHAnsi"/>
        </w:rPr>
        <w:t>0.21, aHipp LY/CGP vs aHipp LY/CGP + area 25 musbac</w:t>
      </w:r>
      <w:r w:rsidRPr="001A7586">
        <w:t xml:space="preserve"> t</w:t>
      </w:r>
      <w:r w:rsidRPr="001A7586">
        <w:rPr>
          <w:vertAlign w:val="subscript"/>
        </w:rPr>
        <w:t>2</w:t>
      </w:r>
      <w:r w:rsidRPr="001A7586">
        <w:t xml:space="preserve"> = 6.43, P = </w:t>
      </w:r>
      <w:r w:rsidRPr="001A7586">
        <w:rPr>
          <w:rFonts w:cstheme="minorHAnsi"/>
        </w:rPr>
        <w:t>0.02). Although numerically the combined aHipp LY/CGP +area 25 musbac did reverse the reductions in cue-directed HRV induced by aHipp LY/CGP, these did not reach significance due to high variability (aHipp saline vs aHipp LY/CGP + area 25 musbac</w:t>
      </w:r>
      <w:r w:rsidRPr="001A7586">
        <w:t xml:space="preserve"> t</w:t>
      </w:r>
      <w:r w:rsidRPr="001A7586">
        <w:rPr>
          <w:vertAlign w:val="subscript"/>
        </w:rPr>
        <w:t>2</w:t>
      </w:r>
      <w:r w:rsidRPr="001A7586">
        <w:t xml:space="preserve"> = 1.5, P = </w:t>
      </w:r>
      <w:r w:rsidRPr="001A7586">
        <w:rPr>
          <w:rFonts w:cstheme="minorHAnsi"/>
        </w:rPr>
        <w:t>0.27, aHipp LY/CGP vs aHipp LY/CGP + area 25 musbac</w:t>
      </w:r>
      <w:r w:rsidRPr="001A7586">
        <w:t xml:space="preserve"> t</w:t>
      </w:r>
      <w:r w:rsidRPr="001A7586">
        <w:rPr>
          <w:vertAlign w:val="subscript"/>
        </w:rPr>
        <w:t>2</w:t>
      </w:r>
      <w:r w:rsidRPr="001A7586">
        <w:t xml:space="preserve"> = 1.2, P = </w:t>
      </w:r>
      <w:r w:rsidRPr="001A7586">
        <w:rPr>
          <w:rFonts w:cstheme="minorHAnsi"/>
        </w:rPr>
        <w:t>0.27).</w:t>
      </w:r>
    </w:p>
    <w:p w14:paraId="0DCC92F8" w14:textId="7E889C14" w:rsidR="00183901" w:rsidRPr="001A7586" w:rsidRDefault="00183901" w:rsidP="00AF18CF">
      <w:pPr>
        <w:spacing w:after="119" w:line="480" w:lineRule="auto"/>
        <w:jc w:val="both"/>
      </w:pPr>
      <w:r w:rsidRPr="001A7586">
        <w:t>For control purposes we also investigated the effects of area 25 inactivation alone. However, in contrast to the ability of area 25 inactivation to block the enhanced responsivity induced by aHipp LY/CGP, area 25 inactivation on its own</w:t>
      </w:r>
      <w:r w:rsidR="003317AC" w:rsidRPr="001A7586">
        <w:t xml:space="preserve"> also enhanced responsivity in a similar manner to aHipp </w:t>
      </w:r>
      <w:r w:rsidR="003317AC" w:rsidRPr="001A7586">
        <w:lastRenderedPageBreak/>
        <w:t>LY/CGP</w:t>
      </w:r>
      <w:r w:rsidRPr="001A7586">
        <w:t>. Thus, compared to saline, area 25 inactivation increased measures of both cue-directed HR and VS (HR, t</w:t>
      </w:r>
      <w:r w:rsidRPr="001A7586">
        <w:rPr>
          <w:vertAlign w:val="subscript"/>
        </w:rPr>
        <w:t>3</w:t>
      </w:r>
      <w:r w:rsidRPr="001A7586">
        <w:t xml:space="preserve"> = 4.03, P = </w:t>
      </w:r>
      <w:r w:rsidRPr="001A7586">
        <w:rPr>
          <w:rFonts w:cstheme="minorHAnsi"/>
        </w:rPr>
        <w:t xml:space="preserve">0.027; VS, </w:t>
      </w:r>
      <w:r w:rsidRPr="001A7586">
        <w:t>t</w:t>
      </w:r>
      <w:r w:rsidRPr="001A7586">
        <w:rPr>
          <w:vertAlign w:val="subscript"/>
        </w:rPr>
        <w:t>3</w:t>
      </w:r>
      <w:r w:rsidRPr="001A7586">
        <w:t xml:space="preserve"> = 4.03, P = </w:t>
      </w:r>
      <w:r w:rsidRPr="001A7586">
        <w:rPr>
          <w:rFonts w:cstheme="minorHAnsi"/>
        </w:rPr>
        <w:t xml:space="preserve">0.027; see Figure 4b). HRV, CSI and CVI were not affected by area 25 inactivation (ts &lt; 1, NS). As these HR and VS findings are very similar to those seen after aHipp LY/CGP, the fact that both measures do not differ from saline after the combined aHipp LY/CGP + area 25 musbac infusions indicates that the combined manipulation not only abolishes the independent effects of aHipp LY/CGP manipulations alone, but also abolishes the effects of 25 inactivation alone. This indicates reciprocal communication between these structures in the </w:t>
      </w:r>
      <w:r w:rsidR="00D71B0B" w:rsidRPr="001A7586">
        <w:rPr>
          <w:rFonts w:cstheme="minorHAnsi"/>
        </w:rPr>
        <w:t>behavior</w:t>
      </w:r>
      <w:r w:rsidRPr="001A7586">
        <w:rPr>
          <w:rFonts w:cstheme="minorHAnsi"/>
        </w:rPr>
        <w:t>al and cardiovascular regulation of high-trait anxiety.</w:t>
      </w:r>
    </w:p>
    <w:p w14:paraId="7C2EDE6D" w14:textId="669EBEB4" w:rsidR="00183901" w:rsidRPr="001A7586" w:rsidRDefault="00183901" w:rsidP="00AF18CF">
      <w:pPr>
        <w:spacing w:after="119" w:line="480" w:lineRule="auto"/>
        <w:jc w:val="both"/>
        <w:rPr>
          <w:rFonts w:cstheme="minorHAnsi"/>
        </w:rPr>
      </w:pPr>
      <w:r w:rsidRPr="001A7586">
        <w:rPr>
          <w:rFonts w:cstheme="minorHAnsi"/>
        </w:rPr>
        <w:t xml:space="preserve">Area 25 activity is therefore an important determinant of aHipp LY/CGP’s ability to alter the </w:t>
      </w:r>
      <w:r w:rsidR="00D71B0B" w:rsidRPr="001A7586">
        <w:rPr>
          <w:rFonts w:cstheme="minorHAnsi"/>
        </w:rPr>
        <w:t>behavior</w:t>
      </w:r>
      <w:r w:rsidRPr="001A7586">
        <w:rPr>
          <w:rFonts w:cstheme="minorHAnsi"/>
        </w:rPr>
        <w:t>al and cardiovascular indices of high-trait anxiety in response to an ambiguous cue, and highlights the importance of reciprocal aHipp-area 25 connectivity in this phenotype.</w:t>
      </w:r>
    </w:p>
    <w:p w14:paraId="2D17ED7D" w14:textId="77777777" w:rsidR="00183901" w:rsidRPr="001A7586" w:rsidRDefault="00183901" w:rsidP="00AF18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bCs/>
        </w:rPr>
      </w:pPr>
    </w:p>
    <w:p w14:paraId="09FEB1D9" w14:textId="265AE62C" w:rsidR="00183901" w:rsidRPr="001A7586" w:rsidRDefault="00183901" w:rsidP="00AF18CF">
      <w:pPr>
        <w:pStyle w:val="Default"/>
        <w:spacing w:line="480" w:lineRule="auto"/>
        <w:rPr>
          <w:rFonts w:asciiTheme="minorHAnsi" w:hAnsiTheme="minorHAnsi" w:cstheme="minorBidi"/>
          <w:b/>
          <w:bCs/>
          <w:color w:val="auto"/>
          <w:sz w:val="22"/>
          <w:szCs w:val="22"/>
        </w:rPr>
      </w:pPr>
      <w:r w:rsidRPr="001A7586">
        <w:rPr>
          <w:rFonts w:asciiTheme="minorHAnsi" w:hAnsiTheme="minorHAnsi" w:cstheme="minorBidi"/>
          <w:b/>
          <w:bCs/>
          <w:color w:val="auto"/>
          <w:sz w:val="22"/>
          <w:szCs w:val="22"/>
        </w:rPr>
        <w:t>Inactivation of area 32 d</w:t>
      </w:r>
      <w:r w:rsidR="00BF4D98" w:rsidRPr="001A7586">
        <w:rPr>
          <w:rFonts w:asciiTheme="minorHAnsi" w:hAnsiTheme="minorHAnsi" w:cstheme="minorBidi"/>
          <w:b/>
          <w:bCs/>
          <w:color w:val="auto"/>
          <w:sz w:val="22"/>
          <w:szCs w:val="22"/>
        </w:rPr>
        <w:t>id</w:t>
      </w:r>
      <w:r w:rsidRPr="001A7586">
        <w:rPr>
          <w:rFonts w:asciiTheme="minorHAnsi" w:hAnsiTheme="minorHAnsi" w:cstheme="minorBidi"/>
          <w:b/>
          <w:bCs/>
          <w:color w:val="auto"/>
          <w:sz w:val="22"/>
          <w:szCs w:val="22"/>
        </w:rPr>
        <w:t xml:space="preserve"> not alter the effects of aHipp LY/CGP. </w:t>
      </w:r>
    </w:p>
    <w:p w14:paraId="3AE5D580" w14:textId="083CE8D3" w:rsidR="00166561" w:rsidRPr="001A7586" w:rsidRDefault="00183901" w:rsidP="00AF18CF">
      <w:pPr>
        <w:spacing w:after="119" w:line="480" w:lineRule="auto"/>
        <w:jc w:val="both"/>
        <w:rPr>
          <w:rFonts w:cstheme="minorHAnsi"/>
        </w:rPr>
      </w:pPr>
      <w:r w:rsidRPr="001A7586">
        <w:t>In order to determine the contribution of aHipp-area 32 circuitry to the effects of aHipp LY/CGP, we also combined aHipp LY/CGP infusions with simult</w:t>
      </w:r>
      <w:r w:rsidR="00A17AF7" w:rsidRPr="001A7586">
        <w:t xml:space="preserve">aneous inactivation of area 32. </w:t>
      </w:r>
      <w:r w:rsidR="003317AC" w:rsidRPr="001A7586">
        <w:t xml:space="preserve">However, unlike area 25, </w:t>
      </w:r>
      <w:r w:rsidR="003317AC" w:rsidRPr="001A7586">
        <w:rPr>
          <w:bCs/>
        </w:rPr>
        <w:t>a</w:t>
      </w:r>
      <w:r w:rsidRPr="001A7586">
        <w:rPr>
          <w:bCs/>
        </w:rPr>
        <w:t xml:space="preserve">rea 32 inactivation did not modulate the effects of aHipp </w:t>
      </w:r>
      <w:r w:rsidR="00166561" w:rsidRPr="001A7586">
        <w:rPr>
          <w:bCs/>
        </w:rPr>
        <w:t xml:space="preserve">LY/CGP. Thus </w:t>
      </w:r>
      <w:r w:rsidR="00166561" w:rsidRPr="001A7586">
        <w:rPr>
          <w:rFonts w:cstheme="minorHAnsi"/>
        </w:rPr>
        <w:t>repeated measures ANOVA of the area 32 manipulations with factors of manipulation (32 musbac, aHipp saline, aHipp LY/CGP, and aHipp LY/CGP + 32 musbac) and cue number (1-12)</w:t>
      </w:r>
      <w:r w:rsidR="00166561" w:rsidRPr="001A7586" w:rsidDel="00E50D88">
        <w:rPr>
          <w:bCs/>
        </w:rPr>
        <w:t xml:space="preserve"> </w:t>
      </w:r>
      <w:r w:rsidR="00166561" w:rsidRPr="001A7586">
        <w:rPr>
          <w:bCs/>
        </w:rPr>
        <w:t>revealed no main effects of manipulation</w:t>
      </w:r>
      <w:r w:rsidR="00166561" w:rsidRPr="001A7586">
        <w:rPr>
          <w:bCs/>
          <w:vertAlign w:val="subscript"/>
        </w:rPr>
        <w:t>4</w:t>
      </w:r>
      <w:r w:rsidR="00166561" w:rsidRPr="001A7586">
        <w:rPr>
          <w:bCs/>
        </w:rPr>
        <w:t xml:space="preserve"> on </w:t>
      </w:r>
      <w:r w:rsidR="00166561" w:rsidRPr="001A7586">
        <w:rPr>
          <w:rFonts w:cstheme="minorHAnsi"/>
        </w:rPr>
        <w:t>cue-directed HRV or CVI (HRV, F</w:t>
      </w:r>
      <w:r w:rsidR="00166561" w:rsidRPr="001A7586">
        <w:rPr>
          <w:rFonts w:cstheme="minorHAnsi"/>
          <w:vertAlign w:val="subscript"/>
        </w:rPr>
        <w:t>3,180</w:t>
      </w:r>
      <w:r w:rsidR="00166561" w:rsidRPr="001A7586">
        <w:rPr>
          <w:rFonts w:cstheme="minorHAnsi"/>
        </w:rPr>
        <w:t xml:space="preserve"> = 1.6, P = 0.18; CVI, F</w:t>
      </w:r>
      <w:r w:rsidR="00166561" w:rsidRPr="001A7586">
        <w:rPr>
          <w:rFonts w:cstheme="minorHAnsi"/>
          <w:vertAlign w:val="subscript"/>
        </w:rPr>
        <w:t>3,179.3</w:t>
      </w:r>
      <w:r w:rsidR="00166561" w:rsidRPr="001A7586">
        <w:rPr>
          <w:rFonts w:cstheme="minorHAnsi"/>
        </w:rPr>
        <w:t xml:space="preserve"> = 0.7, P = 0.55).  Although similar analysis did reveal </w:t>
      </w:r>
      <w:r w:rsidR="00166561" w:rsidRPr="001A7586">
        <w:rPr>
          <w:bCs/>
        </w:rPr>
        <w:t xml:space="preserve">main effects of manipulation on both cue-directed HR and cue-directed VS, (HR, </w:t>
      </w:r>
      <w:r w:rsidR="00166561" w:rsidRPr="001A7586">
        <w:t>F</w:t>
      </w:r>
      <w:r w:rsidR="00166561" w:rsidRPr="001A7586">
        <w:rPr>
          <w:vertAlign w:val="subscript"/>
        </w:rPr>
        <w:t>3,190.97</w:t>
      </w:r>
      <w:r w:rsidR="00166561" w:rsidRPr="001A7586">
        <w:t xml:space="preserve"> = 4.1, P = </w:t>
      </w:r>
      <w:r w:rsidR="00166561" w:rsidRPr="001A7586">
        <w:rPr>
          <w:rFonts w:cstheme="minorHAnsi"/>
        </w:rPr>
        <w:t xml:space="preserve">0.007; VS, </w:t>
      </w:r>
      <w:r w:rsidR="00166561" w:rsidRPr="001A7586">
        <w:t>F</w:t>
      </w:r>
      <w:r w:rsidR="00166561" w:rsidRPr="001A7586">
        <w:rPr>
          <w:vertAlign w:val="subscript"/>
        </w:rPr>
        <w:t>3,189.4</w:t>
      </w:r>
      <w:r w:rsidR="00166561" w:rsidRPr="001A7586">
        <w:t xml:space="preserve"> = 4.36, P = </w:t>
      </w:r>
      <w:r w:rsidR="00166561" w:rsidRPr="001A7586">
        <w:rPr>
          <w:rFonts w:cstheme="minorHAnsi"/>
        </w:rPr>
        <w:t>0.005), and CSI approaching significance (F</w:t>
      </w:r>
      <w:r w:rsidR="00166561" w:rsidRPr="001A7586">
        <w:rPr>
          <w:rFonts w:cstheme="minorHAnsi"/>
          <w:vertAlign w:val="subscript"/>
        </w:rPr>
        <w:t>3,175.7</w:t>
      </w:r>
      <w:r w:rsidR="00166561" w:rsidRPr="001A7586">
        <w:rPr>
          <w:rFonts w:cstheme="minorHAnsi"/>
        </w:rPr>
        <w:t xml:space="preserve"> = 1.6, P = 0.055), </w:t>
      </w:r>
      <w:r w:rsidRPr="001A7586">
        <w:rPr>
          <w:rFonts w:cstheme="minorHAnsi"/>
        </w:rPr>
        <w:t>these effects were not due to a modulatory role of area 32</w:t>
      </w:r>
      <w:r w:rsidR="003E1B27" w:rsidRPr="001A7586">
        <w:rPr>
          <w:rFonts w:cstheme="minorHAnsi"/>
        </w:rPr>
        <w:t>, but</w:t>
      </w:r>
      <w:r w:rsidRPr="001A7586">
        <w:rPr>
          <w:rFonts w:cstheme="minorHAnsi"/>
        </w:rPr>
        <w:t xml:space="preserve"> were due to the effects of aHipp LY/CGP alone, and not to the effects of </w:t>
      </w:r>
      <w:r w:rsidRPr="001A7586">
        <w:rPr>
          <w:bCs/>
        </w:rPr>
        <w:t>simultaneous aHipp LY/CGP + area 32 inactivation</w:t>
      </w:r>
      <w:r w:rsidRPr="001A7586">
        <w:rPr>
          <w:rFonts w:cstheme="minorHAnsi"/>
        </w:rPr>
        <w:t xml:space="preserve">. </w:t>
      </w:r>
    </w:p>
    <w:p w14:paraId="438D9D90" w14:textId="6B38420A" w:rsidR="000E37FF" w:rsidRPr="001A7586" w:rsidRDefault="00183901" w:rsidP="00AF18CF">
      <w:pPr>
        <w:spacing w:after="119" w:line="480" w:lineRule="auto"/>
        <w:jc w:val="both"/>
      </w:pPr>
      <w:r w:rsidRPr="001A7586">
        <w:rPr>
          <w:rFonts w:cstheme="minorHAnsi"/>
        </w:rPr>
        <w:lastRenderedPageBreak/>
        <w:t xml:space="preserve">Thus, although </w:t>
      </w:r>
      <w:r w:rsidRPr="001A7586">
        <w:rPr>
          <w:bCs/>
        </w:rPr>
        <w:t>aHipp LY/CGP + area 32 inactivation did</w:t>
      </w:r>
      <w:r w:rsidR="00A17AF7" w:rsidRPr="001A7586">
        <w:rPr>
          <w:bCs/>
        </w:rPr>
        <w:t xml:space="preserve"> slightly</w:t>
      </w:r>
      <w:r w:rsidRPr="001A7586">
        <w:rPr>
          <w:bCs/>
        </w:rPr>
        <w:t xml:space="preserve"> reduce the increases in cue-directed HR seen with aHipp LY/CGP alone, this effect was not significant (</w:t>
      </w:r>
      <w:r w:rsidRPr="001A7586">
        <w:rPr>
          <w:rFonts w:cstheme="minorHAnsi"/>
        </w:rPr>
        <w:t xml:space="preserve">aHipp LY/CGP vs aHipp LY/CGP + area 32 musbac, </w:t>
      </w:r>
      <w:r w:rsidRPr="001A7586">
        <w:t>t</w:t>
      </w:r>
      <w:r w:rsidRPr="001A7586">
        <w:rPr>
          <w:vertAlign w:val="subscript"/>
        </w:rPr>
        <w:t>3</w:t>
      </w:r>
      <w:r w:rsidRPr="001A7586">
        <w:t xml:space="preserve"> = 1.4, P = </w:t>
      </w:r>
      <w:r w:rsidRPr="001A7586">
        <w:rPr>
          <w:rFonts w:cstheme="minorHAnsi"/>
        </w:rPr>
        <w:t>0.234, see Figure 4c)</w:t>
      </w:r>
      <w:r w:rsidRPr="001A7586">
        <w:rPr>
          <w:bCs/>
        </w:rPr>
        <w:t xml:space="preserve">. </w:t>
      </w:r>
      <w:r w:rsidRPr="001A7586">
        <w:rPr>
          <w:rFonts w:cstheme="minorHAnsi"/>
        </w:rPr>
        <w:t xml:space="preserve">Similarly, aHipp LY/CGP + area 32 musbac did not alter the effect of aHipp LY/CGP on cue-directed VS (t&lt; 1, NS, aHipp saline vs area 32 musbac, t&lt; 1, NS; aHipp LY/CGP vs aHipp LY/CGP + area 32 musbac, </w:t>
      </w:r>
      <w:r w:rsidRPr="001A7586">
        <w:t>t</w:t>
      </w:r>
      <w:r w:rsidRPr="001A7586">
        <w:rPr>
          <w:vertAlign w:val="subscript"/>
        </w:rPr>
        <w:t>3</w:t>
      </w:r>
      <w:r w:rsidRPr="001A7586">
        <w:t xml:space="preserve"> = 1.53, P = </w:t>
      </w:r>
      <w:r w:rsidRPr="001A7586">
        <w:rPr>
          <w:rFonts w:cstheme="minorHAnsi"/>
        </w:rPr>
        <w:t>0.223), CSI (aHipp saline vs area 32 musbac, t&lt;1, NS; or aHipp LY/CGP vs aHipp LY/CGP +area 32 musbac, t</w:t>
      </w:r>
      <w:r w:rsidRPr="001A7586">
        <w:rPr>
          <w:rFonts w:cstheme="minorHAnsi"/>
          <w:vertAlign w:val="subscript"/>
        </w:rPr>
        <w:t>2</w:t>
      </w:r>
      <w:r w:rsidRPr="001A7586">
        <w:rPr>
          <w:rFonts w:cstheme="minorHAnsi"/>
        </w:rPr>
        <w:t xml:space="preserve"> = 1.89, P = 0.199) or CVI (aHipp saline vs area 32 musbac, t&lt;</w:t>
      </w:r>
      <w:r w:rsidRPr="001A7586">
        <w:rPr>
          <w:rFonts w:cstheme="minorHAnsi"/>
          <w:vertAlign w:val="subscript"/>
        </w:rPr>
        <w:t xml:space="preserve"> </w:t>
      </w:r>
      <w:r w:rsidRPr="001A7586">
        <w:rPr>
          <w:rFonts w:cstheme="minorHAnsi"/>
        </w:rPr>
        <w:t>1, NS, aHipp LY/CGP vs aHipp LY/CGP +area 32 musbac, t&lt;</w:t>
      </w:r>
      <w:r w:rsidRPr="001A7586">
        <w:rPr>
          <w:rFonts w:cstheme="minorHAnsi"/>
          <w:vertAlign w:val="subscript"/>
        </w:rPr>
        <w:t xml:space="preserve"> </w:t>
      </w:r>
      <w:r w:rsidRPr="001A7586">
        <w:rPr>
          <w:rFonts w:cstheme="minorHAnsi"/>
        </w:rPr>
        <w:t xml:space="preserve">1, NS). Control inactivations of area 32 alone revealed </w:t>
      </w:r>
      <w:r w:rsidRPr="001A7586">
        <w:rPr>
          <w:bCs/>
        </w:rPr>
        <w:t xml:space="preserve">no effects on cue-directed HR, VS, CSI (all ts&lt; 1, NS), HRV or CVI (ts&gt;1, NS). Thus activity within area 32 does not impact on the ability of aHipp LY/CGP to increase the </w:t>
      </w:r>
      <w:r w:rsidR="00D71B0B" w:rsidRPr="001A7586">
        <w:rPr>
          <w:rFonts w:cstheme="minorHAnsi"/>
        </w:rPr>
        <w:t>behavior</w:t>
      </w:r>
      <w:r w:rsidRPr="001A7586">
        <w:rPr>
          <w:rFonts w:cstheme="minorHAnsi"/>
        </w:rPr>
        <w:t>al and cardiovascular indices of high-trait anxiety in response to an ambiguous cue.</w:t>
      </w:r>
      <w:r w:rsidRPr="001A7586" w:rsidDel="00B3521C">
        <w:rPr>
          <w:bCs/>
        </w:rPr>
        <w:t xml:space="preserve"> </w:t>
      </w:r>
    </w:p>
    <w:p w14:paraId="11924C9F" w14:textId="77777777" w:rsidR="003D0FEC" w:rsidRPr="001A7586" w:rsidRDefault="003D0FEC" w:rsidP="00AF18CF">
      <w:pPr>
        <w:spacing w:after="119" w:line="480" w:lineRule="auto"/>
        <w:jc w:val="both"/>
        <w:rPr>
          <w:b/>
          <w:bCs/>
        </w:rPr>
      </w:pPr>
    </w:p>
    <w:p w14:paraId="3C9D0F8B" w14:textId="77777777" w:rsidR="009E47DF" w:rsidRPr="001A7586" w:rsidRDefault="00D170F1" w:rsidP="00AF18CF">
      <w:pPr>
        <w:spacing w:after="119" w:line="480" w:lineRule="auto"/>
        <w:jc w:val="both"/>
        <w:rPr>
          <w:b/>
          <w:bCs/>
        </w:rPr>
      </w:pPr>
      <w:r w:rsidRPr="001A7586">
        <w:rPr>
          <w:b/>
          <w:bCs/>
        </w:rPr>
        <w:t>Discussion</w:t>
      </w:r>
    </w:p>
    <w:p w14:paraId="651F8569" w14:textId="2DE0952C" w:rsidR="003573A5" w:rsidRPr="001A7586" w:rsidRDefault="002A147A" w:rsidP="00AF18CF">
      <w:pPr>
        <w:spacing w:after="119" w:line="480" w:lineRule="auto"/>
        <w:jc w:val="both"/>
        <w:rPr>
          <w:bCs/>
        </w:rPr>
      </w:pPr>
      <w:r w:rsidRPr="001A7586">
        <w:rPr>
          <w:bCs/>
        </w:rPr>
        <w:t>We have demonstrated that high-trait anxiety</w:t>
      </w:r>
      <w:r w:rsidR="00B52138" w:rsidRPr="001A7586">
        <w:rPr>
          <w:bCs/>
        </w:rPr>
        <w:t xml:space="preserve"> in marmosets is correlated with </w:t>
      </w:r>
      <w:r w:rsidR="00AD1F78" w:rsidRPr="001A7586">
        <w:rPr>
          <w:bCs/>
        </w:rPr>
        <w:t xml:space="preserve">right, but not left </w:t>
      </w:r>
      <w:r w:rsidR="00B52138" w:rsidRPr="001A7586">
        <w:rPr>
          <w:bCs/>
        </w:rPr>
        <w:t xml:space="preserve">aHipp glutamate levels, with </w:t>
      </w:r>
      <w:r w:rsidR="008049E5" w:rsidRPr="001A7586">
        <w:rPr>
          <w:bCs/>
        </w:rPr>
        <w:t>reduced</w:t>
      </w:r>
      <w:r w:rsidR="00B52138" w:rsidRPr="001A7586">
        <w:rPr>
          <w:bCs/>
        </w:rPr>
        <w:t xml:space="preserve"> presynaptic glutamate in the </w:t>
      </w:r>
      <w:r w:rsidR="00AD1F78" w:rsidRPr="001A7586">
        <w:rPr>
          <w:bCs/>
        </w:rPr>
        <w:t xml:space="preserve">right </w:t>
      </w:r>
      <w:r w:rsidR="00B52138" w:rsidRPr="001A7586">
        <w:rPr>
          <w:bCs/>
        </w:rPr>
        <w:t xml:space="preserve">aHipp </w:t>
      </w:r>
      <w:r w:rsidR="008049E5" w:rsidRPr="001A7586">
        <w:rPr>
          <w:bCs/>
        </w:rPr>
        <w:t>associated</w:t>
      </w:r>
      <w:r w:rsidR="00B52138" w:rsidRPr="001A7586">
        <w:rPr>
          <w:bCs/>
        </w:rPr>
        <w:t xml:space="preserve"> with </w:t>
      </w:r>
      <w:r w:rsidR="008049E5" w:rsidRPr="001A7586">
        <w:rPr>
          <w:bCs/>
        </w:rPr>
        <w:t>increased</w:t>
      </w:r>
      <w:r w:rsidRPr="001A7586">
        <w:rPr>
          <w:bCs/>
        </w:rPr>
        <w:t xml:space="preserve"> anxiety. P</w:t>
      </w:r>
      <w:r w:rsidR="00B52138" w:rsidRPr="001A7586">
        <w:rPr>
          <w:bCs/>
        </w:rPr>
        <w:t xml:space="preserve">harmacologically elevating aHipp presynaptic glutamate release with aHipp LY/CGP in a cohort of high-trait anxious marmosets </w:t>
      </w:r>
      <w:r w:rsidRPr="001A7586">
        <w:rPr>
          <w:bCs/>
        </w:rPr>
        <w:t xml:space="preserve">reduced their </w:t>
      </w:r>
      <w:r w:rsidR="00D71B0B" w:rsidRPr="001A7586">
        <w:rPr>
          <w:bCs/>
        </w:rPr>
        <w:t>behavior</w:t>
      </w:r>
      <w:r w:rsidR="00CE1581" w:rsidRPr="001A7586">
        <w:rPr>
          <w:bCs/>
        </w:rPr>
        <w:t xml:space="preserve">al measures of anxiety in response to an unknown </w:t>
      </w:r>
      <w:r w:rsidR="00B52138" w:rsidRPr="001A7586">
        <w:rPr>
          <w:bCs/>
        </w:rPr>
        <w:t xml:space="preserve">human. </w:t>
      </w:r>
      <w:r w:rsidR="0046696D" w:rsidRPr="001A7586">
        <w:rPr>
          <w:bCs/>
        </w:rPr>
        <w:t>G</w:t>
      </w:r>
      <w:r w:rsidR="00E442F5" w:rsidRPr="001A7586">
        <w:rPr>
          <w:bCs/>
        </w:rPr>
        <w:t xml:space="preserve">lutamatergic </w:t>
      </w:r>
      <w:r w:rsidR="00B52138" w:rsidRPr="001A7586">
        <w:rPr>
          <w:bCs/>
        </w:rPr>
        <w:t>elevations</w:t>
      </w:r>
      <w:r w:rsidR="001F7729" w:rsidRPr="001A7586">
        <w:rPr>
          <w:bCs/>
        </w:rPr>
        <w:t xml:space="preserve"> </w:t>
      </w:r>
      <w:r w:rsidR="00B52138" w:rsidRPr="001A7586">
        <w:rPr>
          <w:bCs/>
        </w:rPr>
        <w:t>also</w:t>
      </w:r>
      <w:r w:rsidR="001F7729" w:rsidRPr="001A7586">
        <w:rPr>
          <w:bCs/>
        </w:rPr>
        <w:t xml:space="preserve"> increased the responsivity of the previously unresponsive</w:t>
      </w:r>
      <w:r w:rsidR="00B52138" w:rsidRPr="001A7586">
        <w:rPr>
          <w:bCs/>
        </w:rPr>
        <w:t xml:space="preserve"> cardiovascular system</w:t>
      </w:r>
      <w:r w:rsidR="001F7729" w:rsidRPr="001A7586">
        <w:rPr>
          <w:bCs/>
        </w:rPr>
        <w:t>s</w:t>
      </w:r>
      <w:r w:rsidRPr="001A7586">
        <w:rPr>
          <w:bCs/>
        </w:rPr>
        <w:t xml:space="preserve"> of these high-</w:t>
      </w:r>
      <w:r w:rsidR="00B52138" w:rsidRPr="001A7586">
        <w:rPr>
          <w:bCs/>
        </w:rPr>
        <w:t>trait anxious animals to unpredictable threat cues</w:t>
      </w:r>
      <w:r w:rsidR="00416910" w:rsidRPr="001A7586">
        <w:rPr>
          <w:bCs/>
        </w:rPr>
        <w:t>,</w:t>
      </w:r>
      <w:r w:rsidR="00B52138" w:rsidRPr="001A7586">
        <w:rPr>
          <w:bCs/>
        </w:rPr>
        <w:t xml:space="preserve"> and </w:t>
      </w:r>
      <w:r w:rsidR="00FA57A1" w:rsidRPr="001A7586">
        <w:rPr>
          <w:bCs/>
        </w:rPr>
        <w:t>simultaneously</w:t>
      </w:r>
      <w:r w:rsidR="00B52138" w:rsidRPr="001A7586">
        <w:rPr>
          <w:bCs/>
        </w:rPr>
        <w:t xml:space="preserve"> increased their vigilant scanning responses to the same cues. Investigation into the specific pathways</w:t>
      </w:r>
      <w:r w:rsidR="00990FCC" w:rsidRPr="001A7586">
        <w:rPr>
          <w:bCs/>
        </w:rPr>
        <w:t xml:space="preserve"> between the aHipp and m</w:t>
      </w:r>
      <w:r w:rsidR="00B52138" w:rsidRPr="001A7586">
        <w:rPr>
          <w:bCs/>
        </w:rPr>
        <w:t xml:space="preserve">PFC that may underlie these </w:t>
      </w:r>
      <w:r w:rsidR="00807D26" w:rsidRPr="001A7586">
        <w:rPr>
          <w:bCs/>
        </w:rPr>
        <w:t xml:space="preserve">cardiovascular and </w:t>
      </w:r>
      <w:r w:rsidR="00D71B0B" w:rsidRPr="001A7586">
        <w:rPr>
          <w:bCs/>
        </w:rPr>
        <w:t>behavior</w:t>
      </w:r>
      <w:r w:rsidR="00807D26" w:rsidRPr="001A7586">
        <w:rPr>
          <w:bCs/>
        </w:rPr>
        <w:t xml:space="preserve">al </w:t>
      </w:r>
      <w:r w:rsidR="00B52138" w:rsidRPr="001A7586">
        <w:rPr>
          <w:bCs/>
        </w:rPr>
        <w:t>effects</w:t>
      </w:r>
      <w:r w:rsidRPr="001A7586">
        <w:rPr>
          <w:bCs/>
        </w:rPr>
        <w:t xml:space="preserve"> in high-</w:t>
      </w:r>
      <w:r w:rsidR="001E776C" w:rsidRPr="001A7586">
        <w:rPr>
          <w:bCs/>
        </w:rPr>
        <w:t>trait anxious animals</w:t>
      </w:r>
      <w:r w:rsidR="00B52138" w:rsidRPr="001A7586">
        <w:rPr>
          <w:bCs/>
        </w:rPr>
        <w:t xml:space="preserve"> revealed that simultaneous inactivation of area 25, but not area 32</w:t>
      </w:r>
      <w:r w:rsidR="00BF4D98" w:rsidRPr="001A7586">
        <w:rPr>
          <w:bCs/>
        </w:rPr>
        <w:t>,</w:t>
      </w:r>
      <w:r w:rsidR="00B52138" w:rsidRPr="001A7586">
        <w:rPr>
          <w:bCs/>
        </w:rPr>
        <w:t xml:space="preserve"> abolished the </w:t>
      </w:r>
      <w:r w:rsidR="00990FCC" w:rsidRPr="001A7586">
        <w:rPr>
          <w:bCs/>
        </w:rPr>
        <w:t>effects of elevating aHipp</w:t>
      </w:r>
      <w:r w:rsidR="00B52138" w:rsidRPr="001A7586">
        <w:rPr>
          <w:bCs/>
        </w:rPr>
        <w:t xml:space="preserve"> glutamate. Thus, we provide causal evidence in primates to support the hypothesis that aHipp glutamatergic hypofunction contributes to specific aspects of the </w:t>
      </w:r>
      <w:r w:rsidR="00D71B0B" w:rsidRPr="001A7586">
        <w:rPr>
          <w:bCs/>
        </w:rPr>
        <w:t>behavior</w:t>
      </w:r>
      <w:r w:rsidR="00B52138" w:rsidRPr="001A7586">
        <w:rPr>
          <w:bCs/>
        </w:rPr>
        <w:t>al and autonomic correlates of high-trait anxiety via an aHipp-area 25 pathway.</w:t>
      </w:r>
    </w:p>
    <w:p w14:paraId="3AE539D8" w14:textId="1E0CC8AE" w:rsidR="00293E6B" w:rsidRPr="001A7586" w:rsidRDefault="008847AD">
      <w:pPr>
        <w:spacing w:after="119" w:line="480" w:lineRule="auto"/>
        <w:ind w:firstLine="720"/>
        <w:jc w:val="both"/>
      </w:pPr>
      <w:r w:rsidRPr="001A7586">
        <w:rPr>
          <w:bCs/>
        </w:rPr>
        <w:lastRenderedPageBreak/>
        <w:t xml:space="preserve">High-trait anxious marmosets in the current study showed </w:t>
      </w:r>
      <w:r w:rsidRPr="001A7586">
        <w:t xml:space="preserve">a marked lack of cardiovascular responsivity to a threatening cue, and similarly low levels of VS. These findings contrast with the </w:t>
      </w:r>
      <w:r w:rsidRPr="001A7586">
        <w:rPr>
          <w:bCs/>
        </w:rPr>
        <w:t>i</w:t>
      </w:r>
      <w:r w:rsidR="00F85FD7" w:rsidRPr="001A7586">
        <w:rPr>
          <w:bCs/>
        </w:rPr>
        <w:t xml:space="preserve">ncreases in HR and/or blood pressure and VS </w:t>
      </w:r>
      <w:r w:rsidRPr="001A7586">
        <w:rPr>
          <w:bCs/>
        </w:rPr>
        <w:t xml:space="preserve">that normally signal </w:t>
      </w:r>
      <w:r w:rsidR="00F85FD7" w:rsidRPr="001A7586">
        <w:rPr>
          <w:bCs/>
        </w:rPr>
        <w:t>increased fear i</w:t>
      </w:r>
      <w:r w:rsidRPr="001A7586">
        <w:rPr>
          <w:bCs/>
        </w:rPr>
        <w:t>n non-</w:t>
      </w:r>
      <w:r w:rsidR="00F85FD7" w:rsidRPr="001A7586">
        <w:rPr>
          <w:bCs/>
        </w:rPr>
        <w:t xml:space="preserve">anxious animals during aversive fear conditioning, and </w:t>
      </w:r>
      <w:r w:rsidRPr="001A7586">
        <w:rPr>
          <w:bCs/>
        </w:rPr>
        <w:t xml:space="preserve">in high-anxious marmosets responding in a similar, but less aversive, unpredictable threat paradigm </w:t>
      </w:r>
      <w:r w:rsidRPr="00E20348">
        <w:rPr>
          <w:bCs/>
        </w:rPr>
        <w:fldChar w:fldCharType="begin" w:fldLock="1"/>
      </w:r>
      <w:r w:rsidRPr="001A7586">
        <w:rPr>
          <w:bCs/>
        </w:rPr>
        <w:instrText>ADDIN CSL_CITATION {"citationItems":[{"id":"ITEM-1","itemData":{"DOI":"2010-06301-002 [pii] 10.1037/a0018868","ISBN":"1939-0084 (Electronic) 0735-7044 (Linking)","PMID":"20364879","author":[{"dropping-particle":"","family":"Mikheenko","given":"Y","non-dropping-particle":"","parse-names":false,"suffix":""},{"dropping-particle":"","family":"Man","given":"M S","non-dropping-particle":"","parse-names":false,"suffix":""},{"dropping-particle":"","family":"Braesicke","given":"K","non-dropping-particle":"","parse-names":false,"suffix":""},{"dropping-particle":"","family":"Johns","given":"M E","non-dropping-particle":"","parse-names":false,"suffix":""},{"dropping-particle":"","family":"Hill","given":"G","non-dropping-particle":"","parse-names":false,"suffix":""},{"dropping-particle":"","family":"Agustin-Pavon","given":"C","non-dropping-particle":"","parse-names":false,"suffix":""},{"dropping-particle":"","family":"Roberts","given":"A C","non-dropping-particle":"","parse-names":false,"suffix":""}],"container-title":"Behavioral Neuroscience","edition":"2010/04/07","id":"ITEM-1","issue":"2","issued":{"date-parts":[["2010"]]},"language":"eng","note":"Mikheenko, Yevheniia\nMan, Mei-See\nBraesicke, Katrin\nJohns, Moira E\nHill, Gemma\nAgustin-Pavon, Carmen\nRoberts, Angela C\nG0401411/Medical Research Council/United Kingdom\nWellcome Trust/United Kingdom\nResearch Support, Non-U.S. Gov't\nUnited States\nBehavioral neuroscience\nBehav Neurosci. 2010 Apr;124(2):192-203.","page":"192-203","title":"Autonomic, behavioral, and neural analyses of mild conditioned negative affect in marmosets","type":"article-journal","volume":"124"},"uris":["http://www.mendeley.com/documents/?uuid=6fa72097-7f6c-4013-a23d-af764fcb8ed8"]},{"id":"ITEM-2","itemData":{"DOI":"10.1073/pnas.1620115114","ISSN":"10916490","abstract":"Disorders of dysregulated negative emotion such as depression and anxiety also feature increased cardiovascular mortality and decreased heart-rate variability (HRV). These disorders are correlated with dysfunction within areas 25 and 32 of the ventromedial prefrontal cortex (vmPFC), but a causal relationship between dysregulation of these areas and such symptoms has not been demonstrated. Furthermore, cross-species translation is limited by inconsistent findings between rodent fear extinction and human neuroimaging studies of negative emotion. To reconcile these literatures, we applied an investigative approach to the brain-body interactions at the core of negative emotional dysregulation. We show that, in marmoset monkeys (a nonhuman primate that has far greater vmPFC homology to humans than rodents), areas 25 and 32 have causal yet opposing roles in regulating the cardiovascular and behavioral correlates of negative emotion. In novel Pavlovian fear conditioning and extinction paradigms, pharmacological inactivation of area 25 decreased the autonomic and behavioral correlates of negative emotion expectation, whereas inactivation of area 32 increased them via generalization. Area 25 inactivation also increased resting HRV. These findings are inconsistent with current theories of rodent/primate prefrontal functional similarity, and provide insight into the role of these brain regions in affective disorders. They demonstrate that area 32 hypoactivity causes behavioral generalization relevant to anxiety, and that area 25 is a causal node governing the emotional and cardiovascular symptomatology relevant to anxiety and depression.","author":[{"dropping-particle":"","family":"Wallis","given":"C.U.","non-dropping-particle":"","parse-names":false,"suffix":""},{"dropping-particle":"","family":"Cardinal","given":"R.N.","non-dropping-particle":"","parse-names":false,"suffix":""},{"dropping-particle":"","family":"Alexander","given":"L.","non-dropping-particle":"","parse-names":false,"suffix":""},{"dropping-particle":"","family":"Roberts","given":"A.C.","non-dropping-particle":"","parse-names":false,"suffix":""},{"dropping-particle":"","family":"Clarke","given":"H.F.","non-dropping-particle":"","parse-names":false,"suffix":""}],"container-title":"Proceedings of the National Academy of Sciences of the United States of America","id":"ITEM-2","issue":"20","issued":{"date-parts":[["2017"]]},"title":"Opposing roles of primate areas 25 and 32 and their putative rodent homologs in the regulation of negative emotion","type":"article-journal","volume":"114"},"uris":["http://www.mendeley.com/documents/?uuid=0c7170ec-f639-395d-b8c8-595fbc1b77ef"]},{"id":"ITEM-3","itemData":{"DOI":"10.3389/fnbeh.2014.00137","ISSN":"1662-5153","PMID":"24795587","abstract":"High trait anxiety is a risk factor for the development of anxiety disorders. Like the disorders themselves high trait anxiety has marked phenotypic variation at the level of symptomatology and neural circuits, suggesting that there may be different symptoms and distinct neural circuits associated with risk for these disorders. To address these issues, it is essential to develop reliable animal models of trait anxiety in a non-human primate whose brain bears structural and functional similarity to humans. The present study investigated individual variation in responsivity to fearful and anxiety provoking stimuli in the common marmoset monkey. Seven out of 27 animals failed to display discriminative, conditioned cardiovascular and behavioral responses on an auditory fear discrimination task, similar to that seen in high anxious humans and rodents. Their heightened emotionality to a rubber snake was consistent with the hypothesis that they were high in trait-like anxiety. Evidence for phenotypic variation in the high anxiety group was provided by the finding that discrimination failure was predicted early in conditioning by either hyper-vigilant scanning to the cues or a reduction in blood pressure to the context, i.e., test apparatus. Given that high trait anxiety in humans can be associated with altered prefrontal cognitive functioning and previously we implicated the marmoset anterior orbitofrontal (antOFC) and ventrolateral prefrontal cortex (vlPFC) in negative emotion regulation, we also tested the marmosets on two tests of cognitive flexibility differentially dependent on these two regions. While the high anxious group did not differ overall in their perseverative performance, the two distinct phenotypes were differentially correlated with reduced perseverative responding on the OFC- and vlPFC-dependent flexibility tests. Together, this study provides a new model of trait anxiety in marmosets amenable to analysis of phenotypic variation and neural circuitry.","author":[{"dropping-particle":"","family":"Shiba","given":"Yoshiro","non-dropping-particle":"","parse-names":false,"suffix":""},{"dropping-particle":"","family":"Santangelo","given":"Andrea M","non-dropping-particle":"","parse-names":false,"suffix":""},{"dropping-particle":"","family":"Braesicke","given":"Katrin","non-dropping-particle":"","parse-names":false,"suffix":""},{"dropping-particle":"","family":"Agustín-Pavón","given":"Carmen","non-dropping-particle":"","parse-names":false,"suffix":""},{"dropping-particle":"","family":"Cockcroft","given":"Gemma","non-dropping-particle":"","parse-names":false,"suffix":""},{"dropping-particle":"","family":"Haggard","given":"Mark","non-dropping-particle":"","parse-names":false,"suffix":""},{"dropping-particle":"","family":"Roberts","given":"Angela C","non-dropping-particle":"","parse-names":false,"suffix":""}],"container-title":"Frontiers in behavioral neuroscience","id":"ITEM-3","issued":{"date-parts":[["2014","1"]]},"page":"137","title":"Individual differences in behavioral and cardiovascular reactivity to emotive stimuli and their relationship to cognitive flexibility in a primate model of trait anxiety.","type":"article-journal","volume":"8"},"uris":["http://www.mendeley.com/documents/?uuid=94810cb1-8e65-4185-b965-d227ccc5cf9a"]}],"mendeley":{"formattedCitation":"(Mikheenko et al., 2010; Shiba et al., 2014; Wallis et al., 2017)","plainTextFormattedCitation":"(Mikheenko et al., 2010; Shiba et al., 2014; Wallis et al., 2017)","previouslyFormattedCitation":"(Mikheenko et al., 2010; Shiba et al., 2014; Wallis et al., 2017)"},"properties":{"noteIndex":0},"schema":"https://github.com/citation-style-language/schema/raw/master/csl-citation.json"}</w:instrText>
      </w:r>
      <w:r w:rsidRPr="00E20348">
        <w:rPr>
          <w:bCs/>
        </w:rPr>
        <w:fldChar w:fldCharType="separate"/>
      </w:r>
      <w:r w:rsidRPr="001A7586">
        <w:rPr>
          <w:bCs/>
          <w:noProof/>
        </w:rPr>
        <w:t>(Mikheenko et al., 2010; Shiba et al., 2014; Wallis et al., 2017)</w:t>
      </w:r>
      <w:r w:rsidRPr="00E20348">
        <w:rPr>
          <w:bCs/>
        </w:rPr>
        <w:fldChar w:fldCharType="end"/>
      </w:r>
      <w:r w:rsidRPr="001A7586">
        <w:rPr>
          <w:bCs/>
        </w:rPr>
        <w:t xml:space="preserve">. </w:t>
      </w:r>
      <w:r w:rsidR="007A5CBB" w:rsidRPr="001A7586">
        <w:rPr>
          <w:bCs/>
        </w:rPr>
        <w:t>Although</w:t>
      </w:r>
      <w:r w:rsidRPr="001A7586">
        <w:rPr>
          <w:bCs/>
        </w:rPr>
        <w:t xml:space="preserve"> one interpretation of </w:t>
      </w:r>
      <w:r w:rsidR="00FD37BB" w:rsidRPr="001A7586">
        <w:rPr>
          <w:bCs/>
        </w:rPr>
        <w:t xml:space="preserve">these findings is that </w:t>
      </w:r>
      <w:r w:rsidRPr="001A7586">
        <w:rPr>
          <w:bCs/>
        </w:rPr>
        <w:t>the paradigm was not aversive enough to cause a fear response</w:t>
      </w:r>
      <w:r w:rsidR="007A5CBB" w:rsidRPr="001A7586">
        <w:rPr>
          <w:bCs/>
        </w:rPr>
        <w:t xml:space="preserve">, this is unlikely given the known aversive impact of the noise cue used </w:t>
      </w:r>
      <w:r w:rsidR="007A5CBB" w:rsidRPr="00E20348">
        <w:rPr>
          <w:bCs/>
        </w:rPr>
        <w:fldChar w:fldCharType="begin" w:fldLock="1"/>
      </w:r>
      <w:r w:rsidR="00C6692C" w:rsidRPr="001A7586">
        <w:rPr>
          <w:bCs/>
        </w:rPr>
        <w:instrText>ADDIN CSL_CITATION {"citationItems":[{"id":"ITEM-1","itemData":{"DOI":"10.1073/pnas.1620115114","ISSN":"10916490","abstract":"Disorders of dysregulated negative emotion such as depression and anxiety also feature increased cardiovascular mortality and decreased heart-rate variability (HRV). These disorders are correlated with dysfunction within areas 25 and 32 of the ventromedial prefrontal cortex (vmPFC), but a causal relationship between dysregulation of these areas and such symptoms has not been demonstrated. Furthermore, cross-species translation is limited by inconsistent findings between rodent fear extinction and human neuroimaging studies of negative emotion. To reconcile these literatures, we applied an investigative approach to the brain-body interactions at the core of negative emotional dysregulation. We show that, in marmoset monkeys (a nonhuman primate that has far greater vmPFC homology to humans than rodents), areas 25 and 32 have causal yet opposing roles in regulating the cardiovascular and behavioral correlates of negative emotion. In novel Pavlovian fear conditioning and extinction paradigms, pharmacological inactivation of area 25 decreased the autonomic and behavioral correlates of negative emotion expectation, whereas inactivation of area 32 increased them via generalization. Area 25 inactivation also increased resting HRV. These findings are inconsistent with current theories of rodent/primate prefrontal functional similarity, and provide insight into the role of these brain regions in affective disorders. They demonstrate that area 32 hypoactivity causes behavioral generalization relevant to anxiety, and that area 25 is a causal node governing the emotional and cardiovascular symptomatology relevant to anxiety and depression.","author":[{"dropping-particle":"","family":"Wallis","given":"C.U.","non-dropping-particle":"","parse-names":false,"suffix":""},{"dropping-particle":"","family":"Cardinal","given":"R.N.","non-dropping-particle":"","parse-names":false,"suffix":""},{"dropping-particle":"","family":"Alexander","given":"L.","non-dropping-particle":"","parse-names":false,"suffix":""},{"dropping-particle":"","family":"Roberts","given":"A.C.","non-dropping-particle":"","parse-names":false,"suffix":""},{"dropping-particle":"","family":"Clarke","given":"H.F.","non-dropping-particle":"","parse-names":false,"suffix":""}],"container-title":"Proceedings of the National Academy of Sciences of the United States of America","id":"ITEM-1","issue":"20","issued":{"date-parts":[["2017"]]},"title":"Opposing roles of primate areas 25 and 32 and their putative rodent homologs in the regulation of negative emotion","type":"article-journal","volume":"114"},"prefix":"see ","uris":["http://www.mendeley.com/documents/?uuid=0c7170ec-f639-395d-b8c8-595fbc1b77ef"]}],"mendeley":{"formattedCitation":"(see Wallis et al., 2017)","plainTextFormattedCitation":"(see Wallis et al., 2017)","previouslyFormattedCitation":"(see Wallis et al., 2017)"},"properties":{"noteIndex":0},"schema":"https://github.com/citation-style-language/schema/raw/master/csl-citation.json"}</w:instrText>
      </w:r>
      <w:r w:rsidR="007A5CBB" w:rsidRPr="00E20348">
        <w:rPr>
          <w:bCs/>
        </w:rPr>
        <w:fldChar w:fldCharType="separate"/>
      </w:r>
      <w:r w:rsidR="007A5CBB" w:rsidRPr="001A7586">
        <w:rPr>
          <w:bCs/>
          <w:noProof/>
        </w:rPr>
        <w:t>(see Wallis et al., 2017)</w:t>
      </w:r>
      <w:r w:rsidR="007A5CBB" w:rsidRPr="00E20348">
        <w:rPr>
          <w:bCs/>
        </w:rPr>
        <w:fldChar w:fldCharType="end"/>
      </w:r>
      <w:r w:rsidRPr="001A7586">
        <w:rPr>
          <w:bCs/>
        </w:rPr>
        <w:t xml:space="preserve">. </w:t>
      </w:r>
      <w:r w:rsidR="007340D4" w:rsidRPr="001A7586">
        <w:t>A more likely interpretation</w:t>
      </w:r>
      <w:r w:rsidR="007340D4" w:rsidRPr="001A7586">
        <w:rPr>
          <w:bCs/>
        </w:rPr>
        <w:t xml:space="preserve"> is based on the findings in</w:t>
      </w:r>
      <w:r w:rsidR="00FD37BB" w:rsidRPr="001A7586">
        <w:rPr>
          <w:bCs/>
        </w:rPr>
        <w:t xml:space="preserve"> high-trait anxious or depressed humans</w:t>
      </w:r>
      <w:r w:rsidR="007340D4" w:rsidRPr="001A7586">
        <w:rPr>
          <w:bCs/>
        </w:rPr>
        <w:t xml:space="preserve"> </w:t>
      </w:r>
      <w:r w:rsidR="00BF4D98" w:rsidRPr="001A7586">
        <w:rPr>
          <w:bCs/>
        </w:rPr>
        <w:t xml:space="preserve">who  </w:t>
      </w:r>
      <w:r w:rsidR="00FD37BB" w:rsidRPr="001A7586">
        <w:rPr>
          <w:bCs/>
        </w:rPr>
        <w:t xml:space="preserve">show </w:t>
      </w:r>
      <w:r w:rsidR="00B70C1B" w:rsidRPr="001A7586">
        <w:rPr>
          <w:bCs/>
        </w:rPr>
        <w:t xml:space="preserve">i) </w:t>
      </w:r>
      <w:r w:rsidR="00FD37BB" w:rsidRPr="001A7586">
        <w:rPr>
          <w:bCs/>
        </w:rPr>
        <w:t>blunted cardiovascular responsivity to such stressors</w:t>
      </w:r>
      <w:r w:rsidR="00EC24C3" w:rsidRPr="001A7586">
        <w:t xml:space="preserve">, and </w:t>
      </w:r>
      <w:r w:rsidR="00B70C1B" w:rsidRPr="001A7586">
        <w:t>ii)</w:t>
      </w:r>
      <w:r w:rsidR="00C33ABB" w:rsidRPr="001A7586">
        <w:t>,</w:t>
      </w:r>
      <w:r w:rsidR="00EC24C3" w:rsidRPr="001A7586">
        <w:t xml:space="preserve"> </w:t>
      </w:r>
      <w:r w:rsidR="00EC24C3" w:rsidRPr="001A7586">
        <w:rPr>
          <w:bCs/>
        </w:rPr>
        <w:t xml:space="preserve">reduced </w:t>
      </w:r>
      <w:r w:rsidR="00D71B0B" w:rsidRPr="001A7586">
        <w:rPr>
          <w:bCs/>
        </w:rPr>
        <w:t>behavior</w:t>
      </w:r>
      <w:r w:rsidR="005D3139" w:rsidRPr="001A7586">
        <w:rPr>
          <w:bCs/>
        </w:rPr>
        <w:t xml:space="preserve">al </w:t>
      </w:r>
      <w:r w:rsidR="00EC24C3" w:rsidRPr="001A7586">
        <w:rPr>
          <w:bCs/>
        </w:rPr>
        <w:t xml:space="preserve">engagement that is most extreme in those individuals who show the greatest cardiovascular blunting </w:t>
      </w:r>
      <w:r w:rsidR="00EC24C3" w:rsidRPr="00E20348">
        <w:fldChar w:fldCharType="begin" w:fldLock="1"/>
      </w:r>
      <w:r w:rsidR="007C1DE8" w:rsidRPr="001A7586">
        <w:instrText>ADDIN CSL_CITATION {"citationItems":[{"id":"ITEM-1","itemData":{"DOI":"10.1016/J.BIOPSYCHO.2015.06.001","ISSN":"0301-0511","abstract":"Blunted cardiovascular stress reactions may be a marker for poor behavioral regulation. The present study examined the association between heart rate reactivity and perseverance, operationalized as the failure to complete a subsequent follow-up assessment. The heart rate (using electrocardiography), cardiac output (using Doppler echocardiography) and blood pressure (using a semi- automatic sphygmomanometer) of 176 high school students were measured before and during exposure to a standard 10-min mental arithmetic stress. A year later, all participants were contacted to complete a simple and undemanding on-line assessment. Despite repeated promptings, 44 failed to do so. Diminished heart rate and cardiac output stress reactions predicted failure to complete the follow-up. This result adds to the emerging characterization of those who exhibit blunted stress reactions by revealing associated deficiencies in perseverance. It may also have prognostic implications for the completion of multi-session interventions, as well as for selection bias in stress reactivity studies with follow-up designs.","author":[{"dropping-particle":"","family":"Ginty","given":"Annie T.","non-dropping-particle":"","parse-names":false,"suffix":""},{"dropping-particle":"","family":"Brindle","given":"Ryan C.","non-dropping-particle":"","parse-names":false,"suffix":""},{"dropping-particle":"","family":"Carroll","given":"Douglas","non-dropping-particle":"","parse-names":false,"suffix":""}],"container-title":"Biological Psychology","id":"ITEM-1","issued":{"date-parts":[["2015","7","1"]]},"page":"200-205","publisher":"Elsevier","title":"Cardiac stress reactions and perseverance: Diminished reactivity is associated with study non-completion","type":"article-journal","volume":"109"},"uris":["http://www.mendeley.com/documents/?uuid=4a14ec2b-7bb1-34cf-b55c-6b8122803c51"]}],"mendeley":{"formattedCitation":"(Ginty et al., 2015)","plainTextFormattedCitation":"(Ginty et al., 2015)","previouslyFormattedCitation":"(Ginty et al., 2015)"},"properties":{"noteIndex":0},"schema":"https://github.com/citation-style-language/schema/raw/master/csl-citation.json"}</w:instrText>
      </w:r>
      <w:r w:rsidR="00EC24C3" w:rsidRPr="00E20348">
        <w:fldChar w:fldCharType="separate"/>
      </w:r>
      <w:r w:rsidR="007C1DE8" w:rsidRPr="001A7586">
        <w:rPr>
          <w:noProof/>
        </w:rPr>
        <w:t>(Ginty et al., 2015)</w:t>
      </w:r>
      <w:r w:rsidR="00EC24C3" w:rsidRPr="00E20348">
        <w:fldChar w:fldCharType="end"/>
      </w:r>
      <w:r w:rsidR="00625140" w:rsidRPr="001A7586">
        <w:t>.</w:t>
      </w:r>
      <w:r w:rsidR="00FE6778" w:rsidRPr="001A7586">
        <w:t xml:space="preserve"> </w:t>
      </w:r>
      <w:r w:rsidR="007340D4" w:rsidRPr="001A7586">
        <w:t>Thus,</w:t>
      </w:r>
      <w:r w:rsidR="00FD37BB" w:rsidRPr="001A7586">
        <w:t xml:space="preserve"> the lack of cardiovascular responsivity</w:t>
      </w:r>
      <w:r w:rsidR="00EC24C3" w:rsidRPr="001A7586">
        <w:t xml:space="preserve"> </w:t>
      </w:r>
      <w:r w:rsidR="00FD37BB" w:rsidRPr="001A7586">
        <w:t xml:space="preserve">to the threatening cues in the high-trait anxious marmosets </w:t>
      </w:r>
      <w:r w:rsidR="007340D4" w:rsidRPr="001A7586">
        <w:t xml:space="preserve">may be </w:t>
      </w:r>
      <w:r w:rsidR="00FD37BB" w:rsidRPr="001A7586">
        <w:t>equivalent to the cardiovascular blunting</w:t>
      </w:r>
      <w:r w:rsidR="00EC24C3" w:rsidRPr="001A7586">
        <w:t xml:space="preserve"> seen </w:t>
      </w:r>
      <w:r w:rsidR="005D3139" w:rsidRPr="001A7586">
        <w:t xml:space="preserve">in </w:t>
      </w:r>
      <w:r w:rsidR="00A918DA" w:rsidRPr="001A7586">
        <w:t>high-</w:t>
      </w:r>
      <w:r w:rsidR="00EC24C3" w:rsidRPr="001A7586">
        <w:t>trait anxious humans</w:t>
      </w:r>
      <w:r w:rsidR="001E6BC3" w:rsidRPr="001A7586">
        <w:t>, although for confirmation a direct comparison with low anxious animals is required</w:t>
      </w:r>
      <w:r w:rsidR="00FD37BB" w:rsidRPr="001A7586">
        <w:t>.</w:t>
      </w:r>
      <w:r w:rsidR="008049E5" w:rsidRPr="001A7586">
        <w:t xml:space="preserve"> </w:t>
      </w:r>
      <w:r w:rsidR="001E6BC3" w:rsidRPr="001A7586">
        <w:t>Certainly</w:t>
      </w:r>
      <w:r w:rsidR="00BF4D98" w:rsidRPr="00E20348">
        <w:t>,</w:t>
      </w:r>
      <w:r w:rsidR="001E6BC3" w:rsidRPr="00E20348">
        <w:t xml:space="preserve"> </w:t>
      </w:r>
      <w:r w:rsidR="00BF4D98" w:rsidRPr="00E20348">
        <w:t>however</w:t>
      </w:r>
      <w:r w:rsidR="00572F1E" w:rsidRPr="00E20348">
        <w:t xml:space="preserve"> </w:t>
      </w:r>
      <w:r w:rsidR="00A8279E" w:rsidRPr="00E20348">
        <w:t xml:space="preserve">we have reported previously </w:t>
      </w:r>
      <w:r w:rsidR="00572F1E" w:rsidRPr="00E20348">
        <w:t>a reduction in blood pressure</w:t>
      </w:r>
      <w:r w:rsidR="00A8279E" w:rsidRPr="00E20348">
        <w:t>,</w:t>
      </w:r>
      <w:r w:rsidR="00572F1E" w:rsidRPr="00E20348">
        <w:t xml:space="preserve"> reminiscent of the blunted response seen here</w:t>
      </w:r>
      <w:r w:rsidR="00A8279E" w:rsidRPr="00E20348">
        <w:t>,</w:t>
      </w:r>
      <w:r w:rsidR="00572F1E" w:rsidRPr="00E20348">
        <w:t xml:space="preserve"> in a subset of high anxious marmosets following repeated exposure to aversive Pavlovian conditioned stimuli </w:t>
      </w:r>
      <w:r w:rsidR="003E1B27" w:rsidRPr="001A7586">
        <w:fldChar w:fldCharType="begin" w:fldLock="1"/>
      </w:r>
      <w:r w:rsidR="004931CC" w:rsidRPr="00E20348">
        <w:instrText>ADDIN CSL_CITATION {"citationItems":[{"id":"ITEM-1","itemData":{"DOI":"10.3389/fnbeh.2014.00137","ISSN":"1662-5153","PMID":"24795587","abstract":"High trait anxiety is a risk factor for the development of anxiety disorders. Like the disorders themselves high trait anxiety has marked phenotypic variation at the level of symptomatology and neural circuits, suggesting that there may be different symptoms and distinct neural circuits associated with risk for these disorders. To address these issues, it is essential to develop reliable animal models of trait anxiety in a non-human primate whose brain bears structural and functional similarity to humans. The present study investigated individual variation in responsivity to fearful and anxiety provoking stimuli in the common marmoset monkey. Seven out of 27 animals failed to display discriminative, conditioned cardiovascular and behavioral responses on an auditory fear discrimination task, similar to that seen in high anxious humans and rodents. Their heightened emotionality to a rubber snake was consistent with the hypothesis that they were high in trait-like anxiety. Evidence for phenotypic variation in the high anxiety group was provided by the finding that discrimination failure was predicted early in conditioning by either hyper-vigilant scanning to the cues or a reduction in blood pressure to the context, i.e., test apparatus. Given that high trait anxiety in humans can be associated with altered prefrontal cognitive functioning and previously we implicated the marmoset anterior orbitofrontal (antOFC) and ventrolateral prefrontal cortex (vlPFC) in negative emotion regulation, we also tested the marmosets on two tests of cognitive flexibility differentially dependent on these two regions. While the high anxious group did not differ overall in their perseverative performance, the two distinct phenotypes were differentially correlated with reduced perseverative responding on the OFC- and vlPFC-dependent flexibility tests. Together, this study provides a new model of trait anxiety in marmosets amenable to analysis of phenotypic variation and neural circuitry.","author":[{"dropping-particle":"","family":"Shiba","given":"Yoshiro","non-dropping-particle":"","parse-names":false,"suffix":""},{"dropping-particle":"","family":"Santangelo","given":"Andrea M","non-dropping-particle":"","parse-names":false,"suffix":""},{"dropping-particle":"","family":"Braesicke","given":"Katrin","non-dropping-particle":"","parse-names":false,"suffix":""},{"dropping-particle":"","family":"Agustín-Pavón","given":"Carmen","non-dropping-particle":"","parse-names":false,"suffix":""},{"dropping-particle":"","family":"Cockcroft","given":"Gemma","non-dropping-particle":"","parse-names":false,"suffix":""},{"dropping-particle":"","family":"Haggard","given":"Mark","non-dropping-particle":"","parse-names":false,"suffix":""},{"dropping-particle":"","family":"Roberts","given":"Angela C","non-dropping-particle":"","parse-names":false,"suffix":""}],"container-title":"Frontiers in behavioral neuroscience","id":"ITEM-1","issued":{"date-parts":[["2014","1"]]},"page":"137","title":"Individual differences in behavioral and cardiovascular reactivity to emotive stimuli and their relationship to cognitive flexibility in a primate model of trait anxiety.","type":"article-journal","volume":"8"},"uris":["http://www.mendeley.com/documents/?uuid=94810cb1-8e65-4185-b965-d227ccc5cf9a"]}],"mendeley":{"formattedCitation":"(Shiba et al., 2014)","plainTextFormattedCitation":"(Shiba et al., 2014)","previouslyFormattedCitation":"(Shiba et al., 2014)"},"properties":{"noteIndex":0},"schema":"https://github.com/citation-style-language/schema/raw/master/csl-citation.json"}</w:instrText>
      </w:r>
      <w:r w:rsidR="003E1B27" w:rsidRPr="00E20348">
        <w:fldChar w:fldCharType="separate"/>
      </w:r>
      <w:r w:rsidR="003E1B27" w:rsidRPr="00E20348">
        <w:rPr>
          <w:noProof/>
        </w:rPr>
        <w:t>(Shiba et al., 2014)</w:t>
      </w:r>
      <w:r w:rsidR="003E1B27" w:rsidRPr="00E20348">
        <w:fldChar w:fldCharType="end"/>
      </w:r>
      <w:r w:rsidR="001E6BC3" w:rsidRPr="001A7586">
        <w:t xml:space="preserve">, an effect not seen in low anxious marmosets that displayed the expected elevation in cardiovascular </w:t>
      </w:r>
      <w:r w:rsidR="001E6BC3" w:rsidRPr="00E20348">
        <w:t>activity to an aversive Pavlovian conditioned stimulus</w:t>
      </w:r>
      <w:r w:rsidR="00572F1E" w:rsidRPr="001A7586">
        <w:t xml:space="preserve">. </w:t>
      </w:r>
      <w:r w:rsidR="008E272F" w:rsidRPr="001A7586">
        <w:t>Furthermore</w:t>
      </w:r>
      <w:r w:rsidR="008049E5" w:rsidRPr="001A7586">
        <w:t>,</w:t>
      </w:r>
      <w:r w:rsidR="00ED2840" w:rsidRPr="001A7586">
        <w:t xml:space="preserve"> </w:t>
      </w:r>
      <w:r w:rsidR="00437B19" w:rsidRPr="001A7586">
        <w:t xml:space="preserve">like humans the high-trait anxious marmosets with the smallest HR changes also showed the smallest VS changes in Expt 2, thus the low levels of </w:t>
      </w:r>
      <w:r w:rsidR="00ED2840" w:rsidRPr="001A7586">
        <w:t xml:space="preserve">VS </w:t>
      </w:r>
      <w:r w:rsidR="008E272F" w:rsidRPr="001A7586">
        <w:t xml:space="preserve">seen in the present study </w:t>
      </w:r>
      <w:r w:rsidR="00ED2840" w:rsidRPr="001A7586">
        <w:t xml:space="preserve">may reflect decreased </w:t>
      </w:r>
      <w:r w:rsidR="00D71B0B" w:rsidRPr="001A7586">
        <w:t>behavior</w:t>
      </w:r>
      <w:r w:rsidR="00ED2840" w:rsidRPr="001A7586">
        <w:t>al engagement with the cue</w:t>
      </w:r>
      <w:r w:rsidR="00437B19" w:rsidRPr="001A7586">
        <w:t>.</w:t>
      </w:r>
      <w:r w:rsidR="00293E6B" w:rsidRPr="001A7586">
        <w:t xml:space="preserve"> </w:t>
      </w:r>
      <w:r w:rsidR="00446ADB" w:rsidRPr="001A7586">
        <w:t xml:space="preserve">These findings therefore </w:t>
      </w:r>
      <w:r w:rsidR="007340D4" w:rsidRPr="001A7586">
        <w:t xml:space="preserve">most likely </w:t>
      </w:r>
      <w:r w:rsidR="00446ADB" w:rsidRPr="001A7586">
        <w:t xml:space="preserve">indicate that the high-trait anxious monkeys are displaying a </w:t>
      </w:r>
      <w:r w:rsidR="00146752" w:rsidRPr="001A7586">
        <w:t xml:space="preserve">similar </w:t>
      </w:r>
      <w:r w:rsidR="007A5CBB" w:rsidRPr="001A7586">
        <w:t>blunted phenotype</w:t>
      </w:r>
      <w:r w:rsidR="00146752" w:rsidRPr="001A7586">
        <w:t xml:space="preserve"> to high-trait anxious humans</w:t>
      </w:r>
      <w:r w:rsidR="00437A65" w:rsidRPr="001A7586">
        <w:t xml:space="preserve"> and </w:t>
      </w:r>
      <w:r w:rsidR="007340D4" w:rsidRPr="001A7586">
        <w:t xml:space="preserve">that this </w:t>
      </w:r>
      <w:r w:rsidR="00437A65" w:rsidRPr="001A7586">
        <w:t xml:space="preserve">phenotype </w:t>
      </w:r>
      <w:r w:rsidR="007340D4" w:rsidRPr="001A7586">
        <w:t xml:space="preserve">is linked </w:t>
      </w:r>
      <w:r w:rsidR="00437A65" w:rsidRPr="001A7586">
        <w:t>to reduced hippocampal glutamate</w:t>
      </w:r>
      <w:r w:rsidR="001E6BC3" w:rsidRPr="001A7586">
        <w:t>.</w:t>
      </w:r>
      <w:r w:rsidR="007B0606" w:rsidRPr="001A7586">
        <w:t xml:space="preserve"> </w:t>
      </w:r>
    </w:p>
    <w:p w14:paraId="40F98FD8" w14:textId="30D29EA4" w:rsidR="003573A5" w:rsidRPr="001A7586" w:rsidRDefault="00293E6B" w:rsidP="00AF18CF">
      <w:pPr>
        <w:spacing w:after="119" w:line="480" w:lineRule="auto"/>
        <w:jc w:val="both"/>
        <w:rPr>
          <w:bCs/>
        </w:rPr>
      </w:pPr>
      <w:r w:rsidRPr="001A7586">
        <w:rPr>
          <w:bCs/>
        </w:rPr>
        <w:t xml:space="preserve">Hippocampal glutamatergic hypofunction has previously been linked to affective illness severity </w:t>
      </w:r>
      <w:r w:rsidRPr="00E20348">
        <w:rPr>
          <w:bCs/>
        </w:rPr>
        <w:fldChar w:fldCharType="begin" w:fldLock="1"/>
      </w:r>
      <w:r w:rsidRPr="001A7586">
        <w:rPr>
          <w:bCs/>
        </w:rPr>
        <w:instrText>ADDIN CSL_CITATION {"citationItems":[{"id":"ITEM-1","itemData":{"DOI":"10.1503/jpn.110185","ISSN":"1488-2434","PMID":"23425950","abstract":"BACKGROUND Smaller hippocampal volumes in major depressive disorder (MDD) have been linked with earlier onset, previous recurrences and treatment refractoriness. The aim of our study was to investigate metabolite abnormalities in the hippocampus associated with past depressive illness burden. METHODS Glutamate/glutamine (Glx), N-acetylaspartate (NAA) and choline (Cho), potential markers of glial/neuronal integrity and membrane turnover, respectively, were measured in adults with depression and healthy controls using a 3 T magnetic resonance spectroscopy scanner. Voxels were placed in the head of the right and left hippocampus. We controlled for systematic differences resulting from volume-of-interest (VOI) tissue composition and total hippocampal volume. RESULTS Our final sample comprised a total of 16 healthy controls and 52 adult patients with depression in different stages of the illness (20 treatment-resistant/chronic, 18 remitted-recurrent and 14 first-episode), comparable for age and sex distribution. Patients with treatment-resistant/chronic and remitted-recurrent depression had significantly lower levels of Glx and NAA than controls, especially in the right hippocampal region (p ≤ 0.025). Diminished levels of Glx were correlated with longer illness duration (left VOI r = -0.34, p = 0.01). By contrast, Cho levels were significantly higher in patients with treatment-resistant/chronic depression than those with first-episode depression or controls in the right and left hippocampus (up to 19% higher; all p ≤ 0.025) and were consistently related to longer illness duration (right VOI r = 0.30, p = 0.028; left VOI r = 0.38, p = 0.004) and more previous episodes (right VOI r = 0.46, p = 0.001; left VOI r = 0.44, p = 0.001). LIMITATIONS The cross-sectional design and the inclusion of treated patients are the main limitations of the study. CONCLUSION Our results support that metabolite alterations within the hippocampus are more pronounced in patients with a clinical evolution characterized by recurrences and/or chronicity and add further evidence to the potential deleterious effects of stress and depression on this region.","author":[{"dropping-particle":"","family":"Diego-Adeliño","given":"Javier","non-dropping-particle":"de","parse-names":false,"suffix":""},{"dropping-particle":"","family":"Portella","given":"Maria J","non-dropping-particle":"","parse-names":false,"suffix":""},{"dropping-particle":"","family":"Gómez-Ansón","given":"Beatriz","non-dropping-particle":"","parse-names":false,"suffix":""},{"dropping-particle":"","family":"López-Moruelo","given":"Olga","non-dropping-particle":"","parse-names":false,"suffix":""},{"dropping-particle":"","family":"Serra-Blasco","given":"Maria","non-dropping-particle":"","parse-names":false,"suffix":""},{"dropping-particle":"","family":"Vives","given":"Yolanda","non-dropping-particle":"","parse-names":false,"suffix":""},{"dropping-particle":"","family":"Puigdemont","given":"Dolors","non-dropping-particle":"","parse-names":false,"suffix":""},{"dropping-particle":"","family":"Pérez-Egea","given":"Rosario","non-dropping-particle":"","parse-names":false,"suffix":""},{"dropping-particle":"","family":"Álvarez","given":"Enric","non-dropping-particle":"","parse-names":false,"suffix":""},{"dropping-particle":"","family":"Pérez","given":"Víctor","non-dropping-particle":"","parse-names":false,"suffix":""}],"container-title":"Journal of psychiatry &amp; neuroscience : JPN","id":"ITEM-1","issue":"2","issued":{"date-parts":[["2013","3"]]},"page":"107-16","publisher":"Canadian Medical Association","title":"Hippocampal abnormalities of glutamate/glutamine, N-acetylaspartate and choline in patients with depression are related to past illness burden.","type":"article-journal","volume":"38"},"uris":["http://www.mendeley.com/documents/?uuid=206b1620-64d0-3b7d-a57d-ef6aab2d6039"]}],"mendeley":{"formattedCitation":"(de Diego-Adeliño et al., 2013)","plainTextFormattedCitation":"(de Diego-Adeliño et al., 2013)","previouslyFormattedCitation":"(de Diego-Adeliño et al., 2013)"},"properties":{"noteIndex":0},"schema":"https://github.com/citation-style-language/schema/raw/master/csl-citation.json"}</w:instrText>
      </w:r>
      <w:r w:rsidRPr="00E20348">
        <w:rPr>
          <w:bCs/>
        </w:rPr>
        <w:fldChar w:fldCharType="separate"/>
      </w:r>
      <w:r w:rsidRPr="001A7586">
        <w:rPr>
          <w:bCs/>
          <w:noProof/>
        </w:rPr>
        <w:t>(de Diego-Adeliño et al., 2013)</w:t>
      </w:r>
      <w:r w:rsidRPr="00E20348">
        <w:rPr>
          <w:bCs/>
        </w:rPr>
        <w:fldChar w:fldCharType="end"/>
      </w:r>
      <w:r w:rsidRPr="001A7586">
        <w:rPr>
          <w:bCs/>
        </w:rPr>
        <w:t>. However, despite strong evidence that a hippocampal network mediates stressor-evoked behavioral and cardiovascular activity</w:t>
      </w:r>
      <w:r w:rsidRPr="001A7586">
        <w:t>, few studies</w:t>
      </w:r>
      <w:r w:rsidRPr="001A7586">
        <w:rPr>
          <w:bCs/>
        </w:rPr>
        <w:t xml:space="preserve"> have investigated the role of the </w:t>
      </w:r>
      <w:r w:rsidRPr="001A7586">
        <w:rPr>
          <w:bCs/>
        </w:rPr>
        <w:lastRenderedPageBreak/>
        <w:t xml:space="preserve">hippocampus in cardiovascular responsivity </w:t>
      </w:r>
      <w:r w:rsidRPr="00E20348">
        <w:rPr>
          <w:bCs/>
        </w:rPr>
        <w:fldChar w:fldCharType="begin" w:fldLock="1"/>
      </w:r>
      <w:r w:rsidRPr="001A7586">
        <w:rPr>
          <w:bCs/>
        </w:rPr>
        <w:instrText>ADDIN CSL_CITATION {"citationItems":[{"id":"ITEM-1","itemData":{"DOI":"10.1113/EP085393","ISSN":"1469-445X","PMID":"26700468","abstract":"NEW FINDINGS What is the central question of this study? Does reversible synaptic inactivation by CoCl2 in the dorsal (DH) or ventral (VH) portions of the hippocampus have a modulatory effect on cardiovascular and respiratory responses evoked by chemoreflex activation in awake rats? What is the main finding and its importance? Using i.v. infusion of KCN to activate the peripheral chemoreflex before and after microinjection of CoCl2 into VH, we showed that the bradycardic response was increased, but not the pressor and tachypnoeic responses even if the tidal volume had been increased. Thus, VH but not DH may be involved in the modulation of the parasympathoexcitatory component of the peripheral chemoreflex. In rats, peripheral chemoreflex activation evokes pressor and bradycardic responses as well as a tachypnoeic response. Studies have shown that limbic structures, such as the hippocampus, can modulate autonomic reflexes. Evidence suggests that the dorsal (DH) and the ventral (VH) portions of the hippocampus are structurally and functionally distinct; therefore, in the present study we tested the hypothesis that local neurotransmission of the DH and VH are involved in the neural pathways of the cardiovascular and ventilatory responses to chemoreflex activation. Thus, the goal of the present study was to compare the chemoreflex responses elicited by i.v. injection of KCN (40 μg per rat) in awake rats before and after DH and VH synaptic transmission was temporarily inhibited by bilateral microinjections of 500 nl of the unspecific synapse blocker, CoCl2 (1  mm). Bilateral inhibition of VH, but not DH, 10 min before KCN infusion was able to enhance the bradycardic response (P &lt; 0.05), with no changes in the typical pressor and tachypnoeic responses evoked by chemoreflex activation (P &gt; 0.05). Furthermore, the tidal volume was significantly increased (P &lt; 0.05) even though no other respiratory parameter had been significantly changed (P &gt; 0.05), suggesting that VH can exert a tonic modulatory action on tidal volume. Therefore, the present study reports, for the first time, that DH neurotransmission did not exert an influence on chemoreflex responses, whereas VH mediates, at least in part, the parasympathoexcitatory component of the peripheral chemoreflex.","author":[{"dropping-particle":"","family":"Kuntze","given":"Luciana Bärg","non-dropping-particle":"","parse-names":false,"suffix":""},{"dropping-particle":"","family":"Ferreira-Junior","given":"Nilson Carlos","non-dropping-particle":"","parse-names":false,"suffix":""},{"dropping-particle":"","family":"Lagatta","given":"Davi Campos","non-dropping-particle":"","parse-names":false,"suffix":""},{"dropping-particle":"","family":"Resstel","given":"Leonardo Barbosa Moraes","non-dropping-particle":"","parse-names":false,"suffix":""}],"container-title":"Experimental physiology","id":"ITEM-1","issue":"4","issued":{"date-parts":[["2016","4","1"]]},"page":"482-93","title":"Ventral hippocampus modulates bradycardic response to peripheral chemoreflex activation in awake rats.","type":"article-journal","volume":"101"},"uris":["http://www.mendeley.com/documents/?uuid=acc1baca-c911-3940-b2c8-a60814624ab7"]},{"id":"ITEM-2","itemData":{"DOI":"10.1016/j.resp.2018.03.004","ISSN":"15699048","PMID":"29550518","abstract":"Changes in cardiorespiratory control accompany the expression of complex emotions, indicative of limbic brain inputs onto bulbar autonomic pathways. Previous studies have focussed on the role of the prefrontal cortex in autonomic regulation. However, the role of the hippocampus, also important in limbic processing, has not been addressed in detail. Anaesthetised, instrumented rats were used to map the location of hippocampal sites capable of evoking changes in cardiorespiratory control showing that stimulation of discrete regions within the CA1 fields of both the dorsal and ventral hippocampus potently alter breathing and cardiovascular activity. Additionally, tracing of the neuroanatomical tracts and pharmacological inactivation studies were used to demonstrate a role of the basomedial amygdala in hippocampal evoked responses. Collectively, these data support the existence of a hippocampal-amygdala neural circuit capable of modulating bulbar cardiorespiratory control networks and may suggest a role for this circuit in the top-down regulation of breathing and autonomic outflow necessary for the expression of complex emotions.","author":[{"dropping-particle":"","family":"Ajayi","given":"Itopa E.","non-dropping-particle":"","parse-names":false,"suffix":""},{"dropping-particle":"","family":"McGovern","given":"Alice E.","non-dropping-particle":"","parse-names":false,"suffix":""},{"dropping-particle":"","family":"Driessen","given":"Alexandria K.","non-dropping-particle":"","parse-names":false,"suffix":""},{"dropping-particle":"","family":"Kerr","given":"Nicole F.","non-dropping-particle":"","parse-names":false,"suffix":""},{"dropping-particle":"","family":"Mills","given":"Paul C.","non-dropping-particle":"","parse-names":false,"suffix":""},{"dropping-particle":"","family":"Mazzone","given":"Stuart B.","non-dropping-particle":"","parse-names":false,"suffix":""}],"container-title":"Respiratory Physiology &amp; Neurobiology","id":"ITEM-2","issued":{"date-parts":[["2018","6","14"]]},"page":"18-27","title":"Hippocampal modulation of cardiorespiratory function","type":"article-journal","volume":"252-253"},"uris":["http://www.mendeley.com/documents/?uuid=be534c60-5324-39a3-84f7-4b003a42878b"]},{"id":"ITEM-3","itemData":{"author":[{"dropping-particle":"","family":"Neafsey","given":"E J","non-dropping-particle":"","parse-names":false,"suffix":""},{"dropping-particle":"","family":"Terreberry","given":"K M","non-dropping-particle":"","parse-names":false,"suffix":""},{"dropping-particle":"","family":"Hurley","given":"K M","non-dropping-particle":"","parse-names":false,"suffix":""},{"dropping-particle":"","family":"Ruit","given":"K G","non-dropping-particle":"","parse-names":false,"suffix":""},{"dropping-particle":"","family":"Frysztak","given":"R J","non-dropping-particle":"","parse-names":false,"suffix":""}],"container-title":"Neurobiology of cingulate cortex and limbic thalamus: a comprehensive handbook","editor":[{"dropping-particle":"","family":"Vogt","given":"B A","non-dropping-particle":"","parse-names":false,"suffix":""},{"dropping-particle":"","family":"Gabriel","given":"M","non-dropping-particle":"","parse-names":false,"suffix":""}],"id":"ITEM-3","issued":{"date-parts":[["1993"]]},"note":"ISBNs: 0817635688  / 3764335688","page":"206-233","publisher":"Birkhäuser","publisher-place":"Boston, Massachusetts","title":"Anterior cingulate cortex in rodents: connections, visceral control functions, and implications for emotion","type":"chapter"},"uris":["http://www.mendeley.com/documents/?uuid=d29609dd-7387-4f92-b780-45e5dea642b6"]},{"id":"ITEM-4","itemData":{"DOI":"10.3389/fnins.2016.00145","ISSN":"1662-4548","PMID":"27092046","abstract":"Regular physical exercise leads to increased vagal modulation of the cardiovascular system. A combination of peripheral and central processes has been proposed to underlie this adaptation. However, specific changes in the central autonomic network have not been described in human in more detail. We hypothesized that the anterior hippocampus known to be influenced by regular physical activity might be involved in the development of increased vagal modulation after a 6 weeks high intensity intervention in young healthy men (exercise group: n = 17, control group: n = 17). In addition to the determination of physical capacity before and after the intervention, we used resting state functional magnetic resonance imaging and simultaneous heart rate variability assessment. We detected a significant increase of the power output at the anaerobic threshold of 11.4% (p &lt; 0.001), the maximum power output Pmax of 11.2% (p &lt; 0.001), and VO2max adjusted for body weight of 4.7% (p &lt; 0.001) in the exercise group (EG). Comparing baseline (T0) and post-exercise (T1) values of parasympathetic modulation of the exercise group, we observed a trend for a decrease in heart rate (p &lt; 0.06) and a significant increase of vagal modulation as indicated by RMSSD (p &lt; 0.026) during resting state. In the whole brain analysis, we found that the connectivity pattern of the right anterior hippocampus (aHC) was specifically altered to the ventromedial anterior cortex, the dorsal striatum and to the dorsal vagal complex (DVC) in the brainstem. Moreover, we observed a highly significant negative correlation between increased RMSSD after exercise and decreased functional connectivity from the right aHC to DVC (r = -0.69, p = 0.003). This indicates that increased vagal modulation was associated with functional connectivity between aHC and the DVC. In conclusion, our findings suggest that exercise associated changes in anterior hippocampal function might be involved in increased vagal modulation.","author":[{"dropping-particle":"","family":"Bär","given":"Karl-Jürgen","non-dropping-particle":"","parse-names":false,"suffix":""},{"dropping-particle":"","family":"Herbsleb","given":"Marco","non-dropping-particle":"","parse-names":false,"suffix":""},{"dropping-particle":"","family":"Schumann","given":"Andy","non-dropping-particle":"","parse-names":false,"suffix":""},{"dropping-particle":"","family":"la Cruz","given":"Feliberto","non-dropping-particle":"de","parse-names":false,"suffix":""},{"dropping-particle":"","family":"Gabriel","given":"Holger W","non-dropping-particle":"","parse-names":false,"suffix":""},{"dropping-particle":"","family":"Wagner","given":"Gerd","non-dropping-particle":"","parse-names":false,"suffix":""}],"container-title":"Frontiers in neuroscience","id":"ITEM-4","issued":{"date-parts":[["2016"]]},"page":"145","publisher":"Frontiers Media SA","title":"Hippocampal-Brainstem Connectivity Associated with Vagal Modulation after an Intense Exercise Intervention in Healthy Men.","type":"article-journal","volume":"10"},"uris":["http://www.mendeley.com/documents/?uuid=e0777ac6-225d-3a72-bac7-0e0e0c078fd9"]}],"mendeley":{"formattedCitation":"(Neafsey et al., 1993; Bär et al., 2016; Kuntze et al., 2016; Ajayi et al., 2018)","plainTextFormattedCitation":"(Neafsey et al., 1993; Bär et al., 2016; Kuntze et al., 2016; Ajayi et al., 2018)","previouslyFormattedCitation":"(Neafsey et al., 1993; Bär et al., 2016; Kuntze et al., 2016; Ajayi et al., 2018)"},"properties":{"noteIndex":0},"schema":"https://github.com/citation-style-language/schema/raw/master/csl-citation.json"}</w:instrText>
      </w:r>
      <w:r w:rsidRPr="00E20348">
        <w:rPr>
          <w:bCs/>
        </w:rPr>
        <w:fldChar w:fldCharType="separate"/>
      </w:r>
      <w:r w:rsidRPr="001A7586">
        <w:rPr>
          <w:bCs/>
          <w:noProof/>
        </w:rPr>
        <w:t>(Neafsey et al., 1993; Bär et al., 2016; Kuntze et al., 2016; Ajayi et al., 2018)</w:t>
      </w:r>
      <w:r w:rsidRPr="00E20348">
        <w:rPr>
          <w:bCs/>
        </w:rPr>
        <w:fldChar w:fldCharType="end"/>
      </w:r>
      <w:r w:rsidRPr="001A7586">
        <w:rPr>
          <w:bCs/>
        </w:rPr>
        <w:t>.</w:t>
      </w:r>
      <w:r w:rsidR="00437A65" w:rsidRPr="001A7586">
        <w:rPr>
          <w:bCs/>
        </w:rPr>
        <w:t xml:space="preserve"> Here we show that increasing aHipp glutamate with aHipp LY/CGP causes corresponding increases in the HR and VS response to a threatening cue</w:t>
      </w:r>
      <w:r w:rsidR="00D23C9B" w:rsidRPr="001A7586">
        <w:rPr>
          <w:bCs/>
        </w:rPr>
        <w:t>,</w:t>
      </w:r>
      <w:r w:rsidR="00437A65" w:rsidRPr="001A7586">
        <w:rPr>
          <w:bCs/>
        </w:rPr>
        <w:t xml:space="preserve"> along with increases in CSI and decreased HRV. These are the components of the fight of flight response that are normally shown in non-anxious animals responding to threat</w:t>
      </w:r>
      <w:r w:rsidR="00994B1E" w:rsidRPr="001A7586">
        <w:rPr>
          <w:bCs/>
        </w:rPr>
        <w:t xml:space="preserve">, and suggest that aHipp LY/CGP has had an anxiolytic effect by </w:t>
      </w:r>
      <w:r w:rsidR="00D8399B" w:rsidRPr="001A7586">
        <w:rPr>
          <w:bCs/>
        </w:rPr>
        <w:t>normalizing</w:t>
      </w:r>
      <w:r w:rsidR="00994B1E" w:rsidRPr="001A7586">
        <w:rPr>
          <w:bCs/>
        </w:rPr>
        <w:t xml:space="preserve"> the previously blunted responses. This is</w:t>
      </w:r>
      <w:r w:rsidR="00C650C6" w:rsidRPr="001A7586">
        <w:t xml:space="preserve"> supported by </w:t>
      </w:r>
      <w:r w:rsidR="003A501E" w:rsidRPr="001A7586">
        <w:t xml:space="preserve">the anxiolytic effects of aHipp LY/CGP in the human intruder test. Here, </w:t>
      </w:r>
      <w:r w:rsidR="003A501E" w:rsidRPr="001A7586">
        <w:rPr>
          <w:bCs/>
        </w:rPr>
        <w:t>aHipp LY/CGP increased the time animals spent at the front of the cage and reduced the time spent deep in the cage</w:t>
      </w:r>
      <w:r w:rsidR="00BD2F50" w:rsidRPr="001A7586">
        <w:rPr>
          <w:bCs/>
        </w:rPr>
        <w:t>,</w:t>
      </w:r>
      <w:r w:rsidR="003A501E" w:rsidRPr="001A7586">
        <w:rPr>
          <w:bCs/>
        </w:rPr>
        <w:t xml:space="preserve"> consistent with an increased approach to, and engagement with, the potentially threatening intruder. Thus, both</w:t>
      </w:r>
      <w:r w:rsidR="003A501E" w:rsidRPr="001A7586">
        <w:t xml:space="preserve"> the increased VS in the unexpected threat paradigm, and the increased approach </w:t>
      </w:r>
      <w:r w:rsidR="00D71B0B" w:rsidRPr="001A7586">
        <w:t>behavior</w:t>
      </w:r>
      <w:r w:rsidR="003A501E" w:rsidRPr="001A7586">
        <w:t xml:space="preserve"> in the hu</w:t>
      </w:r>
      <w:r w:rsidR="001E5690" w:rsidRPr="001A7586">
        <w:t>man intruder test</w:t>
      </w:r>
      <w:r w:rsidR="00BD2F50" w:rsidRPr="001A7586">
        <w:t>,</w:t>
      </w:r>
      <w:r w:rsidR="001E5690" w:rsidRPr="001A7586">
        <w:t xml:space="preserve"> may reflect</w:t>
      </w:r>
      <w:r w:rsidR="003A501E" w:rsidRPr="001A7586">
        <w:t xml:space="preserve"> increase</w:t>
      </w:r>
      <w:r w:rsidR="001E5690" w:rsidRPr="001A7586">
        <w:t xml:space="preserve">d </w:t>
      </w:r>
      <w:r w:rsidR="003A501E" w:rsidRPr="001A7586">
        <w:t>engagement with the potential threat (be it aversive cue or human intruder)</w:t>
      </w:r>
      <w:r w:rsidR="00D20379" w:rsidRPr="001A7586">
        <w:t>.</w:t>
      </w:r>
      <w:r w:rsidR="003A501E" w:rsidRPr="001A7586">
        <w:t xml:space="preserve"> </w:t>
      </w:r>
      <w:r w:rsidR="00D20379" w:rsidRPr="001A7586">
        <w:t xml:space="preserve">Together, these findings indicate that </w:t>
      </w:r>
      <w:r w:rsidR="00AD7FA7" w:rsidRPr="001A7586">
        <w:rPr>
          <w:bCs/>
        </w:rPr>
        <w:t>ele</w:t>
      </w:r>
      <w:r w:rsidR="001E5690" w:rsidRPr="001A7586">
        <w:rPr>
          <w:bCs/>
        </w:rPr>
        <w:t>vation of aHipp glutamate</w:t>
      </w:r>
      <w:r w:rsidR="00AD7FA7" w:rsidRPr="001A7586">
        <w:rPr>
          <w:bCs/>
        </w:rPr>
        <w:t xml:space="preserve"> can ameliorate the high-trait anxiety phenotype, in part by returning cardiovascular and </w:t>
      </w:r>
      <w:r w:rsidR="00D71B0B" w:rsidRPr="001A7586">
        <w:rPr>
          <w:bCs/>
        </w:rPr>
        <w:t>behavior</w:t>
      </w:r>
      <w:r w:rsidR="00AD7FA7" w:rsidRPr="001A7586">
        <w:rPr>
          <w:bCs/>
        </w:rPr>
        <w:t xml:space="preserve">al reactivity to the healthy, non-blunted state (via a paradoxical increase in the fight or flight response).  </w:t>
      </w:r>
      <w:r w:rsidR="000D18A1" w:rsidRPr="001A7586">
        <w:rPr>
          <w:bCs/>
        </w:rPr>
        <w:t xml:space="preserve">Glutamate within the aHipp is clearly an important regulator of the cardiovascular and behavioral correlates of high-trait anxiety. </w:t>
      </w:r>
    </w:p>
    <w:p w14:paraId="726A9A8C" w14:textId="77777777" w:rsidR="00146752" w:rsidRPr="001A7586" w:rsidRDefault="00AD7FA7" w:rsidP="00B56538">
      <w:pPr>
        <w:spacing w:after="119" w:line="480" w:lineRule="auto"/>
        <w:ind w:firstLine="720"/>
        <w:jc w:val="both"/>
        <w:rPr>
          <w:bCs/>
        </w:rPr>
      </w:pPr>
      <w:r w:rsidRPr="001A7586">
        <w:rPr>
          <w:bCs/>
        </w:rPr>
        <w:t xml:space="preserve">Given that our data </w:t>
      </w:r>
      <w:r w:rsidR="001E5690" w:rsidRPr="001A7586">
        <w:rPr>
          <w:bCs/>
        </w:rPr>
        <w:t>associated</w:t>
      </w:r>
      <w:r w:rsidRPr="001A7586">
        <w:rPr>
          <w:bCs/>
        </w:rPr>
        <w:t xml:space="preserve"> elevated trait anxiety with reductions of right aHipp glutamate only, we could speculate that these alterations are due to the effect of increasing glutamate within the right and not the left aHipp despite our use of bilateral aHipp </w:t>
      </w:r>
      <w:r w:rsidR="001861CB" w:rsidRPr="001A7586">
        <w:rPr>
          <w:bCs/>
        </w:rPr>
        <w:t>LY/CGP infusions.</w:t>
      </w:r>
      <w:r w:rsidR="00EF64DF" w:rsidRPr="001A7586">
        <w:rPr>
          <w:bCs/>
        </w:rPr>
        <w:t xml:space="preserve"> </w:t>
      </w:r>
      <w:r w:rsidR="00C134F8" w:rsidRPr="001A7586">
        <w:rPr>
          <w:bCs/>
        </w:rPr>
        <w:t>O</w:t>
      </w:r>
      <w:r w:rsidRPr="001A7586">
        <w:rPr>
          <w:bCs/>
        </w:rPr>
        <w:t xml:space="preserve">ur </w:t>
      </w:r>
      <w:r w:rsidR="00CD1A5A" w:rsidRPr="001A7586">
        <w:rPr>
          <w:bCs/>
        </w:rPr>
        <w:t xml:space="preserve">manipulation </w:t>
      </w:r>
      <w:r w:rsidRPr="001A7586">
        <w:rPr>
          <w:bCs/>
        </w:rPr>
        <w:t xml:space="preserve">data and human neuroimaging data are inconclusive regarding the laterality of the hippocampal abnormalities that are apparent in the affective disorders </w:t>
      </w:r>
      <w:r w:rsidRPr="00E20348">
        <w:rPr>
          <w:bCs/>
        </w:rPr>
        <w:fldChar w:fldCharType="begin" w:fldLock="1"/>
      </w:r>
      <w:r w:rsidR="007C1DE8" w:rsidRPr="001A7586">
        <w:rPr>
          <w:bCs/>
        </w:rPr>
        <w:instrText>ADDIN CSL_CITATION {"citationItems":[{"id":"ITEM-1","itemData":{"DOI":"10.1016/J.NEUROSCIENCE.2015.04.047","ISSN":"0306-4522","abstract":"One of the most replicated findings has been that hippocampus volume is decreased in patients with major depressive disorder (MDD). Recent volumetric magnetic resonance imaging (MRI) studies suggest that localized differences in hippocampal volume may be more prominent than global differences. Preclinical and post-mortem studies in MDD indicated that different subfields of the hippocampus may respond differently to stress and may also have differential levels of plasticity in response to antidepressant treatment. Advances in high-field MRI allowed researchers to visualize and measure hippocampal subfield volumes in MDD patients in vivo. The results of these studies provide the first in vivo evidence that hippocampal volume reductions in MDD are specific to the cornu ammonis and dentate gyrus hippocampal subfields, findings that appear, on the surface, consistent with preclinical evidence for localized mechanisms of hippocampal neuroplasticity. In this review we discuss how recent advances in neuroimaging allow researchers to further understand hippocampal neuroplasticity in MDD and how it is related to antidepressant treatment, memory function, and disease progression.","author":[{"dropping-particle":"","family":"Malykhin","given":"N.V.","non-dropping-particle":"","parse-names":false,"suffix":""},{"dropping-particle":"","family":"Coupland","given":"N.J.","non-dropping-particle":"","parse-names":false,"suffix":""}],"container-title":"Neuroscience","id":"ITEM-1","issued":{"date-parts":[["2015","11","19"]]},"page":"200-213","publisher":"Pergamon","title":"Hippocampal neuroplasticity in major depressive disorder","type":"article-journal","volume":"309"},"prefix":"see","uris":["http://www.mendeley.com/documents/?uuid=81c57fa6-1a7d-3507-9351-5b8e3008af85"]}],"mendeley":{"formattedCitation":"(see Malykhin and Coupland, 2015)","plainTextFormattedCitation":"(see Malykhin and Coupland, 2015)","previouslyFormattedCitation":"(see Malykhin and Coupland, 2015)"},"properties":{"noteIndex":0},"schema":"https://github.com/citation-style-language/schema/raw/master/csl-citation.json"}</w:instrText>
      </w:r>
      <w:r w:rsidRPr="00E20348">
        <w:rPr>
          <w:bCs/>
        </w:rPr>
        <w:fldChar w:fldCharType="separate"/>
      </w:r>
      <w:r w:rsidR="007C1DE8" w:rsidRPr="001A7586">
        <w:rPr>
          <w:bCs/>
          <w:noProof/>
        </w:rPr>
        <w:t>(see Malykhin and Coupland, 2015)</w:t>
      </w:r>
      <w:r w:rsidRPr="00E20348">
        <w:rPr>
          <w:bCs/>
        </w:rPr>
        <w:fldChar w:fldCharType="end"/>
      </w:r>
      <w:r w:rsidR="00626CFB" w:rsidRPr="001A7586">
        <w:rPr>
          <w:bCs/>
        </w:rPr>
        <w:t xml:space="preserve">, and no hemispheric differences were seen in the hippocampal response to early life stress </w:t>
      </w:r>
      <w:r w:rsidR="00C134F8" w:rsidRPr="001A7586">
        <w:rPr>
          <w:bCs/>
        </w:rPr>
        <w:t>(materna</w:t>
      </w:r>
      <w:r w:rsidR="00C134F8" w:rsidRPr="00E20348">
        <w:rPr>
          <w:bCs/>
        </w:rPr>
        <w:t>l deprivation) in marmosets</w:t>
      </w:r>
      <w:r w:rsidR="00626CFB" w:rsidRPr="00E20348">
        <w:rPr>
          <w:bCs/>
        </w:rPr>
        <w:t xml:space="preserve"> </w:t>
      </w:r>
      <w:r w:rsidR="00626CFB" w:rsidRPr="001A7586">
        <w:rPr>
          <w:bCs/>
        </w:rPr>
        <w:fldChar w:fldCharType="begin" w:fldLock="1"/>
      </w:r>
      <w:r w:rsidR="00CB2C38" w:rsidRPr="00E20348">
        <w:rPr>
          <w:bCs/>
        </w:rPr>
        <w:instrText>ADDIN CSL_CITATION {"citationItems":[{"id":"ITEM-1","itemData":{"DOI":"10.1038/npp.2008.106","ISSN":"0893-133X","PMID":"18615010","abstract":"In mood disorder, early stressors including parental separation are vulnerability factors, and hippocampal involvement is prominent. In common marmoset monkeys, daily parental deprivation during infancy produces a prodepressive state of increased basal activity and reactivity in stress systems and mild anhedonia that persists at least to adolescence. Here we examined the expression of eight genes, each implicated in neural plasticity and in the pathophysiology of mood disorder, in the hippocampus of these same adolescent marmosets, relative to their normally reared sibling controls. We also measured hippocampal volume. Early deprivation led to decreases in hippocampal growth-associated protein-43 (GAP-43) mRNA, serotonin 1A receptor (5-HT(1A)R) mRNA and binding ([3H]WAY100635), and to increased vesicular GABA transporter mRNA. Brain-derived neurotrophic factor (BDNF), synaptophysin, vesicular glutamate transporter 1 (VGluT1), microtubule-associated protein-2, and spinophilin transcripts were unchanged. There were some correlations with in vivo biochemical and behavioral indices, including VGluT1 mRNA with reward-seeking behavior, and serotonin 1A receptor mRNA with CSF cortisol. Early deprivation did not affect hippocampal volume. We conclude that early deprivation in a nonhuman primate, in the absence of subsequent stressors, has a long-term effect on the hippocampal expression of genes implicated in synaptic function and plasticity. The reductions in GAP-43 and serotonin 1A receptor expressions are comparable with findings in mood disorder, supporting the possibility that the latter reflect an early developmental contribution to disease vulnerability. Equally, the negative results suggest that other features of mood disorder, such as decreased hippocampal volume and BDNF expression, are related to different aspects of the pathophysiological process.","author":[{"dropping-particle":"","family":"Law","given":"Amanda J","non-dropping-particle":"","parse-names":false,"suffix":""},{"dropping-particle":"","family":"Pei","given":"Qi","non-dropping-particle":"","parse-names":false,"suffix":""},{"dropping-particle":"","family":"Walker","given":"Mary","non-dropping-particle":"","parse-names":false,"suffix":""},{"dropping-particle":"","family":"Gordon-Andrews","given":"Helen","non-dropping-particle":"","parse-names":false,"suffix":""},{"dropping-particle":"","family":"Weickert","given":"Cyndi Shannon","non-dropping-particle":"","parse-names":false,"suffix":""},{"dropping-particle":"","family":"Feldon","given":"Joram","non-dropping-particle":"","parse-names":false,"suffix":""},{"dropping-particle":"","family":"Pryce","given":"Christopher R","non-dropping-particle":"","parse-names":false,"suffix":""},{"dropping-particle":"","family":"Harrison","given":"Paul J","non-dropping-particle":"","parse-names":false,"suffix":""}],"container-title":"Neuropsychopharmacology","id":"ITEM-1","issue":"6","issued":{"date-parts":[["2009","5","9"]]},"page":"1381-1394","title":"Early Parental Deprivation in the Marmoset Monkey Produces Long-Term Changes in Hippocampal Expression of Genes Involved in Synaptic Plasticity and Implicated in Mood Disorder","type":"article-journal","volume":"34"},"uris":["http://www.mendeley.com/documents/?uuid=b23efc47-c26c-39b0-b7b7-9f1f539b3137"]}],"mendeley":{"formattedCitation":"(Law et al., 2009)","plainTextFormattedCitation":"(Law et al., 2009)","previouslyFormattedCitation":"(Law et al., 2009)"},"properties":{"noteIndex":0},"schema":"https://github.com/citation-style-language/schema/raw/master/csl-citation.json"}</w:instrText>
      </w:r>
      <w:r w:rsidR="00626CFB" w:rsidRPr="00E20348">
        <w:rPr>
          <w:bCs/>
        </w:rPr>
        <w:fldChar w:fldCharType="separate"/>
      </w:r>
      <w:r w:rsidR="00626CFB" w:rsidRPr="00E20348">
        <w:rPr>
          <w:bCs/>
          <w:noProof/>
        </w:rPr>
        <w:t>(Law et al., 2009)</w:t>
      </w:r>
      <w:r w:rsidR="00626CFB" w:rsidRPr="00E20348">
        <w:rPr>
          <w:bCs/>
        </w:rPr>
        <w:fldChar w:fldCharType="end"/>
      </w:r>
      <w:r w:rsidR="00626CFB" w:rsidRPr="001A7586">
        <w:rPr>
          <w:bCs/>
        </w:rPr>
        <w:t xml:space="preserve">. </w:t>
      </w:r>
      <w:r w:rsidR="00CD1A5A" w:rsidRPr="00E20348">
        <w:rPr>
          <w:bCs/>
        </w:rPr>
        <w:t xml:space="preserve">However some neuroimaging studies do report a stronger relationship between right aHipp neurochemistry and the affective disorders than the left hippocampus </w:t>
      </w:r>
      <w:r w:rsidR="00CD1A5A" w:rsidRPr="001A7586">
        <w:rPr>
          <w:bCs/>
        </w:rPr>
        <w:fldChar w:fldCharType="begin" w:fldLock="1"/>
      </w:r>
      <w:r w:rsidR="007A41C1" w:rsidRPr="00E20348">
        <w:rPr>
          <w:bCs/>
        </w:rPr>
        <w:instrText>ADDIN CSL_CITATION {"citationItems":[{"id":"ITEM-1","itemData":{"DOI":"10.1503/jpn.110185","ISSN":"1488-2434","PMID":"23425950","abstract":"BACKGROUND Smaller hippocampal volumes in major depressive disorder (MDD) have been linked with earlier onset, previous recurrences and treatment refractoriness. The aim of our study was to investigate metabolite abnormalities in the hippocampus associated with past depressive illness burden. METHODS Glutamate/glutamine (Glx), N-acetylaspartate (NAA) and choline (Cho), potential markers of glial/neuronal integrity and membrane turnover, respectively, were measured in adults with depression and healthy controls using a 3 T magnetic resonance spectroscopy scanner. Voxels were placed in the head of the right and left hippocampus. We controlled for systematic differences resulting from volume-of-interest (VOI) tissue composition and total hippocampal volume. RESULTS Our final sample comprised a total of 16 healthy controls and 52 adult patients with depression in different stages of the illness (20 treatment-resistant/chronic, 18 remitted-recurrent and 14 first-episode), comparable for age and sex distribution. Patients with treatment-resistant/chronic and remitted-recurrent depression had significantly lower levels of Glx and NAA than controls, especially in the right hippocampal region (p ≤ 0.025). Diminished levels of Glx were correlated with longer illness duration (left VOI r = -0.34, p = 0.01). By contrast, Cho levels were significantly higher in patients with treatment-resistant/chronic depression than those with first-episode depression or controls in the right and left hippocampus (up to 19% higher; all p ≤ 0.025) and were consistently related to longer illness duration (right VOI r = 0.30, p = 0.028; left VOI r = 0.38, p = 0.004) and more previous episodes (right VOI r = 0.46, p = 0.001; left VOI r = 0.44, p = 0.001). LIMITATIONS The cross-sectional design and the inclusion of treated patients are the main limitations of the study. CONCLUSION Our results support that metabolite alterations within the hippocampus are more pronounced in patients with a clinical evolution characterized by recurrences and/or chronicity and add further evidence to the potential deleterious effects of stress and depression on this region.","author":[{"dropping-particle":"","family":"Diego-Adeliño","given":"Javier","non-dropping-particle":"de","parse-names":false,"suffix":""},{"dropping-particle":"","family":"Portella","given":"Maria J","non-dropping-particle":"","parse-names":false,"suffix":""},{"dropping-particle":"","family":"Gómez-Ansón","given":"Beatriz","non-dropping-particle":"","parse-names":false,"suffix":""},{"dropping-particle":"","family":"López-Moruelo","given":"Olga","non-dropping-particle":"","parse-names":false,"suffix":""},{"dropping-particle":"","family":"Serra-Blasco","given":"Maria","non-dropping-particle":"","parse-names":false,"suffix":""},{"dropping-particle":"","family":"Vives","given":"Yolanda","non-dropping-particle":"","parse-names":false,"suffix":""},{"dropping-particle":"","family":"Puigdemont","given":"Dolors","non-dropping-particle":"","parse-names":false,"suffix":""},{"dropping-particle":"","family":"Pérez-Egea","given":"Rosario","non-dropping-particle":"","parse-names":false,"suffix":""},{"dropping-particle":"","family":"Álvarez","given":"Enric","non-dropping-particle":"","parse-names":false,"suffix":""},{"dropping-particle":"","family":"Pérez","given":"Víctor","non-dropping-particle":"","parse-names":false,"suffix":""}],"container-title":"Journal of psychiatry &amp; neuroscience : JPN","id":"ITEM-1","issue":"2","issued":{"date-parts":[["2013","3"]]},"page":"107-16","publisher":"Canadian Medical Association","title":"Hippocampal abnormalities of glutamate/glutamine, N-acetylaspartate and choline in patients with depression are related to past illness burden.","type":"article-journal","volume":"38"},"uris":["http://www.mendeley.com/documents/?uuid=206b1620-64d0-3b7d-a57d-ef6aab2d6039"]}],"mendeley":{"formattedCitation":"(de Diego-Adeliño et al., 2013)","plainTextFormattedCitation":"(de Diego-Adeliño et al., 2013)","previouslyFormattedCitation":"(de Diego-Adeliño et al., 2013)"},"properties":{"noteIndex":0},"schema":"https://github.com/citation-style-language/schema/raw/master/csl-citation.json"}</w:instrText>
      </w:r>
      <w:r w:rsidR="00CD1A5A" w:rsidRPr="00E20348">
        <w:rPr>
          <w:bCs/>
        </w:rPr>
        <w:fldChar w:fldCharType="separate"/>
      </w:r>
      <w:r w:rsidR="00CD1A5A" w:rsidRPr="00E20348">
        <w:rPr>
          <w:bCs/>
          <w:noProof/>
        </w:rPr>
        <w:t>(de Diego-Adeliño et al., 2013)</w:t>
      </w:r>
      <w:r w:rsidR="00CD1A5A" w:rsidRPr="00E20348">
        <w:rPr>
          <w:bCs/>
        </w:rPr>
        <w:fldChar w:fldCharType="end"/>
      </w:r>
      <w:r w:rsidR="00CD1A5A" w:rsidRPr="001A7586">
        <w:rPr>
          <w:bCs/>
        </w:rPr>
        <w:t>. Furthermore,</w:t>
      </w:r>
      <w:r w:rsidR="00C134F8" w:rsidRPr="00E20348">
        <w:rPr>
          <w:bCs/>
        </w:rPr>
        <w:t xml:space="preserve">  </w:t>
      </w:r>
      <w:r w:rsidR="00EF64DF" w:rsidRPr="00E20348">
        <w:rPr>
          <w:bCs/>
        </w:rPr>
        <w:t xml:space="preserve">brief, repeated exposure to a novel environment during the early life of rodents has been shown to preferentially alter the synaptic plasticity and volume of the right, </w:t>
      </w:r>
      <w:r w:rsidR="008049E5" w:rsidRPr="00E20348">
        <w:rPr>
          <w:bCs/>
        </w:rPr>
        <w:t>not</w:t>
      </w:r>
      <w:r w:rsidR="00EF64DF" w:rsidRPr="00E20348">
        <w:rPr>
          <w:bCs/>
        </w:rPr>
        <w:t xml:space="preserve"> left, hippocampus </w:t>
      </w:r>
      <w:r w:rsidR="000D18A1" w:rsidRPr="001A7586">
        <w:rPr>
          <w:bCs/>
        </w:rPr>
        <w:fldChar w:fldCharType="begin" w:fldLock="1"/>
      </w:r>
      <w:r w:rsidR="00427EDF" w:rsidRPr="00E20348">
        <w:rPr>
          <w:bCs/>
        </w:rPr>
        <w:instrText>ADDIN CSL_CITATION {"citationItems":[{"id":"ITEM-1","itemData":{"DOI":"10.1002/hipo.20370","ISSN":"10509631","PMID":"17924531","abstract":"In humans, it is well established that major psychological functions are asymmetrically represented between the left and right cerebral cortices. The developmental origin of such functional lateralization remains unknown. Using the rat as a model system, we examined whether exposing neonates briefly to a novel environment can differentially affect synaptic plasticity in the left and right hippocampi during adulthood. During the first 3 weeks of life, one half of the pups from a litter spent 3 min daily away from their familiar home environment (Novel) while their littermates remained in that familiar environment (Home). At adulthood (7-months old), post-tetanic potentiation (PTP) of excitatory post-synaptic potentials (EPSPs), a very short-lasting form of plasticity, was greater among the Novel than the Home rats in both left and right hippocampi. In contrast, the novelty-induced increases in short- and long-term potentiation (STP, LTP), two relatively longer-lasting forms of plasticity, were found only in the right hippocampus. These findings demonstrate that a phase-selective asymmetry in hippocampal synaptic plasticity can be induced epigenetically by seemingly small systematic differences in early life environment. The selectivity of this asymmetry for the longer-lasting forms of synaptic plasticity suggests that the observed asymmetry in plasticity may contribute specifically to an asymmetric learning process which, in turn, may contribute to a functional asymmetry in the neocortex.","author":[{"dropping-particle":"","family":"Tang","given":"Akaysha C.","non-dropping-particle":"","parse-names":false,"suffix":""},{"dropping-particle":"","family":"Zou","given":"Bende","non-dropping-particle":"","parse-names":false,"suffix":""},{"dropping-particle":"","family":"Reeb","given":"Bethany C.","non-dropping-particle":"","parse-names":false,"suffix":""},{"dropping-particle":"","family":"Connor","given":"John A.","non-dropping-particle":"","parse-names":false,"suffix":""}],"container-title":"Hippocampus","id":"ITEM-1","issue":"1","issued":{"date-parts":[["2008","1"]]},"page":"5-10","title":"An epigenetic induction of a right-shift in hippocampal asymmetry: Selectivity for short- and long-term potentiation but not post-tetanic potentiation","type":"article-journal","volume":"18"},"uris":["http://www.mendeley.com/documents/?uuid=62fc7b6f-c2ae-30c6-8aae-2a7a7fd63f70"]},{"id":"ITEM-2","itemData":{"ISSN":"0959-4965","PMID":"11568629","abstract":"Early life environmental manipulations have been shown to affect hippocampal-dependent learning, hippocampal volume and cerebral lateralization. In this study, we investigated the effects of neonatal stimulation on hippocampal volumetric asymmetry. Long-Evans hooded rats were exposed to a novel non-home environment 3 min daily for the first 3 weeks of life. Histological measures of the left and right hippocampus were made at 8 months of age. We found that neonatal novelty exposure resulted in a long-lasting change in hippocampal volumetric asymmetry. Specifically, this brief and transient early life stimulation increased the right hippocampal volumetric dominance at mid-adulthood.","author":[{"dropping-particle":"","family":"Verstynen","given":"T","non-dropping-particle":"","parse-names":false,"suffix":""},{"dropping-particle":"","family":"Tierney","given":"R","non-dropping-particle":"","parse-names":false,"suffix":""},{"dropping-particle":"","family":"Urbanski","given":"T","non-dropping-particle":"","parse-names":false,"suffix":""},{"dropping-particle":"","family":"Tang","given":"A","non-dropping-particle":"","parse-names":false,"suffix":""}],"container-title":"Neuroreport","id":"ITEM-2","issue":"14","issued":{"date-parts":[["2001","10","8"]]},"page":"3019-22","title":"Neonatal novelty exposure modulates hippocampal volumetric asymmetry in the rat.","type":"article-journal","volume":"12"},"uris":["http://www.mendeley.com/documents/?uuid=3d8dc9d8-f4b9-3003-b834-c043a64382f1"]}],"mendeley":{"formattedCitation":"(Verstynen et al., 2001; Tang et al., 2008)","plainTextFormattedCitation":"(Verstynen et al., 2001; Tang et al., 2008)","previouslyFormattedCitation":"(Verstynen et al., 2001; Tang et al., 2008)"},"properties":{"noteIndex":0},"schema":"https://github.com/citation-style-language/schema/raw/master/csl-citation.json"}</w:instrText>
      </w:r>
      <w:r w:rsidR="000D18A1" w:rsidRPr="00E20348">
        <w:rPr>
          <w:bCs/>
        </w:rPr>
        <w:fldChar w:fldCharType="separate"/>
      </w:r>
      <w:r w:rsidR="000D18A1" w:rsidRPr="00E20348">
        <w:rPr>
          <w:bCs/>
          <w:noProof/>
        </w:rPr>
        <w:t>(Verstynen et al., 2001; Tang et al., 2008)</w:t>
      </w:r>
      <w:r w:rsidR="000D18A1" w:rsidRPr="00E20348">
        <w:rPr>
          <w:bCs/>
        </w:rPr>
        <w:fldChar w:fldCharType="end"/>
      </w:r>
      <w:r w:rsidRPr="001A7586">
        <w:rPr>
          <w:bCs/>
        </w:rPr>
        <w:t>.</w:t>
      </w:r>
      <w:r w:rsidR="001861CB" w:rsidRPr="00E20348">
        <w:rPr>
          <w:bCs/>
        </w:rPr>
        <w:t xml:space="preserve"> </w:t>
      </w:r>
      <w:r w:rsidR="00C134F8" w:rsidRPr="00E20348">
        <w:rPr>
          <w:bCs/>
        </w:rPr>
        <w:lastRenderedPageBreak/>
        <w:t>These rodent changes were small (and equivalent changes may have been masked by the lower group sizes in the marmoset study), but nevertheless suggest the</w:t>
      </w:r>
      <w:r w:rsidR="001861CB" w:rsidRPr="00E20348">
        <w:rPr>
          <w:bCs/>
        </w:rPr>
        <w:t xml:space="preserve"> right hippocampus may be particularly important for translating the effects of early</w:t>
      </w:r>
      <w:r w:rsidR="000D18A1" w:rsidRPr="00E20348">
        <w:rPr>
          <w:bCs/>
        </w:rPr>
        <w:t>-life</w:t>
      </w:r>
      <w:r w:rsidR="001861CB" w:rsidRPr="00E20348">
        <w:rPr>
          <w:bCs/>
        </w:rPr>
        <w:t xml:space="preserve"> experiences into adult temperament</w:t>
      </w:r>
      <w:r w:rsidR="00C134F8" w:rsidRPr="00E20348">
        <w:rPr>
          <w:bCs/>
        </w:rPr>
        <w:t xml:space="preserve">. </w:t>
      </w:r>
    </w:p>
    <w:p w14:paraId="0306EA7F" w14:textId="6FD11D27" w:rsidR="003573A5" w:rsidRPr="001A7586" w:rsidRDefault="0099662B" w:rsidP="00225250">
      <w:pPr>
        <w:spacing w:after="119" w:line="480" w:lineRule="auto"/>
        <w:ind w:firstLine="720"/>
        <w:jc w:val="both"/>
        <w:rPr>
          <w:rFonts w:cs="AdvOT88ac8687"/>
          <w:color w:val="000000" w:themeColor="text1"/>
        </w:rPr>
      </w:pPr>
      <w:r w:rsidRPr="001A7586">
        <w:rPr>
          <w:bCs/>
        </w:rPr>
        <w:t>The hippocampus is connected to many other limbic brain</w:t>
      </w:r>
      <w:r w:rsidR="00A918DA" w:rsidRPr="001A7586">
        <w:rPr>
          <w:bCs/>
        </w:rPr>
        <w:t xml:space="preserve"> regions</w:t>
      </w:r>
      <w:r w:rsidRPr="001A7586">
        <w:rPr>
          <w:bCs/>
        </w:rPr>
        <w:t xml:space="preserve"> through which it can enact these effects.</w:t>
      </w:r>
      <w:r w:rsidR="00B54332" w:rsidRPr="001A7586">
        <w:rPr>
          <w:bCs/>
        </w:rPr>
        <w:t xml:space="preserve"> These include </w:t>
      </w:r>
      <w:r w:rsidRPr="001A7586">
        <w:rPr>
          <w:bCs/>
        </w:rPr>
        <w:t>the</w:t>
      </w:r>
      <w:r w:rsidR="00C925B3" w:rsidRPr="001A7586">
        <w:rPr>
          <w:bCs/>
        </w:rPr>
        <w:t xml:space="preserve"> amygdala and the</w:t>
      </w:r>
      <w:r w:rsidRPr="001A7586">
        <w:rPr>
          <w:bCs/>
        </w:rPr>
        <w:t xml:space="preserve"> </w:t>
      </w:r>
      <w:r w:rsidR="00F60BFE" w:rsidRPr="001A7586">
        <w:rPr>
          <w:bCs/>
        </w:rPr>
        <w:t xml:space="preserve">mPFC </w:t>
      </w:r>
      <w:r w:rsidR="00C925B3" w:rsidRPr="001A7586">
        <w:rPr>
          <w:bCs/>
        </w:rPr>
        <w:t>which have</w:t>
      </w:r>
      <w:r w:rsidRPr="001A7586">
        <w:rPr>
          <w:bCs/>
        </w:rPr>
        <w:t xml:space="preserve"> been extensively studied in rodent models of anxiety and fear </w:t>
      </w:r>
      <w:r w:rsidR="00D71B0B" w:rsidRPr="001A7586">
        <w:rPr>
          <w:bCs/>
        </w:rPr>
        <w:t>behavior</w:t>
      </w:r>
      <w:r w:rsidR="00990FCC" w:rsidRPr="001A7586">
        <w:rPr>
          <w:bCs/>
        </w:rPr>
        <w:t>, but less so with respect</w:t>
      </w:r>
      <w:r w:rsidRPr="001A7586">
        <w:rPr>
          <w:bCs/>
        </w:rPr>
        <w:t xml:space="preserve"> to cardiovascular regulation. </w:t>
      </w:r>
      <w:r w:rsidR="00146752" w:rsidRPr="001A7586">
        <w:rPr>
          <w:bCs/>
        </w:rPr>
        <w:t xml:space="preserve"> </w:t>
      </w:r>
      <w:r w:rsidR="00146752" w:rsidRPr="001A7586">
        <w:rPr>
          <w:rFonts w:cs="AdvOT88ac8687"/>
          <w:color w:val="000000" w:themeColor="text1"/>
        </w:rPr>
        <w:t xml:space="preserve">Certainly rodent studies of threat regulation emphasise a tripartite </w:t>
      </w:r>
      <w:r w:rsidR="007E35C4" w:rsidRPr="001A7586">
        <w:rPr>
          <w:rFonts w:cs="AdvOT88ac8687"/>
          <w:color w:val="000000" w:themeColor="text1"/>
        </w:rPr>
        <w:t>mPFC</w:t>
      </w:r>
      <w:r w:rsidR="00146752" w:rsidRPr="001A7586">
        <w:rPr>
          <w:rFonts w:cs="AdvOT88ac8687"/>
          <w:color w:val="000000" w:themeColor="text1"/>
        </w:rPr>
        <w:t xml:space="preserve">-vHipp-amygdala circuit </w:t>
      </w:r>
      <w:r w:rsidR="00146752" w:rsidRPr="00E20348">
        <w:rPr>
          <w:rFonts w:cs="AdvOT88ac8687"/>
          <w:color w:val="000000" w:themeColor="text1"/>
        </w:rPr>
        <w:fldChar w:fldCharType="begin" w:fldLock="1"/>
      </w:r>
      <w:r w:rsidR="00146752" w:rsidRPr="001A7586">
        <w:rPr>
          <w:rFonts w:cs="AdvOT88ac8687"/>
          <w:color w:val="000000" w:themeColor="text1"/>
        </w:rPr>
        <w:instrText>ADDIN CSL_CITATION {"citationItems":[{"id":"ITEM-1","itemData":{"DOI":"10.1016/j.neuron.2016.01.011","ISSN":"08966273","PMID":"26853301","abstract":"The ventral hippocampus (vHPC), medial prefrontal cortex (mPFC), and basolateral amygdala (BLA) are each required for the expression of anxiety-like behavior. Yet the role of each individual element of the circuit is unclear. The projection from the vHPC to the mPFC has been implicated in anxiety-related neural synchrony and spatial representations of aversion. The role of this projection was examined using multi-site neural recordings combined with optogenetic terminal inhibition. Inhibition of vHPC input to the mPFC disrupted anxiety and mPFC representations of aversion, and reduced theta synchrony in a pathway-, frequency- and task-specific manner. Moreover, bilateral, but not unilateral, inhibition altered physiological correlates of anxiety in the BLA, mimicking a safety-like state. These results reveal a specific role for the vHPC-mPFC projection in anxiety-related behavior and the spatial representation of aversive information within the mPFC.","author":[{"dropping-particle":"","family":"Padilla-Coreano","given":"Nancy","non-dropping-particle":"","parse-names":false,"suffix":""},{"dropping-particle":"","family":"Bolkan","given":"Scott S.","non-dropping-particle":"","parse-names":false,"suffix":""},{"dropping-particle":"","family":"Pierce","given":"Georgia M.","non-dropping-particle":"","parse-names":false,"suffix":""},{"dropping-particle":"","family":"Blackman","given":"Dakota R.","non-dropping-particle":"","parse-names":false,"suffix":""},{"dropping-particle":"","family":"Hardin","given":"William D.","non-dropping-particle":"","parse-names":false,"suffix":""},{"dropping-particle":"","family":"Garcia-Garcia","given":"Alvaro L.","non-dropping-particle":"","parse-names":false,"suffix":""},{"dropping-particle":"","family":"Spellman","given":"Timothy J.","non-dropping-particle":"","parse-names":false,"suffix":""},{"dropping-particle":"","family":"Gordon","given":"Joshua A.","non-dropping-particle":"","parse-names":false,"suffix":""}],"container-title":"Neuron","id":"ITEM-1","issue":"4","issued":{"date-parts":[["2016","2","17"]]},"page":"857-866","title":"Direct Ventral Hippocampal-Prefrontal Input Is Required for Anxiety-Related Neural Activity and Behavior","type":"article-journal","volume":"89"},"uris":["http://www.mendeley.com/documents/?uuid=52d86076-af24-3eda-86a9-2a5719421003"]},{"id":"ITEM-2","itemData":{"DOI":"10.1038/npp.2010.184","ISSN":"0893-133X","PMID":"20962768","abstract":"Current models of conditioned fear expression and extinction involve the basolateral amygdala (BLA), ventral medial prefrontal cortex (vmPFC), and the hippocampus (HPC). There is some disagreement with respect to the specific roles of these structures, perhaps due to subregional differences within each area. For example, growing evidence suggests that infralimbic (IL) and prelimbic (PL) subregions of vmPFC have opposite influences on fear expression. Moreover, it is the ventral HPC (vHPC), rather than the dorsal HPC, that projects to vmPFC and BLA. To help determine regional specificity, we used small doses of the GABA(A) agonist muscimol to selectively inactivate IL, PL, BLA, or vHPC in an auditory fear conditioning and extinction paradigm. Infusions were performed prior to extinction training, allowing us to assess the effects on both fear expression and subsequent extinction memory. Inactivation of IL had no effect on fear expression, but impaired the within-session acquisition of extinction as well as extinction memory. In contrast, inactivation of PL impaired fear expression, but had no effect on extinction memory. Inactivation of the BLA or vHPC impaired both fear expression and extinction memory. Post-extinction inactivations had no effect in any structure. We suggest a model in which amygdala-dependent fear expression is modulated by inputs from PL and vHPC, whereas extinction memory requires extinction-induced plasticity in IL, BLA, and/or vHPC.Neuropsychopharmacology advance online publication, 20 October 2010; doi:10.1038/npp.2010.184.","author":[{"dropping-particle":"","family":"Sierra-Mercado","given":"Demetrio","non-dropping-particle":"","parse-names":false,"suffix":""},{"dropping-particle":"","family":"Padilla-Coreano","given":"Nancy","non-dropping-particle":"","parse-names":false,"suffix":""},{"dropping-particle":"","family":"Quirk","given":"Gregory J","non-dropping-particle":"","parse-names":false,"suffix":""}],"container-title":"Neuropsychopharmacology","edition":"2010/10/22","id":"ITEM-2","issue":"2","issued":{"date-parts":[["2010","1"]]},"language":"Eng","note":"From Duplicate 1 (Dissociable Roles of Prelimbic and Infralimbic Cortices, Ventral Hippocampus, and Basolateral Amygdala in the Expression and Extinction of Conditioned Fear - Sierra-Mercado, D; Padilla-Coreano, N; Quirk, G J)\n\nJournal article\nNeuropsychopharmacology : official publication of the American College of Neuropsychopharmacology\nNeuropsychopharmacology. 2010 Oct 20.","page":"529-38","title":"Dissociable Roles of Prelimbic and Infralimbic Cortices, Ventral Hippocampus, and Basolateral Amygdala in the Expression and Extinction of Conditioned Fear","type":"article-journal","volume":"36"},"uris":["http://www.mendeley.com/documents/?uuid=f8654f94-278c-401b-bd89-11d9a93f6904"]}],"mendeley":{"formattedCitation":"(Sierra-Mercado et al., 2010; Padilla-Coreano et al., 2016)","plainTextFormattedCitation":"(Sierra-Mercado et al., 2010; Padilla-Coreano et al., 2016)","previouslyFormattedCitation":"(Sierra-Mercado et al., 2010; Padilla-Coreano et al., 2016)"},"properties":{"noteIndex":0},"schema":"https://github.com/citation-style-language/schema/raw/master/csl-citation.json"}</w:instrText>
      </w:r>
      <w:r w:rsidR="00146752" w:rsidRPr="00E20348">
        <w:rPr>
          <w:rFonts w:cs="AdvOT88ac8687"/>
          <w:color w:val="000000" w:themeColor="text1"/>
        </w:rPr>
        <w:fldChar w:fldCharType="separate"/>
      </w:r>
      <w:r w:rsidR="00146752" w:rsidRPr="001A7586">
        <w:rPr>
          <w:rFonts w:cs="AdvOT88ac8687"/>
          <w:noProof/>
          <w:color w:val="000000" w:themeColor="text1"/>
        </w:rPr>
        <w:t>(Sierra-Mercado et al., 2010; Padilla-Coreano et al., 2016)</w:t>
      </w:r>
      <w:r w:rsidR="00146752" w:rsidRPr="00E20348">
        <w:rPr>
          <w:rFonts w:cs="AdvOT88ac8687"/>
          <w:color w:val="000000" w:themeColor="text1"/>
        </w:rPr>
        <w:fldChar w:fldCharType="end"/>
      </w:r>
      <w:r w:rsidR="00146752" w:rsidRPr="001A7586">
        <w:rPr>
          <w:rFonts w:cs="AdvOT88ac8687"/>
          <w:color w:val="000000" w:themeColor="text1"/>
        </w:rPr>
        <w:t>, and stronger amygdala-hippoc</w:t>
      </w:r>
      <w:r w:rsidR="00146752" w:rsidRPr="00E20348">
        <w:rPr>
          <w:rFonts w:cs="AdvOT88ac8687"/>
          <w:color w:val="000000" w:themeColor="text1"/>
        </w:rPr>
        <w:t xml:space="preserve">ampal network activity has been associated with higher levels of human trait anxiety </w:t>
      </w:r>
      <w:r w:rsidR="00146752" w:rsidRPr="001A7586">
        <w:rPr>
          <w:rFonts w:cs="AdvOT88ac8687"/>
          <w:color w:val="000000" w:themeColor="text1"/>
        </w:rPr>
        <w:fldChar w:fldCharType="begin" w:fldLock="1"/>
      </w:r>
      <w:r w:rsidR="00146752" w:rsidRPr="00E20348">
        <w:rPr>
          <w:rFonts w:cs="AdvOT88ac8687"/>
          <w:color w:val="000000" w:themeColor="text1"/>
        </w:rPr>
        <w:instrText>ADDIN CSL_CITATION {"citationItems":[{"id":"ITEM-1","itemData":{"DOI":"10.1016/j.cell.2018.10.005","ISSN":"1097-4172","PMID":"30415834","abstract":"Human brain networks that encode variation in mood on naturalistic timescales remain largely unexplored. Here we combine multi-site, semi-chronic, intracranial electroencephalography recordings from the human limbic system with machine learning methods to discover a brain subnetwork that correlates with variation in individual subjects' self-reported mood over days. First we defined the subnetworks that influence intrinsic brain dynamics by identifying regions that showed coordinated changes in spectral coherence. The most common subnetwork, found in 13 of 21 subjects, was characterized by β-frequency coherence (13-30 Hz) between the amygdala and hippocampus. Increased variability of this subnetwork correlated with worsening mood across these 13 subjects. Moreover, these subjects had significantly higher trait anxiety than the 8 of 21 for whom this amygdala-hippocampus subnetwork was absent. These results demonstrate an approach for extracting network-behavior relationships from complex datasets, and they reveal a conserved subnetwork associated with a psychological trait that significantly influences intrinsic brain dynamics and encodes fluctuations in mood.","author":[{"dropping-particle":"","family":"Kirkby","given":"Lowry A","non-dropping-particle":"","parse-names":false,"suffix":""},{"dropping-particle":"","family":"Luongo","given":"Francisco J","non-dropping-particle":"","parse-names":false,"suffix":""},{"dropping-particle":"","family":"Lee","given":"Morgan B","non-dropping-particle":"","parse-names":false,"suffix":""},{"dropping-particle":"","family":"Nahum","given":"Mor","non-dropping-particle":"","parse-names":false,"suffix":""},{"dropping-particle":"","family":"Vleet","given":"Thomas M","non-dropping-particle":"Van","parse-names":false,"suffix":""},{"dropping-particle":"","family":"Rao","given":"Vikram R","non-dropping-particle":"","parse-names":false,"suffix":""},{"dropping-particle":"","family":"Dawes","given":"Heather E","non-dropping-particle":"","parse-names":false,"suffix":""},{"dropping-particle":"","family":"Chang","given":"Edward F","non-dropping-particle":"","parse-names":false,"suffix":""},{"dropping-particle":"","family":"Sohal","given":"Vikaas S","non-dropping-particle":"","parse-names":false,"suffix":""}],"container-title":"Cell","id":"ITEM-1","issue":"0","issued":{"date-parts":[["2018","10","29"]]},"publisher":"Elsevier","title":"An Amygdala-Hippocampus Subnetwork that Encodes Variation in Human Mood.","type":"article-journal","volume":"0"},"uris":["http://www.mendeley.com/documents/?uuid=b9ffc0e1-4b5c-3a18-bd4f-35739d14edaa"]}],"mendeley":{"formattedCitation":"(Kirkby et al., 2018)","plainTextFormattedCitation":"(Kirkby et al., 2018)","previouslyFormattedCitation":"(Kirkby et al., 2018)"},"properties":{"noteIndex":0},"schema":"https://github.com/citation-style-language/schema/raw/master/csl-citation.json"}</w:instrText>
      </w:r>
      <w:r w:rsidR="00146752" w:rsidRPr="00E20348">
        <w:rPr>
          <w:rFonts w:cs="AdvOT88ac8687"/>
          <w:color w:val="000000" w:themeColor="text1"/>
        </w:rPr>
        <w:fldChar w:fldCharType="separate"/>
      </w:r>
      <w:r w:rsidR="00146752" w:rsidRPr="00E20348">
        <w:rPr>
          <w:rFonts w:cs="AdvOT88ac8687"/>
          <w:noProof/>
          <w:color w:val="000000" w:themeColor="text1"/>
        </w:rPr>
        <w:t>(Kirkby et al., 2018)</w:t>
      </w:r>
      <w:r w:rsidR="00146752" w:rsidRPr="00E20348">
        <w:rPr>
          <w:rFonts w:cs="AdvOT88ac8687"/>
          <w:color w:val="000000" w:themeColor="text1"/>
        </w:rPr>
        <w:fldChar w:fldCharType="end"/>
      </w:r>
      <w:r w:rsidR="00146752" w:rsidRPr="001A7586">
        <w:rPr>
          <w:rFonts w:cs="AdvOT88ac8687"/>
          <w:color w:val="000000" w:themeColor="text1"/>
        </w:rPr>
        <w:t>.</w:t>
      </w:r>
      <w:r w:rsidR="00146752" w:rsidRPr="001A7586">
        <w:rPr>
          <w:bCs/>
        </w:rPr>
        <w:t xml:space="preserve"> </w:t>
      </w:r>
      <w:r w:rsidR="003573A5" w:rsidRPr="001A7586">
        <w:rPr>
          <w:rFonts w:cs="AdvOT88ac8687"/>
          <w:color w:val="000000" w:themeColor="text1"/>
        </w:rPr>
        <w:t xml:space="preserve">Although we have not investigated the contribution of the amygdala in this study, we have previously shown that levels of 5-HT are reduced in the amygdala of high anxious marmosets </w:t>
      </w:r>
      <w:r w:rsidR="003573A5" w:rsidRPr="00E20348">
        <w:rPr>
          <w:rFonts w:cs="AdvOT88ac8687"/>
          <w:color w:val="000000" w:themeColor="text1"/>
        </w:rPr>
        <w:fldChar w:fldCharType="begin" w:fldLock="1"/>
      </w:r>
      <w:r w:rsidR="003573A5" w:rsidRPr="001A7586">
        <w:rPr>
          <w:rFonts w:cs="AdvOT88ac8687"/>
          <w:color w:val="000000" w:themeColor="text1"/>
        </w:rPr>
        <w:instrText>ADDIN CSL_CITATION {"citationItems":[{"id":"ITEM-1","itemData":{"DOI":"10.1038/npp.2014.324","ISSN":"0893-133X","PMID":"25586542","abstract":"Trait anxiety is a risk factor for the development and maintenance of affective disorders, and insights into the underlying brain mechanisms are vital for improving treatment and prevention strategies. Translational studies in non-human primates, where targeted neurochemical and genetic manipulations can be made, are critical in view of their close neuroanatomical similarity to humans in brain regions implicated in trait anxiety. Thus, we characterised the serotonergic and regional brain volume correlates of trait-like anxiety in the marmoset monkey. Low- and high-anxious animals were identified by behavioral responses to a human intruder (HI) that are known to be sensitive to anxiolytic drug treatment. Extracellular serotonin levels within the amygdala were measured with in vivo microdialysis, at baseline and in response to challenge with the selective serotonin reuptake inhibitor, citalopram. Regional brain volume was assessed by structural magnetic resonance imaging. Anxious individuals showed persistent, long-term fearful responses to both a HI and a model snake, alongside sustained attention (vigilance) to novel cues in a context associated with unpredictable threat. Neurally, high-anxious marmosets showed reduced amygdala serotonin levels, and smaller volumes in a closely connected prefrontal region, the dorsal anterior cingulate cortex. These findings highlight behavioral and neural similarities between trait-like anxiety in marmosets and humans, and set the stage for further investigation of the processes contributing to vulnerability and resilience to affective disorders.","author":[{"dropping-particle":"","family":"Mikheenko","given":"Yevheniia","non-dropping-particle":"","parse-names":false,"suffix":""},{"dropping-particle":"","family":"Shiba","given":"Yoshiro","non-dropping-particle":"","parse-names":false,"suffix":""},{"dropping-particle":"","family":"Sawiak","given":"Stephen","non-dropping-particle":"","parse-names":false,"suffix":""},{"dropping-particle":"","family":"Braesicke","given":"Katrin","non-dropping-particle":"","parse-names":false,"suffix":""},{"dropping-particle":"","family":"Cockcroft","given":"Gemma","non-dropping-particle":"","parse-names":false,"suffix":""},{"dropping-particle":"","family":"Clarke","given":"Hannah","non-dropping-particle":"","parse-names":false,"suffix":""},{"dropping-particle":"","family":"Roberts","given":"Angela C","non-dropping-particle":"","parse-names":false,"suffix":""}],"container-title":"Neuropsychopharmacology","id":"ITEM-1","issue":"6","issued":{"date-parts":[["2015","5","11"]]},"page":"1395-1404","title":"Serotonergic, Brain Volume and Attentional Correlates of Trait Anxiety in Primates","type":"article-journal","volume":"40"},"uris":["http://www.mendeley.com/documents/?uuid=f05a9ffd-cd56-3925-a49c-0c13b78668e6"]}],"mendeley":{"formattedCitation":"(Mikheenko et al., 2015)","plainTextFormattedCitation":"(Mikheenko et al., 2015)","previouslyFormattedCitation":"(Mikheenko et al., 2015)"},"properties":{"noteIndex":0},"schema":"https://github.com/citation-style-language/schema/raw/master/csl-citation.json"}</w:instrText>
      </w:r>
      <w:r w:rsidR="003573A5" w:rsidRPr="00E20348">
        <w:rPr>
          <w:rFonts w:cs="AdvOT88ac8687"/>
          <w:color w:val="000000" w:themeColor="text1"/>
        </w:rPr>
        <w:fldChar w:fldCharType="separate"/>
      </w:r>
      <w:r w:rsidR="003573A5" w:rsidRPr="001A7586">
        <w:rPr>
          <w:rFonts w:cs="AdvOT88ac8687"/>
          <w:noProof/>
          <w:color w:val="000000" w:themeColor="text1"/>
        </w:rPr>
        <w:t>(Mikheenko et al., 2015)</w:t>
      </w:r>
      <w:r w:rsidR="003573A5" w:rsidRPr="00E20348">
        <w:rPr>
          <w:rFonts w:cs="AdvOT88ac8687"/>
          <w:color w:val="000000" w:themeColor="text1"/>
        </w:rPr>
        <w:fldChar w:fldCharType="end"/>
      </w:r>
      <w:r w:rsidR="003573A5" w:rsidRPr="001A7586">
        <w:rPr>
          <w:rFonts w:cs="AdvOT88ac8687"/>
          <w:color w:val="000000" w:themeColor="text1"/>
        </w:rPr>
        <w:t xml:space="preserve">, </w:t>
      </w:r>
      <w:r w:rsidR="00225250" w:rsidRPr="001A7586">
        <w:rPr>
          <w:rFonts w:cs="AdvOT88ac8687"/>
          <w:color w:val="000000" w:themeColor="text1"/>
        </w:rPr>
        <w:t>and the aHipp sends double-projecting neurons to both the mPFC and the basal amygdala</w:t>
      </w:r>
      <w:r w:rsidR="00BD2F50" w:rsidRPr="001A7586">
        <w:rPr>
          <w:rFonts w:cs="AdvOT88ac8687"/>
          <w:color w:val="000000" w:themeColor="text1"/>
        </w:rPr>
        <w:t>,</w:t>
      </w:r>
      <w:r w:rsidR="00225250" w:rsidRPr="001A7586">
        <w:rPr>
          <w:rFonts w:cs="AdvOT88ac8687"/>
          <w:color w:val="000000" w:themeColor="text1"/>
        </w:rPr>
        <w:t xml:space="preserve"> through which both regions can be modulated simultaneously </w:t>
      </w:r>
      <w:r w:rsidR="003573A5" w:rsidRPr="00E20348">
        <w:rPr>
          <w:rFonts w:cs="AdvOT88ac8687"/>
          <w:color w:val="000000" w:themeColor="text1"/>
        </w:rPr>
        <w:fldChar w:fldCharType="begin" w:fldLock="1"/>
      </w:r>
      <w:r w:rsidR="007661CE" w:rsidRPr="001A7586">
        <w:rPr>
          <w:rFonts w:cs="AdvOT88ac8687"/>
          <w:color w:val="000000" w:themeColor="text1"/>
        </w:rPr>
        <w:instrText>ADDIN CSL_CITATION {"citationItems":[{"id":"ITEM-1","itemData":{"DOI":"10.1523/JNEUROSCI.3579-16.2017","ISSN":"0270-6474","PMID":"28385873","abstract":"The acquisition and retrieval of contextual fear memory requires coordinated neural activity in the hippocampus, medial prefrontal cortex (mPFC), and amygdala. The contextual information encoded in the hippocampus is conveyed to the mPFC and amygdala for contextual fear conditioning. Previous studies have suggested that a CA1 neuronal population in the ventral hippocampus (VH) projects to both the mPFC and amygdala and is recruited in context-dependent control of conditioned fear. However, how double-projecting ventral CA1 hippocampal (vCA1) neurons modulate the activity of the mPFC and amygdala at the synaptic level has not been determined previously. Here, we show that the optogenetic silencing of the VH prevented the recall of contextual fear memory in mice, indicating its role in contextual fear expression. In dual retrograde viral tracing and c-Fos immunostaining experiments, we found that a proportion of vCA1 neurons projected to both the mPFC and amygdala and were recruited preferentially during context exposure, suggesting their role in encoding context representations. Moreover, optogenetic stimulation of axon collaterals of double-projecting vCA1 neurons induced monosynaptic excitatory responses in both the mPFC and basal amygdala, indicating that they could convey contextual information through the VH-mPFC and VH-amygdala pathways. The activation of double-projecting vCA1 neurons also induced action potential firings in the mPFC neurons that project to the amygdala, suggesting that they can also activate the VH-mPFC-amygdala pathway. With these synaptic mechanisms, double-projecting vCA1 neurons could induce synchronized neural activity in the mPFC and amygdala and convey contextual information efficiently to the basal amygdala for contextual fear conditioning.SIGNIFICANCE STATEMENTThis work demonstrates that ventral CA1 hippocampal (vCA1) neurons projecting to both the medial prefrontal cortex (mPFC) and amygdala are activated preferentially when contextual information is processed in the ventral hippocampus, which is required for contextual fear expression. Our electrophysiological experiments reveal that the activation of double-projecting vCA1 neurons induces excitatory synaptic activity in both the mPFC and amygdala. These results suggest that double-projecting vCA1 neurons could contribute to contextual fear responses by inducing synchronized activity in the mPFC and amygdala and conveying contextual information to the basal amygdala mo…","author":[{"dropping-particle":"Bin","family":"Kim","given":"Woong","non-dropping-particle":"","parse-names":false,"suffix":""},{"dropping-particle":"","family":"Cho","given":"Jun-Hyeong","non-dropping-particle":"","parse-names":false,"suffix":""}],"container-title":"The Journal of Neuroscience","id":"ITEM-1","issue":"19","issued":{"date-parts":[["2017","5","10"]]},"page":"4868-4882","title":"Synaptic Targeting of Double-Projecting Ventral CA1 Hippocampal Neurons to the Medial Prefrontal Cortex and Basal Amygdala","type":"article-journal","volume":"37"},"uris":["http://www.mendeley.com/documents/?uuid=485f3c18-943b-394b-be4a-e585c06fbd32"]}],"mendeley":{"formattedCitation":"(Kim and Cho, 2017)","plainTextFormattedCitation":"(Kim and Cho, 2017)","previouslyFormattedCitation":"(Kim and Cho, 2017)"},"properties":{"noteIndex":0},"schema":"https://github.com/citation-style-language/schema/raw/master/csl-citation.json"}</w:instrText>
      </w:r>
      <w:r w:rsidR="003573A5" w:rsidRPr="00E20348">
        <w:rPr>
          <w:rFonts w:cs="AdvOT88ac8687"/>
          <w:color w:val="000000" w:themeColor="text1"/>
        </w:rPr>
        <w:fldChar w:fldCharType="separate"/>
      </w:r>
      <w:r w:rsidR="003573A5" w:rsidRPr="001A7586">
        <w:rPr>
          <w:rFonts w:cs="AdvOT88ac8687"/>
          <w:noProof/>
          <w:color w:val="000000" w:themeColor="text1"/>
        </w:rPr>
        <w:t>(Kim and Cho, 2017)</w:t>
      </w:r>
      <w:r w:rsidR="003573A5" w:rsidRPr="00E20348">
        <w:rPr>
          <w:rFonts w:cs="AdvOT88ac8687"/>
          <w:color w:val="000000" w:themeColor="text1"/>
        </w:rPr>
        <w:fldChar w:fldCharType="end"/>
      </w:r>
      <w:r w:rsidR="003573A5" w:rsidRPr="001A7586">
        <w:rPr>
          <w:rFonts w:cs="AdvOT88ac8687"/>
          <w:color w:val="000000" w:themeColor="text1"/>
        </w:rPr>
        <w:t xml:space="preserve">. </w:t>
      </w:r>
    </w:p>
    <w:p w14:paraId="09035F8B" w14:textId="0A96E77A" w:rsidR="001262AD" w:rsidRPr="001A7586" w:rsidRDefault="00AA1719" w:rsidP="00AF18CF">
      <w:pPr>
        <w:spacing w:after="119" w:line="480" w:lineRule="auto"/>
        <w:jc w:val="both"/>
      </w:pPr>
      <w:r w:rsidRPr="001A7586">
        <w:rPr>
          <w:bCs/>
        </w:rPr>
        <w:t xml:space="preserve">Communication </w:t>
      </w:r>
      <w:r w:rsidR="007340D4" w:rsidRPr="001A7586">
        <w:rPr>
          <w:bCs/>
        </w:rPr>
        <w:t xml:space="preserve">specifically </w:t>
      </w:r>
      <w:r w:rsidRPr="001A7586">
        <w:rPr>
          <w:bCs/>
        </w:rPr>
        <w:t xml:space="preserve">between the vHipp and the mPFC is vital for the behavioral correlates of threat conditioning in rodents, and studies have primarily emphasised the role of vHipp connectivity with the prelimbic (PL), rather than infralimbic (IL) subregion </w:t>
      </w:r>
      <w:r w:rsidRPr="00E20348">
        <w:rPr>
          <w:bCs/>
        </w:rPr>
        <w:fldChar w:fldCharType="begin" w:fldLock="1"/>
      </w:r>
      <w:r w:rsidRPr="001A7586">
        <w:rPr>
          <w:bCs/>
        </w:rPr>
        <w:instrText>ADDIN CSL_CITATION {"citationItems":[{"id":"ITEM-1","itemData":{"DOI":"10.1038/npp.2010.184","ISSN":"0893-133X","PMID":"20962768","abstract":"Current models of conditioned fear expression and extinction involve the basolateral amygdala (BLA), ventral medial prefrontal cortex (vmPFC), and the hippocampus (HPC). There is some disagreement with respect to the specific roles of these structures, perhaps due to subregional differences within each area. For example, growing evidence suggests that infralimbic (IL) and prelimbic (PL) subregions of vmPFC have opposite influences on fear expression. Moreover, it is the ventral HPC (vHPC), rather than the dorsal HPC, that projects to vmPFC and BLA. To help determine regional specificity, we used small doses of the GABA(A) agonist muscimol to selectively inactivate IL, PL, BLA, or vHPC in an auditory fear conditioning and extinction paradigm. Infusions were performed prior to extinction training, allowing us to assess the effects on both fear expression and subsequent extinction memory. Inactivation of IL had no effect on fear expression, but impaired the within-session acquisition of extinction as well as extinction memory. In contrast, inactivation of PL impaired fear expression, but had no effect on extinction memory. Inactivation of the BLA or vHPC impaired both fear expression and extinction memory. Post-extinction inactivations had no effect in any structure. We suggest a model in which amygdala-dependent fear expression is modulated by inputs from PL and vHPC, whereas extinction memory requires extinction-induced plasticity in IL, BLA, and/or vHPC.Neuropsychopharmacology advance online publication, 20 October 2010; doi:10.1038/npp.2010.184.","author":[{"dropping-particle":"","family":"Sierra-Mercado","given":"Demetrio","non-dropping-particle":"","parse-names":false,"suffix":""},{"dropping-particle":"","family":"Padilla-Coreano","given":"Nancy","non-dropping-particle":"","parse-names":false,"suffix":""},{"dropping-particle":"","family":"Quirk","given":"Gregory J","non-dropping-particle":"","parse-names":false,"suffix":""}],"container-title":"Neuropsychopharmacology","edition":"2010/10/22","id":"ITEM-1","issue":"2","issued":{"date-parts":[["2010","1"]]},"language":"Eng","note":"From Duplicate 1 (Dissociable Roles of Prelimbic and Infralimbic Cortices, Ventral Hippocampus, and Basolateral Amygdala in the Expression and Extinction of Conditioned Fear - Sierra-Mercado, D; Padilla-Coreano, N; Quirk, G J)\n\nJournal article\nNeuropsychopharmacology : official publication of the American College of Neuropsychopharmacology\nNeuropsychopharmacology. 2010 Oct 20.","page":"529-38","title":"Dissociable Roles of Prelimbic and Infralimbic Cortices, Ventral Hippocampus, and Basolateral Amygdala in the Expression and Extinction of Conditioned Fear","type":"article-journal","volume":"36"},"uris":["http://www.mendeley.com/documents/?uuid=f8654f94-278c-401b-bd89-11d9a93f6904"]},{"id":"ITEM-2","itemData":{"DOI":"10.1016/j.neuron.2012.09.028","ISSN":"1097-4199","PMID":"23177964","abstract":"The prefrontal cortex (PFC) regulates emotional responses, but it is unclear how PFC integrates diverse inputs to select the appropriate response. We therefore evaluated the contribution of basolateral amygdala (BLA) and ventral hippocampus (vHPC) inputs to fear signaling in the prelimbic (PL) cortex, a PFC region critical for the expression of conditioned fear. In conditioned rats trained to press for food, BLA inactivation decreased the activity of projection cells in PL, and reduced PL conditioned tone responses. In contrast, vHPC inactivation decreased activity of interneurons in PL and increased PL conditioned tone responses. Consistent with hippocampal gating of fear after extinction, vHPC inactivation increased fear and PL pyramidal activity in extinguished, but not in conditioned, rats. These results suggest a prefrontal circuit whereby hippocampus gates amygdala-based fear. Thus, deficient hippocampal inhibition of PFC may underlie emotional disorders, especially in light of reduced hippocampal volume observed in depression and PTSD.","author":[{"dropping-particle":"","family":"Sotres-Bayon","given":"Francisco","non-dropping-particle":"","parse-names":false,"suffix":""},{"dropping-particle":"","family":"Sierra-Mercado","given":"Demetrio","non-dropping-particle":"","parse-names":false,"suffix":""},{"dropping-particle":"","family":"Pardilla-Delgado","given":"Enmanuelle","non-dropping-particle":"","parse-names":false,"suffix":""},{"dropping-particle":"","family":"Quirk","given":"Gregory J","non-dropping-particle":"","parse-names":false,"suffix":""}],"container-title":"Neuron","id":"ITEM-2","issue":"4","issued":{"date-parts":[["2012","11","21"]]},"page":"804-12","publisher":"NIH Public Access","title":"Gating of fear in prelimbic cortex by hippocampal and amygdala inputs.","type":"article-journal","volume":"76"},"uris":["http://www.mendeley.com/documents/?uuid=87ccd585-f0d1-3303-bbc7-9cdb6bc2f6ec"]},{"id":"ITEM-3","itemData":{"DOI":"10.1146/annurev.neuro.23.1.155","ISSN":"0147-006X","PMID":"10845062","abstract":"The field of neuroscience has, after a long period of looking the other way, again embraced emotion as an important research area. Much of the progress has come from studies of fear, and especially fear conditioning. This work has pinpointed the amygdala as an important component of the system involved in the acquisition, storage, and expression of fear memory and has elucidated in detail how stimuli enter, travel through, and exit the amygdala. Some progress has also been made in understanding the cellular and molecular mechanisms that underlie fear conditioning, and recent studies have also shown that the findings from experimental animals apply to the human brain. It is important to remember why this work on emotion succeeded where past efforts failed. It focused on a psychologically well-defined aspect of emotion, avoided vague and poorly defined concepts such as \"affect,\" \"hedonic tone,\" or \"emotional feelings,\" and used a simple and straightforward experimental approach. With so much research being done in this area today, it is important that the mistakes of the past not be made again. It is also time to expand from this foundation into broader aspects of mind and behavior.","author":[{"dropping-particle":"","family":"LeDoux","given":"Joseph E.","non-dropping-particle":"","parse-names":false,"suffix":""}],"container-title":"Annual Review of Neuroscience","id":"ITEM-3","issue":"1","issued":{"date-parts":[["2000","3"]]},"page":"155-184","title":"Emotion circuits in the brain","type":"article-journal","volume":"23"},"uris":["http://www.mendeley.com/documents/?uuid=60297ec6-397d-4c20-a2e5-13e5fb847c26"]},{"id":"ITEM-4","itemData":{"DOI":"10.1016/j.neuron.2009.12.002","ISSN":"1097-4199","PMID":"20152131","abstract":"The ventral hippocampus, unlike its dorsal counterpart, is required for anxiety-like behavior. The means by which it acts are unknown. We hypothesized that the hippocampus synchronizes with downstream targets that influence anxiety, such as the medial prefrontal cortex (mPFC). To test this hypothesis, we recorded mPFC and hippocampal activity in mice exposed to two anxiogenic arenas. Theta-frequency activity in the mPFC and ventral, but not dorsal, hippocampus was highly correlated at baseline, and this correlation increased in both anxiogenic environments. Increases in mPFC theta power predicted avoidance of the aversive compartments of each arena and were larger in serotonin 1A receptor knockout mice, a genetic model of increased anxiety-like behavior. These results suggest a role for theta-frequency synchronization between the ventral hippocampus and the mPFC in anxiety. They are consistent with the notion that such synchronization is a general mechanism by which the hippocampus communicates with downstream structures of behavioral relevance.","author":[{"dropping-particle":"","family":"Adhikari","given":"Avishek","non-dropping-particle":"","parse-names":false,"suffix":""},{"dropping-particle":"","family":"Topiwala","given":"Mihir A","non-dropping-particle":"","parse-names":false,"suffix":""},{"dropping-particle":"","family":"Gordon","given":"Joshua A","non-dropping-particle":"","parse-names":false,"suffix":""}],"container-title":"Neuron","id":"ITEM-4","issue":"2","issued":{"date-parts":[["2010","1","28"]]},"page":"257-69","title":"Synchronized activity between the ventral hippocampus and the medial prefrontal cortex during anxiety.","type":"article-journal","volume":"65"},"uris":["http://www.mendeley.com/documents/?uuid=28e9fe1b-a952-3809-9d71-22dd834a45ff"]},{"id":"ITEM-5","itemData":{"DOI":"10.1016/j.neuron.2016.01.011","ISSN":"08966273","PMID":"26853301","abstract":"The ventral hippocampus (vHPC), medial prefrontal cortex (mPFC), and basolateral amygdala (BLA) are each required for the expression of anxiety-like behavior. Yet the role of each individual element of the circuit is unclear. The projection from the vHPC to the mPFC has been implicated in anxiety-related neural synchrony and spatial representations of aversion. The role of this projection was examined using multi-site neural recordings combined with optogenetic terminal inhibition. Inhibition of vHPC input to the mPFC disrupted anxiety and mPFC representations of aversion, and reduced theta synchrony in a pathway-, frequency- and task-specific manner. Moreover, bilateral, but not unilateral, inhibition altered physiological correlates of anxiety in the BLA, mimicking a safety-like state. These results reveal a specific role for the vHPC-mPFC projection in anxiety-related behavior and the spatial representation of aversive information within the mPFC.","author":[{"dropping-particle":"","family":"Padilla-Coreano","given":"Nancy","non-dropping-particle":"","parse-names":false,"suffix":""},{"dropping-particle":"","family":"Bolkan","given":"Scott S.","non-dropping-particle":"","parse-names":false,"suffix":""},{"dropping-particle":"","family":"Pierce","given":"Georgia M.","non-dropping-particle":"","parse-names":false,"suffix":""},{"dropping-particle":"","family":"Blackman","given":"Dakota R.","non-dropping-particle":"","parse-names":false,"suffix":""},{"dropping-particle":"","family":"Hardin","given":"William D.","non-dropping-particle":"","parse-names":false,"suffix":""},{"dropping-particle":"","family":"Garcia-Garcia","given":"Alvaro L.","non-dropping-particle":"","parse-names":false,"suffix":""},{"dropping-particle":"","family":"Spellman","given":"Timothy J.","non-dropping-particle":"","parse-names":false,"suffix":""},{"dropping-particle":"","family":"Gordon","given":"Joshua A.","non-dropping-particle":"","parse-names":false,"suffix":""}],"container-title":"Neuron","id":"ITEM-5","issue":"4","issued":{"date-parts":[["2016","2","17"]]},"page":"857-866","title":"Direct Ventral Hippocampal-Prefrontal Input Is Required for Anxiety-Related Neural Activity and Behavior","type":"article-journal","volume":"89"},"uris":["http://www.mendeley.com/documents/?uuid=52d86076-af24-3eda-86a9-2a5719421003"]}],"mendeley":{"formattedCitation":"(LeDoux, 2000; Adhikari et al., 2010; Sierra-Mercado et al., 2010; Sotres-Bayon et al., 2012; Padilla-Coreano et al., 2016)","plainTextFormattedCitation":"(LeDoux, 2000; Adhikari et al., 2010; Sierra-Mercado et al., 2010; Sotres-Bayon et al., 2012; Padilla-Coreano et al., 2016)","previouslyFormattedCitation":"(LeDoux, 2000; Adhikari et al., 2010; Sierra-Mercado et al., 2010; Sotres-Bayon et al., 2012; Padilla-Coreano et al., 2016)"},"properties":{"noteIndex":0},"schema":"https://github.com/citation-style-language/schema/raw/master/csl-citation.json"}</w:instrText>
      </w:r>
      <w:r w:rsidRPr="00E20348">
        <w:rPr>
          <w:bCs/>
        </w:rPr>
        <w:fldChar w:fldCharType="separate"/>
      </w:r>
      <w:r w:rsidRPr="001A7586">
        <w:rPr>
          <w:bCs/>
          <w:noProof/>
        </w:rPr>
        <w:t>(LeDoux, 2000; Adhikari et al., 2010; Sierra-Mercado et al., 2010; Sotres-Bayon et al., 2012; Padilla-Coreano et al., 2016)</w:t>
      </w:r>
      <w:r w:rsidRPr="00E20348">
        <w:rPr>
          <w:bCs/>
        </w:rPr>
        <w:fldChar w:fldCharType="end"/>
      </w:r>
      <w:r w:rsidRPr="001A7586">
        <w:rPr>
          <w:bCs/>
        </w:rPr>
        <w:t xml:space="preserve">. As anatomical </w:t>
      </w:r>
      <w:r w:rsidR="007340D4" w:rsidRPr="001A7586">
        <w:rPr>
          <w:bCs/>
        </w:rPr>
        <w:t xml:space="preserve">and </w:t>
      </w:r>
      <w:r w:rsidRPr="001A7586">
        <w:rPr>
          <w:bCs/>
        </w:rPr>
        <w:t xml:space="preserve">connectivity studies suggest that rodent IL and PL are homologous to primate areas 25 and 32 respectively, </w:t>
      </w:r>
      <w:r w:rsidRPr="00E20348">
        <w:rPr>
          <w:rFonts w:cs="AdvOT88ac8687"/>
          <w:color w:val="000000" w:themeColor="text1"/>
        </w:rPr>
        <w:fldChar w:fldCharType="begin" w:fldLock="1"/>
      </w:r>
      <w:r w:rsidR="00225250" w:rsidRPr="001A7586">
        <w:rPr>
          <w:rFonts w:cs="AdvOT88ac8687"/>
          <w:color w:val="000000" w:themeColor="text1"/>
        </w:rPr>
        <w:instrText>ADDIN CSL_CITATION {"citationItems":[{"id":"ITEM-1","itemData":{"DOI":"10.1016/j.biopsych.2016.05.012","ISSN":"00063223","PMID":"27450032","abstract":"BACKGROUND Understanding the neural mechanisms of psychiatric disorders requires the use of rodent models; however, frontal-striatal homologies between rodents and primates are unclear. In contrast, within the striatum, the shell of the nucleus accumbens, the hippocampal projection zone, and the amygdala projection zone (referred to as the striatal emotion processing network [EPN]) are conserved across species. We used the relationship between the EPN and projections from the anterior cingulate cortex (ACC) and orbitofrontal cortex (OFC) to assess network similarities across rats and monkeys. METHODS We first compared the location and extent of each major component of the EPN in rats and macaques. Next, we used anatomic cases with anterograde injections in ACC/OFC to determine the extent to which corticostriatal terminal fields overlapped with these components and with each other. RESULTS The location and size of each component of the EPN were similar across species, containing projections primarily from infralimbic cortex in rats and area 25 in monkeys. Other ACC/OFC terminals overlapped extensively with infralimbic cortex/area 25 projections, supporting cross-species similarities in OFC topography. However, dorsal ACC had different connectivity profiles across species. These results were used to segment the monkey and rat striata according to ACC/OFC inputs. CONCLUSIONS Based on connectivity with the EPN, and consistent with prior literature, the infralimbic cortex and area 25 are likely homologues. We also see evidence of OFC homologies. Along with segmenting the striatum and identifying striatal hubs of overlapping inputs, these results help to translate findings between rodent models and human pathology.","author":[{"dropping-particle":"","family":"Heilbronner","given":"Sarah R.","non-dropping-particle":"","parse-names":false,"suffix":""},{"dropping-particle":"","family":"Rodriguez-Romaguera","given":"Jose","non-dropping-particle":"","parse-names":false,"suffix":""},{"dropping-particle":"","family":"Quirk","given":"Gregory J.","non-dropping-particle":"","parse-names":false,"suffix":""},{"dropping-particle":"","family":"Groenewegen","given":"Henk J.","non-dropping-particle":"","parse-names":false,"suffix":""},{"dropping-particle":"","family":"Haber","given":"Suzanne N.","non-dropping-particle":"","parse-names":false,"suffix":""}],"container-title":"Biological Psychiatry","id":"ITEM-1","issue":"7","issued":{"date-parts":[["2016","10","1"]]},"page":"509-521","title":"Circuit-Based Corticostriatal Homologies Between Rat and Primate","type":"article-journal","volume":"80"},"uris":["http://www.mendeley.com/documents/?uuid=79c4035c-e16e-3dc8-810e-5a4bea1faf62"]},{"id":"ITEM-2","itemData":{"DOI":"S0306-4522(06)00858-X [pii]\r10.1016/j.neuroscience.2006.06.027","ISBN":"0306-4522 (Print)\r0306-4522 (Linking)","PMID":"16887277","abstract":"The medial prefrontal cortex (mPFC) participates in several higher order functions including selective attention, visceromotor control, decision making and goal-directed behaviors. We discuss the role of the infralimbic cortex (IL) in visceromotor control and the prelimbic cortex (PL) in cognition and their interactions in goal-directed behaviors in the rat. The PL strongly interconnects with a relatively small group of structures that, like PL, subserve cognition, and together have been designated the 'PL circuit.' These structures primarily include the hippocampus, insular cortex, nucleus accumbens, basolateral nucleus of the amygdala, the mediodorsal and reuniens nuclei of the thalamus and the ventral tegmental area of the midbrain. Lesions of each of these structures, like those of PL, produce deficits in delayed response tasks and memory. The PL (and ventral anterior cingulate cortex) (AC) of rats is ideally positioned to integrate current and past information, including its affective qualities, and act on it through its projections to the ventral striatum/ventral pallidum. We further discuss the role of nucleus reuniens of thalamus as a major interface between the mPFC and the hippocampus, and as a prominent source of afferent limbic information to the mPFC and hippocampus. We suggest that the IL of rats is functionally homologous to the orbitomedial cortex of primates and the prelimbic (and ventral AC) cortex to the lateral/dorsolateral cortex of primates, and that the IL/PL complex of rats exerts significant control over emotional and cognitive aspects of goal-directed behavior.","author":[{"dropping-particle":"","family":"Vertes","given":"R P","non-dropping-particle":"","parse-names":false,"suffix":""}],"container-title":"Neuroscience","edition":"2006/08/05","id":"ITEM-2","issue":"1","issued":{"date-parts":[["2006"]]},"language":"eng","note":"Vertes, Robert P\nMH01476/MH/NIMH NIH HHS/United States\nMH63519/MH/NIMH NIH HHS/United States\nResearch Support, N.I.H., Extramural\nReview\nUnited States\nNeuroscience\nNeuroscience. 2006 Sep 29;142(1):1-20. Epub 2006 Aug 2.","page":"1-20","title":"Interactions among the medial prefrontal cortex, hippocampus and midline thalamus in emotional and cognitive processing in the rat","type":"article-journal","volume":"142"},"uris":["http://www.mendeley.com/documents/?uuid=01ec8e28-1658-4fc5-b0a3-b4f47b5c2bef"]},{"id":"ITEM-3","itemData":{"DOI":"10.1007/s00429-012-0493-3","ISSN":"1863-2661","PMID":"23229151","abstract":"A gulf exists between cingulate area designations in human neurocytology and those used in rodent brain atlases with a major underpinning of the former being midcingulate cortex (MCC). The present study used images extracted from the Franklin and Paxinos mouse atlas and Paxinos and Watson rat atlas to demonstrate areas comprising MCC and modifications of anterior cingulate (ACC) and retrosplenial cortices. The laminar architecture not available in the atlases is also provided for each cingulate area. Both mouse and rat have a MCC with neurons in all layers that are larger than in ACC and layer Va has particularly prominent neurons and reduced neuron densities. An undifferentiated ACC area 33 lies along the rostral callosal sulcus in rat but not in mouse and area 32 has dorsal and ventral subdivisions with the former having particularly large pyramidal neurons in layer Vb. Both mouse and rat have anterior and posterior divisions of retrosplenial areas 29c and 30, although their cytology is different in rat and mouse. Maps of the rodent cingulate cortices provide for direct comparisons with each region in the human including MCC and it is significant that rodents do not have a posterior cingulate region composed of areas 23 and 31 like the human. It is concluded that rodents and primates, including humans, possess a MCC and this homology along with those in ACC and retrosplenial cortices permit scientists inspired by human considerations to test hypotheses on rodent models of human diseases.","author":[{"dropping-particle":"","family":"Vogt","given":"Brent A","non-dropping-particle":"","parse-names":false,"suffix":""},{"dropping-particle":"","family":"Paxinos","given":"George","non-dropping-particle":"","parse-names":false,"suffix":""}],"container-title":"Brain structure &amp; function","id":"ITEM-3","issue":"1","issued":{"date-parts":[["2014","1"]]},"page":"185-92","title":"Cytoarchitecture of mouse and rat cingulate cortex with human homologies.","type":"article-journal","volume":"219"},"uris":["http://www.mendeley.com/documents/?uuid=ee542366-a202-335b-aa6c-4c43a30a9879"]}],"mendeley":{"formattedCitation":"(Vertes, 2006; Vogt and Paxinos, 2014; Heilbronner et al., 2016)","plainTextFormattedCitation":"(Vertes, 2006; Vogt and Paxinos, 2014; Heilbronner et al., 2016)","previouslyFormattedCitation":"(Vertes, 2006; Vogt and Paxinos, 2014; Heilbronner et al., 2016)"},"properties":{"noteIndex":0},"schema":"https://github.com/citation-style-language/schema/raw/master/csl-citation.json"}</w:instrText>
      </w:r>
      <w:r w:rsidRPr="00E20348">
        <w:rPr>
          <w:rFonts w:cs="AdvOT88ac8687"/>
          <w:color w:val="000000" w:themeColor="text1"/>
        </w:rPr>
        <w:fldChar w:fldCharType="separate"/>
      </w:r>
      <w:r w:rsidR="007661CE" w:rsidRPr="001A7586">
        <w:rPr>
          <w:rFonts w:cs="AdvOT88ac8687"/>
          <w:noProof/>
          <w:color w:val="000000" w:themeColor="text1"/>
        </w:rPr>
        <w:t>(Vertes, 2006; Vogt and Paxinos, 2014; Heilbronner et al., 2016)</w:t>
      </w:r>
      <w:r w:rsidRPr="00E20348">
        <w:rPr>
          <w:rFonts w:cs="AdvOT88ac8687"/>
          <w:color w:val="000000" w:themeColor="text1"/>
        </w:rPr>
        <w:fldChar w:fldCharType="end"/>
      </w:r>
      <w:r w:rsidRPr="001A7586">
        <w:rPr>
          <w:rFonts w:cs="AdvOT88ac8687"/>
          <w:color w:val="000000" w:themeColor="text1"/>
        </w:rPr>
        <w:t xml:space="preserve">, these rodent studies predict the importance of primate aHipp-area 32 connectivity for threat regulation. </w:t>
      </w:r>
      <w:r w:rsidR="006B56EB" w:rsidRPr="00E20348">
        <w:rPr>
          <w:rFonts w:cs="AdvOT88ac8687"/>
          <w:color w:val="000000" w:themeColor="text1"/>
        </w:rPr>
        <w:t>Despite this, the current data highlight the importance of aHipp-area 25 for the regulation of the behavioral and cardiovascular indices of cue-directed high-trait</w:t>
      </w:r>
      <w:r w:rsidR="00AC2178" w:rsidRPr="00E20348">
        <w:rPr>
          <w:rFonts w:cs="AdvOT88ac8687"/>
          <w:color w:val="000000" w:themeColor="text1"/>
        </w:rPr>
        <w:t xml:space="preserve"> anxiety,</w:t>
      </w:r>
      <w:r w:rsidR="006B56EB" w:rsidRPr="00E20348">
        <w:rPr>
          <w:rFonts w:cs="AdvOT88ac8687"/>
          <w:color w:val="000000" w:themeColor="text1"/>
        </w:rPr>
        <w:t xml:space="preserve"> </w:t>
      </w:r>
      <w:r w:rsidR="00AC2178" w:rsidRPr="00E20348">
        <w:rPr>
          <w:rFonts w:cs="AdvOT88ac8687"/>
          <w:color w:val="000000" w:themeColor="text1"/>
        </w:rPr>
        <w:t>and</w:t>
      </w:r>
      <w:r w:rsidR="006B56EB" w:rsidRPr="00E20348">
        <w:rPr>
          <w:rFonts w:cs="AdvOT88ac8687"/>
          <w:color w:val="000000" w:themeColor="text1"/>
        </w:rPr>
        <w:t xml:space="preserve"> </w:t>
      </w:r>
      <w:r w:rsidR="00AC2178" w:rsidRPr="00E20348">
        <w:rPr>
          <w:rFonts w:cs="AdvOT88ac8687"/>
          <w:color w:val="000000" w:themeColor="text1"/>
        </w:rPr>
        <w:t xml:space="preserve">provide </w:t>
      </w:r>
      <w:r w:rsidR="006B56EB" w:rsidRPr="00E20348">
        <w:rPr>
          <w:rFonts w:cs="AdvOT88ac8687"/>
          <w:color w:val="000000" w:themeColor="text1"/>
        </w:rPr>
        <w:t xml:space="preserve">causal support for human neuroimaging studies highlighting the importance of aHipp-area 25 connectivity in the regulation of negative emotional </w:t>
      </w:r>
      <w:r w:rsidR="00D8399B" w:rsidRPr="00E20348">
        <w:rPr>
          <w:rFonts w:cs="AdvOT88ac8687"/>
          <w:color w:val="000000" w:themeColor="text1"/>
        </w:rPr>
        <w:t>behavior</w:t>
      </w:r>
      <w:r w:rsidR="006B56EB" w:rsidRPr="00E20348">
        <w:rPr>
          <w:rFonts w:cs="AdvOT88ac8687"/>
          <w:color w:val="000000" w:themeColor="text1"/>
        </w:rPr>
        <w:t xml:space="preserve"> </w:t>
      </w:r>
      <w:r w:rsidR="006B56EB" w:rsidRPr="001A7586">
        <w:rPr>
          <w:rFonts w:cs="AdvOT88ac8687"/>
          <w:color w:val="000000" w:themeColor="text1"/>
        </w:rPr>
        <w:fldChar w:fldCharType="begin" w:fldLock="1"/>
      </w:r>
      <w:r w:rsidR="006B56EB" w:rsidRPr="00E20348">
        <w:rPr>
          <w:rFonts w:cs="AdvOT88ac8687"/>
          <w:color w:val="000000" w:themeColor="text1"/>
        </w:rPr>
        <w:instrText>ADDIN CSL_CITATION {"citationItems":[{"id":"ITEM-1","itemData":{"DOI":"10.1038/mp.2010.46\rmp201046 [pii]","ISBN":"1476-5578 (Electronic)\r1359-4184 (Linking)","PMID":"20479758","abstract":"Major Depressive Disorder (MDD) has been conceptualized as a neural network-level disease. Few studies of the neural bases of depression, however, have used analytical techniques that are capable of testing network-level hypotheses of neural dysfunction in this disorder. Moreover, of those that have, fewer still have attempted to determine the directionality of influence within functionally abnormal networks of structures. We used multivariate GC analysis, a technique that estimates the extent to which preceding neural activity in one or more seed regions predicts subsequent activity in target brain regions, to analyze blood-oxygen-level-dependent (BOLD) data collected during eyes-closed rest from depressed and never-depressed persons. We found that activation in the hippocampus predicted subsequent increases in ventral anterior cingulate cortex (vACC) activity in depression, and that activity in the medial prefrontal cortex and vACC were mutually reinforcing in MDD. Hippocampal and vACC activation in depressed participants predicted subsequent decreases in dorsal cortical activity. This study shows that, on a moment-by-moment basis, there is increased excitatory activity among limbic and paralimbic structures, as well as increased inhibition in the activity of dorsal cortical structures, by limbic structures in depression; these aberrant patterns of effective connectivity implicate disturbances in the mesostriatal dopamine system in depression. These findings advance the neural theory of depression by detailing specific patterns of limbic excitation in MDD, by making explicit the primary role of limbic inhibition of dorsal cortex in the cortico-limbic relation posited to underlie depression, and by presenting an integrated neurofunctional account of altered dopamine function in this disorder.","author":[{"dropping-particle":"","family":"Hamilton","given":"J P","non-dropping-particle":"","parse-names":false,"suffix":""},{"dropping-particle":"","family":"Chen","given":"G","non-dropping-particle":"","parse-names":false,"suffix":""},{"dropping-particle":"","family":"Thomason","given":"M E","non-dropping-particle":"","parse-names":false,"suffix":""},{"dropping-particle":"","family":"Schwartz","given":"M E","non-dropping-particle":"","parse-names":false,"suffix":""},{"dropping-particle":"","family":"Gotlib","given":"I H","non-dropping-particle":"","parse-names":false,"suffix":""}],"container-title":"Mol Psychiatry","edition":"2010/05/19","id":"ITEM-1","issue":"7","issued":{"date-parts":[["2011"]]},"language":"eng","note":"Hamilton, J P\nChen, G\nThomason, M E\nSchwartz, M E\nGotlib, I H\nMH079651/MH/NIMH NIH HHS/United States\nMH59259/MH/NIMH NIH HHS/United States\nR01 MH059259-11/MH/NIMH NIH HHS/United States\nResearch Support, N.I.H., Extramural\nEngland\nMolecular psychiatry\nMol Psychiatry. 2011 Jul;16(7):763-72. doi: 10.1038/mp.2010.46. Epub 2010 May 18.","page":"763-772","title":"Investigating neural primacy in Major Depressive Disorder: multivariate Granger causality analysis of resting-state fMRI time-series data","type":"article-journal","volume":"16"},"uris":["http://www.mendeley.com/documents/?uuid=0db61cf4-3e2c-4e7c-b6e1-37556d23256c"]},{"id":"ITEM-2","itemData":{"DOI":"10.1016/j.neuropsychologia.2011.02.055","ISSN":"1873-3514","PMID":"21382385","abstract":"Post-traumatic stress disorder (PTSD) is characterized by a failure of psychological recovery from a traumatic experience. At a neural level, it is associated with abnormalities of the areas of the neural system that process threatening information, including the amygdala and medial-prefrontal cortex, as well as of that involved in episodic memory, including the hippocampus. However, little is known about how the function of these regions may change as one recovers from the disorder. In this investigation, PTSD patients underwent two functional magnetic resonance imaging (fMRI) scans, 6-9 months apart, while viewing fearful and neutral faces in preparation for a memory test (administered outside the scanner). At Time 2, 65% of patients were in remission. Current symptom levels correlated positively with memory-related fMRI activity in the amygdala and ventral-medial prefrontal cortex (vmPFC). In addition, the change in activity within the hippocampus and the subgenual anterior cingulate cortex (sgACC) was associated with the degree of symptom improvement (n=18). These results suggest differential involvement of structures within the fear network in symptom manifestation and in recovery from PTSD: whereas activity within the amygdala and vmPFC appeared to be a marker of current symptom severity, functional changes in the hippocampus and sgACC reflected recovery. These results underscore the importance of longitudinal investigations for the identification of the differential neural structures associated with the expression and remission of anxiety disorders.","author":[{"dropping-particle":"","family":"Dickie","given":"Erin W","non-dropping-particle":"","parse-names":false,"suffix":""},{"dropping-particle":"","family":"Brunet","given":"Alain","non-dropping-particle":"","parse-names":false,"suffix":""},{"dropping-particle":"","family":"Akerib","given":"Vivian","non-dropping-particle":"","parse-names":false,"suffix":""},{"dropping-particle":"","family":"Armony","given":"Jorge L","non-dropping-particle":"","parse-names":false,"suffix":""}],"container-title":"Neuropsychologia","id":"ITEM-2","issue":"7","issued":{"date-parts":[["2011","6"]]},"page":"1771-8","title":"Neural correlates of recovery from post-traumatic stress disorder: a longitudinal fMRI investigation of memory encoding.","type":"article-journal","volume":"49"},"uris":["http://www.mendeley.com/documents/?uuid=a16a4b56-8a34-379c-ac02-17ad4b94deb2"]},{"id":"ITEM-3","itemData":{"DOI":"10.1016/j.biopsych.2014.06.018","ISSN":"1873-2402","PMID":"25109665","abstract":"BACKGROUND Longitudinal studies of illness progression in patients with major depressive disorder (MDD) indicate that the onset of subsequent depressive episodes becomes increasingly decoupled from external stressors. A possible mechanism underlying this phenomenon is that multiple episodes induce long-lasting neurobiological changes that confer increased risk for recurrence. Prior morphometric studies have frequently reported volumetric reductions in patients with MDD--especially in medial prefrontal cortex (mPFC) and the hippocampus--but few studies have investigated whether these changes are exacerbated by prior episodes. METHODS In a sample of 103 medication-free patients with depression and control subjects with no history of depression, structural magnetic resonance imaging was performed to examine relationships between number of prior episodes, current stress, hippocampal subfield volume and cortical thickness. Volumetric analyses of the hippocampus were performed using a recently validated subfield segmentation approach, and cortical thickness estimates were obtained using vertex-based methods. Participants were grouped on the basis of the number of prior depressive episodes and current depressive diagnosis. RESULTS Number of prior episodes was associated with both lower reported stress levels and reduced volume in the dentate gyrus. Cortical thinning of the left mPFC was associated with a greater number of prior depressive episodes but not current depressive diagnosis. CONCLUSIONS Collectively, these findings are consistent with preclinical models suggesting that the dentate gyrus and mPFC are especially vulnerable to stress exposure and provide evidence for morphometric changes that are consistent with stress-sensitization models of recurrence in MDD.","author":[{"dropping-particle":"","family":"Treadway","given":"Michael T","non-dropping-particle":"","parse-names":false,"suffix":""},{"dropping-particle":"","family":"Waskom","given":"Michael L","non-dropping-particle":"","parse-names":false,"suffix":""},{"dropping-particle":"","family":"Dillon","given":"Daniel G","non-dropping-particle":"","parse-names":false,"suffix":""},{"dropping-particle":"","family":"Holmes","given":"Avram J","non-dropping-particle":"","parse-names":false,"suffix":""},{"dropping-particle":"","family":"Park","given":"Min Tae M","non-dropping-particle":"","parse-names":false,"suffix":""},{"dropping-particle":"","family":"Chakravarty","given":"M Mallar","non-dropping-particle":"","parse-names":false,"suffix":""},{"dropping-particle":"","family":"Dutra","given":"Sunny J","non-dropping-particle":"","parse-names":false,"suffix":""},{"dropping-particle":"","family":"Polli","given":"Frida E","non-dropping-particle":"","parse-names":false,"suffix":""},{"dropping-particle":"V","family":"Iosifescu","given":"Dan","non-dropping-particle":"","parse-names":false,"suffix":""},{"dropping-particle":"","family":"Fava","given":"Maurizio","non-dropping-particle":"","parse-names":false,"suffix":""},{"dropping-particle":"","family":"Gabrieli","given":"John D E","non-dropping-particle":"","parse-names":false,"suffix":""},{"dropping-particle":"","family":"Pizzagalli","given":"Diego A","non-dropping-particle":"","parse-names":false,"suffix":""}],"container-title":"Biological psychiatry","id":"ITEM-3","issue":"3","issued":{"date-parts":[["2015","2","1"]]},"page":"285-294","publisher":"NIH Public Access","title":"Illness progression, recent stress, and morphometry of hippocampal subfields and medial prefrontal cortex in major depression.","type":"article-journal","volume":"77"},"uris":["http://www.mendeley.com/documents/?uuid=e7592ba5-1b41-33d3-a4e7-961c7975d793"]}],"mendeley":{"formattedCitation":"(Dickie et al., 2011; Hamilton et al., 2011; Treadway et al., 2015)","plainTextFormattedCitation":"(Dickie et al., 2011; Hamilton et al., 2011; Treadway et al., 2015)","previouslyFormattedCitation":"(Dickie et al., 2011; Hamilton et al., 2011; Treadway et al., 2015)"},"properties":{"noteIndex":0},"schema":"https://github.com/citation-style-language/schema/raw/master/csl-citation.json"}</w:instrText>
      </w:r>
      <w:r w:rsidR="006B56EB" w:rsidRPr="00E20348">
        <w:rPr>
          <w:rFonts w:cs="AdvOT88ac8687"/>
          <w:color w:val="000000" w:themeColor="text1"/>
        </w:rPr>
        <w:fldChar w:fldCharType="separate"/>
      </w:r>
      <w:r w:rsidR="006B56EB" w:rsidRPr="00E20348">
        <w:rPr>
          <w:rFonts w:cs="AdvOT88ac8687"/>
          <w:noProof/>
          <w:color w:val="000000" w:themeColor="text1"/>
        </w:rPr>
        <w:t>(Dickie et al., 2011; Hamilton et al., 2011; Treadway et al., 2015)</w:t>
      </w:r>
      <w:r w:rsidR="006B56EB" w:rsidRPr="00E20348">
        <w:rPr>
          <w:rFonts w:cs="AdvOT88ac8687"/>
          <w:color w:val="000000" w:themeColor="text1"/>
        </w:rPr>
        <w:fldChar w:fldCharType="end"/>
      </w:r>
      <w:r w:rsidR="006B56EB" w:rsidRPr="001A7586">
        <w:rPr>
          <w:rFonts w:cs="AdvOT88ac8687"/>
          <w:color w:val="000000" w:themeColor="text1"/>
        </w:rPr>
        <w:t>.</w:t>
      </w:r>
      <w:r w:rsidR="00D977BC" w:rsidRPr="00E20348">
        <w:rPr>
          <w:rFonts w:cs="AdvOT88ac8687"/>
          <w:color w:val="000000" w:themeColor="text1"/>
        </w:rPr>
        <w:t xml:space="preserve"> One </w:t>
      </w:r>
      <w:r w:rsidR="004931CC" w:rsidRPr="00E20348">
        <w:rPr>
          <w:rFonts w:cs="AdvOT88ac8687"/>
          <w:color w:val="000000" w:themeColor="text1"/>
        </w:rPr>
        <w:t xml:space="preserve">possible explanation for these differences </w:t>
      </w:r>
      <w:r w:rsidR="00D977BC" w:rsidRPr="00E20348">
        <w:rPr>
          <w:rFonts w:cs="AdvOT88ac8687"/>
          <w:color w:val="000000" w:themeColor="text1"/>
        </w:rPr>
        <w:t>is</w:t>
      </w:r>
      <w:r w:rsidR="006B56EB" w:rsidRPr="00E20348">
        <w:rPr>
          <w:rFonts w:cs="AdvOT88ac8687"/>
          <w:color w:val="000000" w:themeColor="text1"/>
        </w:rPr>
        <w:t xml:space="preserve"> </w:t>
      </w:r>
      <w:r w:rsidR="004931CC" w:rsidRPr="00E20348">
        <w:t>that hippocampal glutamate differentially regulates the</w:t>
      </w:r>
      <w:r w:rsidR="007E35C4" w:rsidRPr="00E20348">
        <w:t>se</w:t>
      </w:r>
      <w:r w:rsidR="004931CC" w:rsidRPr="00E20348">
        <w:t xml:space="preserve"> mPFC</w:t>
      </w:r>
      <w:r w:rsidR="007E35C4" w:rsidRPr="00E20348">
        <w:t xml:space="preserve"> subregions</w:t>
      </w:r>
      <w:r w:rsidR="004931CC" w:rsidRPr="00E20348">
        <w:t xml:space="preserve"> in healthy and high-trait anxious states. This would also explain why </w:t>
      </w:r>
      <w:r w:rsidR="007340D4" w:rsidRPr="00E20348">
        <w:t>v/a</w:t>
      </w:r>
      <w:r w:rsidR="004931CC" w:rsidRPr="00E20348">
        <w:t xml:space="preserve">Hipp lesions </w:t>
      </w:r>
      <w:r w:rsidR="004931CC" w:rsidRPr="00E20348">
        <w:lastRenderedPageBreak/>
        <w:t xml:space="preserve">and glutamate antagonism </w:t>
      </w:r>
      <w:r w:rsidR="004931CC" w:rsidRPr="00E20348">
        <w:rPr>
          <w:rFonts w:cs="AdvOT88ac8687"/>
          <w:color w:val="000000" w:themeColor="text1"/>
        </w:rPr>
        <w:t xml:space="preserve">in non-anxious rodents and primates are anxiolytic </w:t>
      </w:r>
      <w:r w:rsidR="004931CC" w:rsidRPr="001A7586">
        <w:fldChar w:fldCharType="begin" w:fldLock="1"/>
      </w:r>
      <w:r w:rsidR="004931CC" w:rsidRPr="00E20348">
        <w:instrText>ADDIN CSL_CITATION {"citationItems":[{"id":"ITEM-1","itemData":{"DOI":"S0014-2999(09)00903-0 [pii]\r10.1016/j.ejphar.2009.10.014","ISBN":"1879-0712 (Electronic)\r0014-2999 (Linking)","PMID":"19836379","abstract":"David De Wied had a fundamental interest in the brain and behaviour, with a particular interest in the interface between cognition and emotion, and how impairments at this interface could underlie human psychopathology. The NMDA subtype of glutamate receptor is an important mediator of synaptic plasticity and plays a central role in the neurobiological mechanisms of emotionality, as well as learning and memory. NMDA receptor antagonists affect various aspects of emotionality including fear, anxiety and depression, as well as impairing certain forms of learning and memory. The hippocampus is a key brain structure, implicated in both cognition and emotion. Lesion studies in animals have suggested that dorsal and ventral sub-regions of the hippocampus are differentially involved in dissociable aspects of hippocampus-dependent behaviour. Cytotoxic lesions of the dorsal hippocampus (septal pole) in rodents impair spatial learning but have no effect on anxiety, whereas ventral hippocampal lesions reduce anxiety but are without effect on spatial memory. This role for the ventral hippocampus in anxiety is distinct from the role of the amygdala in other aspects of emotional processing, such as fear conditioning. Recent studies with genetically modified mice have shown that NR1 NMDA receptor subunit deletion, specifically from the granule cells of the dentate gyrus, not only impairs short-term spatial memory but also reduces anxiety. This suggests that NMDA receptors in ventral hippocampus may be a key locus supporting the anxiolytic effects of NMDA receptor antagonists. These data support Gray's neuropsychological account of hippocampal function.","author":[{"dropping-particle":"","family":"Barkus","given":"C","non-dropping-particle":"","parse-names":false,"suffix":""},{"dropping-particle":"","family":"McHugh","given":"S B","non-dropping-particle":"","parse-names":false,"suffix":""},{"dropping-particle":"","family":"Sprengel","given":"R","non-dropping-particle":"","parse-names":false,"suffix":""},{"dropping-particle":"","family":"Seeburg","given":"P H","non-dropping-particle":"","parse-names":false,"suffix":""},{"dropping-particle":"","family":"Rawlins","given":"J N","non-dropping-particle":"","parse-names":false,"suffix":""},{"dropping-particle":"","family":"Bannerman","given":"D M","non-dropping-particle":"","parse-names":false,"suffix":""}],"container-title":"European Journal of Pharmacology","edition":"2009/10/20","id":"ITEM-1","issue":"1","issued":{"date-parts":[["2010"]]},"language":"eng","note":"Barkus, Christopher\nMcHugh, Stephen B\nSprengel, Rolf\nSeeburg, Peter H\nRawlins, J Nicholas P\nBannerman, David M\nReview\nNetherlands\nEuropean journal of pharmacology\nEur J Pharmacol. 2010 Jan 10;626(1):49-56. Epub 2009 Oct 15.","page":"49-56","title":"Hippocampal NMDA receptors and anxiety: at the interface between cognition and emotion","type":"article-journal","volume":"626"},"uris":["http://www.mendeley.com/documents/?uuid=c9829a65-4bf3-4600-a480-6424fd909eb7"]},{"id":"ITEM-2","itemData":{"DOI":"10.1111/j.1460-9568.2009.07012.x","ISSN":"0953816X","PMID":"20092575","abstract":"The present study attempted to distinguish the independent contributions of the amygdala and hippocampus to fear expression. Rhesus monkeys (Macaca mulatta) with bilateral excitotoxic amygdala lesions (n = 4), bilateral excitotoxic hippocampal lesions (n = 8) and unoperated controls (n = 9) were allowed to reach over a neutral junk object or fear-provoking stimulus (i.e., a rubber snake or a jumping rubber spider) to retrieve a food reward. Monkeys were exposed to each stimulus for 30 s. On each trial we recorded the monkey's latency to retrieve the food reward and scored their whole-body reactions to the object. Confirming previous work we found that, relative to controls, both operated groups showed shorter food-retrieval latencies and exhibited fewer defensive and more approach behaviors when exposed to the fear-provoking stimuli. However, only monkeys with amygdala lesions showed an abnormal, excessive visual interest in the snake and spider. By contrast, monkeys with hippocampal lesions displayed behaviors that were unrelated to the presence of the fear stimuli, thereby indicating a lack of interest in, and emotional reactivity towards, the snake and spider. These data show that the hippocampus and amygdala contribute independently to the overall expression of defensive responses.","author":[{"dropping-particle":"","family":"Chudasama","given":"Yogita","non-dropping-particle":"","parse-names":false,"suffix":""},{"dropping-particle":"","family":"Izquierdo","given":"Alicia","non-dropping-particle":"","parse-names":false,"suffix":""},{"dropping-particle":"","family":"Murray","given":"Elisabeth A.","non-dropping-particle":"","parse-names":false,"suffix":""}],"container-title":"European Journal of Neuroscience","id":"ITEM-2","issue":"12","issued":{"date-parts":[["2009","12"]]},"page":"2327-2337","title":"Distinct contributions of the amygdala and hippocampus to fear expression","type":"article-journal","volume":"30"},"uris":["http://www.mendeley.com/documents/?uuid=8fb34f17-6c3c-3b1f-a7ea-5f133c7432d5"]},{"id":"ITEM-3","itemData":{"DOI":"10.1016/j.biopsych.2007.11.012","ISSN":"00063223","PMID":"18191111","abstract":"BACKGROUND Although the role of the hippocampus in emotional behavior has long been recognized, the extent to which the hippocampus plays a role in the regulation and expression of emotion in rhesus monkeys has not been systematically explored. METHODS Rhesus monkeys (Macaca mulatta) with excitotoxic lesions of the hippocampal formation and unoperated control animals were assessed on two different types of emotional processing: defensive reactions to a potential predator (experiment 1) and ability to update the value of positive reinforcers, in this case food (experiment 2). Monkeys with aspiration lesions of the perirhinal cortex were also included in this study as an operated control group. RESULTS In experiment 1, whereas both operated groups showed reduced latencies to retrieve food located near an innately fear-provoking stimulus, a fake snake, only monkeys with hippocampal lesions displayed reduced defensive reactions to the snake. In experiment 2, both operated groups performed as well as control animals when choosing objects flexibly based on the current value of a food. CONCLUSIONS These findings dissociate the hippocampus and perirhinal cortex in fear expression and specifically implicate the hippocampal formation in generating responses to stimuli that are potentially threatening.","author":[{"dropping-particle":"","family":"Chudasama","given":"Yogita","non-dropping-particle":"","parse-names":false,"suffix":""},{"dropping-particle":"","family":"Wright","given":"Katherine S.","non-dropping-particle":"","parse-names":false,"suffix":""},{"dropping-particle":"","family":"Murray","given":"Elisabeth A.","non-dropping-particle":"","parse-names":false,"suffix":""}],"container-title":"Biological Psychiatry","id":"ITEM-3","issue":"11","issued":{"date-parts":[["2008","6","1"]]},"page":"1084-1091","title":"Hippocampal Lesions in Rhesus Monkeys Disrupt Emotional Responses but Not Reinforcer Devaluation Effects","type":"article-journal","volume":"63"},"uris":["http://www.mendeley.com/documents/?uuid=1e960a2a-9632-3d27-8986-cd58a31afc50"]}],"mendeley":{"formattedCitation":"(Chudasama et al., 2008, 2009; Barkus et al., 2010)","plainTextFormattedCitation":"(Chudasama et al., 2008, 2009; Barkus et al., 2010)","previouslyFormattedCitation":"(Chudasama et al., 2008, 2009; Barkus et al., 2010)"},"properties":{"noteIndex":0},"schema":"https://github.com/citation-style-language/schema/raw/master/csl-citation.json"}</w:instrText>
      </w:r>
      <w:r w:rsidR="004931CC" w:rsidRPr="00E20348">
        <w:fldChar w:fldCharType="separate"/>
      </w:r>
      <w:r w:rsidR="004931CC" w:rsidRPr="00E20348">
        <w:rPr>
          <w:noProof/>
        </w:rPr>
        <w:t>(Chudasama et al., 2008, 2009; Barkus et al., 2010)</w:t>
      </w:r>
      <w:r w:rsidR="004931CC" w:rsidRPr="00E20348">
        <w:fldChar w:fldCharType="end"/>
      </w:r>
      <w:r w:rsidR="004931CC" w:rsidRPr="001A7586">
        <w:t xml:space="preserve">, yet increasing </w:t>
      </w:r>
      <w:r w:rsidR="007340D4" w:rsidRPr="00E20348">
        <w:t>v/a</w:t>
      </w:r>
      <w:r w:rsidR="004931CC" w:rsidRPr="00E20348">
        <w:t xml:space="preserve">Hipp glutamate in high-trait anxious </w:t>
      </w:r>
      <w:r w:rsidR="007340D4" w:rsidRPr="00E20348">
        <w:t xml:space="preserve">rats </w:t>
      </w:r>
      <w:r w:rsidR="004931CC" w:rsidRPr="00E20348">
        <w:t xml:space="preserve">and marmosets is also anxiolytic </w:t>
      </w:r>
      <w:r w:rsidR="004931CC" w:rsidRPr="001A7586">
        <w:fldChar w:fldCharType="begin" w:fldLock="1"/>
      </w:r>
      <w:r w:rsidR="007A5CBB" w:rsidRPr="00E20348">
        <w:instrText>ADDIN CSL_CITATION {"citationItems":[{"id":"ITEM-1","itemData":{"DOI":"10.1523/JNEUROSCI.1040-12.2012","ISSN":"1529-2401","PMID":"23197707","abstract":"Abnormalities of synaptic transmission and plasticity in the hippocampus represent an integral part of the altered programming triggered by early life stress. Prenatally restraint stressed (PRS) rats develop long-lasting biochemical and behavioral changes, which are the expression of an anxious/depressive-like phenotype. We report here that PRS rats showed a selective impairment of depolarization- or kainate-stimulated glutamate and [(3)H]d-aspartate release in the ventral hippocampus, a region encoding memories related to stress and emotions. GABA release was unaffected in PRS rats. As a consequence of reduced glutamate release, PRS rats were also highly resistant to kainate-induced seizures. Abnormalities of glutamate release were associated with large reductions in the levels of synaptic vesicle-related proteins, such as VAMP (synaptobrevin), syntaxin-1, synaptophysin, synapsin Ia/b and IIa, munc-18, and Rab3A in the ventral hippocampus of PRS rats. Anxiety-like behavior in male PRS (and control) rats was inversely related to the extent of depolarization-evoked glutamate release in the ventral hippocampus. A causal relationship between anxiety-like behavior and reduction in glutamate release was demonstrated using a mixture of the mGlu2/3 receptor antagonist, LY341495, and the GABA(B) receptor antagonist, CGP52432, which was shown to amplify depolarization-evoked [(3)H]d-aspartate release in the ventral hippocampus. Bilateral microinfusion of CGP52432 plus LY341495 in the ventral hippocampus abolished anxiety-like behavior in PRS rats. These findings indicate that an impairment of glutamate release in the ventral hippocampus is a key component of the neuroplastic program induced by PRS, and that strategies aimed at enhancing glutamate release in the ventral hippocampus correct the \"anxious phenotype\" caused by early life stress.","author":[{"dropping-particle":"","family":"Marrocco","given":"Jordan","non-dropping-particle":"","parse-names":false,"suffix":""},{"dropping-particle":"","family":"Mairesse","given":"Jérôme","non-dropping-particle":"","parse-names":false,"suffix":""},{"dropping-particle":"","family":"Ngomba","given":"Richard Teke","non-dropping-particle":"","parse-names":false,"suffix":""},{"dropping-particle":"","family":"Silletti","given":"Viviana","non-dropping-particle":"","parse-names":false,"suffix":""},{"dropping-particle":"","family":"Camp","given":"Gilles","non-dropping-particle":"Van","parse-names":false,"suffix":""},{"dropping-particle":"","family":"Bouwalerh","given":"Hammou","non-dropping-particle":"","parse-names":false,"suffix":""},{"dropping-particle":"","family":"Summa","given":"Maria","non-dropping-particle":"","parse-names":false,"suffix":""},{"dropping-particle":"","family":"Pittaluga","given":"Anna","non-dropping-particle":"","parse-names":false,"suffix":""},{"dropping-particle":"","family":"Nicoletti","given":"Ferdinando","non-dropping-particle":"","parse-names":false,"suffix":""},{"dropping-particle":"","family":"Maccari","given":"Stefania","non-dropping-particle":"","parse-names":false,"suffix":""},{"dropping-particle":"","family":"Morley-Fletcher","given":"Sara","non-dropping-particle":"","parse-names":false,"suffix":""}],"container-title":"The Journal of neuroscience : the official journal of the Society for Neuroscience","id":"ITEM-1","issue":"48","issued":{"date-parts":[["2012","11","28"]]},"page":"17143-54","title":"Anxiety-like behavior of prenatally stressed rats is associated with a selective reduction of glutamate release in the ventral hippocampus.","type":"article-journal","volume":"32"},"suffix":"; present study","uris":["http://www.mendeley.com/documents/?uuid=c43322cd-1bc2-39c8-9a21-5323649356ac"]}],"mendeley":{"formattedCitation":"(Marrocco et al., 2012; present study)","plainTextFormattedCitation":"(Marrocco et al., 2012; present study)","previouslyFormattedCitation":"(Marrocco et al., 2012; present study)"},"properties":{"noteIndex":0},"schema":"https://github.com/citation-style-language/schema/raw/master/csl-citation.json"}</w:instrText>
      </w:r>
      <w:r w:rsidR="004931CC" w:rsidRPr="00E20348">
        <w:fldChar w:fldCharType="separate"/>
      </w:r>
      <w:r w:rsidR="004931CC" w:rsidRPr="00E20348">
        <w:rPr>
          <w:noProof/>
        </w:rPr>
        <w:t>(Marrocco et al., 2012; present study)</w:t>
      </w:r>
      <w:r w:rsidR="004931CC" w:rsidRPr="00E20348">
        <w:fldChar w:fldCharType="end"/>
      </w:r>
      <w:r w:rsidR="004931CC" w:rsidRPr="001A7586">
        <w:t>. However, confirmation of this hypothesis requires the testing of non-anxious animals on the current paradigm f</w:t>
      </w:r>
      <w:r w:rsidR="004931CC" w:rsidRPr="00E20348">
        <w:t xml:space="preserve">or comparison with the high-anxious cohort. </w:t>
      </w:r>
      <w:r w:rsidR="00CB2C38" w:rsidRPr="00E20348">
        <w:t>Alternatively, the rodent IL and PL may have different functions to primate areas 25 and 32</w:t>
      </w:r>
      <w:r w:rsidR="00242943" w:rsidRPr="00E20348">
        <w:t>.</w:t>
      </w:r>
      <w:r w:rsidR="00CB2C38" w:rsidRPr="00E20348">
        <w:t xml:space="preserve"> </w:t>
      </w:r>
      <w:r w:rsidR="00BD48C3" w:rsidRPr="00E20348">
        <w:t xml:space="preserve">Thus </w:t>
      </w:r>
      <w:r w:rsidR="0099662B" w:rsidRPr="00E20348">
        <w:rPr>
          <w:rFonts w:cs="AdvOT88ac8687"/>
          <w:color w:val="000000" w:themeColor="text1"/>
        </w:rPr>
        <w:t>recent behavioral findings in marmosets showed that inactivation</w:t>
      </w:r>
      <w:r w:rsidR="000E0FD5" w:rsidRPr="00E20348">
        <w:rPr>
          <w:rFonts w:cs="AdvOT88ac8687"/>
          <w:color w:val="000000" w:themeColor="text1"/>
        </w:rPr>
        <w:t xml:space="preserve"> of areas 25 and 32</w:t>
      </w:r>
      <w:r w:rsidR="0099662B" w:rsidRPr="00E20348">
        <w:rPr>
          <w:rFonts w:cs="AdvOT88ac8687"/>
          <w:color w:val="000000" w:themeColor="text1"/>
        </w:rPr>
        <w:t xml:space="preserve"> had opposite </w:t>
      </w:r>
      <w:r w:rsidR="00625140" w:rsidRPr="00E20348">
        <w:rPr>
          <w:rFonts w:cs="AdvOT88ac8687"/>
          <w:color w:val="000000" w:themeColor="text1"/>
        </w:rPr>
        <w:t xml:space="preserve">autonomic and </w:t>
      </w:r>
      <w:r w:rsidR="00D8399B" w:rsidRPr="00E20348">
        <w:rPr>
          <w:rFonts w:cs="AdvOT88ac8687"/>
          <w:color w:val="000000" w:themeColor="text1"/>
        </w:rPr>
        <w:t>behavior</w:t>
      </w:r>
      <w:r w:rsidR="00625140" w:rsidRPr="00E20348">
        <w:rPr>
          <w:rFonts w:cs="AdvOT88ac8687"/>
          <w:color w:val="000000" w:themeColor="text1"/>
        </w:rPr>
        <w:t xml:space="preserve">al </w:t>
      </w:r>
      <w:r w:rsidR="0099662B" w:rsidRPr="00E20348">
        <w:rPr>
          <w:rFonts w:cs="AdvOT88ac8687"/>
          <w:color w:val="000000" w:themeColor="text1"/>
        </w:rPr>
        <w:t>effects on fear discrimination and extinction to</w:t>
      </w:r>
      <w:r w:rsidR="00CB2C38" w:rsidRPr="00E20348">
        <w:rPr>
          <w:rFonts w:cs="AdvOT88ac8687"/>
          <w:color w:val="000000" w:themeColor="text1"/>
        </w:rPr>
        <w:t xml:space="preserve"> these</w:t>
      </w:r>
      <w:r w:rsidR="00FA2FCA" w:rsidRPr="00E20348">
        <w:rPr>
          <w:rFonts w:cs="AdvOT88ac8687"/>
          <w:color w:val="000000" w:themeColor="text1"/>
        </w:rPr>
        <w:t xml:space="preserve"> putative rodent homologs</w:t>
      </w:r>
      <w:r w:rsidR="0099662B" w:rsidRPr="00E20348">
        <w:rPr>
          <w:rFonts w:cs="AdvOT88ac8687"/>
          <w:color w:val="000000" w:themeColor="text1"/>
        </w:rPr>
        <w:t xml:space="preserve"> indicating uncertainty over the </w:t>
      </w:r>
      <w:r w:rsidR="003E5126" w:rsidRPr="00E20348">
        <w:rPr>
          <w:rFonts w:cs="AdvOT88ac8687"/>
          <w:color w:val="000000" w:themeColor="text1"/>
        </w:rPr>
        <w:t xml:space="preserve">functional analogy of </w:t>
      </w:r>
      <w:r w:rsidR="0099662B" w:rsidRPr="00E20348">
        <w:rPr>
          <w:rFonts w:cs="AdvOT88ac8687"/>
          <w:color w:val="000000" w:themeColor="text1"/>
        </w:rPr>
        <w:t>IL/25 and PL/32</w:t>
      </w:r>
      <w:r w:rsidR="000C5E98" w:rsidRPr="00E20348">
        <w:rPr>
          <w:rFonts w:cs="AdvOT88ac8687"/>
          <w:color w:val="000000" w:themeColor="text1"/>
        </w:rPr>
        <w:t xml:space="preserve"> </w:t>
      </w:r>
      <w:r w:rsidR="00F43BAB" w:rsidRPr="001A7586">
        <w:rPr>
          <w:rFonts w:cs="AdvOT88ac8687"/>
          <w:color w:val="000000" w:themeColor="text1"/>
        </w:rPr>
        <w:fldChar w:fldCharType="begin" w:fldLock="1"/>
      </w:r>
      <w:r w:rsidR="00AC2178" w:rsidRPr="00E20348">
        <w:rPr>
          <w:rFonts w:cs="AdvOT88ac8687"/>
          <w:color w:val="000000" w:themeColor="text1"/>
        </w:rPr>
        <w:instrText>ADDIN CSL_CITATION {"citationItems":[{"id":"ITEM-1","itemData":{"DOI":"10.1073/pnas.1620115114","ISSN":"10916490","abstract":"Disorders of dysregulated negative emotion such as depression and anxiety also feature increased cardiovascular mortality and decreased heart-rate variability (HRV). These disorders are correlated with dysfunction within areas 25 and 32 of the ventromedial prefrontal cortex (vmPFC), but a causal relationship between dysregulation of these areas and such symptoms has not been demonstrated. Furthermore, cross-species translation is limited by inconsistent findings between rodent fear extinction and human neuroimaging studies of negative emotion. To reconcile these literatures, we applied an investigative approach to the brain-body interactions at the core of negative emotional dysregulation. We show that, in marmoset monkeys (a nonhuman primate that has far greater vmPFC homology to humans than rodents), areas 25 and 32 have causal yet opposing roles in regulating the cardiovascular and behavioral correlates of negative emotion. In novel Pavlovian fear conditioning and extinction paradigms, pharmacological inactivation of area 25 decreased the autonomic and behavioral correlates of negative emotion expectation, whereas inactivation of area 32 increased them via generalization. Area 25 inactivation also increased resting HRV. These findings are inconsistent with current theories of rodent/primate prefrontal functional similarity, and provide insight into the role of these brain regions in affective disorders. They demonstrate that area 32 hypoactivity causes behavioral generalization relevant to anxiety, and that area 25 is a causal node governing the emotional and cardiovascular symptomatology relevant to anxiety and depression.","author":[{"dropping-particle":"","family":"Wallis","given":"C.U.","non-dropping-particle":"","parse-names":false,"suffix":""},{"dropping-particle":"","family":"Cardinal","given":"R.N.","non-dropping-particle":"","parse-names":false,"suffix":""},{"dropping-particle":"","family":"Alexander","given":"L.","non-dropping-particle":"","parse-names":false,"suffix":""},{"dropping-particle":"","family":"Roberts","given":"A.C.","non-dropping-particle":"","parse-names":false,"suffix":""},{"dropping-particle":"","family":"Clarke","given":"H.F.","non-dropping-particle":"","parse-names":false,"suffix":""}],"container-title":"Proceedings of the National Academy of Sciences of the United States of America","id":"ITEM-1","issue":"20","issued":{"date-parts":[["2017"]]},"title":"Opposing roles of primate areas 25 and 32 and their putative rodent homologs in the regulation of negative emotion","type":"article-journal","volume":"114"},"prefix":"see ","uris":["http://www.mendeley.com/documents/?uuid=0c7170ec-f639-395d-b8c8-595fbc1b77ef"]}],"mendeley":{"formattedCitation":"(see Wallis et al., 2017)","plainTextFormattedCitation":"(see Wallis et al., 2017)","previouslyFormattedCitation":"(see Wallis et al., 2017)"},"properties":{"noteIndex":0},"schema":"https://github.com/citation-style-language/schema/raw/master/csl-citation.json"}</w:instrText>
      </w:r>
      <w:r w:rsidR="00F43BAB" w:rsidRPr="00E20348">
        <w:rPr>
          <w:rFonts w:cs="AdvOT88ac8687"/>
          <w:color w:val="000000" w:themeColor="text1"/>
        </w:rPr>
        <w:fldChar w:fldCharType="separate"/>
      </w:r>
      <w:r w:rsidR="000C5E98" w:rsidRPr="00E20348">
        <w:rPr>
          <w:rFonts w:cs="AdvOT88ac8687"/>
          <w:noProof/>
          <w:color w:val="000000" w:themeColor="text1"/>
        </w:rPr>
        <w:t>(see Wallis et al., 2017)</w:t>
      </w:r>
      <w:r w:rsidR="00F43BAB" w:rsidRPr="00E20348">
        <w:rPr>
          <w:rFonts w:cs="AdvOT88ac8687"/>
          <w:color w:val="000000" w:themeColor="text1"/>
        </w:rPr>
        <w:fldChar w:fldCharType="end"/>
      </w:r>
      <w:r w:rsidR="00F43BAB" w:rsidRPr="001A7586">
        <w:rPr>
          <w:rFonts w:cs="AdvOT88ac8687"/>
          <w:color w:val="000000" w:themeColor="text1"/>
        </w:rPr>
        <w:t>.</w:t>
      </w:r>
      <w:r w:rsidR="00AA2D3C" w:rsidRPr="00E20348">
        <w:rPr>
          <w:rFonts w:cs="AdvOT88ac8687"/>
          <w:color w:val="000000" w:themeColor="text1"/>
        </w:rPr>
        <w:t xml:space="preserve"> </w:t>
      </w:r>
      <w:r w:rsidR="00FF551E" w:rsidRPr="00E20348">
        <w:rPr>
          <w:rFonts w:cs="AdvOT88ac8687"/>
          <w:color w:val="000000" w:themeColor="text1"/>
        </w:rPr>
        <w:t xml:space="preserve">Inactivation of the IL also has no effect on </w:t>
      </w:r>
      <w:r w:rsidR="00FF551E" w:rsidRPr="00E20348">
        <w:t xml:space="preserve">cardiovascular control during baseline or stressful conditions, whereas area 25 inactivation causes a significant bradycardia </w:t>
      </w:r>
      <w:r w:rsidR="00FF551E" w:rsidRPr="001A7586">
        <w:fldChar w:fldCharType="begin" w:fldLock="1"/>
      </w:r>
      <w:r w:rsidR="00FF551E" w:rsidRPr="00E20348">
        <w:instrText>ADDIN CSL_CITATION {"citationItems":[{"id":"ITEM-1","itemData":{"DOI":"10.1152/ajpregu.00573.2011","ISSN":"1522-1490","PMID":"22785427","abstract":"The infralimbic region of the medial prefrontal cortex (IL) modulates autonomic and neuroendocrine function via projections to subcortical structures involved in the response to stress. We evaluated the contribution of the IL to the cardiovascular response evoked by acute stress. Under anesthesia (80 mg/kg ketamine-11.5 mg/kg xylazine), rats were implanted with telemetry probes or arterial lines for recording heart rate and blood pressure. Guide cannulas were implanted to target the IL for microinjection of muscimol (100 pmol/100 nl), N-methyl-d-aspartate (NMDA) (6 pmol/100 nl), or vehicle (100 nl). Microinjection of muscimol, an agonist of GABA(A) receptors, into the IL had no effect on stress-evoked cardiovascular and thermogenic changes in any of the paradigms evaluated (cage switch, restraint plus air-jet noise, or air-jet stress). However, microinjection of the excitatory amino acid NMDA into the IL attenuated the pressor and tachycardic response to air-jet stress. Pretreatment with the selective NMDA antagonist dl-2-amino-5-phosphonopentanoic acid (AP-5, 100 pmol/100 nl) blocked the effect of NMDA on the cardiovascular response to air-jet stress. We conclude that 1) the IL region is not tonically involved in cardiovascular or thermogenic control during stress or under baseline conditions, and 2) activation of NMDA receptors in the IL can suppress the cardiovascular response to acute stress exposure.","author":[{"dropping-particle":"","family":"Müller-Ribeiro","given":"Flávia Camargos De Figueirêdo","non-dropping-particle":"","parse-names":false,"suffix":""},{"dropping-particle":"V","family":"Zaretsky","given":"Dmitry","non-dropping-particle":"","parse-names":false,"suffix":""},{"dropping-particle":"V","family":"Zaretskaia","given":"Maria","non-dropping-particle":"","parse-names":false,"suffix":""},{"dropping-particle":"","family":"Santos","given":"Robson a S","non-dropping-particle":"","parse-names":false,"suffix":""},{"dropping-particle":"","family":"DiMicco","given":"Joseph a","non-dropping-particle":"","parse-names":false,"suffix":""},{"dropping-particle":"","family":"Fontes","given":"Marco Antônio Peliky","non-dropping-particle":"","parse-names":false,"suffix":""}],"container-title":"American journal of physiology. Regulatory, integrative and comparative physiology","id":"ITEM-1","issue":"6","issued":{"date-parts":[["2012","9"]]},"page":"R639-50","title":"Contribution of infralimbic cortex in the cardiovascular response to acute stress.","type":"article-journal","volume":"303"},"uris":["http://www.mendeley.com/documents/?uuid=464d25e4-a85d-4ccd-a839-5b0c58e8bb47"]},{"id":"ITEM-2","itemData":{"DOI":"10.1073/pnas.1620115114","ISSN":"10916490","abstract":"Disorders of dysregulated negative emotion such as depression and anxiety also feature increased cardiovascular mortality and decreased heart-rate variability (HRV). These disorders are correlated with dysfunction within areas 25 and 32 of the ventromedial prefrontal cortex (vmPFC), but a causal relationship between dysregulation of these areas and such symptoms has not been demonstrated. Furthermore, cross-species translation is limited by inconsistent findings between rodent fear extinction and human neuroimaging studies of negative emotion. To reconcile these literatures, we applied an investigative approach to the brain-body interactions at the core of negative emotional dysregulation. We show that, in marmoset monkeys (a nonhuman primate that has far greater vmPFC homology to humans than rodents), areas 25 and 32 have causal yet opposing roles in regulating the cardiovascular and behavioral correlates of negative emotion. In novel Pavlovian fear conditioning and extinction paradigms, pharmacological inactivation of area 25 decreased the autonomic and behavioral correlates of negative emotion expectation, whereas inactivation of area 32 increased them via generalization. Area 25 inactivation also increased resting HRV. These findings are inconsistent with current theories of rodent/primate prefrontal functional similarity, and provide insight into the role of these brain regions in affective disorders. They demonstrate that area 32 hypoactivity causes behavioral generalization relevant to anxiety, and that area 25 is a causal node governing the emotional and cardiovascular symptomatology relevant to anxiety and depression.","author":[{"dropping-particle":"","family":"Wallis","given":"C.U.","non-dropping-particle":"","parse-names":false,"suffix":""},{"dropping-particle":"","family":"Cardinal","given":"R.N.","non-dropping-particle":"","parse-names":false,"suffix":""},{"dropping-particle":"","family":"Alexander","given":"L.","non-dropping-particle":"","parse-names":false,"suffix":""},{"dropping-particle":"","family":"Roberts","given":"A.C.","non-dropping-particle":"","parse-names":false,"suffix":""},{"dropping-particle":"","family":"Clarke","given":"H.F.","non-dropping-particle":"","parse-names":false,"suffix":""}],"container-title":"Proceedings of the National Academy of Sciences of the United States of America","id":"ITEM-2","issue":"20","issued":{"date-parts":[["2017"]]},"title":"Opposing roles of primate areas 25 and 32 and their putative rodent homologs in the regulation of negative emotion","type":"article-journal","volume":"114"},"uris":["http://www.mendeley.com/documents/?uuid=0c7170ec-f639-395d-b8c8-595fbc1b77ef"]}],"mendeley":{"formattedCitation":"(Müller-Ribeiro et al., 2012; Wallis et al., 2017)","plainTextFormattedCitation":"(Müller-Ribeiro et al., 2012; Wallis et al., 2017)","previouslyFormattedCitation":"(Müller-Ribeiro et al., 2012; Wallis et al., 2017)"},"properties":{"noteIndex":0},"schema":"https://github.com/citation-style-language/schema/raw/master/csl-citation.json"}</w:instrText>
      </w:r>
      <w:r w:rsidR="00FF551E" w:rsidRPr="00E20348">
        <w:fldChar w:fldCharType="separate"/>
      </w:r>
      <w:r w:rsidR="00FF551E" w:rsidRPr="00E20348">
        <w:rPr>
          <w:noProof/>
        </w:rPr>
        <w:t>(Müller-Ribeiro et al., 2012; Wallis et al., 2017)</w:t>
      </w:r>
      <w:r w:rsidR="00FF551E" w:rsidRPr="00E20348">
        <w:fldChar w:fldCharType="end"/>
      </w:r>
      <w:r w:rsidR="00FF551E" w:rsidRPr="001A7586">
        <w:t xml:space="preserve">. </w:t>
      </w:r>
      <w:r w:rsidR="00FF551E" w:rsidRPr="001A7586">
        <w:rPr>
          <w:rFonts w:cs="AdvOT88ac8687"/>
          <w:color w:val="000000" w:themeColor="text1"/>
        </w:rPr>
        <w:t>Nevertheless, vHipp-IL circuitry in the rat has been implicated in</w:t>
      </w:r>
      <w:r w:rsidR="008A55AC" w:rsidRPr="001A7586">
        <w:rPr>
          <w:rFonts w:cs="AdvOT88ac8687"/>
          <w:color w:val="000000" w:themeColor="text1"/>
        </w:rPr>
        <w:t xml:space="preserve"> </w:t>
      </w:r>
      <w:r w:rsidR="00FF551E" w:rsidRPr="001A7586">
        <w:rPr>
          <w:rFonts w:cs="AdvOT88ac8687"/>
          <w:color w:val="000000" w:themeColor="text1"/>
        </w:rPr>
        <w:t>cardiovascular regulation</w:t>
      </w:r>
      <w:r w:rsidR="008A55AC" w:rsidRPr="001A7586">
        <w:rPr>
          <w:rFonts w:cs="AdvOT88ac8687"/>
          <w:color w:val="000000" w:themeColor="text1"/>
        </w:rPr>
        <w:t xml:space="preserve">, since </w:t>
      </w:r>
      <w:r w:rsidR="00FF551E" w:rsidRPr="001A7586">
        <w:rPr>
          <w:rFonts w:cs="AdvOT88ac8687"/>
          <w:color w:val="000000" w:themeColor="text1"/>
        </w:rPr>
        <w:t xml:space="preserve">electrical stimulation of the vHipp </w:t>
      </w:r>
      <w:r w:rsidR="008A55AC" w:rsidRPr="001A7586">
        <w:rPr>
          <w:rFonts w:cs="AdvOT88ac8687"/>
          <w:color w:val="000000" w:themeColor="text1"/>
        </w:rPr>
        <w:t xml:space="preserve">in anaesthetised rodents </w:t>
      </w:r>
      <w:r w:rsidR="00FF551E" w:rsidRPr="001A7586">
        <w:rPr>
          <w:rFonts w:cs="AdvOT88ac8687"/>
          <w:color w:val="000000" w:themeColor="text1"/>
        </w:rPr>
        <w:t xml:space="preserve">is only able to elicit a depression of cardiovascular activity (decreased HR), if the IL is intact </w:t>
      </w:r>
      <w:r w:rsidR="00FF551E" w:rsidRPr="00E20348">
        <w:rPr>
          <w:rFonts w:cs="AdvOT88ac8687"/>
          <w:color w:val="000000" w:themeColor="text1"/>
        </w:rPr>
        <w:fldChar w:fldCharType="begin" w:fldLock="1"/>
      </w:r>
      <w:r w:rsidR="00FF551E" w:rsidRPr="001A7586">
        <w:rPr>
          <w:rFonts w:cs="AdvOT88ac8687"/>
          <w:color w:val="000000" w:themeColor="text1"/>
        </w:rPr>
        <w:instrText>ADDIN CSL_CITATION {"citationItems":[{"id":"ITEM-1","itemData":{"DOI":"10.1111/1469-8986.2004.00179.x","ISSN":"0048-5772","PMID":"15189475","abstract":"The aim of the present study was to characterize the functional relationships between behaviorally evoked regional brain activation and cardiac autonomic activity in humans. Concurrent estimates of regional cerebral blood flow (rCBF; obtained by positron emission tomography), heart period, and high-frequency heart period variability (HF-HPV; an indicator of cardiac parasympathetic activity) were examined in 93 adults (aged 50-70 years) who performed a series of increasingly difficult working-memory tasks. Increased task difficulty resulted in decreased heart period (indicating cardioacceleration) and decreased HF-HPV (indicating decreased cardiac parasympathetic activity). Task-induced decreases in heart period and HF-HPV were associated with concurrent increases and decreases in rCBF to cortical and subcortical brain regions that are speculated to regulate cardiac autonomic activity during behavioral processes: the medial-prefrontal, insular, and anterior cingulate cortices, the amygdala-hippocampal complex, and the cerebellum. These findings replicate and extend a small number of functional neuroimaging studies that suggest an important role for both cortical and subcortical brain systems in human cardiac autonomic regulation.","author":[{"dropping-particle":"","family":"Gianaros","given":"Peter J","non-dropping-particle":"","parse-names":false,"suffix":""},{"dropping-particle":"","family":"Veen","given":"Frederik M","non-dropping-particle":"Van Der","parse-names":false,"suffix":""},{"dropping-particle":"","family":"Jennings","given":"J Richard","non-dropping-particle":"","parse-names":false,"suffix":""}],"container-title":"Psychophysiology","id":"ITEM-1","issue":"4","issued":{"date-parts":[["2004","7"]]},"page":"521-30","publisher":"NIH Public Access","title":"Regional cerebral blood flow correlates with heart period and high-frequency heart period variability during working-memory tasks: Implications for the cortical and subcortical regulation of cardiac autonomic activity.","type":"article-journal","volume":"41"},"uris":["http://www.mendeley.com/documents/?uuid=6180dbac-f94b-3171-b743-af39e260bc80"]},{"id":"ITEM-2","itemData":{"DOI":"10.1016/j.autneu.2010.09.005","ISSN":"15660702","PMID":"20926356","abstract":"The combination of functional brain imaging with measurement of peripheral autonomic responses in humans can provide insight into the embodiment of mental processes and the integration of cognition and emotion with changes in somatic physiology. Initial studies in healthy people and patents validate inferences from more detailed animal experiments regarding the organization of central autonomic control. In particular these have illustrated the coupling of behaviour with sympathetic arousal. Over the last two decades, the growth of emotional neuroscience alongside advances in functional brain imaging has fuelled investigations of relationships between perception, feeling states, somatic and autonomic bodily reactions. These studies have driven a more mechanistic understanding of brain systems through which bodily state is regulated and modified to support adaptive behaviour. In parallel, they have enabled the application of human neuroimaging to autonomic neuroscience. Specific methodological challenges are posed by combining physiological recordings with neuroimaging techniques, particularly functional magnetic resonance brain imaging, which are nevertheless addressable. Using such methods, the neural correlates of dynamic autonomic control has been systematically examined in studies of healthy individuals and patients with specific autonomic dysfunction (including autonomic failure, autonomic (neurally) mediated syncope and the postural tachycardia syndrome). These studies reveal antagonistic interaction of systems underpinning autonomic cardiovascular control (involving mid and subgenual cingulate cortices) and partial organ-specificity of other axes of autonomic response. Current and anticipated technical advances, including the integration of autonomically-focused microneurography and neural stimulation with advanced neuroimaging, will continue to provide detailed insight into dynamics of autonomic control. Translating these insights into clinical benefits remains a priority.","author":[{"dropping-particle":"","family":"Critchley","given":"Hugo D.","non-dropping-particle":"","parse-names":false,"suffix":""},{"dropping-particle":"","family":"Nagai","given":"Yoko","non-dropping-particle":"","parse-names":false,"suffix":""},{"dropping-particle":"","family":"Gray","given":"Marcus A.","non-dropping-particle":"","parse-names":false,"suffix":""},{"dropping-particle":"","family":"Mathias","given":"Christopher J.","non-dropping-particle":"","parse-names":false,"suffix":""}],"container-title":"Autonomic Neuroscience","id":"ITEM-2","issue":"1-2","issued":{"date-parts":[["2011","4","26"]]},"page":"34-42","title":"Dissecting axes of autonomic control in humans: Insights from neuroimaging","type":"article-journal","volume":"161"},"uris":["http://www.mendeley.com/documents/?uuid=ad6eac4e-074a-383a-8170-79eb89704258"]},{"id":"ITEM-3","itemData":{"ISSN":"0014-4819","PMID":"1705519","abstract":"The hippocampus has previously been shown to influence cardiovascular function, and this effect appears to be mediated by the connection the hippocampus has with the infralimbic area of the medial frontal cortex (MFC), a region which projects directly to the nucleus of the solitary tract (NTS) in the dorsal medulla. In the present study, anatomical and electrophysiological techniques were utilized to determine the degree of convergence of hippocampal input to the MFC on neurons in the MFC which project to the NTS. Injections of the anterograde and retrograde neuroanatomical tracer wheat-germ agglutinin-horseradish peroxidase (WGA-HRP) into the NTS retrogradely labelled cells in the infralimbic and prelimbic regions of the MFC. Injections of WGA-HRP into the ventral hippocampus anterogradely labelled terminals in the MFC which, at the light microscopic level, closely overlapped the origin of the descending projection from the MFC to the brainstem. Electron microscopic analysis revealed that anterogradely labelled terminals make synaptic contact primarily on dendritic processes in the neuropil adjacent to retrogradely labelled cells. In addition, anterogradely labelled terminals did, in some cases, make synaptic contact on the somas of retrogradely labelled cells. Electrical stimulation of the NTS antidromically activated cells in the infralimbic and prelimbic areas of the MFC. The average latency of antidromic activation was 30 msec, corresponding to a conduction velocity of approximately 0.7 m/s. Electrical stimulation of the ventral hippocampus orthodromically activated cells in the MFC. With an appropriate delay between the hippocampal and NTS stimuli, the orthodromic and antidromic potentials could be made to collide. The results of this study establish a structural as well as functional link between the hippocampus and NTS-projection neurons in the MFC.","author":[{"dropping-particle":"","family":"Ruit","given":"K G","non-dropping-particle":"","parse-names":false,"suffix":""},{"dropping-particle":"","family":"Neafsey","given":"E J","non-dropping-particle":"","parse-names":false,"suffix":""}],"container-title":"Experimental brain research","id":"ITEM-3","issue":"3","issued":{"date-parts":[["1990"]]},"page":"606-16","title":"Hippocampal input to a &amp;quot;visceral motor&amp;quot; corticobulbar pathway: an anatomical and electrophysiological study in the rat.","type":"article-journal","volume":"82"},"uris":["http://www.mendeley.com/documents/?uuid=be3579ba-2f75-3cd1-902f-3748cd7970b7"]}],"mendeley":{"formattedCitation":"(Ruit and Neafsey, 1990; Gianaros et al., 2004; Critchley et al., 2011)","plainTextFormattedCitation":"(Ruit and Neafsey, 1990; Gianaros et al., 2004; Critchley et al., 2011)","previouslyFormattedCitation":"(Ruit and Neafsey, 1990; Gianaros et al., 2004; Critchley et al., 2011)"},"properties":{"noteIndex":0},"schema":"https://github.com/citation-style-language/schema/raw/master/csl-citation.json"}</w:instrText>
      </w:r>
      <w:r w:rsidR="00FF551E" w:rsidRPr="00E20348">
        <w:rPr>
          <w:rFonts w:cs="AdvOT88ac8687"/>
          <w:color w:val="000000" w:themeColor="text1"/>
        </w:rPr>
        <w:fldChar w:fldCharType="separate"/>
      </w:r>
      <w:r w:rsidR="00FF551E" w:rsidRPr="001A7586">
        <w:rPr>
          <w:rFonts w:cs="AdvOT88ac8687"/>
          <w:noProof/>
          <w:color w:val="000000" w:themeColor="text1"/>
        </w:rPr>
        <w:t>(Ruit and Neafsey, 1990; Gianaros et al., 2004; Critchley et al., 2011)</w:t>
      </w:r>
      <w:r w:rsidR="00FF551E" w:rsidRPr="00E20348">
        <w:rPr>
          <w:rFonts w:cs="AdvOT88ac8687"/>
          <w:color w:val="000000" w:themeColor="text1"/>
        </w:rPr>
        <w:fldChar w:fldCharType="end"/>
      </w:r>
      <w:r w:rsidR="00FF551E" w:rsidRPr="001A7586">
        <w:rPr>
          <w:rFonts w:cs="AdvOT88ac8687"/>
          <w:color w:val="000000" w:themeColor="text1"/>
        </w:rPr>
        <w:t>.</w:t>
      </w:r>
      <w:r w:rsidR="008A55AC" w:rsidRPr="001A7586">
        <w:rPr>
          <w:rFonts w:cs="AdvOT88ac8687"/>
          <w:color w:val="000000" w:themeColor="text1"/>
        </w:rPr>
        <w:t xml:space="preserve"> </w:t>
      </w:r>
      <w:r w:rsidR="00086FFC" w:rsidRPr="001A7586">
        <w:rPr>
          <w:rFonts w:cs="AdvOT88ac8687"/>
          <w:color w:val="000000" w:themeColor="text1"/>
        </w:rPr>
        <w:t>However, it should be noted that</w:t>
      </w:r>
      <w:r w:rsidR="009135FC" w:rsidRPr="00E20348">
        <w:rPr>
          <w:rFonts w:cs="AdvOT88ac8687"/>
          <w:color w:val="000000" w:themeColor="text1"/>
        </w:rPr>
        <w:t xml:space="preserve"> </w:t>
      </w:r>
      <w:r w:rsidR="009135FC" w:rsidRPr="00E20348">
        <w:t xml:space="preserve">in both species, the hippocampus appears </w:t>
      </w:r>
      <w:r w:rsidR="00BD2F50" w:rsidRPr="00E20348">
        <w:t xml:space="preserve">to connect </w:t>
      </w:r>
      <w:r w:rsidR="009135FC" w:rsidRPr="00E20348">
        <w:t>primarily with the mPFC regions whose inactivation reduces fear.</w:t>
      </w:r>
      <w:r w:rsidR="00AA2D3C" w:rsidRPr="001A7586">
        <w:t xml:space="preserve"> </w:t>
      </w:r>
    </w:p>
    <w:p w14:paraId="23B22168" w14:textId="3FB03E60" w:rsidR="00F53179" w:rsidRPr="001A7586" w:rsidRDefault="00546BAB" w:rsidP="00AF18CF">
      <w:pPr>
        <w:spacing w:after="119" w:line="480" w:lineRule="auto"/>
        <w:jc w:val="both"/>
      </w:pPr>
      <w:r w:rsidRPr="001A7586">
        <w:rPr>
          <w:rFonts w:cs="AdvOT88ac8687"/>
          <w:color w:val="000000" w:themeColor="text1"/>
        </w:rPr>
        <w:t xml:space="preserve">Finally, </w:t>
      </w:r>
      <w:r w:rsidR="0099662B" w:rsidRPr="001A7586">
        <w:rPr>
          <w:rFonts w:cs="AdvOT88ac8687"/>
          <w:color w:val="000000" w:themeColor="text1"/>
        </w:rPr>
        <w:t>i</w:t>
      </w:r>
      <w:r w:rsidR="00594FFE" w:rsidRPr="001A7586">
        <w:rPr>
          <w:rFonts w:cs="AdvOT88ac8687"/>
          <w:color w:val="000000" w:themeColor="text1"/>
        </w:rPr>
        <w:t>nactivation</w:t>
      </w:r>
      <w:r w:rsidR="00A22238" w:rsidRPr="001A7586">
        <w:rPr>
          <w:rFonts w:cs="AdvOT88ac8687"/>
          <w:color w:val="000000" w:themeColor="text1"/>
        </w:rPr>
        <w:t>s</w:t>
      </w:r>
      <w:r w:rsidR="00594FFE" w:rsidRPr="001A7586">
        <w:rPr>
          <w:rFonts w:cs="AdvOT88ac8687"/>
          <w:color w:val="000000" w:themeColor="text1"/>
        </w:rPr>
        <w:t xml:space="preserve"> of area</w:t>
      </w:r>
      <w:r w:rsidR="00BB3415" w:rsidRPr="001A7586">
        <w:rPr>
          <w:rFonts w:cs="AdvOT88ac8687"/>
          <w:color w:val="000000" w:themeColor="text1"/>
        </w:rPr>
        <w:t>s</w:t>
      </w:r>
      <w:r w:rsidR="00594FFE" w:rsidRPr="001A7586">
        <w:rPr>
          <w:rFonts w:cs="AdvOT88ac8687"/>
          <w:color w:val="000000" w:themeColor="text1"/>
        </w:rPr>
        <w:t xml:space="preserve"> 25</w:t>
      </w:r>
      <w:r w:rsidR="00BB3415" w:rsidRPr="001A7586">
        <w:rPr>
          <w:rFonts w:cs="AdvOT88ac8687"/>
          <w:color w:val="000000" w:themeColor="text1"/>
        </w:rPr>
        <w:t xml:space="preserve"> and 32 alone had distinct effects. Inactivation of area 25</w:t>
      </w:r>
      <w:r w:rsidR="00594FFE" w:rsidRPr="001A7586">
        <w:rPr>
          <w:rFonts w:cs="AdvOT88ac8687"/>
          <w:color w:val="000000" w:themeColor="text1"/>
        </w:rPr>
        <w:t xml:space="preserve"> cause</w:t>
      </w:r>
      <w:r w:rsidRPr="001A7586">
        <w:rPr>
          <w:rFonts w:cs="AdvOT88ac8687"/>
          <w:color w:val="000000" w:themeColor="text1"/>
        </w:rPr>
        <w:t>d</w:t>
      </w:r>
      <w:r w:rsidR="00594FFE" w:rsidRPr="001A7586">
        <w:rPr>
          <w:rFonts w:cs="AdvOT88ac8687"/>
          <w:color w:val="000000" w:themeColor="text1"/>
        </w:rPr>
        <w:t xml:space="preserve"> similar increases in</w:t>
      </w:r>
      <w:r w:rsidR="00523270" w:rsidRPr="001A7586">
        <w:rPr>
          <w:rFonts w:cs="AdvOT88ac8687"/>
          <w:color w:val="000000" w:themeColor="text1"/>
        </w:rPr>
        <w:t xml:space="preserve"> HR and VS to aHipp LY/CGP</w:t>
      </w:r>
      <w:r w:rsidR="009C7B95" w:rsidRPr="001A7586">
        <w:rPr>
          <w:rFonts w:cs="AdvOT88ac8687"/>
          <w:color w:val="000000" w:themeColor="text1"/>
        </w:rPr>
        <w:t xml:space="preserve"> which suggests </w:t>
      </w:r>
      <w:r w:rsidR="00F03004" w:rsidRPr="001A7586">
        <w:rPr>
          <w:rFonts w:cs="AdvOT88ac8687"/>
          <w:color w:val="000000" w:themeColor="text1"/>
        </w:rPr>
        <w:t>that area 25 inactivation is also anxiolytic in this paradigm</w:t>
      </w:r>
      <w:r w:rsidR="009C7B95" w:rsidRPr="001A7586">
        <w:rPr>
          <w:rFonts w:cs="AdvOT88ac8687"/>
          <w:color w:val="000000" w:themeColor="text1"/>
        </w:rPr>
        <w:t>. This replicates</w:t>
      </w:r>
      <w:r w:rsidR="00F03004" w:rsidRPr="001A7586">
        <w:rPr>
          <w:rFonts w:cs="AdvOT88ac8687"/>
          <w:color w:val="000000" w:themeColor="text1"/>
        </w:rPr>
        <w:t xml:space="preserve"> previous findings </w:t>
      </w:r>
      <w:r w:rsidR="00AC2178" w:rsidRPr="001A7586">
        <w:rPr>
          <w:rFonts w:cs="AdvOT88ac8687"/>
          <w:color w:val="000000" w:themeColor="text1"/>
        </w:rPr>
        <w:t>in which</w:t>
      </w:r>
      <w:r w:rsidR="00F03004" w:rsidRPr="001A7586">
        <w:rPr>
          <w:rFonts w:cs="AdvOT88ac8687"/>
          <w:color w:val="000000" w:themeColor="text1"/>
        </w:rPr>
        <w:t xml:space="preserve"> area 25 inactivation reduced </w:t>
      </w:r>
      <w:r w:rsidR="00A22238" w:rsidRPr="001A7586">
        <w:rPr>
          <w:rFonts w:cs="AdvOT88ac8687"/>
          <w:color w:val="000000" w:themeColor="text1"/>
        </w:rPr>
        <w:t>the</w:t>
      </w:r>
      <w:r w:rsidR="00B54332" w:rsidRPr="001A7586">
        <w:rPr>
          <w:rFonts w:cs="AdvOT88ac8687"/>
          <w:color w:val="000000" w:themeColor="text1"/>
        </w:rPr>
        <w:t xml:space="preserve"> </w:t>
      </w:r>
      <w:r w:rsidR="00D71B0B" w:rsidRPr="001A7586">
        <w:rPr>
          <w:rFonts w:cs="AdvOT88ac8687"/>
          <w:color w:val="000000" w:themeColor="text1"/>
        </w:rPr>
        <w:t>behavior</w:t>
      </w:r>
      <w:r w:rsidR="00523270" w:rsidRPr="001A7586">
        <w:rPr>
          <w:rFonts w:cs="AdvOT88ac8687"/>
          <w:color w:val="000000" w:themeColor="text1"/>
        </w:rPr>
        <w:t xml:space="preserve">al and cardiovascular indices of </w:t>
      </w:r>
      <w:r w:rsidR="00594FFE" w:rsidRPr="001A7586">
        <w:rPr>
          <w:rFonts w:cs="AdvOT88ac8687"/>
          <w:color w:val="000000" w:themeColor="text1"/>
        </w:rPr>
        <w:t>cued fear</w:t>
      </w:r>
      <w:r w:rsidR="00BA0097" w:rsidRPr="001A7586">
        <w:rPr>
          <w:rFonts w:cs="AdvOT88ac8687"/>
          <w:color w:val="000000" w:themeColor="text1"/>
        </w:rPr>
        <w:t xml:space="preserve"> in healthy marmosets</w:t>
      </w:r>
      <w:r w:rsidR="00523270" w:rsidRPr="001A7586">
        <w:rPr>
          <w:rFonts w:cs="AdvOT88ac8687"/>
          <w:color w:val="000000" w:themeColor="text1"/>
        </w:rPr>
        <w:t xml:space="preserve"> </w:t>
      </w:r>
      <w:r w:rsidR="00523270" w:rsidRPr="001A7586">
        <w:rPr>
          <w:rFonts w:cs="AdvOT88ac8687"/>
          <w:color w:val="000000" w:themeColor="text1"/>
        </w:rPr>
        <w:fldChar w:fldCharType="begin" w:fldLock="1"/>
      </w:r>
      <w:r w:rsidR="007C1DE8" w:rsidRPr="00E20348">
        <w:rPr>
          <w:rFonts w:cs="AdvOT88ac8687"/>
          <w:color w:val="000000" w:themeColor="text1"/>
        </w:rPr>
        <w:instrText>ADDIN CSL_CITATION {"citationItems":[{"id":"ITEM-1","itemData":{"DOI":"10.1073/pnas.1620115114","ISSN":"10916490","abstract":"Disorders of dysregulated negative emotion such as depression and anxiety also feature increased cardiovascular mortality and decreased heart-rate variability (HRV). These disorders are correlated with dysfunction within areas 25 and 32 of the ventromedial prefrontal cortex (vmPFC), but a causal relationship between dysregulation of these areas and such symptoms has not been demonstrated. Furthermore, cross-species translation is limited by inconsistent findings between rodent fear extinction and human neuroimaging studies of negative emotion. To reconcile these literatures, we applied an investigative approach to the brain-body interactions at the core of negative emotional dysregulation. We show that, in marmoset monkeys (a nonhuman primate that has far greater vmPFC homology to humans than rodents), areas 25 and 32 have causal yet opposing roles in regulating the cardiovascular and behavioral correlates of negative emotion. In novel Pavlovian fear conditioning and extinction paradigms, pharmacological inactivation of area 25 decreased the autonomic and behavioral correlates of negative emotion expectation, whereas inactivation of area 32 increased them via generalization. Area 25 inactivation also increased resting HRV. These findings are inconsistent with current theories of rodent/primate prefrontal functional similarity, and provide insight into the role of these brain regions in affective disorders. They demonstrate that area 32 hypoactivity causes behavioral generalization relevant to anxiety, and that area 25 is a causal node governing the emotional and cardiovascular symptomatology relevant to anxiety and depression.","author":[{"dropping-particle":"","family":"Wallis","given":"C.U.","non-dropping-particle":"","parse-names":false,"suffix":""},{"dropping-particle":"","family":"Cardinal","given":"R.N.","non-dropping-particle":"","parse-names":false,"suffix":""},{"dropping-particle":"","family":"Alexander","given":"L.","non-dropping-particle":"","parse-names":false,"suffix":""},{"dropping-particle":"","family":"Roberts","given":"A.C.","non-dropping-particle":"","parse-names":false,"suffix":""},{"dropping-particle":"","family":"Clarke","given":"H.F.","non-dropping-particle":"","parse-names":false,"suffix":""}],"container-title":"Proceedings of the National Academy of Sciences of the United States of America","id":"ITEM-1","issue":"20","issued":{"date-parts":[["2017"]]},"title":"Opposing roles of primate areas 25 and 32 and their putative rodent homologs in the regulation of negative emotion","type":"article-journal","volume":"114"},"uris":["http://www.mendeley.com/documents/?uuid=0c7170ec-f639-395d-b8c8-595fbc1b77ef"]}],"mendeley":{"formattedCitation":"(Wallis et al., 2017)","plainTextFormattedCitation":"(Wallis et al., 2017)","previouslyFormattedCitation":"(Wallis et al., 2017)"},"properties":{"noteIndex":0},"schema":"https://github.com/citation-style-language/schema/raw/master/csl-citation.json"}</w:instrText>
      </w:r>
      <w:r w:rsidR="00523270" w:rsidRPr="00E20348">
        <w:rPr>
          <w:rFonts w:cs="AdvOT88ac8687"/>
          <w:color w:val="000000" w:themeColor="text1"/>
        </w:rPr>
        <w:fldChar w:fldCharType="separate"/>
      </w:r>
      <w:r w:rsidR="007C1DE8" w:rsidRPr="00E20348">
        <w:rPr>
          <w:rFonts w:cs="AdvOT88ac8687"/>
          <w:noProof/>
          <w:color w:val="000000" w:themeColor="text1"/>
        </w:rPr>
        <w:t>(Wallis et al., 2017)</w:t>
      </w:r>
      <w:r w:rsidR="00523270" w:rsidRPr="00E20348">
        <w:rPr>
          <w:rFonts w:cs="AdvOT88ac8687"/>
          <w:color w:val="000000" w:themeColor="text1"/>
        </w:rPr>
        <w:fldChar w:fldCharType="end"/>
      </w:r>
      <w:r w:rsidR="00C6692C" w:rsidRPr="001A7586">
        <w:rPr>
          <w:rFonts w:cs="AdvOT88ac8687"/>
          <w:color w:val="000000" w:themeColor="text1"/>
        </w:rPr>
        <w:t>,</w:t>
      </w:r>
      <w:r w:rsidR="00225250" w:rsidRPr="00E20348">
        <w:rPr>
          <w:rFonts w:cs="AdvOT88ac8687"/>
          <w:color w:val="000000" w:themeColor="text1"/>
        </w:rPr>
        <w:t xml:space="preserve"> </w:t>
      </w:r>
      <w:r w:rsidR="00225250" w:rsidRPr="001A7586">
        <w:rPr>
          <w:rFonts w:cs="AdvOT88ac8687"/>
          <w:color w:val="000000" w:themeColor="text1"/>
        </w:rPr>
        <w:fldChar w:fldCharType="begin" w:fldLock="1"/>
      </w:r>
      <w:r w:rsidR="00330E12" w:rsidRPr="00E20348">
        <w:rPr>
          <w:rFonts w:cs="AdvOT88ac8687"/>
          <w:color w:val="000000" w:themeColor="text1"/>
        </w:rPr>
        <w:instrText>ADDIN CSL_CITATION {"citationItems":[{"id":"ITEM-1","itemData":{"DOI":"10.1016/j.autneu.2010.09.005","ISSN":"15660702","PMID":"20926356","abstract":"The combination of functional brain imaging with measurement of peripheral autonomic responses in humans can provide insight into the embodiment of mental processes and the integration of cognition and emotion with changes in somatic physiology. Initial studies in healthy people and patents validate inferences from more detailed animal experiments regarding the organization of central autonomic control. In particular these have illustrated the coupling of behaviour with sympathetic arousal. Over the last two decades, the growth of emotional neuroscience alongside advances in functional brain imaging has fuelled investigations of relationships between perception, feeling states, somatic and autonomic bodily reactions. These studies have driven a more mechanistic understanding of brain systems through which bodily state is regulated and modified to support adaptive behaviour. In parallel, they have enabled the application of human neuroimaging to autonomic neuroscience. Specific methodological challenges are posed by combining physiological recordings with neuroimaging techniques, particularly functional magnetic resonance brain imaging, which are nevertheless addressable. Using such methods, the neural correlates of dynamic autonomic control has been systematically examined in studies of healthy individuals and patients with specific autonomic dysfunction (including autonomic failure, autonomic (neurally) mediated syncope and the postural tachycardia syndrome). These studies reveal antagonistic interaction of systems underpinning autonomic cardiovascular control (involving mid and subgenual cingulate cortices) and partial organ-specificity of other axes of autonomic response. Current and anticipated technical advances, including the integration of autonomically-focused microneurography and neural stimulation with advanced neuroimaging, will continue to provide detailed insight into dynamics of autonomic control. Translating these insights into clinical benefits remains a priority.","author":[{"dropping-particle":"","family":"Critchley","given":"Hugo D.","non-dropping-particle":"","parse-names":false,"suffix":""},{"dropping-particle":"","family":"Nagai","given":"Yoko","non-dropping-particle":"","parse-names":false,"suffix":""},{"dropping-particle":"","family":"Gray","given":"Marcus A.","non-dropping-particle":"","parse-names":false,"suffix":""},{"dropping-particle":"","family":"Mathias","given":"Christopher J.","non-dropping-particle":"","parse-names":false,"suffix":""}],"container-title":"Autonomic Neuroscience","id":"ITEM-1","issue":"1-2","issued":{"date-parts":[["2011","4","26"]]},"page":"34-42","title":"Dissecting axes of autonomic control in humans: Insights from neuroimaging","type":"article-journal","volume":"161"},"uris":["http://www.mendeley.com/documents/?uuid=ad6eac4e-074a-383a-8170-79eb89704258"]},{"id":"ITEM-2","itemData":{"DOI":"10.1111/1469-8986.2004.00179.x","ISSN":"0048-5772","PMID":"15189475","abstract":"The aim of the present study was to characterize the functional relationships between behaviorally evoked regional brain activation and cardiac autonomic activity in humans. Concurrent estimates of regional cerebral blood flow (rCBF; obtained by positron emission tomography), heart period, and high-frequency heart period variability (HF-HPV; an indicator of cardiac parasympathetic activity) were examined in 93 adults (aged 50-70 years) who performed a series of increasingly difficult working-memory tasks. Increased task difficulty resulted in decreased heart period (indicating cardioacceleration) and decreased HF-HPV (indicating decreased cardiac parasympathetic activity). Task-induced decreases in heart period and HF-HPV were associated with concurrent increases and decreases in rCBF to cortical and subcortical brain regions that are speculated to regulate cardiac autonomic activity during behavioral processes: the medial-prefrontal, insular, and anterior cingulate cortices, the amygdala-hippocampal complex, and the cerebellum. These findings replicate and extend a small number of functional neuroimaging studies that suggest an important role for both cortical and subcortical brain systems in human cardiac autonomic regulation.","author":[{"dropping-particle":"","family":"Gianaros","given":"Peter J","non-dropping-particle":"","parse-names":false,"suffix":""},{"dropping-particle":"","family":"Veen","given":"Frederik M","non-dropping-particle":"Van Der","parse-names":false,"suffix":""},{"dropping-particle":"","family":"Jennings","given":"J Richard","non-dropping-particle":"","parse-names":false,"suffix":""}],"container-title":"Psychophysiology","id":"ITEM-2","issue":"4","issued":{"date-parts":[["2004","7"]]},"page":"521-30","publisher":"NIH Public Access","title":"Regional cerebral blood flow correlates with heart period and high-frequency heart period variability during working-memory tasks: Implications for the cortical and subcortical regulation of cardiac autonomic activity.","type":"article-journal","volume":"41"},"prefix":"but see ","uris":["http://www.mendeley.com/documents/?uuid=6180dbac-f94b-3171-b743-af39e260bc80"]}],"mendeley":{"formattedCitation":"(but see Gianaros et al., 2004; Critchley et al., 2011)","plainTextFormattedCitation":"(but see Gianaros et al., 2004; Critchley et al., 2011)","previouslyFormattedCitation":"(but see Gianaros et al., 2004; Critchley et al., 2011)"},"properties":{"noteIndex":0},"schema":"https://github.com/citation-style-language/schema/raw/master/csl-citation.json"}</w:instrText>
      </w:r>
      <w:r w:rsidR="00225250" w:rsidRPr="00E20348">
        <w:rPr>
          <w:rFonts w:cs="AdvOT88ac8687"/>
          <w:color w:val="000000" w:themeColor="text1"/>
        </w:rPr>
        <w:fldChar w:fldCharType="separate"/>
      </w:r>
      <w:r w:rsidR="00225250" w:rsidRPr="00E20348">
        <w:rPr>
          <w:rFonts w:cs="AdvOT88ac8687"/>
          <w:noProof/>
          <w:color w:val="000000" w:themeColor="text1"/>
        </w:rPr>
        <w:t>(but see Gianaros et al., 2004; Critchley et al., 2011)</w:t>
      </w:r>
      <w:r w:rsidR="00225250" w:rsidRPr="00E20348">
        <w:rPr>
          <w:rFonts w:cs="AdvOT88ac8687"/>
          <w:color w:val="000000" w:themeColor="text1"/>
        </w:rPr>
        <w:fldChar w:fldCharType="end"/>
      </w:r>
      <w:r w:rsidR="00225250" w:rsidRPr="001A7586">
        <w:rPr>
          <w:rFonts w:cs="AdvOT88ac8687"/>
          <w:color w:val="000000" w:themeColor="text1"/>
        </w:rPr>
        <w:t xml:space="preserve">. </w:t>
      </w:r>
      <w:r w:rsidR="00E572D2" w:rsidRPr="001A7586">
        <w:rPr>
          <w:rFonts w:cs="AdvOT88ac8687"/>
          <w:color w:val="000000" w:themeColor="text1"/>
        </w:rPr>
        <w:t xml:space="preserve">The findings that area 25 inactivation and aHipp LY/CGP have the same effects independently, but their simultaneous infusion blocks these effects, </w:t>
      </w:r>
      <w:r w:rsidR="00572F1E" w:rsidRPr="001A7586">
        <w:rPr>
          <w:rFonts w:cs="AdvOT88ac8687"/>
          <w:color w:val="000000" w:themeColor="text1"/>
        </w:rPr>
        <w:t>suggests</w:t>
      </w:r>
      <w:r w:rsidR="00FC078B" w:rsidRPr="001A7586">
        <w:rPr>
          <w:rFonts w:cs="AdvOT88ac8687"/>
          <w:color w:val="000000" w:themeColor="text1"/>
        </w:rPr>
        <w:t xml:space="preserve"> functional </w:t>
      </w:r>
      <w:r w:rsidR="00FF551E" w:rsidRPr="001A7586">
        <w:rPr>
          <w:rFonts w:cs="AdvOT88ac8687"/>
          <w:color w:val="000000" w:themeColor="text1"/>
        </w:rPr>
        <w:t xml:space="preserve">dependence of </w:t>
      </w:r>
      <w:r w:rsidR="00E572D2" w:rsidRPr="001A7586">
        <w:rPr>
          <w:rFonts w:cs="AdvOT88ac8687"/>
          <w:color w:val="000000" w:themeColor="text1"/>
        </w:rPr>
        <w:t xml:space="preserve">these two structures in the regulation of </w:t>
      </w:r>
      <w:r w:rsidR="00444E79" w:rsidRPr="001A7586">
        <w:rPr>
          <w:rFonts w:cs="AdvOT88ac8687"/>
          <w:color w:val="000000" w:themeColor="text1"/>
        </w:rPr>
        <w:t>high-trait</w:t>
      </w:r>
      <w:r w:rsidR="00E572D2" w:rsidRPr="001A7586">
        <w:rPr>
          <w:rFonts w:cs="AdvOT88ac8687"/>
          <w:color w:val="000000" w:themeColor="text1"/>
        </w:rPr>
        <w:t xml:space="preserve"> anxiety.</w:t>
      </w:r>
      <w:r w:rsidR="00AB66BD" w:rsidRPr="001A7586">
        <w:rPr>
          <w:rFonts w:cs="AdvOT88ac8687"/>
          <w:color w:val="000000" w:themeColor="text1"/>
        </w:rPr>
        <w:t xml:space="preserve"> </w:t>
      </w:r>
      <w:r w:rsidR="00DE5F6D" w:rsidRPr="001A7586">
        <w:t xml:space="preserve">In contrast, </w:t>
      </w:r>
      <w:r w:rsidR="0099662B" w:rsidRPr="001A7586">
        <w:t>area 32</w:t>
      </w:r>
      <w:r w:rsidR="00DE5F6D" w:rsidRPr="001A7586">
        <w:t xml:space="preserve"> inactivation</w:t>
      </w:r>
      <w:r w:rsidR="0099662B" w:rsidRPr="001A7586">
        <w:t xml:space="preserve"> had no effect on the </w:t>
      </w:r>
      <w:r w:rsidR="00AB66BD" w:rsidRPr="001A7586">
        <w:rPr>
          <w:bCs/>
        </w:rPr>
        <w:t>cardiovascular</w:t>
      </w:r>
      <w:r w:rsidR="00A22238" w:rsidRPr="001A7586">
        <w:rPr>
          <w:bCs/>
        </w:rPr>
        <w:t xml:space="preserve"> and VS</w:t>
      </w:r>
      <w:r w:rsidR="00B42DA3" w:rsidRPr="001A7586">
        <w:rPr>
          <w:bCs/>
        </w:rPr>
        <w:t xml:space="preserve"> responses</w:t>
      </w:r>
      <w:r w:rsidR="0099662B" w:rsidRPr="001A7586">
        <w:t xml:space="preserve"> induced by the novel </w:t>
      </w:r>
      <w:r w:rsidR="00B42DA3" w:rsidRPr="001A7586">
        <w:t>cue</w:t>
      </w:r>
      <w:r w:rsidR="006C397E" w:rsidRPr="001A7586">
        <w:t>, and the combined aHipp LY/CGP</w:t>
      </w:r>
      <w:r w:rsidR="00DB3B5A" w:rsidRPr="001A7586">
        <w:t xml:space="preserve"> </w:t>
      </w:r>
      <w:r w:rsidR="006C397E" w:rsidRPr="001A7586">
        <w:t>+</w:t>
      </w:r>
      <w:r w:rsidR="00DB3B5A" w:rsidRPr="001A7586">
        <w:t xml:space="preserve"> </w:t>
      </w:r>
      <w:r w:rsidR="0099662B" w:rsidRPr="001A7586">
        <w:t xml:space="preserve">area 32 inactivation also failed to modulate the anxiolytic effects of aHipp LY/CGP alone. </w:t>
      </w:r>
      <w:r w:rsidR="009E2C1B" w:rsidRPr="001A7586">
        <w:t>This</w:t>
      </w:r>
      <w:r w:rsidR="0099662B" w:rsidRPr="001A7586">
        <w:t xml:space="preserve"> </w:t>
      </w:r>
      <w:r w:rsidR="009E2C1B" w:rsidRPr="001A7586">
        <w:t>diverges from</w:t>
      </w:r>
      <w:r w:rsidR="00DE5F6D" w:rsidRPr="001A7586">
        <w:t xml:space="preserve"> the increase</w:t>
      </w:r>
      <w:r w:rsidR="00B14404" w:rsidRPr="001A7586">
        <w:t xml:space="preserve"> in threat responses </w:t>
      </w:r>
      <w:r w:rsidR="0099662B" w:rsidRPr="001A7586">
        <w:t>seen after area 32 inactivation</w:t>
      </w:r>
      <w:r w:rsidR="00C62ACE" w:rsidRPr="001A7586">
        <w:t xml:space="preserve"> (with GABA agonists)</w:t>
      </w:r>
      <w:r w:rsidR="0099662B" w:rsidRPr="001A7586">
        <w:t xml:space="preserve"> during </w:t>
      </w:r>
      <w:r w:rsidR="006C397E" w:rsidRPr="001A7586">
        <w:t xml:space="preserve">cued </w:t>
      </w:r>
      <w:r w:rsidR="0099662B" w:rsidRPr="001A7586">
        <w:t>fear conditioning</w:t>
      </w:r>
      <w:r w:rsidR="000C0F5A" w:rsidRPr="001A7586">
        <w:t xml:space="preserve"> in </w:t>
      </w:r>
      <w:r w:rsidR="00B2668C" w:rsidRPr="001A7586">
        <w:t xml:space="preserve">non-anxious </w:t>
      </w:r>
      <w:r w:rsidR="000C0F5A" w:rsidRPr="001A7586">
        <w:t>marmosets</w:t>
      </w:r>
      <w:r w:rsidR="0099662B" w:rsidRPr="001A7586">
        <w:t xml:space="preserve"> </w:t>
      </w:r>
      <w:r w:rsidR="0099662B" w:rsidRPr="00E20348">
        <w:fldChar w:fldCharType="begin" w:fldLock="1"/>
      </w:r>
      <w:r w:rsidR="007C1DE8" w:rsidRPr="001A7586">
        <w:instrText>ADDIN CSL_CITATION {"citationItems":[{"id":"ITEM-1","itemData":{"DOI":"10.1073/pnas.1620115114","ISSN":"10916490","abstract":"Disorders of dysregulated negative emotion such as depression and anxiety also feature increased cardiovascular mortality and decreased heart-rate variability (HRV). These disorders are correlated with dysfunction within areas 25 and 32 of the ventromedial prefrontal cortex (vmPFC), but a causal relationship between dysregulation of these areas and such symptoms has not been demonstrated. Furthermore, cross-species translation is limited by inconsistent findings between rodent fear extinction and human neuroimaging studies of negative emotion. To reconcile these literatures, we applied an investigative approach to the brain-body interactions at the core of negative emotional dysregulation. We show that, in marmoset monkeys (a nonhuman primate that has far greater vmPFC homology to humans than rodents), areas 25 and 32 have causal yet opposing roles in regulating the cardiovascular and behavioral correlates of negative emotion. In novel Pavlovian fear conditioning and extinction paradigms, pharmacological inactivation of area 25 decreased the autonomic and behavioral correlates of negative emotion expectation, whereas inactivation of area 32 increased them via generalization. Area 25 inactivation also increased resting HRV. These findings are inconsistent with current theories of rodent/primate prefrontal functional similarity, and provide insight into the role of these brain regions in affective disorders. They demonstrate that area 32 hypoactivity causes behavioral generalization relevant to anxiety, and that area 25 is a causal node governing the emotional and cardiovascular symptomatology relevant to anxiety and depression.","author":[{"dropping-particle":"","family":"Wallis","given":"C.U.","non-dropping-particle":"","parse-names":false,"suffix":""},{"dropping-particle":"","family":"Cardinal","given":"R.N.","non-dropping-particle":"","parse-names":false,"suffix":""},{"dropping-particle":"","family":"Alexander","given":"L.","non-dropping-particle":"","parse-names":false,"suffix":""},{"dropping-particle":"","family":"Roberts","given":"A.C.","non-dropping-particle":"","parse-names":false,"suffix":""},{"dropping-particle":"","family":"Clarke","given":"H.F.","non-dropping-particle":"","parse-names":false,"suffix":""}],"container-title":"Proceedings of the National Academy of Sciences of the United States of America","id":"ITEM-1","issue":"20","issued":{"date-parts":[["2017"]]},"title":"Opposing roles of primate areas 25 and 32 and their putative rodent homologs in the regulation of negative emotion","type":"article-journal","volume":"114"},"uris":["http://www.mendeley.com/documents/?uuid=0c7170ec-f639-395d-b8c8-595fbc1b77ef"]}],"mendeley":{"formattedCitation":"(Wallis et al., 2017)","plainTextFormattedCitation":"(Wallis et al., 2017)","previouslyFormattedCitation":"(Wallis et al., 2017)"},"properties":{"noteIndex":0},"schema":"https://github.com/citation-style-language/schema/raw/master/csl-citation.json"}</w:instrText>
      </w:r>
      <w:r w:rsidR="0099662B" w:rsidRPr="00E20348">
        <w:fldChar w:fldCharType="separate"/>
      </w:r>
      <w:r w:rsidR="007C1DE8" w:rsidRPr="001A7586">
        <w:rPr>
          <w:noProof/>
        </w:rPr>
        <w:t>(Wallis et al., 2017)</w:t>
      </w:r>
      <w:r w:rsidR="0099662B" w:rsidRPr="00E20348">
        <w:fldChar w:fldCharType="end"/>
      </w:r>
      <w:r w:rsidR="00E265C6" w:rsidRPr="001A7586">
        <w:t xml:space="preserve">, </w:t>
      </w:r>
      <w:r w:rsidR="00C62ACE" w:rsidRPr="001A7586">
        <w:lastRenderedPageBreak/>
        <w:t>the</w:t>
      </w:r>
      <w:r w:rsidR="00C62ACE" w:rsidRPr="00E20348">
        <w:t xml:space="preserve"> positive relationship between perigenual GABA </w:t>
      </w:r>
      <w:r w:rsidR="000C0F5A" w:rsidRPr="00E20348">
        <w:t>levels</w:t>
      </w:r>
      <w:r w:rsidR="00C62ACE" w:rsidRPr="00E20348">
        <w:t xml:space="preserve"> and</w:t>
      </w:r>
      <w:r w:rsidR="000C0F5A" w:rsidRPr="00E20348">
        <w:t xml:space="preserve"> human</w:t>
      </w:r>
      <w:r w:rsidR="00C62ACE" w:rsidRPr="00E20348">
        <w:t xml:space="preserve"> trait anxiety </w:t>
      </w:r>
      <w:r w:rsidR="00C62ACE" w:rsidRPr="001A7586">
        <w:fldChar w:fldCharType="begin" w:fldLock="1"/>
      </w:r>
      <w:r w:rsidR="00FF2B1B" w:rsidRPr="00E20348">
        <w:instrText>ADDIN CSL_CITATION {"citationItems":[{"id":"ITEM-1","itemData":{"DOI":"10.1093/scan/nsv155","ISSN":"1749-5016","PMID":"26722018","abstract":"The ventromedial prefrontal cortex (vmPFC) plays a key role in emotion processing and regulation. vmPFC dysfunction may lead to disinhibition of amygdala causing high anxiety levels. γ-Aminobutyric acid (GABA) inter-neurons within vmPFC shape the information flow to amygdala. Thus, we hypothesize that GABA content within vmPFC could be relevant to trait anxiety. Forty-three healthy volunteers aged between 20 and 88 years were assessed for trait anxiety with the Subscale-2 of the State-Trait-Anxiety Inventory (STAI-Y2) and were studied with proton magnetic resonance spectroscopy to investigate GABA and Glx (glutamate+glutamine) contents within vmPFC. Total creatine (tCr) was used as internal reference. Partial correlations assessed the association between metabolite levels and STAI-Y2 scores, removing the effect of possible nuisance factors including age, educational level, volumes of gray matter and white matter within magnetic resonance spectroscopy voxel. We observed a positive relationship between GABA/tCr and STAI-Y2 scores. No significant relationships were found between Glx/tCr and STAI-Y2 and between tCr/water and STAI-Y2. No differences were found between males and females as regards to age, STAI-Y2, GABA/tCr, Glx/tCr, tCr/water, gray matter and white matter volumes. We suggest a close relationship between GABA content within vmPFC and trait anxiety providing new insights in the physiology of emotional brain.","author":[{"dropping-particle":"","family":"Delli Pizzi","given":"Stefano","non-dropping-particle":"","parse-names":false,"suffix":""},{"dropping-particle":"","family":"Padulo","given":"Caterina","non-dropping-particle":"","parse-names":false,"suffix":""},{"dropping-particle":"","family":"Brancucci","given":"Alfredo","non-dropping-particle":"","parse-names":false,"suffix":""},{"dropping-particle":"","family":"Bubbico","given":"Giovanna","non-dropping-particle":"","parse-names":false,"suffix":""},{"dropping-particle":"","family":"Edden","given":"Richard A.","non-dropping-particle":"","parse-names":false,"suffix":""},{"dropping-particle":"","family":"Ferretti","given":"Antonio","non-dropping-particle":"","parse-names":false,"suffix":""},{"dropping-particle":"","family":"Franciotti","given":"Raffaella","non-dropping-particle":"","parse-names":false,"suffix":""},{"dropping-particle":"","family":"Manippa","given":"Valerio","non-dropping-particle":"","parse-names":false,"suffix":""},{"dropping-particle":"","family":"Marzoli","given":"Daniele","non-dropping-particle":"","parse-names":false,"suffix":""},{"dropping-particle":"","family":"Onofrj","given":"Marco","non-dropping-particle":"","parse-names":false,"suffix":""},{"dropping-particle":"","family":"Sepede","given":"Gianna","non-dropping-particle":"","parse-names":false,"suffix":""},{"dropping-particle":"","family":"Tartaro","given":"Armando","non-dropping-particle":"","parse-names":false,"suffix":""},{"dropping-particle":"","family":"Tommasi","given":"Luca","non-dropping-particle":"","parse-names":false,"suffix":""},{"dropping-particle":"","family":"Puglisi-Allegra","given":"Stefano","non-dropping-particle":"","parse-names":false,"suffix":""},{"dropping-particle":"","family":"Bonanni","given":"Laura","non-dropping-particle":"","parse-names":false,"suffix":""}],"container-title":"Social Cognitive and Affective Neuroscience","id":"ITEM-1","issue":"5","issued":{"date-parts":[["2016","5"]]},"page":"758-766","title":"GABA content within the ventromedial prefrontal cortex is related to trait anxiety","type":"article-journal","volume":"11"},"uris":["http://www.mendeley.com/documents/?uuid=e17f2d2d-44fb-3f20-9dff-fa34621a4a3a"]}],"mendeley":{"formattedCitation":"(Delli Pizzi et al., 2016)","plainTextFormattedCitation":"(Delli Pizzi et al., 2016)","previouslyFormattedCitation":"(Delli Pizzi et al., 2016)"},"properties":{"noteIndex":0},"schema":"https://github.com/citation-style-language/schema/raw/master/csl-citation.json"}</w:instrText>
      </w:r>
      <w:r w:rsidR="00C62ACE" w:rsidRPr="00E20348">
        <w:fldChar w:fldCharType="separate"/>
      </w:r>
      <w:r w:rsidR="00C62ACE" w:rsidRPr="00E20348">
        <w:rPr>
          <w:noProof/>
        </w:rPr>
        <w:t>(Delli Pizzi et al., 2016)</w:t>
      </w:r>
      <w:r w:rsidR="00C62ACE" w:rsidRPr="00E20348">
        <w:fldChar w:fldCharType="end"/>
      </w:r>
      <w:r w:rsidR="00BD2F50" w:rsidRPr="001A7586">
        <w:t>.</w:t>
      </w:r>
      <w:r w:rsidR="00C62ACE" w:rsidRPr="001A7586">
        <w:t xml:space="preserve"> </w:t>
      </w:r>
      <w:r w:rsidR="00BD2F50" w:rsidRPr="001A7586">
        <w:t>It is also different from the</w:t>
      </w:r>
      <w:r w:rsidR="00E265C6" w:rsidRPr="001A7586">
        <w:t xml:space="preserve"> increase </w:t>
      </w:r>
      <w:r w:rsidR="00E265C6" w:rsidRPr="00E20348">
        <w:t>in HR</w:t>
      </w:r>
      <w:r w:rsidR="007A5CBB" w:rsidRPr="00E20348">
        <w:t xml:space="preserve"> and foreboding,</w:t>
      </w:r>
      <w:r w:rsidR="003242F3" w:rsidRPr="00E20348">
        <w:t xml:space="preserve"> </w:t>
      </w:r>
      <w:r w:rsidR="007A5CBB" w:rsidRPr="00E20348">
        <w:t xml:space="preserve">or negative bias, that is </w:t>
      </w:r>
      <w:r w:rsidR="003242F3" w:rsidRPr="00E20348">
        <w:t xml:space="preserve">seen after perigenual </w:t>
      </w:r>
      <w:r w:rsidR="00E265C6" w:rsidRPr="00E20348">
        <w:t xml:space="preserve">ACC stimulation in non-anxious epileptic patients </w:t>
      </w:r>
      <w:r w:rsidR="00BE2D03" w:rsidRPr="00E20348">
        <w:t xml:space="preserve"> and macaques </w:t>
      </w:r>
      <w:r w:rsidR="007A5CBB" w:rsidRPr="00E20348">
        <w:t xml:space="preserve">respectively, </w:t>
      </w:r>
      <w:r w:rsidR="00C62ACE" w:rsidRPr="00E20348">
        <w:t xml:space="preserve">that may have preferentially activated GABAergic interneurons </w:t>
      </w:r>
      <w:r w:rsidR="00E265C6" w:rsidRPr="001A7586">
        <w:fldChar w:fldCharType="begin" w:fldLock="1"/>
      </w:r>
      <w:r w:rsidR="007A5CBB" w:rsidRPr="00E20348">
        <w:instrText>ADDIN CSL_CITATION {"citationItems":[{"id":"ITEM-1","itemData":{"DOI":"10.1016/j.neuron.2013.10.057","ISSN":"1097-4199","PMID":"24316296","abstract":"Anterior cingulate cortex (ACC) is known to be involved in functions such as emotion, pain, and cognitive control. While studies in humans and nonhuman mammals have advanced our understanding of ACC function, the subjective correlates of ACC activity have remained largely unexplored. In the current study, we show that electrical charge delivery in the anterior midcingulate cortex (aMCC) elicits autonomic changes and the expectation of an imminent challenge coupled with a determined attitude to overcome it. Seed-based, resting-state connectivity analysis revealed that the site of stimulation in both patients was at the core of a large-scale distributed network linking aMCC to the frontoinsular and frontopolar as well as some subcortical regions. This report provides compelling, first-person accounts of electrical stimulation of this brain network and suggests its possible involvement in psychopathological conditions that are characterized by a reduced capacity to endure psychological or physical distress.","author":[{"dropping-particle":"","family":"Parvizi","given":"Josef","non-dropping-particle":"","parse-names":false,"suffix":""},{"dropping-particle":"","family":"Rangarajan","given":"Vinitha","non-dropping-particle":"","parse-names":false,"suffix":""},{"dropping-particle":"","family":"Shirer","given":"William R","non-dropping-particle":"","parse-names":false,"suffix":""},{"dropping-particle":"","family":"Desai","given":"Nikita","non-dropping-particle":"","parse-names":false,"suffix":""},{"dropping-particle":"","family":"Greicius","given":"Michael D","non-dropping-particle":"","parse-names":false,"suffix":""}],"container-title":"Neuron","id":"ITEM-1","issue":"6","issued":{"date-parts":[["2013","12","18"]]},"page":"1359-67","publisher":"NIH Public Access","title":"The will to persevere induced by electrical stimulation of the human cingulate gyrus.","type":"article-journal","volume":"80"},"uris":["http://www.mendeley.com/documents/?uuid=e3237b4a-bc9a-3a2b-b5b8-554f1324c69e"]},{"id":"ITEM-2","itemData":{"DOI":"10.1038/nn.3088\rnn.3088 [pii]","ISBN":"1546-1726 (Electronic)\r1097-6256 (Linking)","ISSN":"1546-1726","PMID":"22484571","abstract":"The pregenual anterior cingulate cortex (pACC) has been implicated in human anxiety disorders and depression, but the circuit-level mechanisms underlying these disorders are unclear. In healthy individuals, the pACC is involved in cost-benefit evaluation. We developed a macaque version of an approach-avoidance decision task used to evaluate anxiety and depression in humans and, with multi-electrode recording and cortical microstimulation, we probed pACC function as monkeys performed this task. We found that the macaque pACC has an opponent process-like organization of neurons representing motivationally positive and negative subjective value. Spatial distribution of these two neuronal populations overlapped in the pACC, except in one subzone, where neurons with negative coding were more numerous. Notably, microstimulation in this subzone, but not elsewhere in the pACC, increased negative decision-making, and this negative biasing was blocked by anti-anxiety drug treatment. This cortical zone could be critical for regulating negative emotional valence and anxiety in decision-making.","author":[{"dropping-particle":"","family":"Amemori","given":"Ken-ichi","non-dropping-particle":"","parse-names":false,"suffix":""},{"dropping-particle":"","family":"Graybiel","given":"Ann M.","non-dropping-particle":"","parse-names":false,"suffix":""}],"container-title":"Nature Neuroscience","edition":"2012/04/10","id":"ITEM-2","issue":"5","issued":{"date-parts":[["2012","5"]]},"language":"eng","note":"From Duplicate 1 (Localized microstimulation of primate pregenual cingulate cortex induces negative decision-making - Amemori, K; Graybiel, A M)\n\nAmemori, Ken-ichi\nGraybiel, Ann M\nR01 NS025529/NS/NINDS NIH HHS/United States\nR01 NS025529-23/NS/NINDS NIH HHS/United States\nResearch Support, N.I.H., Extramural\nResearch Support, Non-U.S. Gov't\nResearch Support, U.S. Gov't, Non-P.H.S.\nUnited States\nNature neuroscience\nNat Neurosci. 2012 May;15(5):776-85. doi: 10.1038/nn.3088.","page":"776-785","title":"Localized microstimulation of primate pregenual cingulate cortex induces negative decision-making","type":"article-journal","volume":"15"},"uris":["http://www.mendeley.com/documents/?uuid=c130ac05-54fe-474f-9b00-a9dc4e8c487c"]}],"mendeley":{"formattedCitation":"(Amemori and Graybiel, 2012; Parvizi et al., 2013)","plainTextFormattedCitation":"(Amemori and Graybiel, 2012; Parvizi et al., 2013)","previouslyFormattedCitation":"(Amemori and Graybiel, 2012; Parvizi et al., 2013)"},"properties":{"noteIndex":0},"schema":"https://github.com/citation-style-language/schema/raw/master/csl-citation.json"}</w:instrText>
      </w:r>
      <w:r w:rsidR="00E265C6" w:rsidRPr="00E20348">
        <w:fldChar w:fldCharType="separate"/>
      </w:r>
      <w:r w:rsidR="007A5CBB" w:rsidRPr="00E20348">
        <w:rPr>
          <w:noProof/>
        </w:rPr>
        <w:t>(Amemori and Graybiel, 2012; Parvizi et al., 2013)</w:t>
      </w:r>
      <w:r w:rsidR="00E265C6" w:rsidRPr="00E20348">
        <w:fldChar w:fldCharType="end"/>
      </w:r>
      <w:r w:rsidR="00B42DA3" w:rsidRPr="001A7586">
        <w:t>.</w:t>
      </w:r>
      <w:r w:rsidR="00E572D2" w:rsidRPr="001A7586">
        <w:t xml:space="preserve"> However</w:t>
      </w:r>
      <w:r w:rsidR="00B14404" w:rsidRPr="001A7586">
        <w:t>,</w:t>
      </w:r>
      <w:r w:rsidR="00386C1F" w:rsidRPr="001A7586">
        <w:t xml:space="preserve"> it may </w:t>
      </w:r>
      <w:r w:rsidR="00572F1E" w:rsidRPr="001A7586">
        <w:t xml:space="preserve">not be possible </w:t>
      </w:r>
      <w:r w:rsidR="00386C1F" w:rsidRPr="001A7586">
        <w:t>to detect</w:t>
      </w:r>
      <w:r w:rsidR="00B14404" w:rsidRPr="001A7586">
        <w:t xml:space="preserve"> further increases in defensive </w:t>
      </w:r>
      <w:r w:rsidR="00D71B0B" w:rsidRPr="001A7586">
        <w:t>behavior</w:t>
      </w:r>
      <w:r w:rsidR="00B14404" w:rsidRPr="001A7586">
        <w:t xml:space="preserve">s in response to certain or uncertain threat </w:t>
      </w:r>
      <w:r w:rsidR="00E572D2" w:rsidRPr="001A7586">
        <w:t xml:space="preserve">in </w:t>
      </w:r>
      <w:r w:rsidR="00444E79" w:rsidRPr="001A7586">
        <w:t>high-trait</w:t>
      </w:r>
      <w:r w:rsidR="00E572D2" w:rsidRPr="001A7586">
        <w:t xml:space="preserve"> anxious animals</w:t>
      </w:r>
      <w:r w:rsidR="00386C1F" w:rsidRPr="001A7586">
        <w:t>,</w:t>
      </w:r>
      <w:r w:rsidR="00E572D2" w:rsidRPr="001A7586">
        <w:t xml:space="preserve"> who </w:t>
      </w:r>
      <w:r w:rsidR="00F03004" w:rsidRPr="001A7586">
        <w:t>may</w:t>
      </w:r>
      <w:r w:rsidR="00B42DA3" w:rsidRPr="001A7586">
        <w:t xml:space="preserve"> already </w:t>
      </w:r>
      <w:r w:rsidR="00F03004" w:rsidRPr="001A7586">
        <w:t xml:space="preserve">be </w:t>
      </w:r>
      <w:r w:rsidR="00E572D2" w:rsidRPr="001A7586">
        <w:t xml:space="preserve">displaying maximal levels of </w:t>
      </w:r>
      <w:r w:rsidR="00B14404" w:rsidRPr="001A7586">
        <w:t xml:space="preserve">this </w:t>
      </w:r>
      <w:r w:rsidR="00D71B0B" w:rsidRPr="001A7586">
        <w:t>behavior</w:t>
      </w:r>
      <w:r w:rsidR="00AC5990" w:rsidRPr="001A7586">
        <w:t>.</w:t>
      </w:r>
      <w:r w:rsidR="00BE2D03" w:rsidRPr="001A7586">
        <w:t xml:space="preserve"> Clearly</w:t>
      </w:r>
      <w:r w:rsidR="00BD48C3" w:rsidRPr="00E20348">
        <w:t>,</w:t>
      </w:r>
      <w:r w:rsidR="00BE2D03" w:rsidRPr="00E20348">
        <w:t xml:space="preserve"> the differing contributions of 25 and 32 to the modulation of threat responses has implications when considering treatment, </w:t>
      </w:r>
      <w:r w:rsidR="00B2668C" w:rsidRPr="00E20348">
        <w:t xml:space="preserve">particularly when considering GABAergic medications such as benzodiazepines </w:t>
      </w:r>
      <w:r w:rsidR="00B2668C" w:rsidRPr="001A7586">
        <w:fldChar w:fldCharType="begin" w:fldLock="1"/>
      </w:r>
      <w:r w:rsidR="003E1B27" w:rsidRPr="00E20348">
        <w:instrText>ADDIN CSL_CITATION {"citationItems":[{"id":"ITEM-1","itemData":{"ISSN":"0022-3956","PMID":"11684140","abstract":"In this cross-sectional study we explored in 101 depressive in-patients (DSM III-R) the association between level of trait anxiety and variables that have been investigated previously to discern primary and secondary depression, respectively. Besides, we explored the influence of trait anxiety level on difference in treatment response to either imipramine or mirtazapine. Trait anxiety was measured interviewing a close relative of the patient using a questionnaire related to aspects of psychic anxiety and to aspects of somatic anxiety. The interviewer focussed on fluctuating anxiety symptoms without persistent mood disturbance during the patient's normal lifelong functioning before developing a depressed mood. We found no relation between trait anxiety level and treatment response to either imipramine or mirtazapine. The most important finding of this study is the significant differential response to the diazepam test: depressive patients with high trait anxiety showed, predominantly, a disappearance of depressive symptoms without sedation and depressive patients with low trait anxiety showed, predominantly, sedation without disappearance of depressive symptoms. The opposite response to the diazepam test in patients with a different history of trait anxiety in spite of similar depressive symptomatology suggests differences in underlying pathophysiologic mechanisms.","author":[{"dropping-particle":"","family":"Bruijn","given":"J A","non-dropping-particle":"","parse-names":false,"suffix":""},{"dropping-particle":"","family":"Moleman","given":"P","non-dropping-particle":"","parse-names":false,"suffix":""},{"dropping-particle":"","family":"Broek","given":"W W","non-dropping-particle":"van den","parse-names":false,"suffix":""},{"dropping-particle":"","family":"Mulder","given":"P G","non-dropping-particle":"","parse-names":false,"suffix":""}],"container-title":"Journal of psychiatric research","id":"ITEM-1","issue":"6","issued":{"date-parts":[["2001"]]},"page":"331-7","title":"Trait anxiety and the effect of a single high dose of diazepam in unipolar depression.","type":"article-journal","volume":"35"},"uris":["http://www.mendeley.com/documents/?uuid=dc669573-8e90-3c4e-a346-28087a066505"]}],"mendeley":{"formattedCitation":"(Bruijn et al., 2001)","plainTextFormattedCitation":"(Bruijn et al., 2001)","previouslyFormattedCitation":"(Bruijn et al., 2001)"},"properties":{"noteIndex":0},"schema":"https://github.com/citation-style-language/schema/raw/master/csl-citation.json"}</w:instrText>
      </w:r>
      <w:r w:rsidR="00B2668C" w:rsidRPr="00E20348">
        <w:fldChar w:fldCharType="separate"/>
      </w:r>
      <w:r w:rsidR="00B2668C" w:rsidRPr="00E20348">
        <w:rPr>
          <w:noProof/>
        </w:rPr>
        <w:t>(Bruijn et al., 2001)</w:t>
      </w:r>
      <w:r w:rsidR="00B2668C" w:rsidRPr="00E20348">
        <w:fldChar w:fldCharType="end"/>
      </w:r>
      <w:r w:rsidR="00B2668C" w:rsidRPr="001A7586">
        <w:t>.</w:t>
      </w:r>
    </w:p>
    <w:p w14:paraId="1B0579E0" w14:textId="32241CB9" w:rsidR="0099662B" w:rsidRPr="001A7586" w:rsidRDefault="0099662B" w:rsidP="00AF18CF">
      <w:pPr>
        <w:spacing w:after="119" w:line="480" w:lineRule="auto"/>
        <w:jc w:val="both"/>
        <w:rPr>
          <w:bCs/>
        </w:rPr>
      </w:pPr>
      <w:r w:rsidRPr="001A7586">
        <w:rPr>
          <w:bCs/>
        </w:rPr>
        <w:t xml:space="preserve">To conclude, we have shown that aHipp glutamatergic hypofunction is a key predictor of a </w:t>
      </w:r>
      <w:r w:rsidR="00444E79" w:rsidRPr="001A7586">
        <w:rPr>
          <w:bCs/>
        </w:rPr>
        <w:t>high-trait</w:t>
      </w:r>
      <w:r w:rsidRPr="001A7586">
        <w:rPr>
          <w:bCs/>
        </w:rPr>
        <w:t xml:space="preserve"> anxiety phenotype in marmoset monkeys</w:t>
      </w:r>
      <w:r w:rsidR="000E1427" w:rsidRPr="001A7586">
        <w:rPr>
          <w:bCs/>
        </w:rPr>
        <w:t xml:space="preserve"> and that</w:t>
      </w:r>
      <w:r w:rsidRPr="001A7586">
        <w:rPr>
          <w:bCs/>
        </w:rPr>
        <w:t xml:space="preserve"> </w:t>
      </w:r>
      <w:r w:rsidR="000E1427" w:rsidRPr="001A7586">
        <w:rPr>
          <w:bCs/>
        </w:rPr>
        <w:t>by</w:t>
      </w:r>
      <w:r w:rsidRPr="001A7586">
        <w:rPr>
          <w:bCs/>
        </w:rPr>
        <w:t xml:space="preserve"> pharmacologically </w:t>
      </w:r>
      <w:r w:rsidR="00D8399B" w:rsidRPr="001A7586">
        <w:rPr>
          <w:bCs/>
        </w:rPr>
        <w:t>normalizing</w:t>
      </w:r>
      <w:r w:rsidRPr="001A7586">
        <w:rPr>
          <w:bCs/>
        </w:rPr>
        <w:t xml:space="preserve"> such hypofunction </w:t>
      </w:r>
      <w:r w:rsidR="000E1427" w:rsidRPr="001A7586">
        <w:rPr>
          <w:bCs/>
        </w:rPr>
        <w:t xml:space="preserve">we can also </w:t>
      </w:r>
      <w:r w:rsidR="00D8399B" w:rsidRPr="001A7586">
        <w:rPr>
          <w:bCs/>
        </w:rPr>
        <w:t>normalize</w:t>
      </w:r>
      <w:r w:rsidR="001E5690" w:rsidRPr="001A7586">
        <w:rPr>
          <w:bCs/>
        </w:rPr>
        <w:t xml:space="preserve"> the </w:t>
      </w:r>
      <w:r w:rsidRPr="001A7586">
        <w:rPr>
          <w:bCs/>
        </w:rPr>
        <w:t xml:space="preserve">abnormal </w:t>
      </w:r>
      <w:r w:rsidR="00D71B0B" w:rsidRPr="001A7586">
        <w:rPr>
          <w:bCs/>
        </w:rPr>
        <w:t>behavior</w:t>
      </w:r>
      <w:r w:rsidRPr="001A7586">
        <w:rPr>
          <w:bCs/>
        </w:rPr>
        <w:t xml:space="preserve">al and cardiovascular </w:t>
      </w:r>
      <w:r w:rsidR="00B54B89" w:rsidRPr="001A7586">
        <w:rPr>
          <w:bCs/>
        </w:rPr>
        <w:t>blunting</w:t>
      </w:r>
      <w:r w:rsidRPr="001A7586">
        <w:rPr>
          <w:bCs/>
        </w:rPr>
        <w:t xml:space="preserve"> </w:t>
      </w:r>
      <w:r w:rsidR="00B2668C" w:rsidRPr="001A7586">
        <w:rPr>
          <w:bCs/>
        </w:rPr>
        <w:t>associated with this phenotype.</w:t>
      </w:r>
      <w:r w:rsidRPr="001A7586">
        <w:rPr>
          <w:bCs/>
        </w:rPr>
        <w:t xml:space="preserve"> </w:t>
      </w:r>
      <w:r w:rsidR="00B2668C" w:rsidRPr="001A7586">
        <w:rPr>
          <w:bCs/>
        </w:rPr>
        <w:t>W</w:t>
      </w:r>
      <w:r w:rsidRPr="001A7586">
        <w:rPr>
          <w:bCs/>
        </w:rPr>
        <w:t xml:space="preserve">e </w:t>
      </w:r>
      <w:r w:rsidR="00554978" w:rsidRPr="001A7586">
        <w:rPr>
          <w:bCs/>
        </w:rPr>
        <w:t xml:space="preserve">provide evidence that </w:t>
      </w:r>
      <w:r w:rsidR="000E1427" w:rsidRPr="001A7586">
        <w:rPr>
          <w:bCs/>
        </w:rPr>
        <w:t xml:space="preserve">an aHipp-area 25, but not aHipp-area 32 circuit </w:t>
      </w:r>
      <w:r w:rsidR="00554978" w:rsidRPr="001A7586">
        <w:rPr>
          <w:bCs/>
        </w:rPr>
        <w:t>underlies this</w:t>
      </w:r>
      <w:r w:rsidR="000E1427" w:rsidRPr="001A7586">
        <w:rPr>
          <w:bCs/>
        </w:rPr>
        <w:t xml:space="preserve"> </w:t>
      </w:r>
      <w:r w:rsidR="00BE2D03" w:rsidRPr="001A7586">
        <w:rPr>
          <w:bCs/>
        </w:rPr>
        <w:t xml:space="preserve">specific </w:t>
      </w:r>
      <w:r w:rsidR="001E5690" w:rsidRPr="001A7586">
        <w:rPr>
          <w:bCs/>
        </w:rPr>
        <w:t>anxiolytic effect and</w:t>
      </w:r>
      <w:r w:rsidR="00554978" w:rsidRPr="001A7586">
        <w:rPr>
          <w:bCs/>
        </w:rPr>
        <w:t xml:space="preserve"> highlight the </w:t>
      </w:r>
      <w:r w:rsidRPr="001A7586">
        <w:rPr>
          <w:bCs/>
        </w:rPr>
        <w:t xml:space="preserve">aHipp-area 25 </w:t>
      </w:r>
      <w:r w:rsidR="00554978" w:rsidRPr="001A7586">
        <w:rPr>
          <w:bCs/>
        </w:rPr>
        <w:t xml:space="preserve">pathway </w:t>
      </w:r>
      <w:r w:rsidRPr="001A7586">
        <w:rPr>
          <w:bCs/>
        </w:rPr>
        <w:t xml:space="preserve">as </w:t>
      </w:r>
      <w:r w:rsidR="00B54B89" w:rsidRPr="001A7586">
        <w:rPr>
          <w:bCs/>
        </w:rPr>
        <w:t xml:space="preserve">a </w:t>
      </w:r>
      <w:r w:rsidRPr="001A7586">
        <w:rPr>
          <w:bCs/>
        </w:rPr>
        <w:t xml:space="preserve">potential therapeutic target. </w:t>
      </w:r>
      <w:r w:rsidR="00554978" w:rsidRPr="001A7586">
        <w:rPr>
          <w:bCs/>
        </w:rPr>
        <w:t>Together</w:t>
      </w:r>
      <w:r w:rsidRPr="001A7586">
        <w:rPr>
          <w:bCs/>
        </w:rPr>
        <w:t xml:space="preserve"> these findings demonstrate the importance of investigating both the </w:t>
      </w:r>
      <w:r w:rsidR="00D71B0B" w:rsidRPr="001A7586">
        <w:rPr>
          <w:bCs/>
        </w:rPr>
        <w:t>behavior</w:t>
      </w:r>
      <w:r w:rsidRPr="001A7586">
        <w:rPr>
          <w:bCs/>
        </w:rPr>
        <w:t>al and autonomic aspects of emotional r</w:t>
      </w:r>
      <w:r w:rsidR="00ED45AD" w:rsidRPr="001A7586">
        <w:rPr>
          <w:bCs/>
        </w:rPr>
        <w:t>esponding, and suggest that</w:t>
      </w:r>
      <w:r w:rsidRPr="001A7586">
        <w:rPr>
          <w:bCs/>
        </w:rPr>
        <w:t xml:space="preserve"> investigating cardiovascular function in rodents may </w:t>
      </w:r>
      <w:r w:rsidR="009E2C1B" w:rsidRPr="001A7586">
        <w:rPr>
          <w:bCs/>
        </w:rPr>
        <w:t xml:space="preserve">be a valuable adjunct </w:t>
      </w:r>
      <w:r w:rsidR="00554978" w:rsidRPr="001A7586">
        <w:rPr>
          <w:bCs/>
        </w:rPr>
        <w:t>when comparing</w:t>
      </w:r>
      <w:r w:rsidRPr="001A7586">
        <w:rPr>
          <w:bCs/>
        </w:rPr>
        <w:t xml:space="preserve"> rodent and primate mPFC function.</w:t>
      </w:r>
    </w:p>
    <w:p w14:paraId="3F9CBE76" w14:textId="77777777" w:rsidR="00E67ED6" w:rsidRPr="001A7586" w:rsidRDefault="00E67ED6" w:rsidP="00AF18CF">
      <w:pPr>
        <w:spacing w:after="119" w:line="480" w:lineRule="auto"/>
        <w:jc w:val="both"/>
        <w:rPr>
          <w:bCs/>
        </w:rPr>
      </w:pPr>
    </w:p>
    <w:p w14:paraId="7B437B26" w14:textId="77777777" w:rsidR="00CD59ED" w:rsidRPr="001A7586" w:rsidRDefault="00CD59ED" w:rsidP="00AF18CF">
      <w:pPr>
        <w:pStyle w:val="Default"/>
        <w:spacing w:line="480" w:lineRule="auto"/>
        <w:rPr>
          <w:rFonts w:asciiTheme="minorHAnsi" w:hAnsiTheme="minorHAnsi" w:cstheme="minorBidi"/>
          <w:b/>
          <w:bCs/>
          <w:color w:val="auto"/>
          <w:sz w:val="22"/>
          <w:szCs w:val="22"/>
        </w:rPr>
      </w:pPr>
    </w:p>
    <w:p w14:paraId="66D8492E" w14:textId="77777777" w:rsidR="00CD59ED" w:rsidRPr="001A7586" w:rsidRDefault="00E0671D" w:rsidP="00AF18CF">
      <w:pPr>
        <w:pStyle w:val="Default"/>
        <w:spacing w:line="480" w:lineRule="auto"/>
        <w:rPr>
          <w:rFonts w:asciiTheme="minorHAnsi" w:hAnsiTheme="minorHAnsi" w:cstheme="minorBidi"/>
          <w:b/>
          <w:bCs/>
          <w:color w:val="auto"/>
          <w:sz w:val="22"/>
          <w:szCs w:val="22"/>
        </w:rPr>
      </w:pPr>
      <w:r w:rsidRPr="001A7586">
        <w:rPr>
          <w:rFonts w:asciiTheme="minorHAnsi" w:hAnsiTheme="minorHAnsi" w:cstheme="minorBidi"/>
          <w:b/>
          <w:bCs/>
          <w:color w:val="auto"/>
          <w:sz w:val="22"/>
          <w:szCs w:val="22"/>
        </w:rPr>
        <w:t>References</w:t>
      </w:r>
    </w:p>
    <w:p w14:paraId="08D69BB6" w14:textId="3E0F6898" w:rsidR="00330E12" w:rsidRPr="001A7586" w:rsidRDefault="00E0671D" w:rsidP="00330E12">
      <w:pPr>
        <w:widowControl w:val="0"/>
        <w:autoSpaceDE w:val="0"/>
        <w:autoSpaceDN w:val="0"/>
        <w:adjustRightInd w:val="0"/>
        <w:spacing w:after="0" w:line="480" w:lineRule="auto"/>
        <w:ind w:left="480" w:hanging="480"/>
        <w:rPr>
          <w:rFonts w:ascii="Calibri" w:hAnsi="Calibri" w:cs="Calibri"/>
          <w:noProof/>
          <w:szCs w:val="24"/>
        </w:rPr>
      </w:pPr>
      <w:r w:rsidRPr="00E20348">
        <w:rPr>
          <w:b/>
          <w:bCs/>
        </w:rPr>
        <w:fldChar w:fldCharType="begin" w:fldLock="1"/>
      </w:r>
      <w:r w:rsidRPr="001A7586">
        <w:rPr>
          <w:b/>
          <w:bCs/>
        </w:rPr>
        <w:instrText xml:space="preserve">ADDIN Mendeley Bibliography CSL_BIBLIOGRAPHY </w:instrText>
      </w:r>
      <w:r w:rsidRPr="00E20348">
        <w:rPr>
          <w:b/>
          <w:bCs/>
        </w:rPr>
        <w:fldChar w:fldCharType="separate"/>
      </w:r>
      <w:r w:rsidR="00330E12" w:rsidRPr="001A7586">
        <w:rPr>
          <w:rFonts w:ascii="Calibri" w:hAnsi="Calibri" w:cs="Calibri"/>
          <w:noProof/>
          <w:szCs w:val="24"/>
        </w:rPr>
        <w:t>Adhikari A, Topiwala MA, Gordon JA (2010) Synchronized activity between the ventral hippocampus and the medial prefrontal cortex during anxiety. Neuron 65:257–269 Available at: http://linkinghub.elsevier.com/retrieve/pii/S0896627309009799 [Accessed June 19, 2017].</w:t>
      </w:r>
    </w:p>
    <w:p w14:paraId="2C203C4E"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 xml:space="preserve">Agustín-Pavón C et al. (2012a) Lesions of ventrolateral prefrontal or anterior orbitofrontal cortex in </w:t>
      </w:r>
      <w:r w:rsidRPr="001A7586">
        <w:rPr>
          <w:rFonts w:ascii="Calibri" w:hAnsi="Calibri" w:cs="Calibri"/>
          <w:noProof/>
          <w:szCs w:val="24"/>
        </w:rPr>
        <w:lastRenderedPageBreak/>
        <w:t>primates heighten negative emotion. Biol Psychiatry 72:266–272 Available at: http://www.ncbi.nlm.nih.gov/pubmed/22502990.</w:t>
      </w:r>
    </w:p>
    <w:p w14:paraId="6BB65619"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Agustín-Pavón C, Braesicke K, Shiba Y, Santangelo AM, Mikheenko Y, Cockroft G, Asma F, Clarke H, Man M-S, Roberts AC (2012b) Lesions of ventrolateral prefrontal or anterior orbitofrontal cortex in primates heighten negative emotion. Biol Psychiatry 72:266–272.</w:t>
      </w:r>
    </w:p>
    <w:p w14:paraId="4D11EE26"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Agustin-Pavon C, Parkinson J, Man MS, Roberts AC (2011) Contribution of the amygdala, but not orbitofrontal or medial prefrontal cortices, to the expression of flavour preferences in marmoset monkeys. Eur J Neurosci 34:1006–1017 Available at: http://www.ncbi.nlm.nih.gov/pubmed/21848920.</w:t>
      </w:r>
    </w:p>
    <w:p w14:paraId="43EA0564"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Ajayi IE, McGovern AE, Driessen AK, Kerr NF, Mills PC, Mazzone SB (2018) Hippocampal modulation of cardiorespiratory function. Respir Physiol Neurobiol 252–253:18–27 Available at: http://www.ncbi.nlm.nih.gov/pubmed/29550518 [Accessed March 21, 2018].</w:t>
      </w:r>
    </w:p>
    <w:p w14:paraId="03DDA227"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Amemori K, Graybiel AM (2012) Localized microstimulation of primate pregenual cingulate cortex induces negative decision-making. Nat Neurosci 15:776–785 Available at: http://www.ncbi.nlm.nih.gov/pubmed/22484571.</w:t>
      </w:r>
    </w:p>
    <w:p w14:paraId="68A256F5"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Bär K-J, Herbsleb M, Schumann A, de la Cruz F, Gabriel HW, Wagner G (2016) Hippocampal-Brainstem Connectivity Associated with Vagal Modulation after an Intense Exercise Intervention in Healthy Men. Front Neurosci 10:145 Available at: http://www.ncbi.nlm.nih.gov/pubmed/27092046 [Accessed March 21, 2018].</w:t>
      </w:r>
    </w:p>
    <w:p w14:paraId="36EED5F6"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Barkus C, McHugh SB, Sprengel R, Seeburg PH, Rawlins JN, Bannerman DM (2010) Hippocampal NMDA receptors and anxiety: at the interface between cognition and emotion. Eur J Pharmacol 626:49–56 Available at: http://www.ncbi.nlm.nih.gov/pubmed/19836379.</w:t>
      </w:r>
    </w:p>
    <w:p w14:paraId="039319DC"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Bezerra BM, Souto A (2008) Structure and usage of the vocal repertoire of Callithrix jacchus. Int J Primatol 29:671–701.</w:t>
      </w:r>
    </w:p>
    <w:p w14:paraId="3D53B815"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 xml:space="preserve">Block W, Tr?ber F, von Widdern O, Metten M, Schild H, Maier W, Zobel A, Jessen F (2009) Proton MR spectroscopy of the hippocampus at 3 T in patients with unipolar major depressive disorder: </w:t>
      </w:r>
      <w:r w:rsidRPr="001A7586">
        <w:rPr>
          <w:rFonts w:ascii="Calibri" w:hAnsi="Calibri" w:cs="Calibri"/>
          <w:noProof/>
          <w:szCs w:val="24"/>
        </w:rPr>
        <w:lastRenderedPageBreak/>
        <w:t>correlates and predictors of treatment response. Int J Neuropsychopharmacol 12:415 Available at: http://www.ncbi.nlm.nih.gov/pubmed/18845018 [Accessed June 21, 2017].</w:t>
      </w:r>
    </w:p>
    <w:p w14:paraId="4FC9C915"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Boutcher SH, Stocker D (1996) Cardiovascular response of young and older males to mental challenge. J Gerontol B Psychol Sci Soc Sci 51:P261-7 Available at: http://www.ncbi.nlm.nih.gov/pubmed/8809002 [Accessed March 19, 2018].</w:t>
      </w:r>
    </w:p>
    <w:p w14:paraId="0B34011A"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Braesicke K, Parkinson JA, Reekie Y, Man MS, Hopewell L, Pears A, Crofts H, Schnell CR, Roberts AC (2005) Autonomic arousal in an appetitive context in primates: a behavioural and neural analysis. Eur J Neurosci 21:1733–1740 Available at: http://www.ncbi.nlm.nih.gov/entrez/query.fcgi?cmd=Retrieve&amp;db=PubMed&amp;dopt=Citation&amp;list_uids=15845101.</w:t>
      </w:r>
    </w:p>
    <w:p w14:paraId="651AE715"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Brindle RC, Ginty AT, Conklin SM (2013) Is the association between depression and blunted cardiovascular stress reactions mediated by perceptions of stress? Int J Psychophysiol 90:66–72 Available at: http://linkinghub.elsevier.com/retrieve/pii/S0167876013001748 [Accessed March 21, 2018].</w:t>
      </w:r>
    </w:p>
    <w:p w14:paraId="54200A03"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Bruijn JA, Moleman P, van den Broek WW, Mulder PG (2001) Trait anxiety and the effect of a single high dose of diazepam in unipolar depression. J Psychiatr Res 35:331–337 Available at: http://www.ncbi.nlm.nih.gov/pubmed/11684140 [Accessed November 28, 2018].</w:t>
      </w:r>
    </w:p>
    <w:p w14:paraId="6C2CF8D1"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Burman KJ, Rosa MGP (2009) Architectural subdivisions of medial and orbital frontal cortices in the marmoset monkey (Callithrix jacchus). J Comp Neurol 514:11–29 Available at: http://www.ncbi.nlm.nih.gov/entrez/query.fcgi?cmd=Retrieve&amp;db=PubMed&amp;dopt=Citation&amp;list_uids=19260047.</w:t>
      </w:r>
    </w:p>
    <w:p w14:paraId="14526111"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Cardinal RN, Aitken MR (2010) Whisker: a client-server high-performance multimedia research control system. Behav Res Methods 42:1059–1071 Available at: http://www.ncbi.nlm.nih.gov/pubmed/21139173.</w:t>
      </w:r>
    </w:p>
    <w:p w14:paraId="37627576"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Carey GJ, Costall B, Domeney AM, Jones DNC, Naylor RJ (1992) Behavioural effects of anxiogenic agents in the common marmoset. Pharmacol Biochem Behav 42:143–153.</w:t>
      </w:r>
    </w:p>
    <w:p w14:paraId="5740F0C1"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lastRenderedPageBreak/>
        <w:t>Carroll D, Ginty AT, Whittaker AC, Lovallo WR, de Rooij SR (2017) The behavioural, cognitive, and neural corollaries of blunted cardiovascular and cortisol reactions to acute psychological stress. Neurosci Biobehav Rev 77:74–86 Available at: http://linkinghub.elsevier.com/retrieve/pii/S0149763416304614 [Accessed June 15, 2017].</w:t>
      </w:r>
    </w:p>
    <w:p w14:paraId="7161017D"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Chudasama Y, Izquierdo A, Murray EA (2009) Distinct contributions of the amygdala and hippocampus to fear expression. Eur J Neurosci 30:2327–2337 Available at: http://www.ncbi.nlm.nih.gov/pubmed/20092575 [Accessed March 11, 2018].</w:t>
      </w:r>
    </w:p>
    <w:p w14:paraId="31830F66"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Chudasama Y, Wright KS, Murray EA (2008) Hippocampal Lesions in Rhesus Monkeys Disrupt Emotional Responses but Not Reinforcer Devaluation Effects. Biol Psychiatry 63:1084–1091 Available at: http://www.ncbi.nlm.nih.gov/pubmed/18191111 [Accessed March 11, 2018].</w:t>
      </w:r>
    </w:p>
    <w:p w14:paraId="0BF2809E"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Clarke HFF, Dalley JWW, Crofts HSS, Robbins TWW, Roberts ACC (2004) Cognitive inflexibility after prefrontal serotonin depletion. Science 304:878–880 Available at: http://www.ncbi.nlm.nih.gov/pubmed/15131308 [Accessed February 14, 2016].</w:t>
      </w:r>
    </w:p>
    <w:p w14:paraId="713CE897"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Core Team R (2016) R: A Language and Environment For Statistical Computing.</w:t>
      </w:r>
    </w:p>
    <w:p w14:paraId="48B3D5BA"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Critchley HD, Nagai Y, Gray MA, Mathias CJ (2011) Dissecting axes of autonomic control in humans: Insights from neuroimaging. Auton Neurosci 161:34–42 Available at: http://www.ncbi.nlm.nih.gov/pubmed/20926356 [Accessed March 22, 2018].</w:t>
      </w:r>
    </w:p>
    <w:p w14:paraId="361B1790"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de Diego-Adeliño J, Portella MJ, Gómez-Ansón B, López-Moruelo O, Serra-Blasco M, Vives Y, Puigdemont D, Pérez-Egea R, Álvarez E, Pérez V (2013) Hippocampal abnormalities of glutamate/glutamine, N-acetylaspartate and choline in patients with depression are related to past illness burden. J Psychiatry Neurosci 38:107–116 Available at: http://www.ncbi.nlm.nih.gov/pubmed/23425950 [Accessed June 21, 2017].</w:t>
      </w:r>
    </w:p>
    <w:p w14:paraId="4863C4BB"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de Geus EJ, van Doornen LJ, de Visser DC, Orlebeke JF (1990) Existing and training induced differences in aerobic fitness: their relationship to physiological response patterns during different types of stress. Psychophysiology 27:457–478 Available at: http://www.ncbi.nlm.nih.gov/pubmed/2236448 [Accessed March 19, 2018].</w:t>
      </w:r>
    </w:p>
    <w:p w14:paraId="367F1679"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lastRenderedPageBreak/>
        <w:t>Delli Pizzi S, Padulo C, Brancucci A, Bubbico G, Edden RA, Ferretti A, Franciotti R, Manippa V, Marzoli D, Onofrj M, Sepede G, Tartaro A, Tommasi L, Puglisi-Allegra S, Bonanni L (2016) GABA content within the ventromedial prefrontal cortex is related to trait anxiety. Soc Cogn Affect Neurosci 11:758–766 Available at: http://www.ncbi.nlm.nih.gov/pubmed/26722018 [Accessed November 28, 2018].</w:t>
      </w:r>
    </w:p>
    <w:p w14:paraId="448DDFF2"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Dickie EW, Brunet A, Akerib V, Armony JL (2011) Neural correlates of recovery from post-traumatic stress disorder: a longitudinal fMRI investigation of memory encoding. Neuropsychologia 49:1771–1778 Available at: http://linkinghub.elsevier.com/retrieve/pii/S002839321100128X [Accessed June 21, 2017].</w:t>
      </w:r>
    </w:p>
    <w:p w14:paraId="11D52567"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Duric V, Banasr M, Stockmeier CA, Simen AA, Newton SS, Overholser JC, Jurjus GJ, Dieter L, Duman RS (2013) Altered expression of synapse and glutamate related genes in post-mortem hippocampus of depressed subjects. Int J Neuropsychopharmacol 16:69–82 Available at: http://www.ncbi.nlm.nih.gov/pubmed/22339950 [Accessed March 19, 2018].</w:t>
      </w:r>
    </w:p>
    <w:p w14:paraId="390895C5"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Fox AS, Shelton SE, Oakes TR, Converse AK, Davidson RJ, Kalin NH (2010) Orbitofrontal cortex lesions alter anxiety-related activity in the primate bed nucleus of stria terminalis. J Neurosci 30:7023–7027 Available at: http://www.ncbi.nlm.nih.gov/pubmed/20484644.</w:t>
      </w:r>
    </w:p>
    <w:p w14:paraId="196666A2"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Garcia-Garcia AL, Elizalde N, Matrov D, Harro J, Wojcik SM, Venzala E, Ramírez MJ, Del Rio J, Tordera RM (2009) Increased vulnerability to depressive-like behavior of mice with decreased expression of VGLUT1. Biol Psychiatry 66:275–282 Available at: http://linkinghub.elsevier.com/retrieve/pii/S0006322309002947 [Accessed March 19, 2018].</w:t>
      </w:r>
    </w:p>
    <w:p w14:paraId="087C13F2"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Gianaros PJ, Van Der Veen FM, Jennings JR (2004) Regional cerebral blood flow correlates with heart period and high-frequency heart period variability during working-memory tasks: Implications for the cortical and subcortical regulation of cardiac autonomic activity. Psychophysiology 41:521–530 Available at: http://www.ncbi.nlm.nih.gov/pubmed/15189475 [Accessed March 22, 2018].</w:t>
      </w:r>
    </w:p>
    <w:p w14:paraId="1B15DC25"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 xml:space="preserve">Ginty AT, Brindle RC, Carroll D (2015) Cardiac stress reactions and perseverance: Diminished </w:t>
      </w:r>
      <w:r w:rsidRPr="001A7586">
        <w:rPr>
          <w:rFonts w:ascii="Calibri" w:hAnsi="Calibri" w:cs="Calibri"/>
          <w:noProof/>
          <w:szCs w:val="24"/>
        </w:rPr>
        <w:lastRenderedPageBreak/>
        <w:t>reactivity is associated with study non-completion. Biol Psychol 109:200–205 Available at: https://www.sciencedirect.com/science/article/pii/S0301051115300077?via%3Dihub [Accessed May 16, 2018].</w:t>
      </w:r>
    </w:p>
    <w:p w14:paraId="30AB37E2"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Ginty AT, Conklin SM (2011) High perceived stress in relation to life events is associated with blunted cardiac reactivity. Biol Psychol 86:383–385 Available at: http://www.ncbi.nlm.nih.gov/pubmed/21291951 [Accessed March 21, 2018].</w:t>
      </w:r>
    </w:p>
    <w:p w14:paraId="338B94AC"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Hamilton JP, Chen G, Thomason ME, Schwartz ME, Gotlib IH (2011) Investigating neural primacy in Major Depressive Disorder: multivariate Granger causality analysis of resting-state fMRI time-series data. Mol Psychiatry 16:763–772 Available at: http://www.ncbi.nlm.nih.gov/pubmed/20479758.</w:t>
      </w:r>
    </w:p>
    <w:p w14:paraId="0CD34D79"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Heilbronner SR, Rodriguez-Romaguera J, Quirk GJ, Groenewegen HJ, Haber SN (2016) Circuit-Based Corticostriatal Homologies Between Rat and Primate. Biol Psychiatry 80:509–521 Available at: http://www.ncbi.nlm.nih.gov/pubmed/27450032 [Accessed December 7, 2016].</w:t>
      </w:r>
    </w:p>
    <w:p w14:paraId="214FDD45"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Kim W Bin, Cho J-H (2017) Synaptic Targeting of Double-Projecting Ventral CA1 Hippocampal Neurons to the Medial Prefrontal Cortex and Basal Amygdala. J Neurosci 37:4868–4882 Available at: http://www.ncbi.nlm.nih.gov/pubmed/28385873 [Accessed March 21, 2018].</w:t>
      </w:r>
    </w:p>
    <w:p w14:paraId="0FE87065"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Kirkby LA, Luongo FJ, Lee MB, Nahum M, Van Vleet TM, Rao VR, Dawes HE, Chang EF, Sohal VS (2018) An Amygdala-Hippocampus Subnetwork that Encodes Variation in Human Mood. Cell 0 Available at: http://www.ncbi.nlm.nih.gov/pubmed/30415834 [Accessed November 21, 2018].</w:t>
      </w:r>
    </w:p>
    <w:p w14:paraId="632C7B60"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Kuntze LB, Ferreira-Junior NC, Lagatta DC, Resstel LBM (2016) Ventral hippocampus modulates bradycardic response to peripheral chemoreflex activation in awake rats. Exp Physiol 101:482–493 Available at: http://doi.wiley.com/10.1113/EP085393 [Accessed March 21, 2018].</w:t>
      </w:r>
    </w:p>
    <w:p w14:paraId="3C8603EB"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Lang PJ, McTeague LM, Bradley MM (2014) Pathological anxiety and function/dysfunction in the brain’s fear/defense circuitry. Restor Neurol Neurosci 32:63–77 Available at: https://content.iospress.com/articles/restorative-neurology-and-neuroscience/rnn139012 [Accessed November 14, 2018].</w:t>
      </w:r>
    </w:p>
    <w:p w14:paraId="7C511360"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lastRenderedPageBreak/>
        <w:t>Lang PJ, McTeague LM, Bradley MM (2016) RDoC, DSM, and the reflex physiology of fear: A biodimensional analysis of the anxiety disorders spectrum. Psychophysiology 53:336–347 Available at: http://www.ncbi.nlm.nih.gov/pubmed/26877123 [Accessed November 14, 2018].</w:t>
      </w:r>
    </w:p>
    <w:p w14:paraId="4D61553E"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Law AJ, Pei Q, Walker M, Gordon-Andrews H, Weickert CS, Feldon J, Pryce CR, Harrison PJ (2009) Early Parental Deprivation in the Marmoset Monkey Produces Long-Term Changes in Hippocampal Expression of Genes Involved in Synaptic Plasticity and Implicated in Mood Disorder. Neuropsychopharmacology 34:1381–1394 Available at: http://www.ncbi.nlm.nih.gov/pubmed/18615010 [Accessed November 14, 2018].</w:t>
      </w:r>
    </w:p>
    <w:p w14:paraId="2A0FFFAB"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LeDoux JE (2000) Emotion circuits in the brain. Annu Rev Neurosci 23:155–184 Available at: http://www.ncbi.nlm.nih.gov/pubmed/10845062 [Accessed December 22, 2016].</w:t>
      </w:r>
    </w:p>
    <w:p w14:paraId="42D01C49"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Levine JC, Fleming R, Piedmont JI, Cain SM, Chen W-J (2016) Heart rate variability and generalized anxiety disorder during laboratory-induced worry and aversive imagery. J Affect Disord 205:207–215 Available at: http://www.ncbi.nlm.nih.gov/pubmed/27449553 [Accessed March 19, 2018].</w:t>
      </w:r>
    </w:p>
    <w:p w14:paraId="44D9FC34"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Malykhin NV, Coupland NJ (2015) Hippocampal neuroplasticity in major depressive disorder. Neuroscience 309:200–213 Available at: https://www.sciencedirect.com/science/article/pii/S0306452215003887?via%3Dihub [Accessed July 31, 2018].</w:t>
      </w:r>
    </w:p>
    <w:p w14:paraId="79AD2F01"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Marrocco J, Mairesse J, Ngomba RT, Silletti V, Van Camp G, Bouwalerh H, Summa M, Pittaluga A, Nicoletti F, Maccari S, Morley-Fletcher S (2012) Anxiety-like behavior of prenatally stressed rats is associated with a selective reduction of glutamate release in the ventral hippocampus. J Neurosci 32:17143–17154 Available at: http://www.jneurosci.org/cgi/doi/10.1523/JNEUROSCI.1040-12.2012 [Accessed June 14, 2017].</w:t>
      </w:r>
    </w:p>
    <w:p w14:paraId="03F12A95"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 xml:space="preserve">Marrocco J, Reynaert M-L, Gatta E, Gabriel C, Mocaer E, Di Prisco S, Merega E, Pittaluga A, Nicoletti F, Maccari S, Morley-Fletcher S, Mairesse J (2014) The Effects of Antidepressant Treatment in Prenatally Stressed Rats Support the Glutamatergic Hypothesis of Stress-Related Disorders. J </w:t>
      </w:r>
      <w:r w:rsidRPr="001A7586">
        <w:rPr>
          <w:rFonts w:ascii="Calibri" w:hAnsi="Calibri" w:cs="Calibri"/>
          <w:noProof/>
          <w:szCs w:val="24"/>
        </w:rPr>
        <w:lastRenderedPageBreak/>
        <w:t>Neurosci 34:2015–2024 Available at: http://www.ncbi.nlm.nih.gov/pubmed/24501344 [Accessed March 19, 2018].</w:t>
      </w:r>
    </w:p>
    <w:p w14:paraId="55FB5B49"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Mathews A, Richards A, Eysenck M (1989) Interpretation of homophones related to threat in anxiety states. J Abnorm Psychol 98:31–34 Available at: http://www.ncbi.nlm.nih.gov/pubmed/2708637 [Accessed May 3, 2018].</w:t>
      </w:r>
    </w:p>
    <w:p w14:paraId="26E9F276"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Mikheenko Y, Man MS, Braesicke K, Johns ME, Hill G, Agustin-Pavon C, Roberts AC (2010) Autonomic, behavioral, and neural analyses of mild conditioned negative affect in marmosets. Behav Neurosci 124:192–203 Available at: http://www.ncbi.nlm.nih.gov/pubmed/20364879.</w:t>
      </w:r>
    </w:p>
    <w:p w14:paraId="780764C4"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Mikheenko Y, Shiba Y, Sawiak S, Braesicke K, Cockcroft G, Clarke H, Roberts AC (2015) Serotonergic, Brain Volume and Attentional Correlates of Trait Anxiety in Primates. Neuropsychopharmacology 40:1395–1404 Available at: http://www.ncbi.nlm.nih.gov/pubmed/25586542 [Accessed June 14, 2017].</w:t>
      </w:r>
    </w:p>
    <w:p w14:paraId="4EB1B37B"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Müller-Ribeiro FCDF, Zaretsky D V, Zaretskaia M V, Santos R a S, DiMicco J a, Fontes MAP (2012) Contribution of infralimbic cortex in the cardiovascular response to acute stress. Am J Physiol Regul Integr Comp Physiol 303:R639-50.</w:t>
      </w:r>
    </w:p>
    <w:p w14:paraId="123F4E54"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Neafsey EJ, Terreberry KM, Hurley KM, Ruit KG, Frysztak RJ (1993) Anterior cingulate cortex in rodents: connections, visceral control functions, and implications for emotion. In: Neurobiology of cingulate cortex and limbic thalamus: a comprehensive handbook (Vogt BA, Gabriel M, eds), pp 206–233. Boston, Massachusetts: Birkhäuser.</w:t>
      </w:r>
    </w:p>
    <w:p w14:paraId="21AC9B6C"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Oler JA, Fox AS, Shelton SE, Christian BT, Murali D, Oakes TR, Davidson RJ, Kalin NH (2009) Serotonin transporter availability in the amygdala and bed nucleus of the stria terminalis predicts anxious temperament and brain glucose metabolic activity. J Neurosci 29:9961–9966 Available at: http://www.ncbi.nlm.nih.gov/pubmed/19675230.</w:t>
      </w:r>
    </w:p>
    <w:p w14:paraId="75D34CD5"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 xml:space="preserve">Padilla-Coreano N, Bolkan SS, Pierce GM, Blackman DR, Hardin WD, Garcia-Garcia AL, Spellman TJ, Gordon JA (2016) Direct Ventral Hippocampal-Prefrontal Input Is Required for Anxiety-Related Neural Activity and Behavior. Neuron 89:857–866 Available at: </w:t>
      </w:r>
      <w:r w:rsidRPr="001A7586">
        <w:rPr>
          <w:rFonts w:ascii="Calibri" w:hAnsi="Calibri" w:cs="Calibri"/>
          <w:noProof/>
          <w:szCs w:val="24"/>
        </w:rPr>
        <w:lastRenderedPageBreak/>
        <w:t>http://www.ncbi.nlm.nih.gov/pubmed/26853301 [Accessed June 19, 2017].</w:t>
      </w:r>
    </w:p>
    <w:p w14:paraId="463775F9"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Pagani M, Montano N, Porta A, Malliani A, Abboud FM, Birkett C, Somers VK (1997) Relationship between spectral components of cardiovascular variabilities and direct measures of muscle sympathetic nerve activity in humans. Circulation 95:1441–1448 Available at: http://www.ncbi.nlm.nih.gov/pubmed/9118511 [Accessed March 19, 2018].</w:t>
      </w:r>
    </w:p>
    <w:p w14:paraId="58B5AF31"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Parvizi J, Rangarajan V, Shirer WR, Desai N, Greicius MD (2013) The will to persevere induced by electrical stimulation of the human cingulate gyrus. Neuron 80:1359–1367 Available at: http://www.ncbi.nlm.nih.gov/pubmed/24316296 [Accessed November 27, 2018].</w:t>
      </w:r>
    </w:p>
    <w:p w14:paraId="4D0ECD8E"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Rahman F, Pechnik S, Gross D, Sewell L, Goldstein DS (2011) Low frequency power of heart rate variability reflects baroreflex function, not cardiac sympathetic innervation. Clin Auton Res 21:133–141 Available at: http://www.ncbi.nlm.nih.gov/pubmed/21279414 [Accessed November 20, 2018].</w:t>
      </w:r>
    </w:p>
    <w:p w14:paraId="4BF0A9DC"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Roberts AC, Tomic DL, Parkinson CH, Roeling TA, Cutter DJ, Robbins TW, Everitt BJ (2007) Forebrain connectivity of the prefrontal cortex in the marmoset monkey (Callithrix jacchus): an anterograde and retrograde tract-tracing study. J Comp Neurol 502:86–112 Available at: http://www.ncbi.nlm.nih.gov/entrez/query.fcgi?cmd=Retrieve&amp;db=PubMed&amp;dopt=Citation&amp;list_uids=17335041.</w:t>
      </w:r>
    </w:p>
    <w:p w14:paraId="6AB13EA0"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Ruit KG, Neafsey EJ (1990) Hippocampal input to a &amp;quot;visceral motor&amp;quot; corticobulbar pathway: an anatomical and electrophysiological study in the rat. Exp brain Res 82:606–616 Available at: http://www.ncbi.nlm.nih.gov/pubmed/1705519 [Accessed March 22, 2018].</w:t>
      </w:r>
    </w:p>
    <w:p w14:paraId="2CBC7AEF"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Santangelo AM, Ito M, Shiba Y, Clarke HF, Schut EHS, Cockcroft G, Ferguson-Smith AC, Roberts AC (2016) Novel primate model of serotonin transporter genetic polymorphisms associated with gene expression, anxiety and sensitivity to antidepressants. Neuropsychopharmacology 41.</w:t>
      </w:r>
    </w:p>
    <w:p w14:paraId="55C4F17F"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 xml:space="preserve">Shiba Y, Santangelo AM, Braesicke K, Agustín-Pavón C, Cockcroft G, Haggard M, Roberts AC (2014) Individual differences in behavioral and cardiovascular reactivity to emotive stimuli and their relationship to cognitive flexibility in a primate model of trait anxiety. Front Behav Neurosci </w:t>
      </w:r>
      <w:r w:rsidRPr="001A7586">
        <w:rPr>
          <w:rFonts w:ascii="Calibri" w:hAnsi="Calibri" w:cs="Calibri"/>
          <w:noProof/>
          <w:szCs w:val="24"/>
        </w:rPr>
        <w:lastRenderedPageBreak/>
        <w:t>8:137 Available at: http://www.pubmedcentral.nih.gov/articlerender.fcgi?artid=4006051&amp;tool=pmcentrez&amp;rendertype=abstract [Accessed April 21, 2016].</w:t>
      </w:r>
    </w:p>
    <w:p w14:paraId="7F718AB2"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Sierra-Mercado D, Padilla-Coreano N, Quirk GJ (2010) Dissociable Roles of Prelimbic and Infralimbic Cortices, Ventral Hippocampus, and Basolateral Amygdala in the Expression and Extinction of Conditioned Fear. Neuropsychopharmacology 36:529–538 Available at: http://www.ncbi.nlm.nih.gov/pubmed/20962768.</w:t>
      </w:r>
    </w:p>
    <w:p w14:paraId="41E2CEA4"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Sotres-Bayon F, Sierra-Mercado D, Pardilla-Delgado E, Quirk GJ (2012) Gating of fear in prelimbic cortex by hippocampal and amygdala inputs. Neuron 76:804–812 Available at: http://www.ncbi.nlm.nih.gov/pubmed/23177964 [Accessed July 5, 2017].</w:t>
      </w:r>
    </w:p>
    <w:p w14:paraId="351E4CB6"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Souza GGL, Mendonça-de-Souza ACF, Duarte AFA, Fischer NL, Souza WF, Silva Freire Coutinho E, Figueira I, Volchan E (2015) Blunted cardiac reactivity to psychological stress associated with higher trait anxiety: a study in peacekeepers. BMC Neurosci 16:81 Available at: http://www.ncbi.nlm.nih.gov/pubmed/26597843 [Accessed March 21, 2018].</w:t>
      </w:r>
    </w:p>
    <w:p w14:paraId="6671A181"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Stapelberg NJ, Hamilton-Craig I, Neumann DL, Shum DHK, McConnell H (2012) Mind and heart: heart rate variability in major depressive disorder and coronary heart disease - a review and recommendations. Aust N Z J Psychiatry 46:946–957.</w:t>
      </w:r>
    </w:p>
    <w:p w14:paraId="304DC554"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Stapelberg NJC, Neumann DL, Shum DHK, McConnell H, Hamilton-Craig I (2011) A topographical map of the causal network of mechanisms underlying the relationship between major depressive disorder and coronary heart disease. Aust N Z J Psychiatry 45:351–369.</w:t>
      </w:r>
    </w:p>
    <w:p w14:paraId="3297FDD6"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Tang AC, Zou B, Reeb BC, Connor JA (2008) An epigenetic induction of a right-shift in hippocampal asymmetry: Selectivity for short- and long-term potentiation but not post-tetanic potentiation. Hippocampus 18:5–10 Available at: http://www.ncbi.nlm.nih.gov/pubmed/17924531 [Accessed November 14, 2018].</w:t>
      </w:r>
    </w:p>
    <w:p w14:paraId="0BF1B7D0"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 xml:space="preserve">Toichi M, Sugiura T, Murai T, Sengoku  a (1997) A new method of assessing cardiac autonomic function and its comparison with spectral analysis and coefficient of variation of R-R interval. J </w:t>
      </w:r>
      <w:r w:rsidRPr="001A7586">
        <w:rPr>
          <w:rFonts w:ascii="Calibri" w:hAnsi="Calibri" w:cs="Calibri"/>
          <w:noProof/>
          <w:szCs w:val="24"/>
        </w:rPr>
        <w:lastRenderedPageBreak/>
        <w:t>Auton Nerv Syst 62:79–84.</w:t>
      </w:r>
    </w:p>
    <w:p w14:paraId="53255B76"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Tordera RM, Totterdell S, Wojcik SM, Brose N, Elizalde N, Lasheras B, Del Rio J (2007) Enhanced anxiety, depressive-like behaviour and impaired recognition memory in mice with reduced expression of the vesicular glutamate transporter</w:t>
      </w:r>
      <w:r w:rsidRPr="001A7586">
        <w:rPr>
          <w:rFonts w:ascii="Calibri" w:hAnsi="Calibri" w:cs="Calibri"/>
          <w:noProof/>
          <w:szCs w:val="24"/>
        </w:rPr>
        <w:t> </w:t>
      </w:r>
      <w:r w:rsidRPr="001A7586">
        <w:rPr>
          <w:rFonts w:ascii="Calibri" w:hAnsi="Calibri" w:cs="Calibri"/>
          <w:noProof/>
          <w:szCs w:val="24"/>
        </w:rPr>
        <w:t>1 (VGLUT1). Eur J Neurosci 25:281–290 Available at: http://www.ncbi.nlm.nih.gov/pubmed/17241289 [Accessed March 19, 2018].</w:t>
      </w:r>
    </w:p>
    <w:p w14:paraId="5B32A0D9"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Treadway MT, Waskom ML, Dillon DG, Holmes AJ, Park MTM, Chakravarty MM, Dutra SJ, Polli FE, Iosifescu D V, Fava M, Gabrieli JDE, Pizzagalli DA (2015) Illness progression, recent stress, and morphometry of hippocampal subfields and medial prefrontal cortex in major depression. Biol Psychiatry 77:285–294 Available at: http://www.ncbi.nlm.nih.gov/pubmed/25109665 [Accessed January 3, 2018].</w:t>
      </w:r>
    </w:p>
    <w:p w14:paraId="40517CA6"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Tsai TH, Matthews K, Dalley JW (1997) Determination of glutamate in rat brain microdialysates by microbore liquid chromatography with electrochemical detection. J Liq Chrom Rel Technol 20 (18):3039–3047.</w:t>
      </w:r>
    </w:p>
    <w:p w14:paraId="1127C1A7"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Verstynen T, Tierney R, Urbanski T, Tang A (2001) Neonatal novelty exposure modulates hippocampal volumetric asymmetry in the rat. Neuroreport 12:3019–3022 Available at: http://www.ncbi.nlm.nih.gov/pubmed/11568629 [Accessed November 14, 2018].</w:t>
      </w:r>
    </w:p>
    <w:p w14:paraId="3D3CD2E0"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Vertes RP (2006) Interactions among the medial prefrontal cortex, hippocampus and midline thalamus in emotional and cognitive processing in the rat. Neuroscience 142:1–20 Available at: http://www.ncbi.nlm.nih.gov/pubmed/16887277.</w:t>
      </w:r>
    </w:p>
    <w:p w14:paraId="61729F7C"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Vogt BA, Paxinos G (2014) Cytoarchitecture of mouse and rat cingulate cortex with human homologies. Brain Struct Funct 219:185–192 Available at: http://www.ncbi.nlm.nih.gov/pubmed/23229151 [Accessed July 29, 2016].</w:t>
      </w:r>
    </w:p>
    <w:p w14:paraId="055D3629"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Wallis CU, Cardinal RN, Alexander L, Roberts AC, Clarke HF (2017) Opposing roles of primate areas 25 and 32 and their putative rodent homologs in the regulation of negative emotion. Proc Natl Acad Sci U S A 114.</w:t>
      </w:r>
    </w:p>
    <w:p w14:paraId="63F37BC3"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szCs w:val="24"/>
        </w:rPr>
      </w:pPr>
      <w:r w:rsidRPr="001A7586">
        <w:rPr>
          <w:rFonts w:ascii="Calibri" w:hAnsi="Calibri" w:cs="Calibri"/>
          <w:noProof/>
          <w:szCs w:val="24"/>
        </w:rPr>
        <w:t xml:space="preserve">Weger M, Sandi C (2018) High anxiety trait: A vulnerable phenotype for stress-induced depression. </w:t>
      </w:r>
      <w:r w:rsidRPr="001A7586">
        <w:rPr>
          <w:rFonts w:ascii="Calibri" w:hAnsi="Calibri" w:cs="Calibri"/>
          <w:noProof/>
          <w:szCs w:val="24"/>
        </w:rPr>
        <w:lastRenderedPageBreak/>
        <w:t>Neurosci Biobehav Rev 87:27–37 Available at: http://www.ncbi.nlm.nih.gov/pubmed/29407523 [Accessed April 18, 2018].</w:t>
      </w:r>
    </w:p>
    <w:p w14:paraId="0EDFE2E0" w14:textId="77777777" w:rsidR="00330E12" w:rsidRPr="001A7586" w:rsidRDefault="00330E12" w:rsidP="00330E12">
      <w:pPr>
        <w:widowControl w:val="0"/>
        <w:autoSpaceDE w:val="0"/>
        <w:autoSpaceDN w:val="0"/>
        <w:adjustRightInd w:val="0"/>
        <w:spacing w:after="0" w:line="480" w:lineRule="auto"/>
        <w:ind w:left="480" w:hanging="480"/>
        <w:rPr>
          <w:rFonts w:ascii="Calibri" w:hAnsi="Calibri" w:cs="Calibri"/>
          <w:noProof/>
        </w:rPr>
      </w:pPr>
      <w:r w:rsidRPr="001A7586">
        <w:rPr>
          <w:rFonts w:ascii="Calibri" w:hAnsi="Calibri" w:cs="Calibri"/>
          <w:noProof/>
          <w:szCs w:val="24"/>
        </w:rPr>
        <w:t>West EA, DesJardin JT, Gale K, Malkova L (2011) Transient inactivation of orbitofrontal cortex blocks reinforcer devaluation in macaques. J Neurosci 31:15128–15135 Available at: http://www.ncbi.nlm.nih.gov/pubmed/22016546.</w:t>
      </w:r>
    </w:p>
    <w:p w14:paraId="063C4D39" w14:textId="3E99E16D" w:rsidR="00AF18CF" w:rsidRPr="001A7586" w:rsidRDefault="00E0671D" w:rsidP="000452C6">
      <w:pPr>
        <w:pStyle w:val="Default"/>
        <w:spacing w:line="480" w:lineRule="auto"/>
      </w:pPr>
      <w:r w:rsidRPr="00E20348">
        <w:rPr>
          <w:rFonts w:asciiTheme="minorHAnsi" w:hAnsiTheme="minorHAnsi" w:cstheme="minorBidi"/>
          <w:b/>
          <w:bCs/>
          <w:color w:val="auto"/>
          <w:sz w:val="22"/>
          <w:szCs w:val="22"/>
        </w:rPr>
        <w:fldChar w:fldCharType="end"/>
      </w:r>
    </w:p>
    <w:p w14:paraId="479FDDDD" w14:textId="3EA6C3AC" w:rsidR="00374C2F" w:rsidRPr="001A7586" w:rsidRDefault="00374C2F" w:rsidP="00374C2F">
      <w:pPr>
        <w:pStyle w:val="Default"/>
        <w:spacing w:line="480" w:lineRule="auto"/>
        <w:jc w:val="both"/>
        <w:rPr>
          <w:rFonts w:asciiTheme="minorHAnsi" w:hAnsiTheme="minorHAnsi" w:cstheme="minorBidi"/>
          <w:b/>
          <w:color w:val="auto"/>
          <w:sz w:val="22"/>
          <w:szCs w:val="22"/>
        </w:rPr>
      </w:pPr>
      <w:r w:rsidRPr="001A7586">
        <w:rPr>
          <w:b/>
          <w:sz w:val="22"/>
          <w:szCs w:val="22"/>
        </w:rPr>
        <w:t xml:space="preserve">Table 1. </w:t>
      </w:r>
    </w:p>
    <w:tbl>
      <w:tblPr>
        <w:tblStyle w:val="TableGrid"/>
        <w:tblW w:w="0" w:type="auto"/>
        <w:tblLayout w:type="fixed"/>
        <w:tblLook w:val="04A0" w:firstRow="1" w:lastRow="0" w:firstColumn="1" w:lastColumn="0" w:noHBand="0" w:noVBand="1"/>
      </w:tblPr>
      <w:tblGrid>
        <w:gridCol w:w="1945"/>
        <w:gridCol w:w="883"/>
        <w:gridCol w:w="884"/>
        <w:gridCol w:w="884"/>
        <w:gridCol w:w="884"/>
        <w:gridCol w:w="884"/>
        <w:gridCol w:w="884"/>
        <w:gridCol w:w="884"/>
        <w:gridCol w:w="884"/>
      </w:tblGrid>
      <w:tr w:rsidR="00905E33" w:rsidRPr="001A7586" w14:paraId="3680CAED" w14:textId="77777777" w:rsidTr="00254DFF">
        <w:tc>
          <w:tcPr>
            <w:tcW w:w="1945" w:type="dxa"/>
          </w:tcPr>
          <w:p w14:paraId="516F04DE" w14:textId="77777777" w:rsidR="00905E33" w:rsidRPr="001A7586" w:rsidRDefault="00905E33" w:rsidP="00AF18CF">
            <w:pPr>
              <w:spacing w:line="480" w:lineRule="auto"/>
            </w:pPr>
          </w:p>
        </w:tc>
        <w:tc>
          <w:tcPr>
            <w:tcW w:w="7071" w:type="dxa"/>
            <w:gridSpan w:val="8"/>
          </w:tcPr>
          <w:p w14:paraId="2B1A9988" w14:textId="77777777" w:rsidR="00905E33" w:rsidRPr="001A7586" w:rsidRDefault="00905E33" w:rsidP="00AF18CF">
            <w:pPr>
              <w:spacing w:line="480" w:lineRule="auto"/>
              <w:jc w:val="center"/>
              <w:rPr>
                <w:b/>
              </w:rPr>
            </w:pPr>
            <w:r w:rsidRPr="001A7586">
              <w:rPr>
                <w:b/>
              </w:rPr>
              <w:t>Monkeys in Experiment 2</w:t>
            </w:r>
          </w:p>
        </w:tc>
      </w:tr>
      <w:tr w:rsidR="00905E33" w:rsidRPr="001A7586" w14:paraId="4C4ED23D" w14:textId="77777777" w:rsidTr="00254DFF">
        <w:tc>
          <w:tcPr>
            <w:tcW w:w="1945" w:type="dxa"/>
          </w:tcPr>
          <w:p w14:paraId="05F5BBBF" w14:textId="77777777" w:rsidR="00905E33" w:rsidRPr="001A7586" w:rsidRDefault="00905E33" w:rsidP="00AF18CF">
            <w:pPr>
              <w:spacing w:line="480" w:lineRule="auto"/>
            </w:pPr>
          </w:p>
        </w:tc>
        <w:tc>
          <w:tcPr>
            <w:tcW w:w="883" w:type="dxa"/>
          </w:tcPr>
          <w:p w14:paraId="3F30331A" w14:textId="4DDFCDC7" w:rsidR="00905E33" w:rsidRPr="001A7586" w:rsidRDefault="00905E33" w:rsidP="00AF18CF">
            <w:pPr>
              <w:spacing w:line="480" w:lineRule="auto"/>
            </w:pPr>
            <w:r w:rsidRPr="001A7586">
              <w:t xml:space="preserve">1 </w:t>
            </w:r>
          </w:p>
        </w:tc>
        <w:tc>
          <w:tcPr>
            <w:tcW w:w="884" w:type="dxa"/>
          </w:tcPr>
          <w:p w14:paraId="3725466F" w14:textId="2A064708" w:rsidR="00905E33" w:rsidRPr="001A7586" w:rsidRDefault="00905E33" w:rsidP="00AF18CF">
            <w:pPr>
              <w:spacing w:line="480" w:lineRule="auto"/>
            </w:pPr>
            <w:r w:rsidRPr="001A7586">
              <w:t>2</w:t>
            </w:r>
          </w:p>
        </w:tc>
        <w:tc>
          <w:tcPr>
            <w:tcW w:w="884" w:type="dxa"/>
          </w:tcPr>
          <w:p w14:paraId="2C0BEFEF" w14:textId="75682332" w:rsidR="00905E33" w:rsidRPr="001A7586" w:rsidRDefault="00905E33" w:rsidP="00AF18CF">
            <w:pPr>
              <w:spacing w:line="480" w:lineRule="auto"/>
            </w:pPr>
            <w:r w:rsidRPr="001A7586">
              <w:t>3</w:t>
            </w:r>
          </w:p>
        </w:tc>
        <w:tc>
          <w:tcPr>
            <w:tcW w:w="884" w:type="dxa"/>
          </w:tcPr>
          <w:p w14:paraId="610074F8" w14:textId="6D96C6F8" w:rsidR="00905E33" w:rsidRPr="001A7586" w:rsidRDefault="00905E33" w:rsidP="00AF18CF">
            <w:pPr>
              <w:spacing w:line="480" w:lineRule="auto"/>
            </w:pPr>
            <w:r w:rsidRPr="001A7586">
              <w:t>4</w:t>
            </w:r>
          </w:p>
        </w:tc>
        <w:tc>
          <w:tcPr>
            <w:tcW w:w="884" w:type="dxa"/>
          </w:tcPr>
          <w:p w14:paraId="6994436E" w14:textId="24663FD0" w:rsidR="00905E33" w:rsidRPr="001A7586" w:rsidRDefault="00905E33" w:rsidP="00AF18CF">
            <w:pPr>
              <w:spacing w:line="480" w:lineRule="auto"/>
            </w:pPr>
            <w:r w:rsidRPr="001A7586">
              <w:t>5</w:t>
            </w:r>
          </w:p>
        </w:tc>
        <w:tc>
          <w:tcPr>
            <w:tcW w:w="884" w:type="dxa"/>
          </w:tcPr>
          <w:p w14:paraId="77EBBE08" w14:textId="3FD8237A" w:rsidR="00905E33" w:rsidRPr="001A7586" w:rsidRDefault="00905E33" w:rsidP="00AF18CF">
            <w:pPr>
              <w:spacing w:line="480" w:lineRule="auto"/>
            </w:pPr>
            <w:r w:rsidRPr="001A7586">
              <w:t xml:space="preserve">6 </w:t>
            </w:r>
          </w:p>
        </w:tc>
        <w:tc>
          <w:tcPr>
            <w:tcW w:w="884" w:type="dxa"/>
          </w:tcPr>
          <w:p w14:paraId="29E62867" w14:textId="68C67C11" w:rsidR="00905E33" w:rsidRPr="001A7586" w:rsidRDefault="00905E33" w:rsidP="00AF18CF">
            <w:pPr>
              <w:spacing w:line="480" w:lineRule="auto"/>
            </w:pPr>
            <w:r w:rsidRPr="001A7586">
              <w:t>7</w:t>
            </w:r>
          </w:p>
        </w:tc>
        <w:tc>
          <w:tcPr>
            <w:tcW w:w="884" w:type="dxa"/>
          </w:tcPr>
          <w:p w14:paraId="7DA8B5AE" w14:textId="4FD3FF5E" w:rsidR="00905E33" w:rsidRPr="001A7586" w:rsidRDefault="00905E33" w:rsidP="00AF18CF">
            <w:pPr>
              <w:spacing w:line="480" w:lineRule="auto"/>
            </w:pPr>
            <w:r w:rsidRPr="001A7586">
              <w:t>8</w:t>
            </w:r>
          </w:p>
        </w:tc>
      </w:tr>
      <w:tr w:rsidR="00254DFF" w:rsidRPr="001A7586" w14:paraId="705F42BF" w14:textId="77777777" w:rsidTr="00254DFF">
        <w:tc>
          <w:tcPr>
            <w:tcW w:w="1945" w:type="dxa"/>
          </w:tcPr>
          <w:p w14:paraId="35753C72" w14:textId="103FCA90" w:rsidR="00254DFF" w:rsidRPr="001A7586" w:rsidRDefault="00254DFF" w:rsidP="00AF18CF">
            <w:pPr>
              <w:spacing w:line="480" w:lineRule="auto"/>
            </w:pPr>
            <w:r w:rsidRPr="001A7586">
              <w:t>Cannulae</w:t>
            </w:r>
            <w:r w:rsidR="000D68F8" w:rsidRPr="001A7586">
              <w:t xml:space="preserve"> targets</w:t>
            </w:r>
          </w:p>
        </w:tc>
        <w:tc>
          <w:tcPr>
            <w:tcW w:w="883" w:type="dxa"/>
          </w:tcPr>
          <w:p w14:paraId="6D9CA8AB" w14:textId="743E5D91" w:rsidR="00254DFF" w:rsidRPr="001A7586" w:rsidRDefault="00254DFF" w:rsidP="00AF18CF">
            <w:pPr>
              <w:spacing w:line="480" w:lineRule="auto"/>
            </w:pPr>
            <w:r w:rsidRPr="001A7586">
              <w:t>aHipp/25/32</w:t>
            </w:r>
          </w:p>
        </w:tc>
        <w:tc>
          <w:tcPr>
            <w:tcW w:w="884" w:type="dxa"/>
          </w:tcPr>
          <w:p w14:paraId="2DFF9E5C" w14:textId="4F675350" w:rsidR="00254DFF" w:rsidRPr="001A7586" w:rsidRDefault="00254DFF" w:rsidP="00AF18CF">
            <w:pPr>
              <w:spacing w:line="480" w:lineRule="auto"/>
            </w:pPr>
            <w:r w:rsidRPr="001A7586">
              <w:t>aHipp/25/32</w:t>
            </w:r>
          </w:p>
        </w:tc>
        <w:tc>
          <w:tcPr>
            <w:tcW w:w="884" w:type="dxa"/>
          </w:tcPr>
          <w:p w14:paraId="426AFB2D" w14:textId="34503A00" w:rsidR="00254DFF" w:rsidRPr="001A7586" w:rsidRDefault="00254DFF" w:rsidP="00AF18CF">
            <w:pPr>
              <w:spacing w:line="480" w:lineRule="auto"/>
            </w:pPr>
            <w:r w:rsidRPr="001A7586">
              <w:t>aHipp</w:t>
            </w:r>
          </w:p>
        </w:tc>
        <w:tc>
          <w:tcPr>
            <w:tcW w:w="884" w:type="dxa"/>
          </w:tcPr>
          <w:p w14:paraId="1D32B954" w14:textId="2FF5FD60" w:rsidR="00254DFF" w:rsidRPr="001A7586" w:rsidRDefault="00254DFF" w:rsidP="00AF18CF">
            <w:pPr>
              <w:spacing w:line="480" w:lineRule="auto"/>
            </w:pPr>
            <w:r w:rsidRPr="001A7586">
              <w:t>aHipp/25/32</w:t>
            </w:r>
          </w:p>
        </w:tc>
        <w:tc>
          <w:tcPr>
            <w:tcW w:w="884" w:type="dxa"/>
          </w:tcPr>
          <w:p w14:paraId="3DFC8609" w14:textId="0B06244B" w:rsidR="00254DFF" w:rsidRPr="001A7586" w:rsidRDefault="00254DFF" w:rsidP="00AF18CF">
            <w:pPr>
              <w:spacing w:line="480" w:lineRule="auto"/>
            </w:pPr>
            <w:r w:rsidRPr="001A7586">
              <w:t>aHipp/25/32</w:t>
            </w:r>
          </w:p>
        </w:tc>
        <w:tc>
          <w:tcPr>
            <w:tcW w:w="884" w:type="dxa"/>
          </w:tcPr>
          <w:p w14:paraId="1BAEDBCB" w14:textId="079A2430" w:rsidR="00254DFF" w:rsidRPr="001A7586" w:rsidRDefault="00254DFF" w:rsidP="00AF18CF">
            <w:pPr>
              <w:spacing w:line="480" w:lineRule="auto"/>
            </w:pPr>
            <w:r w:rsidRPr="001A7586">
              <w:t>aHipp</w:t>
            </w:r>
          </w:p>
        </w:tc>
        <w:tc>
          <w:tcPr>
            <w:tcW w:w="884" w:type="dxa"/>
          </w:tcPr>
          <w:p w14:paraId="1E32AA07" w14:textId="0ECF68A3" w:rsidR="00254DFF" w:rsidRPr="001A7586" w:rsidRDefault="00254DFF" w:rsidP="00AF18CF">
            <w:pPr>
              <w:spacing w:line="480" w:lineRule="auto"/>
            </w:pPr>
            <w:r w:rsidRPr="001A7586">
              <w:t>aHipp/25/32</w:t>
            </w:r>
          </w:p>
        </w:tc>
        <w:tc>
          <w:tcPr>
            <w:tcW w:w="884" w:type="dxa"/>
          </w:tcPr>
          <w:p w14:paraId="18B199A0" w14:textId="45EDFC52" w:rsidR="00254DFF" w:rsidRPr="001A7586" w:rsidRDefault="00254DFF" w:rsidP="00AF18CF">
            <w:pPr>
              <w:spacing w:line="480" w:lineRule="auto"/>
            </w:pPr>
            <w:r w:rsidRPr="001A7586">
              <w:t>aHipp/25/32</w:t>
            </w:r>
          </w:p>
        </w:tc>
      </w:tr>
      <w:tr w:rsidR="00905E33" w:rsidRPr="001A7586" w14:paraId="01AD5704" w14:textId="77777777" w:rsidTr="00254DFF">
        <w:tc>
          <w:tcPr>
            <w:tcW w:w="9016" w:type="dxa"/>
            <w:gridSpan w:val="9"/>
          </w:tcPr>
          <w:p w14:paraId="06E45C15" w14:textId="77777777" w:rsidR="00905E33" w:rsidRPr="001A7586" w:rsidRDefault="00905E33" w:rsidP="00AF18CF">
            <w:pPr>
              <w:spacing w:line="480" w:lineRule="auto"/>
            </w:pPr>
            <w:r w:rsidRPr="001A7586">
              <w:rPr>
                <w:b/>
              </w:rPr>
              <w:t>Human Intruder test (2a)</w:t>
            </w:r>
          </w:p>
        </w:tc>
      </w:tr>
      <w:tr w:rsidR="00905E33" w:rsidRPr="001A7586" w14:paraId="422168B2" w14:textId="77777777" w:rsidTr="00254DFF">
        <w:tc>
          <w:tcPr>
            <w:tcW w:w="1945" w:type="dxa"/>
          </w:tcPr>
          <w:p w14:paraId="71EFEF92" w14:textId="77777777" w:rsidR="00905E33" w:rsidRPr="001A7586" w:rsidRDefault="00905E33" w:rsidP="00AF18CF">
            <w:pPr>
              <w:spacing w:line="480" w:lineRule="auto"/>
            </w:pPr>
            <w:r w:rsidRPr="001A7586">
              <w:t>Saline 1</w:t>
            </w:r>
          </w:p>
        </w:tc>
        <w:tc>
          <w:tcPr>
            <w:tcW w:w="883" w:type="dxa"/>
          </w:tcPr>
          <w:p w14:paraId="1CC699F2" w14:textId="77777777" w:rsidR="00905E33" w:rsidRPr="001A7586" w:rsidRDefault="00905E33" w:rsidP="00AF18CF">
            <w:pPr>
              <w:spacing w:line="480" w:lineRule="auto"/>
            </w:pPr>
            <w:r w:rsidRPr="001A7586">
              <w:sym w:font="Wingdings" w:char="F0FC"/>
            </w:r>
          </w:p>
        </w:tc>
        <w:tc>
          <w:tcPr>
            <w:tcW w:w="884" w:type="dxa"/>
          </w:tcPr>
          <w:p w14:paraId="0A0CA4AC" w14:textId="77777777" w:rsidR="00905E33" w:rsidRPr="001A7586" w:rsidRDefault="00905E33" w:rsidP="00AF18CF">
            <w:pPr>
              <w:spacing w:line="480" w:lineRule="auto"/>
            </w:pPr>
            <w:r w:rsidRPr="001A7586">
              <w:sym w:font="Wingdings" w:char="F0FC"/>
            </w:r>
          </w:p>
        </w:tc>
        <w:tc>
          <w:tcPr>
            <w:tcW w:w="884" w:type="dxa"/>
          </w:tcPr>
          <w:p w14:paraId="2216001A" w14:textId="77777777" w:rsidR="00905E33" w:rsidRPr="001A7586" w:rsidRDefault="00905E33" w:rsidP="00AF18CF">
            <w:pPr>
              <w:spacing w:line="480" w:lineRule="auto"/>
            </w:pPr>
            <w:r w:rsidRPr="001A7586">
              <w:sym w:font="Wingdings" w:char="F0FC"/>
            </w:r>
          </w:p>
        </w:tc>
        <w:tc>
          <w:tcPr>
            <w:tcW w:w="884" w:type="dxa"/>
          </w:tcPr>
          <w:p w14:paraId="410E9FF7" w14:textId="77777777" w:rsidR="00905E33" w:rsidRPr="001A7586" w:rsidRDefault="00905E33" w:rsidP="00AF18CF">
            <w:pPr>
              <w:spacing w:line="480" w:lineRule="auto"/>
            </w:pPr>
            <w:r w:rsidRPr="001A7586">
              <w:sym w:font="Wingdings" w:char="F0FC"/>
            </w:r>
          </w:p>
        </w:tc>
        <w:tc>
          <w:tcPr>
            <w:tcW w:w="884" w:type="dxa"/>
          </w:tcPr>
          <w:p w14:paraId="691B9B3F" w14:textId="77777777" w:rsidR="00905E33" w:rsidRPr="001A7586" w:rsidRDefault="00905E33" w:rsidP="00AF18CF">
            <w:pPr>
              <w:spacing w:line="480" w:lineRule="auto"/>
            </w:pPr>
            <w:r w:rsidRPr="001A7586">
              <w:sym w:font="Wingdings" w:char="F0FC"/>
            </w:r>
          </w:p>
        </w:tc>
        <w:tc>
          <w:tcPr>
            <w:tcW w:w="884" w:type="dxa"/>
          </w:tcPr>
          <w:p w14:paraId="631FBBE4" w14:textId="77777777" w:rsidR="00905E33" w:rsidRPr="001A7586" w:rsidRDefault="00905E33" w:rsidP="00AF18CF">
            <w:pPr>
              <w:spacing w:line="480" w:lineRule="auto"/>
            </w:pPr>
            <w:r w:rsidRPr="001A7586">
              <w:sym w:font="Wingdings" w:char="F0FC"/>
            </w:r>
          </w:p>
        </w:tc>
        <w:tc>
          <w:tcPr>
            <w:tcW w:w="884" w:type="dxa"/>
          </w:tcPr>
          <w:p w14:paraId="53780B45" w14:textId="77777777" w:rsidR="00905E33" w:rsidRPr="001A7586" w:rsidRDefault="00905E33" w:rsidP="00AF18CF">
            <w:pPr>
              <w:spacing w:line="480" w:lineRule="auto"/>
            </w:pPr>
          </w:p>
        </w:tc>
        <w:tc>
          <w:tcPr>
            <w:tcW w:w="884" w:type="dxa"/>
          </w:tcPr>
          <w:p w14:paraId="3F55300E" w14:textId="77777777" w:rsidR="00905E33" w:rsidRPr="001A7586" w:rsidRDefault="00905E33" w:rsidP="00AF18CF">
            <w:pPr>
              <w:spacing w:line="480" w:lineRule="auto"/>
            </w:pPr>
          </w:p>
        </w:tc>
      </w:tr>
      <w:tr w:rsidR="00905E33" w:rsidRPr="001A7586" w14:paraId="7207D6CB" w14:textId="77777777" w:rsidTr="00254DFF">
        <w:tc>
          <w:tcPr>
            <w:tcW w:w="1945" w:type="dxa"/>
          </w:tcPr>
          <w:p w14:paraId="16BA45D0" w14:textId="77777777" w:rsidR="00905E33" w:rsidRPr="001A7586" w:rsidRDefault="00905E33" w:rsidP="00AF18CF">
            <w:pPr>
              <w:spacing w:line="480" w:lineRule="auto"/>
            </w:pPr>
            <w:r w:rsidRPr="001A7586">
              <w:t>aHipp LY/CGP</w:t>
            </w:r>
          </w:p>
        </w:tc>
        <w:tc>
          <w:tcPr>
            <w:tcW w:w="883" w:type="dxa"/>
          </w:tcPr>
          <w:p w14:paraId="03150B8A" w14:textId="77777777" w:rsidR="00905E33" w:rsidRPr="001A7586" w:rsidRDefault="00905E33" w:rsidP="00AF18CF">
            <w:pPr>
              <w:spacing w:line="480" w:lineRule="auto"/>
            </w:pPr>
            <w:r w:rsidRPr="001A7586">
              <w:sym w:font="Wingdings" w:char="F0FC"/>
            </w:r>
          </w:p>
        </w:tc>
        <w:tc>
          <w:tcPr>
            <w:tcW w:w="884" w:type="dxa"/>
          </w:tcPr>
          <w:p w14:paraId="596871D7" w14:textId="77777777" w:rsidR="00905E33" w:rsidRPr="001A7586" w:rsidRDefault="00905E33" w:rsidP="00AF18CF">
            <w:pPr>
              <w:spacing w:line="480" w:lineRule="auto"/>
            </w:pPr>
            <w:r w:rsidRPr="001A7586">
              <w:sym w:font="Wingdings" w:char="F0FC"/>
            </w:r>
          </w:p>
        </w:tc>
        <w:tc>
          <w:tcPr>
            <w:tcW w:w="884" w:type="dxa"/>
          </w:tcPr>
          <w:p w14:paraId="16E4349B" w14:textId="77777777" w:rsidR="00905E33" w:rsidRPr="001A7586" w:rsidRDefault="00905E33" w:rsidP="00AF18CF">
            <w:pPr>
              <w:spacing w:line="480" w:lineRule="auto"/>
            </w:pPr>
            <w:r w:rsidRPr="001A7586">
              <w:sym w:font="Wingdings" w:char="F0FC"/>
            </w:r>
          </w:p>
        </w:tc>
        <w:tc>
          <w:tcPr>
            <w:tcW w:w="884" w:type="dxa"/>
          </w:tcPr>
          <w:p w14:paraId="4BC2CD37" w14:textId="77777777" w:rsidR="00905E33" w:rsidRPr="001A7586" w:rsidRDefault="00905E33" w:rsidP="00AF18CF">
            <w:pPr>
              <w:spacing w:line="480" w:lineRule="auto"/>
            </w:pPr>
            <w:r w:rsidRPr="001A7586">
              <w:sym w:font="Wingdings" w:char="F0FC"/>
            </w:r>
          </w:p>
        </w:tc>
        <w:tc>
          <w:tcPr>
            <w:tcW w:w="884" w:type="dxa"/>
          </w:tcPr>
          <w:p w14:paraId="0B478595" w14:textId="77777777" w:rsidR="00905E33" w:rsidRPr="001A7586" w:rsidRDefault="00905E33" w:rsidP="00AF18CF">
            <w:pPr>
              <w:spacing w:line="480" w:lineRule="auto"/>
            </w:pPr>
            <w:r w:rsidRPr="001A7586">
              <w:sym w:font="Wingdings" w:char="F0FC"/>
            </w:r>
          </w:p>
        </w:tc>
        <w:tc>
          <w:tcPr>
            <w:tcW w:w="884" w:type="dxa"/>
          </w:tcPr>
          <w:p w14:paraId="51DC6D5C" w14:textId="77777777" w:rsidR="00905E33" w:rsidRPr="001A7586" w:rsidRDefault="00905E33" w:rsidP="00AF18CF">
            <w:pPr>
              <w:spacing w:line="480" w:lineRule="auto"/>
            </w:pPr>
            <w:r w:rsidRPr="001A7586">
              <w:sym w:font="Wingdings" w:char="F0FC"/>
            </w:r>
          </w:p>
        </w:tc>
        <w:tc>
          <w:tcPr>
            <w:tcW w:w="884" w:type="dxa"/>
          </w:tcPr>
          <w:p w14:paraId="105C4029" w14:textId="77777777" w:rsidR="00905E33" w:rsidRPr="001A7586" w:rsidRDefault="00905E33" w:rsidP="00AF18CF">
            <w:pPr>
              <w:spacing w:line="480" w:lineRule="auto"/>
            </w:pPr>
          </w:p>
        </w:tc>
        <w:tc>
          <w:tcPr>
            <w:tcW w:w="884" w:type="dxa"/>
          </w:tcPr>
          <w:p w14:paraId="3E16214A" w14:textId="77777777" w:rsidR="00905E33" w:rsidRPr="001A7586" w:rsidRDefault="00905E33" w:rsidP="00AF18CF">
            <w:pPr>
              <w:spacing w:line="480" w:lineRule="auto"/>
            </w:pPr>
          </w:p>
        </w:tc>
      </w:tr>
      <w:tr w:rsidR="00905E33" w:rsidRPr="001A7586" w14:paraId="7A6845BD" w14:textId="77777777" w:rsidTr="00254DFF">
        <w:tc>
          <w:tcPr>
            <w:tcW w:w="1945" w:type="dxa"/>
          </w:tcPr>
          <w:p w14:paraId="31C80B74" w14:textId="77777777" w:rsidR="00905E33" w:rsidRPr="001A7586" w:rsidRDefault="00905E33" w:rsidP="00AF18CF">
            <w:pPr>
              <w:spacing w:line="480" w:lineRule="auto"/>
            </w:pPr>
            <w:r w:rsidRPr="001A7586">
              <w:t>Saline 2</w:t>
            </w:r>
          </w:p>
        </w:tc>
        <w:tc>
          <w:tcPr>
            <w:tcW w:w="883" w:type="dxa"/>
          </w:tcPr>
          <w:p w14:paraId="626C3595" w14:textId="77777777" w:rsidR="00905E33" w:rsidRPr="001A7586" w:rsidRDefault="00905E33" w:rsidP="00AF18CF">
            <w:pPr>
              <w:spacing w:line="480" w:lineRule="auto"/>
            </w:pPr>
            <w:r w:rsidRPr="001A7586">
              <w:sym w:font="Wingdings" w:char="F0FC"/>
            </w:r>
          </w:p>
        </w:tc>
        <w:tc>
          <w:tcPr>
            <w:tcW w:w="884" w:type="dxa"/>
          </w:tcPr>
          <w:p w14:paraId="6C508A2A" w14:textId="77777777" w:rsidR="00905E33" w:rsidRPr="001A7586" w:rsidRDefault="00905E33" w:rsidP="00AF18CF">
            <w:pPr>
              <w:spacing w:line="480" w:lineRule="auto"/>
            </w:pPr>
            <w:r w:rsidRPr="001A7586">
              <w:sym w:font="Wingdings" w:char="F0FC"/>
            </w:r>
          </w:p>
        </w:tc>
        <w:tc>
          <w:tcPr>
            <w:tcW w:w="884" w:type="dxa"/>
          </w:tcPr>
          <w:p w14:paraId="68D162D1" w14:textId="77777777" w:rsidR="00905E33" w:rsidRPr="001A7586" w:rsidRDefault="00905E33" w:rsidP="00AF18CF">
            <w:pPr>
              <w:spacing w:line="480" w:lineRule="auto"/>
            </w:pPr>
            <w:r w:rsidRPr="001A7586">
              <w:sym w:font="Wingdings" w:char="F0FC"/>
            </w:r>
          </w:p>
        </w:tc>
        <w:tc>
          <w:tcPr>
            <w:tcW w:w="884" w:type="dxa"/>
          </w:tcPr>
          <w:p w14:paraId="43C8EBFA" w14:textId="77777777" w:rsidR="00905E33" w:rsidRPr="001A7586" w:rsidRDefault="00905E33" w:rsidP="00AF18CF">
            <w:pPr>
              <w:spacing w:line="480" w:lineRule="auto"/>
            </w:pPr>
            <w:r w:rsidRPr="001A7586">
              <w:sym w:font="Wingdings" w:char="F0FC"/>
            </w:r>
          </w:p>
        </w:tc>
        <w:tc>
          <w:tcPr>
            <w:tcW w:w="884" w:type="dxa"/>
          </w:tcPr>
          <w:p w14:paraId="0E11BFEC" w14:textId="77777777" w:rsidR="00905E33" w:rsidRPr="001A7586" w:rsidRDefault="00905E33" w:rsidP="00AF18CF">
            <w:pPr>
              <w:spacing w:line="480" w:lineRule="auto"/>
            </w:pPr>
            <w:r w:rsidRPr="001A7586">
              <w:sym w:font="Wingdings" w:char="F0FC"/>
            </w:r>
          </w:p>
        </w:tc>
        <w:tc>
          <w:tcPr>
            <w:tcW w:w="884" w:type="dxa"/>
          </w:tcPr>
          <w:p w14:paraId="59FC7C00" w14:textId="77777777" w:rsidR="00905E33" w:rsidRPr="001A7586" w:rsidRDefault="00905E33" w:rsidP="00AF18CF">
            <w:pPr>
              <w:spacing w:line="480" w:lineRule="auto"/>
            </w:pPr>
            <w:r w:rsidRPr="001A7586">
              <w:sym w:font="Wingdings" w:char="F0FC"/>
            </w:r>
          </w:p>
        </w:tc>
        <w:tc>
          <w:tcPr>
            <w:tcW w:w="884" w:type="dxa"/>
          </w:tcPr>
          <w:p w14:paraId="462DFFD7" w14:textId="77777777" w:rsidR="00905E33" w:rsidRPr="001A7586" w:rsidRDefault="00905E33" w:rsidP="00AF18CF">
            <w:pPr>
              <w:spacing w:line="480" w:lineRule="auto"/>
            </w:pPr>
          </w:p>
        </w:tc>
        <w:tc>
          <w:tcPr>
            <w:tcW w:w="884" w:type="dxa"/>
          </w:tcPr>
          <w:p w14:paraId="6DBCADE6" w14:textId="77777777" w:rsidR="00905E33" w:rsidRPr="001A7586" w:rsidRDefault="00905E33" w:rsidP="00AF18CF">
            <w:pPr>
              <w:spacing w:line="480" w:lineRule="auto"/>
            </w:pPr>
          </w:p>
        </w:tc>
      </w:tr>
      <w:tr w:rsidR="00905E33" w:rsidRPr="001A7586" w14:paraId="2DAA6158" w14:textId="77777777" w:rsidTr="00254DFF">
        <w:tc>
          <w:tcPr>
            <w:tcW w:w="9016" w:type="dxa"/>
            <w:gridSpan w:val="9"/>
          </w:tcPr>
          <w:p w14:paraId="0D48672A" w14:textId="77777777" w:rsidR="00905E33" w:rsidRPr="001A7586" w:rsidRDefault="00905E33" w:rsidP="00AF18CF">
            <w:pPr>
              <w:spacing w:line="480" w:lineRule="auto"/>
            </w:pPr>
            <w:r w:rsidRPr="001A7586">
              <w:rPr>
                <w:b/>
              </w:rPr>
              <w:t>Unpredictable Threat Test (2b)</w:t>
            </w:r>
          </w:p>
        </w:tc>
      </w:tr>
      <w:tr w:rsidR="00905E33" w:rsidRPr="001A7586" w14:paraId="2C46C05A" w14:textId="77777777" w:rsidTr="00254DFF">
        <w:tc>
          <w:tcPr>
            <w:tcW w:w="1945" w:type="dxa"/>
          </w:tcPr>
          <w:p w14:paraId="7C653173" w14:textId="77777777" w:rsidR="00905E33" w:rsidRPr="001A7586" w:rsidRDefault="00905E33" w:rsidP="00AF18CF">
            <w:pPr>
              <w:spacing w:line="480" w:lineRule="auto"/>
            </w:pPr>
            <w:r w:rsidRPr="001A7586">
              <w:t>aHipp saline</w:t>
            </w:r>
          </w:p>
        </w:tc>
        <w:tc>
          <w:tcPr>
            <w:tcW w:w="883" w:type="dxa"/>
          </w:tcPr>
          <w:p w14:paraId="512709BA" w14:textId="77777777" w:rsidR="00905E33" w:rsidRPr="001A7586" w:rsidRDefault="00905E33" w:rsidP="00AF18CF">
            <w:pPr>
              <w:spacing w:line="480" w:lineRule="auto"/>
            </w:pPr>
            <w:r w:rsidRPr="001A7586">
              <w:sym w:font="Wingdings" w:char="F0FC"/>
            </w:r>
            <w:r w:rsidRPr="001A7586">
              <w:t xml:space="preserve"> (2)</w:t>
            </w:r>
          </w:p>
        </w:tc>
        <w:tc>
          <w:tcPr>
            <w:tcW w:w="884" w:type="dxa"/>
          </w:tcPr>
          <w:p w14:paraId="61AD15A3" w14:textId="77777777" w:rsidR="00905E33" w:rsidRPr="001A7586" w:rsidRDefault="00905E33" w:rsidP="00AF18CF">
            <w:pPr>
              <w:spacing w:line="480" w:lineRule="auto"/>
            </w:pPr>
            <w:r w:rsidRPr="001A7586">
              <w:sym w:font="Wingdings" w:char="F0FC"/>
            </w:r>
            <w:r w:rsidRPr="001A7586">
              <w:t xml:space="preserve"> (4)</w:t>
            </w:r>
          </w:p>
        </w:tc>
        <w:tc>
          <w:tcPr>
            <w:tcW w:w="884" w:type="dxa"/>
          </w:tcPr>
          <w:p w14:paraId="4823EBBA" w14:textId="77777777" w:rsidR="00905E33" w:rsidRPr="001A7586" w:rsidRDefault="00905E33" w:rsidP="00AF18CF">
            <w:pPr>
              <w:spacing w:line="480" w:lineRule="auto"/>
            </w:pPr>
          </w:p>
        </w:tc>
        <w:tc>
          <w:tcPr>
            <w:tcW w:w="884" w:type="dxa"/>
          </w:tcPr>
          <w:p w14:paraId="25170C6C" w14:textId="77777777" w:rsidR="00905E33" w:rsidRPr="001A7586" w:rsidRDefault="00905E33" w:rsidP="00AF18CF">
            <w:pPr>
              <w:spacing w:line="480" w:lineRule="auto"/>
            </w:pPr>
            <w:r w:rsidRPr="001A7586">
              <w:sym w:font="Wingdings" w:char="F0FC"/>
            </w:r>
            <w:r w:rsidRPr="001A7586">
              <w:t xml:space="preserve"> (1)</w:t>
            </w:r>
          </w:p>
        </w:tc>
        <w:tc>
          <w:tcPr>
            <w:tcW w:w="884" w:type="dxa"/>
          </w:tcPr>
          <w:p w14:paraId="00445A83" w14:textId="77777777" w:rsidR="00905E33" w:rsidRPr="001A7586" w:rsidRDefault="00905E33" w:rsidP="00AF18CF">
            <w:pPr>
              <w:spacing w:line="480" w:lineRule="auto"/>
            </w:pPr>
            <w:r w:rsidRPr="001A7586">
              <w:sym w:font="Wingdings" w:char="F0FC"/>
            </w:r>
            <w:r w:rsidRPr="001A7586">
              <w:t xml:space="preserve"> (2)</w:t>
            </w:r>
          </w:p>
        </w:tc>
        <w:tc>
          <w:tcPr>
            <w:tcW w:w="884" w:type="dxa"/>
          </w:tcPr>
          <w:p w14:paraId="59510DCF" w14:textId="77777777" w:rsidR="00905E33" w:rsidRPr="001A7586" w:rsidRDefault="00905E33" w:rsidP="00AF18CF">
            <w:pPr>
              <w:spacing w:line="480" w:lineRule="auto"/>
            </w:pPr>
          </w:p>
        </w:tc>
        <w:tc>
          <w:tcPr>
            <w:tcW w:w="884" w:type="dxa"/>
          </w:tcPr>
          <w:p w14:paraId="158B9D36" w14:textId="77777777" w:rsidR="00905E33" w:rsidRPr="001A7586" w:rsidRDefault="00905E33" w:rsidP="00AF18CF">
            <w:pPr>
              <w:spacing w:line="480" w:lineRule="auto"/>
            </w:pPr>
            <w:r w:rsidRPr="001A7586">
              <w:sym w:font="Wingdings" w:char="F0FC"/>
            </w:r>
            <w:r w:rsidRPr="001A7586">
              <w:t xml:space="preserve"> (1)</w:t>
            </w:r>
          </w:p>
        </w:tc>
        <w:tc>
          <w:tcPr>
            <w:tcW w:w="884" w:type="dxa"/>
          </w:tcPr>
          <w:p w14:paraId="281AEEC5" w14:textId="77777777" w:rsidR="00905E33" w:rsidRPr="001A7586" w:rsidRDefault="00905E33" w:rsidP="00AF18CF">
            <w:pPr>
              <w:spacing w:line="480" w:lineRule="auto"/>
            </w:pPr>
            <w:r w:rsidRPr="001A7586">
              <w:sym w:font="Wingdings" w:char="F0FC"/>
            </w:r>
            <w:r w:rsidRPr="001A7586">
              <w:t xml:space="preserve"> (1)</w:t>
            </w:r>
          </w:p>
        </w:tc>
      </w:tr>
      <w:tr w:rsidR="00905E33" w:rsidRPr="001A7586" w14:paraId="48A5D7C4" w14:textId="77777777" w:rsidTr="00254DFF">
        <w:tc>
          <w:tcPr>
            <w:tcW w:w="1945" w:type="dxa"/>
          </w:tcPr>
          <w:p w14:paraId="314E0CCB" w14:textId="77777777" w:rsidR="00905E33" w:rsidRPr="001A7586" w:rsidRDefault="00905E33" w:rsidP="00AF18CF">
            <w:pPr>
              <w:spacing w:line="480" w:lineRule="auto"/>
            </w:pPr>
            <w:r w:rsidRPr="001A7586">
              <w:t>aHipp LY/CGP</w:t>
            </w:r>
          </w:p>
        </w:tc>
        <w:tc>
          <w:tcPr>
            <w:tcW w:w="883" w:type="dxa"/>
          </w:tcPr>
          <w:p w14:paraId="1A4DA842" w14:textId="77777777" w:rsidR="00905E33" w:rsidRPr="001A7586" w:rsidRDefault="00905E33" w:rsidP="00AF18CF">
            <w:pPr>
              <w:spacing w:line="480" w:lineRule="auto"/>
            </w:pPr>
            <w:r w:rsidRPr="001A7586">
              <w:sym w:font="Wingdings" w:char="F0FC"/>
            </w:r>
            <w:r w:rsidRPr="001A7586">
              <w:t xml:space="preserve"> (4)</w:t>
            </w:r>
          </w:p>
        </w:tc>
        <w:tc>
          <w:tcPr>
            <w:tcW w:w="884" w:type="dxa"/>
          </w:tcPr>
          <w:p w14:paraId="303C9DA8" w14:textId="77777777" w:rsidR="00905E33" w:rsidRPr="001A7586" w:rsidRDefault="00905E33" w:rsidP="00AF18CF">
            <w:pPr>
              <w:spacing w:line="480" w:lineRule="auto"/>
            </w:pPr>
            <w:r w:rsidRPr="001A7586">
              <w:sym w:font="Wingdings" w:char="F0FC"/>
            </w:r>
            <w:r w:rsidRPr="001A7586">
              <w:t xml:space="preserve"> (5)</w:t>
            </w:r>
          </w:p>
        </w:tc>
        <w:tc>
          <w:tcPr>
            <w:tcW w:w="884" w:type="dxa"/>
          </w:tcPr>
          <w:p w14:paraId="2078F9EB" w14:textId="77777777" w:rsidR="00905E33" w:rsidRPr="001A7586" w:rsidRDefault="00905E33" w:rsidP="00AF18CF">
            <w:pPr>
              <w:spacing w:line="480" w:lineRule="auto"/>
            </w:pPr>
          </w:p>
        </w:tc>
        <w:tc>
          <w:tcPr>
            <w:tcW w:w="884" w:type="dxa"/>
          </w:tcPr>
          <w:p w14:paraId="5C187593" w14:textId="77777777" w:rsidR="00905E33" w:rsidRPr="001A7586" w:rsidRDefault="00905E33" w:rsidP="00AF18CF">
            <w:pPr>
              <w:spacing w:line="480" w:lineRule="auto"/>
            </w:pPr>
            <w:r w:rsidRPr="001A7586">
              <w:sym w:font="Wingdings" w:char="F0FC"/>
            </w:r>
            <w:r w:rsidRPr="001A7586">
              <w:t xml:space="preserve"> (2)</w:t>
            </w:r>
          </w:p>
        </w:tc>
        <w:tc>
          <w:tcPr>
            <w:tcW w:w="884" w:type="dxa"/>
          </w:tcPr>
          <w:p w14:paraId="31637400" w14:textId="77777777" w:rsidR="00905E33" w:rsidRPr="001A7586" w:rsidRDefault="00905E33" w:rsidP="00AF18CF">
            <w:pPr>
              <w:spacing w:line="480" w:lineRule="auto"/>
            </w:pPr>
            <w:r w:rsidRPr="001A7586">
              <w:sym w:font="Wingdings" w:char="F0FC"/>
            </w:r>
            <w:r w:rsidRPr="001A7586">
              <w:t xml:space="preserve"> (1)</w:t>
            </w:r>
          </w:p>
        </w:tc>
        <w:tc>
          <w:tcPr>
            <w:tcW w:w="884" w:type="dxa"/>
          </w:tcPr>
          <w:p w14:paraId="4F65F78B" w14:textId="77777777" w:rsidR="00905E33" w:rsidRPr="001A7586" w:rsidRDefault="00905E33" w:rsidP="00AF18CF">
            <w:pPr>
              <w:spacing w:line="480" w:lineRule="auto"/>
            </w:pPr>
          </w:p>
        </w:tc>
        <w:tc>
          <w:tcPr>
            <w:tcW w:w="884" w:type="dxa"/>
          </w:tcPr>
          <w:p w14:paraId="15D67DA5" w14:textId="77777777" w:rsidR="00905E33" w:rsidRPr="001A7586" w:rsidRDefault="00905E33" w:rsidP="00AF18CF">
            <w:pPr>
              <w:spacing w:line="480" w:lineRule="auto"/>
            </w:pPr>
            <w:r w:rsidRPr="001A7586">
              <w:sym w:font="Wingdings" w:char="F0FC"/>
            </w:r>
            <w:r w:rsidRPr="001A7586">
              <w:t xml:space="preserve"> (3)</w:t>
            </w:r>
          </w:p>
        </w:tc>
        <w:tc>
          <w:tcPr>
            <w:tcW w:w="884" w:type="dxa"/>
          </w:tcPr>
          <w:p w14:paraId="609ED6DD" w14:textId="77777777" w:rsidR="00905E33" w:rsidRPr="001A7586" w:rsidRDefault="00905E33" w:rsidP="00AF18CF">
            <w:pPr>
              <w:spacing w:line="480" w:lineRule="auto"/>
            </w:pPr>
          </w:p>
        </w:tc>
      </w:tr>
      <w:tr w:rsidR="00905E33" w:rsidRPr="001A7586" w14:paraId="388A79B8" w14:textId="77777777" w:rsidTr="00254DFF">
        <w:tc>
          <w:tcPr>
            <w:tcW w:w="1945" w:type="dxa"/>
          </w:tcPr>
          <w:p w14:paraId="1D53613B" w14:textId="77777777" w:rsidR="00905E33" w:rsidRPr="001A7586" w:rsidRDefault="00905E33" w:rsidP="00AF18CF">
            <w:pPr>
              <w:spacing w:line="480" w:lineRule="auto"/>
            </w:pPr>
            <w:r w:rsidRPr="001A7586">
              <w:t>aHipp LY/CGP &amp; musbac 25</w:t>
            </w:r>
          </w:p>
        </w:tc>
        <w:tc>
          <w:tcPr>
            <w:tcW w:w="883" w:type="dxa"/>
          </w:tcPr>
          <w:p w14:paraId="22C5E4E9" w14:textId="77777777" w:rsidR="00905E33" w:rsidRPr="001A7586" w:rsidRDefault="00905E33" w:rsidP="00AF18CF">
            <w:pPr>
              <w:spacing w:line="480" w:lineRule="auto"/>
            </w:pPr>
            <w:r w:rsidRPr="001A7586">
              <w:sym w:font="Wingdings" w:char="F0FC"/>
            </w:r>
            <w:r w:rsidRPr="001A7586">
              <w:t xml:space="preserve"> (1)</w:t>
            </w:r>
          </w:p>
        </w:tc>
        <w:tc>
          <w:tcPr>
            <w:tcW w:w="884" w:type="dxa"/>
          </w:tcPr>
          <w:p w14:paraId="1CEB7545" w14:textId="77777777" w:rsidR="00905E33" w:rsidRPr="001A7586" w:rsidRDefault="00905E33" w:rsidP="00AF18CF">
            <w:pPr>
              <w:spacing w:line="480" w:lineRule="auto"/>
            </w:pPr>
            <w:r w:rsidRPr="001A7586">
              <w:sym w:font="Wingdings" w:char="F0FC"/>
            </w:r>
            <w:r w:rsidRPr="001A7586">
              <w:t xml:space="preserve"> (1)</w:t>
            </w:r>
          </w:p>
        </w:tc>
        <w:tc>
          <w:tcPr>
            <w:tcW w:w="884" w:type="dxa"/>
          </w:tcPr>
          <w:p w14:paraId="0FFE9B81" w14:textId="77777777" w:rsidR="00905E33" w:rsidRPr="001A7586" w:rsidRDefault="00905E33" w:rsidP="00AF18CF">
            <w:pPr>
              <w:spacing w:line="480" w:lineRule="auto"/>
            </w:pPr>
          </w:p>
        </w:tc>
        <w:tc>
          <w:tcPr>
            <w:tcW w:w="884" w:type="dxa"/>
          </w:tcPr>
          <w:p w14:paraId="35A0699F" w14:textId="77777777" w:rsidR="00905E33" w:rsidRPr="001A7586" w:rsidRDefault="00905E33" w:rsidP="00AF18CF">
            <w:pPr>
              <w:spacing w:line="480" w:lineRule="auto"/>
            </w:pPr>
            <w:r w:rsidRPr="001A7586">
              <w:sym w:font="Wingdings" w:char="F0FC"/>
            </w:r>
            <w:r w:rsidRPr="001A7586">
              <w:t xml:space="preserve"> (3)</w:t>
            </w:r>
          </w:p>
        </w:tc>
        <w:tc>
          <w:tcPr>
            <w:tcW w:w="884" w:type="dxa"/>
          </w:tcPr>
          <w:p w14:paraId="6600D6B8" w14:textId="77777777" w:rsidR="00905E33" w:rsidRPr="001A7586" w:rsidRDefault="00905E33" w:rsidP="00AF18CF">
            <w:pPr>
              <w:spacing w:line="480" w:lineRule="auto"/>
            </w:pPr>
          </w:p>
        </w:tc>
        <w:tc>
          <w:tcPr>
            <w:tcW w:w="884" w:type="dxa"/>
          </w:tcPr>
          <w:p w14:paraId="493A4881" w14:textId="77777777" w:rsidR="00905E33" w:rsidRPr="001A7586" w:rsidRDefault="00905E33" w:rsidP="00AF18CF">
            <w:pPr>
              <w:spacing w:line="480" w:lineRule="auto"/>
            </w:pPr>
          </w:p>
        </w:tc>
        <w:tc>
          <w:tcPr>
            <w:tcW w:w="884" w:type="dxa"/>
          </w:tcPr>
          <w:p w14:paraId="5BFC59C6" w14:textId="77777777" w:rsidR="00905E33" w:rsidRPr="001A7586" w:rsidRDefault="00905E33" w:rsidP="00AF18CF">
            <w:pPr>
              <w:spacing w:line="480" w:lineRule="auto"/>
            </w:pPr>
          </w:p>
        </w:tc>
        <w:tc>
          <w:tcPr>
            <w:tcW w:w="884" w:type="dxa"/>
          </w:tcPr>
          <w:p w14:paraId="7B0CE3C2" w14:textId="77777777" w:rsidR="00905E33" w:rsidRPr="001A7586" w:rsidRDefault="00905E33" w:rsidP="00AF18CF">
            <w:pPr>
              <w:spacing w:line="480" w:lineRule="auto"/>
            </w:pPr>
            <w:r w:rsidRPr="001A7586">
              <w:sym w:font="Wingdings" w:char="F0FC"/>
            </w:r>
            <w:r w:rsidRPr="001A7586">
              <w:t xml:space="preserve"> (2)</w:t>
            </w:r>
          </w:p>
        </w:tc>
      </w:tr>
      <w:tr w:rsidR="00905E33" w:rsidRPr="001A7586" w14:paraId="597477D8" w14:textId="77777777" w:rsidTr="00254DFF">
        <w:tc>
          <w:tcPr>
            <w:tcW w:w="1945" w:type="dxa"/>
          </w:tcPr>
          <w:p w14:paraId="336C6595" w14:textId="77777777" w:rsidR="00905E33" w:rsidRPr="001A7586" w:rsidRDefault="00905E33" w:rsidP="00AF18CF">
            <w:pPr>
              <w:spacing w:line="480" w:lineRule="auto"/>
            </w:pPr>
            <w:r w:rsidRPr="001A7586">
              <w:t>aHipp LY/CGP &amp; musbac 32</w:t>
            </w:r>
          </w:p>
        </w:tc>
        <w:tc>
          <w:tcPr>
            <w:tcW w:w="883" w:type="dxa"/>
          </w:tcPr>
          <w:p w14:paraId="6081C185" w14:textId="77777777" w:rsidR="00905E33" w:rsidRPr="001A7586" w:rsidRDefault="00905E33" w:rsidP="00AF18CF">
            <w:pPr>
              <w:spacing w:line="480" w:lineRule="auto"/>
            </w:pPr>
            <w:r w:rsidRPr="001A7586">
              <w:sym w:font="Wingdings" w:char="F0FC"/>
            </w:r>
            <w:r w:rsidRPr="001A7586">
              <w:t xml:space="preserve"> (6)</w:t>
            </w:r>
          </w:p>
        </w:tc>
        <w:tc>
          <w:tcPr>
            <w:tcW w:w="884" w:type="dxa"/>
          </w:tcPr>
          <w:p w14:paraId="6CE9F497" w14:textId="77777777" w:rsidR="00905E33" w:rsidRPr="001A7586" w:rsidRDefault="00905E33" w:rsidP="00AF18CF">
            <w:pPr>
              <w:spacing w:line="480" w:lineRule="auto"/>
            </w:pPr>
            <w:r w:rsidRPr="001A7586">
              <w:sym w:font="Wingdings" w:char="F0FC"/>
            </w:r>
            <w:r w:rsidRPr="001A7586">
              <w:t xml:space="preserve"> (3)</w:t>
            </w:r>
          </w:p>
        </w:tc>
        <w:tc>
          <w:tcPr>
            <w:tcW w:w="884" w:type="dxa"/>
          </w:tcPr>
          <w:p w14:paraId="6659268F" w14:textId="77777777" w:rsidR="00905E33" w:rsidRPr="001A7586" w:rsidRDefault="00905E33" w:rsidP="00AF18CF">
            <w:pPr>
              <w:spacing w:line="480" w:lineRule="auto"/>
            </w:pPr>
          </w:p>
        </w:tc>
        <w:tc>
          <w:tcPr>
            <w:tcW w:w="884" w:type="dxa"/>
          </w:tcPr>
          <w:p w14:paraId="052936C3" w14:textId="77777777" w:rsidR="00905E33" w:rsidRPr="001A7586" w:rsidRDefault="00905E33" w:rsidP="00AF18CF">
            <w:pPr>
              <w:spacing w:line="480" w:lineRule="auto"/>
            </w:pPr>
            <w:r w:rsidRPr="001A7586">
              <w:sym w:font="Wingdings" w:char="F0FC"/>
            </w:r>
            <w:r w:rsidRPr="001A7586">
              <w:t xml:space="preserve"> (4)</w:t>
            </w:r>
          </w:p>
        </w:tc>
        <w:tc>
          <w:tcPr>
            <w:tcW w:w="884" w:type="dxa"/>
          </w:tcPr>
          <w:p w14:paraId="19267F27" w14:textId="77777777" w:rsidR="00905E33" w:rsidRPr="001A7586" w:rsidRDefault="00905E33" w:rsidP="00AF18CF">
            <w:pPr>
              <w:spacing w:line="480" w:lineRule="auto"/>
            </w:pPr>
          </w:p>
        </w:tc>
        <w:tc>
          <w:tcPr>
            <w:tcW w:w="884" w:type="dxa"/>
          </w:tcPr>
          <w:p w14:paraId="74E8CA5D" w14:textId="77777777" w:rsidR="00905E33" w:rsidRPr="001A7586" w:rsidRDefault="00905E33" w:rsidP="00AF18CF">
            <w:pPr>
              <w:spacing w:line="480" w:lineRule="auto"/>
            </w:pPr>
          </w:p>
        </w:tc>
        <w:tc>
          <w:tcPr>
            <w:tcW w:w="884" w:type="dxa"/>
          </w:tcPr>
          <w:p w14:paraId="21A851C4" w14:textId="77777777" w:rsidR="00905E33" w:rsidRPr="001A7586" w:rsidRDefault="00905E33" w:rsidP="00AF18CF">
            <w:pPr>
              <w:spacing w:line="480" w:lineRule="auto"/>
            </w:pPr>
            <w:r w:rsidRPr="001A7586">
              <w:sym w:font="Wingdings" w:char="F0FC"/>
            </w:r>
            <w:r w:rsidRPr="001A7586">
              <w:t xml:space="preserve"> (4)</w:t>
            </w:r>
          </w:p>
        </w:tc>
        <w:tc>
          <w:tcPr>
            <w:tcW w:w="884" w:type="dxa"/>
          </w:tcPr>
          <w:p w14:paraId="515588F8" w14:textId="77777777" w:rsidR="00905E33" w:rsidRPr="001A7586" w:rsidRDefault="00905E33" w:rsidP="00AF18CF">
            <w:pPr>
              <w:spacing w:line="480" w:lineRule="auto"/>
            </w:pPr>
          </w:p>
        </w:tc>
      </w:tr>
      <w:tr w:rsidR="00905E33" w:rsidRPr="001A7586" w14:paraId="5E476C27" w14:textId="77777777" w:rsidTr="00254DFF">
        <w:tc>
          <w:tcPr>
            <w:tcW w:w="1945" w:type="dxa"/>
          </w:tcPr>
          <w:p w14:paraId="64268CEE" w14:textId="77777777" w:rsidR="00905E33" w:rsidRPr="001A7586" w:rsidRDefault="00905E33" w:rsidP="00AF18CF">
            <w:pPr>
              <w:spacing w:line="480" w:lineRule="auto"/>
            </w:pPr>
            <w:r w:rsidRPr="001A7586">
              <w:t>musbac 25</w:t>
            </w:r>
          </w:p>
        </w:tc>
        <w:tc>
          <w:tcPr>
            <w:tcW w:w="883" w:type="dxa"/>
          </w:tcPr>
          <w:p w14:paraId="35F98324" w14:textId="77777777" w:rsidR="00905E33" w:rsidRPr="001A7586" w:rsidRDefault="00905E33" w:rsidP="00AF18CF">
            <w:pPr>
              <w:spacing w:line="480" w:lineRule="auto"/>
            </w:pPr>
            <w:r w:rsidRPr="001A7586">
              <w:sym w:font="Wingdings" w:char="F0FC"/>
            </w:r>
            <w:r w:rsidRPr="001A7586">
              <w:t xml:space="preserve"> (3)</w:t>
            </w:r>
          </w:p>
        </w:tc>
        <w:tc>
          <w:tcPr>
            <w:tcW w:w="884" w:type="dxa"/>
          </w:tcPr>
          <w:p w14:paraId="4028DF82" w14:textId="77777777" w:rsidR="00905E33" w:rsidRPr="001A7586" w:rsidRDefault="00905E33" w:rsidP="00AF18CF">
            <w:pPr>
              <w:spacing w:line="480" w:lineRule="auto"/>
            </w:pPr>
            <w:r w:rsidRPr="001A7586">
              <w:sym w:font="Wingdings" w:char="F0FC"/>
            </w:r>
            <w:r w:rsidRPr="001A7586">
              <w:t xml:space="preserve"> (6)</w:t>
            </w:r>
          </w:p>
        </w:tc>
        <w:tc>
          <w:tcPr>
            <w:tcW w:w="884" w:type="dxa"/>
          </w:tcPr>
          <w:p w14:paraId="7B13597C" w14:textId="77777777" w:rsidR="00905E33" w:rsidRPr="001A7586" w:rsidRDefault="00905E33" w:rsidP="00AF18CF">
            <w:pPr>
              <w:spacing w:line="480" w:lineRule="auto"/>
            </w:pPr>
          </w:p>
        </w:tc>
        <w:tc>
          <w:tcPr>
            <w:tcW w:w="884" w:type="dxa"/>
          </w:tcPr>
          <w:p w14:paraId="305CF364" w14:textId="77777777" w:rsidR="00905E33" w:rsidRPr="001A7586" w:rsidRDefault="00905E33" w:rsidP="00AF18CF">
            <w:pPr>
              <w:spacing w:line="480" w:lineRule="auto"/>
            </w:pPr>
            <w:r w:rsidRPr="001A7586">
              <w:sym w:font="Wingdings" w:char="F0FC"/>
            </w:r>
            <w:r w:rsidRPr="001A7586">
              <w:t xml:space="preserve"> (5)</w:t>
            </w:r>
          </w:p>
        </w:tc>
        <w:tc>
          <w:tcPr>
            <w:tcW w:w="884" w:type="dxa"/>
          </w:tcPr>
          <w:p w14:paraId="78F21B37" w14:textId="77777777" w:rsidR="00905E33" w:rsidRPr="001A7586" w:rsidRDefault="00905E33" w:rsidP="00AF18CF">
            <w:pPr>
              <w:spacing w:line="480" w:lineRule="auto"/>
            </w:pPr>
          </w:p>
        </w:tc>
        <w:tc>
          <w:tcPr>
            <w:tcW w:w="884" w:type="dxa"/>
          </w:tcPr>
          <w:p w14:paraId="7B0B0FA7" w14:textId="77777777" w:rsidR="00905E33" w:rsidRPr="001A7586" w:rsidRDefault="00905E33" w:rsidP="00AF18CF">
            <w:pPr>
              <w:spacing w:line="480" w:lineRule="auto"/>
            </w:pPr>
          </w:p>
        </w:tc>
        <w:tc>
          <w:tcPr>
            <w:tcW w:w="884" w:type="dxa"/>
          </w:tcPr>
          <w:p w14:paraId="7264717A" w14:textId="77777777" w:rsidR="00905E33" w:rsidRPr="001A7586" w:rsidRDefault="00905E33" w:rsidP="00AF18CF">
            <w:pPr>
              <w:spacing w:line="480" w:lineRule="auto"/>
            </w:pPr>
          </w:p>
        </w:tc>
        <w:tc>
          <w:tcPr>
            <w:tcW w:w="884" w:type="dxa"/>
          </w:tcPr>
          <w:p w14:paraId="1262403F" w14:textId="77777777" w:rsidR="00905E33" w:rsidRPr="001A7586" w:rsidRDefault="00905E33" w:rsidP="00AF18CF">
            <w:pPr>
              <w:spacing w:line="480" w:lineRule="auto"/>
            </w:pPr>
            <w:r w:rsidRPr="001A7586">
              <w:sym w:font="Wingdings" w:char="F0FC"/>
            </w:r>
            <w:r w:rsidRPr="001A7586">
              <w:t xml:space="preserve"> (3)</w:t>
            </w:r>
          </w:p>
        </w:tc>
      </w:tr>
      <w:tr w:rsidR="00905E33" w:rsidRPr="001A7586" w14:paraId="1CF468EA" w14:textId="77777777" w:rsidTr="00254DFF">
        <w:tc>
          <w:tcPr>
            <w:tcW w:w="1945" w:type="dxa"/>
          </w:tcPr>
          <w:p w14:paraId="750D0801" w14:textId="77777777" w:rsidR="00905E33" w:rsidRPr="001A7586" w:rsidRDefault="00905E33" w:rsidP="00AF18CF">
            <w:pPr>
              <w:spacing w:line="480" w:lineRule="auto"/>
            </w:pPr>
            <w:r w:rsidRPr="001A7586">
              <w:t>musbac 32</w:t>
            </w:r>
          </w:p>
        </w:tc>
        <w:tc>
          <w:tcPr>
            <w:tcW w:w="883" w:type="dxa"/>
          </w:tcPr>
          <w:p w14:paraId="0FF90787" w14:textId="77777777" w:rsidR="00905E33" w:rsidRPr="001A7586" w:rsidRDefault="00905E33" w:rsidP="00AF18CF">
            <w:pPr>
              <w:spacing w:line="480" w:lineRule="auto"/>
            </w:pPr>
            <w:r w:rsidRPr="001A7586">
              <w:sym w:font="Wingdings" w:char="F0FC"/>
            </w:r>
            <w:r w:rsidRPr="001A7586">
              <w:t xml:space="preserve"> (5)</w:t>
            </w:r>
          </w:p>
        </w:tc>
        <w:tc>
          <w:tcPr>
            <w:tcW w:w="884" w:type="dxa"/>
          </w:tcPr>
          <w:p w14:paraId="5FA26E94" w14:textId="77777777" w:rsidR="00905E33" w:rsidRPr="001A7586" w:rsidRDefault="00905E33" w:rsidP="00AF18CF">
            <w:pPr>
              <w:spacing w:line="480" w:lineRule="auto"/>
            </w:pPr>
            <w:r w:rsidRPr="001A7586">
              <w:sym w:font="Wingdings" w:char="F0FC"/>
            </w:r>
            <w:r w:rsidRPr="001A7586">
              <w:t xml:space="preserve"> (2)</w:t>
            </w:r>
          </w:p>
        </w:tc>
        <w:tc>
          <w:tcPr>
            <w:tcW w:w="884" w:type="dxa"/>
          </w:tcPr>
          <w:p w14:paraId="757907DE" w14:textId="77777777" w:rsidR="00905E33" w:rsidRPr="001A7586" w:rsidRDefault="00905E33" w:rsidP="00AF18CF">
            <w:pPr>
              <w:spacing w:line="480" w:lineRule="auto"/>
            </w:pPr>
          </w:p>
        </w:tc>
        <w:tc>
          <w:tcPr>
            <w:tcW w:w="884" w:type="dxa"/>
          </w:tcPr>
          <w:p w14:paraId="3F2FC343" w14:textId="77777777" w:rsidR="00905E33" w:rsidRPr="001A7586" w:rsidRDefault="00905E33" w:rsidP="00AF18CF">
            <w:pPr>
              <w:spacing w:line="480" w:lineRule="auto"/>
            </w:pPr>
            <w:r w:rsidRPr="001A7586">
              <w:sym w:font="Wingdings" w:char="F0FC"/>
            </w:r>
            <w:r w:rsidRPr="001A7586">
              <w:t xml:space="preserve"> (6)</w:t>
            </w:r>
          </w:p>
        </w:tc>
        <w:tc>
          <w:tcPr>
            <w:tcW w:w="884" w:type="dxa"/>
          </w:tcPr>
          <w:p w14:paraId="2662C5AC" w14:textId="77777777" w:rsidR="00905E33" w:rsidRPr="001A7586" w:rsidRDefault="00905E33" w:rsidP="00AF18CF">
            <w:pPr>
              <w:spacing w:line="480" w:lineRule="auto"/>
            </w:pPr>
          </w:p>
        </w:tc>
        <w:tc>
          <w:tcPr>
            <w:tcW w:w="884" w:type="dxa"/>
          </w:tcPr>
          <w:p w14:paraId="36461347" w14:textId="77777777" w:rsidR="00905E33" w:rsidRPr="001A7586" w:rsidRDefault="00905E33" w:rsidP="00AF18CF">
            <w:pPr>
              <w:spacing w:line="480" w:lineRule="auto"/>
            </w:pPr>
          </w:p>
        </w:tc>
        <w:tc>
          <w:tcPr>
            <w:tcW w:w="884" w:type="dxa"/>
          </w:tcPr>
          <w:p w14:paraId="395E62AF" w14:textId="77777777" w:rsidR="00905E33" w:rsidRPr="001A7586" w:rsidRDefault="00905E33" w:rsidP="00AF18CF">
            <w:pPr>
              <w:spacing w:line="480" w:lineRule="auto"/>
            </w:pPr>
            <w:r w:rsidRPr="001A7586">
              <w:sym w:font="Wingdings" w:char="F0FC"/>
            </w:r>
            <w:r w:rsidRPr="001A7586">
              <w:t xml:space="preserve"> (2)</w:t>
            </w:r>
          </w:p>
        </w:tc>
        <w:tc>
          <w:tcPr>
            <w:tcW w:w="884" w:type="dxa"/>
          </w:tcPr>
          <w:p w14:paraId="74FCAFE2" w14:textId="77777777" w:rsidR="00905E33" w:rsidRPr="001A7586" w:rsidRDefault="00905E33" w:rsidP="00AF18CF">
            <w:pPr>
              <w:spacing w:line="480" w:lineRule="auto"/>
            </w:pPr>
            <w:r w:rsidRPr="001A7586">
              <w:sym w:font="Wingdings" w:char="F0FC"/>
            </w:r>
            <w:r w:rsidRPr="001A7586">
              <w:t xml:space="preserve"> (4)</w:t>
            </w:r>
          </w:p>
        </w:tc>
      </w:tr>
      <w:tr w:rsidR="000D68F8" w:rsidRPr="001A7586" w14:paraId="4A27A99E" w14:textId="77777777" w:rsidTr="008D3E70">
        <w:tc>
          <w:tcPr>
            <w:tcW w:w="9016" w:type="dxa"/>
            <w:gridSpan w:val="9"/>
          </w:tcPr>
          <w:p w14:paraId="13CD6851" w14:textId="4A0CF279" w:rsidR="000D68F8" w:rsidRPr="001A7586" w:rsidRDefault="000D68F8" w:rsidP="00AF18CF">
            <w:pPr>
              <w:spacing w:line="480" w:lineRule="auto"/>
              <w:rPr>
                <w:b/>
              </w:rPr>
            </w:pPr>
            <w:r w:rsidRPr="001A7586">
              <w:rPr>
                <w:b/>
              </w:rPr>
              <w:t>Number of infusions</w:t>
            </w:r>
          </w:p>
        </w:tc>
      </w:tr>
      <w:tr w:rsidR="00905E33" w:rsidRPr="001A7586" w14:paraId="3DA4349E" w14:textId="77777777" w:rsidTr="00254DFF">
        <w:tc>
          <w:tcPr>
            <w:tcW w:w="1945" w:type="dxa"/>
          </w:tcPr>
          <w:p w14:paraId="6EA2E318" w14:textId="1C51F178" w:rsidR="00905E33" w:rsidRPr="001A7586" w:rsidRDefault="000D68F8" w:rsidP="00AF18CF">
            <w:pPr>
              <w:spacing w:line="480" w:lineRule="auto"/>
            </w:pPr>
            <w:r w:rsidRPr="001A7586">
              <w:lastRenderedPageBreak/>
              <w:t>aHipp</w:t>
            </w:r>
          </w:p>
        </w:tc>
        <w:tc>
          <w:tcPr>
            <w:tcW w:w="883" w:type="dxa"/>
          </w:tcPr>
          <w:p w14:paraId="79EF019B" w14:textId="08ECA256" w:rsidR="00905E33" w:rsidRPr="001A7586" w:rsidRDefault="0073220A" w:rsidP="00AF18CF">
            <w:pPr>
              <w:spacing w:line="480" w:lineRule="auto"/>
            </w:pPr>
            <w:r w:rsidRPr="001A7586">
              <w:t>10</w:t>
            </w:r>
          </w:p>
        </w:tc>
        <w:tc>
          <w:tcPr>
            <w:tcW w:w="884" w:type="dxa"/>
          </w:tcPr>
          <w:p w14:paraId="611D9B1B" w14:textId="3CB2B7F9" w:rsidR="00905E33" w:rsidRPr="001A7586" w:rsidRDefault="0073220A" w:rsidP="00AF18CF">
            <w:pPr>
              <w:spacing w:line="480" w:lineRule="auto"/>
            </w:pPr>
            <w:r w:rsidRPr="001A7586">
              <w:t>10</w:t>
            </w:r>
          </w:p>
        </w:tc>
        <w:tc>
          <w:tcPr>
            <w:tcW w:w="884" w:type="dxa"/>
          </w:tcPr>
          <w:p w14:paraId="47D44821" w14:textId="28939263" w:rsidR="00905E33" w:rsidRPr="001A7586" w:rsidRDefault="000D68F8" w:rsidP="00AF18CF">
            <w:pPr>
              <w:spacing w:line="480" w:lineRule="auto"/>
            </w:pPr>
            <w:r w:rsidRPr="001A7586">
              <w:t>5</w:t>
            </w:r>
          </w:p>
        </w:tc>
        <w:tc>
          <w:tcPr>
            <w:tcW w:w="884" w:type="dxa"/>
          </w:tcPr>
          <w:p w14:paraId="35DFF45A" w14:textId="47D70A2C" w:rsidR="00905E33" w:rsidRPr="001A7586" w:rsidRDefault="000D68F8" w:rsidP="00AF18CF">
            <w:pPr>
              <w:spacing w:line="480" w:lineRule="auto"/>
            </w:pPr>
            <w:r w:rsidRPr="001A7586">
              <w:t>10</w:t>
            </w:r>
          </w:p>
        </w:tc>
        <w:tc>
          <w:tcPr>
            <w:tcW w:w="884" w:type="dxa"/>
          </w:tcPr>
          <w:p w14:paraId="6BADFCC8" w14:textId="6AC1D3FC" w:rsidR="00905E33" w:rsidRPr="001A7586" w:rsidRDefault="0073220A" w:rsidP="00AF18CF">
            <w:pPr>
              <w:spacing w:line="480" w:lineRule="auto"/>
            </w:pPr>
            <w:r w:rsidRPr="001A7586">
              <w:t>10</w:t>
            </w:r>
          </w:p>
        </w:tc>
        <w:tc>
          <w:tcPr>
            <w:tcW w:w="884" w:type="dxa"/>
          </w:tcPr>
          <w:p w14:paraId="0CC76791" w14:textId="0B995BBE" w:rsidR="00905E33" w:rsidRPr="001A7586" w:rsidRDefault="000D68F8" w:rsidP="00AF18CF">
            <w:pPr>
              <w:spacing w:line="480" w:lineRule="auto"/>
            </w:pPr>
            <w:r w:rsidRPr="001A7586">
              <w:t>6</w:t>
            </w:r>
          </w:p>
        </w:tc>
        <w:tc>
          <w:tcPr>
            <w:tcW w:w="884" w:type="dxa"/>
          </w:tcPr>
          <w:p w14:paraId="58DCD029" w14:textId="791EC8AE" w:rsidR="00905E33" w:rsidRPr="001A7586" w:rsidRDefault="0073220A" w:rsidP="00AF18CF">
            <w:pPr>
              <w:spacing w:line="480" w:lineRule="auto"/>
            </w:pPr>
            <w:r w:rsidRPr="001A7586">
              <w:t>14</w:t>
            </w:r>
          </w:p>
        </w:tc>
        <w:tc>
          <w:tcPr>
            <w:tcW w:w="884" w:type="dxa"/>
          </w:tcPr>
          <w:p w14:paraId="2A2A8E5C" w14:textId="0C4936D0" w:rsidR="00905E33" w:rsidRPr="001A7586" w:rsidRDefault="000D68F8" w:rsidP="00AF18CF">
            <w:pPr>
              <w:spacing w:line="480" w:lineRule="auto"/>
            </w:pPr>
            <w:r w:rsidRPr="001A7586">
              <w:t>4</w:t>
            </w:r>
          </w:p>
        </w:tc>
      </w:tr>
      <w:tr w:rsidR="000D68F8" w:rsidRPr="001A7586" w14:paraId="691A3903" w14:textId="77777777" w:rsidTr="00254DFF">
        <w:tc>
          <w:tcPr>
            <w:tcW w:w="1945" w:type="dxa"/>
          </w:tcPr>
          <w:p w14:paraId="6ACFF41D" w14:textId="3B246890" w:rsidR="000D68F8" w:rsidRPr="001A7586" w:rsidRDefault="000D68F8" w:rsidP="00AF18CF">
            <w:pPr>
              <w:spacing w:line="480" w:lineRule="auto"/>
            </w:pPr>
            <w:r w:rsidRPr="001A7586">
              <w:t>Area 25</w:t>
            </w:r>
          </w:p>
        </w:tc>
        <w:tc>
          <w:tcPr>
            <w:tcW w:w="883" w:type="dxa"/>
          </w:tcPr>
          <w:p w14:paraId="46D4E85B" w14:textId="791C8386" w:rsidR="000D68F8" w:rsidRPr="001A7586" w:rsidRDefault="0073220A" w:rsidP="00AF18CF">
            <w:pPr>
              <w:spacing w:line="480" w:lineRule="auto"/>
            </w:pPr>
            <w:r w:rsidRPr="001A7586">
              <w:t>3</w:t>
            </w:r>
          </w:p>
        </w:tc>
        <w:tc>
          <w:tcPr>
            <w:tcW w:w="884" w:type="dxa"/>
          </w:tcPr>
          <w:p w14:paraId="70E2D395" w14:textId="2F48B1F6" w:rsidR="000D68F8" w:rsidRPr="001A7586" w:rsidRDefault="0073220A" w:rsidP="00AF18CF">
            <w:pPr>
              <w:spacing w:line="480" w:lineRule="auto"/>
            </w:pPr>
            <w:r w:rsidRPr="001A7586">
              <w:t>4</w:t>
            </w:r>
          </w:p>
        </w:tc>
        <w:tc>
          <w:tcPr>
            <w:tcW w:w="884" w:type="dxa"/>
          </w:tcPr>
          <w:p w14:paraId="48DBE3E1" w14:textId="6EA70668" w:rsidR="000D68F8" w:rsidRPr="001A7586" w:rsidRDefault="0073220A" w:rsidP="00AF18CF">
            <w:pPr>
              <w:spacing w:line="480" w:lineRule="auto"/>
            </w:pPr>
            <w:r w:rsidRPr="001A7586">
              <w:t>NA</w:t>
            </w:r>
          </w:p>
        </w:tc>
        <w:tc>
          <w:tcPr>
            <w:tcW w:w="884" w:type="dxa"/>
          </w:tcPr>
          <w:p w14:paraId="36C2062E" w14:textId="1FAE0D88" w:rsidR="000D68F8" w:rsidRPr="001A7586" w:rsidRDefault="000D68F8" w:rsidP="00AF18CF">
            <w:pPr>
              <w:spacing w:line="480" w:lineRule="auto"/>
            </w:pPr>
            <w:r w:rsidRPr="001A7586">
              <w:t>3</w:t>
            </w:r>
          </w:p>
        </w:tc>
        <w:tc>
          <w:tcPr>
            <w:tcW w:w="884" w:type="dxa"/>
          </w:tcPr>
          <w:p w14:paraId="4C73EB93" w14:textId="28EE59D1" w:rsidR="000D68F8" w:rsidRPr="001A7586" w:rsidRDefault="0073220A" w:rsidP="00AF18CF">
            <w:pPr>
              <w:spacing w:line="480" w:lineRule="auto"/>
            </w:pPr>
            <w:r w:rsidRPr="001A7586">
              <w:t>3</w:t>
            </w:r>
          </w:p>
        </w:tc>
        <w:tc>
          <w:tcPr>
            <w:tcW w:w="884" w:type="dxa"/>
          </w:tcPr>
          <w:p w14:paraId="16215094" w14:textId="18ADABA2" w:rsidR="000D68F8" w:rsidRPr="001A7586" w:rsidRDefault="0073220A" w:rsidP="00AF18CF">
            <w:pPr>
              <w:spacing w:line="480" w:lineRule="auto"/>
            </w:pPr>
            <w:r w:rsidRPr="001A7586">
              <w:t>NA</w:t>
            </w:r>
          </w:p>
        </w:tc>
        <w:tc>
          <w:tcPr>
            <w:tcW w:w="884" w:type="dxa"/>
          </w:tcPr>
          <w:p w14:paraId="171D0001" w14:textId="2D05C0CF" w:rsidR="000D68F8" w:rsidRPr="001A7586" w:rsidRDefault="0073220A" w:rsidP="00AF18CF">
            <w:pPr>
              <w:spacing w:line="480" w:lineRule="auto"/>
            </w:pPr>
            <w:r w:rsidRPr="001A7586">
              <w:t>8</w:t>
            </w:r>
          </w:p>
        </w:tc>
        <w:tc>
          <w:tcPr>
            <w:tcW w:w="884" w:type="dxa"/>
          </w:tcPr>
          <w:p w14:paraId="4E95EFB8" w14:textId="6FC8862D" w:rsidR="000D68F8" w:rsidRPr="001A7586" w:rsidRDefault="000D68F8" w:rsidP="00AF18CF">
            <w:pPr>
              <w:spacing w:line="480" w:lineRule="auto"/>
            </w:pPr>
            <w:r w:rsidRPr="001A7586">
              <w:t>3</w:t>
            </w:r>
          </w:p>
        </w:tc>
      </w:tr>
      <w:tr w:rsidR="000D68F8" w:rsidRPr="001A7586" w14:paraId="627E24AD" w14:textId="77777777" w:rsidTr="00254DFF">
        <w:tc>
          <w:tcPr>
            <w:tcW w:w="1945" w:type="dxa"/>
          </w:tcPr>
          <w:p w14:paraId="45C03395" w14:textId="7ECC1D7F" w:rsidR="000D68F8" w:rsidRPr="001A7586" w:rsidRDefault="000D68F8" w:rsidP="00AF18CF">
            <w:pPr>
              <w:spacing w:line="480" w:lineRule="auto"/>
            </w:pPr>
            <w:r w:rsidRPr="001A7586">
              <w:t>Area 32</w:t>
            </w:r>
          </w:p>
        </w:tc>
        <w:tc>
          <w:tcPr>
            <w:tcW w:w="883" w:type="dxa"/>
          </w:tcPr>
          <w:p w14:paraId="7987BAF6" w14:textId="55EE940E" w:rsidR="000D68F8" w:rsidRPr="001A7586" w:rsidRDefault="0073220A" w:rsidP="00AF18CF">
            <w:pPr>
              <w:spacing w:line="480" w:lineRule="auto"/>
            </w:pPr>
            <w:r w:rsidRPr="001A7586">
              <w:t>6</w:t>
            </w:r>
          </w:p>
        </w:tc>
        <w:tc>
          <w:tcPr>
            <w:tcW w:w="884" w:type="dxa"/>
          </w:tcPr>
          <w:p w14:paraId="671C556B" w14:textId="12DFF06E" w:rsidR="000D68F8" w:rsidRPr="001A7586" w:rsidRDefault="0073220A" w:rsidP="00AF18CF">
            <w:pPr>
              <w:spacing w:line="480" w:lineRule="auto"/>
            </w:pPr>
            <w:r w:rsidRPr="001A7586">
              <w:t>3</w:t>
            </w:r>
          </w:p>
        </w:tc>
        <w:tc>
          <w:tcPr>
            <w:tcW w:w="884" w:type="dxa"/>
          </w:tcPr>
          <w:p w14:paraId="4505D2FF" w14:textId="0167C6C6" w:rsidR="000D68F8" w:rsidRPr="001A7586" w:rsidRDefault="0073220A" w:rsidP="00AF18CF">
            <w:pPr>
              <w:spacing w:line="480" w:lineRule="auto"/>
            </w:pPr>
            <w:r w:rsidRPr="001A7586">
              <w:t>NA</w:t>
            </w:r>
          </w:p>
        </w:tc>
        <w:tc>
          <w:tcPr>
            <w:tcW w:w="884" w:type="dxa"/>
          </w:tcPr>
          <w:p w14:paraId="0B7C5469" w14:textId="7349E22F" w:rsidR="000D68F8" w:rsidRPr="001A7586" w:rsidRDefault="000D68F8" w:rsidP="00AF18CF">
            <w:pPr>
              <w:spacing w:line="480" w:lineRule="auto"/>
            </w:pPr>
            <w:r w:rsidRPr="001A7586">
              <w:t>2</w:t>
            </w:r>
          </w:p>
        </w:tc>
        <w:tc>
          <w:tcPr>
            <w:tcW w:w="884" w:type="dxa"/>
          </w:tcPr>
          <w:p w14:paraId="3BBEF678" w14:textId="5AF876A6" w:rsidR="000D68F8" w:rsidRPr="001A7586" w:rsidRDefault="0073220A" w:rsidP="00AF18CF">
            <w:pPr>
              <w:spacing w:line="480" w:lineRule="auto"/>
            </w:pPr>
            <w:r w:rsidRPr="001A7586">
              <w:t>4</w:t>
            </w:r>
          </w:p>
        </w:tc>
        <w:tc>
          <w:tcPr>
            <w:tcW w:w="884" w:type="dxa"/>
          </w:tcPr>
          <w:p w14:paraId="28022785" w14:textId="599E3666" w:rsidR="000D68F8" w:rsidRPr="001A7586" w:rsidRDefault="0073220A" w:rsidP="00AF18CF">
            <w:pPr>
              <w:spacing w:line="480" w:lineRule="auto"/>
            </w:pPr>
            <w:r w:rsidRPr="001A7586">
              <w:t>NA</w:t>
            </w:r>
          </w:p>
        </w:tc>
        <w:tc>
          <w:tcPr>
            <w:tcW w:w="884" w:type="dxa"/>
          </w:tcPr>
          <w:p w14:paraId="75B2EF8E" w14:textId="50C299F1" w:rsidR="000D68F8" w:rsidRPr="001A7586" w:rsidRDefault="0073220A" w:rsidP="00AF18CF">
            <w:pPr>
              <w:spacing w:line="480" w:lineRule="auto"/>
            </w:pPr>
            <w:r w:rsidRPr="001A7586">
              <w:t>6</w:t>
            </w:r>
          </w:p>
        </w:tc>
        <w:tc>
          <w:tcPr>
            <w:tcW w:w="884" w:type="dxa"/>
          </w:tcPr>
          <w:p w14:paraId="6C9D1D69" w14:textId="7AD06A86" w:rsidR="000D68F8" w:rsidRPr="001A7586" w:rsidRDefault="000D68F8" w:rsidP="00AF18CF">
            <w:pPr>
              <w:spacing w:line="480" w:lineRule="auto"/>
            </w:pPr>
            <w:r w:rsidRPr="001A7586">
              <w:t>1</w:t>
            </w:r>
          </w:p>
        </w:tc>
      </w:tr>
    </w:tbl>
    <w:p w14:paraId="0E2B5B13" w14:textId="77777777" w:rsidR="00DF786F" w:rsidRPr="001A7586" w:rsidRDefault="00DF786F" w:rsidP="00DF786F">
      <w:pPr>
        <w:pStyle w:val="Default"/>
        <w:spacing w:line="480" w:lineRule="auto"/>
        <w:jc w:val="both"/>
        <w:rPr>
          <w:rFonts w:asciiTheme="minorHAnsi" w:hAnsiTheme="minorHAnsi" w:cstheme="minorBidi"/>
          <w:b/>
          <w:color w:val="auto"/>
          <w:sz w:val="22"/>
          <w:szCs w:val="22"/>
        </w:rPr>
      </w:pPr>
      <w:r w:rsidRPr="001A7586">
        <w:rPr>
          <w:b/>
          <w:sz w:val="22"/>
          <w:szCs w:val="22"/>
        </w:rPr>
        <w:t>Table 1. Summary of subjects that took part in the behavioral studies.</w:t>
      </w:r>
      <w:r w:rsidRPr="001A7586">
        <w:rPr>
          <w:sz w:val="22"/>
          <w:szCs w:val="22"/>
        </w:rPr>
        <w:t xml:space="preserve"> A tick indicates the subject took part in that phase of the study, and for Experiment 2a, the number in parentheses indicates the order in which the infusions were received. Subjects 3 and 6 only had cannulae targeting the aHipp as they underwent prefrontal microdialysis (not reported here). Post mortem histology for subject 5 revealed that their cannulae were not located in areas 25 or 32 and histology for subject 7 revealed that their cannulae were not located in area 25, therefore their data for these regions are excluded.  However the overall number of infusions they received in these areas is included for completeness (including other drug combinations that are not reported here).</w:t>
      </w:r>
    </w:p>
    <w:p w14:paraId="0A5D6ABE" w14:textId="77777777" w:rsidR="00DF786F" w:rsidRPr="001A7586" w:rsidRDefault="00DF786F" w:rsidP="00374C2F">
      <w:pPr>
        <w:spacing w:line="480" w:lineRule="auto"/>
        <w:jc w:val="both"/>
        <w:rPr>
          <w:b/>
        </w:rPr>
      </w:pPr>
    </w:p>
    <w:p w14:paraId="40DCEA12" w14:textId="77777777" w:rsidR="00DF786F" w:rsidRPr="00E20348" w:rsidRDefault="00DF786F" w:rsidP="00374C2F">
      <w:pPr>
        <w:spacing w:line="480" w:lineRule="auto"/>
        <w:jc w:val="both"/>
        <w:rPr>
          <w:b/>
        </w:rPr>
      </w:pPr>
    </w:p>
    <w:p w14:paraId="6C9C1C02" w14:textId="77777777" w:rsidR="00DF786F" w:rsidRPr="00E20348" w:rsidRDefault="00DF786F" w:rsidP="00374C2F">
      <w:pPr>
        <w:spacing w:line="480" w:lineRule="auto"/>
        <w:jc w:val="both"/>
        <w:rPr>
          <w:b/>
        </w:rPr>
      </w:pPr>
    </w:p>
    <w:p w14:paraId="634117C2" w14:textId="0217BB27" w:rsidR="00374C2F" w:rsidRPr="001A7586" w:rsidRDefault="00374C2F" w:rsidP="00374C2F">
      <w:pPr>
        <w:spacing w:line="480" w:lineRule="auto"/>
        <w:jc w:val="both"/>
      </w:pPr>
      <w:r w:rsidRPr="00E20348">
        <w:rPr>
          <w:b/>
        </w:rPr>
        <w:t xml:space="preserve">Table 2. </w:t>
      </w:r>
    </w:p>
    <w:tbl>
      <w:tblPr>
        <w:tblStyle w:val="TableGrid"/>
        <w:tblW w:w="0" w:type="auto"/>
        <w:tblLook w:val="04A0" w:firstRow="1" w:lastRow="0" w:firstColumn="1" w:lastColumn="0" w:noHBand="0" w:noVBand="1"/>
      </w:tblPr>
      <w:tblGrid>
        <w:gridCol w:w="2254"/>
        <w:gridCol w:w="2254"/>
      </w:tblGrid>
      <w:tr w:rsidR="00BE03FA" w:rsidRPr="001A7586" w14:paraId="1281D3BC" w14:textId="77777777" w:rsidTr="008B4960">
        <w:tc>
          <w:tcPr>
            <w:tcW w:w="2254" w:type="dxa"/>
          </w:tcPr>
          <w:p w14:paraId="19D9064E" w14:textId="6A6FA7E5" w:rsidR="00BE03FA" w:rsidRPr="00E20348" w:rsidRDefault="00D8399B" w:rsidP="008B4960">
            <w:r w:rsidRPr="001A7586">
              <w:t>Behavior</w:t>
            </w:r>
          </w:p>
        </w:tc>
        <w:tc>
          <w:tcPr>
            <w:tcW w:w="2254" w:type="dxa"/>
          </w:tcPr>
          <w:p w14:paraId="35D39EDA" w14:textId="77777777" w:rsidR="00BE03FA" w:rsidRPr="00E20348" w:rsidRDefault="00BE03FA" w:rsidP="008B4960">
            <w:r w:rsidRPr="00E20348">
              <w:t>Proportional loading onto anxiety factor</w:t>
            </w:r>
          </w:p>
        </w:tc>
      </w:tr>
      <w:tr w:rsidR="00BE03FA" w:rsidRPr="001A7586" w14:paraId="550B6BB7" w14:textId="77777777" w:rsidTr="008B4960">
        <w:tc>
          <w:tcPr>
            <w:tcW w:w="2254" w:type="dxa"/>
          </w:tcPr>
          <w:p w14:paraId="19A4922A" w14:textId="77777777" w:rsidR="00BE03FA" w:rsidRPr="00E20348" w:rsidRDefault="00BE03FA" w:rsidP="008B4960">
            <w:r w:rsidRPr="001A7586">
              <w:t>Average height</w:t>
            </w:r>
          </w:p>
        </w:tc>
        <w:tc>
          <w:tcPr>
            <w:tcW w:w="2254" w:type="dxa"/>
          </w:tcPr>
          <w:p w14:paraId="598817F1" w14:textId="77777777" w:rsidR="00BE03FA" w:rsidRPr="00E20348" w:rsidRDefault="00BE03FA" w:rsidP="008B4960">
            <w:r w:rsidRPr="00E20348">
              <w:t>0.816</w:t>
            </w:r>
          </w:p>
        </w:tc>
      </w:tr>
      <w:tr w:rsidR="00BE03FA" w:rsidRPr="001A7586" w14:paraId="4AF1DC17" w14:textId="77777777" w:rsidTr="008B4960">
        <w:tc>
          <w:tcPr>
            <w:tcW w:w="2254" w:type="dxa"/>
          </w:tcPr>
          <w:p w14:paraId="32302C4A" w14:textId="77777777" w:rsidR="00BE03FA" w:rsidRPr="00E20348" w:rsidRDefault="00BE03FA" w:rsidP="008B4960">
            <w:r w:rsidRPr="001A7586">
              <w:t>Bobs</w:t>
            </w:r>
          </w:p>
        </w:tc>
        <w:tc>
          <w:tcPr>
            <w:tcW w:w="2254" w:type="dxa"/>
          </w:tcPr>
          <w:p w14:paraId="7D1FE06E" w14:textId="77777777" w:rsidR="00BE03FA" w:rsidRPr="00E20348" w:rsidRDefault="00BE03FA" w:rsidP="008B4960">
            <w:r w:rsidRPr="00E20348">
              <w:t>0.769</w:t>
            </w:r>
          </w:p>
        </w:tc>
      </w:tr>
      <w:tr w:rsidR="00BE03FA" w:rsidRPr="001A7586" w14:paraId="08C5DC01" w14:textId="77777777" w:rsidTr="008B4960">
        <w:tc>
          <w:tcPr>
            <w:tcW w:w="2254" w:type="dxa"/>
          </w:tcPr>
          <w:p w14:paraId="3B952936" w14:textId="77777777" w:rsidR="00BE03FA" w:rsidRPr="00E20348" w:rsidRDefault="00BE03FA" w:rsidP="008B4960">
            <w:r w:rsidRPr="001A7586">
              <w:t>Time spent at back</w:t>
            </w:r>
          </w:p>
        </w:tc>
        <w:tc>
          <w:tcPr>
            <w:tcW w:w="2254" w:type="dxa"/>
          </w:tcPr>
          <w:p w14:paraId="645AC1B3" w14:textId="77777777" w:rsidR="00BE03FA" w:rsidRPr="00E20348" w:rsidRDefault="00BE03FA" w:rsidP="008B4960">
            <w:r w:rsidRPr="00E20348">
              <w:t>0.688</w:t>
            </w:r>
          </w:p>
        </w:tc>
      </w:tr>
      <w:tr w:rsidR="00BE03FA" w:rsidRPr="001A7586" w14:paraId="6FDD6E01" w14:textId="77777777" w:rsidTr="008B4960">
        <w:tc>
          <w:tcPr>
            <w:tcW w:w="2254" w:type="dxa"/>
          </w:tcPr>
          <w:p w14:paraId="2995BC06" w14:textId="77777777" w:rsidR="00BE03FA" w:rsidRPr="00E20348" w:rsidRDefault="00BE03FA" w:rsidP="008B4960">
            <w:r w:rsidRPr="001A7586">
              <w:t>Tse egg calls</w:t>
            </w:r>
          </w:p>
        </w:tc>
        <w:tc>
          <w:tcPr>
            <w:tcW w:w="2254" w:type="dxa"/>
          </w:tcPr>
          <w:p w14:paraId="705B0BB7" w14:textId="77777777" w:rsidR="00BE03FA" w:rsidRPr="00E20348" w:rsidRDefault="00BE03FA" w:rsidP="008B4960">
            <w:r w:rsidRPr="00E20348">
              <w:t>0.417</w:t>
            </w:r>
          </w:p>
        </w:tc>
      </w:tr>
      <w:tr w:rsidR="00BE03FA" w:rsidRPr="001A7586" w14:paraId="39AB77F5" w14:textId="77777777" w:rsidTr="008B4960">
        <w:tc>
          <w:tcPr>
            <w:tcW w:w="2254" w:type="dxa"/>
          </w:tcPr>
          <w:p w14:paraId="1CD20664" w14:textId="77777777" w:rsidR="00BE03FA" w:rsidRPr="00E20348" w:rsidRDefault="00BE03FA" w:rsidP="008B4960">
            <w:r w:rsidRPr="001A7586">
              <w:t>Egg calls</w:t>
            </w:r>
          </w:p>
        </w:tc>
        <w:tc>
          <w:tcPr>
            <w:tcW w:w="2254" w:type="dxa"/>
          </w:tcPr>
          <w:p w14:paraId="404BDEB4" w14:textId="77777777" w:rsidR="00BE03FA" w:rsidRPr="00E20348" w:rsidRDefault="00BE03FA" w:rsidP="008B4960">
            <w:r w:rsidRPr="00E20348">
              <w:t>0.332</w:t>
            </w:r>
          </w:p>
        </w:tc>
      </w:tr>
      <w:tr w:rsidR="00BE03FA" w:rsidRPr="001A7586" w14:paraId="64CC5E4E" w14:textId="77777777" w:rsidTr="008B4960">
        <w:tc>
          <w:tcPr>
            <w:tcW w:w="2254" w:type="dxa"/>
          </w:tcPr>
          <w:p w14:paraId="0225C04F" w14:textId="77777777" w:rsidR="00BE03FA" w:rsidRPr="00E20348" w:rsidRDefault="00BE03FA" w:rsidP="008B4960">
            <w:r w:rsidRPr="001A7586">
              <w:t>Tsik egg calls</w:t>
            </w:r>
          </w:p>
        </w:tc>
        <w:tc>
          <w:tcPr>
            <w:tcW w:w="2254" w:type="dxa"/>
          </w:tcPr>
          <w:p w14:paraId="7D4F430E" w14:textId="77777777" w:rsidR="00BE03FA" w:rsidRPr="00E20348" w:rsidRDefault="00BE03FA" w:rsidP="008B4960">
            <w:r w:rsidRPr="00E20348">
              <w:t>0.323</w:t>
            </w:r>
          </w:p>
        </w:tc>
      </w:tr>
      <w:tr w:rsidR="00BE03FA" w:rsidRPr="001A7586" w14:paraId="31C908D1" w14:textId="77777777" w:rsidTr="008B4960">
        <w:tc>
          <w:tcPr>
            <w:tcW w:w="2254" w:type="dxa"/>
          </w:tcPr>
          <w:p w14:paraId="0F4ACE99" w14:textId="77777777" w:rsidR="00BE03FA" w:rsidRPr="00E20348" w:rsidRDefault="00BE03FA" w:rsidP="008B4960">
            <w:r w:rsidRPr="001A7586">
              <w:t>Tsik calls</w:t>
            </w:r>
          </w:p>
        </w:tc>
        <w:tc>
          <w:tcPr>
            <w:tcW w:w="2254" w:type="dxa"/>
          </w:tcPr>
          <w:p w14:paraId="43E48B83" w14:textId="77777777" w:rsidR="00BE03FA" w:rsidRPr="00E20348" w:rsidRDefault="00BE03FA" w:rsidP="008B4960">
            <w:r w:rsidRPr="00E20348">
              <w:t>-0.091</w:t>
            </w:r>
          </w:p>
        </w:tc>
      </w:tr>
      <w:tr w:rsidR="00BE03FA" w:rsidRPr="001A7586" w14:paraId="5CA636AE" w14:textId="77777777" w:rsidTr="008B4960">
        <w:tc>
          <w:tcPr>
            <w:tcW w:w="2254" w:type="dxa"/>
          </w:tcPr>
          <w:p w14:paraId="086406CE" w14:textId="77777777" w:rsidR="00BE03FA" w:rsidRPr="00E20348" w:rsidRDefault="00BE03FA" w:rsidP="008B4960">
            <w:r w:rsidRPr="001A7586">
              <w:t>Locomotion</w:t>
            </w:r>
          </w:p>
        </w:tc>
        <w:tc>
          <w:tcPr>
            <w:tcW w:w="2254" w:type="dxa"/>
          </w:tcPr>
          <w:p w14:paraId="0065CE41" w14:textId="77777777" w:rsidR="00BE03FA" w:rsidRPr="00E20348" w:rsidRDefault="00BE03FA" w:rsidP="008B4960">
            <w:r w:rsidRPr="00E20348">
              <w:t>-0.568</w:t>
            </w:r>
          </w:p>
        </w:tc>
      </w:tr>
      <w:tr w:rsidR="00BE03FA" w:rsidRPr="001A7586" w14:paraId="68CAE1F6" w14:textId="77777777" w:rsidTr="008B4960">
        <w:tc>
          <w:tcPr>
            <w:tcW w:w="2254" w:type="dxa"/>
          </w:tcPr>
          <w:p w14:paraId="6F8C8B59" w14:textId="77777777" w:rsidR="00BE03FA" w:rsidRPr="00E20348" w:rsidRDefault="00BE03FA" w:rsidP="008B4960">
            <w:r w:rsidRPr="001A7586">
              <w:t xml:space="preserve">Time spent at </w:t>
            </w:r>
            <w:r w:rsidRPr="00E20348">
              <w:t>front</w:t>
            </w:r>
          </w:p>
        </w:tc>
        <w:tc>
          <w:tcPr>
            <w:tcW w:w="2254" w:type="dxa"/>
          </w:tcPr>
          <w:p w14:paraId="7DCAD143" w14:textId="77777777" w:rsidR="00BE03FA" w:rsidRPr="001A7586" w:rsidRDefault="00BE03FA" w:rsidP="008B4960">
            <w:r w:rsidRPr="00E20348">
              <w:t>-0.790</w:t>
            </w:r>
          </w:p>
        </w:tc>
      </w:tr>
    </w:tbl>
    <w:p w14:paraId="2BF9BC06" w14:textId="586B27CD" w:rsidR="00A84E47" w:rsidRPr="001A7586" w:rsidRDefault="00DF786F" w:rsidP="00DF786F">
      <w:pPr>
        <w:spacing w:line="480" w:lineRule="auto"/>
        <w:jc w:val="both"/>
      </w:pPr>
      <w:r w:rsidRPr="001A7586">
        <w:rPr>
          <w:b/>
        </w:rPr>
        <w:t>Table 2</w:t>
      </w:r>
      <w:r w:rsidRPr="00E20348">
        <w:rPr>
          <w:b/>
        </w:rPr>
        <w:t xml:space="preserve">. Factor loadings of individual </w:t>
      </w:r>
      <w:r w:rsidR="00D8399B" w:rsidRPr="00E20348">
        <w:rPr>
          <w:b/>
        </w:rPr>
        <w:t>behavior</w:t>
      </w:r>
      <w:r w:rsidRPr="00E20348">
        <w:rPr>
          <w:b/>
        </w:rPr>
        <w:t xml:space="preserve">s within the EFA. </w:t>
      </w:r>
      <w:r w:rsidR="00374C2F" w:rsidRPr="00E20348">
        <w:t xml:space="preserve">The pattern in which these individual </w:t>
      </w:r>
      <w:r w:rsidR="00D8399B" w:rsidRPr="00E20348">
        <w:t>behavior</w:t>
      </w:r>
      <w:r w:rsidR="00374C2F" w:rsidRPr="00E20348">
        <w:t>s load onto this EFA factor suggest that it represents the marmosets’ anxiety towards the intruder with a high factor score representing an animal high up and at the back of cage, far away from the intruder, remaining relatively still and performing a lot of head bobs, indicative of high anxiety.</w:t>
      </w:r>
    </w:p>
    <w:p w14:paraId="281CB060" w14:textId="77777777" w:rsidR="00DF786F" w:rsidRPr="001A7586" w:rsidRDefault="00DF786F" w:rsidP="00DF786F">
      <w:pPr>
        <w:spacing w:line="480" w:lineRule="auto"/>
        <w:rPr>
          <w:b/>
        </w:rPr>
      </w:pPr>
    </w:p>
    <w:p w14:paraId="485980CB" w14:textId="77777777" w:rsidR="00DF786F" w:rsidRPr="001A7586" w:rsidRDefault="00DF786F" w:rsidP="00DF786F">
      <w:pPr>
        <w:spacing w:line="480" w:lineRule="auto"/>
        <w:rPr>
          <w:b/>
        </w:rPr>
      </w:pPr>
    </w:p>
    <w:p w14:paraId="06C81D6F" w14:textId="77777777" w:rsidR="00DF786F" w:rsidRPr="001A7586" w:rsidRDefault="00DF786F" w:rsidP="00DF786F">
      <w:pPr>
        <w:spacing w:line="480" w:lineRule="auto"/>
        <w:rPr>
          <w:b/>
        </w:rPr>
      </w:pPr>
    </w:p>
    <w:p w14:paraId="6EDCA068" w14:textId="77777777" w:rsidR="00DF786F" w:rsidRPr="001A7586" w:rsidRDefault="00DF786F" w:rsidP="00DF786F">
      <w:pPr>
        <w:spacing w:line="480" w:lineRule="auto"/>
        <w:rPr>
          <w:b/>
        </w:rPr>
      </w:pPr>
    </w:p>
    <w:p w14:paraId="2A3451E7" w14:textId="77777777" w:rsidR="00DF786F" w:rsidRPr="001A7586" w:rsidRDefault="00DF786F" w:rsidP="00DF786F">
      <w:pPr>
        <w:spacing w:line="480" w:lineRule="auto"/>
        <w:rPr>
          <w:b/>
        </w:rPr>
      </w:pPr>
    </w:p>
    <w:p w14:paraId="6C4116FD" w14:textId="7A1B0E09" w:rsidR="00DF786F" w:rsidRPr="001A7586" w:rsidRDefault="00374C2F" w:rsidP="00DF786F">
      <w:pPr>
        <w:spacing w:line="480" w:lineRule="auto"/>
        <w:rPr>
          <w:b/>
        </w:rPr>
      </w:pPr>
      <w:r w:rsidRPr="001A7586">
        <w:rPr>
          <w:b/>
        </w:rPr>
        <w:t xml:space="preserve">Table 3. </w:t>
      </w:r>
    </w:p>
    <w:tbl>
      <w:tblPr>
        <w:tblStyle w:val="TableGrid"/>
        <w:tblW w:w="0" w:type="auto"/>
        <w:tblLook w:val="04A0" w:firstRow="1" w:lastRow="0" w:firstColumn="1" w:lastColumn="0" w:noHBand="0" w:noVBand="1"/>
      </w:tblPr>
      <w:tblGrid>
        <w:gridCol w:w="1555"/>
        <w:gridCol w:w="1243"/>
        <w:gridCol w:w="1244"/>
        <w:gridCol w:w="1243"/>
        <w:gridCol w:w="1244"/>
        <w:gridCol w:w="1243"/>
        <w:gridCol w:w="1244"/>
      </w:tblGrid>
      <w:tr w:rsidR="00A84E47" w:rsidRPr="001A7586" w14:paraId="31F0E7AF" w14:textId="77777777" w:rsidTr="00E77A23">
        <w:trPr>
          <w:trHeight w:val="274"/>
        </w:trPr>
        <w:tc>
          <w:tcPr>
            <w:tcW w:w="1555" w:type="dxa"/>
          </w:tcPr>
          <w:p w14:paraId="5E8A480A" w14:textId="77777777" w:rsidR="00A84E47" w:rsidRPr="001A7586" w:rsidRDefault="00A84E47" w:rsidP="00A84E47">
            <w:pPr>
              <w:spacing w:line="480" w:lineRule="auto"/>
              <w:jc w:val="both"/>
              <w:rPr>
                <w:bCs/>
                <w:color w:val="000000" w:themeColor="text1"/>
                <w:sz w:val="20"/>
                <w:szCs w:val="20"/>
              </w:rPr>
            </w:pPr>
          </w:p>
        </w:tc>
        <w:tc>
          <w:tcPr>
            <w:tcW w:w="2487" w:type="dxa"/>
            <w:gridSpan w:val="2"/>
          </w:tcPr>
          <w:p w14:paraId="79FA9DDE" w14:textId="77777777" w:rsidR="00A84E47" w:rsidRPr="001A7586" w:rsidRDefault="00A84E47" w:rsidP="00A84E47">
            <w:pPr>
              <w:spacing w:line="480" w:lineRule="auto"/>
              <w:jc w:val="both"/>
              <w:rPr>
                <w:b/>
                <w:bCs/>
                <w:color w:val="000000" w:themeColor="text1"/>
                <w:sz w:val="20"/>
                <w:szCs w:val="20"/>
              </w:rPr>
            </w:pPr>
            <w:r w:rsidRPr="001A7586">
              <w:rPr>
                <w:b/>
                <w:bCs/>
                <w:color w:val="000000" w:themeColor="text1"/>
                <w:sz w:val="20"/>
                <w:szCs w:val="20"/>
              </w:rPr>
              <w:t>Dopamine</w:t>
            </w:r>
          </w:p>
        </w:tc>
        <w:tc>
          <w:tcPr>
            <w:tcW w:w="2487" w:type="dxa"/>
            <w:gridSpan w:val="2"/>
          </w:tcPr>
          <w:p w14:paraId="1E873F9E" w14:textId="77777777" w:rsidR="00A84E47" w:rsidRPr="001A7586" w:rsidRDefault="00A84E47" w:rsidP="00A84E47">
            <w:pPr>
              <w:spacing w:line="480" w:lineRule="auto"/>
              <w:jc w:val="both"/>
              <w:rPr>
                <w:b/>
                <w:bCs/>
                <w:color w:val="000000" w:themeColor="text1"/>
                <w:sz w:val="20"/>
                <w:szCs w:val="20"/>
              </w:rPr>
            </w:pPr>
            <w:r w:rsidRPr="001A7586">
              <w:rPr>
                <w:b/>
                <w:bCs/>
                <w:color w:val="000000" w:themeColor="text1"/>
                <w:sz w:val="20"/>
                <w:szCs w:val="20"/>
              </w:rPr>
              <w:t>Serotonin</w:t>
            </w:r>
          </w:p>
        </w:tc>
        <w:tc>
          <w:tcPr>
            <w:tcW w:w="2487" w:type="dxa"/>
            <w:gridSpan w:val="2"/>
          </w:tcPr>
          <w:p w14:paraId="45A04E84" w14:textId="77777777" w:rsidR="00A84E47" w:rsidRPr="001A7586" w:rsidRDefault="00A84E47" w:rsidP="00A84E47">
            <w:pPr>
              <w:spacing w:line="480" w:lineRule="auto"/>
              <w:jc w:val="both"/>
              <w:rPr>
                <w:b/>
                <w:bCs/>
                <w:color w:val="000000" w:themeColor="text1"/>
                <w:sz w:val="20"/>
                <w:szCs w:val="20"/>
              </w:rPr>
            </w:pPr>
            <w:r w:rsidRPr="001A7586">
              <w:rPr>
                <w:b/>
                <w:bCs/>
                <w:color w:val="000000" w:themeColor="text1"/>
                <w:sz w:val="20"/>
                <w:szCs w:val="20"/>
              </w:rPr>
              <w:t>Noradrenaline</w:t>
            </w:r>
          </w:p>
        </w:tc>
      </w:tr>
      <w:tr w:rsidR="00A84E47" w:rsidRPr="001A7586" w14:paraId="5F1A2AD7" w14:textId="77777777" w:rsidTr="00E77A23">
        <w:trPr>
          <w:trHeight w:val="274"/>
        </w:trPr>
        <w:tc>
          <w:tcPr>
            <w:tcW w:w="1555" w:type="dxa"/>
          </w:tcPr>
          <w:p w14:paraId="01F4F43A" w14:textId="77777777" w:rsidR="00A84E47" w:rsidRPr="001A7586" w:rsidRDefault="00A84E47" w:rsidP="00A84E47">
            <w:pPr>
              <w:spacing w:line="480" w:lineRule="auto"/>
              <w:jc w:val="center"/>
              <w:rPr>
                <w:bCs/>
                <w:color w:val="000000" w:themeColor="text1"/>
                <w:sz w:val="20"/>
                <w:szCs w:val="20"/>
              </w:rPr>
            </w:pPr>
            <w:r w:rsidRPr="001A7586">
              <w:rPr>
                <w:bCs/>
                <w:color w:val="000000" w:themeColor="text1"/>
                <w:sz w:val="20"/>
                <w:szCs w:val="20"/>
              </w:rPr>
              <w:t>aHipp</w:t>
            </w:r>
          </w:p>
        </w:tc>
        <w:tc>
          <w:tcPr>
            <w:tcW w:w="1243" w:type="dxa"/>
          </w:tcPr>
          <w:p w14:paraId="2D4A0BC5" w14:textId="77777777" w:rsidR="00A84E47" w:rsidRPr="001A7586" w:rsidRDefault="00A84E47" w:rsidP="00A84E47">
            <w:pPr>
              <w:spacing w:line="480" w:lineRule="auto"/>
              <w:jc w:val="both"/>
              <w:rPr>
                <w:b/>
                <w:bCs/>
                <w:color w:val="000000" w:themeColor="text1"/>
                <w:sz w:val="20"/>
                <w:szCs w:val="20"/>
              </w:rPr>
            </w:pPr>
            <w:r w:rsidRPr="001A7586">
              <w:rPr>
                <w:b/>
                <w:bCs/>
                <w:color w:val="000000" w:themeColor="text1"/>
                <w:sz w:val="20"/>
                <w:szCs w:val="20"/>
              </w:rPr>
              <w:t>L</w:t>
            </w:r>
          </w:p>
        </w:tc>
        <w:tc>
          <w:tcPr>
            <w:tcW w:w="1244" w:type="dxa"/>
          </w:tcPr>
          <w:p w14:paraId="0CB24EFA" w14:textId="77777777" w:rsidR="00A84E47" w:rsidRPr="001A7586" w:rsidRDefault="00A84E47" w:rsidP="00A84E47">
            <w:pPr>
              <w:spacing w:line="480" w:lineRule="auto"/>
              <w:jc w:val="both"/>
              <w:rPr>
                <w:b/>
                <w:bCs/>
                <w:color w:val="000000" w:themeColor="text1"/>
                <w:sz w:val="20"/>
                <w:szCs w:val="20"/>
              </w:rPr>
            </w:pPr>
            <w:r w:rsidRPr="001A7586">
              <w:rPr>
                <w:b/>
                <w:bCs/>
                <w:color w:val="000000" w:themeColor="text1"/>
                <w:sz w:val="20"/>
                <w:szCs w:val="20"/>
              </w:rPr>
              <w:t>R</w:t>
            </w:r>
          </w:p>
        </w:tc>
        <w:tc>
          <w:tcPr>
            <w:tcW w:w="1243" w:type="dxa"/>
          </w:tcPr>
          <w:p w14:paraId="2F8C7F19" w14:textId="77777777" w:rsidR="00A84E47" w:rsidRPr="001A7586" w:rsidRDefault="00A84E47" w:rsidP="00A84E47">
            <w:pPr>
              <w:spacing w:line="480" w:lineRule="auto"/>
              <w:jc w:val="both"/>
              <w:rPr>
                <w:b/>
                <w:bCs/>
                <w:color w:val="000000" w:themeColor="text1"/>
                <w:sz w:val="20"/>
                <w:szCs w:val="20"/>
              </w:rPr>
            </w:pPr>
            <w:r w:rsidRPr="001A7586">
              <w:rPr>
                <w:b/>
                <w:bCs/>
                <w:color w:val="000000" w:themeColor="text1"/>
                <w:sz w:val="20"/>
                <w:szCs w:val="20"/>
              </w:rPr>
              <w:t>L</w:t>
            </w:r>
          </w:p>
        </w:tc>
        <w:tc>
          <w:tcPr>
            <w:tcW w:w="1244" w:type="dxa"/>
          </w:tcPr>
          <w:p w14:paraId="3BF4B75A" w14:textId="77777777" w:rsidR="00A84E47" w:rsidRPr="001A7586" w:rsidRDefault="00A84E47" w:rsidP="00A84E47">
            <w:pPr>
              <w:spacing w:line="480" w:lineRule="auto"/>
              <w:jc w:val="both"/>
              <w:rPr>
                <w:b/>
                <w:bCs/>
                <w:color w:val="000000" w:themeColor="text1"/>
                <w:sz w:val="20"/>
                <w:szCs w:val="20"/>
              </w:rPr>
            </w:pPr>
            <w:r w:rsidRPr="001A7586">
              <w:rPr>
                <w:b/>
                <w:bCs/>
                <w:color w:val="000000" w:themeColor="text1"/>
                <w:sz w:val="20"/>
                <w:szCs w:val="20"/>
              </w:rPr>
              <w:t>R</w:t>
            </w:r>
          </w:p>
        </w:tc>
        <w:tc>
          <w:tcPr>
            <w:tcW w:w="1243" w:type="dxa"/>
          </w:tcPr>
          <w:p w14:paraId="362AC64C" w14:textId="77777777" w:rsidR="00A84E47" w:rsidRPr="001A7586" w:rsidRDefault="00A84E47" w:rsidP="00A84E47">
            <w:pPr>
              <w:spacing w:line="480" w:lineRule="auto"/>
              <w:jc w:val="both"/>
              <w:rPr>
                <w:b/>
                <w:bCs/>
                <w:color w:val="000000" w:themeColor="text1"/>
                <w:sz w:val="20"/>
                <w:szCs w:val="20"/>
              </w:rPr>
            </w:pPr>
            <w:r w:rsidRPr="001A7586">
              <w:rPr>
                <w:b/>
                <w:bCs/>
                <w:color w:val="000000" w:themeColor="text1"/>
                <w:sz w:val="20"/>
                <w:szCs w:val="20"/>
              </w:rPr>
              <w:t>L</w:t>
            </w:r>
          </w:p>
        </w:tc>
        <w:tc>
          <w:tcPr>
            <w:tcW w:w="1244" w:type="dxa"/>
          </w:tcPr>
          <w:p w14:paraId="220619D8" w14:textId="77777777" w:rsidR="00A84E47" w:rsidRPr="001A7586" w:rsidRDefault="00A84E47" w:rsidP="00A84E47">
            <w:pPr>
              <w:spacing w:line="480" w:lineRule="auto"/>
              <w:jc w:val="both"/>
              <w:rPr>
                <w:b/>
                <w:bCs/>
                <w:color w:val="000000" w:themeColor="text1"/>
                <w:sz w:val="20"/>
                <w:szCs w:val="20"/>
              </w:rPr>
            </w:pPr>
            <w:r w:rsidRPr="001A7586">
              <w:rPr>
                <w:b/>
                <w:bCs/>
                <w:color w:val="000000" w:themeColor="text1"/>
                <w:sz w:val="20"/>
                <w:szCs w:val="20"/>
              </w:rPr>
              <w:t>R</w:t>
            </w:r>
          </w:p>
        </w:tc>
      </w:tr>
      <w:tr w:rsidR="00A84E47" w:rsidRPr="001A7586" w14:paraId="195A201C" w14:textId="77777777" w:rsidTr="00E77A23">
        <w:tc>
          <w:tcPr>
            <w:tcW w:w="1555" w:type="dxa"/>
          </w:tcPr>
          <w:p w14:paraId="09EA5CDD"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 xml:space="preserve">EFA score  </w:t>
            </w:r>
          </w:p>
        </w:tc>
        <w:tc>
          <w:tcPr>
            <w:tcW w:w="1243" w:type="dxa"/>
          </w:tcPr>
          <w:p w14:paraId="7EF94D31"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=0.332,   P = 0.291</w:t>
            </w:r>
          </w:p>
        </w:tc>
        <w:tc>
          <w:tcPr>
            <w:tcW w:w="1244" w:type="dxa"/>
          </w:tcPr>
          <w:p w14:paraId="3D1358DF"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=-0.072,   P = 0.825</w:t>
            </w:r>
          </w:p>
        </w:tc>
        <w:tc>
          <w:tcPr>
            <w:tcW w:w="1243" w:type="dxa"/>
          </w:tcPr>
          <w:p w14:paraId="2A453775"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=0.026,   P = 0.935</w:t>
            </w:r>
          </w:p>
        </w:tc>
        <w:tc>
          <w:tcPr>
            <w:tcW w:w="1244" w:type="dxa"/>
          </w:tcPr>
          <w:p w14:paraId="3C6D522E"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=0.271,   P = 0.394</w:t>
            </w:r>
          </w:p>
        </w:tc>
        <w:tc>
          <w:tcPr>
            <w:tcW w:w="1243" w:type="dxa"/>
          </w:tcPr>
          <w:p w14:paraId="48F67DE9"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=0.021,   P = 0.949</w:t>
            </w:r>
          </w:p>
        </w:tc>
        <w:tc>
          <w:tcPr>
            <w:tcW w:w="1244" w:type="dxa"/>
          </w:tcPr>
          <w:p w14:paraId="33492D43"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=-0.127,   P = 0.694</w:t>
            </w:r>
          </w:p>
        </w:tc>
      </w:tr>
      <w:tr w:rsidR="00A84E47" w:rsidRPr="001A7586" w14:paraId="45730E6A" w14:textId="77777777" w:rsidTr="00E77A23">
        <w:tc>
          <w:tcPr>
            <w:tcW w:w="9016" w:type="dxa"/>
            <w:gridSpan w:val="7"/>
          </w:tcPr>
          <w:p w14:paraId="318E9190" w14:textId="77777777" w:rsidR="00A84E47" w:rsidRPr="001A7586" w:rsidRDefault="00A84E47" w:rsidP="00A84E47">
            <w:pPr>
              <w:spacing w:line="480" w:lineRule="auto"/>
              <w:jc w:val="both"/>
              <w:rPr>
                <w:bCs/>
                <w:color w:val="000000" w:themeColor="text1"/>
                <w:sz w:val="20"/>
                <w:szCs w:val="20"/>
              </w:rPr>
            </w:pPr>
            <w:r w:rsidRPr="001A7586">
              <w:rPr>
                <w:bCs/>
                <w:i/>
                <w:color w:val="000000" w:themeColor="text1"/>
                <w:sz w:val="20"/>
                <w:szCs w:val="20"/>
              </w:rPr>
              <w:t>% in depth zones</w:t>
            </w:r>
          </w:p>
        </w:tc>
      </w:tr>
      <w:tr w:rsidR="00A84E47" w:rsidRPr="001A7586" w14:paraId="36390644" w14:textId="77777777" w:rsidTr="00E77A23">
        <w:trPr>
          <w:trHeight w:val="525"/>
        </w:trPr>
        <w:tc>
          <w:tcPr>
            <w:tcW w:w="1555" w:type="dxa"/>
          </w:tcPr>
          <w:p w14:paraId="69FCCED3" w14:textId="77777777" w:rsidR="00A84E47" w:rsidRPr="001A7586" w:rsidRDefault="00A84E47" w:rsidP="00A84E47">
            <w:pPr>
              <w:spacing w:line="480" w:lineRule="auto"/>
              <w:jc w:val="both"/>
              <w:rPr>
                <w:bCs/>
                <w:color w:val="000000" w:themeColor="text1"/>
                <w:sz w:val="20"/>
                <w:szCs w:val="20"/>
              </w:rPr>
            </w:pPr>
            <w:r w:rsidRPr="001A7586">
              <w:rPr>
                <w:b/>
                <w:bCs/>
                <w:color w:val="000000" w:themeColor="text1"/>
                <w:sz w:val="20"/>
                <w:szCs w:val="20"/>
              </w:rPr>
              <w:t>Front</w:t>
            </w:r>
          </w:p>
        </w:tc>
        <w:tc>
          <w:tcPr>
            <w:tcW w:w="1243" w:type="dxa"/>
          </w:tcPr>
          <w:p w14:paraId="22975816"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=-0.362,   P = 0.247</w:t>
            </w:r>
          </w:p>
        </w:tc>
        <w:tc>
          <w:tcPr>
            <w:tcW w:w="1244" w:type="dxa"/>
          </w:tcPr>
          <w:p w14:paraId="231AF8E5"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=0.227,   P = 0.479</w:t>
            </w:r>
          </w:p>
        </w:tc>
        <w:tc>
          <w:tcPr>
            <w:tcW w:w="1243" w:type="dxa"/>
          </w:tcPr>
          <w:p w14:paraId="5CCB25CF"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=0.016,   P = 0.960</w:t>
            </w:r>
          </w:p>
        </w:tc>
        <w:tc>
          <w:tcPr>
            <w:tcW w:w="1244" w:type="dxa"/>
          </w:tcPr>
          <w:p w14:paraId="78764E03"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=-0.362, P = 0.247</w:t>
            </w:r>
          </w:p>
        </w:tc>
        <w:tc>
          <w:tcPr>
            <w:tcW w:w="1243" w:type="dxa"/>
          </w:tcPr>
          <w:p w14:paraId="6D9BC4CB"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=0.053,   P = 0.869</w:t>
            </w:r>
          </w:p>
        </w:tc>
        <w:tc>
          <w:tcPr>
            <w:tcW w:w="1244" w:type="dxa"/>
          </w:tcPr>
          <w:p w14:paraId="0BD99BC2"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=-0.239,   P = 0.454</w:t>
            </w:r>
          </w:p>
        </w:tc>
      </w:tr>
      <w:tr w:rsidR="00A84E47" w:rsidRPr="001A7586" w14:paraId="5F52E180" w14:textId="77777777" w:rsidTr="00E77A23">
        <w:tc>
          <w:tcPr>
            <w:tcW w:w="1555" w:type="dxa"/>
          </w:tcPr>
          <w:p w14:paraId="44B23FA9"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Middle</w:t>
            </w:r>
          </w:p>
        </w:tc>
        <w:tc>
          <w:tcPr>
            <w:tcW w:w="1243" w:type="dxa"/>
          </w:tcPr>
          <w:p w14:paraId="054111E3"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=0.035,   P = 0.913</w:t>
            </w:r>
          </w:p>
        </w:tc>
        <w:tc>
          <w:tcPr>
            <w:tcW w:w="1244" w:type="dxa"/>
          </w:tcPr>
          <w:p w14:paraId="2C57DCA0"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=-0.141,   P = 0.661</w:t>
            </w:r>
          </w:p>
        </w:tc>
        <w:tc>
          <w:tcPr>
            <w:tcW w:w="1243" w:type="dxa"/>
          </w:tcPr>
          <w:p w14:paraId="41B7B194"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=0.197,   P = 0.540</w:t>
            </w:r>
          </w:p>
        </w:tc>
        <w:tc>
          <w:tcPr>
            <w:tcW w:w="1244" w:type="dxa"/>
          </w:tcPr>
          <w:p w14:paraId="3F24513C"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=0.678,   P = 0.015</w:t>
            </w:r>
          </w:p>
        </w:tc>
        <w:tc>
          <w:tcPr>
            <w:tcW w:w="1243" w:type="dxa"/>
          </w:tcPr>
          <w:p w14:paraId="6F4D35CC"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=0.215,   P = 0.503</w:t>
            </w:r>
          </w:p>
        </w:tc>
        <w:tc>
          <w:tcPr>
            <w:tcW w:w="1244" w:type="dxa"/>
          </w:tcPr>
          <w:p w14:paraId="0015CC7F"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=0.311,   P = 0.325</w:t>
            </w:r>
          </w:p>
        </w:tc>
      </w:tr>
      <w:tr w:rsidR="00A84E47" w:rsidRPr="001A7586" w14:paraId="504CEF96" w14:textId="77777777" w:rsidTr="00E77A23">
        <w:tc>
          <w:tcPr>
            <w:tcW w:w="1555" w:type="dxa"/>
          </w:tcPr>
          <w:p w14:paraId="09A1E2A4" w14:textId="77777777" w:rsidR="00A84E47" w:rsidRPr="001A7586" w:rsidRDefault="00A84E47" w:rsidP="00A84E47">
            <w:pPr>
              <w:spacing w:line="480" w:lineRule="auto"/>
              <w:jc w:val="both"/>
              <w:rPr>
                <w:bCs/>
                <w:color w:val="000000" w:themeColor="text1"/>
                <w:sz w:val="20"/>
                <w:szCs w:val="20"/>
              </w:rPr>
            </w:pPr>
            <w:r w:rsidRPr="001A7586">
              <w:rPr>
                <w:b/>
                <w:bCs/>
                <w:color w:val="000000" w:themeColor="text1"/>
                <w:sz w:val="20"/>
                <w:szCs w:val="20"/>
              </w:rPr>
              <w:t>Back</w:t>
            </w:r>
          </w:p>
        </w:tc>
        <w:tc>
          <w:tcPr>
            <w:tcW w:w="1243" w:type="dxa"/>
          </w:tcPr>
          <w:p w14:paraId="2280675A" w14:textId="042CBA02" w:rsidR="00A84E47" w:rsidRPr="001A7586" w:rsidRDefault="00A84E47" w:rsidP="00A84E47">
            <w:pPr>
              <w:spacing w:line="480" w:lineRule="auto"/>
              <w:jc w:val="both"/>
              <w:rPr>
                <w:b/>
                <w:bCs/>
                <w:color w:val="000000" w:themeColor="text1"/>
                <w:sz w:val="20"/>
                <w:szCs w:val="20"/>
              </w:rPr>
            </w:pPr>
            <w:r w:rsidRPr="001A7586">
              <w:rPr>
                <w:bCs/>
                <w:sz w:val="20"/>
                <w:szCs w:val="20"/>
              </w:rPr>
              <w:t>R</w:t>
            </w:r>
            <w:r w:rsidRPr="001A7586">
              <w:rPr>
                <w:bCs/>
                <w:sz w:val="20"/>
                <w:szCs w:val="20"/>
                <w:vertAlign w:val="subscript"/>
              </w:rPr>
              <w:t>12</w:t>
            </w:r>
            <w:r w:rsidRPr="001A7586">
              <w:rPr>
                <w:bCs/>
                <w:sz w:val="20"/>
                <w:szCs w:val="20"/>
              </w:rPr>
              <w:t>=0.678,</w:t>
            </w:r>
            <w:r w:rsidRPr="001A7586">
              <w:rPr>
                <w:b/>
                <w:bCs/>
                <w:sz w:val="20"/>
                <w:szCs w:val="20"/>
              </w:rPr>
              <w:t xml:space="preserve">   P = 0.015*</w:t>
            </w:r>
          </w:p>
        </w:tc>
        <w:tc>
          <w:tcPr>
            <w:tcW w:w="1244" w:type="dxa"/>
          </w:tcPr>
          <w:p w14:paraId="33099CE5"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=0.176,   P = 0.585</w:t>
            </w:r>
          </w:p>
        </w:tc>
        <w:tc>
          <w:tcPr>
            <w:tcW w:w="1243" w:type="dxa"/>
          </w:tcPr>
          <w:p w14:paraId="12D4D5AF"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=0.030,   P = 0.927</w:t>
            </w:r>
          </w:p>
        </w:tc>
        <w:tc>
          <w:tcPr>
            <w:tcW w:w="1244" w:type="dxa"/>
          </w:tcPr>
          <w:p w14:paraId="0A1661E9" w14:textId="42E887A3"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 xml:space="preserve">=0.678,   </w:t>
            </w:r>
            <w:r w:rsidRPr="001A7586">
              <w:rPr>
                <w:b/>
                <w:bCs/>
                <w:color w:val="000000" w:themeColor="text1"/>
                <w:sz w:val="20"/>
                <w:szCs w:val="20"/>
              </w:rPr>
              <w:t>P = 0.015*</w:t>
            </w:r>
          </w:p>
        </w:tc>
        <w:tc>
          <w:tcPr>
            <w:tcW w:w="1243" w:type="dxa"/>
          </w:tcPr>
          <w:p w14:paraId="17B6D820"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=-0.057,   P = 0.860</w:t>
            </w:r>
          </w:p>
        </w:tc>
        <w:tc>
          <w:tcPr>
            <w:tcW w:w="1244" w:type="dxa"/>
          </w:tcPr>
          <w:p w14:paraId="5C8E0B1B" w14:textId="6DA858CC"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 xml:space="preserve">=0.656,   </w:t>
            </w:r>
            <w:r w:rsidRPr="001A7586">
              <w:rPr>
                <w:b/>
                <w:bCs/>
                <w:color w:val="000000" w:themeColor="text1"/>
                <w:sz w:val="20"/>
                <w:szCs w:val="20"/>
              </w:rPr>
              <w:t>P = 0.021*</w:t>
            </w:r>
          </w:p>
        </w:tc>
      </w:tr>
      <w:tr w:rsidR="00A84E47" w:rsidRPr="001A7586" w14:paraId="6105053F" w14:textId="77777777" w:rsidTr="00E77A23">
        <w:tc>
          <w:tcPr>
            <w:tcW w:w="9016" w:type="dxa"/>
            <w:gridSpan w:val="7"/>
          </w:tcPr>
          <w:p w14:paraId="32903319" w14:textId="77777777" w:rsidR="00A84E47" w:rsidRPr="001A7586" w:rsidRDefault="00A84E47" w:rsidP="00A84E47">
            <w:pPr>
              <w:spacing w:line="480" w:lineRule="auto"/>
              <w:jc w:val="both"/>
              <w:rPr>
                <w:bCs/>
                <w:color w:val="000000" w:themeColor="text1"/>
                <w:sz w:val="20"/>
                <w:szCs w:val="20"/>
              </w:rPr>
            </w:pPr>
            <w:r w:rsidRPr="001A7586">
              <w:rPr>
                <w:bCs/>
                <w:i/>
                <w:color w:val="000000" w:themeColor="text1"/>
                <w:sz w:val="20"/>
                <w:szCs w:val="20"/>
              </w:rPr>
              <w:t>% in height zones</w:t>
            </w:r>
          </w:p>
        </w:tc>
      </w:tr>
      <w:tr w:rsidR="00A84E47" w:rsidRPr="001A7586" w14:paraId="110F67D3" w14:textId="77777777" w:rsidTr="00E77A23">
        <w:tc>
          <w:tcPr>
            <w:tcW w:w="1555" w:type="dxa"/>
          </w:tcPr>
          <w:p w14:paraId="18A72073"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Floor</w:t>
            </w:r>
          </w:p>
        </w:tc>
        <w:tc>
          <w:tcPr>
            <w:tcW w:w="1243" w:type="dxa"/>
          </w:tcPr>
          <w:p w14:paraId="5E949818"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=-0.364,   P = 0.245</w:t>
            </w:r>
          </w:p>
        </w:tc>
        <w:tc>
          <w:tcPr>
            <w:tcW w:w="1244" w:type="dxa"/>
          </w:tcPr>
          <w:p w14:paraId="059BB307"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=-0.173,   P = 0.590</w:t>
            </w:r>
          </w:p>
        </w:tc>
        <w:tc>
          <w:tcPr>
            <w:tcW w:w="1243" w:type="dxa"/>
          </w:tcPr>
          <w:p w14:paraId="412FD302"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=-0.160,   P = 0.619</w:t>
            </w:r>
          </w:p>
        </w:tc>
        <w:tc>
          <w:tcPr>
            <w:tcW w:w="1244" w:type="dxa"/>
          </w:tcPr>
          <w:p w14:paraId="62BEC7CB"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=-0.296,   P = 0.350</w:t>
            </w:r>
          </w:p>
        </w:tc>
        <w:tc>
          <w:tcPr>
            <w:tcW w:w="1243" w:type="dxa"/>
          </w:tcPr>
          <w:p w14:paraId="4C03AF4E"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=-0.068,   P = 0.833</w:t>
            </w:r>
          </w:p>
        </w:tc>
        <w:tc>
          <w:tcPr>
            <w:tcW w:w="1244" w:type="dxa"/>
          </w:tcPr>
          <w:p w14:paraId="44692724"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=0.223,   P = 0.485</w:t>
            </w:r>
          </w:p>
        </w:tc>
      </w:tr>
      <w:tr w:rsidR="00A84E47" w:rsidRPr="001A7586" w14:paraId="47A486E1" w14:textId="77777777" w:rsidTr="00E77A23">
        <w:tc>
          <w:tcPr>
            <w:tcW w:w="1555" w:type="dxa"/>
          </w:tcPr>
          <w:p w14:paraId="170EB1AB"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Low</w:t>
            </w:r>
          </w:p>
        </w:tc>
        <w:tc>
          <w:tcPr>
            <w:tcW w:w="1243" w:type="dxa"/>
          </w:tcPr>
          <w:p w14:paraId="29C2A073"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=-0.202,   P = 0.530</w:t>
            </w:r>
          </w:p>
        </w:tc>
        <w:tc>
          <w:tcPr>
            <w:tcW w:w="1244" w:type="dxa"/>
          </w:tcPr>
          <w:p w14:paraId="2A921F84"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=-0.354,   P = 0.259</w:t>
            </w:r>
          </w:p>
        </w:tc>
        <w:tc>
          <w:tcPr>
            <w:tcW w:w="1243" w:type="dxa"/>
          </w:tcPr>
          <w:p w14:paraId="42CFC639"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=-0.477,   P = 0.117</w:t>
            </w:r>
          </w:p>
        </w:tc>
        <w:tc>
          <w:tcPr>
            <w:tcW w:w="1244" w:type="dxa"/>
          </w:tcPr>
          <w:p w14:paraId="37F4462F"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=-0.246,   P = 0.441</w:t>
            </w:r>
          </w:p>
        </w:tc>
        <w:tc>
          <w:tcPr>
            <w:tcW w:w="1243" w:type="dxa"/>
          </w:tcPr>
          <w:p w14:paraId="31354BDF"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=-0.367,   P = 0.240</w:t>
            </w:r>
          </w:p>
        </w:tc>
        <w:tc>
          <w:tcPr>
            <w:tcW w:w="1244" w:type="dxa"/>
          </w:tcPr>
          <w:p w14:paraId="64AC78D6"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=0.518,   P = 0.085</w:t>
            </w:r>
          </w:p>
        </w:tc>
      </w:tr>
      <w:tr w:rsidR="00A84E47" w:rsidRPr="001A7586" w14:paraId="454BBC3C" w14:textId="77777777" w:rsidTr="00E77A23">
        <w:tc>
          <w:tcPr>
            <w:tcW w:w="1555" w:type="dxa"/>
          </w:tcPr>
          <w:p w14:paraId="0DD7371D"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Middle</w:t>
            </w:r>
          </w:p>
        </w:tc>
        <w:tc>
          <w:tcPr>
            <w:tcW w:w="1243" w:type="dxa"/>
          </w:tcPr>
          <w:p w14:paraId="146A110E"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=-0.341,   P = 0.278</w:t>
            </w:r>
          </w:p>
        </w:tc>
        <w:tc>
          <w:tcPr>
            <w:tcW w:w="1244" w:type="dxa"/>
          </w:tcPr>
          <w:p w14:paraId="441CFE6F"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=0.473,   P = 0.120</w:t>
            </w:r>
          </w:p>
        </w:tc>
        <w:tc>
          <w:tcPr>
            <w:tcW w:w="1243" w:type="dxa"/>
          </w:tcPr>
          <w:p w14:paraId="2759B294"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=0.073,   P = 0.822</w:t>
            </w:r>
          </w:p>
        </w:tc>
        <w:tc>
          <w:tcPr>
            <w:tcW w:w="1244" w:type="dxa"/>
          </w:tcPr>
          <w:p w14:paraId="3724B1D5"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=-0.059,   P = 0.845</w:t>
            </w:r>
          </w:p>
        </w:tc>
        <w:tc>
          <w:tcPr>
            <w:tcW w:w="1243" w:type="dxa"/>
          </w:tcPr>
          <w:p w14:paraId="15C6F898"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=0.005,   P = 0.989</w:t>
            </w:r>
          </w:p>
        </w:tc>
        <w:tc>
          <w:tcPr>
            <w:tcW w:w="1244" w:type="dxa"/>
          </w:tcPr>
          <w:p w14:paraId="0D3BAC40"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=0.127,   P = 0.693</w:t>
            </w:r>
          </w:p>
        </w:tc>
      </w:tr>
      <w:tr w:rsidR="00A84E47" w:rsidRPr="001A7586" w14:paraId="3C3C03B5" w14:textId="77777777" w:rsidTr="00E77A23">
        <w:tc>
          <w:tcPr>
            <w:tcW w:w="1555" w:type="dxa"/>
          </w:tcPr>
          <w:p w14:paraId="0581315A"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lastRenderedPageBreak/>
              <w:t>High</w:t>
            </w:r>
          </w:p>
        </w:tc>
        <w:tc>
          <w:tcPr>
            <w:tcW w:w="1243" w:type="dxa"/>
          </w:tcPr>
          <w:p w14:paraId="484EFE38"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=0.545,   P = 0.067</w:t>
            </w:r>
          </w:p>
        </w:tc>
        <w:tc>
          <w:tcPr>
            <w:tcW w:w="1244" w:type="dxa"/>
          </w:tcPr>
          <w:p w14:paraId="197B90D9"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=0.076,   P = 0.814</w:t>
            </w:r>
          </w:p>
        </w:tc>
        <w:tc>
          <w:tcPr>
            <w:tcW w:w="1243" w:type="dxa"/>
          </w:tcPr>
          <w:p w14:paraId="34709AE4"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=0.377,   P = 0.227</w:t>
            </w:r>
          </w:p>
        </w:tc>
        <w:tc>
          <w:tcPr>
            <w:tcW w:w="1244" w:type="dxa"/>
          </w:tcPr>
          <w:p w14:paraId="5EF2F04C"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=0.369,   P = 0.237</w:t>
            </w:r>
          </w:p>
        </w:tc>
        <w:tc>
          <w:tcPr>
            <w:tcW w:w="1243" w:type="dxa"/>
          </w:tcPr>
          <w:p w14:paraId="28F97ACA"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=0.345,   P = 0.272</w:t>
            </w:r>
          </w:p>
        </w:tc>
        <w:tc>
          <w:tcPr>
            <w:tcW w:w="1244" w:type="dxa"/>
          </w:tcPr>
          <w:p w14:paraId="05E84F6F"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=-0.013,   P = 0.968</w:t>
            </w:r>
          </w:p>
        </w:tc>
      </w:tr>
      <w:tr w:rsidR="00A84E47" w:rsidRPr="001A7586" w14:paraId="60D13B19" w14:textId="77777777" w:rsidTr="00E77A23">
        <w:tc>
          <w:tcPr>
            <w:tcW w:w="1555" w:type="dxa"/>
          </w:tcPr>
          <w:p w14:paraId="6566FAF0"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Top of nest box</w:t>
            </w:r>
          </w:p>
        </w:tc>
        <w:tc>
          <w:tcPr>
            <w:tcW w:w="1243" w:type="dxa"/>
          </w:tcPr>
          <w:p w14:paraId="3AB5AE44"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=-0.007,   P = 0.982</w:t>
            </w:r>
          </w:p>
        </w:tc>
        <w:tc>
          <w:tcPr>
            <w:tcW w:w="1244" w:type="dxa"/>
          </w:tcPr>
          <w:p w14:paraId="66EB41D0"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=-0.137,   P = 0.671</w:t>
            </w:r>
          </w:p>
        </w:tc>
        <w:tc>
          <w:tcPr>
            <w:tcW w:w="1243" w:type="dxa"/>
          </w:tcPr>
          <w:p w14:paraId="6A48C3F8"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=-0.159,   P = 0.622</w:t>
            </w:r>
          </w:p>
        </w:tc>
        <w:tc>
          <w:tcPr>
            <w:tcW w:w="1244" w:type="dxa"/>
          </w:tcPr>
          <w:p w14:paraId="0492E128"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=-0.044,   P = 0.891</w:t>
            </w:r>
          </w:p>
        </w:tc>
        <w:tc>
          <w:tcPr>
            <w:tcW w:w="1243" w:type="dxa"/>
          </w:tcPr>
          <w:p w14:paraId="11D469C4"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=-0.106,   P = 0.606</w:t>
            </w:r>
          </w:p>
        </w:tc>
        <w:tc>
          <w:tcPr>
            <w:tcW w:w="1244" w:type="dxa"/>
          </w:tcPr>
          <w:p w14:paraId="1CEA3A74"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=-0.216,   P = 0.499</w:t>
            </w:r>
          </w:p>
        </w:tc>
      </w:tr>
      <w:tr w:rsidR="00A84E47" w:rsidRPr="001A7586" w14:paraId="71496239" w14:textId="77777777" w:rsidTr="00E77A23">
        <w:tc>
          <w:tcPr>
            <w:tcW w:w="1555" w:type="dxa"/>
          </w:tcPr>
          <w:p w14:paraId="55D50872" w14:textId="77777777" w:rsidR="00A84E47" w:rsidRPr="001A7586" w:rsidRDefault="00A84E47" w:rsidP="00A84E47">
            <w:pPr>
              <w:spacing w:line="480" w:lineRule="auto"/>
              <w:jc w:val="both"/>
              <w:rPr>
                <w:bCs/>
                <w:color w:val="000000" w:themeColor="text1"/>
                <w:sz w:val="20"/>
                <w:szCs w:val="20"/>
              </w:rPr>
            </w:pPr>
            <w:r w:rsidRPr="001A7586">
              <w:rPr>
                <w:b/>
                <w:bCs/>
                <w:color w:val="000000" w:themeColor="text1"/>
                <w:sz w:val="20"/>
                <w:szCs w:val="20"/>
              </w:rPr>
              <w:t>Avg height</w:t>
            </w:r>
          </w:p>
        </w:tc>
        <w:tc>
          <w:tcPr>
            <w:tcW w:w="1243" w:type="dxa"/>
          </w:tcPr>
          <w:p w14:paraId="68B1D980"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=0.328,   P = 0.298</w:t>
            </w:r>
          </w:p>
        </w:tc>
        <w:tc>
          <w:tcPr>
            <w:tcW w:w="1244" w:type="dxa"/>
          </w:tcPr>
          <w:p w14:paraId="09F1E669"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=0.014,   P = 0.966</w:t>
            </w:r>
          </w:p>
        </w:tc>
        <w:tc>
          <w:tcPr>
            <w:tcW w:w="1243" w:type="dxa"/>
          </w:tcPr>
          <w:p w14:paraId="2020F4A2"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=0.091,   P = 0.779</w:t>
            </w:r>
          </w:p>
        </w:tc>
        <w:tc>
          <w:tcPr>
            <w:tcW w:w="1244" w:type="dxa"/>
          </w:tcPr>
          <w:p w14:paraId="2B559DF4"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=0.220,   P = 0.493</w:t>
            </w:r>
          </w:p>
        </w:tc>
        <w:tc>
          <w:tcPr>
            <w:tcW w:w="1243" w:type="dxa"/>
          </w:tcPr>
          <w:p w14:paraId="0E996ED6"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=0.032,   P = 0.922</w:t>
            </w:r>
          </w:p>
        </w:tc>
        <w:tc>
          <w:tcPr>
            <w:tcW w:w="1244" w:type="dxa"/>
          </w:tcPr>
          <w:p w14:paraId="2F3DCF60"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=-0.281,   P = 0.376</w:t>
            </w:r>
          </w:p>
        </w:tc>
      </w:tr>
      <w:tr w:rsidR="00A84E47" w:rsidRPr="001A7586" w14:paraId="62FDEA63" w14:textId="77777777" w:rsidTr="00E77A23">
        <w:tc>
          <w:tcPr>
            <w:tcW w:w="9016" w:type="dxa"/>
            <w:gridSpan w:val="7"/>
          </w:tcPr>
          <w:p w14:paraId="274A286F" w14:textId="77777777" w:rsidR="00A84E47" w:rsidRPr="001A7586" w:rsidRDefault="00A84E47" w:rsidP="00A84E47">
            <w:pPr>
              <w:spacing w:line="480" w:lineRule="auto"/>
              <w:jc w:val="both"/>
              <w:rPr>
                <w:bCs/>
                <w:color w:val="000000" w:themeColor="text1"/>
                <w:sz w:val="20"/>
                <w:szCs w:val="20"/>
              </w:rPr>
            </w:pPr>
            <w:r w:rsidRPr="001A7586">
              <w:rPr>
                <w:bCs/>
                <w:i/>
                <w:color w:val="000000" w:themeColor="text1"/>
                <w:sz w:val="20"/>
                <w:szCs w:val="20"/>
              </w:rPr>
              <w:t>Movement</w:t>
            </w:r>
          </w:p>
        </w:tc>
      </w:tr>
      <w:tr w:rsidR="00A84E47" w:rsidRPr="001A7586" w14:paraId="4F140862" w14:textId="77777777" w:rsidTr="00E77A23">
        <w:tc>
          <w:tcPr>
            <w:tcW w:w="1555" w:type="dxa"/>
          </w:tcPr>
          <w:p w14:paraId="4215BD6B" w14:textId="77777777" w:rsidR="00A84E47" w:rsidRPr="001A7586" w:rsidRDefault="00A84E47" w:rsidP="00A84E47">
            <w:pPr>
              <w:spacing w:line="480" w:lineRule="auto"/>
              <w:jc w:val="both"/>
              <w:rPr>
                <w:bCs/>
                <w:i/>
                <w:color w:val="000000" w:themeColor="text1"/>
                <w:sz w:val="20"/>
                <w:szCs w:val="20"/>
              </w:rPr>
            </w:pPr>
            <w:r w:rsidRPr="001A7586">
              <w:rPr>
                <w:b/>
                <w:bCs/>
                <w:color w:val="000000" w:themeColor="text1"/>
                <w:sz w:val="20"/>
                <w:szCs w:val="20"/>
              </w:rPr>
              <w:t>Locomotion</w:t>
            </w:r>
          </w:p>
        </w:tc>
        <w:tc>
          <w:tcPr>
            <w:tcW w:w="1243" w:type="dxa"/>
          </w:tcPr>
          <w:p w14:paraId="57108976"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=-0.364,   P = 0.245</w:t>
            </w:r>
          </w:p>
        </w:tc>
        <w:tc>
          <w:tcPr>
            <w:tcW w:w="1244" w:type="dxa"/>
          </w:tcPr>
          <w:p w14:paraId="30765AAC"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=0.041,   P = 0.900</w:t>
            </w:r>
          </w:p>
        </w:tc>
        <w:tc>
          <w:tcPr>
            <w:tcW w:w="1243" w:type="dxa"/>
          </w:tcPr>
          <w:p w14:paraId="4781340D"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=0.049,   P = 0.880</w:t>
            </w:r>
          </w:p>
        </w:tc>
        <w:tc>
          <w:tcPr>
            <w:tcW w:w="1244" w:type="dxa"/>
          </w:tcPr>
          <w:p w14:paraId="42B6C012"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=-0.224,   P = 0.484</w:t>
            </w:r>
          </w:p>
        </w:tc>
        <w:tc>
          <w:tcPr>
            <w:tcW w:w="1243" w:type="dxa"/>
          </w:tcPr>
          <w:p w14:paraId="77F35B36"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=0.097,   P = 0.765</w:t>
            </w:r>
          </w:p>
        </w:tc>
        <w:tc>
          <w:tcPr>
            <w:tcW w:w="1244" w:type="dxa"/>
          </w:tcPr>
          <w:p w14:paraId="4DFF1D4E"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=0.183,   P = 0.569</w:t>
            </w:r>
          </w:p>
        </w:tc>
      </w:tr>
      <w:tr w:rsidR="00A84E47" w:rsidRPr="001A7586" w14:paraId="033C88D7" w14:textId="77777777" w:rsidTr="00E77A23">
        <w:tc>
          <w:tcPr>
            <w:tcW w:w="1555" w:type="dxa"/>
          </w:tcPr>
          <w:p w14:paraId="4E9289A4" w14:textId="77777777" w:rsidR="00A84E47" w:rsidRPr="001A7586" w:rsidRDefault="00A84E47" w:rsidP="00A84E47">
            <w:pPr>
              <w:spacing w:line="480" w:lineRule="auto"/>
              <w:jc w:val="both"/>
              <w:rPr>
                <w:b/>
                <w:bCs/>
                <w:color w:val="000000" w:themeColor="text1"/>
                <w:sz w:val="20"/>
                <w:szCs w:val="20"/>
              </w:rPr>
            </w:pPr>
            <w:r w:rsidRPr="001A7586">
              <w:rPr>
                <w:bCs/>
                <w:color w:val="000000" w:themeColor="text1"/>
                <w:sz w:val="20"/>
                <w:szCs w:val="20"/>
              </w:rPr>
              <w:t>Jumps</w:t>
            </w:r>
          </w:p>
        </w:tc>
        <w:tc>
          <w:tcPr>
            <w:tcW w:w="1243" w:type="dxa"/>
          </w:tcPr>
          <w:p w14:paraId="66B743F3"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=-0.0525,   P = 0.080</w:t>
            </w:r>
          </w:p>
        </w:tc>
        <w:tc>
          <w:tcPr>
            <w:tcW w:w="1244" w:type="dxa"/>
          </w:tcPr>
          <w:p w14:paraId="1FB6A648"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=0.276,   P = 0.385</w:t>
            </w:r>
          </w:p>
        </w:tc>
        <w:tc>
          <w:tcPr>
            <w:tcW w:w="1243" w:type="dxa"/>
          </w:tcPr>
          <w:p w14:paraId="3D15EC4D"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=0.064,   P = 0.842</w:t>
            </w:r>
          </w:p>
        </w:tc>
        <w:tc>
          <w:tcPr>
            <w:tcW w:w="1244" w:type="dxa"/>
          </w:tcPr>
          <w:p w14:paraId="0D171F24"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=-0.241,   P = 0.450</w:t>
            </w:r>
          </w:p>
        </w:tc>
        <w:tc>
          <w:tcPr>
            <w:tcW w:w="1243" w:type="dxa"/>
          </w:tcPr>
          <w:p w14:paraId="4B126166"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=0.019,   P = 0.952</w:t>
            </w:r>
          </w:p>
        </w:tc>
        <w:tc>
          <w:tcPr>
            <w:tcW w:w="1244" w:type="dxa"/>
          </w:tcPr>
          <w:p w14:paraId="1B2F5E2C"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=-0.066,   P = 0.838</w:t>
            </w:r>
          </w:p>
        </w:tc>
      </w:tr>
      <w:tr w:rsidR="00A84E47" w:rsidRPr="001A7586" w14:paraId="36A9FCD6" w14:textId="77777777" w:rsidTr="00E77A23">
        <w:tc>
          <w:tcPr>
            <w:tcW w:w="1555" w:type="dxa"/>
          </w:tcPr>
          <w:p w14:paraId="445A6530" w14:textId="77777777" w:rsidR="00A84E47" w:rsidRPr="001A7586" w:rsidRDefault="00A84E47" w:rsidP="00A84E47">
            <w:pPr>
              <w:spacing w:line="480" w:lineRule="auto"/>
              <w:jc w:val="both"/>
              <w:rPr>
                <w:bCs/>
                <w:color w:val="000000" w:themeColor="text1"/>
                <w:sz w:val="20"/>
                <w:szCs w:val="20"/>
              </w:rPr>
            </w:pPr>
            <w:r w:rsidRPr="001A7586">
              <w:rPr>
                <w:b/>
                <w:bCs/>
                <w:color w:val="000000" w:themeColor="text1"/>
                <w:sz w:val="20"/>
                <w:szCs w:val="20"/>
              </w:rPr>
              <w:t>Bobs</w:t>
            </w:r>
          </w:p>
        </w:tc>
        <w:tc>
          <w:tcPr>
            <w:tcW w:w="1243" w:type="dxa"/>
          </w:tcPr>
          <w:p w14:paraId="5AE8CE69"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=0.283,   P = 0.373</w:t>
            </w:r>
          </w:p>
        </w:tc>
        <w:tc>
          <w:tcPr>
            <w:tcW w:w="1244" w:type="dxa"/>
          </w:tcPr>
          <w:p w14:paraId="3043792C"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=-0.06,       P = 0.854</w:t>
            </w:r>
          </w:p>
        </w:tc>
        <w:tc>
          <w:tcPr>
            <w:tcW w:w="1243" w:type="dxa"/>
          </w:tcPr>
          <w:p w14:paraId="278C5D76"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=0.106,   P = 0.742</w:t>
            </w:r>
          </w:p>
        </w:tc>
        <w:tc>
          <w:tcPr>
            <w:tcW w:w="1244" w:type="dxa"/>
          </w:tcPr>
          <w:p w14:paraId="4EEA2E7D"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=0.269,   P = 0.397</w:t>
            </w:r>
          </w:p>
        </w:tc>
        <w:tc>
          <w:tcPr>
            <w:tcW w:w="1243" w:type="dxa"/>
          </w:tcPr>
          <w:p w14:paraId="09065B36"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=0.067,   P = 0.837</w:t>
            </w:r>
          </w:p>
        </w:tc>
        <w:tc>
          <w:tcPr>
            <w:tcW w:w="1244" w:type="dxa"/>
          </w:tcPr>
          <w:p w14:paraId="53E5EC60"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=-0.166,   P = 0.605</w:t>
            </w:r>
          </w:p>
        </w:tc>
      </w:tr>
      <w:tr w:rsidR="00A84E47" w:rsidRPr="001A7586" w14:paraId="1291AF8C" w14:textId="77777777" w:rsidTr="00E77A23">
        <w:tc>
          <w:tcPr>
            <w:tcW w:w="9016" w:type="dxa"/>
            <w:gridSpan w:val="7"/>
          </w:tcPr>
          <w:p w14:paraId="32556F0A" w14:textId="77777777" w:rsidR="00A84E47" w:rsidRPr="001A7586" w:rsidRDefault="00A84E47" w:rsidP="00A84E47">
            <w:pPr>
              <w:spacing w:line="480" w:lineRule="auto"/>
              <w:jc w:val="both"/>
              <w:rPr>
                <w:bCs/>
                <w:color w:val="000000" w:themeColor="text1"/>
                <w:sz w:val="20"/>
                <w:szCs w:val="20"/>
              </w:rPr>
            </w:pPr>
            <w:r w:rsidRPr="001A7586">
              <w:rPr>
                <w:bCs/>
                <w:i/>
                <w:color w:val="000000" w:themeColor="text1"/>
                <w:sz w:val="20"/>
                <w:szCs w:val="20"/>
              </w:rPr>
              <w:t>Calls</w:t>
            </w:r>
          </w:p>
        </w:tc>
      </w:tr>
      <w:tr w:rsidR="00A84E47" w:rsidRPr="001A7586" w14:paraId="19ECA80C" w14:textId="77777777" w:rsidTr="00E77A23">
        <w:tc>
          <w:tcPr>
            <w:tcW w:w="1555" w:type="dxa"/>
          </w:tcPr>
          <w:p w14:paraId="7A084A53" w14:textId="77777777" w:rsidR="00A84E47" w:rsidRPr="001A7586" w:rsidRDefault="00A84E47" w:rsidP="00A84E47">
            <w:pPr>
              <w:spacing w:line="480" w:lineRule="auto"/>
              <w:jc w:val="both"/>
              <w:rPr>
                <w:bCs/>
                <w:i/>
                <w:color w:val="000000" w:themeColor="text1"/>
                <w:sz w:val="20"/>
                <w:szCs w:val="20"/>
              </w:rPr>
            </w:pPr>
            <w:r w:rsidRPr="001A7586">
              <w:rPr>
                <w:b/>
                <w:bCs/>
                <w:color w:val="000000" w:themeColor="text1"/>
                <w:sz w:val="20"/>
                <w:szCs w:val="20"/>
              </w:rPr>
              <w:t>Tsik</w:t>
            </w:r>
          </w:p>
        </w:tc>
        <w:tc>
          <w:tcPr>
            <w:tcW w:w="1243" w:type="dxa"/>
          </w:tcPr>
          <w:p w14:paraId="2B184266"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=-0.420,   P = 0.174</w:t>
            </w:r>
          </w:p>
        </w:tc>
        <w:tc>
          <w:tcPr>
            <w:tcW w:w="1244" w:type="dxa"/>
          </w:tcPr>
          <w:p w14:paraId="5CB7FA6D"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=-0.053,   P = 0.870</w:t>
            </w:r>
          </w:p>
        </w:tc>
        <w:tc>
          <w:tcPr>
            <w:tcW w:w="1243" w:type="dxa"/>
          </w:tcPr>
          <w:p w14:paraId="190F0A5B"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=-5.098,   P = 0.857</w:t>
            </w:r>
          </w:p>
        </w:tc>
        <w:tc>
          <w:tcPr>
            <w:tcW w:w="1244" w:type="dxa"/>
          </w:tcPr>
          <w:p w14:paraId="710D07F8"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=-0.054,   P = 0.867</w:t>
            </w:r>
          </w:p>
        </w:tc>
        <w:tc>
          <w:tcPr>
            <w:tcW w:w="1243" w:type="dxa"/>
          </w:tcPr>
          <w:p w14:paraId="1BF796CE"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=0.-114,   P = 0.725</w:t>
            </w:r>
          </w:p>
        </w:tc>
        <w:tc>
          <w:tcPr>
            <w:tcW w:w="1244" w:type="dxa"/>
          </w:tcPr>
          <w:p w14:paraId="04610AEC"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=0.197,   P = 0.540</w:t>
            </w:r>
          </w:p>
        </w:tc>
      </w:tr>
      <w:tr w:rsidR="00A84E47" w:rsidRPr="001A7586" w14:paraId="1CD14983" w14:textId="77777777" w:rsidTr="00E77A23">
        <w:tc>
          <w:tcPr>
            <w:tcW w:w="1555" w:type="dxa"/>
          </w:tcPr>
          <w:p w14:paraId="26F7A38F" w14:textId="77777777" w:rsidR="00A84E47" w:rsidRPr="001A7586" w:rsidRDefault="00A84E47" w:rsidP="00A84E47">
            <w:pPr>
              <w:spacing w:line="480" w:lineRule="auto"/>
              <w:jc w:val="both"/>
              <w:rPr>
                <w:b/>
                <w:bCs/>
                <w:color w:val="000000" w:themeColor="text1"/>
                <w:sz w:val="20"/>
                <w:szCs w:val="20"/>
              </w:rPr>
            </w:pPr>
            <w:r w:rsidRPr="001A7586">
              <w:rPr>
                <w:b/>
                <w:bCs/>
                <w:color w:val="000000" w:themeColor="text1"/>
                <w:sz w:val="20"/>
                <w:szCs w:val="20"/>
              </w:rPr>
              <w:t>Tsik-Egg</w:t>
            </w:r>
          </w:p>
        </w:tc>
        <w:tc>
          <w:tcPr>
            <w:tcW w:w="1243" w:type="dxa"/>
          </w:tcPr>
          <w:p w14:paraId="054A7E91"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=0.376,   P = 0.228</w:t>
            </w:r>
          </w:p>
        </w:tc>
        <w:tc>
          <w:tcPr>
            <w:tcW w:w="1244" w:type="dxa"/>
          </w:tcPr>
          <w:p w14:paraId="15E63D72"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=-0.079,   P = 0.807</w:t>
            </w:r>
          </w:p>
        </w:tc>
        <w:tc>
          <w:tcPr>
            <w:tcW w:w="1243" w:type="dxa"/>
          </w:tcPr>
          <w:p w14:paraId="3CCFFDCE"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=-0.098,   P = 0.762</w:t>
            </w:r>
          </w:p>
        </w:tc>
        <w:tc>
          <w:tcPr>
            <w:tcW w:w="1244" w:type="dxa"/>
          </w:tcPr>
          <w:p w14:paraId="124894F1"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=0.525,   P = 0.08</w:t>
            </w:r>
          </w:p>
        </w:tc>
        <w:tc>
          <w:tcPr>
            <w:tcW w:w="1243" w:type="dxa"/>
          </w:tcPr>
          <w:p w14:paraId="05869182"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=-0.209,   P = 0.515</w:t>
            </w:r>
          </w:p>
        </w:tc>
        <w:tc>
          <w:tcPr>
            <w:tcW w:w="1244" w:type="dxa"/>
          </w:tcPr>
          <w:p w14:paraId="1688E54C"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=0.261,   P = 0.413</w:t>
            </w:r>
          </w:p>
        </w:tc>
      </w:tr>
      <w:tr w:rsidR="00A84E47" w:rsidRPr="001A7586" w14:paraId="194D2250" w14:textId="77777777" w:rsidTr="00E77A23">
        <w:tc>
          <w:tcPr>
            <w:tcW w:w="1555" w:type="dxa"/>
          </w:tcPr>
          <w:p w14:paraId="23FDE335" w14:textId="77777777" w:rsidR="00A84E47" w:rsidRPr="001A7586" w:rsidRDefault="00A84E47" w:rsidP="00A84E47">
            <w:pPr>
              <w:spacing w:line="480" w:lineRule="auto"/>
              <w:jc w:val="both"/>
              <w:rPr>
                <w:b/>
                <w:bCs/>
                <w:color w:val="000000" w:themeColor="text1"/>
                <w:sz w:val="20"/>
                <w:szCs w:val="20"/>
              </w:rPr>
            </w:pPr>
            <w:r w:rsidRPr="001A7586">
              <w:rPr>
                <w:bCs/>
                <w:color w:val="000000" w:themeColor="text1"/>
              </w:rPr>
              <w:t>Tse</w:t>
            </w:r>
          </w:p>
        </w:tc>
        <w:tc>
          <w:tcPr>
            <w:tcW w:w="1243" w:type="dxa"/>
          </w:tcPr>
          <w:p w14:paraId="5E024011"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=-0.143,   P = 0.657</w:t>
            </w:r>
          </w:p>
        </w:tc>
        <w:tc>
          <w:tcPr>
            <w:tcW w:w="1244" w:type="dxa"/>
          </w:tcPr>
          <w:p w14:paraId="1760C7E3"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=0.211,   P = 0.510</w:t>
            </w:r>
          </w:p>
        </w:tc>
        <w:tc>
          <w:tcPr>
            <w:tcW w:w="1243" w:type="dxa"/>
          </w:tcPr>
          <w:p w14:paraId="76E0FEAB"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=-0.238,   P = 0.438</w:t>
            </w:r>
          </w:p>
        </w:tc>
        <w:tc>
          <w:tcPr>
            <w:tcW w:w="1244" w:type="dxa"/>
          </w:tcPr>
          <w:p w14:paraId="3096D098"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=-0.101,   P = 0.755</w:t>
            </w:r>
          </w:p>
        </w:tc>
        <w:tc>
          <w:tcPr>
            <w:tcW w:w="1243" w:type="dxa"/>
          </w:tcPr>
          <w:p w14:paraId="24CD3568"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=-0.265,   P = 0.406</w:t>
            </w:r>
          </w:p>
        </w:tc>
        <w:tc>
          <w:tcPr>
            <w:tcW w:w="1244" w:type="dxa"/>
          </w:tcPr>
          <w:p w14:paraId="6F86969E"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=-0.029,   P = 0.928</w:t>
            </w:r>
          </w:p>
        </w:tc>
      </w:tr>
      <w:tr w:rsidR="00A84E47" w:rsidRPr="001A7586" w14:paraId="40F77E45" w14:textId="77777777" w:rsidTr="00E77A23">
        <w:tc>
          <w:tcPr>
            <w:tcW w:w="1555" w:type="dxa"/>
          </w:tcPr>
          <w:p w14:paraId="3F2A14BB" w14:textId="77777777" w:rsidR="00A84E47" w:rsidRPr="001A7586" w:rsidRDefault="00A84E47" w:rsidP="00A84E47">
            <w:pPr>
              <w:spacing w:line="480" w:lineRule="auto"/>
              <w:jc w:val="both"/>
              <w:rPr>
                <w:bCs/>
                <w:color w:val="000000" w:themeColor="text1"/>
              </w:rPr>
            </w:pPr>
            <w:r w:rsidRPr="001A7586">
              <w:rPr>
                <w:b/>
                <w:bCs/>
                <w:color w:val="000000" w:themeColor="text1"/>
                <w:sz w:val="20"/>
                <w:szCs w:val="20"/>
              </w:rPr>
              <w:t>Tse-Egg</w:t>
            </w:r>
          </w:p>
        </w:tc>
        <w:tc>
          <w:tcPr>
            <w:tcW w:w="1243" w:type="dxa"/>
          </w:tcPr>
          <w:p w14:paraId="4C6A1037"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=-0.137,   P = 0.672</w:t>
            </w:r>
          </w:p>
        </w:tc>
        <w:tc>
          <w:tcPr>
            <w:tcW w:w="1244" w:type="dxa"/>
          </w:tcPr>
          <w:p w14:paraId="1BFCF65C"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=0.066,   P = 0.839</w:t>
            </w:r>
          </w:p>
        </w:tc>
        <w:tc>
          <w:tcPr>
            <w:tcW w:w="1243" w:type="dxa"/>
          </w:tcPr>
          <w:p w14:paraId="5283DBDF"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=-0.272,   P = 0.393</w:t>
            </w:r>
          </w:p>
        </w:tc>
        <w:tc>
          <w:tcPr>
            <w:tcW w:w="1244" w:type="dxa"/>
          </w:tcPr>
          <w:p w14:paraId="2796D98C"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=-0.190,   P = 0.555</w:t>
            </w:r>
          </w:p>
        </w:tc>
        <w:tc>
          <w:tcPr>
            <w:tcW w:w="1243" w:type="dxa"/>
          </w:tcPr>
          <w:p w14:paraId="61249A09"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=-0.271,   P = 0.294</w:t>
            </w:r>
          </w:p>
        </w:tc>
        <w:tc>
          <w:tcPr>
            <w:tcW w:w="1244" w:type="dxa"/>
          </w:tcPr>
          <w:p w14:paraId="543644BA"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=-0.350,   P = 0.265</w:t>
            </w:r>
          </w:p>
        </w:tc>
      </w:tr>
      <w:tr w:rsidR="00A84E47" w:rsidRPr="001A7586" w14:paraId="48EAA9C9" w14:textId="77777777" w:rsidTr="00E77A23">
        <w:tc>
          <w:tcPr>
            <w:tcW w:w="1555" w:type="dxa"/>
          </w:tcPr>
          <w:p w14:paraId="71B3E9B7" w14:textId="77777777" w:rsidR="00A84E47" w:rsidRPr="001A7586" w:rsidRDefault="00A84E47" w:rsidP="00A84E47">
            <w:pPr>
              <w:spacing w:line="480" w:lineRule="auto"/>
              <w:jc w:val="both"/>
              <w:rPr>
                <w:b/>
                <w:bCs/>
                <w:color w:val="000000" w:themeColor="text1"/>
                <w:sz w:val="20"/>
                <w:szCs w:val="20"/>
              </w:rPr>
            </w:pPr>
            <w:r w:rsidRPr="001A7586">
              <w:rPr>
                <w:b/>
                <w:bCs/>
                <w:color w:val="000000" w:themeColor="text1"/>
                <w:sz w:val="20"/>
                <w:szCs w:val="20"/>
              </w:rPr>
              <w:t>Egg</w:t>
            </w:r>
          </w:p>
        </w:tc>
        <w:tc>
          <w:tcPr>
            <w:tcW w:w="1243" w:type="dxa"/>
          </w:tcPr>
          <w:p w14:paraId="1E1A0AB8"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=0.381,   P = 0.221</w:t>
            </w:r>
          </w:p>
        </w:tc>
        <w:tc>
          <w:tcPr>
            <w:tcW w:w="1244" w:type="dxa"/>
          </w:tcPr>
          <w:p w14:paraId="6819E46C"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=0.266,   P = 0.404</w:t>
            </w:r>
          </w:p>
        </w:tc>
        <w:tc>
          <w:tcPr>
            <w:tcW w:w="1243" w:type="dxa"/>
          </w:tcPr>
          <w:p w14:paraId="445CEA30"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=0.034,   P = 0.902</w:t>
            </w:r>
          </w:p>
        </w:tc>
        <w:tc>
          <w:tcPr>
            <w:tcW w:w="1244" w:type="dxa"/>
          </w:tcPr>
          <w:p w14:paraId="3B90FCF1"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=0.04,   P = 0.901</w:t>
            </w:r>
          </w:p>
        </w:tc>
        <w:tc>
          <w:tcPr>
            <w:tcW w:w="1243" w:type="dxa"/>
          </w:tcPr>
          <w:p w14:paraId="44448AA8"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=0.047,   P = 0.886</w:t>
            </w:r>
          </w:p>
        </w:tc>
        <w:tc>
          <w:tcPr>
            <w:tcW w:w="1244" w:type="dxa"/>
          </w:tcPr>
          <w:p w14:paraId="14883875" w14:textId="77777777" w:rsidR="00A84E47" w:rsidRPr="001A7586" w:rsidRDefault="00A84E47" w:rsidP="00A84E47">
            <w:pPr>
              <w:spacing w:line="480" w:lineRule="auto"/>
              <w:jc w:val="both"/>
              <w:rPr>
                <w:bCs/>
                <w:color w:val="000000" w:themeColor="text1"/>
                <w:sz w:val="20"/>
                <w:szCs w:val="20"/>
              </w:rPr>
            </w:pPr>
            <w:r w:rsidRPr="001A7586">
              <w:rPr>
                <w:bCs/>
                <w:color w:val="000000" w:themeColor="text1"/>
                <w:sz w:val="20"/>
                <w:szCs w:val="20"/>
              </w:rPr>
              <w:t>R</w:t>
            </w:r>
            <w:r w:rsidRPr="001A7586">
              <w:rPr>
                <w:bCs/>
                <w:color w:val="000000" w:themeColor="text1"/>
                <w:sz w:val="20"/>
                <w:szCs w:val="20"/>
                <w:vertAlign w:val="subscript"/>
              </w:rPr>
              <w:t>12</w:t>
            </w:r>
            <w:r w:rsidRPr="001A7586">
              <w:rPr>
                <w:bCs/>
                <w:color w:val="000000" w:themeColor="text1"/>
                <w:sz w:val="20"/>
                <w:szCs w:val="20"/>
              </w:rPr>
              <w:t>=-0.357,   P = 0.254</w:t>
            </w:r>
          </w:p>
        </w:tc>
      </w:tr>
    </w:tbl>
    <w:p w14:paraId="1529C576" w14:textId="63C28835" w:rsidR="00DF786F" w:rsidRPr="001A7586" w:rsidRDefault="00DF786F" w:rsidP="00DF786F">
      <w:pPr>
        <w:spacing w:line="480" w:lineRule="auto"/>
        <w:rPr>
          <w:b/>
        </w:rPr>
      </w:pPr>
      <w:r w:rsidRPr="001A7586">
        <w:rPr>
          <w:b/>
        </w:rPr>
        <w:t xml:space="preserve">Table 3. Hippocampal levels of 5-HT, Dopamine and Noradrenaline do not correlate with any of the </w:t>
      </w:r>
      <w:r w:rsidR="00D8399B" w:rsidRPr="001A7586">
        <w:rPr>
          <w:b/>
        </w:rPr>
        <w:t>behavior</w:t>
      </w:r>
      <w:r w:rsidRPr="001A7586">
        <w:rPr>
          <w:b/>
        </w:rPr>
        <w:t xml:space="preserve">al measures sensitive to glutamate in the human intruder test. </w:t>
      </w:r>
      <w:r w:rsidRPr="001A7586">
        <w:t xml:space="preserve">However, both right aHipp 5-HT and NA and left aHipp DA did correlate with the time spent at the back of the cage, </w:t>
      </w:r>
      <w:r w:rsidRPr="001A7586">
        <w:lastRenderedPageBreak/>
        <w:t xml:space="preserve">suggesting that these neurochemical may contribute to specific </w:t>
      </w:r>
      <w:r w:rsidR="00D8399B" w:rsidRPr="001A7586">
        <w:t>behavior</w:t>
      </w:r>
      <w:r w:rsidRPr="001A7586">
        <w:t>s within the human intruder test. * P &lt; 0.05.</w:t>
      </w:r>
    </w:p>
    <w:p w14:paraId="3DAE096A" w14:textId="77777777" w:rsidR="00905E33" w:rsidRPr="001A7586" w:rsidRDefault="00905E33" w:rsidP="00AF18CF">
      <w:pPr>
        <w:pStyle w:val="Default"/>
        <w:spacing w:line="480" w:lineRule="auto"/>
        <w:jc w:val="both"/>
        <w:rPr>
          <w:rFonts w:asciiTheme="minorHAnsi" w:hAnsiTheme="minorHAnsi" w:cstheme="minorBidi"/>
          <w:b/>
          <w:color w:val="auto"/>
          <w:sz w:val="22"/>
          <w:szCs w:val="22"/>
        </w:rPr>
      </w:pPr>
    </w:p>
    <w:p w14:paraId="10B4019C" w14:textId="77777777" w:rsidR="00AF18CF" w:rsidRPr="001A7586" w:rsidRDefault="00AF18CF" w:rsidP="00AF18CF">
      <w:pPr>
        <w:pStyle w:val="Default"/>
        <w:spacing w:line="480" w:lineRule="auto"/>
        <w:jc w:val="both"/>
        <w:rPr>
          <w:rFonts w:asciiTheme="minorHAnsi" w:hAnsiTheme="minorHAnsi" w:cstheme="minorBidi"/>
          <w:b/>
          <w:color w:val="auto"/>
          <w:sz w:val="22"/>
          <w:szCs w:val="22"/>
        </w:rPr>
      </w:pPr>
    </w:p>
    <w:p w14:paraId="3F54FC18" w14:textId="77777777" w:rsidR="00DF786F" w:rsidRPr="001A7586" w:rsidRDefault="00DF786F" w:rsidP="00AF18CF">
      <w:pPr>
        <w:pStyle w:val="Default"/>
        <w:spacing w:line="480" w:lineRule="auto"/>
        <w:jc w:val="both"/>
        <w:rPr>
          <w:rFonts w:asciiTheme="minorHAnsi" w:hAnsiTheme="minorHAnsi" w:cstheme="minorBidi"/>
          <w:b/>
          <w:color w:val="auto"/>
          <w:sz w:val="22"/>
          <w:szCs w:val="22"/>
        </w:rPr>
      </w:pPr>
    </w:p>
    <w:p w14:paraId="1BFD4577" w14:textId="77777777" w:rsidR="00DF786F" w:rsidRPr="001A7586" w:rsidRDefault="00DF786F" w:rsidP="00AF18CF">
      <w:pPr>
        <w:pStyle w:val="Default"/>
        <w:spacing w:line="480" w:lineRule="auto"/>
        <w:jc w:val="both"/>
        <w:rPr>
          <w:rFonts w:asciiTheme="minorHAnsi" w:hAnsiTheme="minorHAnsi" w:cstheme="minorBidi"/>
          <w:b/>
          <w:color w:val="auto"/>
          <w:sz w:val="22"/>
          <w:szCs w:val="22"/>
        </w:rPr>
      </w:pPr>
    </w:p>
    <w:p w14:paraId="4FCEA74D" w14:textId="77777777" w:rsidR="00DF786F" w:rsidRPr="001A7586" w:rsidRDefault="00DF786F" w:rsidP="00AF18CF">
      <w:pPr>
        <w:pStyle w:val="Default"/>
        <w:spacing w:line="480" w:lineRule="auto"/>
        <w:jc w:val="both"/>
        <w:rPr>
          <w:rFonts w:asciiTheme="minorHAnsi" w:hAnsiTheme="minorHAnsi" w:cstheme="minorBidi"/>
          <w:b/>
          <w:color w:val="auto"/>
          <w:sz w:val="22"/>
          <w:szCs w:val="22"/>
        </w:rPr>
      </w:pPr>
    </w:p>
    <w:p w14:paraId="27BBAAD9" w14:textId="22CC8231" w:rsidR="008322A3" w:rsidRPr="001A7586" w:rsidRDefault="00016CD9" w:rsidP="00AF18CF">
      <w:pPr>
        <w:pStyle w:val="Default"/>
        <w:spacing w:line="480" w:lineRule="auto"/>
        <w:jc w:val="both"/>
        <w:rPr>
          <w:rFonts w:asciiTheme="minorHAnsi" w:hAnsiTheme="minorHAnsi" w:cstheme="minorBidi"/>
          <w:b/>
          <w:color w:val="auto"/>
          <w:sz w:val="22"/>
          <w:szCs w:val="22"/>
        </w:rPr>
      </w:pPr>
      <w:r w:rsidRPr="001A7586">
        <w:rPr>
          <w:rFonts w:asciiTheme="minorHAnsi" w:hAnsiTheme="minorHAnsi" w:cstheme="minorBidi"/>
          <w:b/>
          <w:color w:val="auto"/>
          <w:sz w:val="22"/>
          <w:szCs w:val="22"/>
        </w:rPr>
        <w:t xml:space="preserve">Table </w:t>
      </w:r>
      <w:r w:rsidR="00536B77" w:rsidRPr="001A7586">
        <w:rPr>
          <w:rFonts w:asciiTheme="minorHAnsi" w:hAnsiTheme="minorHAnsi" w:cstheme="minorBidi"/>
          <w:b/>
          <w:color w:val="auto"/>
          <w:sz w:val="22"/>
          <w:szCs w:val="22"/>
        </w:rPr>
        <w:t>4</w:t>
      </w:r>
    </w:p>
    <w:p w14:paraId="7BDE2FA4" w14:textId="77777777" w:rsidR="00016CD9" w:rsidRPr="001A7586" w:rsidRDefault="00016CD9" w:rsidP="00AF18CF">
      <w:pPr>
        <w:pStyle w:val="Default"/>
        <w:spacing w:line="480" w:lineRule="auto"/>
        <w:jc w:val="both"/>
        <w:rPr>
          <w:rFonts w:asciiTheme="minorHAnsi" w:hAnsiTheme="minorHAnsi" w:cstheme="minorBidi"/>
          <w:b/>
          <w:color w:val="auto"/>
          <w:sz w:val="22"/>
          <w:szCs w:val="22"/>
        </w:rPr>
      </w:pPr>
    </w:p>
    <w:tbl>
      <w:tblPr>
        <w:tblStyle w:val="TableGrid"/>
        <w:tblW w:w="0" w:type="auto"/>
        <w:tblLook w:val="04A0" w:firstRow="1" w:lastRow="0" w:firstColumn="1" w:lastColumn="0" w:noHBand="0" w:noVBand="1"/>
      </w:tblPr>
      <w:tblGrid>
        <w:gridCol w:w="2254"/>
        <w:gridCol w:w="2254"/>
        <w:gridCol w:w="2254"/>
        <w:gridCol w:w="2254"/>
      </w:tblGrid>
      <w:tr w:rsidR="00016CD9" w:rsidRPr="001A7586" w14:paraId="3887CCB7" w14:textId="77777777" w:rsidTr="006476B1">
        <w:trPr>
          <w:trHeight w:val="274"/>
        </w:trPr>
        <w:tc>
          <w:tcPr>
            <w:tcW w:w="2254" w:type="dxa"/>
          </w:tcPr>
          <w:p w14:paraId="73A899A2" w14:textId="77777777" w:rsidR="00016CD9" w:rsidRPr="001A7586" w:rsidRDefault="00016CD9" w:rsidP="00AF18CF">
            <w:pPr>
              <w:spacing w:after="119" w:line="480" w:lineRule="auto"/>
              <w:jc w:val="both"/>
              <w:rPr>
                <w:bCs/>
                <w:color w:val="000000" w:themeColor="text1"/>
                <w:sz w:val="20"/>
                <w:szCs w:val="20"/>
              </w:rPr>
            </w:pPr>
          </w:p>
        </w:tc>
        <w:tc>
          <w:tcPr>
            <w:tcW w:w="2254" w:type="dxa"/>
          </w:tcPr>
          <w:p w14:paraId="261AE01A" w14:textId="77777777" w:rsidR="00016CD9" w:rsidRPr="001A7586" w:rsidRDefault="00016CD9" w:rsidP="00AF18CF">
            <w:pPr>
              <w:spacing w:after="119" w:line="480" w:lineRule="auto"/>
              <w:jc w:val="both"/>
              <w:rPr>
                <w:b/>
                <w:bCs/>
                <w:color w:val="000000" w:themeColor="text1"/>
                <w:sz w:val="20"/>
                <w:szCs w:val="20"/>
              </w:rPr>
            </w:pPr>
            <w:r w:rsidRPr="001A7586">
              <w:rPr>
                <w:b/>
                <w:bCs/>
                <w:color w:val="000000" w:themeColor="text1"/>
                <w:sz w:val="20"/>
                <w:szCs w:val="20"/>
              </w:rPr>
              <w:t>aHipp Saline 1</w:t>
            </w:r>
          </w:p>
        </w:tc>
        <w:tc>
          <w:tcPr>
            <w:tcW w:w="2254" w:type="dxa"/>
          </w:tcPr>
          <w:p w14:paraId="70140FD9" w14:textId="77777777" w:rsidR="00016CD9" w:rsidRPr="001A7586" w:rsidRDefault="00016CD9" w:rsidP="00AF18CF">
            <w:pPr>
              <w:spacing w:after="119" w:line="480" w:lineRule="auto"/>
              <w:jc w:val="both"/>
              <w:rPr>
                <w:b/>
                <w:bCs/>
                <w:color w:val="000000" w:themeColor="text1"/>
                <w:sz w:val="20"/>
                <w:szCs w:val="20"/>
              </w:rPr>
            </w:pPr>
            <w:r w:rsidRPr="001A7586">
              <w:rPr>
                <w:b/>
                <w:bCs/>
                <w:color w:val="000000" w:themeColor="text1"/>
                <w:sz w:val="20"/>
                <w:szCs w:val="20"/>
              </w:rPr>
              <w:t>aHipp LY/CGP</w:t>
            </w:r>
          </w:p>
        </w:tc>
        <w:tc>
          <w:tcPr>
            <w:tcW w:w="2254" w:type="dxa"/>
          </w:tcPr>
          <w:p w14:paraId="4CB0DFD5" w14:textId="77777777" w:rsidR="00016CD9" w:rsidRPr="001A7586" w:rsidRDefault="00016CD9" w:rsidP="00AF18CF">
            <w:pPr>
              <w:spacing w:after="119" w:line="480" w:lineRule="auto"/>
              <w:jc w:val="both"/>
              <w:rPr>
                <w:b/>
                <w:bCs/>
                <w:color w:val="000000" w:themeColor="text1"/>
                <w:sz w:val="20"/>
                <w:szCs w:val="20"/>
              </w:rPr>
            </w:pPr>
            <w:r w:rsidRPr="001A7586">
              <w:rPr>
                <w:b/>
                <w:bCs/>
                <w:color w:val="000000" w:themeColor="text1"/>
                <w:sz w:val="20"/>
                <w:szCs w:val="20"/>
              </w:rPr>
              <w:t>aHipp Saline 2</w:t>
            </w:r>
          </w:p>
        </w:tc>
      </w:tr>
      <w:tr w:rsidR="00016CD9" w:rsidRPr="001A7586" w14:paraId="30211F50" w14:textId="77777777" w:rsidTr="006476B1">
        <w:tc>
          <w:tcPr>
            <w:tcW w:w="2254" w:type="dxa"/>
          </w:tcPr>
          <w:p w14:paraId="4CC55641" w14:textId="54242D0F"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EFA score</w:t>
            </w:r>
            <w:r w:rsidR="00593F91" w:rsidRPr="001A7586">
              <w:rPr>
                <w:bCs/>
                <w:color w:val="000000" w:themeColor="text1"/>
                <w:sz w:val="20"/>
                <w:szCs w:val="20"/>
              </w:rPr>
              <w:t>*</w:t>
            </w:r>
            <w:r w:rsidRPr="001A7586">
              <w:rPr>
                <w:bCs/>
                <w:color w:val="000000" w:themeColor="text1"/>
                <w:sz w:val="20"/>
                <w:szCs w:val="20"/>
              </w:rPr>
              <w:t xml:space="preserve">  </w:t>
            </w:r>
          </w:p>
        </w:tc>
        <w:tc>
          <w:tcPr>
            <w:tcW w:w="2254" w:type="dxa"/>
          </w:tcPr>
          <w:p w14:paraId="498AEA48" w14:textId="47E051A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0.</w:t>
            </w:r>
            <w:r w:rsidR="00D82AE8" w:rsidRPr="001A7586">
              <w:rPr>
                <w:bCs/>
                <w:color w:val="000000" w:themeColor="text1"/>
                <w:sz w:val="20"/>
                <w:szCs w:val="20"/>
              </w:rPr>
              <w:t xml:space="preserve">798 </w:t>
            </w:r>
            <w:r w:rsidRPr="001A7586">
              <w:rPr>
                <w:rFonts w:cstheme="minorHAnsi"/>
                <w:bCs/>
                <w:color w:val="000000" w:themeColor="text1"/>
                <w:sz w:val="20"/>
                <w:szCs w:val="20"/>
              </w:rPr>
              <w:t>±</w:t>
            </w:r>
            <w:r w:rsidRPr="001A7586">
              <w:rPr>
                <w:bCs/>
                <w:color w:val="000000" w:themeColor="text1"/>
                <w:sz w:val="20"/>
                <w:szCs w:val="20"/>
              </w:rPr>
              <w:t xml:space="preserve"> 0.1</w:t>
            </w:r>
            <w:r w:rsidR="00D82AE8" w:rsidRPr="001A7586">
              <w:rPr>
                <w:bCs/>
                <w:color w:val="000000" w:themeColor="text1"/>
                <w:sz w:val="20"/>
                <w:szCs w:val="20"/>
              </w:rPr>
              <w:t>79</w:t>
            </w:r>
          </w:p>
        </w:tc>
        <w:tc>
          <w:tcPr>
            <w:tcW w:w="2254" w:type="dxa"/>
          </w:tcPr>
          <w:p w14:paraId="714AB0DB" w14:textId="0F041D70"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0.0</w:t>
            </w:r>
            <w:r w:rsidR="00D82AE8" w:rsidRPr="001A7586">
              <w:rPr>
                <w:bCs/>
                <w:color w:val="000000" w:themeColor="text1"/>
                <w:sz w:val="20"/>
                <w:szCs w:val="20"/>
              </w:rPr>
              <w:t>6</w:t>
            </w:r>
            <w:r w:rsidRPr="001A7586">
              <w:rPr>
                <w:bCs/>
                <w:color w:val="000000" w:themeColor="text1"/>
                <w:sz w:val="20"/>
                <w:szCs w:val="20"/>
              </w:rPr>
              <w:t xml:space="preserve"> </w:t>
            </w:r>
            <w:r w:rsidRPr="001A7586">
              <w:rPr>
                <w:rFonts w:cstheme="minorHAnsi"/>
                <w:bCs/>
                <w:color w:val="000000" w:themeColor="text1"/>
                <w:sz w:val="20"/>
                <w:szCs w:val="20"/>
              </w:rPr>
              <w:t>± 0.12</w:t>
            </w:r>
            <w:r w:rsidR="00D82AE8" w:rsidRPr="001A7586">
              <w:rPr>
                <w:rFonts w:cstheme="minorHAnsi"/>
                <w:bCs/>
                <w:color w:val="000000" w:themeColor="text1"/>
                <w:sz w:val="20"/>
                <w:szCs w:val="20"/>
              </w:rPr>
              <w:t>1</w:t>
            </w:r>
            <w:r w:rsidR="00593F91" w:rsidRPr="001A7586">
              <w:rPr>
                <w:bCs/>
                <w:color w:val="000000" w:themeColor="text1"/>
                <w:sz w:val="20"/>
                <w:szCs w:val="20"/>
              </w:rPr>
              <w:t>*</w:t>
            </w:r>
          </w:p>
        </w:tc>
        <w:tc>
          <w:tcPr>
            <w:tcW w:w="2254" w:type="dxa"/>
          </w:tcPr>
          <w:p w14:paraId="596FC68E" w14:textId="4EEE4A3C"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0.1</w:t>
            </w:r>
            <w:r w:rsidR="00D82AE8" w:rsidRPr="001A7586">
              <w:rPr>
                <w:bCs/>
                <w:color w:val="000000" w:themeColor="text1"/>
                <w:sz w:val="20"/>
                <w:szCs w:val="20"/>
              </w:rPr>
              <w:t>61</w:t>
            </w:r>
            <w:r w:rsidRPr="001A7586">
              <w:rPr>
                <w:bCs/>
                <w:color w:val="000000" w:themeColor="text1"/>
                <w:sz w:val="20"/>
                <w:szCs w:val="20"/>
              </w:rPr>
              <w:t xml:space="preserve"> </w:t>
            </w:r>
            <w:r w:rsidRPr="001A7586">
              <w:rPr>
                <w:rFonts w:cstheme="minorHAnsi"/>
                <w:bCs/>
                <w:color w:val="000000" w:themeColor="text1"/>
                <w:sz w:val="20"/>
                <w:szCs w:val="20"/>
              </w:rPr>
              <w:t>± 0.06</w:t>
            </w:r>
            <w:r w:rsidR="00D82AE8" w:rsidRPr="001A7586">
              <w:rPr>
                <w:rFonts w:cstheme="minorHAnsi"/>
                <w:bCs/>
                <w:color w:val="000000" w:themeColor="text1"/>
                <w:sz w:val="20"/>
                <w:szCs w:val="20"/>
              </w:rPr>
              <w:t>6</w:t>
            </w:r>
          </w:p>
        </w:tc>
      </w:tr>
      <w:tr w:rsidR="00016CD9" w:rsidRPr="001A7586" w14:paraId="5486093F" w14:textId="77777777" w:rsidTr="006476B1">
        <w:tc>
          <w:tcPr>
            <w:tcW w:w="2254" w:type="dxa"/>
          </w:tcPr>
          <w:p w14:paraId="01BAFEDB" w14:textId="77777777" w:rsidR="00016CD9" w:rsidRPr="001A7586" w:rsidRDefault="00016CD9" w:rsidP="00AF18CF">
            <w:pPr>
              <w:spacing w:after="119" w:line="480" w:lineRule="auto"/>
              <w:jc w:val="both"/>
              <w:rPr>
                <w:bCs/>
                <w:i/>
                <w:color w:val="000000" w:themeColor="text1"/>
                <w:sz w:val="20"/>
                <w:szCs w:val="20"/>
              </w:rPr>
            </w:pPr>
            <w:r w:rsidRPr="001A7586">
              <w:rPr>
                <w:bCs/>
                <w:i/>
                <w:color w:val="000000" w:themeColor="text1"/>
                <w:sz w:val="20"/>
                <w:szCs w:val="20"/>
              </w:rPr>
              <w:t>% in depth zones</w:t>
            </w:r>
          </w:p>
        </w:tc>
        <w:tc>
          <w:tcPr>
            <w:tcW w:w="2254" w:type="dxa"/>
          </w:tcPr>
          <w:p w14:paraId="7DCFD346" w14:textId="77777777" w:rsidR="00016CD9" w:rsidRPr="001A7586" w:rsidRDefault="00016CD9" w:rsidP="00AF18CF">
            <w:pPr>
              <w:spacing w:after="119" w:line="480" w:lineRule="auto"/>
              <w:jc w:val="both"/>
              <w:rPr>
                <w:bCs/>
                <w:color w:val="000000" w:themeColor="text1"/>
                <w:sz w:val="20"/>
                <w:szCs w:val="20"/>
              </w:rPr>
            </w:pPr>
          </w:p>
        </w:tc>
        <w:tc>
          <w:tcPr>
            <w:tcW w:w="2254" w:type="dxa"/>
          </w:tcPr>
          <w:p w14:paraId="28E91BB8" w14:textId="77777777" w:rsidR="00016CD9" w:rsidRPr="001A7586" w:rsidRDefault="00016CD9" w:rsidP="00AF18CF">
            <w:pPr>
              <w:spacing w:after="119" w:line="480" w:lineRule="auto"/>
              <w:jc w:val="both"/>
              <w:rPr>
                <w:bCs/>
                <w:color w:val="000000" w:themeColor="text1"/>
                <w:sz w:val="20"/>
                <w:szCs w:val="20"/>
              </w:rPr>
            </w:pPr>
          </w:p>
        </w:tc>
        <w:tc>
          <w:tcPr>
            <w:tcW w:w="2254" w:type="dxa"/>
          </w:tcPr>
          <w:p w14:paraId="11D932FF" w14:textId="77777777" w:rsidR="00016CD9" w:rsidRPr="001A7586" w:rsidRDefault="00016CD9" w:rsidP="00AF18CF">
            <w:pPr>
              <w:spacing w:after="119" w:line="480" w:lineRule="auto"/>
              <w:jc w:val="both"/>
              <w:rPr>
                <w:bCs/>
                <w:color w:val="000000" w:themeColor="text1"/>
                <w:sz w:val="20"/>
                <w:szCs w:val="20"/>
              </w:rPr>
            </w:pPr>
          </w:p>
        </w:tc>
      </w:tr>
      <w:tr w:rsidR="00016CD9" w:rsidRPr="001A7586" w14:paraId="1B0BFA6C" w14:textId="77777777" w:rsidTr="006476B1">
        <w:tc>
          <w:tcPr>
            <w:tcW w:w="2254" w:type="dxa"/>
          </w:tcPr>
          <w:p w14:paraId="351DA0F6" w14:textId="0AE18732" w:rsidR="00016CD9" w:rsidRPr="001A7586" w:rsidRDefault="00016CD9" w:rsidP="00AF18CF">
            <w:pPr>
              <w:spacing w:after="119" w:line="480" w:lineRule="auto"/>
              <w:jc w:val="both"/>
              <w:rPr>
                <w:b/>
                <w:bCs/>
                <w:color w:val="000000" w:themeColor="text1"/>
                <w:sz w:val="20"/>
                <w:szCs w:val="20"/>
              </w:rPr>
            </w:pPr>
            <w:r w:rsidRPr="001A7586">
              <w:rPr>
                <w:b/>
                <w:bCs/>
                <w:color w:val="000000" w:themeColor="text1"/>
                <w:sz w:val="20"/>
                <w:szCs w:val="20"/>
              </w:rPr>
              <w:t>Front</w:t>
            </w:r>
            <w:r w:rsidR="00593F91" w:rsidRPr="001A7586">
              <w:rPr>
                <w:b/>
                <w:bCs/>
                <w:color w:val="000000" w:themeColor="text1"/>
                <w:sz w:val="20"/>
                <w:szCs w:val="20"/>
              </w:rPr>
              <w:t>*</w:t>
            </w:r>
          </w:p>
        </w:tc>
        <w:tc>
          <w:tcPr>
            <w:tcW w:w="2254" w:type="dxa"/>
          </w:tcPr>
          <w:p w14:paraId="4CB4C67F"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0.957 </w:t>
            </w:r>
            <w:r w:rsidRPr="001A7586">
              <w:rPr>
                <w:rFonts w:cstheme="minorHAnsi"/>
                <w:bCs/>
                <w:color w:val="000000" w:themeColor="text1"/>
                <w:sz w:val="20"/>
                <w:szCs w:val="20"/>
              </w:rPr>
              <w:t>± 0.957</w:t>
            </w:r>
          </w:p>
        </w:tc>
        <w:tc>
          <w:tcPr>
            <w:tcW w:w="2254" w:type="dxa"/>
          </w:tcPr>
          <w:p w14:paraId="4E2FDAC4" w14:textId="184A7ED0"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20.55 </w:t>
            </w:r>
            <w:r w:rsidRPr="001A7586">
              <w:rPr>
                <w:rFonts w:cstheme="minorHAnsi"/>
                <w:bCs/>
                <w:color w:val="000000" w:themeColor="text1"/>
                <w:sz w:val="20"/>
                <w:szCs w:val="20"/>
              </w:rPr>
              <w:t>± 4.766</w:t>
            </w:r>
            <w:r w:rsidR="00C4588E" w:rsidRPr="001A7586">
              <w:rPr>
                <w:bCs/>
                <w:color w:val="000000" w:themeColor="text1"/>
                <w:sz w:val="20"/>
                <w:szCs w:val="20"/>
              </w:rPr>
              <w:t>*</w:t>
            </w:r>
          </w:p>
        </w:tc>
        <w:tc>
          <w:tcPr>
            <w:tcW w:w="2254" w:type="dxa"/>
          </w:tcPr>
          <w:p w14:paraId="1CE868DF" w14:textId="7CEFBFB6"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7.853 </w:t>
            </w:r>
            <w:r w:rsidRPr="001A7586">
              <w:rPr>
                <w:rFonts w:cstheme="minorHAnsi"/>
                <w:bCs/>
                <w:color w:val="000000" w:themeColor="text1"/>
                <w:sz w:val="20"/>
                <w:szCs w:val="20"/>
              </w:rPr>
              <w:t>± 4.572</w:t>
            </w:r>
            <w:r w:rsidR="00C4588E" w:rsidRPr="001A7586">
              <w:rPr>
                <w:bCs/>
                <w:color w:val="000000" w:themeColor="text1"/>
                <w:sz w:val="20"/>
                <w:szCs w:val="20"/>
              </w:rPr>
              <w:t>*</w:t>
            </w:r>
          </w:p>
        </w:tc>
      </w:tr>
      <w:tr w:rsidR="00016CD9" w:rsidRPr="001A7586" w14:paraId="44DBA7EA" w14:textId="77777777" w:rsidTr="006476B1">
        <w:tc>
          <w:tcPr>
            <w:tcW w:w="2254" w:type="dxa"/>
          </w:tcPr>
          <w:p w14:paraId="3592B8AF"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Middle</w:t>
            </w:r>
          </w:p>
        </w:tc>
        <w:tc>
          <w:tcPr>
            <w:tcW w:w="2254" w:type="dxa"/>
          </w:tcPr>
          <w:p w14:paraId="58C3D4EF"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40.327 </w:t>
            </w:r>
            <w:r w:rsidRPr="001A7586">
              <w:rPr>
                <w:rFonts w:cstheme="minorHAnsi"/>
                <w:bCs/>
                <w:color w:val="000000" w:themeColor="text1"/>
                <w:sz w:val="20"/>
                <w:szCs w:val="20"/>
              </w:rPr>
              <w:t>± 16.098</w:t>
            </w:r>
          </w:p>
        </w:tc>
        <w:tc>
          <w:tcPr>
            <w:tcW w:w="2254" w:type="dxa"/>
          </w:tcPr>
          <w:p w14:paraId="6BCCB9FA"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60.089 </w:t>
            </w:r>
            <w:r w:rsidRPr="001A7586">
              <w:rPr>
                <w:rFonts w:cstheme="minorHAnsi"/>
                <w:bCs/>
                <w:color w:val="000000" w:themeColor="text1"/>
                <w:sz w:val="20"/>
                <w:szCs w:val="20"/>
              </w:rPr>
              <w:t>± 10.811</w:t>
            </w:r>
          </w:p>
        </w:tc>
        <w:tc>
          <w:tcPr>
            <w:tcW w:w="2254" w:type="dxa"/>
          </w:tcPr>
          <w:p w14:paraId="28078DE7"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60.704 </w:t>
            </w:r>
            <w:r w:rsidRPr="001A7586">
              <w:rPr>
                <w:rFonts w:cstheme="minorHAnsi"/>
                <w:bCs/>
                <w:color w:val="000000" w:themeColor="text1"/>
                <w:sz w:val="20"/>
                <w:szCs w:val="20"/>
              </w:rPr>
              <w:t>± 11.866</w:t>
            </w:r>
          </w:p>
        </w:tc>
      </w:tr>
      <w:tr w:rsidR="00016CD9" w:rsidRPr="001A7586" w14:paraId="794BF962" w14:textId="77777777" w:rsidTr="006476B1">
        <w:tc>
          <w:tcPr>
            <w:tcW w:w="2254" w:type="dxa"/>
          </w:tcPr>
          <w:p w14:paraId="39C5A369" w14:textId="77777777" w:rsidR="00016CD9" w:rsidRPr="001A7586" w:rsidRDefault="00016CD9" w:rsidP="00AF18CF">
            <w:pPr>
              <w:spacing w:after="119" w:line="480" w:lineRule="auto"/>
              <w:jc w:val="both"/>
              <w:rPr>
                <w:b/>
                <w:bCs/>
                <w:color w:val="000000" w:themeColor="text1"/>
                <w:sz w:val="20"/>
                <w:szCs w:val="20"/>
              </w:rPr>
            </w:pPr>
            <w:r w:rsidRPr="001A7586">
              <w:rPr>
                <w:b/>
                <w:bCs/>
                <w:color w:val="000000" w:themeColor="text1"/>
                <w:sz w:val="20"/>
                <w:szCs w:val="20"/>
              </w:rPr>
              <w:t>Back</w:t>
            </w:r>
          </w:p>
        </w:tc>
        <w:tc>
          <w:tcPr>
            <w:tcW w:w="2254" w:type="dxa"/>
          </w:tcPr>
          <w:p w14:paraId="6E1AC018"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32.877 </w:t>
            </w:r>
            <w:r w:rsidRPr="001A7586">
              <w:rPr>
                <w:rFonts w:cstheme="minorHAnsi"/>
                <w:bCs/>
                <w:color w:val="000000" w:themeColor="text1"/>
                <w:sz w:val="20"/>
                <w:szCs w:val="20"/>
              </w:rPr>
              <w:t>± 9.965</w:t>
            </w:r>
          </w:p>
        </w:tc>
        <w:tc>
          <w:tcPr>
            <w:tcW w:w="2254" w:type="dxa"/>
          </w:tcPr>
          <w:p w14:paraId="13484777"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16.878 </w:t>
            </w:r>
            <w:r w:rsidRPr="001A7586">
              <w:rPr>
                <w:rFonts w:cstheme="minorHAnsi"/>
                <w:bCs/>
                <w:color w:val="000000" w:themeColor="text1"/>
                <w:sz w:val="20"/>
                <w:szCs w:val="20"/>
              </w:rPr>
              <w:t>± 7.839</w:t>
            </w:r>
          </w:p>
        </w:tc>
        <w:tc>
          <w:tcPr>
            <w:tcW w:w="2254" w:type="dxa"/>
          </w:tcPr>
          <w:p w14:paraId="56EA65B0"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18.990 </w:t>
            </w:r>
            <w:r w:rsidRPr="001A7586">
              <w:rPr>
                <w:rFonts w:cstheme="minorHAnsi"/>
                <w:bCs/>
                <w:color w:val="000000" w:themeColor="text1"/>
                <w:sz w:val="20"/>
                <w:szCs w:val="20"/>
              </w:rPr>
              <w:t>± 7.537</w:t>
            </w:r>
          </w:p>
        </w:tc>
      </w:tr>
      <w:tr w:rsidR="00016CD9" w:rsidRPr="001A7586" w14:paraId="1352DA61" w14:textId="77777777" w:rsidTr="006476B1">
        <w:tc>
          <w:tcPr>
            <w:tcW w:w="2254" w:type="dxa"/>
          </w:tcPr>
          <w:p w14:paraId="0B1D2B60" w14:textId="77777777" w:rsidR="00016CD9" w:rsidRPr="001A7586" w:rsidRDefault="00016CD9" w:rsidP="00AF18CF">
            <w:pPr>
              <w:spacing w:after="119" w:line="480" w:lineRule="auto"/>
              <w:jc w:val="both"/>
              <w:rPr>
                <w:bCs/>
                <w:i/>
                <w:color w:val="000000" w:themeColor="text1"/>
                <w:sz w:val="20"/>
                <w:szCs w:val="20"/>
              </w:rPr>
            </w:pPr>
            <w:r w:rsidRPr="001A7586">
              <w:rPr>
                <w:bCs/>
                <w:i/>
                <w:color w:val="000000" w:themeColor="text1"/>
                <w:sz w:val="20"/>
                <w:szCs w:val="20"/>
              </w:rPr>
              <w:t>% in height zones</w:t>
            </w:r>
          </w:p>
        </w:tc>
        <w:tc>
          <w:tcPr>
            <w:tcW w:w="2254" w:type="dxa"/>
          </w:tcPr>
          <w:p w14:paraId="7915AB02" w14:textId="77777777" w:rsidR="00016CD9" w:rsidRPr="001A7586" w:rsidRDefault="00016CD9" w:rsidP="00AF18CF">
            <w:pPr>
              <w:spacing w:after="119" w:line="480" w:lineRule="auto"/>
              <w:jc w:val="both"/>
              <w:rPr>
                <w:bCs/>
                <w:color w:val="000000" w:themeColor="text1"/>
                <w:sz w:val="20"/>
                <w:szCs w:val="20"/>
              </w:rPr>
            </w:pPr>
          </w:p>
        </w:tc>
        <w:tc>
          <w:tcPr>
            <w:tcW w:w="2254" w:type="dxa"/>
          </w:tcPr>
          <w:p w14:paraId="4F4E6137" w14:textId="77777777" w:rsidR="00016CD9" w:rsidRPr="001A7586" w:rsidRDefault="00016CD9" w:rsidP="00AF18CF">
            <w:pPr>
              <w:spacing w:after="119" w:line="480" w:lineRule="auto"/>
              <w:jc w:val="both"/>
              <w:rPr>
                <w:bCs/>
                <w:color w:val="000000" w:themeColor="text1"/>
                <w:sz w:val="20"/>
                <w:szCs w:val="20"/>
              </w:rPr>
            </w:pPr>
          </w:p>
        </w:tc>
        <w:tc>
          <w:tcPr>
            <w:tcW w:w="2254" w:type="dxa"/>
          </w:tcPr>
          <w:p w14:paraId="0CF44DA1" w14:textId="77777777" w:rsidR="00016CD9" w:rsidRPr="001A7586" w:rsidRDefault="00016CD9" w:rsidP="00AF18CF">
            <w:pPr>
              <w:spacing w:after="119" w:line="480" w:lineRule="auto"/>
              <w:jc w:val="both"/>
              <w:rPr>
                <w:bCs/>
                <w:color w:val="000000" w:themeColor="text1"/>
                <w:sz w:val="20"/>
                <w:szCs w:val="20"/>
              </w:rPr>
            </w:pPr>
          </w:p>
        </w:tc>
      </w:tr>
      <w:tr w:rsidR="00016CD9" w:rsidRPr="001A7586" w14:paraId="35EEC1CC" w14:textId="77777777" w:rsidTr="006476B1">
        <w:tc>
          <w:tcPr>
            <w:tcW w:w="2254" w:type="dxa"/>
          </w:tcPr>
          <w:p w14:paraId="6C907A40"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Floor</w:t>
            </w:r>
          </w:p>
        </w:tc>
        <w:tc>
          <w:tcPr>
            <w:tcW w:w="2254" w:type="dxa"/>
          </w:tcPr>
          <w:p w14:paraId="7DAEE03C"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0.00 </w:t>
            </w:r>
            <w:r w:rsidRPr="001A7586">
              <w:rPr>
                <w:rFonts w:cstheme="minorHAnsi"/>
                <w:bCs/>
                <w:color w:val="000000" w:themeColor="text1"/>
                <w:sz w:val="20"/>
                <w:szCs w:val="20"/>
              </w:rPr>
              <w:t>± 0.00</w:t>
            </w:r>
          </w:p>
        </w:tc>
        <w:tc>
          <w:tcPr>
            <w:tcW w:w="2254" w:type="dxa"/>
          </w:tcPr>
          <w:p w14:paraId="38DD48B8"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10.136 </w:t>
            </w:r>
            <w:r w:rsidRPr="001A7586">
              <w:rPr>
                <w:rFonts w:cstheme="minorHAnsi"/>
                <w:bCs/>
                <w:color w:val="000000" w:themeColor="text1"/>
                <w:sz w:val="20"/>
                <w:szCs w:val="20"/>
              </w:rPr>
              <w:t>± 8.180</w:t>
            </w:r>
          </w:p>
        </w:tc>
        <w:tc>
          <w:tcPr>
            <w:tcW w:w="2254" w:type="dxa"/>
          </w:tcPr>
          <w:p w14:paraId="1C3B9C7A"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10.106 </w:t>
            </w:r>
            <w:r w:rsidRPr="001A7586">
              <w:rPr>
                <w:rFonts w:cstheme="minorHAnsi"/>
                <w:bCs/>
                <w:color w:val="000000" w:themeColor="text1"/>
                <w:sz w:val="20"/>
                <w:szCs w:val="20"/>
              </w:rPr>
              <w:t>± 6.613</w:t>
            </w:r>
          </w:p>
        </w:tc>
      </w:tr>
      <w:tr w:rsidR="00016CD9" w:rsidRPr="001A7586" w14:paraId="09CBCD67" w14:textId="77777777" w:rsidTr="006476B1">
        <w:tc>
          <w:tcPr>
            <w:tcW w:w="2254" w:type="dxa"/>
          </w:tcPr>
          <w:p w14:paraId="238D81E8"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Low</w:t>
            </w:r>
          </w:p>
        </w:tc>
        <w:tc>
          <w:tcPr>
            <w:tcW w:w="2254" w:type="dxa"/>
          </w:tcPr>
          <w:p w14:paraId="06BD701C"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0.00 </w:t>
            </w:r>
            <w:r w:rsidRPr="001A7586">
              <w:rPr>
                <w:rFonts w:cstheme="minorHAnsi"/>
                <w:bCs/>
                <w:color w:val="000000" w:themeColor="text1"/>
                <w:sz w:val="20"/>
                <w:szCs w:val="20"/>
              </w:rPr>
              <w:t>± 0.00</w:t>
            </w:r>
          </w:p>
        </w:tc>
        <w:tc>
          <w:tcPr>
            <w:tcW w:w="2254" w:type="dxa"/>
          </w:tcPr>
          <w:p w14:paraId="2C8298F2"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3.7 </w:t>
            </w:r>
            <w:r w:rsidRPr="001A7586">
              <w:rPr>
                <w:rFonts w:cstheme="minorHAnsi"/>
                <w:bCs/>
                <w:color w:val="000000" w:themeColor="text1"/>
                <w:sz w:val="20"/>
                <w:szCs w:val="20"/>
              </w:rPr>
              <w:t>± 3.7</w:t>
            </w:r>
          </w:p>
        </w:tc>
        <w:tc>
          <w:tcPr>
            <w:tcW w:w="2254" w:type="dxa"/>
          </w:tcPr>
          <w:p w14:paraId="29324D4A"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4.331 </w:t>
            </w:r>
            <w:r w:rsidRPr="001A7586">
              <w:rPr>
                <w:rFonts w:cstheme="minorHAnsi"/>
                <w:bCs/>
                <w:color w:val="000000" w:themeColor="text1"/>
                <w:sz w:val="20"/>
                <w:szCs w:val="20"/>
              </w:rPr>
              <w:t>± 2.842</w:t>
            </w:r>
          </w:p>
        </w:tc>
      </w:tr>
      <w:tr w:rsidR="00016CD9" w:rsidRPr="001A7586" w14:paraId="1C8666A4" w14:textId="77777777" w:rsidTr="006476B1">
        <w:tc>
          <w:tcPr>
            <w:tcW w:w="2254" w:type="dxa"/>
          </w:tcPr>
          <w:p w14:paraId="6A93A0C3"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Middle</w:t>
            </w:r>
          </w:p>
        </w:tc>
        <w:tc>
          <w:tcPr>
            <w:tcW w:w="2254" w:type="dxa"/>
          </w:tcPr>
          <w:p w14:paraId="3C8B4975"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2.302 </w:t>
            </w:r>
            <w:r w:rsidRPr="001A7586">
              <w:rPr>
                <w:rFonts w:cstheme="minorHAnsi"/>
                <w:bCs/>
                <w:color w:val="000000" w:themeColor="text1"/>
                <w:sz w:val="20"/>
                <w:szCs w:val="20"/>
              </w:rPr>
              <w:t>± 2.302</w:t>
            </w:r>
          </w:p>
        </w:tc>
        <w:tc>
          <w:tcPr>
            <w:tcW w:w="2254" w:type="dxa"/>
          </w:tcPr>
          <w:p w14:paraId="468DE791"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16.935 </w:t>
            </w:r>
            <w:r w:rsidRPr="001A7586">
              <w:rPr>
                <w:rFonts w:cstheme="minorHAnsi"/>
                <w:bCs/>
                <w:color w:val="000000" w:themeColor="text1"/>
                <w:sz w:val="20"/>
                <w:szCs w:val="20"/>
              </w:rPr>
              <w:t>± 7.995</w:t>
            </w:r>
          </w:p>
        </w:tc>
        <w:tc>
          <w:tcPr>
            <w:tcW w:w="2254" w:type="dxa"/>
          </w:tcPr>
          <w:p w14:paraId="4CF98C41"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8.904 </w:t>
            </w:r>
            <w:r w:rsidRPr="001A7586">
              <w:rPr>
                <w:rFonts w:cstheme="minorHAnsi"/>
                <w:bCs/>
                <w:color w:val="000000" w:themeColor="text1"/>
                <w:sz w:val="20"/>
                <w:szCs w:val="20"/>
              </w:rPr>
              <w:t>± 3.967</w:t>
            </w:r>
          </w:p>
        </w:tc>
      </w:tr>
      <w:tr w:rsidR="00016CD9" w:rsidRPr="001A7586" w14:paraId="6FB42A2C" w14:textId="77777777" w:rsidTr="006476B1">
        <w:tc>
          <w:tcPr>
            <w:tcW w:w="2254" w:type="dxa"/>
          </w:tcPr>
          <w:p w14:paraId="6B1C70ED"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High</w:t>
            </w:r>
          </w:p>
        </w:tc>
        <w:tc>
          <w:tcPr>
            <w:tcW w:w="2254" w:type="dxa"/>
          </w:tcPr>
          <w:p w14:paraId="3D251BA6"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71.681 </w:t>
            </w:r>
            <w:r w:rsidRPr="001A7586">
              <w:rPr>
                <w:rFonts w:cstheme="minorHAnsi"/>
                <w:bCs/>
                <w:color w:val="000000" w:themeColor="text1"/>
                <w:sz w:val="20"/>
                <w:szCs w:val="20"/>
              </w:rPr>
              <w:t>± 8.089</w:t>
            </w:r>
          </w:p>
        </w:tc>
        <w:tc>
          <w:tcPr>
            <w:tcW w:w="2254" w:type="dxa"/>
          </w:tcPr>
          <w:p w14:paraId="53A28A57"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66.738 </w:t>
            </w:r>
            <w:r w:rsidRPr="001A7586">
              <w:rPr>
                <w:rFonts w:cstheme="minorHAnsi"/>
                <w:bCs/>
                <w:color w:val="000000" w:themeColor="text1"/>
                <w:sz w:val="20"/>
                <w:szCs w:val="20"/>
              </w:rPr>
              <w:t>± 16.030</w:t>
            </w:r>
          </w:p>
        </w:tc>
        <w:tc>
          <w:tcPr>
            <w:tcW w:w="2254" w:type="dxa"/>
          </w:tcPr>
          <w:p w14:paraId="1DA2200C"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64.119 </w:t>
            </w:r>
            <w:r w:rsidRPr="001A7586">
              <w:rPr>
                <w:rFonts w:cstheme="minorHAnsi"/>
                <w:bCs/>
                <w:color w:val="000000" w:themeColor="text1"/>
                <w:sz w:val="20"/>
                <w:szCs w:val="20"/>
              </w:rPr>
              <w:t>± 10.841</w:t>
            </w:r>
          </w:p>
        </w:tc>
      </w:tr>
      <w:tr w:rsidR="00016CD9" w:rsidRPr="001A7586" w14:paraId="7D591119" w14:textId="77777777" w:rsidTr="006476B1">
        <w:tc>
          <w:tcPr>
            <w:tcW w:w="2254" w:type="dxa"/>
          </w:tcPr>
          <w:p w14:paraId="6DC2D491"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Top of nest box</w:t>
            </w:r>
          </w:p>
        </w:tc>
        <w:tc>
          <w:tcPr>
            <w:tcW w:w="2254" w:type="dxa"/>
          </w:tcPr>
          <w:p w14:paraId="66619ECF"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19.717 </w:t>
            </w:r>
            <w:r w:rsidRPr="001A7586">
              <w:rPr>
                <w:rFonts w:cstheme="minorHAnsi"/>
                <w:bCs/>
                <w:color w:val="000000" w:themeColor="text1"/>
                <w:sz w:val="20"/>
                <w:szCs w:val="20"/>
              </w:rPr>
              <w:t>± 7.8</w:t>
            </w:r>
          </w:p>
        </w:tc>
        <w:tc>
          <w:tcPr>
            <w:tcW w:w="2254" w:type="dxa"/>
          </w:tcPr>
          <w:p w14:paraId="4A1646D6"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1.738 </w:t>
            </w:r>
            <w:r w:rsidRPr="001A7586">
              <w:rPr>
                <w:rFonts w:cstheme="minorHAnsi"/>
                <w:bCs/>
                <w:color w:val="000000" w:themeColor="text1"/>
                <w:sz w:val="20"/>
                <w:szCs w:val="20"/>
              </w:rPr>
              <w:t>± 1.738</w:t>
            </w:r>
          </w:p>
        </w:tc>
        <w:tc>
          <w:tcPr>
            <w:tcW w:w="2254" w:type="dxa"/>
          </w:tcPr>
          <w:p w14:paraId="53A85F33"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4.414 </w:t>
            </w:r>
            <w:r w:rsidRPr="001A7586">
              <w:rPr>
                <w:rFonts w:cstheme="minorHAnsi"/>
                <w:bCs/>
                <w:color w:val="000000" w:themeColor="text1"/>
                <w:sz w:val="20"/>
                <w:szCs w:val="20"/>
              </w:rPr>
              <w:t>± 2.328</w:t>
            </w:r>
          </w:p>
        </w:tc>
      </w:tr>
      <w:tr w:rsidR="00016CD9" w:rsidRPr="001A7586" w14:paraId="758A2361" w14:textId="77777777" w:rsidTr="006476B1">
        <w:tc>
          <w:tcPr>
            <w:tcW w:w="2254" w:type="dxa"/>
          </w:tcPr>
          <w:p w14:paraId="5CF1E9A9" w14:textId="77777777" w:rsidR="00016CD9" w:rsidRPr="001A7586" w:rsidRDefault="00016CD9" w:rsidP="00AF18CF">
            <w:pPr>
              <w:spacing w:after="119" w:line="480" w:lineRule="auto"/>
              <w:jc w:val="both"/>
              <w:rPr>
                <w:b/>
                <w:bCs/>
                <w:color w:val="000000" w:themeColor="text1"/>
                <w:sz w:val="20"/>
                <w:szCs w:val="20"/>
              </w:rPr>
            </w:pPr>
            <w:r w:rsidRPr="001A7586">
              <w:rPr>
                <w:b/>
                <w:bCs/>
                <w:color w:val="000000" w:themeColor="text1"/>
                <w:sz w:val="20"/>
                <w:szCs w:val="20"/>
              </w:rPr>
              <w:t>Avg height</w:t>
            </w:r>
          </w:p>
        </w:tc>
        <w:tc>
          <w:tcPr>
            <w:tcW w:w="2254" w:type="dxa"/>
          </w:tcPr>
          <w:p w14:paraId="479DE2B8"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68.758 </w:t>
            </w:r>
            <w:r w:rsidRPr="001A7586">
              <w:rPr>
                <w:rFonts w:cstheme="minorHAnsi"/>
                <w:bCs/>
                <w:color w:val="000000" w:themeColor="text1"/>
                <w:sz w:val="20"/>
                <w:szCs w:val="20"/>
              </w:rPr>
              <w:t>± 3.697</w:t>
            </w:r>
          </w:p>
        </w:tc>
        <w:tc>
          <w:tcPr>
            <w:tcW w:w="2254" w:type="dxa"/>
          </w:tcPr>
          <w:p w14:paraId="0F0F7D05"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58.79 </w:t>
            </w:r>
            <w:r w:rsidRPr="001A7586">
              <w:rPr>
                <w:rFonts w:cstheme="minorHAnsi"/>
                <w:bCs/>
                <w:color w:val="000000" w:themeColor="text1"/>
                <w:sz w:val="20"/>
                <w:szCs w:val="20"/>
              </w:rPr>
              <w:t>± 7.503</w:t>
            </w:r>
          </w:p>
        </w:tc>
        <w:tc>
          <w:tcPr>
            <w:tcW w:w="2254" w:type="dxa"/>
          </w:tcPr>
          <w:p w14:paraId="603BE9ED"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55.5 </w:t>
            </w:r>
            <w:r w:rsidRPr="001A7586">
              <w:rPr>
                <w:rFonts w:cstheme="minorHAnsi"/>
                <w:bCs/>
                <w:color w:val="000000" w:themeColor="text1"/>
                <w:sz w:val="20"/>
                <w:szCs w:val="20"/>
              </w:rPr>
              <w:t>± 5.593</w:t>
            </w:r>
          </w:p>
        </w:tc>
      </w:tr>
      <w:tr w:rsidR="00016CD9" w:rsidRPr="001A7586" w14:paraId="6FAC67E2" w14:textId="77777777" w:rsidTr="006476B1">
        <w:tc>
          <w:tcPr>
            <w:tcW w:w="2254" w:type="dxa"/>
          </w:tcPr>
          <w:p w14:paraId="4F7C2ADC" w14:textId="77777777" w:rsidR="00016CD9" w:rsidRPr="001A7586" w:rsidRDefault="00016CD9" w:rsidP="00AF18CF">
            <w:pPr>
              <w:spacing w:after="119" w:line="480" w:lineRule="auto"/>
              <w:jc w:val="both"/>
              <w:rPr>
                <w:bCs/>
                <w:i/>
                <w:color w:val="000000" w:themeColor="text1"/>
                <w:sz w:val="20"/>
                <w:szCs w:val="20"/>
              </w:rPr>
            </w:pPr>
            <w:r w:rsidRPr="001A7586">
              <w:rPr>
                <w:bCs/>
                <w:i/>
                <w:color w:val="000000" w:themeColor="text1"/>
                <w:sz w:val="20"/>
                <w:szCs w:val="20"/>
              </w:rPr>
              <w:t>Movement</w:t>
            </w:r>
          </w:p>
        </w:tc>
        <w:tc>
          <w:tcPr>
            <w:tcW w:w="2254" w:type="dxa"/>
          </w:tcPr>
          <w:p w14:paraId="6985260B" w14:textId="77777777" w:rsidR="00016CD9" w:rsidRPr="001A7586" w:rsidRDefault="00016CD9" w:rsidP="00AF18CF">
            <w:pPr>
              <w:spacing w:after="119" w:line="480" w:lineRule="auto"/>
              <w:jc w:val="both"/>
              <w:rPr>
                <w:bCs/>
                <w:color w:val="000000" w:themeColor="text1"/>
                <w:sz w:val="20"/>
                <w:szCs w:val="20"/>
              </w:rPr>
            </w:pPr>
          </w:p>
        </w:tc>
        <w:tc>
          <w:tcPr>
            <w:tcW w:w="2254" w:type="dxa"/>
          </w:tcPr>
          <w:p w14:paraId="341151F5" w14:textId="77777777" w:rsidR="00016CD9" w:rsidRPr="001A7586" w:rsidRDefault="00016CD9" w:rsidP="00AF18CF">
            <w:pPr>
              <w:spacing w:after="119" w:line="480" w:lineRule="auto"/>
              <w:jc w:val="both"/>
              <w:rPr>
                <w:bCs/>
                <w:color w:val="000000" w:themeColor="text1"/>
                <w:sz w:val="20"/>
                <w:szCs w:val="20"/>
              </w:rPr>
            </w:pPr>
          </w:p>
        </w:tc>
        <w:tc>
          <w:tcPr>
            <w:tcW w:w="2254" w:type="dxa"/>
          </w:tcPr>
          <w:p w14:paraId="1781F54E" w14:textId="77777777" w:rsidR="00016CD9" w:rsidRPr="001A7586" w:rsidRDefault="00016CD9" w:rsidP="00AF18CF">
            <w:pPr>
              <w:spacing w:after="119" w:line="480" w:lineRule="auto"/>
              <w:jc w:val="both"/>
              <w:rPr>
                <w:bCs/>
                <w:color w:val="000000" w:themeColor="text1"/>
                <w:sz w:val="20"/>
                <w:szCs w:val="20"/>
              </w:rPr>
            </w:pPr>
          </w:p>
        </w:tc>
      </w:tr>
      <w:tr w:rsidR="00016CD9" w:rsidRPr="001A7586" w14:paraId="4B0B10EF" w14:textId="77777777" w:rsidTr="006476B1">
        <w:tc>
          <w:tcPr>
            <w:tcW w:w="2254" w:type="dxa"/>
          </w:tcPr>
          <w:p w14:paraId="441A2BEF" w14:textId="77777777" w:rsidR="00016CD9" w:rsidRPr="001A7586" w:rsidRDefault="00016CD9" w:rsidP="00AF18CF">
            <w:pPr>
              <w:spacing w:after="119" w:line="480" w:lineRule="auto"/>
              <w:jc w:val="both"/>
              <w:rPr>
                <w:b/>
                <w:bCs/>
                <w:color w:val="000000" w:themeColor="text1"/>
                <w:sz w:val="20"/>
                <w:szCs w:val="20"/>
              </w:rPr>
            </w:pPr>
            <w:r w:rsidRPr="001A7586">
              <w:rPr>
                <w:b/>
                <w:bCs/>
                <w:color w:val="000000" w:themeColor="text1"/>
                <w:sz w:val="20"/>
                <w:szCs w:val="20"/>
              </w:rPr>
              <w:lastRenderedPageBreak/>
              <w:t>Locomotion</w:t>
            </w:r>
          </w:p>
        </w:tc>
        <w:tc>
          <w:tcPr>
            <w:tcW w:w="2254" w:type="dxa"/>
          </w:tcPr>
          <w:p w14:paraId="3B1439C7"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2.003 </w:t>
            </w:r>
            <w:r w:rsidRPr="001A7586">
              <w:rPr>
                <w:rFonts w:cstheme="minorHAnsi"/>
                <w:bCs/>
                <w:color w:val="000000" w:themeColor="text1"/>
                <w:sz w:val="20"/>
                <w:szCs w:val="20"/>
              </w:rPr>
              <w:t>± 0.832</w:t>
            </w:r>
          </w:p>
        </w:tc>
        <w:tc>
          <w:tcPr>
            <w:tcW w:w="2254" w:type="dxa"/>
          </w:tcPr>
          <w:p w14:paraId="11F96BDA"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3.208 </w:t>
            </w:r>
            <w:r w:rsidRPr="001A7586">
              <w:rPr>
                <w:rFonts w:cstheme="minorHAnsi"/>
                <w:bCs/>
                <w:color w:val="000000" w:themeColor="text1"/>
                <w:sz w:val="20"/>
                <w:szCs w:val="20"/>
              </w:rPr>
              <w:t>± 0.999</w:t>
            </w:r>
          </w:p>
        </w:tc>
        <w:tc>
          <w:tcPr>
            <w:tcW w:w="2254" w:type="dxa"/>
          </w:tcPr>
          <w:p w14:paraId="28AB3488"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3.623 </w:t>
            </w:r>
            <w:r w:rsidRPr="001A7586">
              <w:rPr>
                <w:rFonts w:cstheme="minorHAnsi"/>
                <w:bCs/>
                <w:color w:val="000000" w:themeColor="text1"/>
                <w:sz w:val="20"/>
                <w:szCs w:val="20"/>
              </w:rPr>
              <w:t>± 1.119</w:t>
            </w:r>
          </w:p>
        </w:tc>
      </w:tr>
      <w:tr w:rsidR="00016CD9" w:rsidRPr="001A7586" w14:paraId="3C92B37F" w14:textId="77777777" w:rsidTr="006476B1">
        <w:tc>
          <w:tcPr>
            <w:tcW w:w="2254" w:type="dxa"/>
          </w:tcPr>
          <w:p w14:paraId="02957E44"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Jumps</w:t>
            </w:r>
          </w:p>
        </w:tc>
        <w:tc>
          <w:tcPr>
            <w:tcW w:w="2254" w:type="dxa"/>
          </w:tcPr>
          <w:p w14:paraId="3C199739"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1.667 </w:t>
            </w:r>
            <w:r w:rsidRPr="001A7586">
              <w:rPr>
                <w:rFonts w:cstheme="minorHAnsi"/>
                <w:bCs/>
                <w:color w:val="000000" w:themeColor="text1"/>
                <w:sz w:val="20"/>
                <w:szCs w:val="20"/>
              </w:rPr>
              <w:t>± 0.667</w:t>
            </w:r>
          </w:p>
        </w:tc>
        <w:tc>
          <w:tcPr>
            <w:tcW w:w="2254" w:type="dxa"/>
          </w:tcPr>
          <w:p w14:paraId="3CCB391B"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2.5 </w:t>
            </w:r>
            <w:r w:rsidRPr="001A7586">
              <w:rPr>
                <w:rFonts w:cstheme="minorHAnsi"/>
                <w:bCs/>
                <w:color w:val="000000" w:themeColor="text1"/>
                <w:sz w:val="20"/>
                <w:szCs w:val="20"/>
              </w:rPr>
              <w:t>± 1.057</w:t>
            </w:r>
          </w:p>
        </w:tc>
        <w:tc>
          <w:tcPr>
            <w:tcW w:w="2254" w:type="dxa"/>
          </w:tcPr>
          <w:p w14:paraId="5B5A91A8"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3.5 </w:t>
            </w:r>
            <w:r w:rsidRPr="001A7586">
              <w:rPr>
                <w:rFonts w:cstheme="minorHAnsi"/>
                <w:bCs/>
                <w:color w:val="000000" w:themeColor="text1"/>
                <w:sz w:val="20"/>
                <w:szCs w:val="20"/>
              </w:rPr>
              <w:t>± 1.057</w:t>
            </w:r>
          </w:p>
        </w:tc>
      </w:tr>
      <w:tr w:rsidR="00016CD9" w:rsidRPr="001A7586" w14:paraId="23D6EFEC" w14:textId="77777777" w:rsidTr="006476B1">
        <w:tc>
          <w:tcPr>
            <w:tcW w:w="2254" w:type="dxa"/>
          </w:tcPr>
          <w:p w14:paraId="62FCE454" w14:textId="77777777" w:rsidR="00016CD9" w:rsidRPr="001A7586" w:rsidRDefault="00016CD9" w:rsidP="00AF18CF">
            <w:pPr>
              <w:spacing w:after="119" w:line="480" w:lineRule="auto"/>
              <w:jc w:val="both"/>
              <w:rPr>
                <w:b/>
                <w:bCs/>
                <w:color w:val="000000" w:themeColor="text1"/>
                <w:sz w:val="20"/>
                <w:szCs w:val="20"/>
              </w:rPr>
            </w:pPr>
            <w:r w:rsidRPr="001A7586">
              <w:rPr>
                <w:b/>
                <w:bCs/>
                <w:color w:val="000000" w:themeColor="text1"/>
                <w:sz w:val="20"/>
                <w:szCs w:val="20"/>
              </w:rPr>
              <w:t>Bobs</w:t>
            </w:r>
          </w:p>
        </w:tc>
        <w:tc>
          <w:tcPr>
            <w:tcW w:w="2254" w:type="dxa"/>
          </w:tcPr>
          <w:p w14:paraId="1AD05883"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30.333 </w:t>
            </w:r>
            <w:r w:rsidRPr="001A7586">
              <w:rPr>
                <w:rFonts w:cstheme="minorHAnsi"/>
                <w:bCs/>
                <w:color w:val="000000" w:themeColor="text1"/>
                <w:sz w:val="20"/>
                <w:szCs w:val="20"/>
              </w:rPr>
              <w:t>± 8.313</w:t>
            </w:r>
          </w:p>
        </w:tc>
        <w:tc>
          <w:tcPr>
            <w:tcW w:w="2254" w:type="dxa"/>
          </w:tcPr>
          <w:p w14:paraId="45E065F1"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19.333 </w:t>
            </w:r>
            <w:r w:rsidRPr="001A7586">
              <w:rPr>
                <w:rFonts w:cstheme="minorHAnsi"/>
                <w:bCs/>
                <w:color w:val="000000" w:themeColor="text1"/>
                <w:sz w:val="20"/>
                <w:szCs w:val="20"/>
              </w:rPr>
              <w:t>± 5.714</w:t>
            </w:r>
          </w:p>
        </w:tc>
        <w:tc>
          <w:tcPr>
            <w:tcW w:w="2254" w:type="dxa"/>
          </w:tcPr>
          <w:p w14:paraId="4CB3ABE9"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19.0 </w:t>
            </w:r>
            <w:r w:rsidRPr="001A7586">
              <w:rPr>
                <w:rFonts w:cstheme="minorHAnsi"/>
                <w:bCs/>
                <w:color w:val="000000" w:themeColor="text1"/>
                <w:sz w:val="20"/>
                <w:szCs w:val="20"/>
              </w:rPr>
              <w:t>± 7.546</w:t>
            </w:r>
          </w:p>
        </w:tc>
      </w:tr>
      <w:tr w:rsidR="00016CD9" w:rsidRPr="001A7586" w14:paraId="66F30145" w14:textId="77777777" w:rsidTr="006476B1">
        <w:tc>
          <w:tcPr>
            <w:tcW w:w="2254" w:type="dxa"/>
          </w:tcPr>
          <w:p w14:paraId="07BF0841" w14:textId="77777777" w:rsidR="00016CD9" w:rsidRPr="001A7586" w:rsidRDefault="00016CD9" w:rsidP="00AF18CF">
            <w:pPr>
              <w:spacing w:after="119" w:line="480" w:lineRule="auto"/>
              <w:jc w:val="both"/>
              <w:rPr>
                <w:bCs/>
                <w:i/>
                <w:color w:val="000000" w:themeColor="text1"/>
                <w:sz w:val="20"/>
                <w:szCs w:val="20"/>
              </w:rPr>
            </w:pPr>
            <w:r w:rsidRPr="001A7586">
              <w:rPr>
                <w:bCs/>
                <w:i/>
                <w:color w:val="000000" w:themeColor="text1"/>
                <w:sz w:val="20"/>
                <w:szCs w:val="20"/>
              </w:rPr>
              <w:t>Calls</w:t>
            </w:r>
          </w:p>
        </w:tc>
        <w:tc>
          <w:tcPr>
            <w:tcW w:w="2254" w:type="dxa"/>
          </w:tcPr>
          <w:p w14:paraId="46AC5F15" w14:textId="77777777" w:rsidR="00016CD9" w:rsidRPr="001A7586" w:rsidRDefault="00016CD9" w:rsidP="00AF18CF">
            <w:pPr>
              <w:spacing w:after="119" w:line="480" w:lineRule="auto"/>
              <w:jc w:val="both"/>
              <w:rPr>
                <w:bCs/>
                <w:color w:val="000000" w:themeColor="text1"/>
                <w:sz w:val="20"/>
                <w:szCs w:val="20"/>
              </w:rPr>
            </w:pPr>
          </w:p>
        </w:tc>
        <w:tc>
          <w:tcPr>
            <w:tcW w:w="2254" w:type="dxa"/>
          </w:tcPr>
          <w:p w14:paraId="5DC88EAE" w14:textId="77777777" w:rsidR="00016CD9" w:rsidRPr="001A7586" w:rsidRDefault="00016CD9" w:rsidP="00AF18CF">
            <w:pPr>
              <w:spacing w:after="119" w:line="480" w:lineRule="auto"/>
              <w:jc w:val="both"/>
              <w:rPr>
                <w:bCs/>
                <w:color w:val="000000" w:themeColor="text1"/>
                <w:sz w:val="20"/>
                <w:szCs w:val="20"/>
              </w:rPr>
            </w:pPr>
          </w:p>
        </w:tc>
        <w:tc>
          <w:tcPr>
            <w:tcW w:w="2254" w:type="dxa"/>
          </w:tcPr>
          <w:p w14:paraId="7216922F" w14:textId="77777777" w:rsidR="00016CD9" w:rsidRPr="001A7586" w:rsidRDefault="00016CD9" w:rsidP="00AF18CF">
            <w:pPr>
              <w:spacing w:after="119" w:line="480" w:lineRule="auto"/>
              <w:jc w:val="both"/>
              <w:rPr>
                <w:bCs/>
                <w:color w:val="000000" w:themeColor="text1"/>
                <w:sz w:val="20"/>
                <w:szCs w:val="20"/>
              </w:rPr>
            </w:pPr>
          </w:p>
        </w:tc>
      </w:tr>
      <w:tr w:rsidR="00016CD9" w:rsidRPr="001A7586" w14:paraId="2AA103B8" w14:textId="77777777" w:rsidTr="006476B1">
        <w:tc>
          <w:tcPr>
            <w:tcW w:w="2254" w:type="dxa"/>
          </w:tcPr>
          <w:p w14:paraId="138498FF" w14:textId="77777777" w:rsidR="00016CD9" w:rsidRPr="001A7586" w:rsidRDefault="00016CD9" w:rsidP="00AF18CF">
            <w:pPr>
              <w:spacing w:after="119" w:line="480" w:lineRule="auto"/>
              <w:jc w:val="both"/>
              <w:rPr>
                <w:b/>
                <w:bCs/>
                <w:color w:val="000000" w:themeColor="text1"/>
                <w:sz w:val="20"/>
                <w:szCs w:val="20"/>
              </w:rPr>
            </w:pPr>
            <w:r w:rsidRPr="001A7586">
              <w:rPr>
                <w:b/>
                <w:bCs/>
                <w:color w:val="000000" w:themeColor="text1"/>
                <w:sz w:val="20"/>
                <w:szCs w:val="20"/>
              </w:rPr>
              <w:t>Tsik</w:t>
            </w:r>
          </w:p>
        </w:tc>
        <w:tc>
          <w:tcPr>
            <w:tcW w:w="2254" w:type="dxa"/>
          </w:tcPr>
          <w:p w14:paraId="60EE3BD0"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3.833 </w:t>
            </w:r>
            <w:r w:rsidRPr="001A7586">
              <w:rPr>
                <w:rFonts w:cstheme="minorHAnsi"/>
                <w:bCs/>
                <w:color w:val="000000" w:themeColor="text1"/>
                <w:sz w:val="20"/>
                <w:szCs w:val="20"/>
              </w:rPr>
              <w:t>± 3.637</w:t>
            </w:r>
          </w:p>
        </w:tc>
        <w:tc>
          <w:tcPr>
            <w:tcW w:w="2254" w:type="dxa"/>
          </w:tcPr>
          <w:p w14:paraId="2E7977DA"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4.0 </w:t>
            </w:r>
            <w:r w:rsidRPr="001A7586">
              <w:rPr>
                <w:rFonts w:cstheme="minorHAnsi"/>
                <w:bCs/>
                <w:color w:val="000000" w:themeColor="text1"/>
                <w:sz w:val="20"/>
                <w:szCs w:val="20"/>
              </w:rPr>
              <w:t>± 2.696</w:t>
            </w:r>
          </w:p>
        </w:tc>
        <w:tc>
          <w:tcPr>
            <w:tcW w:w="2254" w:type="dxa"/>
          </w:tcPr>
          <w:p w14:paraId="04F79F25"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1.0 </w:t>
            </w:r>
            <w:r w:rsidRPr="001A7586">
              <w:rPr>
                <w:rFonts w:cstheme="minorHAnsi"/>
                <w:bCs/>
                <w:color w:val="000000" w:themeColor="text1"/>
                <w:sz w:val="20"/>
                <w:szCs w:val="20"/>
              </w:rPr>
              <w:t>± 0.516</w:t>
            </w:r>
          </w:p>
        </w:tc>
      </w:tr>
      <w:tr w:rsidR="00016CD9" w:rsidRPr="001A7586" w14:paraId="4269FF35" w14:textId="77777777" w:rsidTr="006476B1">
        <w:tc>
          <w:tcPr>
            <w:tcW w:w="2254" w:type="dxa"/>
          </w:tcPr>
          <w:p w14:paraId="7E1862F0" w14:textId="77777777" w:rsidR="00016CD9" w:rsidRPr="001A7586" w:rsidRDefault="00016CD9" w:rsidP="00AF18CF">
            <w:pPr>
              <w:spacing w:after="119" w:line="480" w:lineRule="auto"/>
              <w:jc w:val="both"/>
              <w:rPr>
                <w:b/>
                <w:bCs/>
                <w:color w:val="000000" w:themeColor="text1"/>
                <w:sz w:val="20"/>
                <w:szCs w:val="20"/>
              </w:rPr>
            </w:pPr>
            <w:r w:rsidRPr="001A7586">
              <w:rPr>
                <w:b/>
                <w:bCs/>
                <w:color w:val="000000" w:themeColor="text1"/>
                <w:sz w:val="20"/>
                <w:szCs w:val="20"/>
              </w:rPr>
              <w:t>Tsik-Egg</w:t>
            </w:r>
          </w:p>
        </w:tc>
        <w:tc>
          <w:tcPr>
            <w:tcW w:w="2254" w:type="dxa"/>
          </w:tcPr>
          <w:p w14:paraId="08987AC4"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4.667 </w:t>
            </w:r>
            <w:r w:rsidRPr="001A7586">
              <w:rPr>
                <w:rFonts w:cstheme="minorHAnsi"/>
                <w:bCs/>
                <w:color w:val="000000" w:themeColor="text1"/>
                <w:sz w:val="20"/>
                <w:szCs w:val="20"/>
              </w:rPr>
              <w:t>± 3.721</w:t>
            </w:r>
          </w:p>
        </w:tc>
        <w:tc>
          <w:tcPr>
            <w:tcW w:w="2254" w:type="dxa"/>
          </w:tcPr>
          <w:p w14:paraId="5CAA6221"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4.0 </w:t>
            </w:r>
            <w:r w:rsidRPr="001A7586">
              <w:rPr>
                <w:rFonts w:cstheme="minorHAnsi"/>
                <w:bCs/>
                <w:color w:val="000000" w:themeColor="text1"/>
                <w:sz w:val="20"/>
                <w:szCs w:val="20"/>
              </w:rPr>
              <w:t>± 3.235</w:t>
            </w:r>
          </w:p>
        </w:tc>
        <w:tc>
          <w:tcPr>
            <w:tcW w:w="2254" w:type="dxa"/>
          </w:tcPr>
          <w:p w14:paraId="0F837D48"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6.667 </w:t>
            </w:r>
            <w:r w:rsidRPr="001A7586">
              <w:rPr>
                <w:rFonts w:cstheme="minorHAnsi"/>
                <w:bCs/>
                <w:color w:val="000000" w:themeColor="text1"/>
                <w:sz w:val="20"/>
                <w:szCs w:val="20"/>
              </w:rPr>
              <w:t>± 5.690</w:t>
            </w:r>
          </w:p>
        </w:tc>
      </w:tr>
      <w:tr w:rsidR="00016CD9" w:rsidRPr="001A7586" w14:paraId="342D942F" w14:textId="77777777" w:rsidTr="006476B1">
        <w:tc>
          <w:tcPr>
            <w:tcW w:w="2254" w:type="dxa"/>
          </w:tcPr>
          <w:p w14:paraId="77707C1A" w14:textId="77777777" w:rsidR="00016CD9" w:rsidRPr="001A7586" w:rsidRDefault="00016CD9" w:rsidP="00AF18CF">
            <w:pPr>
              <w:spacing w:after="119" w:line="480" w:lineRule="auto"/>
              <w:jc w:val="both"/>
              <w:rPr>
                <w:bCs/>
                <w:color w:val="000000" w:themeColor="text1"/>
              </w:rPr>
            </w:pPr>
            <w:r w:rsidRPr="001A7586">
              <w:rPr>
                <w:bCs/>
                <w:color w:val="000000" w:themeColor="text1"/>
              </w:rPr>
              <w:t>Tse</w:t>
            </w:r>
          </w:p>
        </w:tc>
        <w:tc>
          <w:tcPr>
            <w:tcW w:w="2254" w:type="dxa"/>
          </w:tcPr>
          <w:p w14:paraId="3155E835"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2.0 </w:t>
            </w:r>
            <w:r w:rsidRPr="001A7586">
              <w:rPr>
                <w:rFonts w:cstheme="minorHAnsi"/>
                <w:bCs/>
                <w:color w:val="000000" w:themeColor="text1"/>
                <w:sz w:val="20"/>
                <w:szCs w:val="20"/>
              </w:rPr>
              <w:t>± 1.095</w:t>
            </w:r>
          </w:p>
        </w:tc>
        <w:tc>
          <w:tcPr>
            <w:tcW w:w="2254" w:type="dxa"/>
          </w:tcPr>
          <w:p w14:paraId="47BA0F59"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0.667 </w:t>
            </w:r>
            <w:r w:rsidRPr="001A7586">
              <w:rPr>
                <w:rFonts w:cstheme="minorHAnsi"/>
                <w:bCs/>
                <w:color w:val="000000" w:themeColor="text1"/>
                <w:sz w:val="20"/>
                <w:szCs w:val="20"/>
              </w:rPr>
              <w:t>± 0.333</w:t>
            </w:r>
          </w:p>
        </w:tc>
        <w:tc>
          <w:tcPr>
            <w:tcW w:w="2254" w:type="dxa"/>
          </w:tcPr>
          <w:p w14:paraId="47EB97DB"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0.833 </w:t>
            </w:r>
            <w:r w:rsidRPr="001A7586">
              <w:rPr>
                <w:rFonts w:cstheme="minorHAnsi"/>
                <w:bCs/>
                <w:color w:val="000000" w:themeColor="text1"/>
                <w:sz w:val="20"/>
                <w:szCs w:val="20"/>
              </w:rPr>
              <w:t>± 0.477</w:t>
            </w:r>
          </w:p>
        </w:tc>
      </w:tr>
      <w:tr w:rsidR="00016CD9" w:rsidRPr="001A7586" w14:paraId="63086038" w14:textId="77777777" w:rsidTr="006476B1">
        <w:tc>
          <w:tcPr>
            <w:tcW w:w="2254" w:type="dxa"/>
          </w:tcPr>
          <w:p w14:paraId="539AB0EE" w14:textId="77777777" w:rsidR="00016CD9" w:rsidRPr="001A7586" w:rsidRDefault="00016CD9" w:rsidP="00AF18CF">
            <w:pPr>
              <w:spacing w:after="119" w:line="480" w:lineRule="auto"/>
              <w:jc w:val="both"/>
              <w:rPr>
                <w:b/>
                <w:bCs/>
                <w:color w:val="000000" w:themeColor="text1"/>
                <w:sz w:val="20"/>
                <w:szCs w:val="20"/>
              </w:rPr>
            </w:pPr>
            <w:r w:rsidRPr="001A7586">
              <w:rPr>
                <w:b/>
                <w:bCs/>
                <w:color w:val="000000" w:themeColor="text1"/>
                <w:sz w:val="20"/>
                <w:szCs w:val="20"/>
              </w:rPr>
              <w:t>Tse-Egg</w:t>
            </w:r>
          </w:p>
        </w:tc>
        <w:tc>
          <w:tcPr>
            <w:tcW w:w="2254" w:type="dxa"/>
          </w:tcPr>
          <w:p w14:paraId="70827CD7"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6.667 </w:t>
            </w:r>
            <w:r w:rsidRPr="001A7586">
              <w:rPr>
                <w:rFonts w:cstheme="minorHAnsi"/>
                <w:bCs/>
                <w:color w:val="000000" w:themeColor="text1"/>
                <w:sz w:val="20"/>
                <w:szCs w:val="20"/>
              </w:rPr>
              <w:t>± 2.951</w:t>
            </w:r>
          </w:p>
        </w:tc>
        <w:tc>
          <w:tcPr>
            <w:tcW w:w="2254" w:type="dxa"/>
          </w:tcPr>
          <w:p w14:paraId="58FC30E6"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2.833 </w:t>
            </w:r>
            <w:r w:rsidRPr="001A7586">
              <w:rPr>
                <w:rFonts w:cstheme="minorHAnsi"/>
                <w:bCs/>
                <w:color w:val="000000" w:themeColor="text1"/>
                <w:sz w:val="20"/>
                <w:szCs w:val="20"/>
              </w:rPr>
              <w:t>± 2.242</w:t>
            </w:r>
          </w:p>
        </w:tc>
        <w:tc>
          <w:tcPr>
            <w:tcW w:w="2254" w:type="dxa"/>
          </w:tcPr>
          <w:p w14:paraId="5DECDDDD"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4.00 </w:t>
            </w:r>
            <w:r w:rsidRPr="001A7586">
              <w:rPr>
                <w:rFonts w:cstheme="minorHAnsi"/>
                <w:bCs/>
                <w:color w:val="000000" w:themeColor="text1"/>
                <w:sz w:val="20"/>
                <w:szCs w:val="20"/>
              </w:rPr>
              <w:t>± 1.949</w:t>
            </w:r>
          </w:p>
        </w:tc>
      </w:tr>
      <w:tr w:rsidR="00016CD9" w:rsidRPr="001A7586" w14:paraId="5D5A35CD" w14:textId="77777777" w:rsidTr="006476B1">
        <w:tc>
          <w:tcPr>
            <w:tcW w:w="2254" w:type="dxa"/>
          </w:tcPr>
          <w:p w14:paraId="536024A0" w14:textId="77777777" w:rsidR="00016CD9" w:rsidRPr="001A7586" w:rsidRDefault="00016CD9" w:rsidP="00AF18CF">
            <w:pPr>
              <w:spacing w:after="119" w:line="480" w:lineRule="auto"/>
              <w:jc w:val="both"/>
              <w:rPr>
                <w:b/>
                <w:bCs/>
                <w:color w:val="000000" w:themeColor="text1"/>
                <w:sz w:val="20"/>
                <w:szCs w:val="20"/>
              </w:rPr>
            </w:pPr>
            <w:r w:rsidRPr="001A7586">
              <w:rPr>
                <w:b/>
                <w:bCs/>
                <w:color w:val="000000" w:themeColor="text1"/>
                <w:sz w:val="20"/>
                <w:szCs w:val="20"/>
              </w:rPr>
              <w:t>Egg</w:t>
            </w:r>
          </w:p>
        </w:tc>
        <w:tc>
          <w:tcPr>
            <w:tcW w:w="2254" w:type="dxa"/>
          </w:tcPr>
          <w:p w14:paraId="2A69F7A0"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4.823 </w:t>
            </w:r>
            <w:r w:rsidRPr="001A7586">
              <w:rPr>
                <w:rFonts w:cstheme="minorHAnsi"/>
                <w:bCs/>
                <w:color w:val="000000" w:themeColor="text1"/>
                <w:sz w:val="20"/>
                <w:szCs w:val="20"/>
              </w:rPr>
              <w:t>± 2.926</w:t>
            </w:r>
          </w:p>
        </w:tc>
        <w:tc>
          <w:tcPr>
            <w:tcW w:w="2254" w:type="dxa"/>
          </w:tcPr>
          <w:p w14:paraId="3E4D8560"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1.667 </w:t>
            </w:r>
            <w:r w:rsidRPr="001A7586">
              <w:rPr>
                <w:rFonts w:cstheme="minorHAnsi"/>
                <w:bCs/>
                <w:color w:val="000000" w:themeColor="text1"/>
                <w:sz w:val="20"/>
                <w:szCs w:val="20"/>
              </w:rPr>
              <w:t>± 0.333</w:t>
            </w:r>
          </w:p>
        </w:tc>
        <w:tc>
          <w:tcPr>
            <w:tcW w:w="2254" w:type="dxa"/>
          </w:tcPr>
          <w:p w14:paraId="3F027BF5" w14:textId="77777777" w:rsidR="00016CD9" w:rsidRPr="001A7586" w:rsidRDefault="00016CD9" w:rsidP="00AF18CF">
            <w:pPr>
              <w:spacing w:after="119" w:line="480" w:lineRule="auto"/>
              <w:jc w:val="both"/>
              <w:rPr>
                <w:bCs/>
                <w:color w:val="000000" w:themeColor="text1"/>
                <w:sz w:val="20"/>
                <w:szCs w:val="20"/>
              </w:rPr>
            </w:pPr>
            <w:r w:rsidRPr="001A7586">
              <w:rPr>
                <w:bCs/>
                <w:color w:val="000000" w:themeColor="text1"/>
                <w:sz w:val="20"/>
                <w:szCs w:val="20"/>
              </w:rPr>
              <w:t xml:space="preserve">4.0 </w:t>
            </w:r>
            <w:r w:rsidRPr="001A7586">
              <w:rPr>
                <w:rFonts w:cstheme="minorHAnsi"/>
                <w:bCs/>
                <w:color w:val="000000" w:themeColor="text1"/>
                <w:sz w:val="20"/>
                <w:szCs w:val="20"/>
              </w:rPr>
              <w:t>± 1.770</w:t>
            </w:r>
          </w:p>
        </w:tc>
      </w:tr>
    </w:tbl>
    <w:p w14:paraId="1738DE99" w14:textId="77777777" w:rsidR="00DF786F" w:rsidRPr="001A7586" w:rsidRDefault="00DF786F" w:rsidP="00DF786F">
      <w:pPr>
        <w:pStyle w:val="Default"/>
        <w:spacing w:line="480" w:lineRule="auto"/>
        <w:jc w:val="both"/>
        <w:rPr>
          <w:rFonts w:asciiTheme="minorHAnsi" w:hAnsiTheme="minorHAnsi" w:cstheme="minorBidi"/>
          <w:b/>
          <w:color w:val="auto"/>
          <w:sz w:val="22"/>
          <w:szCs w:val="22"/>
        </w:rPr>
      </w:pPr>
      <w:r w:rsidRPr="001A7586">
        <w:rPr>
          <w:rFonts w:asciiTheme="minorHAnsi" w:hAnsiTheme="minorHAnsi" w:cstheme="minorBidi"/>
          <w:b/>
          <w:color w:val="auto"/>
          <w:sz w:val="22"/>
          <w:szCs w:val="22"/>
        </w:rPr>
        <w:t>Table 4. Summary of human intruder performances after saline and aHipp LY/CGP</w:t>
      </w:r>
    </w:p>
    <w:p w14:paraId="7BC059C9" w14:textId="2ABA875F" w:rsidR="00DF786F" w:rsidRPr="001A7586" w:rsidRDefault="00DF786F" w:rsidP="00DF786F">
      <w:pPr>
        <w:autoSpaceDE w:val="0"/>
        <w:autoSpaceDN w:val="0"/>
        <w:adjustRightInd w:val="0"/>
        <w:spacing w:after="0" w:line="480" w:lineRule="auto"/>
        <w:rPr>
          <w:rFonts w:cstheme="minorHAnsi"/>
        </w:rPr>
      </w:pPr>
      <w:r w:rsidRPr="001A7586">
        <w:rPr>
          <w:rFonts w:cstheme="minorHAnsi"/>
        </w:rPr>
        <w:t xml:space="preserve">Mean scores for all behaviors </w:t>
      </w:r>
      <w:r w:rsidR="00D8399B" w:rsidRPr="001A7586">
        <w:rPr>
          <w:rFonts w:cstheme="minorHAnsi"/>
        </w:rPr>
        <w:t>analyzed</w:t>
      </w:r>
      <w:r w:rsidRPr="001A7586">
        <w:rPr>
          <w:rFonts w:cstheme="minorHAnsi"/>
        </w:rPr>
        <w:t xml:space="preserve"> during the human intruder test after each presentation of the test (saline 1, LY/CGP and saline 2). Data presented as mean ± standard error of the mean. *P &lt; 0.05. Asterisks in column 1 indicate a main overall effect of the measure, asterisks in columns 2-4 indicate significance compared to the preceding test.</w:t>
      </w:r>
    </w:p>
    <w:p w14:paraId="659607DE" w14:textId="77777777" w:rsidR="008322A3" w:rsidRPr="001A7586" w:rsidRDefault="008322A3" w:rsidP="00AF18CF">
      <w:pPr>
        <w:pStyle w:val="Default"/>
        <w:spacing w:line="480" w:lineRule="auto"/>
        <w:jc w:val="both"/>
        <w:rPr>
          <w:rFonts w:asciiTheme="minorHAnsi" w:hAnsiTheme="minorHAnsi" w:cstheme="minorBidi"/>
          <w:b/>
          <w:color w:val="auto"/>
          <w:sz w:val="22"/>
          <w:szCs w:val="22"/>
        </w:rPr>
      </w:pPr>
    </w:p>
    <w:p w14:paraId="47B8C2F7" w14:textId="77777777" w:rsidR="008322A3" w:rsidRPr="001A7586" w:rsidRDefault="008322A3" w:rsidP="00AF18CF">
      <w:pPr>
        <w:pStyle w:val="Default"/>
        <w:spacing w:line="480" w:lineRule="auto"/>
        <w:jc w:val="both"/>
        <w:rPr>
          <w:rFonts w:asciiTheme="minorHAnsi" w:hAnsiTheme="minorHAnsi" w:cstheme="minorBidi"/>
          <w:b/>
          <w:color w:val="auto"/>
          <w:sz w:val="22"/>
          <w:szCs w:val="22"/>
        </w:rPr>
      </w:pPr>
    </w:p>
    <w:p w14:paraId="161C461D" w14:textId="77777777" w:rsidR="008322A3" w:rsidRPr="001A7586" w:rsidRDefault="008322A3" w:rsidP="00AF18CF">
      <w:pPr>
        <w:pStyle w:val="Default"/>
        <w:spacing w:line="480" w:lineRule="auto"/>
        <w:jc w:val="both"/>
        <w:rPr>
          <w:rFonts w:asciiTheme="minorHAnsi" w:hAnsiTheme="minorHAnsi" w:cstheme="minorBidi"/>
          <w:b/>
          <w:color w:val="auto"/>
          <w:sz w:val="22"/>
          <w:szCs w:val="22"/>
        </w:rPr>
      </w:pPr>
    </w:p>
    <w:p w14:paraId="55BA8BD8" w14:textId="77777777" w:rsidR="008322A3" w:rsidRPr="001A7586" w:rsidRDefault="008322A3" w:rsidP="00AF18CF">
      <w:pPr>
        <w:pStyle w:val="Default"/>
        <w:spacing w:line="480" w:lineRule="auto"/>
        <w:jc w:val="both"/>
        <w:rPr>
          <w:rFonts w:asciiTheme="minorHAnsi" w:hAnsiTheme="minorHAnsi" w:cstheme="minorBidi"/>
          <w:b/>
          <w:color w:val="auto"/>
          <w:sz w:val="22"/>
          <w:szCs w:val="22"/>
        </w:rPr>
      </w:pPr>
    </w:p>
    <w:p w14:paraId="7093B7FB" w14:textId="77777777" w:rsidR="008322A3" w:rsidRPr="001A7586" w:rsidRDefault="008322A3" w:rsidP="00AF18CF">
      <w:pPr>
        <w:pStyle w:val="Default"/>
        <w:spacing w:line="480" w:lineRule="auto"/>
        <w:jc w:val="both"/>
        <w:rPr>
          <w:rFonts w:asciiTheme="minorHAnsi" w:hAnsiTheme="minorHAnsi" w:cstheme="minorBidi"/>
          <w:b/>
          <w:color w:val="auto"/>
          <w:sz w:val="22"/>
          <w:szCs w:val="22"/>
        </w:rPr>
      </w:pPr>
    </w:p>
    <w:p w14:paraId="6E060234" w14:textId="77777777" w:rsidR="008322A3" w:rsidRPr="001A7586" w:rsidRDefault="008322A3" w:rsidP="00AF18CF">
      <w:pPr>
        <w:pStyle w:val="Default"/>
        <w:spacing w:line="480" w:lineRule="auto"/>
        <w:jc w:val="both"/>
        <w:rPr>
          <w:rFonts w:asciiTheme="minorHAnsi" w:hAnsiTheme="minorHAnsi" w:cstheme="minorBidi"/>
          <w:b/>
          <w:color w:val="auto"/>
          <w:sz w:val="22"/>
          <w:szCs w:val="22"/>
        </w:rPr>
      </w:pPr>
    </w:p>
    <w:p w14:paraId="778F85FD" w14:textId="77777777" w:rsidR="008322A3" w:rsidRPr="001A7586" w:rsidRDefault="008322A3" w:rsidP="00AF18CF">
      <w:pPr>
        <w:pStyle w:val="Default"/>
        <w:spacing w:line="480" w:lineRule="auto"/>
        <w:jc w:val="both"/>
        <w:rPr>
          <w:rFonts w:asciiTheme="minorHAnsi" w:hAnsiTheme="minorHAnsi" w:cstheme="minorBidi"/>
          <w:b/>
          <w:color w:val="auto"/>
          <w:sz w:val="22"/>
          <w:szCs w:val="22"/>
        </w:rPr>
      </w:pPr>
    </w:p>
    <w:p w14:paraId="581439EA" w14:textId="77777777" w:rsidR="008322A3" w:rsidRPr="001A7586" w:rsidRDefault="008322A3" w:rsidP="00AF18CF">
      <w:pPr>
        <w:pStyle w:val="Default"/>
        <w:spacing w:line="480" w:lineRule="auto"/>
        <w:jc w:val="both"/>
        <w:rPr>
          <w:rFonts w:asciiTheme="minorHAnsi" w:hAnsiTheme="minorHAnsi" w:cstheme="minorBidi"/>
          <w:b/>
          <w:color w:val="auto"/>
          <w:sz w:val="22"/>
          <w:szCs w:val="22"/>
        </w:rPr>
      </w:pPr>
    </w:p>
    <w:p w14:paraId="5424BC47" w14:textId="3FB31C9B" w:rsidR="00C2293D" w:rsidRPr="001A7586" w:rsidRDefault="00C2293D" w:rsidP="00AF18CF">
      <w:pPr>
        <w:pStyle w:val="Default"/>
        <w:spacing w:line="480" w:lineRule="auto"/>
        <w:jc w:val="both"/>
        <w:rPr>
          <w:rFonts w:asciiTheme="minorHAnsi" w:hAnsiTheme="minorHAnsi" w:cstheme="minorBidi"/>
          <w:b/>
          <w:color w:val="auto"/>
          <w:sz w:val="22"/>
          <w:szCs w:val="22"/>
        </w:rPr>
      </w:pPr>
      <w:r w:rsidRPr="001A7586">
        <w:rPr>
          <w:rFonts w:asciiTheme="minorHAnsi" w:hAnsiTheme="minorHAnsi" w:cstheme="minorBidi"/>
          <w:b/>
          <w:color w:val="auto"/>
          <w:sz w:val="22"/>
          <w:szCs w:val="22"/>
        </w:rPr>
        <w:t xml:space="preserve">Figure 1. Measures of </w:t>
      </w:r>
      <w:r w:rsidR="00444E79" w:rsidRPr="001A7586">
        <w:rPr>
          <w:rFonts w:asciiTheme="minorHAnsi" w:hAnsiTheme="minorHAnsi" w:cstheme="minorBidi"/>
          <w:b/>
          <w:color w:val="auto"/>
          <w:sz w:val="22"/>
          <w:szCs w:val="22"/>
        </w:rPr>
        <w:t>high-trait</w:t>
      </w:r>
      <w:r w:rsidRPr="001A7586">
        <w:rPr>
          <w:rFonts w:asciiTheme="minorHAnsi" w:hAnsiTheme="minorHAnsi" w:cstheme="minorBidi"/>
          <w:b/>
          <w:color w:val="auto"/>
          <w:sz w:val="22"/>
          <w:szCs w:val="22"/>
        </w:rPr>
        <w:t xml:space="preserve"> anxiety correlate</w:t>
      </w:r>
      <w:r w:rsidR="008322A3" w:rsidRPr="001A7586">
        <w:rPr>
          <w:rFonts w:asciiTheme="minorHAnsi" w:hAnsiTheme="minorHAnsi" w:cstheme="minorBidi"/>
          <w:b/>
          <w:color w:val="auto"/>
          <w:sz w:val="22"/>
          <w:szCs w:val="22"/>
        </w:rPr>
        <w:t xml:space="preserve"> with</w:t>
      </w:r>
      <w:r w:rsidRPr="001A7586">
        <w:rPr>
          <w:rFonts w:asciiTheme="minorHAnsi" w:hAnsiTheme="minorHAnsi" w:cstheme="minorBidi"/>
          <w:b/>
          <w:color w:val="auto"/>
          <w:sz w:val="22"/>
          <w:szCs w:val="22"/>
        </w:rPr>
        <w:t xml:space="preserve"> glutamate levels within the right anterior hippocampus.</w:t>
      </w:r>
    </w:p>
    <w:p w14:paraId="671C42E4" w14:textId="0FB45186" w:rsidR="00422D29" w:rsidRPr="001A7586" w:rsidRDefault="00422D29" w:rsidP="00AF18CF">
      <w:pPr>
        <w:spacing w:after="119" w:line="480" w:lineRule="auto"/>
        <w:jc w:val="both"/>
      </w:pPr>
      <w:r w:rsidRPr="001A7586">
        <w:rPr>
          <w:b/>
        </w:rPr>
        <w:lastRenderedPageBreak/>
        <w:t xml:space="preserve">A. </w:t>
      </w:r>
      <w:r w:rsidR="008322A3" w:rsidRPr="001A7586">
        <w:t>Schematic of the human intruder test apparatus detailing the depth (front, middle, back) and height (floor, low, middle, high</w:t>
      </w:r>
      <w:r w:rsidR="00B1640A" w:rsidRPr="001A7586">
        <w:t>, top of nest box</w:t>
      </w:r>
      <w:r w:rsidR="008322A3" w:rsidRPr="001A7586">
        <w:t xml:space="preserve">) locations that the monkey could occupy. </w:t>
      </w:r>
    </w:p>
    <w:p w14:paraId="4797A14D" w14:textId="77777777" w:rsidR="00831B20" w:rsidRPr="001A7586" w:rsidRDefault="00422D29" w:rsidP="00AF18CF">
      <w:pPr>
        <w:pStyle w:val="Default"/>
        <w:spacing w:line="480" w:lineRule="auto"/>
        <w:rPr>
          <w:b/>
          <w:sz w:val="22"/>
          <w:szCs w:val="22"/>
        </w:rPr>
      </w:pPr>
      <w:r w:rsidRPr="001A7586">
        <w:rPr>
          <w:b/>
          <w:sz w:val="22"/>
          <w:szCs w:val="22"/>
        </w:rPr>
        <w:t>B.</w:t>
      </w:r>
      <w:r w:rsidR="008322A3" w:rsidRPr="001A7586">
        <w:rPr>
          <w:b/>
          <w:sz w:val="22"/>
          <w:szCs w:val="22"/>
        </w:rPr>
        <w:t xml:space="preserve"> </w:t>
      </w:r>
      <w:r w:rsidR="008322A3" w:rsidRPr="001A7586">
        <w:rPr>
          <w:sz w:val="22"/>
          <w:szCs w:val="22"/>
        </w:rPr>
        <w:t>Schematic showing the dissection of the hippocampus from AP 4 to AP 6.5 prior to glutamate analysis</w:t>
      </w:r>
      <w:r w:rsidR="00831B20" w:rsidRPr="001A7586">
        <w:rPr>
          <w:b/>
          <w:sz w:val="22"/>
          <w:szCs w:val="22"/>
        </w:rPr>
        <w:t>.</w:t>
      </w:r>
    </w:p>
    <w:p w14:paraId="0486A45F" w14:textId="63190281" w:rsidR="008322A3" w:rsidRPr="001A7586" w:rsidRDefault="00831B20" w:rsidP="00AF18CF">
      <w:pPr>
        <w:pStyle w:val="Default"/>
        <w:spacing w:line="480" w:lineRule="auto"/>
        <w:rPr>
          <w:sz w:val="22"/>
          <w:szCs w:val="22"/>
        </w:rPr>
      </w:pPr>
      <w:r w:rsidRPr="001A7586">
        <w:rPr>
          <w:sz w:val="22"/>
          <w:szCs w:val="22"/>
        </w:rPr>
        <w:t>Decreased levels of hippocampal glutamate levels correlated with</w:t>
      </w:r>
      <w:r w:rsidR="006263C4" w:rsidRPr="001A7586">
        <w:rPr>
          <w:sz w:val="22"/>
          <w:szCs w:val="22"/>
        </w:rPr>
        <w:t xml:space="preserve"> increased</w:t>
      </w:r>
      <w:r w:rsidR="00960F19" w:rsidRPr="001A7586">
        <w:rPr>
          <w:sz w:val="22"/>
          <w:szCs w:val="22"/>
        </w:rPr>
        <w:t xml:space="preserve"> exploratory factor analysis score</w:t>
      </w:r>
      <w:r w:rsidR="006263C4" w:rsidRPr="001A7586">
        <w:rPr>
          <w:sz w:val="22"/>
          <w:szCs w:val="22"/>
        </w:rPr>
        <w:t xml:space="preserve"> </w:t>
      </w:r>
      <w:r w:rsidR="00960F19" w:rsidRPr="001A7586">
        <w:rPr>
          <w:sz w:val="22"/>
          <w:szCs w:val="22"/>
        </w:rPr>
        <w:t xml:space="preserve">(EFA score; </w:t>
      </w:r>
      <w:r w:rsidR="006263C4" w:rsidRPr="001A7586">
        <w:rPr>
          <w:sz w:val="22"/>
          <w:szCs w:val="22"/>
        </w:rPr>
        <w:t>C)</w:t>
      </w:r>
      <w:r w:rsidRPr="001A7586">
        <w:rPr>
          <w:sz w:val="22"/>
          <w:szCs w:val="22"/>
        </w:rPr>
        <w:t>, increased head and body bobbing (</w:t>
      </w:r>
      <w:r w:rsidR="0072744C" w:rsidRPr="001A7586">
        <w:rPr>
          <w:sz w:val="22"/>
          <w:szCs w:val="22"/>
        </w:rPr>
        <w:t>D</w:t>
      </w:r>
      <w:r w:rsidR="006263C4" w:rsidRPr="001A7586">
        <w:rPr>
          <w:sz w:val="22"/>
          <w:szCs w:val="22"/>
        </w:rPr>
        <w:t>)</w:t>
      </w:r>
      <w:r w:rsidRPr="001A7586">
        <w:rPr>
          <w:sz w:val="22"/>
          <w:szCs w:val="22"/>
        </w:rPr>
        <w:t>, but not time spent at the front of the cage (</w:t>
      </w:r>
      <w:r w:rsidR="0072744C" w:rsidRPr="001A7586">
        <w:rPr>
          <w:sz w:val="22"/>
          <w:szCs w:val="22"/>
        </w:rPr>
        <w:t>E</w:t>
      </w:r>
      <w:r w:rsidRPr="001A7586">
        <w:rPr>
          <w:sz w:val="22"/>
          <w:szCs w:val="22"/>
        </w:rPr>
        <w:t>).</w:t>
      </w:r>
    </w:p>
    <w:p w14:paraId="34DBD4E4" w14:textId="77777777" w:rsidR="00831B20" w:rsidRPr="001A7586" w:rsidRDefault="00831B20" w:rsidP="00AF18CF">
      <w:pPr>
        <w:pStyle w:val="Default"/>
        <w:spacing w:line="480" w:lineRule="auto"/>
        <w:rPr>
          <w:sz w:val="22"/>
          <w:szCs w:val="22"/>
        </w:rPr>
      </w:pPr>
    </w:p>
    <w:p w14:paraId="7083012C" w14:textId="77777777" w:rsidR="00831B20" w:rsidRPr="001A7586" w:rsidRDefault="00831B20" w:rsidP="00AF18CF">
      <w:pPr>
        <w:pStyle w:val="Default"/>
        <w:spacing w:line="480" w:lineRule="auto"/>
        <w:rPr>
          <w:sz w:val="22"/>
          <w:szCs w:val="22"/>
        </w:rPr>
      </w:pPr>
    </w:p>
    <w:p w14:paraId="6B81EC9C" w14:textId="77777777" w:rsidR="00C2293D" w:rsidRPr="001A7586" w:rsidRDefault="00C2293D" w:rsidP="00AF18CF">
      <w:pPr>
        <w:pStyle w:val="Default"/>
        <w:spacing w:line="480" w:lineRule="auto"/>
        <w:rPr>
          <w:rFonts w:asciiTheme="minorHAnsi" w:hAnsiTheme="minorHAnsi"/>
          <w:sz w:val="22"/>
          <w:szCs w:val="22"/>
        </w:rPr>
      </w:pPr>
    </w:p>
    <w:p w14:paraId="46060D92" w14:textId="5FE7AEEA" w:rsidR="00C2293D" w:rsidRPr="001A7586" w:rsidRDefault="00C2293D" w:rsidP="00AF18CF">
      <w:pPr>
        <w:spacing w:after="119" w:line="480" w:lineRule="auto"/>
        <w:jc w:val="both"/>
      </w:pPr>
      <w:r w:rsidRPr="001A7586">
        <w:rPr>
          <w:b/>
        </w:rPr>
        <w:t xml:space="preserve">Figure 2. aHipp LY/CGP treatment reversibly increases the time spent at the front of the cage and reduces the </w:t>
      </w:r>
      <w:r w:rsidR="0072744C" w:rsidRPr="001A7586">
        <w:rPr>
          <w:b/>
        </w:rPr>
        <w:t xml:space="preserve">EFA score </w:t>
      </w:r>
      <w:r w:rsidRPr="001A7586">
        <w:rPr>
          <w:b/>
        </w:rPr>
        <w:t>in the human intruder test</w:t>
      </w:r>
    </w:p>
    <w:p w14:paraId="71436F61" w14:textId="1B92E8ED" w:rsidR="00C2293D" w:rsidRPr="001A7586" w:rsidRDefault="008322A3" w:rsidP="00AF18CF">
      <w:pPr>
        <w:spacing w:after="119" w:line="480" w:lineRule="auto"/>
        <w:jc w:val="both"/>
        <w:rPr>
          <w:rFonts w:cs="AdvOT118e7927"/>
        </w:rPr>
      </w:pPr>
      <w:r w:rsidRPr="001A7586">
        <w:rPr>
          <w:b/>
        </w:rPr>
        <w:t>A</w:t>
      </w:r>
      <w:r w:rsidR="00C2293D" w:rsidRPr="001A7586">
        <w:rPr>
          <w:b/>
        </w:rPr>
        <w:t>.</w:t>
      </w:r>
      <w:r w:rsidR="00C2293D" w:rsidRPr="001A7586">
        <w:t xml:space="preserve"> </w:t>
      </w:r>
      <w:r w:rsidR="00C2293D" w:rsidRPr="001A7586">
        <w:rPr>
          <w:rFonts w:cs="AdvOT118e7927"/>
        </w:rPr>
        <w:t xml:space="preserve">Schematic showing the position of the cannulae tips and cannulae locations for each animal. All aHipp cannulae were located within the ranges of AP, </w:t>
      </w:r>
      <w:r w:rsidR="002C0EDF" w:rsidRPr="001A7586">
        <w:rPr>
          <w:rFonts w:cs="AdvOT118e7927"/>
        </w:rPr>
        <w:t>4.8-5.6</w:t>
      </w:r>
      <w:r w:rsidR="00C2293D" w:rsidRPr="001A7586">
        <w:rPr>
          <w:rFonts w:cs="AdvOT118e7927"/>
        </w:rPr>
        <w:t xml:space="preserve">, respectively, and are plotted here on a single coronal section. Cytoarchitectonic parcellation was based on </w:t>
      </w:r>
      <w:r w:rsidR="00C2293D" w:rsidRPr="00E20348">
        <w:fldChar w:fldCharType="begin" w:fldLock="1"/>
      </w:r>
      <w:r w:rsidR="007C1DE8" w:rsidRPr="001A7586">
        <w:instrText>ADDIN CSL_CITATION {"citationItems":[{"id":"ITEM-1","itemData":{"DOI":"10.1002/cne.21976","ISSN":"1096-9861","PMID":"19260047","abstract":"Although the common marmoset has become a model for the study of several neurological conditions that affect the frontal lobe, knowledge of the boundaries of the areas located in the orbital and medial frontal regions has remained incomplete. Here we examined histological sections stained for myelin, Nissl substance, and cytochrome oxidase, allowing identification of likely homologues of most of the architectural fields defined in Old World monkeys. Ventrally, we identified three granular fields at or near the frontal pole (area 10, and the medial and lateral subregions of area 11), and two granular fields along the lateral margin of the orbitofrontal cortex (medial and orbital subdivisions of area 12). More caudal and medially, dysgranular and agranular cortices included four subdivisions of area 13 as well as rostral and caudal subdivisions of area 14 (at the ventromedial convexity). The ventral frontotemporal transition encompassed at least two subdivisions of agranular insular cortex, as well as the likely homologues of the gustatory cortices. Most of the medial surface was encompassed by area 10 (which projected a caudomedial finger-like extension toward the subgenual cortex), together with a relatively large dysgranular area 32 and an agranular area 25 (in subgenual cortex). Finally, the caudal limit of the medial frontal cortex included two fields of agranular cingulate cortex (areas 24a and 24b). These findings enhance our understanding of the architectural organization of the marmoset frontal cortex and highlight a highly conserved basic organization across simian primates, allowing the informed interpretation of experimental neurological studies.","author":[{"dropping-particle":"","family":"Burman","given":"Kathleen J","non-dropping-particle":"","parse-names":false,"suffix":""},{"dropping-particle":"","family":"Rosa","given":"Marcello G P","non-dropping-particle":"","parse-names":false,"suffix":""}],"container-title":"Journal of Comparative Neurology","id":"ITEM-1","issue":"1","issued":{"date-parts":[["2009","5"]]},"note":"From Duplicate 1 (Architectural subdivisions of medial and orbital frontal cortices in the marmoset monkey (Callithrix jacchus) - Burman, K J; Rosa, M G)\n\n1096-9861 (Electronic)\nJournal Article\nResearch Support, Non-U.S. Gov't","page":"11-29","title":"Architectural subdivisions of medial and orbital frontal cortices in the marmoset monkey (Callithrix jacchus)","type":"article-journal","volume":"514"},"uris":["http://www.mendeley.com/documents/?uuid=90e68713-772a-46aa-94a7-36426be76156"]}],"mendeley":{"formattedCitation":"(Burman and Rosa, 2009)","plainTextFormattedCitation":"(Burman and Rosa, 2009)","previouslyFormattedCitation":"(Burman and Rosa, 2009)"},"properties":{"noteIndex":0},"schema":"https://github.com/citation-style-language/schema/raw/master/csl-citation.json"}</w:instrText>
      </w:r>
      <w:r w:rsidR="00C2293D" w:rsidRPr="00E20348">
        <w:fldChar w:fldCharType="separate"/>
      </w:r>
      <w:r w:rsidR="007C1DE8" w:rsidRPr="001A7586">
        <w:rPr>
          <w:rFonts w:cs="AdvOT118e7927"/>
          <w:noProof/>
        </w:rPr>
        <w:t>(Burman and Rosa, 2009)</w:t>
      </w:r>
      <w:r w:rsidR="00C2293D" w:rsidRPr="00E20348">
        <w:fldChar w:fldCharType="end"/>
      </w:r>
      <w:r w:rsidR="00C2293D" w:rsidRPr="001A7586">
        <w:rPr>
          <w:rFonts w:cs="AdvOT118e7927"/>
        </w:rPr>
        <w:t xml:space="preserve">. The circles represent the estimated maximal spread of the muscimol/baclofen or saline infusions </w:t>
      </w:r>
      <w:r w:rsidR="00C2293D" w:rsidRPr="00E20348">
        <w:fldChar w:fldCharType="begin" w:fldLock="1"/>
      </w:r>
      <w:r w:rsidR="007C1DE8" w:rsidRPr="001A7586">
        <w:instrText>ADDIN CSL_CITATION {"citationItems":[{"id":"ITEM-1","itemData":{"DOI":"10.1523/JNEUROSCI.3295-11.2011\r31/42/15128 [pii]","ISBN":"1529-2401 (Electronic)\r0270-6474 (Linking)","PMID":"22016546","abstract":"The orbitofrontal cortex (OFC) and its interactions with the basolateral amygdala (BLA) are critical for goal-directed behavior, especially for adapting to changes in reward value. Here we used a reinforcer devaluation paradigm to investigate the contribution of OFC to this behavior in four macaques. Subjects that had formed associations between objects and two different primary reinforcers (foods) were presented with choices of objects overlying the two different foods. When one of the two foods was devalued by selective satiation, the subjects shifted their choices toward the objects that represented the nonsated food reward (devaluation effect). Transient inactivation of OFC by infusions of the GABA(A) receptor agonist muscimol into area 13 blocked the devaluation effect: the monkeys did not reduce their selection of objects associated with the devalued food. This effect was observed when OFC was inactivated during both satiation and the choice test, and during the choice test only. This supports our hypothesis that OFC activity is required during the postsatiety object choice period to guide the selection of objects. This finding sharply contrasts with the role of BLA in the same devaluation process (Wellman et al., 2005). Whereas activity in BLA was required during the selective satiation procedure, it was not necessary for guiding the subsequent object choice. Our results are the first to demonstrate that transient inactivation of OFC is sufficient to disrupt the devaluation effect, and to document a role for OFC distinct from that of BLA for the conditioned reinforcer devaluation process in monkeys.","author":[{"dropping-particle":"","family":"West","given":"E A","non-dropping-particle":"","parse-names":false,"suffix":""},{"dropping-particle":"","family":"DesJardin","given":"J T","non-dropping-particle":"","parse-names":false,"suffix":""},{"dropping-particle":"","family":"Gale","given":"K","non-dropping-particle":"","parse-names":false,"suffix":""},{"dropping-particle":"","family":"Malkova","given":"L","non-dropping-particle":"","parse-names":false,"suffix":""}],"container-title":"Journal of Neuroscience","edition":"2011/10/22","id":"ITEM-1","issue":"42","issued":{"date-parts":[["2011"]]},"language":"eng","note":"West, Elizabeth A\nDesJardin, Jacqueline T\nGale, Karen\nMalkova, Ludise\nF31 DA026705-01A2/DA/NIDA NIH HHS/United States\nF31DA026705/DA/NIDA NIH HHS/United States\nR21MH078277/MH/NIMH NIH HHS/United States\nT32DA007291/DA/NIDA NIH HHS/United States\nT32NS04123/NS/NINDS NIH HHS/United States\nHoward Hughes Medical Institute/United States\nResearch Support, N.I.H., Extramural\nResearch Support, Non-U.S. Gov't\nUnited States\nThe Journal of neuroscience : the official journal of the Society for Neuroscience\nJ Neurosci. 2011 Oct 19;31(42):15128-35. doi: 10.1523/JNEUROSCI.3295-11.2011.","page":"15128-15135","title":"Transient inactivation of orbitofrontal cortex blocks reinforcer devaluation in macaques","type":"article-journal","volume":"31"},"uris":["http://www.mendeley.com/documents/?uuid=8fae7218-faa9-4631-9d45-c52fa20fbe8c"]}],"mendeley":{"formattedCitation":"(West et al., 2011)","plainTextFormattedCitation":"(West et al., 2011)","previouslyFormattedCitation":"(West et al., 2011)"},"properties":{"noteIndex":0},"schema":"https://github.com/citation-style-language/schema/raw/master/csl-citation.json"}</w:instrText>
      </w:r>
      <w:r w:rsidR="00C2293D" w:rsidRPr="00E20348">
        <w:fldChar w:fldCharType="separate"/>
      </w:r>
      <w:r w:rsidR="007C1DE8" w:rsidRPr="001A7586">
        <w:rPr>
          <w:rFonts w:cs="AdvOT118e7927"/>
          <w:noProof/>
        </w:rPr>
        <w:t>(West et al., 2011)</w:t>
      </w:r>
      <w:r w:rsidR="00C2293D" w:rsidRPr="00E20348">
        <w:fldChar w:fldCharType="end"/>
      </w:r>
      <w:r w:rsidR="00C2293D" w:rsidRPr="001A7586">
        <w:rPr>
          <w:rFonts w:cs="AdvOT118e7927"/>
        </w:rPr>
        <w:t xml:space="preserve">.  </w:t>
      </w:r>
    </w:p>
    <w:p w14:paraId="7BB6F4D7" w14:textId="509FBB21" w:rsidR="00831B20" w:rsidRPr="001A7586" w:rsidRDefault="008322A3" w:rsidP="00AF18CF">
      <w:pPr>
        <w:spacing w:after="119" w:line="480" w:lineRule="auto"/>
        <w:jc w:val="both"/>
        <w:rPr>
          <w:rFonts w:cs="AdvOT118e7927"/>
        </w:rPr>
      </w:pPr>
      <w:r w:rsidRPr="001A7586">
        <w:rPr>
          <w:b/>
        </w:rPr>
        <w:t>B</w:t>
      </w:r>
      <w:r w:rsidR="00C2293D" w:rsidRPr="001A7586">
        <w:rPr>
          <w:b/>
        </w:rPr>
        <w:t xml:space="preserve">. </w:t>
      </w:r>
      <w:r w:rsidR="00740FE4" w:rsidRPr="001A7586">
        <w:t>The time spent at the front of the cage is reversibly inc</w:t>
      </w:r>
      <w:r w:rsidR="00C200BE" w:rsidRPr="001A7586">
        <w:t xml:space="preserve">reased by aHipp LY/CGP infusion, but this is not shown </w:t>
      </w:r>
      <w:r w:rsidR="002715C7" w:rsidRPr="001A7586">
        <w:t>the composite anxiety</w:t>
      </w:r>
      <w:r w:rsidR="00C200BE" w:rsidRPr="001A7586">
        <w:t xml:space="preserve"> score (</w:t>
      </w:r>
      <w:r w:rsidR="0072744C" w:rsidRPr="001A7586">
        <w:rPr>
          <w:b/>
        </w:rPr>
        <w:t>C</w:t>
      </w:r>
      <w:r w:rsidR="00C200BE" w:rsidRPr="001A7586">
        <w:t>) due to habituation between the 2 saline infusions.</w:t>
      </w:r>
      <w:r w:rsidR="00831B20" w:rsidRPr="001A7586">
        <w:rPr>
          <w:rFonts w:cs="AdvOT118e7927"/>
        </w:rPr>
        <w:t xml:space="preserve">* </w:t>
      </w:r>
      <w:r w:rsidR="00831B20" w:rsidRPr="001A7586">
        <w:rPr>
          <w:rFonts w:cs="AdvOT118e7927"/>
          <w:i/>
        </w:rPr>
        <w:t>P</w:t>
      </w:r>
      <w:r w:rsidR="00831B20" w:rsidRPr="001A7586">
        <w:rPr>
          <w:rFonts w:cs="AdvOT118e7927"/>
        </w:rPr>
        <w:t xml:space="preserve"> &lt; 0.05.</w:t>
      </w:r>
    </w:p>
    <w:p w14:paraId="4AA01E4B" w14:textId="77777777" w:rsidR="00831B20" w:rsidRPr="001A7586" w:rsidRDefault="00831B20" w:rsidP="00AF18CF">
      <w:pPr>
        <w:spacing w:after="119" w:line="480" w:lineRule="auto"/>
        <w:jc w:val="both"/>
        <w:rPr>
          <w:rFonts w:cs="AdvOT118e7927"/>
        </w:rPr>
      </w:pPr>
    </w:p>
    <w:p w14:paraId="079C3A93" w14:textId="77777777" w:rsidR="00C2293D" w:rsidRPr="001A7586" w:rsidRDefault="00C2293D" w:rsidP="00AF18CF">
      <w:pPr>
        <w:pStyle w:val="Default"/>
        <w:spacing w:line="480" w:lineRule="auto"/>
        <w:rPr>
          <w:rFonts w:asciiTheme="minorHAnsi" w:hAnsiTheme="minorHAnsi"/>
          <w:sz w:val="22"/>
          <w:szCs w:val="22"/>
        </w:rPr>
      </w:pPr>
    </w:p>
    <w:p w14:paraId="0F7FCA09" w14:textId="77777777" w:rsidR="00C2293D" w:rsidRPr="001A7586" w:rsidRDefault="00C2293D" w:rsidP="00AF18CF">
      <w:pPr>
        <w:autoSpaceDE w:val="0"/>
        <w:autoSpaceDN w:val="0"/>
        <w:adjustRightInd w:val="0"/>
        <w:spacing w:line="480" w:lineRule="auto"/>
        <w:rPr>
          <w:b/>
        </w:rPr>
      </w:pPr>
      <w:r w:rsidRPr="001A7586">
        <w:rPr>
          <w:b/>
        </w:rPr>
        <w:t>Figure 3. Unpredictable threat test and cannulae schematics</w:t>
      </w:r>
    </w:p>
    <w:p w14:paraId="34766A53" w14:textId="644ED618" w:rsidR="00C2293D" w:rsidRPr="001A7586" w:rsidRDefault="00C2293D" w:rsidP="00AF18CF">
      <w:pPr>
        <w:spacing w:after="119" w:line="480" w:lineRule="auto"/>
        <w:jc w:val="both"/>
        <w:rPr>
          <w:bCs/>
        </w:rPr>
      </w:pPr>
      <w:r w:rsidRPr="001A7586">
        <w:rPr>
          <w:bCs/>
        </w:rPr>
        <w:t xml:space="preserve">A. In the unpredictable threat test (n = 6), animals were placed in a familiar environment for 25 mins and </w:t>
      </w:r>
      <w:r w:rsidR="00C200BE" w:rsidRPr="001A7586">
        <w:rPr>
          <w:bCs/>
        </w:rPr>
        <w:t>played two types of auditory stimuli</w:t>
      </w:r>
      <w:r w:rsidRPr="001A7586">
        <w:rPr>
          <w:bCs/>
        </w:rPr>
        <w:t xml:space="preserve">, a </w:t>
      </w:r>
      <w:r w:rsidR="00C200BE" w:rsidRPr="001A7586">
        <w:rPr>
          <w:bCs/>
        </w:rPr>
        <w:t>novel auditory cue</w:t>
      </w:r>
      <w:r w:rsidRPr="001A7586">
        <w:rPr>
          <w:bCs/>
        </w:rPr>
        <w:t xml:space="preserve"> and an unconditioned stimulus (US) for </w:t>
      </w:r>
      <w:r w:rsidRPr="001A7586">
        <w:rPr>
          <w:bCs/>
        </w:rPr>
        <w:lastRenderedPageBreak/>
        <w:t>the 4 unpredic</w:t>
      </w:r>
      <w:r w:rsidR="00C200BE" w:rsidRPr="001A7586">
        <w:rPr>
          <w:bCs/>
        </w:rPr>
        <w:t>table threat days.  Each cue</w:t>
      </w:r>
      <w:r w:rsidRPr="001A7586">
        <w:rPr>
          <w:bCs/>
        </w:rPr>
        <w:t xml:space="preserve"> was 20 sec long, 75dB and was presented 12 times with an intertrial interval (ITI) of 40-80 sec. Each mildly aversive US was 0.4 sec long, 117dB and presented 12 times with an ITI of 40-80 sec. The threat of the aversive US was unpredictable as there was no relation</w:t>
      </w:r>
      <w:r w:rsidR="00C200BE" w:rsidRPr="001A7586">
        <w:rPr>
          <w:bCs/>
        </w:rPr>
        <w:t>ship between the order of the cue</w:t>
      </w:r>
      <w:r w:rsidRPr="001A7586">
        <w:rPr>
          <w:bCs/>
        </w:rPr>
        <w:t>s and USs.  On the ambiguous cue probe (5</w:t>
      </w:r>
      <w:r w:rsidRPr="001A7586">
        <w:rPr>
          <w:bCs/>
          <w:vertAlign w:val="superscript"/>
        </w:rPr>
        <w:t>th</w:t>
      </w:r>
      <w:r w:rsidRPr="001A7586">
        <w:rPr>
          <w:bCs/>
        </w:rPr>
        <w:t xml:space="preserve"> day), monkeys were presented with a </w:t>
      </w:r>
      <w:r w:rsidR="00C200BE" w:rsidRPr="001A7586">
        <w:rPr>
          <w:bCs/>
        </w:rPr>
        <w:t>novel, ambiguous 20 sec, 75dB cue</w:t>
      </w:r>
      <w:r w:rsidRPr="001A7586">
        <w:rPr>
          <w:bCs/>
        </w:rPr>
        <w:t xml:space="preserve"> presented 12 times with an ITI of 100-180 sec in the same context. No USs were presented. All drug manipulations occur on ambiguous cue probes. The cycle</w:t>
      </w:r>
      <w:r w:rsidR="00C200BE" w:rsidRPr="001A7586">
        <w:rPr>
          <w:bCs/>
        </w:rPr>
        <w:t xml:space="preserve"> then repeated with the novel cue</w:t>
      </w:r>
      <w:r w:rsidRPr="001A7586">
        <w:rPr>
          <w:bCs/>
        </w:rPr>
        <w:t xml:space="preserve"> incorporated into the unpredictable threat training.</w:t>
      </w:r>
    </w:p>
    <w:p w14:paraId="3DD9CEB0" w14:textId="67B9C0B9" w:rsidR="00C2293D" w:rsidRPr="001A7586" w:rsidRDefault="00C2293D" w:rsidP="00AF18CF">
      <w:pPr>
        <w:spacing w:after="119" w:line="480" w:lineRule="auto"/>
        <w:jc w:val="both"/>
        <w:rPr>
          <w:b/>
          <w:bCs/>
        </w:rPr>
      </w:pPr>
      <w:r w:rsidRPr="001A7586">
        <w:rPr>
          <w:b/>
          <w:bCs/>
        </w:rPr>
        <w:t xml:space="preserve">B. </w:t>
      </w:r>
      <w:r w:rsidRPr="001A7586">
        <w:t xml:space="preserve">Glass brain illustrating the rostro-caudal locations of </w:t>
      </w:r>
      <w:r w:rsidR="006263C4" w:rsidRPr="001A7586">
        <w:t xml:space="preserve">the aHipp, </w:t>
      </w:r>
      <w:r w:rsidRPr="001A7586">
        <w:t>area 25</w:t>
      </w:r>
      <w:r w:rsidR="006263C4" w:rsidRPr="001A7586">
        <w:t xml:space="preserve"> and area</w:t>
      </w:r>
      <w:r w:rsidRPr="001A7586">
        <w:t xml:space="preserve"> 32,</w:t>
      </w:r>
      <w:r w:rsidR="006263C4" w:rsidRPr="001A7586">
        <w:t xml:space="preserve"> </w:t>
      </w:r>
      <w:r w:rsidRPr="001A7586">
        <w:rPr>
          <w:rFonts w:cs="AdvOT118e7927"/>
        </w:rPr>
        <w:t>and the double intracerebral cannulae targeting each area.</w:t>
      </w:r>
    </w:p>
    <w:p w14:paraId="67DB1C4A" w14:textId="0D1B3072" w:rsidR="00744AA8" w:rsidRPr="001A7586" w:rsidRDefault="00C2293D" w:rsidP="00AF18CF">
      <w:pPr>
        <w:pStyle w:val="Default"/>
        <w:spacing w:line="480" w:lineRule="auto"/>
        <w:jc w:val="both"/>
        <w:rPr>
          <w:rFonts w:cs="AdvOT118e7927"/>
          <w:sz w:val="22"/>
          <w:szCs w:val="22"/>
        </w:rPr>
      </w:pPr>
      <w:r w:rsidRPr="001A7586">
        <w:rPr>
          <w:b/>
          <w:bCs/>
          <w:sz w:val="22"/>
          <w:szCs w:val="22"/>
        </w:rPr>
        <w:t>C.</w:t>
      </w:r>
      <w:r w:rsidRPr="001A7586">
        <w:rPr>
          <w:rFonts w:cs="AdvOT118e7927"/>
          <w:sz w:val="22"/>
          <w:szCs w:val="22"/>
        </w:rPr>
        <w:t xml:space="preserve"> Representative histological sections with arrows marking the position of the cannulae tips and cannulae locations for each animal. All </w:t>
      </w:r>
      <w:r w:rsidR="009A6A70" w:rsidRPr="001A7586">
        <w:rPr>
          <w:rFonts w:cs="AdvOT118e7927"/>
          <w:sz w:val="22"/>
          <w:szCs w:val="22"/>
        </w:rPr>
        <w:t xml:space="preserve">aHipp, area 25 and area 32 </w:t>
      </w:r>
      <w:r w:rsidRPr="001A7586">
        <w:rPr>
          <w:rFonts w:cs="AdvOT118e7927"/>
          <w:sz w:val="22"/>
          <w:szCs w:val="22"/>
        </w:rPr>
        <w:t xml:space="preserve">cannulae were located within the ranges of AP </w:t>
      </w:r>
      <w:r w:rsidR="009A6A70" w:rsidRPr="001A7586">
        <w:rPr>
          <w:rFonts w:cs="AdvOT118e7927"/>
          <w:sz w:val="22"/>
          <w:szCs w:val="22"/>
        </w:rPr>
        <w:t>4.8-5.6</w:t>
      </w:r>
      <w:r w:rsidRPr="001A7586">
        <w:rPr>
          <w:rFonts w:cs="AdvOT118e7927"/>
          <w:sz w:val="22"/>
          <w:szCs w:val="22"/>
        </w:rPr>
        <w:t xml:space="preserve">, </w:t>
      </w:r>
      <w:r w:rsidR="00471BB2" w:rsidRPr="001A7586">
        <w:rPr>
          <w:rFonts w:cs="AdvOT118e7927"/>
          <w:sz w:val="22"/>
          <w:szCs w:val="22"/>
        </w:rPr>
        <w:t>12.5</w:t>
      </w:r>
      <w:r w:rsidR="009A6A70" w:rsidRPr="001A7586">
        <w:rPr>
          <w:rFonts w:cs="AdvOT118e7927"/>
          <w:sz w:val="22"/>
          <w:szCs w:val="22"/>
        </w:rPr>
        <w:t>-14, and 15.8</w:t>
      </w:r>
      <w:r w:rsidR="009A6A70" w:rsidRPr="001A7586">
        <w:rPr>
          <w:rFonts w:cs="AdvOT118e7927+20"/>
          <w:sz w:val="22"/>
          <w:szCs w:val="22"/>
        </w:rPr>
        <w:t>–</w:t>
      </w:r>
      <w:r w:rsidR="009A6A70" w:rsidRPr="001A7586">
        <w:rPr>
          <w:rFonts w:cs="AdvOT118e7927"/>
          <w:sz w:val="22"/>
          <w:szCs w:val="22"/>
        </w:rPr>
        <w:t xml:space="preserve">16.6 </w:t>
      </w:r>
      <w:r w:rsidRPr="001A7586">
        <w:rPr>
          <w:rFonts w:cs="AdvOT118e7927"/>
          <w:sz w:val="22"/>
          <w:szCs w:val="22"/>
        </w:rPr>
        <w:t xml:space="preserve">respectively, and are plotted here on a single coronal section for each target area. Cytoarchitectonic parcellation was based on </w:t>
      </w:r>
      <w:r w:rsidRPr="00E20348">
        <w:rPr>
          <w:sz w:val="22"/>
          <w:szCs w:val="22"/>
        </w:rPr>
        <w:fldChar w:fldCharType="begin" w:fldLock="1"/>
      </w:r>
      <w:r w:rsidR="007C1DE8" w:rsidRPr="001A7586">
        <w:rPr>
          <w:sz w:val="22"/>
          <w:szCs w:val="22"/>
        </w:rPr>
        <w:instrText>ADDIN CSL_CITATION {"citationItems":[{"id":"ITEM-1","itemData":{"DOI":"10.1002/cne.21976","ISSN":"1096-9861","PMID":"19260047","abstract":"Although the common marmoset has become a model for the study of several neurological conditions that affect the frontal lobe, knowledge of the boundaries of the areas located in the orbital and medial frontal regions has remained incomplete. Here we examined histological sections stained for myelin, Nissl substance, and cytochrome oxidase, allowing identification of likely homologues of most of the architectural fields defined in Old World monkeys. Ventrally, we identified three granular fields at or near the frontal pole (area 10, and the medial and lateral subregions of area 11), and two granular fields along the lateral margin of the orbitofrontal cortex (medial and orbital subdivisions of area 12). More caudal and medially, dysgranular and agranular cortices included four subdivisions of area 13 as well as rostral and caudal subdivisions of area 14 (at the ventromedial convexity). The ventral frontotemporal transition encompassed at least two subdivisions of agranular insular cortex, as well as the likely homologues of the gustatory cortices. Most of the medial surface was encompassed by area 10 (which projected a caudomedial finger-like extension toward the subgenual cortex), together with a relatively large dysgranular area 32 and an agranular area 25 (in subgenual cortex). Finally, the caudal limit of the medial frontal cortex included two fields of agranular cingulate cortex (areas 24a and 24b). These findings enhance our understanding of the architectural organization of the marmoset frontal cortex and highlight a highly conserved basic organization across simian primates, allowing the informed interpretation of experimental neurological studies.","author":[{"dropping-particle":"","family":"Burman","given":"Kathleen J","non-dropping-particle":"","parse-names":false,"suffix":""},{"dropping-particle":"","family":"Rosa","given":"Marcello G P","non-dropping-particle":"","parse-names":false,"suffix":""}],"container-title":"Journal of Comparative Neurology","id":"ITEM-1","issue":"1","issued":{"date-parts":[["2009","5"]]},"note":"From Duplicate 1 (Architectural subdivisions of medial and orbital frontal cortices in the marmoset monkey (Callithrix jacchus) - Burman, K J; Rosa, M G)\n\n1096-9861 (Electronic)\nJournal Article\nResearch Support, Non-U.S. Gov't","page":"11-29","title":"Architectural subdivisions of medial and orbital frontal cortices in the marmoset monkey (Callithrix jacchus)","type":"article-journal","volume":"514"},"uris":["http://www.mendeley.com/documents/?uuid=90e68713-772a-46aa-94a7-36426be76156"]}],"mendeley":{"formattedCitation":"(Burman and Rosa, 2009)","plainTextFormattedCitation":"(Burman and Rosa, 2009)","previouslyFormattedCitation":"(Burman and Rosa, 2009)"},"properties":{"noteIndex":0},"schema":"https://github.com/citation-style-language/schema/raw/master/csl-citation.json"}</w:instrText>
      </w:r>
      <w:r w:rsidRPr="00E20348">
        <w:rPr>
          <w:sz w:val="22"/>
          <w:szCs w:val="22"/>
        </w:rPr>
        <w:fldChar w:fldCharType="separate"/>
      </w:r>
      <w:bookmarkStart w:id="17" w:name="__Fieldmark__543_1543980783"/>
      <w:bookmarkStart w:id="18" w:name="__Fieldmark__25747_469894905"/>
      <w:r w:rsidR="007C1DE8" w:rsidRPr="001A7586">
        <w:rPr>
          <w:rFonts w:cs="AdvOT118e7927"/>
          <w:noProof/>
          <w:sz w:val="22"/>
          <w:szCs w:val="22"/>
        </w:rPr>
        <w:t>(Burman and Rosa, 2009)</w:t>
      </w:r>
      <w:r w:rsidRPr="00E20348">
        <w:rPr>
          <w:sz w:val="22"/>
          <w:szCs w:val="22"/>
        </w:rPr>
        <w:fldChar w:fldCharType="end"/>
      </w:r>
      <w:bookmarkEnd w:id="17"/>
      <w:bookmarkEnd w:id="18"/>
      <w:r w:rsidRPr="001A7586">
        <w:rPr>
          <w:rFonts w:cs="AdvOT118e7927"/>
          <w:sz w:val="22"/>
          <w:szCs w:val="22"/>
        </w:rPr>
        <w:t xml:space="preserve">. The circles represent the estimated maximal spread of the muscimol/baclofen or saline infusions </w:t>
      </w:r>
      <w:r w:rsidRPr="00E20348">
        <w:rPr>
          <w:sz w:val="22"/>
          <w:szCs w:val="22"/>
        </w:rPr>
        <w:fldChar w:fldCharType="begin" w:fldLock="1"/>
      </w:r>
      <w:r w:rsidR="007C1DE8" w:rsidRPr="001A7586">
        <w:rPr>
          <w:sz w:val="22"/>
          <w:szCs w:val="22"/>
        </w:rPr>
        <w:instrText>ADDIN CSL_CITATION {"citationItems":[{"id":"ITEM-1","itemData":{"DOI":"10.1523/JNEUROSCI.3295-11.2011\r31/42/15128 [pii]","ISBN":"1529-2401 (Electronic)\r0270-6474 (Linking)","PMID":"22016546","abstract":"The orbitofrontal cortex (OFC) and its interactions with the basolateral amygdala (BLA) are critical for goal-directed behavior, especially for adapting to changes in reward value. Here we used a reinforcer devaluation paradigm to investigate the contribution of OFC to this behavior in four macaques. Subjects that had formed associations between objects and two different primary reinforcers (foods) were presented with choices of objects overlying the two different foods. When one of the two foods was devalued by selective satiation, the subjects shifted their choices toward the objects that represented the nonsated food reward (devaluation effect). Transient inactivation of OFC by infusions of the GABA(A) receptor agonist muscimol into area 13 blocked the devaluation effect: the monkeys did not reduce their selection of objects associated with the devalued food. This effect was observed when OFC was inactivated during both satiation and the choice test, and during the choice test only. This supports our hypothesis that OFC activity is required during the postsatiety object choice period to guide the selection of objects. This finding sharply contrasts with the role of BLA in the same devaluation process (Wellman et al., 2005). Whereas activity in BLA was required during the selective satiation procedure, it was not necessary for guiding the subsequent object choice. Our results are the first to demonstrate that transient inactivation of OFC is sufficient to disrupt the devaluation effect, and to document a role for OFC distinct from that of BLA for the conditioned reinforcer devaluation process in monkeys.","author":[{"dropping-particle":"","family":"West","given":"E A","non-dropping-particle":"","parse-names":false,"suffix":""},{"dropping-particle":"","family":"DesJardin","given":"J T","non-dropping-particle":"","parse-names":false,"suffix":""},{"dropping-particle":"","family":"Gale","given":"K","non-dropping-particle":"","parse-names":false,"suffix":""},{"dropping-particle":"","family":"Malkova","given":"L","non-dropping-particle":"","parse-names":false,"suffix":""}],"container-title":"Journal of Neuroscience","edition":"2011/10/22","id":"ITEM-1","issue":"42","issued":{"date-parts":[["2011"]]},"language":"eng","note":"West, Elizabeth A\nDesJardin, Jacqueline T\nGale, Karen\nMalkova, Ludise\nF31 DA026705-01A2/DA/NIDA NIH HHS/United States\nF31DA026705/DA/NIDA NIH HHS/United States\nR21MH078277/MH/NIMH NIH HHS/United States\nT32DA007291/DA/NIDA NIH HHS/United States\nT32NS04123/NS/NINDS NIH HHS/United States\nHoward Hughes Medical Institute/United States\nResearch Support, N.I.H., Extramural\nResearch Support, Non-U.S. Gov't\nUnited States\nThe Journal of neuroscience : the official journal of the Society for Neuroscience\nJ Neurosci. 2011 Oct 19;31(42):15128-35. doi: 10.1523/JNEUROSCI.3295-11.2011.","page":"15128-15135","title":"Transient inactivation of orbitofrontal cortex blocks reinforcer devaluation in macaques","type":"article-journal","volume":"31"},"uris":["http://www.mendeley.com/documents/?uuid=8fae7218-faa9-4631-9d45-c52fa20fbe8c"]}],"mendeley":{"formattedCitation":"(West et al., 2011)","plainTextFormattedCitation":"(West et al., 2011)","previouslyFormattedCitation":"(West et al., 2011)"},"properties":{"noteIndex":0},"schema":"https://github.com/citation-style-language/schema/raw/master/csl-citation.json"}</w:instrText>
      </w:r>
      <w:r w:rsidRPr="00E20348">
        <w:rPr>
          <w:sz w:val="22"/>
          <w:szCs w:val="22"/>
        </w:rPr>
        <w:fldChar w:fldCharType="separate"/>
      </w:r>
      <w:bookmarkStart w:id="19" w:name="__Fieldmark__556_1543980783"/>
      <w:bookmarkStart w:id="20" w:name="__Fieldmark__25756_469894905"/>
      <w:r w:rsidR="007C1DE8" w:rsidRPr="001A7586">
        <w:rPr>
          <w:rFonts w:cs="AdvOT118e7927"/>
          <w:noProof/>
          <w:sz w:val="22"/>
          <w:szCs w:val="22"/>
        </w:rPr>
        <w:t>(West et al., 2011)</w:t>
      </w:r>
      <w:r w:rsidRPr="00E20348">
        <w:rPr>
          <w:sz w:val="22"/>
          <w:szCs w:val="22"/>
        </w:rPr>
        <w:fldChar w:fldCharType="end"/>
      </w:r>
      <w:bookmarkEnd w:id="19"/>
      <w:bookmarkEnd w:id="20"/>
      <w:r w:rsidRPr="001A7586">
        <w:rPr>
          <w:rFonts w:cs="AdvOT118e7927"/>
          <w:sz w:val="22"/>
          <w:szCs w:val="22"/>
        </w:rPr>
        <w:t xml:space="preserve">. </w:t>
      </w:r>
    </w:p>
    <w:p w14:paraId="5BD9215E" w14:textId="77777777" w:rsidR="00C2293D" w:rsidRPr="001A7586" w:rsidRDefault="00C2293D" w:rsidP="00AF18CF">
      <w:pPr>
        <w:pStyle w:val="Default"/>
        <w:spacing w:line="480" w:lineRule="auto"/>
        <w:rPr>
          <w:rFonts w:cs="AdvOT118e7927"/>
        </w:rPr>
      </w:pPr>
    </w:p>
    <w:p w14:paraId="293B63E7" w14:textId="718C6226" w:rsidR="00450AF9" w:rsidRPr="001A7586" w:rsidRDefault="00450AF9" w:rsidP="00AF18CF">
      <w:pPr>
        <w:spacing w:after="119" w:line="480" w:lineRule="auto"/>
        <w:jc w:val="both"/>
        <w:rPr>
          <w:b/>
          <w:bCs/>
        </w:rPr>
      </w:pPr>
      <w:r w:rsidRPr="001A7586">
        <w:rPr>
          <w:b/>
          <w:bCs/>
        </w:rPr>
        <w:t xml:space="preserve">Figure 4.  aHipp LY/CGP ameliorates the </w:t>
      </w:r>
      <w:r w:rsidR="00D71B0B" w:rsidRPr="001A7586">
        <w:rPr>
          <w:b/>
          <w:bCs/>
        </w:rPr>
        <w:t>behavior</w:t>
      </w:r>
      <w:r w:rsidRPr="001A7586">
        <w:rPr>
          <w:b/>
          <w:bCs/>
        </w:rPr>
        <w:t xml:space="preserve">al and cardiovascular correlates of </w:t>
      </w:r>
      <w:r w:rsidR="002C223C" w:rsidRPr="001A7586">
        <w:rPr>
          <w:b/>
          <w:bCs/>
        </w:rPr>
        <w:t>cue</w:t>
      </w:r>
      <w:r w:rsidRPr="001A7586">
        <w:rPr>
          <w:b/>
          <w:bCs/>
        </w:rPr>
        <w:t>-induced anxiety, but these effects can be blocked by simultaneous area 25 inactivation</w:t>
      </w:r>
    </w:p>
    <w:p w14:paraId="3CD35F38" w14:textId="14F70D01" w:rsidR="007440BE" w:rsidRPr="001A7586" w:rsidRDefault="00B2331C" w:rsidP="00AF18CF">
      <w:pPr>
        <w:spacing w:after="119" w:line="480" w:lineRule="auto"/>
        <w:jc w:val="both"/>
      </w:pPr>
      <w:r w:rsidRPr="001A7586">
        <w:t>Graphs</w:t>
      </w:r>
      <w:r w:rsidR="00450AF9" w:rsidRPr="001A7586">
        <w:t xml:space="preserve"> show</w:t>
      </w:r>
      <w:r w:rsidR="007440BE" w:rsidRPr="001A7586">
        <w:t xml:space="preserve">s the </w:t>
      </w:r>
      <w:r w:rsidR="00450AF9" w:rsidRPr="001A7586">
        <w:t xml:space="preserve">changes in </w:t>
      </w:r>
      <w:r w:rsidR="007440BE" w:rsidRPr="001A7586">
        <w:t>heart rate (HR, beats per min),</w:t>
      </w:r>
      <w:r w:rsidR="006C234C" w:rsidRPr="001A7586">
        <w:t xml:space="preserve"> </w:t>
      </w:r>
      <w:r w:rsidR="00450AF9" w:rsidRPr="001A7586">
        <w:t xml:space="preserve">vigilant scanning (VS), </w:t>
      </w:r>
      <w:r w:rsidR="002C223C" w:rsidRPr="001A7586">
        <w:t xml:space="preserve">HRV, CSI and CVI </w:t>
      </w:r>
      <w:r w:rsidR="00450AF9" w:rsidRPr="001A7586">
        <w:t xml:space="preserve">under drug and saline conditions, </w:t>
      </w:r>
      <w:r w:rsidR="002C223C" w:rsidRPr="001A7586">
        <w:t>during the cue</w:t>
      </w:r>
      <w:r w:rsidR="007440BE" w:rsidRPr="001A7586">
        <w:t xml:space="preserve"> </w:t>
      </w:r>
      <w:r w:rsidR="00450AF9" w:rsidRPr="001A7586">
        <w:t>relative</w:t>
      </w:r>
      <w:r w:rsidR="007440BE" w:rsidRPr="001A7586">
        <w:t xml:space="preserve"> to the baseline</w:t>
      </w:r>
      <w:r w:rsidR="002C223C" w:rsidRPr="001A7586">
        <w:t xml:space="preserve"> (the last 20 secs of the immediately preceding ITI</w:t>
      </w:r>
      <w:r w:rsidR="00450AF9" w:rsidRPr="001A7586">
        <w:t xml:space="preserve">. </w:t>
      </w:r>
      <w:r w:rsidR="002C223C" w:rsidRPr="001A7586">
        <w:t>Positive</w:t>
      </w:r>
      <w:r w:rsidR="00450AF9" w:rsidRPr="001A7586">
        <w:t xml:space="preserve"> numbers indicate an increase from baseline, while negative numbers indicate a decrease compared to baseline. Data = mean </w:t>
      </w:r>
      <w:r w:rsidR="00450AF9" w:rsidRPr="001A7586">
        <w:rPr>
          <w:rFonts w:cstheme="minorHAnsi"/>
        </w:rPr>
        <w:t>±</w:t>
      </w:r>
      <w:r w:rsidR="00450AF9" w:rsidRPr="001A7586">
        <w:t xml:space="preserve"> SEM, * P &lt; 0.05.</w:t>
      </w:r>
    </w:p>
    <w:p w14:paraId="1ABBA64F" w14:textId="5127E577" w:rsidR="00450AF9" w:rsidRPr="001A7586" w:rsidRDefault="00B2331C" w:rsidP="00AF18CF">
      <w:pPr>
        <w:spacing w:after="119" w:line="480" w:lineRule="auto"/>
        <w:jc w:val="both"/>
      </w:pPr>
      <w:r w:rsidRPr="001A7586">
        <w:rPr>
          <w:b/>
        </w:rPr>
        <w:t>a</w:t>
      </w:r>
      <w:r w:rsidR="00450AF9" w:rsidRPr="001A7586">
        <w:rPr>
          <w:b/>
        </w:rPr>
        <w:t>.</w:t>
      </w:r>
      <w:r w:rsidR="00450AF9" w:rsidRPr="001A7586">
        <w:t xml:space="preserve"> Compared to saline, aHipp LY/CGP infusion altered responding in a </w:t>
      </w:r>
      <w:r w:rsidRPr="001A7586">
        <w:t>cue</w:t>
      </w:r>
      <w:r w:rsidR="00450AF9" w:rsidRPr="001A7586">
        <w:t xml:space="preserve">-dependent manner, as assessed by </w:t>
      </w:r>
      <w:r w:rsidRPr="001A7586">
        <w:t>cue</w:t>
      </w:r>
      <w:r w:rsidR="00450AF9" w:rsidRPr="001A7586">
        <w:t>-induced incr</w:t>
      </w:r>
      <w:r w:rsidR="006C234C" w:rsidRPr="001A7586">
        <w:t>eases in HR</w:t>
      </w:r>
      <w:r w:rsidRPr="001A7586">
        <w:t>,</w:t>
      </w:r>
      <w:r w:rsidR="006C234C" w:rsidRPr="001A7586">
        <w:t xml:space="preserve"> </w:t>
      </w:r>
      <w:r w:rsidR="00450AF9" w:rsidRPr="001A7586">
        <w:t>VS</w:t>
      </w:r>
      <w:r w:rsidRPr="001A7586">
        <w:t xml:space="preserve"> and CSI, and decreases in HRV.</w:t>
      </w:r>
    </w:p>
    <w:p w14:paraId="2BE7DB79" w14:textId="2253CAE1" w:rsidR="00450AF9" w:rsidRPr="001A7586" w:rsidRDefault="00B2331C" w:rsidP="00AF18CF">
      <w:pPr>
        <w:spacing w:after="119" w:line="480" w:lineRule="auto"/>
        <w:jc w:val="both"/>
        <w:rPr>
          <w:rFonts w:cstheme="minorHAnsi"/>
        </w:rPr>
      </w:pPr>
      <w:r w:rsidRPr="001A7586">
        <w:rPr>
          <w:b/>
          <w:bCs/>
        </w:rPr>
        <w:lastRenderedPageBreak/>
        <w:t>b</w:t>
      </w:r>
      <w:r w:rsidR="00450AF9" w:rsidRPr="001A7586">
        <w:rPr>
          <w:b/>
          <w:bCs/>
        </w:rPr>
        <w:t>.</w:t>
      </w:r>
      <w:r w:rsidR="00450AF9" w:rsidRPr="001A7586">
        <w:rPr>
          <w:bCs/>
        </w:rPr>
        <w:t xml:space="preserve"> </w:t>
      </w:r>
      <w:r w:rsidR="00450AF9" w:rsidRPr="001A7586">
        <w:t>Simultaneous aHipp LY/CGP + area 25 inactivation abolished the increase</w:t>
      </w:r>
      <w:r w:rsidR="006C234C" w:rsidRPr="001A7586">
        <w:t>s</w:t>
      </w:r>
      <w:r w:rsidR="00450AF9" w:rsidRPr="001A7586">
        <w:t xml:space="preserve"> in HR</w:t>
      </w:r>
      <w:r w:rsidRPr="001A7586">
        <w:t xml:space="preserve">, </w:t>
      </w:r>
      <w:r w:rsidR="006C234C" w:rsidRPr="001A7586">
        <w:t>VS</w:t>
      </w:r>
      <w:r w:rsidRPr="001A7586">
        <w:t xml:space="preserve"> and CSI</w:t>
      </w:r>
      <w:r w:rsidR="006C234C" w:rsidRPr="001A7586">
        <w:t xml:space="preserve"> that were</w:t>
      </w:r>
      <w:r w:rsidR="00450AF9" w:rsidRPr="001A7586">
        <w:t xml:space="preserve"> seen with aHipp LY/CGP alone</w:t>
      </w:r>
      <w:r w:rsidR="006C234C" w:rsidRPr="001A7586">
        <w:t>.</w:t>
      </w:r>
      <w:r w:rsidR="00450AF9" w:rsidRPr="001A7586">
        <w:t xml:space="preserve"> Area 25 </w:t>
      </w:r>
      <w:r w:rsidR="006C234C" w:rsidRPr="001A7586">
        <w:t>inactivation</w:t>
      </w:r>
      <w:r w:rsidRPr="001A7586">
        <w:t xml:space="preserve"> also</w:t>
      </w:r>
      <w:r w:rsidR="006C234C" w:rsidRPr="001A7586">
        <w:t xml:space="preserve"> increased HR and VS in its own right.</w:t>
      </w:r>
    </w:p>
    <w:p w14:paraId="78DB8253" w14:textId="55D46B5E" w:rsidR="00450AF9" w:rsidRPr="001A7586" w:rsidRDefault="00B2331C" w:rsidP="00AF18CF">
      <w:pPr>
        <w:spacing w:after="119" w:line="480" w:lineRule="auto"/>
        <w:jc w:val="both"/>
        <w:rPr>
          <w:rFonts w:cstheme="minorHAnsi"/>
        </w:rPr>
      </w:pPr>
      <w:r w:rsidRPr="001A7586">
        <w:rPr>
          <w:b/>
          <w:bCs/>
        </w:rPr>
        <w:t>c</w:t>
      </w:r>
      <w:r w:rsidR="00450AF9" w:rsidRPr="001A7586">
        <w:rPr>
          <w:b/>
          <w:bCs/>
        </w:rPr>
        <w:t>.</w:t>
      </w:r>
      <w:r w:rsidR="00450AF9" w:rsidRPr="001A7586">
        <w:rPr>
          <w:bCs/>
        </w:rPr>
        <w:t xml:space="preserve"> Simultaneous aHipp LY/CGP + area 32 inactivation did not </w:t>
      </w:r>
      <w:r w:rsidRPr="001A7586">
        <w:rPr>
          <w:bCs/>
        </w:rPr>
        <w:t>alter the changes in VS and cardiovascular activity</w:t>
      </w:r>
      <w:r w:rsidR="006C234C" w:rsidRPr="001A7586">
        <w:rPr>
          <w:bCs/>
        </w:rPr>
        <w:t xml:space="preserve"> seen with aHipp LY/CGP alone. </w:t>
      </w:r>
      <w:r w:rsidR="00450AF9" w:rsidRPr="001A7586">
        <w:rPr>
          <w:bCs/>
        </w:rPr>
        <w:t xml:space="preserve">Area 32 inactivation </w:t>
      </w:r>
      <w:r w:rsidR="006C234C" w:rsidRPr="001A7586">
        <w:rPr>
          <w:bCs/>
        </w:rPr>
        <w:t xml:space="preserve">also </w:t>
      </w:r>
      <w:r w:rsidR="008322A3" w:rsidRPr="001A7586">
        <w:rPr>
          <w:bCs/>
        </w:rPr>
        <w:t>had no effect</w:t>
      </w:r>
      <w:r w:rsidRPr="001A7586">
        <w:rPr>
          <w:bCs/>
        </w:rPr>
        <w:t xml:space="preserve"> on its own.</w:t>
      </w:r>
    </w:p>
    <w:p w14:paraId="1823B466" w14:textId="77777777" w:rsidR="00450AF9" w:rsidRPr="001A7586" w:rsidRDefault="00450AF9" w:rsidP="00AF18CF">
      <w:pPr>
        <w:pStyle w:val="Default"/>
        <w:spacing w:line="480" w:lineRule="auto"/>
        <w:rPr>
          <w:rFonts w:cstheme="minorHAnsi"/>
        </w:rPr>
      </w:pPr>
    </w:p>
    <w:p w14:paraId="33E1EEDD" w14:textId="77777777" w:rsidR="00C2293D" w:rsidRPr="001A7586" w:rsidRDefault="00C2293D" w:rsidP="00AF18CF">
      <w:pPr>
        <w:pStyle w:val="Default"/>
        <w:spacing w:line="480" w:lineRule="auto"/>
        <w:rPr>
          <w:rFonts w:cs="AdvOT118e7927"/>
        </w:rPr>
      </w:pPr>
    </w:p>
    <w:p w14:paraId="5C86DE96" w14:textId="05BBBD06" w:rsidR="007A798D" w:rsidRPr="001A7586" w:rsidRDefault="002C223C" w:rsidP="00AF18CF">
      <w:pPr>
        <w:pStyle w:val="Default"/>
        <w:spacing w:line="480" w:lineRule="auto"/>
        <w:rPr>
          <w:rFonts w:asciiTheme="minorHAnsi" w:hAnsiTheme="minorHAnsi" w:cstheme="minorBidi"/>
          <w:b/>
          <w:color w:val="auto"/>
          <w:sz w:val="22"/>
          <w:szCs w:val="22"/>
        </w:rPr>
      </w:pPr>
      <w:r w:rsidRPr="001A7586">
        <w:rPr>
          <w:rFonts w:asciiTheme="minorHAnsi" w:hAnsiTheme="minorHAnsi" w:cstheme="minorBidi"/>
          <w:b/>
          <w:color w:val="auto"/>
          <w:sz w:val="22"/>
          <w:szCs w:val="22"/>
        </w:rPr>
        <w:t>Figure 5</w:t>
      </w:r>
      <w:r w:rsidR="007A798D" w:rsidRPr="001A7586">
        <w:rPr>
          <w:rFonts w:asciiTheme="minorHAnsi" w:hAnsiTheme="minorHAnsi" w:cstheme="minorBidi"/>
          <w:b/>
          <w:color w:val="auto"/>
          <w:sz w:val="22"/>
          <w:szCs w:val="22"/>
        </w:rPr>
        <w:t>. Those animals who show the smallest cue induced changes in HR, also show the smallest changes in VS</w:t>
      </w:r>
    </w:p>
    <w:p w14:paraId="029AEACA" w14:textId="5A3EC79C" w:rsidR="00B2331C" w:rsidRPr="001A7586" w:rsidRDefault="00B2331C" w:rsidP="00AF18CF">
      <w:pPr>
        <w:pStyle w:val="Default"/>
        <w:spacing w:line="480" w:lineRule="auto"/>
        <w:rPr>
          <w:rFonts w:asciiTheme="minorHAnsi" w:hAnsiTheme="minorHAnsi" w:cstheme="minorBidi"/>
          <w:color w:val="auto"/>
          <w:sz w:val="22"/>
          <w:szCs w:val="22"/>
        </w:rPr>
      </w:pPr>
      <w:r w:rsidRPr="001A7586">
        <w:rPr>
          <w:bCs/>
          <w:color w:val="000000" w:themeColor="text1"/>
          <w:sz w:val="22"/>
          <w:szCs w:val="22"/>
        </w:rPr>
        <w:t>Within-subjec</w:t>
      </w:r>
      <w:r w:rsidR="007A798D" w:rsidRPr="001A7586">
        <w:rPr>
          <w:bCs/>
          <w:color w:val="000000" w:themeColor="text1"/>
          <w:sz w:val="22"/>
          <w:szCs w:val="22"/>
        </w:rPr>
        <w:t>ts correlation analysis of the cue-induced</w:t>
      </w:r>
      <w:r w:rsidRPr="001A7586">
        <w:rPr>
          <w:bCs/>
          <w:color w:val="000000" w:themeColor="text1"/>
          <w:sz w:val="22"/>
          <w:szCs w:val="22"/>
        </w:rPr>
        <w:t xml:space="preserve"> changes in HR and VS </w:t>
      </w:r>
      <w:r w:rsidR="007A798D" w:rsidRPr="001A7586">
        <w:rPr>
          <w:bCs/>
          <w:color w:val="000000" w:themeColor="text1"/>
          <w:sz w:val="22"/>
          <w:szCs w:val="22"/>
        </w:rPr>
        <w:t xml:space="preserve">after infusion of saline into the aHipp </w:t>
      </w:r>
      <w:r w:rsidRPr="001A7586">
        <w:rPr>
          <w:bCs/>
          <w:color w:val="000000" w:themeColor="text1"/>
          <w:sz w:val="22"/>
          <w:szCs w:val="22"/>
        </w:rPr>
        <w:t>revealed that those animals who showed the least HR responsivity, also showed the smallest changes in VS</w:t>
      </w:r>
      <w:r w:rsidR="007A798D" w:rsidRPr="001A7586">
        <w:rPr>
          <w:bCs/>
          <w:color w:val="000000" w:themeColor="text1"/>
          <w:sz w:val="22"/>
          <w:szCs w:val="22"/>
        </w:rPr>
        <w:t xml:space="preserve">. *** </w:t>
      </w:r>
      <w:r w:rsidR="007A798D" w:rsidRPr="001A7586">
        <w:rPr>
          <w:color w:val="000000" w:themeColor="text1"/>
          <w:sz w:val="22"/>
          <w:szCs w:val="22"/>
        </w:rPr>
        <w:t>P &lt; 0.0001.</w:t>
      </w:r>
    </w:p>
    <w:p w14:paraId="0FD08902" w14:textId="77777777" w:rsidR="00C2293D" w:rsidRPr="001A7586" w:rsidRDefault="00C2293D" w:rsidP="00AF18CF">
      <w:pPr>
        <w:pStyle w:val="Default"/>
        <w:spacing w:line="480" w:lineRule="auto"/>
        <w:rPr>
          <w:rFonts w:asciiTheme="minorHAnsi" w:hAnsiTheme="minorHAnsi" w:cstheme="minorBidi"/>
          <w:color w:val="auto"/>
          <w:sz w:val="22"/>
          <w:szCs w:val="22"/>
        </w:rPr>
      </w:pPr>
    </w:p>
    <w:p w14:paraId="55F28806" w14:textId="77777777" w:rsidR="0072744C" w:rsidRPr="001A7586" w:rsidRDefault="0072744C" w:rsidP="00AF18CF">
      <w:pPr>
        <w:pStyle w:val="Default"/>
        <w:spacing w:line="480" w:lineRule="auto"/>
        <w:rPr>
          <w:rFonts w:asciiTheme="minorHAnsi" w:hAnsiTheme="minorHAnsi" w:cstheme="minorBidi"/>
          <w:color w:val="auto"/>
          <w:sz w:val="22"/>
          <w:szCs w:val="22"/>
        </w:rPr>
      </w:pPr>
    </w:p>
    <w:p w14:paraId="5459344E" w14:textId="77777777" w:rsidR="0072744C" w:rsidRPr="001A7586" w:rsidRDefault="0072744C" w:rsidP="00AF18CF">
      <w:pPr>
        <w:pStyle w:val="Default"/>
        <w:spacing w:line="480" w:lineRule="auto"/>
        <w:rPr>
          <w:rFonts w:asciiTheme="minorHAnsi" w:hAnsiTheme="minorHAnsi" w:cstheme="minorBidi"/>
          <w:color w:val="auto"/>
          <w:sz w:val="22"/>
          <w:szCs w:val="22"/>
        </w:rPr>
      </w:pPr>
    </w:p>
    <w:p w14:paraId="75DBD478" w14:textId="7D388447" w:rsidR="00C2293D" w:rsidRPr="001A7586" w:rsidRDefault="00C2293D" w:rsidP="00AF18CF">
      <w:pPr>
        <w:pStyle w:val="Default"/>
        <w:spacing w:line="480" w:lineRule="auto"/>
        <w:rPr>
          <w:rFonts w:asciiTheme="minorHAnsi" w:hAnsiTheme="minorHAnsi" w:cstheme="minorBidi"/>
          <w:color w:val="auto"/>
          <w:sz w:val="22"/>
          <w:szCs w:val="22"/>
        </w:rPr>
      </w:pPr>
      <w:r w:rsidRPr="001A7586">
        <w:rPr>
          <w:rFonts w:asciiTheme="minorHAnsi" w:hAnsiTheme="minorHAnsi" w:cstheme="minorBidi"/>
          <w:color w:val="auto"/>
          <w:sz w:val="22"/>
          <w:szCs w:val="22"/>
        </w:rPr>
        <w:t>Figure 1</w:t>
      </w:r>
    </w:p>
    <w:p w14:paraId="0D73057E" w14:textId="3392FB25" w:rsidR="00C2293D" w:rsidRPr="001A7586" w:rsidRDefault="002F38C0" w:rsidP="00AF18CF">
      <w:pPr>
        <w:pStyle w:val="Default"/>
        <w:spacing w:line="480" w:lineRule="auto"/>
        <w:rPr>
          <w:rFonts w:asciiTheme="minorHAnsi" w:hAnsiTheme="minorHAnsi" w:cstheme="minorBidi"/>
          <w:color w:val="auto"/>
          <w:sz w:val="22"/>
          <w:szCs w:val="22"/>
        </w:rPr>
      </w:pPr>
      <w:r w:rsidRPr="00E20348">
        <w:rPr>
          <w:rFonts w:asciiTheme="minorHAnsi" w:hAnsiTheme="minorHAnsi" w:cstheme="minorBidi"/>
          <w:noProof/>
          <w:color w:val="auto"/>
          <w:sz w:val="22"/>
          <w:szCs w:val="22"/>
          <w:lang w:eastAsia="en-GB"/>
        </w:rPr>
        <w:lastRenderedPageBreak/>
        <w:drawing>
          <wp:inline distT="0" distB="0" distL="0" distR="0" wp14:anchorId="28B97869" wp14:editId="55C94015">
            <wp:extent cx="5731510" cy="60864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rke_figure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6086475"/>
                    </a:xfrm>
                    <a:prstGeom prst="rect">
                      <a:avLst/>
                    </a:prstGeom>
                  </pic:spPr>
                </pic:pic>
              </a:graphicData>
            </a:graphic>
          </wp:inline>
        </w:drawing>
      </w:r>
    </w:p>
    <w:p w14:paraId="10A67D08" w14:textId="77777777" w:rsidR="00C2293D" w:rsidRPr="001A7586" w:rsidRDefault="00C2293D" w:rsidP="00AF18CF">
      <w:pPr>
        <w:pStyle w:val="Default"/>
        <w:spacing w:line="480" w:lineRule="auto"/>
        <w:rPr>
          <w:rFonts w:asciiTheme="minorHAnsi" w:hAnsiTheme="minorHAnsi" w:cstheme="minorBidi"/>
          <w:color w:val="auto"/>
          <w:sz w:val="22"/>
          <w:szCs w:val="22"/>
        </w:rPr>
      </w:pPr>
    </w:p>
    <w:p w14:paraId="5E174F9B" w14:textId="77777777" w:rsidR="00C2293D" w:rsidRPr="001A7586" w:rsidRDefault="00C2293D" w:rsidP="00AF18CF">
      <w:pPr>
        <w:pStyle w:val="Default"/>
        <w:spacing w:line="480" w:lineRule="auto"/>
        <w:rPr>
          <w:rFonts w:asciiTheme="minorHAnsi" w:hAnsiTheme="minorHAnsi" w:cstheme="minorBidi"/>
          <w:color w:val="auto"/>
          <w:sz w:val="22"/>
          <w:szCs w:val="22"/>
        </w:rPr>
      </w:pPr>
    </w:p>
    <w:p w14:paraId="3F55D3E3" w14:textId="77777777" w:rsidR="00744AA8" w:rsidRPr="001A7586" w:rsidRDefault="00744AA8" w:rsidP="00AF18CF">
      <w:pPr>
        <w:spacing w:after="119" w:line="480" w:lineRule="auto"/>
        <w:jc w:val="both"/>
        <w:rPr>
          <w:rFonts w:cs="Times New Roman"/>
        </w:rPr>
      </w:pPr>
    </w:p>
    <w:p w14:paraId="15282D2A" w14:textId="77777777" w:rsidR="006F3BA1" w:rsidRPr="001A7586" w:rsidRDefault="006F3BA1" w:rsidP="00AF18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Lucida Console" w:eastAsia="Times New Roman" w:hAnsi="Lucida Console" w:cs="Courier New"/>
          <w:color w:val="000000"/>
          <w:sz w:val="20"/>
          <w:szCs w:val="20"/>
          <w:lang w:eastAsia="en-GB"/>
        </w:rPr>
      </w:pPr>
    </w:p>
    <w:p w14:paraId="41595D21" w14:textId="77777777" w:rsidR="006F3BA1" w:rsidRPr="001A7586" w:rsidRDefault="006F3BA1" w:rsidP="00AF18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Lucida Console" w:eastAsia="Times New Roman" w:hAnsi="Lucida Console" w:cs="Courier New"/>
          <w:color w:val="000000"/>
          <w:sz w:val="20"/>
          <w:szCs w:val="20"/>
          <w:lang w:eastAsia="en-GB"/>
        </w:rPr>
      </w:pPr>
    </w:p>
    <w:p w14:paraId="1C568FA9" w14:textId="77777777" w:rsidR="006F3BA1" w:rsidRPr="001A7586" w:rsidRDefault="006F3BA1" w:rsidP="00AF18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Lucida Console" w:eastAsia="Times New Roman" w:hAnsi="Lucida Console" w:cs="Courier New"/>
          <w:color w:val="000000"/>
          <w:sz w:val="20"/>
          <w:szCs w:val="20"/>
          <w:lang w:eastAsia="en-GB"/>
        </w:rPr>
      </w:pPr>
    </w:p>
    <w:p w14:paraId="3FD2039C" w14:textId="77777777" w:rsidR="006F3BA1" w:rsidRPr="001A7586" w:rsidRDefault="006F3BA1" w:rsidP="00AF18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Lucida Console" w:eastAsia="Times New Roman" w:hAnsi="Lucida Console" w:cs="Courier New"/>
          <w:color w:val="000000"/>
          <w:sz w:val="20"/>
          <w:szCs w:val="20"/>
          <w:lang w:eastAsia="en-GB"/>
        </w:rPr>
      </w:pPr>
    </w:p>
    <w:p w14:paraId="76E160DE" w14:textId="77777777" w:rsidR="006F3BA1" w:rsidRPr="001A7586" w:rsidRDefault="006F3BA1" w:rsidP="00AF18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Lucida Console" w:eastAsia="Times New Roman" w:hAnsi="Lucida Console" w:cs="Courier New"/>
          <w:color w:val="000000"/>
          <w:sz w:val="20"/>
          <w:szCs w:val="20"/>
          <w:lang w:eastAsia="en-GB"/>
        </w:rPr>
      </w:pPr>
    </w:p>
    <w:p w14:paraId="07204F80" w14:textId="77777777" w:rsidR="0072744C" w:rsidRPr="001A7586" w:rsidRDefault="0072744C" w:rsidP="00AF18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Lucida Console" w:eastAsia="Times New Roman" w:hAnsi="Lucida Console" w:cs="Courier New"/>
          <w:color w:val="000000"/>
          <w:sz w:val="20"/>
          <w:szCs w:val="20"/>
          <w:lang w:eastAsia="en-GB"/>
        </w:rPr>
      </w:pPr>
    </w:p>
    <w:p w14:paraId="5AAE787D" w14:textId="77777777" w:rsidR="00C2293D" w:rsidRPr="001A7586" w:rsidRDefault="00C2293D" w:rsidP="00AF18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Lucida Console" w:eastAsia="Times New Roman" w:hAnsi="Lucida Console" w:cs="Courier New"/>
          <w:color w:val="000000"/>
          <w:sz w:val="20"/>
          <w:szCs w:val="20"/>
          <w:lang w:eastAsia="en-GB"/>
        </w:rPr>
      </w:pPr>
      <w:r w:rsidRPr="001A7586">
        <w:rPr>
          <w:rFonts w:ascii="Lucida Console" w:eastAsia="Times New Roman" w:hAnsi="Lucida Console" w:cs="Courier New"/>
          <w:color w:val="000000"/>
          <w:sz w:val="20"/>
          <w:szCs w:val="20"/>
          <w:lang w:eastAsia="en-GB"/>
        </w:rPr>
        <w:lastRenderedPageBreak/>
        <w:t>Figure 2</w:t>
      </w:r>
    </w:p>
    <w:p w14:paraId="340B0F64" w14:textId="77777777" w:rsidR="006F3BA1" w:rsidRPr="001A7586" w:rsidRDefault="006F3BA1" w:rsidP="00AF18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Lucida Console" w:eastAsia="Times New Roman" w:hAnsi="Lucida Console" w:cs="Courier New"/>
          <w:color w:val="000000"/>
          <w:sz w:val="20"/>
          <w:szCs w:val="20"/>
          <w:lang w:eastAsia="en-GB"/>
        </w:rPr>
      </w:pPr>
    </w:p>
    <w:p w14:paraId="7251491F" w14:textId="4E4EA40D" w:rsidR="00C2293D" w:rsidRPr="001A7586" w:rsidRDefault="0072744C" w:rsidP="00AF18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Lucida Console" w:eastAsia="Times New Roman" w:hAnsi="Lucida Console" w:cs="Courier New"/>
          <w:color w:val="000000"/>
          <w:sz w:val="20"/>
          <w:szCs w:val="20"/>
          <w:lang w:eastAsia="en-GB"/>
        </w:rPr>
      </w:pPr>
      <w:r w:rsidRPr="00E20348">
        <w:rPr>
          <w:rFonts w:ascii="Lucida Console" w:eastAsia="Times New Roman" w:hAnsi="Lucida Console" w:cs="Courier New"/>
          <w:noProof/>
          <w:color w:val="000000"/>
          <w:sz w:val="20"/>
          <w:szCs w:val="20"/>
          <w:lang w:eastAsia="en-GB"/>
        </w:rPr>
        <w:drawing>
          <wp:inline distT="0" distB="0" distL="0" distR="0" wp14:anchorId="61B1153D" wp14:editId="60BD03FB">
            <wp:extent cx="5731510" cy="19564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T_mGLuR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956435"/>
                    </a:xfrm>
                    <a:prstGeom prst="rect">
                      <a:avLst/>
                    </a:prstGeom>
                  </pic:spPr>
                </pic:pic>
              </a:graphicData>
            </a:graphic>
          </wp:inline>
        </w:drawing>
      </w:r>
    </w:p>
    <w:p w14:paraId="0138F12C" w14:textId="77777777" w:rsidR="00C200BE" w:rsidRPr="001A7586" w:rsidRDefault="00C200BE" w:rsidP="00AF18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Lucida Console" w:eastAsia="Times New Roman" w:hAnsi="Lucida Console" w:cs="Courier New"/>
          <w:color w:val="000000"/>
          <w:sz w:val="20"/>
          <w:szCs w:val="20"/>
          <w:lang w:eastAsia="en-GB"/>
        </w:rPr>
      </w:pPr>
    </w:p>
    <w:p w14:paraId="0088E700" w14:textId="77777777" w:rsidR="00C200BE" w:rsidRPr="001A7586" w:rsidRDefault="00C200BE" w:rsidP="00AF18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Lucida Console" w:eastAsia="Times New Roman" w:hAnsi="Lucida Console" w:cs="Courier New"/>
          <w:color w:val="000000"/>
          <w:sz w:val="20"/>
          <w:szCs w:val="20"/>
          <w:lang w:eastAsia="en-GB"/>
        </w:rPr>
      </w:pPr>
    </w:p>
    <w:p w14:paraId="28ECE094" w14:textId="02F354D2" w:rsidR="00C2293D" w:rsidRPr="001A7586" w:rsidRDefault="00C2293D" w:rsidP="00AF18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eastAsia="Times New Roman" w:cstheme="minorHAnsi"/>
          <w:color w:val="000000"/>
          <w:sz w:val="20"/>
          <w:szCs w:val="20"/>
          <w:lang w:eastAsia="en-GB"/>
        </w:rPr>
      </w:pPr>
      <w:r w:rsidRPr="001A7586">
        <w:rPr>
          <w:rFonts w:eastAsia="Times New Roman" w:cstheme="minorHAnsi"/>
          <w:color w:val="000000"/>
          <w:sz w:val="20"/>
          <w:szCs w:val="20"/>
          <w:lang w:eastAsia="en-GB"/>
        </w:rPr>
        <w:t>Figure</w:t>
      </w:r>
      <w:r w:rsidR="006263C4" w:rsidRPr="001A7586">
        <w:rPr>
          <w:rFonts w:eastAsia="Times New Roman" w:cstheme="minorHAnsi"/>
          <w:color w:val="000000"/>
          <w:sz w:val="20"/>
          <w:szCs w:val="20"/>
          <w:lang w:eastAsia="en-GB"/>
        </w:rPr>
        <w:t xml:space="preserve"> 3</w:t>
      </w:r>
      <w:r w:rsidRPr="001A7586">
        <w:rPr>
          <w:rFonts w:eastAsia="Times New Roman" w:cstheme="minorHAnsi"/>
          <w:color w:val="000000"/>
          <w:sz w:val="20"/>
          <w:szCs w:val="20"/>
          <w:lang w:eastAsia="en-GB"/>
        </w:rPr>
        <w:t xml:space="preserve"> </w:t>
      </w:r>
    </w:p>
    <w:p w14:paraId="22704C2F" w14:textId="77777777" w:rsidR="00C2293D" w:rsidRPr="001A7586" w:rsidRDefault="00C2293D" w:rsidP="00AF18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Lucida Console" w:eastAsia="Times New Roman" w:hAnsi="Lucida Console" w:cs="Courier New"/>
          <w:color w:val="000000"/>
          <w:sz w:val="20"/>
          <w:szCs w:val="20"/>
          <w:lang w:eastAsia="en-GB"/>
        </w:rPr>
      </w:pPr>
    </w:p>
    <w:p w14:paraId="49276650" w14:textId="77777777" w:rsidR="00C2293D" w:rsidRPr="001A7586" w:rsidRDefault="00C2293D" w:rsidP="00AF18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Lucida Console" w:eastAsia="Times New Roman" w:hAnsi="Lucida Console" w:cs="Courier New"/>
          <w:color w:val="000000"/>
          <w:sz w:val="20"/>
          <w:szCs w:val="20"/>
          <w:lang w:eastAsia="en-GB"/>
        </w:rPr>
      </w:pPr>
    </w:p>
    <w:p w14:paraId="078CF098" w14:textId="49048CCF" w:rsidR="00C2293D" w:rsidRPr="001A7586" w:rsidRDefault="000452C6" w:rsidP="00AF18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Lucida Console" w:eastAsia="Times New Roman" w:hAnsi="Lucida Console" w:cs="Courier New"/>
          <w:color w:val="000000"/>
          <w:sz w:val="20"/>
          <w:szCs w:val="20"/>
          <w:lang w:eastAsia="en-GB"/>
        </w:rPr>
      </w:pPr>
      <w:r w:rsidRPr="00E20348">
        <w:rPr>
          <w:rFonts w:ascii="Lucida Console" w:eastAsia="Times New Roman" w:hAnsi="Lucida Console" w:cs="Courier New"/>
          <w:noProof/>
          <w:color w:val="000000"/>
          <w:sz w:val="20"/>
          <w:szCs w:val="20"/>
          <w:lang w:eastAsia="en-GB"/>
        </w:rPr>
        <w:drawing>
          <wp:inline distT="0" distB="0" distL="0" distR="0" wp14:anchorId="4E9AB5DE" wp14:editId="1ACDFB67">
            <wp:extent cx="5731510" cy="39439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eudo task.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943985"/>
                    </a:xfrm>
                    <a:prstGeom prst="rect">
                      <a:avLst/>
                    </a:prstGeom>
                  </pic:spPr>
                </pic:pic>
              </a:graphicData>
            </a:graphic>
          </wp:inline>
        </w:drawing>
      </w:r>
    </w:p>
    <w:p w14:paraId="02B81AA6" w14:textId="77777777" w:rsidR="00AF18CF" w:rsidRPr="001A7586" w:rsidRDefault="00AF18CF" w:rsidP="00AF18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eastAsia="Times New Roman" w:cstheme="minorHAnsi"/>
          <w:color w:val="000000"/>
          <w:sz w:val="20"/>
          <w:szCs w:val="20"/>
          <w:lang w:eastAsia="en-GB"/>
        </w:rPr>
      </w:pPr>
    </w:p>
    <w:p w14:paraId="3CD75DDA" w14:textId="77777777" w:rsidR="00C2293D" w:rsidRPr="001A7586" w:rsidRDefault="00C2293D" w:rsidP="00AF18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eastAsia="Times New Roman" w:cstheme="minorHAnsi"/>
          <w:color w:val="000000"/>
          <w:sz w:val="20"/>
          <w:szCs w:val="20"/>
          <w:lang w:eastAsia="en-GB"/>
        </w:rPr>
      </w:pPr>
      <w:r w:rsidRPr="001A7586">
        <w:rPr>
          <w:rFonts w:eastAsia="Times New Roman" w:cstheme="minorHAnsi"/>
          <w:color w:val="000000"/>
          <w:sz w:val="20"/>
          <w:szCs w:val="20"/>
          <w:lang w:eastAsia="en-GB"/>
        </w:rPr>
        <w:t>Figure 4</w:t>
      </w:r>
    </w:p>
    <w:p w14:paraId="232F9D5C" w14:textId="77777777" w:rsidR="00C2293D" w:rsidRPr="001A7586" w:rsidRDefault="00C2293D" w:rsidP="00AF18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Lucida Console" w:eastAsia="Times New Roman" w:hAnsi="Lucida Console" w:cs="Courier New"/>
          <w:color w:val="000000"/>
          <w:sz w:val="20"/>
          <w:szCs w:val="20"/>
          <w:lang w:eastAsia="en-GB"/>
        </w:rPr>
      </w:pPr>
    </w:p>
    <w:p w14:paraId="2026AFB1" w14:textId="790348E6" w:rsidR="00DA0A6C" w:rsidRPr="001A7586" w:rsidRDefault="006F3BA1" w:rsidP="00AF18CF">
      <w:pPr>
        <w:spacing w:line="480" w:lineRule="auto"/>
      </w:pPr>
      <w:r w:rsidRPr="00E20348">
        <w:rPr>
          <w:noProof/>
          <w:lang w:eastAsia="en-GB"/>
        </w:rPr>
        <w:lastRenderedPageBreak/>
        <w:drawing>
          <wp:inline distT="0" distB="0" distL="0" distR="0" wp14:anchorId="0E108576" wp14:editId="6CA5067E">
            <wp:extent cx="3112143" cy="8420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seudodata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2901" cy="8422151"/>
                    </a:xfrm>
                    <a:prstGeom prst="rect">
                      <a:avLst/>
                    </a:prstGeom>
                  </pic:spPr>
                </pic:pic>
              </a:graphicData>
            </a:graphic>
          </wp:inline>
        </w:drawing>
      </w:r>
    </w:p>
    <w:p w14:paraId="5548BD96" w14:textId="21E793CE" w:rsidR="00450AF9" w:rsidRPr="001A7586" w:rsidRDefault="00450AF9" w:rsidP="00AF18CF">
      <w:pPr>
        <w:spacing w:line="480" w:lineRule="auto"/>
      </w:pPr>
    </w:p>
    <w:p w14:paraId="697602C3" w14:textId="77777777" w:rsidR="00EF012D" w:rsidRPr="001A7586" w:rsidRDefault="00EF012D" w:rsidP="00AF18CF">
      <w:pPr>
        <w:spacing w:line="480" w:lineRule="auto"/>
      </w:pPr>
    </w:p>
    <w:p w14:paraId="6F54F0A4" w14:textId="1F0516C0" w:rsidR="00EF012D" w:rsidRPr="001A7586" w:rsidRDefault="00EF012D" w:rsidP="00AF18CF">
      <w:pPr>
        <w:tabs>
          <w:tab w:val="left" w:pos="1452"/>
        </w:tabs>
        <w:spacing w:line="480" w:lineRule="auto"/>
      </w:pPr>
      <w:r w:rsidRPr="001A7586">
        <w:t>Figure 5</w:t>
      </w:r>
    </w:p>
    <w:p w14:paraId="658097DE" w14:textId="6FBF1E89" w:rsidR="00DA0A6C" w:rsidRDefault="00150B98" w:rsidP="00AF18CF">
      <w:pPr>
        <w:spacing w:line="480" w:lineRule="auto"/>
      </w:pPr>
      <w:r w:rsidRPr="00E20348">
        <w:rPr>
          <w:noProof/>
          <w:lang w:eastAsia="en-GB"/>
        </w:rPr>
        <w:drawing>
          <wp:inline distT="0" distB="0" distL="0" distR="0" wp14:anchorId="12036DD3" wp14:editId="1611B2F4">
            <wp:extent cx="4549140" cy="2892552"/>
            <wp:effectExtent l="0" t="0" r="381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SHRcorrelation.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9140" cy="2892552"/>
                    </a:xfrm>
                    <a:prstGeom prst="rect">
                      <a:avLst/>
                    </a:prstGeom>
                  </pic:spPr>
                </pic:pic>
              </a:graphicData>
            </a:graphic>
          </wp:inline>
        </w:drawing>
      </w:r>
    </w:p>
    <w:p w14:paraId="11F708C9" w14:textId="77777777" w:rsidR="006F3BA1" w:rsidRDefault="006F3BA1" w:rsidP="00AF18CF">
      <w:pPr>
        <w:spacing w:line="480" w:lineRule="auto"/>
      </w:pPr>
    </w:p>
    <w:p w14:paraId="4D18C7FB" w14:textId="77777777" w:rsidR="006F3BA1" w:rsidRDefault="006F3BA1" w:rsidP="00AF18CF">
      <w:pPr>
        <w:spacing w:line="480" w:lineRule="auto"/>
      </w:pPr>
    </w:p>
    <w:p w14:paraId="4ABCD488" w14:textId="77777777" w:rsidR="006F3BA1" w:rsidRDefault="006F3BA1" w:rsidP="00AF18CF">
      <w:pPr>
        <w:spacing w:line="480" w:lineRule="auto"/>
      </w:pPr>
    </w:p>
    <w:p w14:paraId="493231E8" w14:textId="77777777" w:rsidR="006F3BA1" w:rsidRDefault="006F3BA1" w:rsidP="00AF18CF">
      <w:pPr>
        <w:spacing w:line="480" w:lineRule="auto"/>
      </w:pPr>
    </w:p>
    <w:p w14:paraId="25B17C95" w14:textId="77777777" w:rsidR="006F3BA1" w:rsidRDefault="006F3BA1" w:rsidP="00AF18CF">
      <w:pPr>
        <w:spacing w:line="480" w:lineRule="auto"/>
      </w:pPr>
    </w:p>
    <w:p w14:paraId="250517CD" w14:textId="77777777" w:rsidR="006F3BA1" w:rsidRDefault="006F3BA1" w:rsidP="00AF18CF">
      <w:pPr>
        <w:spacing w:line="480" w:lineRule="auto"/>
      </w:pPr>
    </w:p>
    <w:p w14:paraId="4F6EEBBD" w14:textId="77777777" w:rsidR="006F3BA1" w:rsidRDefault="006F3BA1" w:rsidP="00AF18CF">
      <w:pPr>
        <w:spacing w:line="480" w:lineRule="auto"/>
      </w:pPr>
    </w:p>
    <w:p w14:paraId="6D568A73" w14:textId="77777777" w:rsidR="006F3BA1" w:rsidRDefault="006F3BA1" w:rsidP="00AF18CF">
      <w:pPr>
        <w:spacing w:line="480" w:lineRule="auto"/>
      </w:pPr>
    </w:p>
    <w:p w14:paraId="2C0A40FC" w14:textId="77777777" w:rsidR="006F3BA1" w:rsidRDefault="006F3BA1" w:rsidP="00AF18CF">
      <w:pPr>
        <w:spacing w:line="480" w:lineRule="auto"/>
      </w:pPr>
    </w:p>
    <w:p w14:paraId="48334AEF" w14:textId="77777777" w:rsidR="00C911A0" w:rsidRPr="00C6528C" w:rsidRDefault="00C911A0" w:rsidP="00AF18CF">
      <w:pPr>
        <w:spacing w:line="480" w:lineRule="auto"/>
      </w:pPr>
    </w:p>
    <w:sectPr w:rsidR="00C911A0" w:rsidRPr="00C6528C" w:rsidSect="00B21E43">
      <w:pgSz w:w="11906" w:h="16838"/>
      <w:pgMar w:top="1440" w:right="1440" w:bottom="1440" w:left="1440" w:header="709" w:footer="709"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A5A1FB" w16cid:durableId="1FB0EA93"/>
  <w16cid:commentId w16cid:paraId="31DB397B" w16cid:durableId="1FB0EF6D"/>
  <w16cid:commentId w16cid:paraId="75F9950B" w16cid:durableId="1FB0F004"/>
  <w16cid:commentId w16cid:paraId="528528B5" w16cid:durableId="1FB0F3D9"/>
  <w16cid:commentId w16cid:paraId="16275EE6" w16cid:durableId="1FB0F43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76ADC" w14:textId="77777777" w:rsidR="00844A54" w:rsidRDefault="00844A54" w:rsidP="00745793">
      <w:pPr>
        <w:spacing w:after="0" w:line="240" w:lineRule="auto"/>
      </w:pPr>
      <w:r>
        <w:separator/>
      </w:r>
    </w:p>
  </w:endnote>
  <w:endnote w:type="continuationSeparator" w:id="0">
    <w:p w14:paraId="23E15F26" w14:textId="77777777" w:rsidR="00844A54" w:rsidRDefault="00844A54" w:rsidP="00745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Regular">
    <w:altName w:val="Cambria"/>
    <w:panose1 w:val="00000000000000000000"/>
    <w:charset w:val="00"/>
    <w:family w:val="roman"/>
    <w:notTrueType/>
    <w:pitch w:val="default"/>
    <w:sig w:usb0="00000003" w:usb1="00000000" w:usb2="00000000" w:usb3="00000000" w:csb0="00000001" w:csb1="00000000"/>
  </w:font>
  <w:font w:name="AdvOT118e7927">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vOTfbba3ace.B">
    <w:panose1 w:val="00000000000000000000"/>
    <w:charset w:val="00"/>
    <w:family w:val="swiss"/>
    <w:notTrueType/>
    <w:pitch w:val="default"/>
    <w:sig w:usb0="00000003" w:usb1="00000000" w:usb2="00000000" w:usb3="00000000" w:csb0="00000001" w:csb1="00000000"/>
  </w:font>
  <w:font w:name="MinionMM-SemiBoldCondensed">
    <w:panose1 w:val="00000000000000000000"/>
    <w:charset w:val="00"/>
    <w:family w:val="roman"/>
    <w:notTrueType/>
    <w:pitch w:val="default"/>
    <w:sig w:usb0="00000003" w:usb1="00000000" w:usb2="00000000" w:usb3="00000000" w:csb0="00000001" w:csb1="00000000"/>
  </w:font>
  <w:font w:name="AdvOTd877c31c+22">
    <w:altName w:val="Arial Unicode MS"/>
    <w:panose1 w:val="00000000000000000000"/>
    <w:charset w:val="86"/>
    <w:family w:val="auto"/>
    <w:notTrueType/>
    <w:pitch w:val="default"/>
    <w:sig w:usb0="00000001" w:usb1="080E0000" w:usb2="00000010" w:usb3="00000000" w:csb0="00040000" w:csb1="00000000"/>
  </w:font>
  <w:font w:name="AdvOT88ac8687">
    <w:panose1 w:val="00000000000000000000"/>
    <w:charset w:val="00"/>
    <w:family w:val="roman"/>
    <w:notTrueType/>
    <w:pitch w:val="default"/>
    <w:sig w:usb0="00000003" w:usb1="00000000" w:usb2="00000000" w:usb3="00000000" w:csb0="00000001" w:csb1="00000000"/>
  </w:font>
  <w:font w:name="AdvOTd877c31c+03">
    <w:altName w:val="Times New Roman"/>
    <w:panose1 w:val="00000000000000000000"/>
    <w:charset w:val="A1"/>
    <w:family w:val="auto"/>
    <w:notTrueType/>
    <w:pitch w:val="default"/>
    <w:sig w:usb0="00000081" w:usb1="00000000" w:usb2="00000000" w:usb3="00000000" w:csb0="00000008" w:csb1="00000000"/>
  </w:font>
  <w:font w:name="Wingdings">
    <w:panose1 w:val="05000000000000000000"/>
    <w:charset w:val="02"/>
    <w:family w:val="auto"/>
    <w:pitch w:val="variable"/>
    <w:sig w:usb0="00000000" w:usb1="10000000" w:usb2="00000000" w:usb3="00000000" w:csb0="80000000" w:csb1="00000000"/>
  </w:font>
  <w:font w:name="AdvOT118e7927+20">
    <w:panose1 w:val="00000000000000000000"/>
    <w:charset w:val="00"/>
    <w:family w:val="roman"/>
    <w:notTrueType/>
    <w:pitch w:val="default"/>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1798B" w14:textId="77777777" w:rsidR="00844A54" w:rsidRDefault="00844A54" w:rsidP="00745793">
      <w:pPr>
        <w:spacing w:after="0" w:line="240" w:lineRule="auto"/>
      </w:pPr>
      <w:r>
        <w:separator/>
      </w:r>
    </w:p>
  </w:footnote>
  <w:footnote w:type="continuationSeparator" w:id="0">
    <w:p w14:paraId="20C2CCD2" w14:textId="77777777" w:rsidR="00844A54" w:rsidRDefault="00844A54" w:rsidP="007457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93D53"/>
    <w:multiLevelType w:val="hybridMultilevel"/>
    <w:tmpl w:val="B0484F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EE3824"/>
    <w:multiLevelType w:val="multilevel"/>
    <w:tmpl w:val="E674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B4139F4"/>
    <w:multiLevelType w:val="hybridMultilevel"/>
    <w:tmpl w:val="58A046E4"/>
    <w:lvl w:ilvl="0" w:tplc="31E47AC4">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0C0D52"/>
    <w:multiLevelType w:val="hybridMultilevel"/>
    <w:tmpl w:val="3880EA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FF77EC"/>
    <w:multiLevelType w:val="multilevel"/>
    <w:tmpl w:val="E264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37F575E"/>
    <w:multiLevelType w:val="hybridMultilevel"/>
    <w:tmpl w:val="58A046E4"/>
    <w:lvl w:ilvl="0" w:tplc="31E47AC4">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C900DBE"/>
    <w:multiLevelType w:val="hybridMultilevel"/>
    <w:tmpl w:val="7A7084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89B2D33"/>
    <w:multiLevelType w:val="hybridMultilevel"/>
    <w:tmpl w:val="89B8F74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5"/>
  </w:num>
  <w:num w:numId="5">
    <w:abstractNumId w:val="7"/>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640"/>
    <w:rsid w:val="000009B2"/>
    <w:rsid w:val="000024BE"/>
    <w:rsid w:val="00002C6B"/>
    <w:rsid w:val="0000439D"/>
    <w:rsid w:val="00006703"/>
    <w:rsid w:val="00011981"/>
    <w:rsid w:val="0001275C"/>
    <w:rsid w:val="00012A7E"/>
    <w:rsid w:val="00015226"/>
    <w:rsid w:val="0001526D"/>
    <w:rsid w:val="00015E60"/>
    <w:rsid w:val="00016CD9"/>
    <w:rsid w:val="0001729C"/>
    <w:rsid w:val="000204D6"/>
    <w:rsid w:val="00022E3A"/>
    <w:rsid w:val="00022F2F"/>
    <w:rsid w:val="00023B9C"/>
    <w:rsid w:val="0002422F"/>
    <w:rsid w:val="00024445"/>
    <w:rsid w:val="000254A0"/>
    <w:rsid w:val="00025F24"/>
    <w:rsid w:val="000261A1"/>
    <w:rsid w:val="00026678"/>
    <w:rsid w:val="000271CE"/>
    <w:rsid w:val="00030853"/>
    <w:rsid w:val="00030AB9"/>
    <w:rsid w:val="0003176D"/>
    <w:rsid w:val="00031A7A"/>
    <w:rsid w:val="000322AB"/>
    <w:rsid w:val="00035B89"/>
    <w:rsid w:val="00037286"/>
    <w:rsid w:val="00037665"/>
    <w:rsid w:val="0004090A"/>
    <w:rsid w:val="00040CB6"/>
    <w:rsid w:val="00041E1D"/>
    <w:rsid w:val="0004463C"/>
    <w:rsid w:val="00044DC7"/>
    <w:rsid w:val="00044F18"/>
    <w:rsid w:val="000452C6"/>
    <w:rsid w:val="0004744C"/>
    <w:rsid w:val="00047BDF"/>
    <w:rsid w:val="00047EE8"/>
    <w:rsid w:val="00053DC6"/>
    <w:rsid w:val="00054A56"/>
    <w:rsid w:val="00054AB4"/>
    <w:rsid w:val="00054EEA"/>
    <w:rsid w:val="00055AD7"/>
    <w:rsid w:val="00055C6F"/>
    <w:rsid w:val="00055CDC"/>
    <w:rsid w:val="00055D23"/>
    <w:rsid w:val="00057A17"/>
    <w:rsid w:val="00057FB8"/>
    <w:rsid w:val="00060795"/>
    <w:rsid w:val="00060839"/>
    <w:rsid w:val="000608DF"/>
    <w:rsid w:val="000620A8"/>
    <w:rsid w:val="0006250E"/>
    <w:rsid w:val="0006441C"/>
    <w:rsid w:val="000655E3"/>
    <w:rsid w:val="00067FF2"/>
    <w:rsid w:val="000705D4"/>
    <w:rsid w:val="00071794"/>
    <w:rsid w:val="00072EA6"/>
    <w:rsid w:val="00074743"/>
    <w:rsid w:val="00075460"/>
    <w:rsid w:val="000754F1"/>
    <w:rsid w:val="00075FD7"/>
    <w:rsid w:val="0007797B"/>
    <w:rsid w:val="00077E34"/>
    <w:rsid w:val="0008230A"/>
    <w:rsid w:val="000825FE"/>
    <w:rsid w:val="00083CEA"/>
    <w:rsid w:val="00086FFC"/>
    <w:rsid w:val="00087E1D"/>
    <w:rsid w:val="00090A2C"/>
    <w:rsid w:val="00092597"/>
    <w:rsid w:val="00095628"/>
    <w:rsid w:val="0009636F"/>
    <w:rsid w:val="00096A0A"/>
    <w:rsid w:val="00097298"/>
    <w:rsid w:val="000A000F"/>
    <w:rsid w:val="000A04AB"/>
    <w:rsid w:val="000A05CD"/>
    <w:rsid w:val="000A0AA3"/>
    <w:rsid w:val="000A1E3D"/>
    <w:rsid w:val="000A359C"/>
    <w:rsid w:val="000A6262"/>
    <w:rsid w:val="000A6367"/>
    <w:rsid w:val="000A684F"/>
    <w:rsid w:val="000B02C9"/>
    <w:rsid w:val="000B5625"/>
    <w:rsid w:val="000C0F5A"/>
    <w:rsid w:val="000C163B"/>
    <w:rsid w:val="000C2512"/>
    <w:rsid w:val="000C58BA"/>
    <w:rsid w:val="000C5E98"/>
    <w:rsid w:val="000C6AC1"/>
    <w:rsid w:val="000C75AB"/>
    <w:rsid w:val="000D0604"/>
    <w:rsid w:val="000D18A1"/>
    <w:rsid w:val="000D1F96"/>
    <w:rsid w:val="000D39C0"/>
    <w:rsid w:val="000D3A43"/>
    <w:rsid w:val="000D467C"/>
    <w:rsid w:val="000D55A3"/>
    <w:rsid w:val="000D68F8"/>
    <w:rsid w:val="000E060E"/>
    <w:rsid w:val="000E0FD5"/>
    <w:rsid w:val="000E13C8"/>
    <w:rsid w:val="000E1427"/>
    <w:rsid w:val="000E22F3"/>
    <w:rsid w:val="000E2830"/>
    <w:rsid w:val="000E37FF"/>
    <w:rsid w:val="000E4439"/>
    <w:rsid w:val="000E5167"/>
    <w:rsid w:val="000E604F"/>
    <w:rsid w:val="000F034F"/>
    <w:rsid w:val="000F1FAF"/>
    <w:rsid w:val="000F2143"/>
    <w:rsid w:val="000F257C"/>
    <w:rsid w:val="000F4EA3"/>
    <w:rsid w:val="000F52AB"/>
    <w:rsid w:val="000F587C"/>
    <w:rsid w:val="000F59D9"/>
    <w:rsid w:val="000F72F9"/>
    <w:rsid w:val="001012DB"/>
    <w:rsid w:val="0010159B"/>
    <w:rsid w:val="0010225B"/>
    <w:rsid w:val="00102DEF"/>
    <w:rsid w:val="00103914"/>
    <w:rsid w:val="00106103"/>
    <w:rsid w:val="001069FC"/>
    <w:rsid w:val="001107A9"/>
    <w:rsid w:val="001114A2"/>
    <w:rsid w:val="00111E0E"/>
    <w:rsid w:val="001123A2"/>
    <w:rsid w:val="001125B4"/>
    <w:rsid w:val="00112D74"/>
    <w:rsid w:val="0011765D"/>
    <w:rsid w:val="0012004E"/>
    <w:rsid w:val="00125C19"/>
    <w:rsid w:val="001260CD"/>
    <w:rsid w:val="001262AD"/>
    <w:rsid w:val="00127921"/>
    <w:rsid w:val="00127DAB"/>
    <w:rsid w:val="0013176C"/>
    <w:rsid w:val="0013277B"/>
    <w:rsid w:val="00134ABD"/>
    <w:rsid w:val="00135D58"/>
    <w:rsid w:val="00140413"/>
    <w:rsid w:val="00140D5B"/>
    <w:rsid w:val="00141C19"/>
    <w:rsid w:val="00141F20"/>
    <w:rsid w:val="0014227A"/>
    <w:rsid w:val="00143347"/>
    <w:rsid w:val="00146752"/>
    <w:rsid w:val="00150B98"/>
    <w:rsid w:val="001525AC"/>
    <w:rsid w:val="00154949"/>
    <w:rsid w:val="00154F09"/>
    <w:rsid w:val="0015617D"/>
    <w:rsid w:val="00156193"/>
    <w:rsid w:val="00160E90"/>
    <w:rsid w:val="00160F3D"/>
    <w:rsid w:val="00166561"/>
    <w:rsid w:val="001711A4"/>
    <w:rsid w:val="001728D7"/>
    <w:rsid w:val="00174E08"/>
    <w:rsid w:val="0017540D"/>
    <w:rsid w:val="00177668"/>
    <w:rsid w:val="00180CF9"/>
    <w:rsid w:val="001834BD"/>
    <w:rsid w:val="00183901"/>
    <w:rsid w:val="00183BAE"/>
    <w:rsid w:val="00183CE1"/>
    <w:rsid w:val="001861CB"/>
    <w:rsid w:val="00186DFD"/>
    <w:rsid w:val="00191983"/>
    <w:rsid w:val="0019320B"/>
    <w:rsid w:val="00194940"/>
    <w:rsid w:val="00195E6C"/>
    <w:rsid w:val="001A0354"/>
    <w:rsid w:val="001A1FE2"/>
    <w:rsid w:val="001A2C4E"/>
    <w:rsid w:val="001A3A13"/>
    <w:rsid w:val="001A3DDD"/>
    <w:rsid w:val="001A7586"/>
    <w:rsid w:val="001A7C2A"/>
    <w:rsid w:val="001A7FB0"/>
    <w:rsid w:val="001B0FDF"/>
    <w:rsid w:val="001B3EAC"/>
    <w:rsid w:val="001C14CD"/>
    <w:rsid w:val="001C1E19"/>
    <w:rsid w:val="001C4CB0"/>
    <w:rsid w:val="001C5307"/>
    <w:rsid w:val="001C5FF8"/>
    <w:rsid w:val="001C728D"/>
    <w:rsid w:val="001D12D4"/>
    <w:rsid w:val="001D23B0"/>
    <w:rsid w:val="001D3A77"/>
    <w:rsid w:val="001D44E2"/>
    <w:rsid w:val="001D583F"/>
    <w:rsid w:val="001E0884"/>
    <w:rsid w:val="001E1F1F"/>
    <w:rsid w:val="001E2481"/>
    <w:rsid w:val="001E2ADE"/>
    <w:rsid w:val="001E5690"/>
    <w:rsid w:val="001E5F7E"/>
    <w:rsid w:val="001E6192"/>
    <w:rsid w:val="001E6BC3"/>
    <w:rsid w:val="001E776C"/>
    <w:rsid w:val="001E7F3A"/>
    <w:rsid w:val="001F02E4"/>
    <w:rsid w:val="001F0BDE"/>
    <w:rsid w:val="001F3450"/>
    <w:rsid w:val="001F5D2F"/>
    <w:rsid w:val="001F5D38"/>
    <w:rsid w:val="001F7054"/>
    <w:rsid w:val="001F7729"/>
    <w:rsid w:val="001F7738"/>
    <w:rsid w:val="0020089F"/>
    <w:rsid w:val="00203208"/>
    <w:rsid w:val="00203D6A"/>
    <w:rsid w:val="0020460B"/>
    <w:rsid w:val="00204A7B"/>
    <w:rsid w:val="00204CE3"/>
    <w:rsid w:val="00205CAF"/>
    <w:rsid w:val="00206EB9"/>
    <w:rsid w:val="002070D3"/>
    <w:rsid w:val="00207DAF"/>
    <w:rsid w:val="0021048A"/>
    <w:rsid w:val="00211FA6"/>
    <w:rsid w:val="002171EE"/>
    <w:rsid w:val="00220CE0"/>
    <w:rsid w:val="00221FC9"/>
    <w:rsid w:val="00223BBB"/>
    <w:rsid w:val="00223C9D"/>
    <w:rsid w:val="00224285"/>
    <w:rsid w:val="00224B54"/>
    <w:rsid w:val="00225250"/>
    <w:rsid w:val="00225320"/>
    <w:rsid w:val="00225553"/>
    <w:rsid w:val="00227033"/>
    <w:rsid w:val="00231E9D"/>
    <w:rsid w:val="00234F25"/>
    <w:rsid w:val="00241096"/>
    <w:rsid w:val="002424DB"/>
    <w:rsid w:val="00242943"/>
    <w:rsid w:val="002429CF"/>
    <w:rsid w:val="00242F1C"/>
    <w:rsid w:val="00244279"/>
    <w:rsid w:val="002504B8"/>
    <w:rsid w:val="00250826"/>
    <w:rsid w:val="00250EAF"/>
    <w:rsid w:val="002538AB"/>
    <w:rsid w:val="00254DFF"/>
    <w:rsid w:val="00254EDB"/>
    <w:rsid w:val="002563FD"/>
    <w:rsid w:val="00260053"/>
    <w:rsid w:val="002606DF"/>
    <w:rsid w:val="002607FA"/>
    <w:rsid w:val="002608E6"/>
    <w:rsid w:val="00260A24"/>
    <w:rsid w:val="002632A5"/>
    <w:rsid w:val="002669F2"/>
    <w:rsid w:val="00266C8A"/>
    <w:rsid w:val="00267D5B"/>
    <w:rsid w:val="00271009"/>
    <w:rsid w:val="002715C7"/>
    <w:rsid w:val="00271DE7"/>
    <w:rsid w:val="0027327A"/>
    <w:rsid w:val="002739B4"/>
    <w:rsid w:val="002757AC"/>
    <w:rsid w:val="002759DB"/>
    <w:rsid w:val="00275D59"/>
    <w:rsid w:val="00276273"/>
    <w:rsid w:val="00277CD5"/>
    <w:rsid w:val="00284BBA"/>
    <w:rsid w:val="00285C0B"/>
    <w:rsid w:val="00285EF7"/>
    <w:rsid w:val="00286178"/>
    <w:rsid w:val="00287848"/>
    <w:rsid w:val="00287B36"/>
    <w:rsid w:val="00290B20"/>
    <w:rsid w:val="00291D9B"/>
    <w:rsid w:val="0029210A"/>
    <w:rsid w:val="00292D43"/>
    <w:rsid w:val="00293A3D"/>
    <w:rsid w:val="00293E6B"/>
    <w:rsid w:val="0029567F"/>
    <w:rsid w:val="00295AC1"/>
    <w:rsid w:val="00296AFE"/>
    <w:rsid w:val="00297381"/>
    <w:rsid w:val="002A0027"/>
    <w:rsid w:val="002A0BAF"/>
    <w:rsid w:val="002A0BBE"/>
    <w:rsid w:val="002A147A"/>
    <w:rsid w:val="002A2DB5"/>
    <w:rsid w:val="002A3221"/>
    <w:rsid w:val="002A5EBD"/>
    <w:rsid w:val="002A60EB"/>
    <w:rsid w:val="002A6B2A"/>
    <w:rsid w:val="002B031E"/>
    <w:rsid w:val="002B2A79"/>
    <w:rsid w:val="002B37B7"/>
    <w:rsid w:val="002B37BF"/>
    <w:rsid w:val="002B3EBD"/>
    <w:rsid w:val="002B48DD"/>
    <w:rsid w:val="002C01A2"/>
    <w:rsid w:val="002C0C2C"/>
    <w:rsid w:val="002C0EDF"/>
    <w:rsid w:val="002C223C"/>
    <w:rsid w:val="002C234A"/>
    <w:rsid w:val="002C265E"/>
    <w:rsid w:val="002C2979"/>
    <w:rsid w:val="002C35FF"/>
    <w:rsid w:val="002C635F"/>
    <w:rsid w:val="002C7723"/>
    <w:rsid w:val="002D1D0F"/>
    <w:rsid w:val="002D3F55"/>
    <w:rsid w:val="002D5162"/>
    <w:rsid w:val="002D635E"/>
    <w:rsid w:val="002D6870"/>
    <w:rsid w:val="002E1163"/>
    <w:rsid w:val="002E29DB"/>
    <w:rsid w:val="002E3A00"/>
    <w:rsid w:val="002E3DD2"/>
    <w:rsid w:val="002E69FF"/>
    <w:rsid w:val="002E6A53"/>
    <w:rsid w:val="002E7917"/>
    <w:rsid w:val="002E7933"/>
    <w:rsid w:val="002E7EB7"/>
    <w:rsid w:val="002F0620"/>
    <w:rsid w:val="002F2D6B"/>
    <w:rsid w:val="002F38C0"/>
    <w:rsid w:val="002F3E28"/>
    <w:rsid w:val="002F44A5"/>
    <w:rsid w:val="002F462C"/>
    <w:rsid w:val="002F6C8D"/>
    <w:rsid w:val="002F73C5"/>
    <w:rsid w:val="002F77E5"/>
    <w:rsid w:val="002F7865"/>
    <w:rsid w:val="00300679"/>
    <w:rsid w:val="00300AB9"/>
    <w:rsid w:val="0030434C"/>
    <w:rsid w:val="00304AE2"/>
    <w:rsid w:val="00305925"/>
    <w:rsid w:val="003110FA"/>
    <w:rsid w:val="00311C3D"/>
    <w:rsid w:val="00312D7E"/>
    <w:rsid w:val="00316545"/>
    <w:rsid w:val="003176C0"/>
    <w:rsid w:val="003242F3"/>
    <w:rsid w:val="00324884"/>
    <w:rsid w:val="00325313"/>
    <w:rsid w:val="00330E12"/>
    <w:rsid w:val="003317AC"/>
    <w:rsid w:val="003333BD"/>
    <w:rsid w:val="00336596"/>
    <w:rsid w:val="00341216"/>
    <w:rsid w:val="00342C89"/>
    <w:rsid w:val="00343109"/>
    <w:rsid w:val="00344D86"/>
    <w:rsid w:val="00345461"/>
    <w:rsid w:val="0034577B"/>
    <w:rsid w:val="003464B2"/>
    <w:rsid w:val="003464D3"/>
    <w:rsid w:val="00347412"/>
    <w:rsid w:val="00347492"/>
    <w:rsid w:val="00350D61"/>
    <w:rsid w:val="003513E8"/>
    <w:rsid w:val="0035270F"/>
    <w:rsid w:val="00352E15"/>
    <w:rsid w:val="00354F7D"/>
    <w:rsid w:val="00355778"/>
    <w:rsid w:val="003573A5"/>
    <w:rsid w:val="00357A74"/>
    <w:rsid w:val="00362966"/>
    <w:rsid w:val="00365D8C"/>
    <w:rsid w:val="003662FB"/>
    <w:rsid w:val="0036772A"/>
    <w:rsid w:val="00367C0F"/>
    <w:rsid w:val="003730A8"/>
    <w:rsid w:val="00374C2F"/>
    <w:rsid w:val="003803BE"/>
    <w:rsid w:val="0038338E"/>
    <w:rsid w:val="003835CB"/>
    <w:rsid w:val="00384080"/>
    <w:rsid w:val="003845F0"/>
    <w:rsid w:val="0038492B"/>
    <w:rsid w:val="0038635D"/>
    <w:rsid w:val="00386C1F"/>
    <w:rsid w:val="00391FE8"/>
    <w:rsid w:val="00392648"/>
    <w:rsid w:val="00397556"/>
    <w:rsid w:val="00397A5B"/>
    <w:rsid w:val="003A26A5"/>
    <w:rsid w:val="003A3532"/>
    <w:rsid w:val="003A501E"/>
    <w:rsid w:val="003A5F1E"/>
    <w:rsid w:val="003B097F"/>
    <w:rsid w:val="003B1B3E"/>
    <w:rsid w:val="003B34D4"/>
    <w:rsid w:val="003B3966"/>
    <w:rsid w:val="003B5025"/>
    <w:rsid w:val="003B503E"/>
    <w:rsid w:val="003B5C83"/>
    <w:rsid w:val="003B6F6B"/>
    <w:rsid w:val="003C05E0"/>
    <w:rsid w:val="003C0B9A"/>
    <w:rsid w:val="003C1557"/>
    <w:rsid w:val="003C73BE"/>
    <w:rsid w:val="003D0FEC"/>
    <w:rsid w:val="003D14C3"/>
    <w:rsid w:val="003D15EF"/>
    <w:rsid w:val="003D31C2"/>
    <w:rsid w:val="003D3DC3"/>
    <w:rsid w:val="003D434C"/>
    <w:rsid w:val="003D7575"/>
    <w:rsid w:val="003E1B27"/>
    <w:rsid w:val="003E23C5"/>
    <w:rsid w:val="003E2EB4"/>
    <w:rsid w:val="003E47D5"/>
    <w:rsid w:val="003E5126"/>
    <w:rsid w:val="003E5623"/>
    <w:rsid w:val="003F101A"/>
    <w:rsid w:val="003F21F5"/>
    <w:rsid w:val="003F2458"/>
    <w:rsid w:val="003F2599"/>
    <w:rsid w:val="003F2723"/>
    <w:rsid w:val="003F49F1"/>
    <w:rsid w:val="003F7558"/>
    <w:rsid w:val="003F7E33"/>
    <w:rsid w:val="004003EB"/>
    <w:rsid w:val="00401BC9"/>
    <w:rsid w:val="00402383"/>
    <w:rsid w:val="004048DE"/>
    <w:rsid w:val="00404D45"/>
    <w:rsid w:val="00405F07"/>
    <w:rsid w:val="00405F0D"/>
    <w:rsid w:val="00407DB8"/>
    <w:rsid w:val="00410293"/>
    <w:rsid w:val="00411755"/>
    <w:rsid w:val="00412DE8"/>
    <w:rsid w:val="0041425B"/>
    <w:rsid w:val="004144DA"/>
    <w:rsid w:val="004153AB"/>
    <w:rsid w:val="00415643"/>
    <w:rsid w:val="00415F66"/>
    <w:rsid w:val="0041625B"/>
    <w:rsid w:val="00416910"/>
    <w:rsid w:val="00420586"/>
    <w:rsid w:val="004211D6"/>
    <w:rsid w:val="0042225D"/>
    <w:rsid w:val="004224E5"/>
    <w:rsid w:val="00422D29"/>
    <w:rsid w:val="004231C6"/>
    <w:rsid w:val="00424492"/>
    <w:rsid w:val="00427543"/>
    <w:rsid w:val="00427EDF"/>
    <w:rsid w:val="00427F92"/>
    <w:rsid w:val="00430242"/>
    <w:rsid w:val="00430F8D"/>
    <w:rsid w:val="00431970"/>
    <w:rsid w:val="004326F0"/>
    <w:rsid w:val="0043424C"/>
    <w:rsid w:val="00435AFC"/>
    <w:rsid w:val="00436B14"/>
    <w:rsid w:val="00437A65"/>
    <w:rsid w:val="00437B19"/>
    <w:rsid w:val="00440E7F"/>
    <w:rsid w:val="0044499B"/>
    <w:rsid w:val="00444E79"/>
    <w:rsid w:val="0044653F"/>
    <w:rsid w:val="004468A4"/>
    <w:rsid w:val="00446ADB"/>
    <w:rsid w:val="00447486"/>
    <w:rsid w:val="00450AF9"/>
    <w:rsid w:val="004539E0"/>
    <w:rsid w:val="00454F26"/>
    <w:rsid w:val="00455E9C"/>
    <w:rsid w:val="00462123"/>
    <w:rsid w:val="00462C4C"/>
    <w:rsid w:val="00463815"/>
    <w:rsid w:val="00464B3F"/>
    <w:rsid w:val="00464E01"/>
    <w:rsid w:val="00465799"/>
    <w:rsid w:val="004661F9"/>
    <w:rsid w:val="0046696D"/>
    <w:rsid w:val="00466AF0"/>
    <w:rsid w:val="0046709B"/>
    <w:rsid w:val="00471BB2"/>
    <w:rsid w:val="0047344F"/>
    <w:rsid w:val="00473AD3"/>
    <w:rsid w:val="00473B96"/>
    <w:rsid w:val="00477C5A"/>
    <w:rsid w:val="004810A0"/>
    <w:rsid w:val="00482494"/>
    <w:rsid w:val="00482FC7"/>
    <w:rsid w:val="004849D2"/>
    <w:rsid w:val="00487C28"/>
    <w:rsid w:val="004931CC"/>
    <w:rsid w:val="00497FFA"/>
    <w:rsid w:val="004A16DE"/>
    <w:rsid w:val="004A18B1"/>
    <w:rsid w:val="004A2D08"/>
    <w:rsid w:val="004A2D7B"/>
    <w:rsid w:val="004A3242"/>
    <w:rsid w:val="004A389E"/>
    <w:rsid w:val="004A507F"/>
    <w:rsid w:val="004A5225"/>
    <w:rsid w:val="004A59D3"/>
    <w:rsid w:val="004B2622"/>
    <w:rsid w:val="004B4F74"/>
    <w:rsid w:val="004B5553"/>
    <w:rsid w:val="004B7AF5"/>
    <w:rsid w:val="004C0786"/>
    <w:rsid w:val="004C1E25"/>
    <w:rsid w:val="004C1EF3"/>
    <w:rsid w:val="004C20C6"/>
    <w:rsid w:val="004C40FE"/>
    <w:rsid w:val="004C4595"/>
    <w:rsid w:val="004C572F"/>
    <w:rsid w:val="004C67ED"/>
    <w:rsid w:val="004C6FC4"/>
    <w:rsid w:val="004D05AC"/>
    <w:rsid w:val="004D067E"/>
    <w:rsid w:val="004D5308"/>
    <w:rsid w:val="004D5EE5"/>
    <w:rsid w:val="004D75A7"/>
    <w:rsid w:val="004E2D60"/>
    <w:rsid w:val="004E3E03"/>
    <w:rsid w:val="004E3FBE"/>
    <w:rsid w:val="004E4100"/>
    <w:rsid w:val="004E436E"/>
    <w:rsid w:val="004E4DB6"/>
    <w:rsid w:val="004E6A79"/>
    <w:rsid w:val="004E6DA1"/>
    <w:rsid w:val="004F0AA4"/>
    <w:rsid w:val="004F1239"/>
    <w:rsid w:val="004F1640"/>
    <w:rsid w:val="004F2521"/>
    <w:rsid w:val="004F3B12"/>
    <w:rsid w:val="004F6723"/>
    <w:rsid w:val="004F6B4F"/>
    <w:rsid w:val="00501251"/>
    <w:rsid w:val="0050300B"/>
    <w:rsid w:val="00504D0F"/>
    <w:rsid w:val="005055A3"/>
    <w:rsid w:val="00505E7E"/>
    <w:rsid w:val="005075D5"/>
    <w:rsid w:val="005079B4"/>
    <w:rsid w:val="00511EE6"/>
    <w:rsid w:val="005165C5"/>
    <w:rsid w:val="005169F7"/>
    <w:rsid w:val="00517DDE"/>
    <w:rsid w:val="00517F22"/>
    <w:rsid w:val="0052085A"/>
    <w:rsid w:val="00520A09"/>
    <w:rsid w:val="00523270"/>
    <w:rsid w:val="00523AA3"/>
    <w:rsid w:val="00524145"/>
    <w:rsid w:val="00524232"/>
    <w:rsid w:val="005244A9"/>
    <w:rsid w:val="00524BE5"/>
    <w:rsid w:val="00534D5D"/>
    <w:rsid w:val="0053574B"/>
    <w:rsid w:val="00535AAB"/>
    <w:rsid w:val="00536B77"/>
    <w:rsid w:val="00540E49"/>
    <w:rsid w:val="0054348A"/>
    <w:rsid w:val="00543AFE"/>
    <w:rsid w:val="00544F5D"/>
    <w:rsid w:val="00546912"/>
    <w:rsid w:val="00546BAB"/>
    <w:rsid w:val="0055167E"/>
    <w:rsid w:val="005536F6"/>
    <w:rsid w:val="00553AD9"/>
    <w:rsid w:val="00553C6C"/>
    <w:rsid w:val="0055428E"/>
    <w:rsid w:val="00554978"/>
    <w:rsid w:val="00554E2F"/>
    <w:rsid w:val="0055748E"/>
    <w:rsid w:val="005632C5"/>
    <w:rsid w:val="00563A40"/>
    <w:rsid w:val="00567215"/>
    <w:rsid w:val="00567812"/>
    <w:rsid w:val="00570657"/>
    <w:rsid w:val="00571831"/>
    <w:rsid w:val="00571EA8"/>
    <w:rsid w:val="00572A6A"/>
    <w:rsid w:val="00572C3A"/>
    <w:rsid w:val="00572F1E"/>
    <w:rsid w:val="00573384"/>
    <w:rsid w:val="005741DD"/>
    <w:rsid w:val="0057496E"/>
    <w:rsid w:val="00574A1D"/>
    <w:rsid w:val="00574E97"/>
    <w:rsid w:val="005751EA"/>
    <w:rsid w:val="0057584B"/>
    <w:rsid w:val="00575F8D"/>
    <w:rsid w:val="0057789D"/>
    <w:rsid w:val="00580BDE"/>
    <w:rsid w:val="0058128D"/>
    <w:rsid w:val="005826C5"/>
    <w:rsid w:val="005841A6"/>
    <w:rsid w:val="00584926"/>
    <w:rsid w:val="00585591"/>
    <w:rsid w:val="0059010B"/>
    <w:rsid w:val="00592457"/>
    <w:rsid w:val="00593F91"/>
    <w:rsid w:val="00594730"/>
    <w:rsid w:val="00594FFE"/>
    <w:rsid w:val="00596DA6"/>
    <w:rsid w:val="00597448"/>
    <w:rsid w:val="005A4588"/>
    <w:rsid w:val="005B2FFD"/>
    <w:rsid w:val="005B4E3A"/>
    <w:rsid w:val="005B7132"/>
    <w:rsid w:val="005B7F00"/>
    <w:rsid w:val="005B7F0C"/>
    <w:rsid w:val="005C0062"/>
    <w:rsid w:val="005C0145"/>
    <w:rsid w:val="005C0D23"/>
    <w:rsid w:val="005C2C8F"/>
    <w:rsid w:val="005C3199"/>
    <w:rsid w:val="005C3A7D"/>
    <w:rsid w:val="005C652F"/>
    <w:rsid w:val="005C71FC"/>
    <w:rsid w:val="005D2A75"/>
    <w:rsid w:val="005D3139"/>
    <w:rsid w:val="005D337E"/>
    <w:rsid w:val="005D3AD5"/>
    <w:rsid w:val="005D42CC"/>
    <w:rsid w:val="005D6915"/>
    <w:rsid w:val="005D7FB6"/>
    <w:rsid w:val="005E3685"/>
    <w:rsid w:val="005E4BFB"/>
    <w:rsid w:val="005E5CE9"/>
    <w:rsid w:val="005F0824"/>
    <w:rsid w:val="005F0D27"/>
    <w:rsid w:val="005F2005"/>
    <w:rsid w:val="005F21BF"/>
    <w:rsid w:val="005F3AAA"/>
    <w:rsid w:val="005F52A8"/>
    <w:rsid w:val="005F538F"/>
    <w:rsid w:val="005F6602"/>
    <w:rsid w:val="005F7002"/>
    <w:rsid w:val="00603276"/>
    <w:rsid w:val="006034C2"/>
    <w:rsid w:val="0060504C"/>
    <w:rsid w:val="006060C2"/>
    <w:rsid w:val="00607B37"/>
    <w:rsid w:val="006141C5"/>
    <w:rsid w:val="0061491F"/>
    <w:rsid w:val="00615662"/>
    <w:rsid w:val="00615D44"/>
    <w:rsid w:val="00620D19"/>
    <w:rsid w:val="006214B0"/>
    <w:rsid w:val="0062296B"/>
    <w:rsid w:val="00625140"/>
    <w:rsid w:val="00625D0D"/>
    <w:rsid w:val="006263C4"/>
    <w:rsid w:val="00626CFB"/>
    <w:rsid w:val="006328C4"/>
    <w:rsid w:val="0063395B"/>
    <w:rsid w:val="00633AC1"/>
    <w:rsid w:val="006367A1"/>
    <w:rsid w:val="00640197"/>
    <w:rsid w:val="00640994"/>
    <w:rsid w:val="00643B51"/>
    <w:rsid w:val="0064527D"/>
    <w:rsid w:val="00646997"/>
    <w:rsid w:val="006476B1"/>
    <w:rsid w:val="00650088"/>
    <w:rsid w:val="00651701"/>
    <w:rsid w:val="0065320D"/>
    <w:rsid w:val="00653342"/>
    <w:rsid w:val="00653FBC"/>
    <w:rsid w:val="00655DEF"/>
    <w:rsid w:val="00655EFE"/>
    <w:rsid w:val="00656A62"/>
    <w:rsid w:val="00660BCF"/>
    <w:rsid w:val="0066119A"/>
    <w:rsid w:val="00662380"/>
    <w:rsid w:val="0066311D"/>
    <w:rsid w:val="006647F6"/>
    <w:rsid w:val="00664B4B"/>
    <w:rsid w:val="0067085B"/>
    <w:rsid w:val="0067092B"/>
    <w:rsid w:val="00670B84"/>
    <w:rsid w:val="00671A24"/>
    <w:rsid w:val="006756B4"/>
    <w:rsid w:val="00682398"/>
    <w:rsid w:val="006856C7"/>
    <w:rsid w:val="0068664A"/>
    <w:rsid w:val="00692F31"/>
    <w:rsid w:val="00694881"/>
    <w:rsid w:val="00694FCB"/>
    <w:rsid w:val="00696C23"/>
    <w:rsid w:val="006A1085"/>
    <w:rsid w:val="006A1B56"/>
    <w:rsid w:val="006A7B00"/>
    <w:rsid w:val="006B1E6C"/>
    <w:rsid w:val="006B56EB"/>
    <w:rsid w:val="006B5919"/>
    <w:rsid w:val="006B75F8"/>
    <w:rsid w:val="006B75FA"/>
    <w:rsid w:val="006C100E"/>
    <w:rsid w:val="006C234C"/>
    <w:rsid w:val="006C2ACC"/>
    <w:rsid w:val="006C3441"/>
    <w:rsid w:val="006C397E"/>
    <w:rsid w:val="006C39C9"/>
    <w:rsid w:val="006C5751"/>
    <w:rsid w:val="006C6A5D"/>
    <w:rsid w:val="006C6AA4"/>
    <w:rsid w:val="006D0301"/>
    <w:rsid w:val="006D4061"/>
    <w:rsid w:val="006D50D3"/>
    <w:rsid w:val="006D5C76"/>
    <w:rsid w:val="006E0036"/>
    <w:rsid w:val="006E5780"/>
    <w:rsid w:val="006F1917"/>
    <w:rsid w:val="006F1FDF"/>
    <w:rsid w:val="006F2505"/>
    <w:rsid w:val="006F2BCB"/>
    <w:rsid w:val="006F3052"/>
    <w:rsid w:val="006F3BA1"/>
    <w:rsid w:val="006F3FF2"/>
    <w:rsid w:val="006F6BE7"/>
    <w:rsid w:val="0070120B"/>
    <w:rsid w:val="00702C93"/>
    <w:rsid w:val="007032A5"/>
    <w:rsid w:val="00703DEA"/>
    <w:rsid w:val="00704355"/>
    <w:rsid w:val="00704C26"/>
    <w:rsid w:val="0070514B"/>
    <w:rsid w:val="007053AF"/>
    <w:rsid w:val="0070691F"/>
    <w:rsid w:val="007106D5"/>
    <w:rsid w:val="00713F21"/>
    <w:rsid w:val="00715CC3"/>
    <w:rsid w:val="007202A8"/>
    <w:rsid w:val="00721B78"/>
    <w:rsid w:val="00722FC2"/>
    <w:rsid w:val="00723631"/>
    <w:rsid w:val="0072556E"/>
    <w:rsid w:val="0072744C"/>
    <w:rsid w:val="007276C1"/>
    <w:rsid w:val="00731025"/>
    <w:rsid w:val="0073220A"/>
    <w:rsid w:val="0073313F"/>
    <w:rsid w:val="00733C3A"/>
    <w:rsid w:val="00733FF1"/>
    <w:rsid w:val="007340D4"/>
    <w:rsid w:val="00736CE7"/>
    <w:rsid w:val="00737A01"/>
    <w:rsid w:val="00737EE4"/>
    <w:rsid w:val="00740199"/>
    <w:rsid w:val="007409E8"/>
    <w:rsid w:val="00740FE4"/>
    <w:rsid w:val="007440BE"/>
    <w:rsid w:val="00744AA8"/>
    <w:rsid w:val="007451DA"/>
    <w:rsid w:val="00745793"/>
    <w:rsid w:val="007464F8"/>
    <w:rsid w:val="0074723E"/>
    <w:rsid w:val="00752432"/>
    <w:rsid w:val="00752849"/>
    <w:rsid w:val="00753C5D"/>
    <w:rsid w:val="00762084"/>
    <w:rsid w:val="007661CE"/>
    <w:rsid w:val="00770E70"/>
    <w:rsid w:val="00771540"/>
    <w:rsid w:val="007719E3"/>
    <w:rsid w:val="0077335E"/>
    <w:rsid w:val="0077383C"/>
    <w:rsid w:val="00775EA3"/>
    <w:rsid w:val="00775F68"/>
    <w:rsid w:val="007773E5"/>
    <w:rsid w:val="00777AB9"/>
    <w:rsid w:val="0078062C"/>
    <w:rsid w:val="00781458"/>
    <w:rsid w:val="00784654"/>
    <w:rsid w:val="00784747"/>
    <w:rsid w:val="00787030"/>
    <w:rsid w:val="0079015B"/>
    <w:rsid w:val="007917EA"/>
    <w:rsid w:val="00792BB2"/>
    <w:rsid w:val="007962C8"/>
    <w:rsid w:val="007A0C4B"/>
    <w:rsid w:val="007A11FC"/>
    <w:rsid w:val="007A3A76"/>
    <w:rsid w:val="007A41C1"/>
    <w:rsid w:val="007A46B9"/>
    <w:rsid w:val="007A5223"/>
    <w:rsid w:val="007A5337"/>
    <w:rsid w:val="007A5CBB"/>
    <w:rsid w:val="007A6A0A"/>
    <w:rsid w:val="007A6DF1"/>
    <w:rsid w:val="007A7361"/>
    <w:rsid w:val="007A798D"/>
    <w:rsid w:val="007B0606"/>
    <w:rsid w:val="007B0AC1"/>
    <w:rsid w:val="007B0E01"/>
    <w:rsid w:val="007B0EC8"/>
    <w:rsid w:val="007B24FD"/>
    <w:rsid w:val="007C1DE8"/>
    <w:rsid w:val="007C268C"/>
    <w:rsid w:val="007C44A9"/>
    <w:rsid w:val="007C45AE"/>
    <w:rsid w:val="007C4E42"/>
    <w:rsid w:val="007C59A5"/>
    <w:rsid w:val="007C63E8"/>
    <w:rsid w:val="007D2382"/>
    <w:rsid w:val="007D2E67"/>
    <w:rsid w:val="007D333E"/>
    <w:rsid w:val="007D43C3"/>
    <w:rsid w:val="007D6B81"/>
    <w:rsid w:val="007D7C93"/>
    <w:rsid w:val="007E027F"/>
    <w:rsid w:val="007E1AC3"/>
    <w:rsid w:val="007E1BE2"/>
    <w:rsid w:val="007E35C4"/>
    <w:rsid w:val="007E37BB"/>
    <w:rsid w:val="007F1AF9"/>
    <w:rsid w:val="007F2F0C"/>
    <w:rsid w:val="007F4942"/>
    <w:rsid w:val="007F62B7"/>
    <w:rsid w:val="00801E5D"/>
    <w:rsid w:val="008049E5"/>
    <w:rsid w:val="0080636F"/>
    <w:rsid w:val="00807D26"/>
    <w:rsid w:val="00812408"/>
    <w:rsid w:val="0081684A"/>
    <w:rsid w:val="0081711E"/>
    <w:rsid w:val="00822FA6"/>
    <w:rsid w:val="00824E09"/>
    <w:rsid w:val="008258A2"/>
    <w:rsid w:val="00826A49"/>
    <w:rsid w:val="00830498"/>
    <w:rsid w:val="00830A8E"/>
    <w:rsid w:val="00830E2B"/>
    <w:rsid w:val="00831B20"/>
    <w:rsid w:val="0083229C"/>
    <w:rsid w:val="008322A3"/>
    <w:rsid w:val="008326E7"/>
    <w:rsid w:val="00833B1B"/>
    <w:rsid w:val="008363AF"/>
    <w:rsid w:val="008365A1"/>
    <w:rsid w:val="00844A54"/>
    <w:rsid w:val="00844B04"/>
    <w:rsid w:val="00845AC1"/>
    <w:rsid w:val="00845D44"/>
    <w:rsid w:val="00847630"/>
    <w:rsid w:val="0085026D"/>
    <w:rsid w:val="00852088"/>
    <w:rsid w:val="0085313C"/>
    <w:rsid w:val="008538C8"/>
    <w:rsid w:val="008556FE"/>
    <w:rsid w:val="0086025F"/>
    <w:rsid w:val="0086050A"/>
    <w:rsid w:val="00861C3A"/>
    <w:rsid w:val="00863E0F"/>
    <w:rsid w:val="00863F98"/>
    <w:rsid w:val="0087444F"/>
    <w:rsid w:val="00874A2A"/>
    <w:rsid w:val="008835A2"/>
    <w:rsid w:val="008847AD"/>
    <w:rsid w:val="00886782"/>
    <w:rsid w:val="008926E6"/>
    <w:rsid w:val="00893A83"/>
    <w:rsid w:val="00894554"/>
    <w:rsid w:val="00896417"/>
    <w:rsid w:val="0089651B"/>
    <w:rsid w:val="008A0D02"/>
    <w:rsid w:val="008A2078"/>
    <w:rsid w:val="008A32F3"/>
    <w:rsid w:val="008A397C"/>
    <w:rsid w:val="008A4F0D"/>
    <w:rsid w:val="008A55AC"/>
    <w:rsid w:val="008A6C9A"/>
    <w:rsid w:val="008B140C"/>
    <w:rsid w:val="008B4903"/>
    <w:rsid w:val="008B4960"/>
    <w:rsid w:val="008B609E"/>
    <w:rsid w:val="008B6B93"/>
    <w:rsid w:val="008C056F"/>
    <w:rsid w:val="008C1C2C"/>
    <w:rsid w:val="008C29AC"/>
    <w:rsid w:val="008C3654"/>
    <w:rsid w:val="008C43C0"/>
    <w:rsid w:val="008C4624"/>
    <w:rsid w:val="008C760C"/>
    <w:rsid w:val="008C7B69"/>
    <w:rsid w:val="008D17B1"/>
    <w:rsid w:val="008D354B"/>
    <w:rsid w:val="008D3E70"/>
    <w:rsid w:val="008D4002"/>
    <w:rsid w:val="008D4921"/>
    <w:rsid w:val="008D4AE7"/>
    <w:rsid w:val="008E0F39"/>
    <w:rsid w:val="008E15C1"/>
    <w:rsid w:val="008E272F"/>
    <w:rsid w:val="008E2FF2"/>
    <w:rsid w:val="008F21A6"/>
    <w:rsid w:val="008F5386"/>
    <w:rsid w:val="008F5DC0"/>
    <w:rsid w:val="008F6D47"/>
    <w:rsid w:val="009004AC"/>
    <w:rsid w:val="0090155F"/>
    <w:rsid w:val="0090172C"/>
    <w:rsid w:val="00905E33"/>
    <w:rsid w:val="009066F8"/>
    <w:rsid w:val="009071E0"/>
    <w:rsid w:val="00907286"/>
    <w:rsid w:val="00907793"/>
    <w:rsid w:val="00911A2A"/>
    <w:rsid w:val="00913290"/>
    <w:rsid w:val="009135FC"/>
    <w:rsid w:val="00914F1C"/>
    <w:rsid w:val="00915893"/>
    <w:rsid w:val="00915BED"/>
    <w:rsid w:val="00916A70"/>
    <w:rsid w:val="009279AE"/>
    <w:rsid w:val="00930450"/>
    <w:rsid w:val="00930C57"/>
    <w:rsid w:val="00932401"/>
    <w:rsid w:val="0093264F"/>
    <w:rsid w:val="0093267B"/>
    <w:rsid w:val="00933CE8"/>
    <w:rsid w:val="00934202"/>
    <w:rsid w:val="00935F87"/>
    <w:rsid w:val="00936359"/>
    <w:rsid w:val="009368B0"/>
    <w:rsid w:val="009376D1"/>
    <w:rsid w:val="00940AA4"/>
    <w:rsid w:val="00941CF0"/>
    <w:rsid w:val="0094284F"/>
    <w:rsid w:val="009428E6"/>
    <w:rsid w:val="00945F6C"/>
    <w:rsid w:val="009506E9"/>
    <w:rsid w:val="009523E5"/>
    <w:rsid w:val="00952D50"/>
    <w:rsid w:val="00952E49"/>
    <w:rsid w:val="009560D9"/>
    <w:rsid w:val="00960F19"/>
    <w:rsid w:val="00961FAF"/>
    <w:rsid w:val="0096260A"/>
    <w:rsid w:val="0097100C"/>
    <w:rsid w:val="00971690"/>
    <w:rsid w:val="009723CC"/>
    <w:rsid w:val="009731DF"/>
    <w:rsid w:val="009736E8"/>
    <w:rsid w:val="00973E92"/>
    <w:rsid w:val="009745A5"/>
    <w:rsid w:val="0097766A"/>
    <w:rsid w:val="00980F74"/>
    <w:rsid w:val="00981208"/>
    <w:rsid w:val="00981757"/>
    <w:rsid w:val="00982747"/>
    <w:rsid w:val="0098412D"/>
    <w:rsid w:val="00985D91"/>
    <w:rsid w:val="00990FCC"/>
    <w:rsid w:val="00991021"/>
    <w:rsid w:val="00991EC0"/>
    <w:rsid w:val="0099406F"/>
    <w:rsid w:val="00994B1E"/>
    <w:rsid w:val="00995330"/>
    <w:rsid w:val="0099640E"/>
    <w:rsid w:val="0099662B"/>
    <w:rsid w:val="00996731"/>
    <w:rsid w:val="009A1574"/>
    <w:rsid w:val="009A19C8"/>
    <w:rsid w:val="009A48F7"/>
    <w:rsid w:val="009A6A70"/>
    <w:rsid w:val="009B298A"/>
    <w:rsid w:val="009B3BC3"/>
    <w:rsid w:val="009B4BB3"/>
    <w:rsid w:val="009B59C1"/>
    <w:rsid w:val="009C0101"/>
    <w:rsid w:val="009C2D58"/>
    <w:rsid w:val="009C3669"/>
    <w:rsid w:val="009C457D"/>
    <w:rsid w:val="009C5780"/>
    <w:rsid w:val="009C6238"/>
    <w:rsid w:val="009C64C6"/>
    <w:rsid w:val="009C6ACB"/>
    <w:rsid w:val="009C6DDA"/>
    <w:rsid w:val="009C7B95"/>
    <w:rsid w:val="009D17F1"/>
    <w:rsid w:val="009D201B"/>
    <w:rsid w:val="009D2780"/>
    <w:rsid w:val="009E246B"/>
    <w:rsid w:val="009E2C1B"/>
    <w:rsid w:val="009E3175"/>
    <w:rsid w:val="009E47DF"/>
    <w:rsid w:val="009E6C00"/>
    <w:rsid w:val="009E6E42"/>
    <w:rsid w:val="009E6FB4"/>
    <w:rsid w:val="009E73F3"/>
    <w:rsid w:val="009E7AA1"/>
    <w:rsid w:val="009F0797"/>
    <w:rsid w:val="009F0C10"/>
    <w:rsid w:val="009F34CC"/>
    <w:rsid w:val="009F3F9E"/>
    <w:rsid w:val="009F5AA3"/>
    <w:rsid w:val="009F60B2"/>
    <w:rsid w:val="009F74B0"/>
    <w:rsid w:val="009F7BA0"/>
    <w:rsid w:val="00A00E59"/>
    <w:rsid w:val="00A010C6"/>
    <w:rsid w:val="00A04B2E"/>
    <w:rsid w:val="00A053E1"/>
    <w:rsid w:val="00A0643C"/>
    <w:rsid w:val="00A07602"/>
    <w:rsid w:val="00A0799A"/>
    <w:rsid w:val="00A102D7"/>
    <w:rsid w:val="00A11A5B"/>
    <w:rsid w:val="00A12B54"/>
    <w:rsid w:val="00A163FA"/>
    <w:rsid w:val="00A163FC"/>
    <w:rsid w:val="00A1699F"/>
    <w:rsid w:val="00A179D8"/>
    <w:rsid w:val="00A17AF7"/>
    <w:rsid w:val="00A216A4"/>
    <w:rsid w:val="00A22238"/>
    <w:rsid w:val="00A2368A"/>
    <w:rsid w:val="00A24290"/>
    <w:rsid w:val="00A246EF"/>
    <w:rsid w:val="00A261FB"/>
    <w:rsid w:val="00A268A5"/>
    <w:rsid w:val="00A26D06"/>
    <w:rsid w:val="00A3201C"/>
    <w:rsid w:val="00A3561C"/>
    <w:rsid w:val="00A3669C"/>
    <w:rsid w:val="00A36E07"/>
    <w:rsid w:val="00A415AE"/>
    <w:rsid w:val="00A43A3E"/>
    <w:rsid w:val="00A455D6"/>
    <w:rsid w:val="00A4681A"/>
    <w:rsid w:val="00A47DB0"/>
    <w:rsid w:val="00A5013A"/>
    <w:rsid w:val="00A51B3D"/>
    <w:rsid w:val="00A545BF"/>
    <w:rsid w:val="00A54F9A"/>
    <w:rsid w:val="00A552D8"/>
    <w:rsid w:val="00A55959"/>
    <w:rsid w:val="00A55DF2"/>
    <w:rsid w:val="00A63D1B"/>
    <w:rsid w:val="00A63F72"/>
    <w:rsid w:val="00A65872"/>
    <w:rsid w:val="00A665A9"/>
    <w:rsid w:val="00A67287"/>
    <w:rsid w:val="00A70FAE"/>
    <w:rsid w:val="00A71551"/>
    <w:rsid w:val="00A720A7"/>
    <w:rsid w:val="00A73D3C"/>
    <w:rsid w:val="00A75B50"/>
    <w:rsid w:val="00A75C08"/>
    <w:rsid w:val="00A75CC8"/>
    <w:rsid w:val="00A75F69"/>
    <w:rsid w:val="00A76114"/>
    <w:rsid w:val="00A7620A"/>
    <w:rsid w:val="00A766B2"/>
    <w:rsid w:val="00A776D2"/>
    <w:rsid w:val="00A8029E"/>
    <w:rsid w:val="00A81115"/>
    <w:rsid w:val="00A82479"/>
    <w:rsid w:val="00A8279E"/>
    <w:rsid w:val="00A832BA"/>
    <w:rsid w:val="00A84E47"/>
    <w:rsid w:val="00A906E3"/>
    <w:rsid w:val="00A90958"/>
    <w:rsid w:val="00A915A9"/>
    <w:rsid w:val="00A918DA"/>
    <w:rsid w:val="00A929DB"/>
    <w:rsid w:val="00A93F1E"/>
    <w:rsid w:val="00AA0786"/>
    <w:rsid w:val="00AA087B"/>
    <w:rsid w:val="00AA1719"/>
    <w:rsid w:val="00AA2D3C"/>
    <w:rsid w:val="00AA42CA"/>
    <w:rsid w:val="00AA5223"/>
    <w:rsid w:val="00AA5F6C"/>
    <w:rsid w:val="00AA5F81"/>
    <w:rsid w:val="00AB0B44"/>
    <w:rsid w:val="00AB3233"/>
    <w:rsid w:val="00AB345E"/>
    <w:rsid w:val="00AB35A0"/>
    <w:rsid w:val="00AB3779"/>
    <w:rsid w:val="00AB62CC"/>
    <w:rsid w:val="00AB66BD"/>
    <w:rsid w:val="00AB6B31"/>
    <w:rsid w:val="00AB7F1D"/>
    <w:rsid w:val="00AC004B"/>
    <w:rsid w:val="00AC07D0"/>
    <w:rsid w:val="00AC15C3"/>
    <w:rsid w:val="00AC2178"/>
    <w:rsid w:val="00AC3750"/>
    <w:rsid w:val="00AC539A"/>
    <w:rsid w:val="00AC5990"/>
    <w:rsid w:val="00AC5B15"/>
    <w:rsid w:val="00AC5F41"/>
    <w:rsid w:val="00AC6722"/>
    <w:rsid w:val="00AD0DC3"/>
    <w:rsid w:val="00AD1F78"/>
    <w:rsid w:val="00AD22EF"/>
    <w:rsid w:val="00AD29EE"/>
    <w:rsid w:val="00AD2AB1"/>
    <w:rsid w:val="00AD533A"/>
    <w:rsid w:val="00AD5801"/>
    <w:rsid w:val="00AD7285"/>
    <w:rsid w:val="00AD7FA7"/>
    <w:rsid w:val="00AE02F6"/>
    <w:rsid w:val="00AE1513"/>
    <w:rsid w:val="00AE1988"/>
    <w:rsid w:val="00AE2B0F"/>
    <w:rsid w:val="00AE4213"/>
    <w:rsid w:val="00AE4992"/>
    <w:rsid w:val="00AE51F0"/>
    <w:rsid w:val="00AE7727"/>
    <w:rsid w:val="00AF046C"/>
    <w:rsid w:val="00AF160D"/>
    <w:rsid w:val="00AF18CF"/>
    <w:rsid w:val="00AF3C65"/>
    <w:rsid w:val="00AF4423"/>
    <w:rsid w:val="00AF5335"/>
    <w:rsid w:val="00AF7C9C"/>
    <w:rsid w:val="00B006BF"/>
    <w:rsid w:val="00B01BB3"/>
    <w:rsid w:val="00B04550"/>
    <w:rsid w:val="00B06D7F"/>
    <w:rsid w:val="00B06DDE"/>
    <w:rsid w:val="00B0706D"/>
    <w:rsid w:val="00B07360"/>
    <w:rsid w:val="00B12971"/>
    <w:rsid w:val="00B12C02"/>
    <w:rsid w:val="00B130E5"/>
    <w:rsid w:val="00B1391E"/>
    <w:rsid w:val="00B13F8C"/>
    <w:rsid w:val="00B142F7"/>
    <w:rsid w:val="00B14404"/>
    <w:rsid w:val="00B1511B"/>
    <w:rsid w:val="00B1640A"/>
    <w:rsid w:val="00B16BDA"/>
    <w:rsid w:val="00B16C48"/>
    <w:rsid w:val="00B21E43"/>
    <w:rsid w:val="00B21FF3"/>
    <w:rsid w:val="00B2331C"/>
    <w:rsid w:val="00B25E8C"/>
    <w:rsid w:val="00B2668C"/>
    <w:rsid w:val="00B26B12"/>
    <w:rsid w:val="00B2733B"/>
    <w:rsid w:val="00B3362F"/>
    <w:rsid w:val="00B34962"/>
    <w:rsid w:val="00B36984"/>
    <w:rsid w:val="00B370AA"/>
    <w:rsid w:val="00B3739D"/>
    <w:rsid w:val="00B378C7"/>
    <w:rsid w:val="00B40A44"/>
    <w:rsid w:val="00B40C18"/>
    <w:rsid w:val="00B41669"/>
    <w:rsid w:val="00B42DA3"/>
    <w:rsid w:val="00B437FB"/>
    <w:rsid w:val="00B43F47"/>
    <w:rsid w:val="00B446DC"/>
    <w:rsid w:val="00B45322"/>
    <w:rsid w:val="00B45980"/>
    <w:rsid w:val="00B463F8"/>
    <w:rsid w:val="00B47568"/>
    <w:rsid w:val="00B4758E"/>
    <w:rsid w:val="00B478B6"/>
    <w:rsid w:val="00B478D7"/>
    <w:rsid w:val="00B47D4A"/>
    <w:rsid w:val="00B52063"/>
    <w:rsid w:val="00B52138"/>
    <w:rsid w:val="00B52186"/>
    <w:rsid w:val="00B52E19"/>
    <w:rsid w:val="00B5390E"/>
    <w:rsid w:val="00B542B8"/>
    <w:rsid w:val="00B54332"/>
    <w:rsid w:val="00B5485F"/>
    <w:rsid w:val="00B54912"/>
    <w:rsid w:val="00B54B89"/>
    <w:rsid w:val="00B555AD"/>
    <w:rsid w:val="00B563CC"/>
    <w:rsid w:val="00B56538"/>
    <w:rsid w:val="00B601D8"/>
    <w:rsid w:val="00B602FE"/>
    <w:rsid w:val="00B6298C"/>
    <w:rsid w:val="00B64108"/>
    <w:rsid w:val="00B65667"/>
    <w:rsid w:val="00B70C1B"/>
    <w:rsid w:val="00B710EB"/>
    <w:rsid w:val="00B7254E"/>
    <w:rsid w:val="00B72FA6"/>
    <w:rsid w:val="00B8173D"/>
    <w:rsid w:val="00B81ECD"/>
    <w:rsid w:val="00B84108"/>
    <w:rsid w:val="00B87115"/>
    <w:rsid w:val="00B92EF7"/>
    <w:rsid w:val="00B9315D"/>
    <w:rsid w:val="00B94349"/>
    <w:rsid w:val="00B94B34"/>
    <w:rsid w:val="00B95475"/>
    <w:rsid w:val="00B969B4"/>
    <w:rsid w:val="00BA0097"/>
    <w:rsid w:val="00BA08F0"/>
    <w:rsid w:val="00BA2149"/>
    <w:rsid w:val="00BA3D60"/>
    <w:rsid w:val="00BB0EBF"/>
    <w:rsid w:val="00BB2C87"/>
    <w:rsid w:val="00BB3415"/>
    <w:rsid w:val="00BB73D3"/>
    <w:rsid w:val="00BC0F3D"/>
    <w:rsid w:val="00BC309C"/>
    <w:rsid w:val="00BC510E"/>
    <w:rsid w:val="00BC6023"/>
    <w:rsid w:val="00BC638A"/>
    <w:rsid w:val="00BC7AB2"/>
    <w:rsid w:val="00BD0C8E"/>
    <w:rsid w:val="00BD145B"/>
    <w:rsid w:val="00BD2385"/>
    <w:rsid w:val="00BD2F50"/>
    <w:rsid w:val="00BD3693"/>
    <w:rsid w:val="00BD48C3"/>
    <w:rsid w:val="00BD5053"/>
    <w:rsid w:val="00BE03FA"/>
    <w:rsid w:val="00BE1471"/>
    <w:rsid w:val="00BE2D03"/>
    <w:rsid w:val="00BE3C9D"/>
    <w:rsid w:val="00BE3D27"/>
    <w:rsid w:val="00BE4DFD"/>
    <w:rsid w:val="00BF4D02"/>
    <w:rsid w:val="00BF4D98"/>
    <w:rsid w:val="00BF5FA6"/>
    <w:rsid w:val="00C06BC0"/>
    <w:rsid w:val="00C0744C"/>
    <w:rsid w:val="00C07C70"/>
    <w:rsid w:val="00C1223E"/>
    <w:rsid w:val="00C126F2"/>
    <w:rsid w:val="00C134F8"/>
    <w:rsid w:val="00C1373D"/>
    <w:rsid w:val="00C13B9F"/>
    <w:rsid w:val="00C13CF0"/>
    <w:rsid w:val="00C1756B"/>
    <w:rsid w:val="00C200BE"/>
    <w:rsid w:val="00C20437"/>
    <w:rsid w:val="00C22256"/>
    <w:rsid w:val="00C225C1"/>
    <w:rsid w:val="00C2293D"/>
    <w:rsid w:val="00C230FF"/>
    <w:rsid w:val="00C24626"/>
    <w:rsid w:val="00C24B31"/>
    <w:rsid w:val="00C265AA"/>
    <w:rsid w:val="00C27867"/>
    <w:rsid w:val="00C27F7D"/>
    <w:rsid w:val="00C33ABB"/>
    <w:rsid w:val="00C35DA9"/>
    <w:rsid w:val="00C37BF9"/>
    <w:rsid w:val="00C42F4E"/>
    <w:rsid w:val="00C42FD9"/>
    <w:rsid w:val="00C4588E"/>
    <w:rsid w:val="00C463A8"/>
    <w:rsid w:val="00C46C35"/>
    <w:rsid w:val="00C52D06"/>
    <w:rsid w:val="00C55526"/>
    <w:rsid w:val="00C5779C"/>
    <w:rsid w:val="00C62ACE"/>
    <w:rsid w:val="00C639CD"/>
    <w:rsid w:val="00C64A08"/>
    <w:rsid w:val="00C650C6"/>
    <w:rsid w:val="00C6528C"/>
    <w:rsid w:val="00C65916"/>
    <w:rsid w:val="00C65A51"/>
    <w:rsid w:val="00C66104"/>
    <w:rsid w:val="00C6692C"/>
    <w:rsid w:val="00C67CDC"/>
    <w:rsid w:val="00C702CC"/>
    <w:rsid w:val="00C70CCA"/>
    <w:rsid w:val="00C71D20"/>
    <w:rsid w:val="00C728A9"/>
    <w:rsid w:val="00C72997"/>
    <w:rsid w:val="00C73685"/>
    <w:rsid w:val="00C75D0F"/>
    <w:rsid w:val="00C7700A"/>
    <w:rsid w:val="00C84113"/>
    <w:rsid w:val="00C84C6B"/>
    <w:rsid w:val="00C8584C"/>
    <w:rsid w:val="00C859AB"/>
    <w:rsid w:val="00C86FB5"/>
    <w:rsid w:val="00C87752"/>
    <w:rsid w:val="00C9084F"/>
    <w:rsid w:val="00C911A0"/>
    <w:rsid w:val="00C919F2"/>
    <w:rsid w:val="00C925B3"/>
    <w:rsid w:val="00C9276D"/>
    <w:rsid w:val="00C93436"/>
    <w:rsid w:val="00C96002"/>
    <w:rsid w:val="00CA3F78"/>
    <w:rsid w:val="00CA40C0"/>
    <w:rsid w:val="00CA4E33"/>
    <w:rsid w:val="00CA61FA"/>
    <w:rsid w:val="00CA6D05"/>
    <w:rsid w:val="00CB1AF5"/>
    <w:rsid w:val="00CB2C38"/>
    <w:rsid w:val="00CB3103"/>
    <w:rsid w:val="00CB3ABC"/>
    <w:rsid w:val="00CB526B"/>
    <w:rsid w:val="00CB7DA3"/>
    <w:rsid w:val="00CC2E2F"/>
    <w:rsid w:val="00CC3C5E"/>
    <w:rsid w:val="00CC42EA"/>
    <w:rsid w:val="00CC43CF"/>
    <w:rsid w:val="00CC4D5F"/>
    <w:rsid w:val="00CC612F"/>
    <w:rsid w:val="00CC7B18"/>
    <w:rsid w:val="00CD1A5A"/>
    <w:rsid w:val="00CD4128"/>
    <w:rsid w:val="00CD48D6"/>
    <w:rsid w:val="00CD59ED"/>
    <w:rsid w:val="00CD687F"/>
    <w:rsid w:val="00CD7398"/>
    <w:rsid w:val="00CD73C8"/>
    <w:rsid w:val="00CD7EEF"/>
    <w:rsid w:val="00CE03F0"/>
    <w:rsid w:val="00CE1581"/>
    <w:rsid w:val="00CE2EF5"/>
    <w:rsid w:val="00CE2FCE"/>
    <w:rsid w:val="00CE3A74"/>
    <w:rsid w:val="00CE5001"/>
    <w:rsid w:val="00CE694E"/>
    <w:rsid w:val="00CF1CA7"/>
    <w:rsid w:val="00CF4E4C"/>
    <w:rsid w:val="00CF62B6"/>
    <w:rsid w:val="00CF73CC"/>
    <w:rsid w:val="00D00EAA"/>
    <w:rsid w:val="00D01A6F"/>
    <w:rsid w:val="00D035C0"/>
    <w:rsid w:val="00D03859"/>
    <w:rsid w:val="00D04122"/>
    <w:rsid w:val="00D119BA"/>
    <w:rsid w:val="00D12550"/>
    <w:rsid w:val="00D12E3E"/>
    <w:rsid w:val="00D132B0"/>
    <w:rsid w:val="00D1369B"/>
    <w:rsid w:val="00D15489"/>
    <w:rsid w:val="00D16013"/>
    <w:rsid w:val="00D16571"/>
    <w:rsid w:val="00D16B32"/>
    <w:rsid w:val="00D16E5B"/>
    <w:rsid w:val="00D170F1"/>
    <w:rsid w:val="00D20379"/>
    <w:rsid w:val="00D22334"/>
    <w:rsid w:val="00D22A29"/>
    <w:rsid w:val="00D23C9B"/>
    <w:rsid w:val="00D25507"/>
    <w:rsid w:val="00D33543"/>
    <w:rsid w:val="00D36513"/>
    <w:rsid w:val="00D36648"/>
    <w:rsid w:val="00D40189"/>
    <w:rsid w:val="00D4129C"/>
    <w:rsid w:val="00D4363F"/>
    <w:rsid w:val="00D45E3C"/>
    <w:rsid w:val="00D500BC"/>
    <w:rsid w:val="00D50EDB"/>
    <w:rsid w:val="00D516A6"/>
    <w:rsid w:val="00D52508"/>
    <w:rsid w:val="00D52811"/>
    <w:rsid w:val="00D55FA6"/>
    <w:rsid w:val="00D57813"/>
    <w:rsid w:val="00D60CBF"/>
    <w:rsid w:val="00D61F41"/>
    <w:rsid w:val="00D62C27"/>
    <w:rsid w:val="00D6511A"/>
    <w:rsid w:val="00D7003A"/>
    <w:rsid w:val="00D70413"/>
    <w:rsid w:val="00D7079E"/>
    <w:rsid w:val="00D70D77"/>
    <w:rsid w:val="00D71477"/>
    <w:rsid w:val="00D71B0B"/>
    <w:rsid w:val="00D71D04"/>
    <w:rsid w:val="00D7349F"/>
    <w:rsid w:val="00D7387C"/>
    <w:rsid w:val="00D755C7"/>
    <w:rsid w:val="00D777E5"/>
    <w:rsid w:val="00D80F01"/>
    <w:rsid w:val="00D810C8"/>
    <w:rsid w:val="00D81467"/>
    <w:rsid w:val="00D81533"/>
    <w:rsid w:val="00D81EC2"/>
    <w:rsid w:val="00D821E2"/>
    <w:rsid w:val="00D82AE8"/>
    <w:rsid w:val="00D8399B"/>
    <w:rsid w:val="00D83BFD"/>
    <w:rsid w:val="00D83C0C"/>
    <w:rsid w:val="00D84770"/>
    <w:rsid w:val="00D8595D"/>
    <w:rsid w:val="00D8690D"/>
    <w:rsid w:val="00D86D2F"/>
    <w:rsid w:val="00D91E3E"/>
    <w:rsid w:val="00D92FAA"/>
    <w:rsid w:val="00D9610C"/>
    <w:rsid w:val="00D96A9E"/>
    <w:rsid w:val="00D96FFB"/>
    <w:rsid w:val="00D977BC"/>
    <w:rsid w:val="00D97A08"/>
    <w:rsid w:val="00DA0A6C"/>
    <w:rsid w:val="00DA0F97"/>
    <w:rsid w:val="00DA124D"/>
    <w:rsid w:val="00DA653C"/>
    <w:rsid w:val="00DB11DE"/>
    <w:rsid w:val="00DB1C50"/>
    <w:rsid w:val="00DB395F"/>
    <w:rsid w:val="00DB3B5A"/>
    <w:rsid w:val="00DB3B65"/>
    <w:rsid w:val="00DB5932"/>
    <w:rsid w:val="00DB61DE"/>
    <w:rsid w:val="00DB6B66"/>
    <w:rsid w:val="00DB7F4F"/>
    <w:rsid w:val="00DC09A8"/>
    <w:rsid w:val="00DC1EA7"/>
    <w:rsid w:val="00DC227F"/>
    <w:rsid w:val="00DC39E3"/>
    <w:rsid w:val="00DC3A03"/>
    <w:rsid w:val="00DC6130"/>
    <w:rsid w:val="00DC6F16"/>
    <w:rsid w:val="00DC7908"/>
    <w:rsid w:val="00DD129D"/>
    <w:rsid w:val="00DD1B1B"/>
    <w:rsid w:val="00DD1F63"/>
    <w:rsid w:val="00DD2186"/>
    <w:rsid w:val="00DD2E3B"/>
    <w:rsid w:val="00DD2F90"/>
    <w:rsid w:val="00DD6555"/>
    <w:rsid w:val="00DD7430"/>
    <w:rsid w:val="00DE06CB"/>
    <w:rsid w:val="00DE09F8"/>
    <w:rsid w:val="00DE488E"/>
    <w:rsid w:val="00DE5947"/>
    <w:rsid w:val="00DE5F6D"/>
    <w:rsid w:val="00DE69A7"/>
    <w:rsid w:val="00DE745C"/>
    <w:rsid w:val="00DF0576"/>
    <w:rsid w:val="00DF0D41"/>
    <w:rsid w:val="00DF0E05"/>
    <w:rsid w:val="00DF4B7D"/>
    <w:rsid w:val="00DF4F5C"/>
    <w:rsid w:val="00DF5AEC"/>
    <w:rsid w:val="00DF786F"/>
    <w:rsid w:val="00E03392"/>
    <w:rsid w:val="00E0671D"/>
    <w:rsid w:val="00E07043"/>
    <w:rsid w:val="00E110A5"/>
    <w:rsid w:val="00E128B6"/>
    <w:rsid w:val="00E12F7A"/>
    <w:rsid w:val="00E154A0"/>
    <w:rsid w:val="00E15C87"/>
    <w:rsid w:val="00E16622"/>
    <w:rsid w:val="00E20348"/>
    <w:rsid w:val="00E21F87"/>
    <w:rsid w:val="00E21FC7"/>
    <w:rsid w:val="00E2284A"/>
    <w:rsid w:val="00E23D02"/>
    <w:rsid w:val="00E265C6"/>
    <w:rsid w:val="00E27570"/>
    <w:rsid w:val="00E31D4B"/>
    <w:rsid w:val="00E334A3"/>
    <w:rsid w:val="00E34E9B"/>
    <w:rsid w:val="00E42754"/>
    <w:rsid w:val="00E442F5"/>
    <w:rsid w:val="00E471AE"/>
    <w:rsid w:val="00E47717"/>
    <w:rsid w:val="00E47A8E"/>
    <w:rsid w:val="00E50D88"/>
    <w:rsid w:val="00E51EEE"/>
    <w:rsid w:val="00E5344A"/>
    <w:rsid w:val="00E550BB"/>
    <w:rsid w:val="00E569A8"/>
    <w:rsid w:val="00E572D2"/>
    <w:rsid w:val="00E572FB"/>
    <w:rsid w:val="00E5758B"/>
    <w:rsid w:val="00E60B50"/>
    <w:rsid w:val="00E64C04"/>
    <w:rsid w:val="00E65943"/>
    <w:rsid w:val="00E65D7A"/>
    <w:rsid w:val="00E66FAC"/>
    <w:rsid w:val="00E67D5D"/>
    <w:rsid w:val="00E67ED6"/>
    <w:rsid w:val="00E70647"/>
    <w:rsid w:val="00E72CD2"/>
    <w:rsid w:val="00E73506"/>
    <w:rsid w:val="00E73CCC"/>
    <w:rsid w:val="00E77A23"/>
    <w:rsid w:val="00E8134E"/>
    <w:rsid w:val="00E81676"/>
    <w:rsid w:val="00E82A4F"/>
    <w:rsid w:val="00E8506F"/>
    <w:rsid w:val="00E87117"/>
    <w:rsid w:val="00E91FD1"/>
    <w:rsid w:val="00E93140"/>
    <w:rsid w:val="00E94F9E"/>
    <w:rsid w:val="00EA2AD2"/>
    <w:rsid w:val="00EA3ED5"/>
    <w:rsid w:val="00EA4C6E"/>
    <w:rsid w:val="00EA595F"/>
    <w:rsid w:val="00EA6EB2"/>
    <w:rsid w:val="00EA7B3A"/>
    <w:rsid w:val="00EB0290"/>
    <w:rsid w:val="00EB12AF"/>
    <w:rsid w:val="00EB1D8E"/>
    <w:rsid w:val="00EB2646"/>
    <w:rsid w:val="00EB5016"/>
    <w:rsid w:val="00EB5E5E"/>
    <w:rsid w:val="00EB6311"/>
    <w:rsid w:val="00EC1000"/>
    <w:rsid w:val="00EC24C3"/>
    <w:rsid w:val="00EC28BD"/>
    <w:rsid w:val="00EC4AD0"/>
    <w:rsid w:val="00EC6880"/>
    <w:rsid w:val="00EC6F89"/>
    <w:rsid w:val="00EC744B"/>
    <w:rsid w:val="00ED01DA"/>
    <w:rsid w:val="00ED271C"/>
    <w:rsid w:val="00ED2840"/>
    <w:rsid w:val="00ED2EF7"/>
    <w:rsid w:val="00ED3CAB"/>
    <w:rsid w:val="00ED45AD"/>
    <w:rsid w:val="00EE040B"/>
    <w:rsid w:val="00EE06FA"/>
    <w:rsid w:val="00EE12A3"/>
    <w:rsid w:val="00EE12FB"/>
    <w:rsid w:val="00EE4548"/>
    <w:rsid w:val="00EE6AE1"/>
    <w:rsid w:val="00EF0056"/>
    <w:rsid w:val="00EF012D"/>
    <w:rsid w:val="00EF1126"/>
    <w:rsid w:val="00EF1DD2"/>
    <w:rsid w:val="00EF280D"/>
    <w:rsid w:val="00EF3CC0"/>
    <w:rsid w:val="00EF4AA4"/>
    <w:rsid w:val="00EF64DF"/>
    <w:rsid w:val="00EF7387"/>
    <w:rsid w:val="00F00AB8"/>
    <w:rsid w:val="00F02BF3"/>
    <w:rsid w:val="00F03004"/>
    <w:rsid w:val="00F0503E"/>
    <w:rsid w:val="00F050BA"/>
    <w:rsid w:val="00F071EB"/>
    <w:rsid w:val="00F07442"/>
    <w:rsid w:val="00F07DB0"/>
    <w:rsid w:val="00F07F19"/>
    <w:rsid w:val="00F128A9"/>
    <w:rsid w:val="00F136DC"/>
    <w:rsid w:val="00F16E2D"/>
    <w:rsid w:val="00F202B4"/>
    <w:rsid w:val="00F20F07"/>
    <w:rsid w:val="00F21B26"/>
    <w:rsid w:val="00F21BCB"/>
    <w:rsid w:val="00F22523"/>
    <w:rsid w:val="00F23C84"/>
    <w:rsid w:val="00F24C7E"/>
    <w:rsid w:val="00F26CAD"/>
    <w:rsid w:val="00F26F75"/>
    <w:rsid w:val="00F31507"/>
    <w:rsid w:val="00F316F3"/>
    <w:rsid w:val="00F318C9"/>
    <w:rsid w:val="00F31C59"/>
    <w:rsid w:val="00F34F22"/>
    <w:rsid w:val="00F35817"/>
    <w:rsid w:val="00F3747D"/>
    <w:rsid w:val="00F413EA"/>
    <w:rsid w:val="00F42669"/>
    <w:rsid w:val="00F43A67"/>
    <w:rsid w:val="00F43BAB"/>
    <w:rsid w:val="00F4734F"/>
    <w:rsid w:val="00F52BFE"/>
    <w:rsid w:val="00F53179"/>
    <w:rsid w:val="00F568EE"/>
    <w:rsid w:val="00F57231"/>
    <w:rsid w:val="00F60BBD"/>
    <w:rsid w:val="00F60BFE"/>
    <w:rsid w:val="00F610FB"/>
    <w:rsid w:val="00F619F9"/>
    <w:rsid w:val="00F62AF1"/>
    <w:rsid w:val="00F6304D"/>
    <w:rsid w:val="00F72955"/>
    <w:rsid w:val="00F72E63"/>
    <w:rsid w:val="00F75389"/>
    <w:rsid w:val="00F768A9"/>
    <w:rsid w:val="00F7752A"/>
    <w:rsid w:val="00F80188"/>
    <w:rsid w:val="00F8026C"/>
    <w:rsid w:val="00F82C2B"/>
    <w:rsid w:val="00F84590"/>
    <w:rsid w:val="00F84B7E"/>
    <w:rsid w:val="00F850EC"/>
    <w:rsid w:val="00F85827"/>
    <w:rsid w:val="00F85FD7"/>
    <w:rsid w:val="00F868FB"/>
    <w:rsid w:val="00F91B8C"/>
    <w:rsid w:val="00F91D47"/>
    <w:rsid w:val="00F92F08"/>
    <w:rsid w:val="00F934B0"/>
    <w:rsid w:val="00FA04D7"/>
    <w:rsid w:val="00FA0DE3"/>
    <w:rsid w:val="00FA107D"/>
    <w:rsid w:val="00FA2107"/>
    <w:rsid w:val="00FA2FCA"/>
    <w:rsid w:val="00FA3774"/>
    <w:rsid w:val="00FA43BC"/>
    <w:rsid w:val="00FA57A1"/>
    <w:rsid w:val="00FA626E"/>
    <w:rsid w:val="00FA6773"/>
    <w:rsid w:val="00FB04EE"/>
    <w:rsid w:val="00FB1517"/>
    <w:rsid w:val="00FB2A1C"/>
    <w:rsid w:val="00FB3844"/>
    <w:rsid w:val="00FB412A"/>
    <w:rsid w:val="00FB652F"/>
    <w:rsid w:val="00FB66B0"/>
    <w:rsid w:val="00FB7672"/>
    <w:rsid w:val="00FB7D98"/>
    <w:rsid w:val="00FC078B"/>
    <w:rsid w:val="00FC19E7"/>
    <w:rsid w:val="00FC1A9E"/>
    <w:rsid w:val="00FC422B"/>
    <w:rsid w:val="00FC47D3"/>
    <w:rsid w:val="00FD24CB"/>
    <w:rsid w:val="00FD28D1"/>
    <w:rsid w:val="00FD3711"/>
    <w:rsid w:val="00FD37BB"/>
    <w:rsid w:val="00FD7F9B"/>
    <w:rsid w:val="00FE1A2E"/>
    <w:rsid w:val="00FE1AD6"/>
    <w:rsid w:val="00FE4910"/>
    <w:rsid w:val="00FE4B60"/>
    <w:rsid w:val="00FE65CE"/>
    <w:rsid w:val="00FE6778"/>
    <w:rsid w:val="00FE72FE"/>
    <w:rsid w:val="00FE76EC"/>
    <w:rsid w:val="00FE7877"/>
    <w:rsid w:val="00FF2B1B"/>
    <w:rsid w:val="00FF4EC8"/>
    <w:rsid w:val="00FF5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DE5A5"/>
  <w15:chartTrackingRefBased/>
  <w15:docId w15:val="{E856FE2C-677E-45FF-9E9C-059C31B21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33C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F1640"/>
    <w:pPr>
      <w:keepNext/>
      <w:spacing w:after="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
    <w:semiHidden/>
    <w:unhideWhenUsed/>
    <w:qFormat/>
    <w:rsid w:val="001561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F1640"/>
    <w:rPr>
      <w:rFonts w:ascii="Times New Roman" w:eastAsia="Times New Roman" w:hAnsi="Times New Roman" w:cs="Times New Roman"/>
      <w:b/>
      <w:sz w:val="24"/>
      <w:szCs w:val="20"/>
    </w:rPr>
  </w:style>
  <w:style w:type="character" w:customStyle="1" w:styleId="current-selection">
    <w:name w:val="current-selection"/>
    <w:basedOn w:val="DefaultParagraphFont"/>
    <w:rsid w:val="00A179D8"/>
  </w:style>
  <w:style w:type="character" w:customStyle="1" w:styleId="a">
    <w:name w:val="_"/>
    <w:basedOn w:val="DefaultParagraphFont"/>
    <w:rsid w:val="00A179D8"/>
  </w:style>
  <w:style w:type="character" w:customStyle="1" w:styleId="ffa">
    <w:name w:val="ffa"/>
    <w:basedOn w:val="DefaultParagraphFont"/>
    <w:rsid w:val="00A179D8"/>
  </w:style>
  <w:style w:type="character" w:customStyle="1" w:styleId="enhanced-reference">
    <w:name w:val="enhanced-reference"/>
    <w:basedOn w:val="DefaultParagraphFont"/>
    <w:rsid w:val="00A179D8"/>
  </w:style>
  <w:style w:type="character" w:customStyle="1" w:styleId="Heading1Char">
    <w:name w:val="Heading 1 Char"/>
    <w:basedOn w:val="DefaultParagraphFont"/>
    <w:link w:val="Heading1"/>
    <w:uiPriority w:val="9"/>
    <w:rsid w:val="00933CE8"/>
    <w:rPr>
      <w:rFonts w:asciiTheme="majorHAnsi" w:eastAsiaTheme="majorEastAsia" w:hAnsiTheme="majorHAnsi" w:cstheme="majorBidi"/>
      <w:color w:val="2E74B5" w:themeColor="accent1" w:themeShade="BF"/>
      <w:sz w:val="32"/>
      <w:szCs w:val="32"/>
    </w:rPr>
  </w:style>
  <w:style w:type="paragraph" w:styleId="BodyTextIndent">
    <w:name w:val="Body Text Indent"/>
    <w:basedOn w:val="Normal"/>
    <w:link w:val="BodyTextIndentChar"/>
    <w:rsid w:val="00401BC9"/>
    <w:pPr>
      <w:suppressAutoHyphens/>
      <w:spacing w:after="0" w:line="480" w:lineRule="auto"/>
      <w:ind w:firstLine="709"/>
      <w:jc w:val="both"/>
    </w:pPr>
    <w:rPr>
      <w:rFonts w:ascii="Times New Roman" w:eastAsia="Times New Roman" w:hAnsi="Times New Roman" w:cs="Times New Roman"/>
      <w:color w:val="00000A"/>
      <w:kern w:val="1"/>
      <w:sz w:val="24"/>
      <w:szCs w:val="24"/>
      <w:lang w:val="en-US" w:eastAsia="zh-CN"/>
    </w:rPr>
  </w:style>
  <w:style w:type="character" w:customStyle="1" w:styleId="BodyTextIndentChar">
    <w:name w:val="Body Text Indent Char"/>
    <w:basedOn w:val="DefaultParagraphFont"/>
    <w:link w:val="BodyTextIndent"/>
    <w:rsid w:val="00401BC9"/>
    <w:rPr>
      <w:rFonts w:ascii="Times New Roman" w:eastAsia="Times New Roman" w:hAnsi="Times New Roman" w:cs="Times New Roman"/>
      <w:color w:val="00000A"/>
      <w:kern w:val="1"/>
      <w:sz w:val="24"/>
      <w:szCs w:val="24"/>
      <w:lang w:val="en-US" w:eastAsia="zh-CN"/>
    </w:rPr>
  </w:style>
  <w:style w:type="paragraph" w:customStyle="1" w:styleId="Default">
    <w:name w:val="Default"/>
    <w:rsid w:val="00744AA8"/>
    <w:pPr>
      <w:autoSpaceDE w:val="0"/>
      <w:autoSpaceDN w:val="0"/>
      <w:adjustRightInd w:val="0"/>
      <w:spacing w:after="0" w:line="240" w:lineRule="auto"/>
    </w:pPr>
    <w:rPr>
      <w:rFonts w:ascii="Calibri" w:hAnsi="Calibri" w:cs="Calibri"/>
      <w:color w:val="000000"/>
      <w:sz w:val="24"/>
      <w:szCs w:val="24"/>
    </w:rPr>
  </w:style>
  <w:style w:type="paragraph" w:styleId="HTMLPreformatted">
    <w:name w:val="HTML Preformatted"/>
    <w:basedOn w:val="Normal"/>
    <w:link w:val="HTMLPreformattedChar"/>
    <w:uiPriority w:val="99"/>
    <w:unhideWhenUsed/>
    <w:rsid w:val="00B54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B54912"/>
    <w:rPr>
      <w:rFonts w:ascii="Courier New" w:eastAsia="Times New Roman" w:hAnsi="Courier New" w:cs="Courier New"/>
      <w:sz w:val="20"/>
      <w:szCs w:val="20"/>
      <w:lang w:eastAsia="en-GB"/>
    </w:rPr>
  </w:style>
  <w:style w:type="character" w:customStyle="1" w:styleId="gem3dmtclfb">
    <w:name w:val="gem3dmtclfb"/>
    <w:basedOn w:val="DefaultParagraphFont"/>
    <w:rsid w:val="00B54912"/>
  </w:style>
  <w:style w:type="character" w:customStyle="1" w:styleId="gem3dmtclgb">
    <w:name w:val="gem3dmtclgb"/>
    <w:basedOn w:val="DefaultParagraphFont"/>
    <w:rsid w:val="00B54912"/>
  </w:style>
  <w:style w:type="character" w:customStyle="1" w:styleId="Heading3Char">
    <w:name w:val="Heading 3 Char"/>
    <w:basedOn w:val="DefaultParagraphFont"/>
    <w:link w:val="Heading3"/>
    <w:uiPriority w:val="9"/>
    <w:semiHidden/>
    <w:rsid w:val="00156193"/>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5536F6"/>
    <w:rPr>
      <w:b/>
      <w:bCs/>
    </w:rPr>
  </w:style>
  <w:style w:type="character" w:styleId="Hyperlink">
    <w:name w:val="Hyperlink"/>
    <w:basedOn w:val="DefaultParagraphFont"/>
    <w:uiPriority w:val="99"/>
    <w:unhideWhenUsed/>
    <w:rsid w:val="005536F6"/>
    <w:rPr>
      <w:color w:val="0000FF"/>
      <w:u w:val="single"/>
    </w:rPr>
  </w:style>
  <w:style w:type="character" w:customStyle="1" w:styleId="gem3dmtcpfb">
    <w:name w:val="gem3dmtcpfb"/>
    <w:basedOn w:val="DefaultParagraphFont"/>
    <w:rsid w:val="0068664A"/>
  </w:style>
  <w:style w:type="character" w:customStyle="1" w:styleId="highlight">
    <w:name w:val="highlight"/>
    <w:basedOn w:val="DefaultParagraphFont"/>
    <w:rsid w:val="004A59D3"/>
  </w:style>
  <w:style w:type="table" w:styleId="TableGrid">
    <w:name w:val="Table Grid"/>
    <w:basedOn w:val="TableNormal"/>
    <w:uiPriority w:val="39"/>
    <w:rsid w:val="00F31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FC47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
    <w:name w:val="desc"/>
    <w:basedOn w:val="Normal"/>
    <w:rsid w:val="00FC47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6441C"/>
    <w:rPr>
      <w:i/>
      <w:iCs/>
    </w:rPr>
  </w:style>
  <w:style w:type="paragraph" w:styleId="ListParagraph">
    <w:name w:val="List Paragraph"/>
    <w:basedOn w:val="Normal"/>
    <w:uiPriority w:val="34"/>
    <w:qFormat/>
    <w:rsid w:val="00D516A6"/>
    <w:pPr>
      <w:ind w:left="720"/>
      <w:contextualSpacing/>
    </w:pPr>
  </w:style>
  <w:style w:type="character" w:customStyle="1" w:styleId="CommentTextChar">
    <w:name w:val="Comment Text Char"/>
    <w:basedOn w:val="DefaultParagraphFont"/>
    <w:link w:val="CommentText"/>
    <w:uiPriority w:val="99"/>
    <w:qFormat/>
    <w:rsid w:val="00D516A6"/>
    <w:rPr>
      <w:sz w:val="20"/>
      <w:szCs w:val="20"/>
    </w:rPr>
  </w:style>
  <w:style w:type="paragraph" w:styleId="CommentText">
    <w:name w:val="annotation text"/>
    <w:basedOn w:val="Normal"/>
    <w:link w:val="CommentTextChar"/>
    <w:uiPriority w:val="99"/>
    <w:unhideWhenUsed/>
    <w:qFormat/>
    <w:rsid w:val="00D516A6"/>
    <w:pPr>
      <w:spacing w:line="240" w:lineRule="auto"/>
    </w:pPr>
    <w:rPr>
      <w:sz w:val="20"/>
      <w:szCs w:val="20"/>
    </w:rPr>
  </w:style>
  <w:style w:type="character" w:customStyle="1" w:styleId="CommentTextChar1">
    <w:name w:val="Comment Text Char1"/>
    <w:basedOn w:val="DefaultParagraphFont"/>
    <w:uiPriority w:val="99"/>
    <w:semiHidden/>
    <w:rsid w:val="00D516A6"/>
    <w:rPr>
      <w:sz w:val="20"/>
      <w:szCs w:val="20"/>
    </w:rPr>
  </w:style>
  <w:style w:type="character" w:customStyle="1" w:styleId="figpopup-sensitive-area">
    <w:name w:val="figpopup-sensitive-area"/>
    <w:basedOn w:val="DefaultParagraphFont"/>
    <w:rsid w:val="00FC422B"/>
  </w:style>
  <w:style w:type="character" w:styleId="FollowedHyperlink">
    <w:name w:val="FollowedHyperlink"/>
    <w:basedOn w:val="DefaultParagraphFont"/>
    <w:uiPriority w:val="99"/>
    <w:semiHidden/>
    <w:unhideWhenUsed/>
    <w:rsid w:val="00745793"/>
    <w:rPr>
      <w:color w:val="954F72" w:themeColor="followedHyperlink"/>
      <w:u w:val="single"/>
    </w:rPr>
  </w:style>
  <w:style w:type="paragraph" w:styleId="FootnoteText">
    <w:name w:val="footnote text"/>
    <w:basedOn w:val="Normal"/>
    <w:link w:val="FootnoteTextChar"/>
    <w:uiPriority w:val="99"/>
    <w:semiHidden/>
    <w:unhideWhenUsed/>
    <w:rsid w:val="007457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5793"/>
    <w:rPr>
      <w:sz w:val="20"/>
      <w:szCs w:val="20"/>
    </w:rPr>
  </w:style>
  <w:style w:type="character" w:styleId="FootnoteReference">
    <w:name w:val="footnote reference"/>
    <w:basedOn w:val="DefaultParagraphFont"/>
    <w:uiPriority w:val="99"/>
    <w:semiHidden/>
    <w:unhideWhenUsed/>
    <w:rsid w:val="00745793"/>
    <w:rPr>
      <w:vertAlign w:val="superscript"/>
    </w:rPr>
  </w:style>
  <w:style w:type="paragraph" w:styleId="Caption">
    <w:name w:val="caption"/>
    <w:basedOn w:val="Normal"/>
    <w:next w:val="Normal"/>
    <w:uiPriority w:val="35"/>
    <w:unhideWhenUsed/>
    <w:qFormat/>
    <w:rsid w:val="003D31C2"/>
    <w:pPr>
      <w:tabs>
        <w:tab w:val="left" w:pos="851"/>
      </w:tabs>
      <w:spacing w:after="200" w:line="240" w:lineRule="auto"/>
      <w:jc w:val="both"/>
    </w:pPr>
    <w:rPr>
      <w:rFonts w:ascii="Times New Roman" w:eastAsia="Times New Roman" w:hAnsi="Times New Roman" w:cs="Times New Roman"/>
      <w:i/>
      <w:iCs/>
      <w:color w:val="44546A" w:themeColor="text2"/>
      <w:sz w:val="18"/>
      <w:szCs w:val="18"/>
      <w:lang w:eastAsia="en-GB"/>
    </w:rPr>
  </w:style>
  <w:style w:type="paragraph" w:styleId="NoSpacing">
    <w:name w:val="No Spacing"/>
    <w:uiPriority w:val="1"/>
    <w:qFormat/>
    <w:rsid w:val="003D31C2"/>
    <w:pPr>
      <w:spacing w:after="0" w:line="240" w:lineRule="auto"/>
      <w:ind w:firstLine="720"/>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D31C2"/>
    <w:rPr>
      <w:sz w:val="16"/>
      <w:szCs w:val="16"/>
    </w:rPr>
  </w:style>
  <w:style w:type="paragraph" w:styleId="BalloonText">
    <w:name w:val="Balloon Text"/>
    <w:basedOn w:val="Normal"/>
    <w:link w:val="BalloonTextChar"/>
    <w:uiPriority w:val="99"/>
    <w:semiHidden/>
    <w:unhideWhenUsed/>
    <w:rsid w:val="003D31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1C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446DC"/>
    <w:rPr>
      <w:b/>
      <w:bCs/>
    </w:rPr>
  </w:style>
  <w:style w:type="character" w:customStyle="1" w:styleId="CommentSubjectChar">
    <w:name w:val="Comment Subject Char"/>
    <w:basedOn w:val="CommentTextChar"/>
    <w:link w:val="CommentSubject"/>
    <w:uiPriority w:val="99"/>
    <w:semiHidden/>
    <w:rsid w:val="00B446DC"/>
    <w:rPr>
      <w:b/>
      <w:bCs/>
      <w:sz w:val="20"/>
      <w:szCs w:val="20"/>
    </w:rPr>
  </w:style>
  <w:style w:type="paragraph" w:styleId="Header">
    <w:name w:val="header"/>
    <w:basedOn w:val="Normal"/>
    <w:link w:val="HeaderChar"/>
    <w:uiPriority w:val="99"/>
    <w:unhideWhenUsed/>
    <w:rsid w:val="007773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73E5"/>
  </w:style>
  <w:style w:type="paragraph" w:styleId="Footer">
    <w:name w:val="footer"/>
    <w:basedOn w:val="Normal"/>
    <w:link w:val="FooterChar"/>
    <w:uiPriority w:val="99"/>
    <w:unhideWhenUsed/>
    <w:rsid w:val="007773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73E5"/>
  </w:style>
  <w:style w:type="paragraph" w:styleId="Revision">
    <w:name w:val="Revision"/>
    <w:hidden/>
    <w:uiPriority w:val="99"/>
    <w:semiHidden/>
    <w:rsid w:val="00A665A9"/>
    <w:pPr>
      <w:spacing w:after="0" w:line="240" w:lineRule="auto"/>
    </w:pPr>
  </w:style>
  <w:style w:type="paragraph" w:styleId="NormalWeb">
    <w:name w:val="Normal (Web)"/>
    <w:basedOn w:val="Normal"/>
    <w:uiPriority w:val="99"/>
    <w:unhideWhenUsed/>
    <w:qFormat/>
    <w:rsid w:val="00DB3B5A"/>
    <w:pPr>
      <w:spacing w:beforeAutospacing="1" w:afterAutospacing="1" w:line="240" w:lineRule="auto"/>
    </w:pPr>
    <w:rPr>
      <w:rFonts w:ascii="Times New Roman" w:eastAsia="Times New Roman" w:hAnsi="Times New Roman" w:cs="Times New Roman"/>
      <w:color w:val="00000A"/>
      <w:sz w:val="24"/>
      <w:szCs w:val="24"/>
      <w:lang w:eastAsia="en-GB"/>
    </w:rPr>
  </w:style>
  <w:style w:type="character" w:customStyle="1" w:styleId="WW8Num1ztrue">
    <w:name w:val="WW8Num1ztrue"/>
    <w:rsid w:val="000C163B"/>
  </w:style>
  <w:style w:type="character" w:styleId="LineNumber">
    <w:name w:val="line number"/>
    <w:basedOn w:val="DefaultParagraphFont"/>
    <w:uiPriority w:val="99"/>
    <w:semiHidden/>
    <w:unhideWhenUsed/>
    <w:rsid w:val="00C35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8183">
      <w:bodyDiv w:val="1"/>
      <w:marLeft w:val="0"/>
      <w:marRight w:val="0"/>
      <w:marTop w:val="0"/>
      <w:marBottom w:val="0"/>
      <w:divBdr>
        <w:top w:val="none" w:sz="0" w:space="0" w:color="auto"/>
        <w:left w:val="none" w:sz="0" w:space="0" w:color="auto"/>
        <w:bottom w:val="none" w:sz="0" w:space="0" w:color="auto"/>
        <w:right w:val="none" w:sz="0" w:space="0" w:color="auto"/>
      </w:divBdr>
    </w:div>
    <w:div w:id="15692547">
      <w:bodyDiv w:val="1"/>
      <w:marLeft w:val="0"/>
      <w:marRight w:val="0"/>
      <w:marTop w:val="0"/>
      <w:marBottom w:val="0"/>
      <w:divBdr>
        <w:top w:val="none" w:sz="0" w:space="0" w:color="auto"/>
        <w:left w:val="none" w:sz="0" w:space="0" w:color="auto"/>
        <w:bottom w:val="none" w:sz="0" w:space="0" w:color="auto"/>
        <w:right w:val="none" w:sz="0" w:space="0" w:color="auto"/>
      </w:divBdr>
    </w:div>
    <w:div w:id="65108919">
      <w:bodyDiv w:val="1"/>
      <w:marLeft w:val="0"/>
      <w:marRight w:val="0"/>
      <w:marTop w:val="0"/>
      <w:marBottom w:val="0"/>
      <w:divBdr>
        <w:top w:val="none" w:sz="0" w:space="0" w:color="auto"/>
        <w:left w:val="none" w:sz="0" w:space="0" w:color="auto"/>
        <w:bottom w:val="none" w:sz="0" w:space="0" w:color="auto"/>
        <w:right w:val="none" w:sz="0" w:space="0" w:color="auto"/>
      </w:divBdr>
    </w:div>
    <w:div w:id="65416654">
      <w:bodyDiv w:val="1"/>
      <w:marLeft w:val="0"/>
      <w:marRight w:val="0"/>
      <w:marTop w:val="0"/>
      <w:marBottom w:val="0"/>
      <w:divBdr>
        <w:top w:val="none" w:sz="0" w:space="0" w:color="auto"/>
        <w:left w:val="none" w:sz="0" w:space="0" w:color="auto"/>
        <w:bottom w:val="none" w:sz="0" w:space="0" w:color="auto"/>
        <w:right w:val="none" w:sz="0" w:space="0" w:color="auto"/>
      </w:divBdr>
    </w:div>
    <w:div w:id="79065137">
      <w:bodyDiv w:val="1"/>
      <w:marLeft w:val="0"/>
      <w:marRight w:val="0"/>
      <w:marTop w:val="0"/>
      <w:marBottom w:val="0"/>
      <w:divBdr>
        <w:top w:val="none" w:sz="0" w:space="0" w:color="auto"/>
        <w:left w:val="none" w:sz="0" w:space="0" w:color="auto"/>
        <w:bottom w:val="none" w:sz="0" w:space="0" w:color="auto"/>
        <w:right w:val="none" w:sz="0" w:space="0" w:color="auto"/>
      </w:divBdr>
    </w:div>
    <w:div w:id="83232413">
      <w:bodyDiv w:val="1"/>
      <w:marLeft w:val="0"/>
      <w:marRight w:val="0"/>
      <w:marTop w:val="0"/>
      <w:marBottom w:val="0"/>
      <w:divBdr>
        <w:top w:val="none" w:sz="0" w:space="0" w:color="auto"/>
        <w:left w:val="none" w:sz="0" w:space="0" w:color="auto"/>
        <w:bottom w:val="none" w:sz="0" w:space="0" w:color="auto"/>
        <w:right w:val="none" w:sz="0" w:space="0" w:color="auto"/>
      </w:divBdr>
    </w:div>
    <w:div w:id="86007615">
      <w:bodyDiv w:val="1"/>
      <w:marLeft w:val="0"/>
      <w:marRight w:val="0"/>
      <w:marTop w:val="0"/>
      <w:marBottom w:val="0"/>
      <w:divBdr>
        <w:top w:val="none" w:sz="0" w:space="0" w:color="auto"/>
        <w:left w:val="none" w:sz="0" w:space="0" w:color="auto"/>
        <w:bottom w:val="none" w:sz="0" w:space="0" w:color="auto"/>
        <w:right w:val="none" w:sz="0" w:space="0" w:color="auto"/>
      </w:divBdr>
      <w:divsChild>
        <w:div w:id="189801429">
          <w:marLeft w:val="0"/>
          <w:marRight w:val="0"/>
          <w:marTop w:val="0"/>
          <w:marBottom w:val="0"/>
          <w:divBdr>
            <w:top w:val="none" w:sz="0" w:space="0" w:color="auto"/>
            <w:left w:val="none" w:sz="0" w:space="0" w:color="auto"/>
            <w:bottom w:val="none" w:sz="0" w:space="0" w:color="auto"/>
            <w:right w:val="none" w:sz="0" w:space="0" w:color="auto"/>
          </w:divBdr>
        </w:div>
      </w:divsChild>
    </w:div>
    <w:div w:id="114716167">
      <w:bodyDiv w:val="1"/>
      <w:marLeft w:val="0"/>
      <w:marRight w:val="0"/>
      <w:marTop w:val="0"/>
      <w:marBottom w:val="0"/>
      <w:divBdr>
        <w:top w:val="none" w:sz="0" w:space="0" w:color="auto"/>
        <w:left w:val="none" w:sz="0" w:space="0" w:color="auto"/>
        <w:bottom w:val="none" w:sz="0" w:space="0" w:color="auto"/>
        <w:right w:val="none" w:sz="0" w:space="0" w:color="auto"/>
      </w:divBdr>
    </w:div>
    <w:div w:id="115370896">
      <w:bodyDiv w:val="1"/>
      <w:marLeft w:val="0"/>
      <w:marRight w:val="0"/>
      <w:marTop w:val="0"/>
      <w:marBottom w:val="0"/>
      <w:divBdr>
        <w:top w:val="none" w:sz="0" w:space="0" w:color="auto"/>
        <w:left w:val="none" w:sz="0" w:space="0" w:color="auto"/>
        <w:bottom w:val="none" w:sz="0" w:space="0" w:color="auto"/>
        <w:right w:val="none" w:sz="0" w:space="0" w:color="auto"/>
      </w:divBdr>
    </w:div>
    <w:div w:id="117143351">
      <w:bodyDiv w:val="1"/>
      <w:marLeft w:val="0"/>
      <w:marRight w:val="0"/>
      <w:marTop w:val="0"/>
      <w:marBottom w:val="0"/>
      <w:divBdr>
        <w:top w:val="none" w:sz="0" w:space="0" w:color="auto"/>
        <w:left w:val="none" w:sz="0" w:space="0" w:color="auto"/>
        <w:bottom w:val="none" w:sz="0" w:space="0" w:color="auto"/>
        <w:right w:val="none" w:sz="0" w:space="0" w:color="auto"/>
      </w:divBdr>
    </w:div>
    <w:div w:id="130875994">
      <w:bodyDiv w:val="1"/>
      <w:marLeft w:val="0"/>
      <w:marRight w:val="0"/>
      <w:marTop w:val="0"/>
      <w:marBottom w:val="0"/>
      <w:divBdr>
        <w:top w:val="none" w:sz="0" w:space="0" w:color="auto"/>
        <w:left w:val="none" w:sz="0" w:space="0" w:color="auto"/>
        <w:bottom w:val="none" w:sz="0" w:space="0" w:color="auto"/>
        <w:right w:val="none" w:sz="0" w:space="0" w:color="auto"/>
      </w:divBdr>
    </w:div>
    <w:div w:id="151525892">
      <w:bodyDiv w:val="1"/>
      <w:marLeft w:val="0"/>
      <w:marRight w:val="0"/>
      <w:marTop w:val="0"/>
      <w:marBottom w:val="0"/>
      <w:divBdr>
        <w:top w:val="none" w:sz="0" w:space="0" w:color="auto"/>
        <w:left w:val="none" w:sz="0" w:space="0" w:color="auto"/>
        <w:bottom w:val="none" w:sz="0" w:space="0" w:color="auto"/>
        <w:right w:val="none" w:sz="0" w:space="0" w:color="auto"/>
      </w:divBdr>
    </w:div>
    <w:div w:id="153960370">
      <w:bodyDiv w:val="1"/>
      <w:marLeft w:val="0"/>
      <w:marRight w:val="0"/>
      <w:marTop w:val="0"/>
      <w:marBottom w:val="0"/>
      <w:divBdr>
        <w:top w:val="none" w:sz="0" w:space="0" w:color="auto"/>
        <w:left w:val="none" w:sz="0" w:space="0" w:color="auto"/>
        <w:bottom w:val="none" w:sz="0" w:space="0" w:color="auto"/>
        <w:right w:val="none" w:sz="0" w:space="0" w:color="auto"/>
      </w:divBdr>
    </w:div>
    <w:div w:id="160313274">
      <w:bodyDiv w:val="1"/>
      <w:marLeft w:val="0"/>
      <w:marRight w:val="0"/>
      <w:marTop w:val="0"/>
      <w:marBottom w:val="0"/>
      <w:divBdr>
        <w:top w:val="none" w:sz="0" w:space="0" w:color="auto"/>
        <w:left w:val="none" w:sz="0" w:space="0" w:color="auto"/>
        <w:bottom w:val="none" w:sz="0" w:space="0" w:color="auto"/>
        <w:right w:val="none" w:sz="0" w:space="0" w:color="auto"/>
      </w:divBdr>
    </w:div>
    <w:div w:id="168910386">
      <w:bodyDiv w:val="1"/>
      <w:marLeft w:val="0"/>
      <w:marRight w:val="0"/>
      <w:marTop w:val="0"/>
      <w:marBottom w:val="0"/>
      <w:divBdr>
        <w:top w:val="none" w:sz="0" w:space="0" w:color="auto"/>
        <w:left w:val="none" w:sz="0" w:space="0" w:color="auto"/>
        <w:bottom w:val="none" w:sz="0" w:space="0" w:color="auto"/>
        <w:right w:val="none" w:sz="0" w:space="0" w:color="auto"/>
      </w:divBdr>
    </w:div>
    <w:div w:id="171336688">
      <w:bodyDiv w:val="1"/>
      <w:marLeft w:val="0"/>
      <w:marRight w:val="0"/>
      <w:marTop w:val="0"/>
      <w:marBottom w:val="0"/>
      <w:divBdr>
        <w:top w:val="none" w:sz="0" w:space="0" w:color="auto"/>
        <w:left w:val="none" w:sz="0" w:space="0" w:color="auto"/>
        <w:bottom w:val="none" w:sz="0" w:space="0" w:color="auto"/>
        <w:right w:val="none" w:sz="0" w:space="0" w:color="auto"/>
      </w:divBdr>
    </w:div>
    <w:div w:id="177085207">
      <w:bodyDiv w:val="1"/>
      <w:marLeft w:val="0"/>
      <w:marRight w:val="0"/>
      <w:marTop w:val="0"/>
      <w:marBottom w:val="0"/>
      <w:divBdr>
        <w:top w:val="none" w:sz="0" w:space="0" w:color="auto"/>
        <w:left w:val="none" w:sz="0" w:space="0" w:color="auto"/>
        <w:bottom w:val="none" w:sz="0" w:space="0" w:color="auto"/>
        <w:right w:val="none" w:sz="0" w:space="0" w:color="auto"/>
      </w:divBdr>
    </w:div>
    <w:div w:id="199443592">
      <w:bodyDiv w:val="1"/>
      <w:marLeft w:val="0"/>
      <w:marRight w:val="0"/>
      <w:marTop w:val="0"/>
      <w:marBottom w:val="0"/>
      <w:divBdr>
        <w:top w:val="none" w:sz="0" w:space="0" w:color="auto"/>
        <w:left w:val="none" w:sz="0" w:space="0" w:color="auto"/>
        <w:bottom w:val="none" w:sz="0" w:space="0" w:color="auto"/>
        <w:right w:val="none" w:sz="0" w:space="0" w:color="auto"/>
      </w:divBdr>
    </w:div>
    <w:div w:id="199586868">
      <w:bodyDiv w:val="1"/>
      <w:marLeft w:val="0"/>
      <w:marRight w:val="0"/>
      <w:marTop w:val="0"/>
      <w:marBottom w:val="0"/>
      <w:divBdr>
        <w:top w:val="none" w:sz="0" w:space="0" w:color="auto"/>
        <w:left w:val="none" w:sz="0" w:space="0" w:color="auto"/>
        <w:bottom w:val="none" w:sz="0" w:space="0" w:color="auto"/>
        <w:right w:val="none" w:sz="0" w:space="0" w:color="auto"/>
      </w:divBdr>
    </w:div>
    <w:div w:id="210927565">
      <w:bodyDiv w:val="1"/>
      <w:marLeft w:val="0"/>
      <w:marRight w:val="0"/>
      <w:marTop w:val="0"/>
      <w:marBottom w:val="0"/>
      <w:divBdr>
        <w:top w:val="none" w:sz="0" w:space="0" w:color="auto"/>
        <w:left w:val="none" w:sz="0" w:space="0" w:color="auto"/>
        <w:bottom w:val="none" w:sz="0" w:space="0" w:color="auto"/>
        <w:right w:val="none" w:sz="0" w:space="0" w:color="auto"/>
      </w:divBdr>
    </w:div>
    <w:div w:id="220337578">
      <w:bodyDiv w:val="1"/>
      <w:marLeft w:val="0"/>
      <w:marRight w:val="0"/>
      <w:marTop w:val="0"/>
      <w:marBottom w:val="0"/>
      <w:divBdr>
        <w:top w:val="none" w:sz="0" w:space="0" w:color="auto"/>
        <w:left w:val="none" w:sz="0" w:space="0" w:color="auto"/>
        <w:bottom w:val="none" w:sz="0" w:space="0" w:color="auto"/>
        <w:right w:val="none" w:sz="0" w:space="0" w:color="auto"/>
      </w:divBdr>
    </w:div>
    <w:div w:id="235870126">
      <w:bodyDiv w:val="1"/>
      <w:marLeft w:val="0"/>
      <w:marRight w:val="0"/>
      <w:marTop w:val="0"/>
      <w:marBottom w:val="0"/>
      <w:divBdr>
        <w:top w:val="none" w:sz="0" w:space="0" w:color="auto"/>
        <w:left w:val="none" w:sz="0" w:space="0" w:color="auto"/>
        <w:bottom w:val="none" w:sz="0" w:space="0" w:color="auto"/>
        <w:right w:val="none" w:sz="0" w:space="0" w:color="auto"/>
      </w:divBdr>
    </w:div>
    <w:div w:id="243806614">
      <w:bodyDiv w:val="1"/>
      <w:marLeft w:val="0"/>
      <w:marRight w:val="0"/>
      <w:marTop w:val="0"/>
      <w:marBottom w:val="0"/>
      <w:divBdr>
        <w:top w:val="none" w:sz="0" w:space="0" w:color="auto"/>
        <w:left w:val="none" w:sz="0" w:space="0" w:color="auto"/>
        <w:bottom w:val="none" w:sz="0" w:space="0" w:color="auto"/>
        <w:right w:val="none" w:sz="0" w:space="0" w:color="auto"/>
      </w:divBdr>
    </w:div>
    <w:div w:id="248127124">
      <w:bodyDiv w:val="1"/>
      <w:marLeft w:val="0"/>
      <w:marRight w:val="0"/>
      <w:marTop w:val="0"/>
      <w:marBottom w:val="0"/>
      <w:divBdr>
        <w:top w:val="none" w:sz="0" w:space="0" w:color="auto"/>
        <w:left w:val="none" w:sz="0" w:space="0" w:color="auto"/>
        <w:bottom w:val="none" w:sz="0" w:space="0" w:color="auto"/>
        <w:right w:val="none" w:sz="0" w:space="0" w:color="auto"/>
      </w:divBdr>
    </w:div>
    <w:div w:id="249043029">
      <w:bodyDiv w:val="1"/>
      <w:marLeft w:val="0"/>
      <w:marRight w:val="0"/>
      <w:marTop w:val="0"/>
      <w:marBottom w:val="0"/>
      <w:divBdr>
        <w:top w:val="none" w:sz="0" w:space="0" w:color="auto"/>
        <w:left w:val="none" w:sz="0" w:space="0" w:color="auto"/>
        <w:bottom w:val="none" w:sz="0" w:space="0" w:color="auto"/>
        <w:right w:val="none" w:sz="0" w:space="0" w:color="auto"/>
      </w:divBdr>
    </w:div>
    <w:div w:id="256448030">
      <w:bodyDiv w:val="1"/>
      <w:marLeft w:val="0"/>
      <w:marRight w:val="0"/>
      <w:marTop w:val="0"/>
      <w:marBottom w:val="0"/>
      <w:divBdr>
        <w:top w:val="none" w:sz="0" w:space="0" w:color="auto"/>
        <w:left w:val="none" w:sz="0" w:space="0" w:color="auto"/>
        <w:bottom w:val="none" w:sz="0" w:space="0" w:color="auto"/>
        <w:right w:val="none" w:sz="0" w:space="0" w:color="auto"/>
      </w:divBdr>
    </w:div>
    <w:div w:id="273679563">
      <w:bodyDiv w:val="1"/>
      <w:marLeft w:val="0"/>
      <w:marRight w:val="0"/>
      <w:marTop w:val="0"/>
      <w:marBottom w:val="0"/>
      <w:divBdr>
        <w:top w:val="none" w:sz="0" w:space="0" w:color="auto"/>
        <w:left w:val="none" w:sz="0" w:space="0" w:color="auto"/>
        <w:bottom w:val="none" w:sz="0" w:space="0" w:color="auto"/>
        <w:right w:val="none" w:sz="0" w:space="0" w:color="auto"/>
      </w:divBdr>
    </w:div>
    <w:div w:id="277225837">
      <w:bodyDiv w:val="1"/>
      <w:marLeft w:val="0"/>
      <w:marRight w:val="0"/>
      <w:marTop w:val="0"/>
      <w:marBottom w:val="0"/>
      <w:divBdr>
        <w:top w:val="none" w:sz="0" w:space="0" w:color="auto"/>
        <w:left w:val="none" w:sz="0" w:space="0" w:color="auto"/>
        <w:bottom w:val="none" w:sz="0" w:space="0" w:color="auto"/>
        <w:right w:val="none" w:sz="0" w:space="0" w:color="auto"/>
      </w:divBdr>
    </w:div>
    <w:div w:id="293875858">
      <w:bodyDiv w:val="1"/>
      <w:marLeft w:val="0"/>
      <w:marRight w:val="0"/>
      <w:marTop w:val="0"/>
      <w:marBottom w:val="0"/>
      <w:divBdr>
        <w:top w:val="none" w:sz="0" w:space="0" w:color="auto"/>
        <w:left w:val="none" w:sz="0" w:space="0" w:color="auto"/>
        <w:bottom w:val="none" w:sz="0" w:space="0" w:color="auto"/>
        <w:right w:val="none" w:sz="0" w:space="0" w:color="auto"/>
      </w:divBdr>
    </w:div>
    <w:div w:id="294605471">
      <w:bodyDiv w:val="1"/>
      <w:marLeft w:val="0"/>
      <w:marRight w:val="0"/>
      <w:marTop w:val="0"/>
      <w:marBottom w:val="0"/>
      <w:divBdr>
        <w:top w:val="none" w:sz="0" w:space="0" w:color="auto"/>
        <w:left w:val="none" w:sz="0" w:space="0" w:color="auto"/>
        <w:bottom w:val="none" w:sz="0" w:space="0" w:color="auto"/>
        <w:right w:val="none" w:sz="0" w:space="0" w:color="auto"/>
      </w:divBdr>
    </w:div>
    <w:div w:id="302008268">
      <w:bodyDiv w:val="1"/>
      <w:marLeft w:val="0"/>
      <w:marRight w:val="0"/>
      <w:marTop w:val="0"/>
      <w:marBottom w:val="0"/>
      <w:divBdr>
        <w:top w:val="none" w:sz="0" w:space="0" w:color="auto"/>
        <w:left w:val="none" w:sz="0" w:space="0" w:color="auto"/>
        <w:bottom w:val="none" w:sz="0" w:space="0" w:color="auto"/>
        <w:right w:val="none" w:sz="0" w:space="0" w:color="auto"/>
      </w:divBdr>
    </w:div>
    <w:div w:id="315304401">
      <w:bodyDiv w:val="1"/>
      <w:marLeft w:val="0"/>
      <w:marRight w:val="0"/>
      <w:marTop w:val="0"/>
      <w:marBottom w:val="0"/>
      <w:divBdr>
        <w:top w:val="none" w:sz="0" w:space="0" w:color="auto"/>
        <w:left w:val="none" w:sz="0" w:space="0" w:color="auto"/>
        <w:bottom w:val="none" w:sz="0" w:space="0" w:color="auto"/>
        <w:right w:val="none" w:sz="0" w:space="0" w:color="auto"/>
      </w:divBdr>
    </w:div>
    <w:div w:id="315500372">
      <w:bodyDiv w:val="1"/>
      <w:marLeft w:val="0"/>
      <w:marRight w:val="0"/>
      <w:marTop w:val="0"/>
      <w:marBottom w:val="0"/>
      <w:divBdr>
        <w:top w:val="none" w:sz="0" w:space="0" w:color="auto"/>
        <w:left w:val="none" w:sz="0" w:space="0" w:color="auto"/>
        <w:bottom w:val="none" w:sz="0" w:space="0" w:color="auto"/>
        <w:right w:val="none" w:sz="0" w:space="0" w:color="auto"/>
      </w:divBdr>
    </w:div>
    <w:div w:id="319161512">
      <w:bodyDiv w:val="1"/>
      <w:marLeft w:val="0"/>
      <w:marRight w:val="0"/>
      <w:marTop w:val="0"/>
      <w:marBottom w:val="0"/>
      <w:divBdr>
        <w:top w:val="none" w:sz="0" w:space="0" w:color="auto"/>
        <w:left w:val="none" w:sz="0" w:space="0" w:color="auto"/>
        <w:bottom w:val="none" w:sz="0" w:space="0" w:color="auto"/>
        <w:right w:val="none" w:sz="0" w:space="0" w:color="auto"/>
      </w:divBdr>
    </w:div>
    <w:div w:id="349914166">
      <w:bodyDiv w:val="1"/>
      <w:marLeft w:val="0"/>
      <w:marRight w:val="0"/>
      <w:marTop w:val="0"/>
      <w:marBottom w:val="0"/>
      <w:divBdr>
        <w:top w:val="none" w:sz="0" w:space="0" w:color="auto"/>
        <w:left w:val="none" w:sz="0" w:space="0" w:color="auto"/>
        <w:bottom w:val="none" w:sz="0" w:space="0" w:color="auto"/>
        <w:right w:val="none" w:sz="0" w:space="0" w:color="auto"/>
      </w:divBdr>
    </w:div>
    <w:div w:id="350573679">
      <w:bodyDiv w:val="1"/>
      <w:marLeft w:val="0"/>
      <w:marRight w:val="0"/>
      <w:marTop w:val="0"/>
      <w:marBottom w:val="0"/>
      <w:divBdr>
        <w:top w:val="none" w:sz="0" w:space="0" w:color="auto"/>
        <w:left w:val="none" w:sz="0" w:space="0" w:color="auto"/>
        <w:bottom w:val="none" w:sz="0" w:space="0" w:color="auto"/>
        <w:right w:val="none" w:sz="0" w:space="0" w:color="auto"/>
      </w:divBdr>
    </w:div>
    <w:div w:id="352070679">
      <w:bodyDiv w:val="1"/>
      <w:marLeft w:val="0"/>
      <w:marRight w:val="0"/>
      <w:marTop w:val="0"/>
      <w:marBottom w:val="0"/>
      <w:divBdr>
        <w:top w:val="none" w:sz="0" w:space="0" w:color="auto"/>
        <w:left w:val="none" w:sz="0" w:space="0" w:color="auto"/>
        <w:bottom w:val="none" w:sz="0" w:space="0" w:color="auto"/>
        <w:right w:val="none" w:sz="0" w:space="0" w:color="auto"/>
      </w:divBdr>
    </w:div>
    <w:div w:id="402918162">
      <w:bodyDiv w:val="1"/>
      <w:marLeft w:val="0"/>
      <w:marRight w:val="0"/>
      <w:marTop w:val="0"/>
      <w:marBottom w:val="0"/>
      <w:divBdr>
        <w:top w:val="none" w:sz="0" w:space="0" w:color="auto"/>
        <w:left w:val="none" w:sz="0" w:space="0" w:color="auto"/>
        <w:bottom w:val="none" w:sz="0" w:space="0" w:color="auto"/>
        <w:right w:val="none" w:sz="0" w:space="0" w:color="auto"/>
      </w:divBdr>
    </w:div>
    <w:div w:id="404883562">
      <w:bodyDiv w:val="1"/>
      <w:marLeft w:val="0"/>
      <w:marRight w:val="0"/>
      <w:marTop w:val="0"/>
      <w:marBottom w:val="0"/>
      <w:divBdr>
        <w:top w:val="none" w:sz="0" w:space="0" w:color="auto"/>
        <w:left w:val="none" w:sz="0" w:space="0" w:color="auto"/>
        <w:bottom w:val="none" w:sz="0" w:space="0" w:color="auto"/>
        <w:right w:val="none" w:sz="0" w:space="0" w:color="auto"/>
      </w:divBdr>
    </w:div>
    <w:div w:id="409428585">
      <w:bodyDiv w:val="1"/>
      <w:marLeft w:val="0"/>
      <w:marRight w:val="0"/>
      <w:marTop w:val="0"/>
      <w:marBottom w:val="0"/>
      <w:divBdr>
        <w:top w:val="none" w:sz="0" w:space="0" w:color="auto"/>
        <w:left w:val="none" w:sz="0" w:space="0" w:color="auto"/>
        <w:bottom w:val="none" w:sz="0" w:space="0" w:color="auto"/>
        <w:right w:val="none" w:sz="0" w:space="0" w:color="auto"/>
      </w:divBdr>
      <w:divsChild>
        <w:div w:id="471943644">
          <w:marLeft w:val="0"/>
          <w:marRight w:val="75"/>
          <w:marTop w:val="75"/>
          <w:marBottom w:val="75"/>
          <w:divBdr>
            <w:top w:val="none" w:sz="0" w:space="0" w:color="auto"/>
            <w:left w:val="none" w:sz="0" w:space="0" w:color="auto"/>
            <w:bottom w:val="none" w:sz="0" w:space="0" w:color="auto"/>
            <w:right w:val="none" w:sz="0" w:space="0" w:color="auto"/>
          </w:divBdr>
          <w:divsChild>
            <w:div w:id="639188998">
              <w:marLeft w:val="75"/>
              <w:marRight w:val="150"/>
              <w:marTop w:val="0"/>
              <w:marBottom w:val="225"/>
              <w:divBdr>
                <w:top w:val="none" w:sz="0" w:space="0" w:color="auto"/>
                <w:left w:val="none" w:sz="0" w:space="0" w:color="auto"/>
                <w:bottom w:val="none" w:sz="0" w:space="0" w:color="auto"/>
                <w:right w:val="none" w:sz="0" w:space="0" w:color="auto"/>
              </w:divBdr>
              <w:divsChild>
                <w:div w:id="1905605730">
                  <w:marLeft w:val="0"/>
                  <w:marRight w:val="0"/>
                  <w:marTop w:val="0"/>
                  <w:marBottom w:val="0"/>
                  <w:divBdr>
                    <w:top w:val="none" w:sz="0" w:space="0" w:color="auto"/>
                    <w:left w:val="none" w:sz="0" w:space="0" w:color="auto"/>
                    <w:bottom w:val="none" w:sz="0" w:space="0" w:color="auto"/>
                    <w:right w:val="none" w:sz="0" w:space="0" w:color="auto"/>
                  </w:divBdr>
                </w:div>
                <w:div w:id="435640918">
                  <w:marLeft w:val="0"/>
                  <w:marRight w:val="0"/>
                  <w:marTop w:val="0"/>
                  <w:marBottom w:val="0"/>
                  <w:divBdr>
                    <w:top w:val="none" w:sz="0" w:space="0" w:color="auto"/>
                    <w:left w:val="none" w:sz="0" w:space="0" w:color="auto"/>
                    <w:bottom w:val="none" w:sz="0" w:space="0" w:color="auto"/>
                    <w:right w:val="none" w:sz="0" w:space="0" w:color="auto"/>
                  </w:divBdr>
                </w:div>
              </w:divsChild>
            </w:div>
            <w:div w:id="8599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67968">
      <w:bodyDiv w:val="1"/>
      <w:marLeft w:val="0"/>
      <w:marRight w:val="0"/>
      <w:marTop w:val="0"/>
      <w:marBottom w:val="0"/>
      <w:divBdr>
        <w:top w:val="none" w:sz="0" w:space="0" w:color="auto"/>
        <w:left w:val="none" w:sz="0" w:space="0" w:color="auto"/>
        <w:bottom w:val="none" w:sz="0" w:space="0" w:color="auto"/>
        <w:right w:val="none" w:sz="0" w:space="0" w:color="auto"/>
      </w:divBdr>
    </w:div>
    <w:div w:id="426656561">
      <w:bodyDiv w:val="1"/>
      <w:marLeft w:val="0"/>
      <w:marRight w:val="0"/>
      <w:marTop w:val="0"/>
      <w:marBottom w:val="0"/>
      <w:divBdr>
        <w:top w:val="none" w:sz="0" w:space="0" w:color="auto"/>
        <w:left w:val="none" w:sz="0" w:space="0" w:color="auto"/>
        <w:bottom w:val="none" w:sz="0" w:space="0" w:color="auto"/>
        <w:right w:val="none" w:sz="0" w:space="0" w:color="auto"/>
      </w:divBdr>
    </w:div>
    <w:div w:id="427434800">
      <w:bodyDiv w:val="1"/>
      <w:marLeft w:val="0"/>
      <w:marRight w:val="0"/>
      <w:marTop w:val="0"/>
      <w:marBottom w:val="0"/>
      <w:divBdr>
        <w:top w:val="none" w:sz="0" w:space="0" w:color="auto"/>
        <w:left w:val="none" w:sz="0" w:space="0" w:color="auto"/>
        <w:bottom w:val="none" w:sz="0" w:space="0" w:color="auto"/>
        <w:right w:val="none" w:sz="0" w:space="0" w:color="auto"/>
      </w:divBdr>
    </w:div>
    <w:div w:id="440994841">
      <w:bodyDiv w:val="1"/>
      <w:marLeft w:val="0"/>
      <w:marRight w:val="0"/>
      <w:marTop w:val="0"/>
      <w:marBottom w:val="0"/>
      <w:divBdr>
        <w:top w:val="none" w:sz="0" w:space="0" w:color="auto"/>
        <w:left w:val="none" w:sz="0" w:space="0" w:color="auto"/>
        <w:bottom w:val="none" w:sz="0" w:space="0" w:color="auto"/>
        <w:right w:val="none" w:sz="0" w:space="0" w:color="auto"/>
      </w:divBdr>
    </w:div>
    <w:div w:id="460461884">
      <w:bodyDiv w:val="1"/>
      <w:marLeft w:val="0"/>
      <w:marRight w:val="0"/>
      <w:marTop w:val="0"/>
      <w:marBottom w:val="0"/>
      <w:divBdr>
        <w:top w:val="none" w:sz="0" w:space="0" w:color="auto"/>
        <w:left w:val="none" w:sz="0" w:space="0" w:color="auto"/>
        <w:bottom w:val="none" w:sz="0" w:space="0" w:color="auto"/>
        <w:right w:val="none" w:sz="0" w:space="0" w:color="auto"/>
      </w:divBdr>
    </w:div>
    <w:div w:id="469053696">
      <w:bodyDiv w:val="1"/>
      <w:marLeft w:val="0"/>
      <w:marRight w:val="0"/>
      <w:marTop w:val="0"/>
      <w:marBottom w:val="0"/>
      <w:divBdr>
        <w:top w:val="none" w:sz="0" w:space="0" w:color="auto"/>
        <w:left w:val="none" w:sz="0" w:space="0" w:color="auto"/>
        <w:bottom w:val="none" w:sz="0" w:space="0" w:color="auto"/>
        <w:right w:val="none" w:sz="0" w:space="0" w:color="auto"/>
      </w:divBdr>
    </w:div>
    <w:div w:id="469638899">
      <w:bodyDiv w:val="1"/>
      <w:marLeft w:val="0"/>
      <w:marRight w:val="0"/>
      <w:marTop w:val="0"/>
      <w:marBottom w:val="0"/>
      <w:divBdr>
        <w:top w:val="none" w:sz="0" w:space="0" w:color="auto"/>
        <w:left w:val="none" w:sz="0" w:space="0" w:color="auto"/>
        <w:bottom w:val="none" w:sz="0" w:space="0" w:color="auto"/>
        <w:right w:val="none" w:sz="0" w:space="0" w:color="auto"/>
      </w:divBdr>
    </w:div>
    <w:div w:id="474838954">
      <w:bodyDiv w:val="1"/>
      <w:marLeft w:val="0"/>
      <w:marRight w:val="0"/>
      <w:marTop w:val="0"/>
      <w:marBottom w:val="0"/>
      <w:divBdr>
        <w:top w:val="none" w:sz="0" w:space="0" w:color="auto"/>
        <w:left w:val="none" w:sz="0" w:space="0" w:color="auto"/>
        <w:bottom w:val="none" w:sz="0" w:space="0" w:color="auto"/>
        <w:right w:val="none" w:sz="0" w:space="0" w:color="auto"/>
      </w:divBdr>
    </w:div>
    <w:div w:id="486750104">
      <w:bodyDiv w:val="1"/>
      <w:marLeft w:val="0"/>
      <w:marRight w:val="0"/>
      <w:marTop w:val="0"/>
      <w:marBottom w:val="0"/>
      <w:divBdr>
        <w:top w:val="none" w:sz="0" w:space="0" w:color="auto"/>
        <w:left w:val="none" w:sz="0" w:space="0" w:color="auto"/>
        <w:bottom w:val="none" w:sz="0" w:space="0" w:color="auto"/>
        <w:right w:val="none" w:sz="0" w:space="0" w:color="auto"/>
      </w:divBdr>
    </w:div>
    <w:div w:id="487482845">
      <w:bodyDiv w:val="1"/>
      <w:marLeft w:val="0"/>
      <w:marRight w:val="0"/>
      <w:marTop w:val="0"/>
      <w:marBottom w:val="0"/>
      <w:divBdr>
        <w:top w:val="none" w:sz="0" w:space="0" w:color="auto"/>
        <w:left w:val="none" w:sz="0" w:space="0" w:color="auto"/>
        <w:bottom w:val="none" w:sz="0" w:space="0" w:color="auto"/>
        <w:right w:val="none" w:sz="0" w:space="0" w:color="auto"/>
      </w:divBdr>
    </w:div>
    <w:div w:id="490369536">
      <w:bodyDiv w:val="1"/>
      <w:marLeft w:val="0"/>
      <w:marRight w:val="0"/>
      <w:marTop w:val="0"/>
      <w:marBottom w:val="0"/>
      <w:divBdr>
        <w:top w:val="none" w:sz="0" w:space="0" w:color="auto"/>
        <w:left w:val="none" w:sz="0" w:space="0" w:color="auto"/>
        <w:bottom w:val="none" w:sz="0" w:space="0" w:color="auto"/>
        <w:right w:val="none" w:sz="0" w:space="0" w:color="auto"/>
      </w:divBdr>
    </w:div>
    <w:div w:id="508712656">
      <w:bodyDiv w:val="1"/>
      <w:marLeft w:val="0"/>
      <w:marRight w:val="0"/>
      <w:marTop w:val="0"/>
      <w:marBottom w:val="0"/>
      <w:divBdr>
        <w:top w:val="none" w:sz="0" w:space="0" w:color="auto"/>
        <w:left w:val="none" w:sz="0" w:space="0" w:color="auto"/>
        <w:bottom w:val="none" w:sz="0" w:space="0" w:color="auto"/>
        <w:right w:val="none" w:sz="0" w:space="0" w:color="auto"/>
      </w:divBdr>
    </w:div>
    <w:div w:id="523716684">
      <w:bodyDiv w:val="1"/>
      <w:marLeft w:val="0"/>
      <w:marRight w:val="0"/>
      <w:marTop w:val="0"/>
      <w:marBottom w:val="0"/>
      <w:divBdr>
        <w:top w:val="none" w:sz="0" w:space="0" w:color="auto"/>
        <w:left w:val="none" w:sz="0" w:space="0" w:color="auto"/>
        <w:bottom w:val="none" w:sz="0" w:space="0" w:color="auto"/>
        <w:right w:val="none" w:sz="0" w:space="0" w:color="auto"/>
      </w:divBdr>
    </w:div>
    <w:div w:id="540870043">
      <w:bodyDiv w:val="1"/>
      <w:marLeft w:val="0"/>
      <w:marRight w:val="0"/>
      <w:marTop w:val="0"/>
      <w:marBottom w:val="0"/>
      <w:divBdr>
        <w:top w:val="none" w:sz="0" w:space="0" w:color="auto"/>
        <w:left w:val="none" w:sz="0" w:space="0" w:color="auto"/>
        <w:bottom w:val="none" w:sz="0" w:space="0" w:color="auto"/>
        <w:right w:val="none" w:sz="0" w:space="0" w:color="auto"/>
      </w:divBdr>
    </w:div>
    <w:div w:id="541476335">
      <w:bodyDiv w:val="1"/>
      <w:marLeft w:val="0"/>
      <w:marRight w:val="0"/>
      <w:marTop w:val="0"/>
      <w:marBottom w:val="0"/>
      <w:divBdr>
        <w:top w:val="none" w:sz="0" w:space="0" w:color="auto"/>
        <w:left w:val="none" w:sz="0" w:space="0" w:color="auto"/>
        <w:bottom w:val="none" w:sz="0" w:space="0" w:color="auto"/>
        <w:right w:val="none" w:sz="0" w:space="0" w:color="auto"/>
      </w:divBdr>
    </w:div>
    <w:div w:id="571542944">
      <w:bodyDiv w:val="1"/>
      <w:marLeft w:val="0"/>
      <w:marRight w:val="0"/>
      <w:marTop w:val="0"/>
      <w:marBottom w:val="0"/>
      <w:divBdr>
        <w:top w:val="none" w:sz="0" w:space="0" w:color="auto"/>
        <w:left w:val="none" w:sz="0" w:space="0" w:color="auto"/>
        <w:bottom w:val="none" w:sz="0" w:space="0" w:color="auto"/>
        <w:right w:val="none" w:sz="0" w:space="0" w:color="auto"/>
      </w:divBdr>
      <w:divsChild>
        <w:div w:id="1706372103">
          <w:marLeft w:val="0"/>
          <w:marRight w:val="0"/>
          <w:marTop w:val="0"/>
          <w:marBottom w:val="0"/>
          <w:divBdr>
            <w:top w:val="none" w:sz="0" w:space="0" w:color="auto"/>
            <w:left w:val="none" w:sz="0" w:space="0" w:color="auto"/>
            <w:bottom w:val="none" w:sz="0" w:space="0" w:color="auto"/>
            <w:right w:val="none" w:sz="0" w:space="0" w:color="auto"/>
          </w:divBdr>
        </w:div>
      </w:divsChild>
    </w:div>
    <w:div w:id="577206634">
      <w:bodyDiv w:val="1"/>
      <w:marLeft w:val="0"/>
      <w:marRight w:val="0"/>
      <w:marTop w:val="0"/>
      <w:marBottom w:val="0"/>
      <w:divBdr>
        <w:top w:val="none" w:sz="0" w:space="0" w:color="auto"/>
        <w:left w:val="none" w:sz="0" w:space="0" w:color="auto"/>
        <w:bottom w:val="none" w:sz="0" w:space="0" w:color="auto"/>
        <w:right w:val="none" w:sz="0" w:space="0" w:color="auto"/>
      </w:divBdr>
      <w:divsChild>
        <w:div w:id="79837482">
          <w:marLeft w:val="0"/>
          <w:marRight w:val="0"/>
          <w:marTop w:val="0"/>
          <w:marBottom w:val="0"/>
          <w:divBdr>
            <w:top w:val="none" w:sz="0" w:space="0" w:color="auto"/>
            <w:left w:val="none" w:sz="0" w:space="0" w:color="auto"/>
            <w:bottom w:val="none" w:sz="0" w:space="0" w:color="auto"/>
            <w:right w:val="none" w:sz="0" w:space="0" w:color="auto"/>
          </w:divBdr>
        </w:div>
      </w:divsChild>
    </w:div>
    <w:div w:id="586575701">
      <w:bodyDiv w:val="1"/>
      <w:marLeft w:val="0"/>
      <w:marRight w:val="0"/>
      <w:marTop w:val="0"/>
      <w:marBottom w:val="0"/>
      <w:divBdr>
        <w:top w:val="none" w:sz="0" w:space="0" w:color="auto"/>
        <w:left w:val="none" w:sz="0" w:space="0" w:color="auto"/>
        <w:bottom w:val="none" w:sz="0" w:space="0" w:color="auto"/>
        <w:right w:val="none" w:sz="0" w:space="0" w:color="auto"/>
      </w:divBdr>
    </w:div>
    <w:div w:id="588388368">
      <w:bodyDiv w:val="1"/>
      <w:marLeft w:val="0"/>
      <w:marRight w:val="0"/>
      <w:marTop w:val="0"/>
      <w:marBottom w:val="0"/>
      <w:divBdr>
        <w:top w:val="none" w:sz="0" w:space="0" w:color="auto"/>
        <w:left w:val="none" w:sz="0" w:space="0" w:color="auto"/>
        <w:bottom w:val="none" w:sz="0" w:space="0" w:color="auto"/>
        <w:right w:val="none" w:sz="0" w:space="0" w:color="auto"/>
      </w:divBdr>
    </w:div>
    <w:div w:id="603652831">
      <w:bodyDiv w:val="1"/>
      <w:marLeft w:val="0"/>
      <w:marRight w:val="0"/>
      <w:marTop w:val="0"/>
      <w:marBottom w:val="0"/>
      <w:divBdr>
        <w:top w:val="none" w:sz="0" w:space="0" w:color="auto"/>
        <w:left w:val="none" w:sz="0" w:space="0" w:color="auto"/>
        <w:bottom w:val="none" w:sz="0" w:space="0" w:color="auto"/>
        <w:right w:val="none" w:sz="0" w:space="0" w:color="auto"/>
      </w:divBdr>
    </w:div>
    <w:div w:id="603729260">
      <w:bodyDiv w:val="1"/>
      <w:marLeft w:val="0"/>
      <w:marRight w:val="0"/>
      <w:marTop w:val="0"/>
      <w:marBottom w:val="0"/>
      <w:divBdr>
        <w:top w:val="none" w:sz="0" w:space="0" w:color="auto"/>
        <w:left w:val="none" w:sz="0" w:space="0" w:color="auto"/>
        <w:bottom w:val="none" w:sz="0" w:space="0" w:color="auto"/>
        <w:right w:val="none" w:sz="0" w:space="0" w:color="auto"/>
      </w:divBdr>
    </w:div>
    <w:div w:id="625625221">
      <w:bodyDiv w:val="1"/>
      <w:marLeft w:val="0"/>
      <w:marRight w:val="0"/>
      <w:marTop w:val="0"/>
      <w:marBottom w:val="0"/>
      <w:divBdr>
        <w:top w:val="none" w:sz="0" w:space="0" w:color="auto"/>
        <w:left w:val="none" w:sz="0" w:space="0" w:color="auto"/>
        <w:bottom w:val="none" w:sz="0" w:space="0" w:color="auto"/>
        <w:right w:val="none" w:sz="0" w:space="0" w:color="auto"/>
      </w:divBdr>
    </w:div>
    <w:div w:id="658310234">
      <w:bodyDiv w:val="1"/>
      <w:marLeft w:val="0"/>
      <w:marRight w:val="0"/>
      <w:marTop w:val="0"/>
      <w:marBottom w:val="0"/>
      <w:divBdr>
        <w:top w:val="none" w:sz="0" w:space="0" w:color="auto"/>
        <w:left w:val="none" w:sz="0" w:space="0" w:color="auto"/>
        <w:bottom w:val="none" w:sz="0" w:space="0" w:color="auto"/>
        <w:right w:val="none" w:sz="0" w:space="0" w:color="auto"/>
      </w:divBdr>
    </w:div>
    <w:div w:id="664940101">
      <w:bodyDiv w:val="1"/>
      <w:marLeft w:val="0"/>
      <w:marRight w:val="0"/>
      <w:marTop w:val="0"/>
      <w:marBottom w:val="0"/>
      <w:divBdr>
        <w:top w:val="none" w:sz="0" w:space="0" w:color="auto"/>
        <w:left w:val="none" w:sz="0" w:space="0" w:color="auto"/>
        <w:bottom w:val="none" w:sz="0" w:space="0" w:color="auto"/>
        <w:right w:val="none" w:sz="0" w:space="0" w:color="auto"/>
      </w:divBdr>
    </w:div>
    <w:div w:id="668750234">
      <w:bodyDiv w:val="1"/>
      <w:marLeft w:val="0"/>
      <w:marRight w:val="0"/>
      <w:marTop w:val="0"/>
      <w:marBottom w:val="0"/>
      <w:divBdr>
        <w:top w:val="none" w:sz="0" w:space="0" w:color="auto"/>
        <w:left w:val="none" w:sz="0" w:space="0" w:color="auto"/>
        <w:bottom w:val="none" w:sz="0" w:space="0" w:color="auto"/>
        <w:right w:val="none" w:sz="0" w:space="0" w:color="auto"/>
      </w:divBdr>
      <w:divsChild>
        <w:div w:id="1535535893">
          <w:marLeft w:val="0"/>
          <w:marRight w:val="0"/>
          <w:marTop w:val="0"/>
          <w:marBottom w:val="0"/>
          <w:divBdr>
            <w:top w:val="none" w:sz="0" w:space="0" w:color="auto"/>
            <w:left w:val="none" w:sz="0" w:space="0" w:color="auto"/>
            <w:bottom w:val="none" w:sz="0" w:space="0" w:color="auto"/>
            <w:right w:val="none" w:sz="0" w:space="0" w:color="auto"/>
          </w:divBdr>
        </w:div>
        <w:div w:id="639044430">
          <w:marLeft w:val="0"/>
          <w:marRight w:val="0"/>
          <w:marTop w:val="0"/>
          <w:marBottom w:val="0"/>
          <w:divBdr>
            <w:top w:val="none" w:sz="0" w:space="0" w:color="auto"/>
            <w:left w:val="none" w:sz="0" w:space="0" w:color="auto"/>
            <w:bottom w:val="none" w:sz="0" w:space="0" w:color="auto"/>
            <w:right w:val="none" w:sz="0" w:space="0" w:color="auto"/>
          </w:divBdr>
        </w:div>
      </w:divsChild>
    </w:div>
    <w:div w:id="674307906">
      <w:bodyDiv w:val="1"/>
      <w:marLeft w:val="0"/>
      <w:marRight w:val="0"/>
      <w:marTop w:val="0"/>
      <w:marBottom w:val="0"/>
      <w:divBdr>
        <w:top w:val="none" w:sz="0" w:space="0" w:color="auto"/>
        <w:left w:val="none" w:sz="0" w:space="0" w:color="auto"/>
        <w:bottom w:val="none" w:sz="0" w:space="0" w:color="auto"/>
        <w:right w:val="none" w:sz="0" w:space="0" w:color="auto"/>
      </w:divBdr>
    </w:div>
    <w:div w:id="675229958">
      <w:bodyDiv w:val="1"/>
      <w:marLeft w:val="0"/>
      <w:marRight w:val="0"/>
      <w:marTop w:val="0"/>
      <w:marBottom w:val="0"/>
      <w:divBdr>
        <w:top w:val="none" w:sz="0" w:space="0" w:color="auto"/>
        <w:left w:val="none" w:sz="0" w:space="0" w:color="auto"/>
        <w:bottom w:val="none" w:sz="0" w:space="0" w:color="auto"/>
        <w:right w:val="none" w:sz="0" w:space="0" w:color="auto"/>
      </w:divBdr>
    </w:div>
    <w:div w:id="684482143">
      <w:bodyDiv w:val="1"/>
      <w:marLeft w:val="0"/>
      <w:marRight w:val="0"/>
      <w:marTop w:val="0"/>
      <w:marBottom w:val="0"/>
      <w:divBdr>
        <w:top w:val="none" w:sz="0" w:space="0" w:color="auto"/>
        <w:left w:val="none" w:sz="0" w:space="0" w:color="auto"/>
        <w:bottom w:val="none" w:sz="0" w:space="0" w:color="auto"/>
        <w:right w:val="none" w:sz="0" w:space="0" w:color="auto"/>
      </w:divBdr>
    </w:div>
    <w:div w:id="687751897">
      <w:bodyDiv w:val="1"/>
      <w:marLeft w:val="0"/>
      <w:marRight w:val="0"/>
      <w:marTop w:val="0"/>
      <w:marBottom w:val="0"/>
      <w:divBdr>
        <w:top w:val="none" w:sz="0" w:space="0" w:color="auto"/>
        <w:left w:val="none" w:sz="0" w:space="0" w:color="auto"/>
        <w:bottom w:val="none" w:sz="0" w:space="0" w:color="auto"/>
        <w:right w:val="none" w:sz="0" w:space="0" w:color="auto"/>
      </w:divBdr>
    </w:div>
    <w:div w:id="688607328">
      <w:bodyDiv w:val="1"/>
      <w:marLeft w:val="0"/>
      <w:marRight w:val="0"/>
      <w:marTop w:val="0"/>
      <w:marBottom w:val="0"/>
      <w:divBdr>
        <w:top w:val="none" w:sz="0" w:space="0" w:color="auto"/>
        <w:left w:val="none" w:sz="0" w:space="0" w:color="auto"/>
        <w:bottom w:val="none" w:sz="0" w:space="0" w:color="auto"/>
        <w:right w:val="none" w:sz="0" w:space="0" w:color="auto"/>
      </w:divBdr>
    </w:div>
    <w:div w:id="692074781">
      <w:bodyDiv w:val="1"/>
      <w:marLeft w:val="0"/>
      <w:marRight w:val="0"/>
      <w:marTop w:val="0"/>
      <w:marBottom w:val="0"/>
      <w:divBdr>
        <w:top w:val="none" w:sz="0" w:space="0" w:color="auto"/>
        <w:left w:val="none" w:sz="0" w:space="0" w:color="auto"/>
        <w:bottom w:val="none" w:sz="0" w:space="0" w:color="auto"/>
        <w:right w:val="none" w:sz="0" w:space="0" w:color="auto"/>
      </w:divBdr>
    </w:div>
    <w:div w:id="694113281">
      <w:bodyDiv w:val="1"/>
      <w:marLeft w:val="0"/>
      <w:marRight w:val="0"/>
      <w:marTop w:val="0"/>
      <w:marBottom w:val="0"/>
      <w:divBdr>
        <w:top w:val="none" w:sz="0" w:space="0" w:color="auto"/>
        <w:left w:val="none" w:sz="0" w:space="0" w:color="auto"/>
        <w:bottom w:val="none" w:sz="0" w:space="0" w:color="auto"/>
        <w:right w:val="none" w:sz="0" w:space="0" w:color="auto"/>
      </w:divBdr>
    </w:div>
    <w:div w:id="694501970">
      <w:bodyDiv w:val="1"/>
      <w:marLeft w:val="0"/>
      <w:marRight w:val="0"/>
      <w:marTop w:val="0"/>
      <w:marBottom w:val="0"/>
      <w:divBdr>
        <w:top w:val="none" w:sz="0" w:space="0" w:color="auto"/>
        <w:left w:val="none" w:sz="0" w:space="0" w:color="auto"/>
        <w:bottom w:val="none" w:sz="0" w:space="0" w:color="auto"/>
        <w:right w:val="none" w:sz="0" w:space="0" w:color="auto"/>
      </w:divBdr>
    </w:div>
    <w:div w:id="701709469">
      <w:bodyDiv w:val="1"/>
      <w:marLeft w:val="0"/>
      <w:marRight w:val="0"/>
      <w:marTop w:val="0"/>
      <w:marBottom w:val="0"/>
      <w:divBdr>
        <w:top w:val="none" w:sz="0" w:space="0" w:color="auto"/>
        <w:left w:val="none" w:sz="0" w:space="0" w:color="auto"/>
        <w:bottom w:val="none" w:sz="0" w:space="0" w:color="auto"/>
        <w:right w:val="none" w:sz="0" w:space="0" w:color="auto"/>
      </w:divBdr>
    </w:div>
    <w:div w:id="726493785">
      <w:bodyDiv w:val="1"/>
      <w:marLeft w:val="0"/>
      <w:marRight w:val="0"/>
      <w:marTop w:val="0"/>
      <w:marBottom w:val="0"/>
      <w:divBdr>
        <w:top w:val="none" w:sz="0" w:space="0" w:color="auto"/>
        <w:left w:val="none" w:sz="0" w:space="0" w:color="auto"/>
        <w:bottom w:val="none" w:sz="0" w:space="0" w:color="auto"/>
        <w:right w:val="none" w:sz="0" w:space="0" w:color="auto"/>
      </w:divBdr>
    </w:div>
    <w:div w:id="742143185">
      <w:bodyDiv w:val="1"/>
      <w:marLeft w:val="0"/>
      <w:marRight w:val="0"/>
      <w:marTop w:val="0"/>
      <w:marBottom w:val="0"/>
      <w:divBdr>
        <w:top w:val="none" w:sz="0" w:space="0" w:color="auto"/>
        <w:left w:val="none" w:sz="0" w:space="0" w:color="auto"/>
        <w:bottom w:val="none" w:sz="0" w:space="0" w:color="auto"/>
        <w:right w:val="none" w:sz="0" w:space="0" w:color="auto"/>
      </w:divBdr>
    </w:div>
    <w:div w:id="765616552">
      <w:bodyDiv w:val="1"/>
      <w:marLeft w:val="0"/>
      <w:marRight w:val="0"/>
      <w:marTop w:val="0"/>
      <w:marBottom w:val="0"/>
      <w:divBdr>
        <w:top w:val="none" w:sz="0" w:space="0" w:color="auto"/>
        <w:left w:val="none" w:sz="0" w:space="0" w:color="auto"/>
        <w:bottom w:val="none" w:sz="0" w:space="0" w:color="auto"/>
        <w:right w:val="none" w:sz="0" w:space="0" w:color="auto"/>
      </w:divBdr>
    </w:div>
    <w:div w:id="768159784">
      <w:bodyDiv w:val="1"/>
      <w:marLeft w:val="0"/>
      <w:marRight w:val="0"/>
      <w:marTop w:val="0"/>
      <w:marBottom w:val="0"/>
      <w:divBdr>
        <w:top w:val="none" w:sz="0" w:space="0" w:color="auto"/>
        <w:left w:val="none" w:sz="0" w:space="0" w:color="auto"/>
        <w:bottom w:val="none" w:sz="0" w:space="0" w:color="auto"/>
        <w:right w:val="none" w:sz="0" w:space="0" w:color="auto"/>
      </w:divBdr>
    </w:div>
    <w:div w:id="768427099">
      <w:bodyDiv w:val="1"/>
      <w:marLeft w:val="0"/>
      <w:marRight w:val="0"/>
      <w:marTop w:val="0"/>
      <w:marBottom w:val="0"/>
      <w:divBdr>
        <w:top w:val="none" w:sz="0" w:space="0" w:color="auto"/>
        <w:left w:val="none" w:sz="0" w:space="0" w:color="auto"/>
        <w:bottom w:val="none" w:sz="0" w:space="0" w:color="auto"/>
        <w:right w:val="none" w:sz="0" w:space="0" w:color="auto"/>
      </w:divBdr>
    </w:div>
    <w:div w:id="793793914">
      <w:bodyDiv w:val="1"/>
      <w:marLeft w:val="0"/>
      <w:marRight w:val="0"/>
      <w:marTop w:val="0"/>
      <w:marBottom w:val="0"/>
      <w:divBdr>
        <w:top w:val="none" w:sz="0" w:space="0" w:color="auto"/>
        <w:left w:val="none" w:sz="0" w:space="0" w:color="auto"/>
        <w:bottom w:val="none" w:sz="0" w:space="0" w:color="auto"/>
        <w:right w:val="none" w:sz="0" w:space="0" w:color="auto"/>
      </w:divBdr>
    </w:div>
    <w:div w:id="796147795">
      <w:bodyDiv w:val="1"/>
      <w:marLeft w:val="0"/>
      <w:marRight w:val="0"/>
      <w:marTop w:val="0"/>
      <w:marBottom w:val="0"/>
      <w:divBdr>
        <w:top w:val="none" w:sz="0" w:space="0" w:color="auto"/>
        <w:left w:val="none" w:sz="0" w:space="0" w:color="auto"/>
        <w:bottom w:val="none" w:sz="0" w:space="0" w:color="auto"/>
        <w:right w:val="none" w:sz="0" w:space="0" w:color="auto"/>
      </w:divBdr>
    </w:div>
    <w:div w:id="801385859">
      <w:bodyDiv w:val="1"/>
      <w:marLeft w:val="0"/>
      <w:marRight w:val="0"/>
      <w:marTop w:val="0"/>
      <w:marBottom w:val="0"/>
      <w:divBdr>
        <w:top w:val="none" w:sz="0" w:space="0" w:color="auto"/>
        <w:left w:val="none" w:sz="0" w:space="0" w:color="auto"/>
        <w:bottom w:val="none" w:sz="0" w:space="0" w:color="auto"/>
        <w:right w:val="none" w:sz="0" w:space="0" w:color="auto"/>
      </w:divBdr>
      <w:divsChild>
        <w:div w:id="2021197492">
          <w:marLeft w:val="0"/>
          <w:marRight w:val="0"/>
          <w:marTop w:val="0"/>
          <w:marBottom w:val="0"/>
          <w:divBdr>
            <w:top w:val="none" w:sz="0" w:space="0" w:color="auto"/>
            <w:left w:val="none" w:sz="0" w:space="0" w:color="auto"/>
            <w:bottom w:val="none" w:sz="0" w:space="0" w:color="auto"/>
            <w:right w:val="none" w:sz="0" w:space="0" w:color="auto"/>
          </w:divBdr>
          <w:divsChild>
            <w:div w:id="11536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8036">
      <w:bodyDiv w:val="1"/>
      <w:marLeft w:val="0"/>
      <w:marRight w:val="0"/>
      <w:marTop w:val="0"/>
      <w:marBottom w:val="0"/>
      <w:divBdr>
        <w:top w:val="none" w:sz="0" w:space="0" w:color="auto"/>
        <w:left w:val="none" w:sz="0" w:space="0" w:color="auto"/>
        <w:bottom w:val="none" w:sz="0" w:space="0" w:color="auto"/>
        <w:right w:val="none" w:sz="0" w:space="0" w:color="auto"/>
      </w:divBdr>
    </w:div>
    <w:div w:id="846867722">
      <w:bodyDiv w:val="1"/>
      <w:marLeft w:val="0"/>
      <w:marRight w:val="0"/>
      <w:marTop w:val="0"/>
      <w:marBottom w:val="0"/>
      <w:divBdr>
        <w:top w:val="none" w:sz="0" w:space="0" w:color="auto"/>
        <w:left w:val="none" w:sz="0" w:space="0" w:color="auto"/>
        <w:bottom w:val="none" w:sz="0" w:space="0" w:color="auto"/>
        <w:right w:val="none" w:sz="0" w:space="0" w:color="auto"/>
      </w:divBdr>
    </w:div>
    <w:div w:id="851457862">
      <w:bodyDiv w:val="1"/>
      <w:marLeft w:val="0"/>
      <w:marRight w:val="0"/>
      <w:marTop w:val="0"/>
      <w:marBottom w:val="0"/>
      <w:divBdr>
        <w:top w:val="none" w:sz="0" w:space="0" w:color="auto"/>
        <w:left w:val="none" w:sz="0" w:space="0" w:color="auto"/>
        <w:bottom w:val="none" w:sz="0" w:space="0" w:color="auto"/>
        <w:right w:val="none" w:sz="0" w:space="0" w:color="auto"/>
      </w:divBdr>
    </w:div>
    <w:div w:id="854149701">
      <w:bodyDiv w:val="1"/>
      <w:marLeft w:val="0"/>
      <w:marRight w:val="0"/>
      <w:marTop w:val="0"/>
      <w:marBottom w:val="0"/>
      <w:divBdr>
        <w:top w:val="none" w:sz="0" w:space="0" w:color="auto"/>
        <w:left w:val="none" w:sz="0" w:space="0" w:color="auto"/>
        <w:bottom w:val="none" w:sz="0" w:space="0" w:color="auto"/>
        <w:right w:val="none" w:sz="0" w:space="0" w:color="auto"/>
      </w:divBdr>
    </w:div>
    <w:div w:id="855267606">
      <w:bodyDiv w:val="1"/>
      <w:marLeft w:val="0"/>
      <w:marRight w:val="0"/>
      <w:marTop w:val="0"/>
      <w:marBottom w:val="0"/>
      <w:divBdr>
        <w:top w:val="none" w:sz="0" w:space="0" w:color="auto"/>
        <w:left w:val="none" w:sz="0" w:space="0" w:color="auto"/>
        <w:bottom w:val="none" w:sz="0" w:space="0" w:color="auto"/>
        <w:right w:val="none" w:sz="0" w:space="0" w:color="auto"/>
      </w:divBdr>
    </w:div>
    <w:div w:id="856044986">
      <w:bodyDiv w:val="1"/>
      <w:marLeft w:val="0"/>
      <w:marRight w:val="0"/>
      <w:marTop w:val="0"/>
      <w:marBottom w:val="0"/>
      <w:divBdr>
        <w:top w:val="none" w:sz="0" w:space="0" w:color="auto"/>
        <w:left w:val="none" w:sz="0" w:space="0" w:color="auto"/>
        <w:bottom w:val="none" w:sz="0" w:space="0" w:color="auto"/>
        <w:right w:val="none" w:sz="0" w:space="0" w:color="auto"/>
      </w:divBdr>
    </w:div>
    <w:div w:id="856626155">
      <w:bodyDiv w:val="1"/>
      <w:marLeft w:val="0"/>
      <w:marRight w:val="0"/>
      <w:marTop w:val="0"/>
      <w:marBottom w:val="0"/>
      <w:divBdr>
        <w:top w:val="none" w:sz="0" w:space="0" w:color="auto"/>
        <w:left w:val="none" w:sz="0" w:space="0" w:color="auto"/>
        <w:bottom w:val="none" w:sz="0" w:space="0" w:color="auto"/>
        <w:right w:val="none" w:sz="0" w:space="0" w:color="auto"/>
      </w:divBdr>
    </w:div>
    <w:div w:id="861090823">
      <w:bodyDiv w:val="1"/>
      <w:marLeft w:val="0"/>
      <w:marRight w:val="0"/>
      <w:marTop w:val="0"/>
      <w:marBottom w:val="0"/>
      <w:divBdr>
        <w:top w:val="none" w:sz="0" w:space="0" w:color="auto"/>
        <w:left w:val="none" w:sz="0" w:space="0" w:color="auto"/>
        <w:bottom w:val="none" w:sz="0" w:space="0" w:color="auto"/>
        <w:right w:val="none" w:sz="0" w:space="0" w:color="auto"/>
      </w:divBdr>
    </w:div>
    <w:div w:id="862135111">
      <w:bodyDiv w:val="1"/>
      <w:marLeft w:val="0"/>
      <w:marRight w:val="0"/>
      <w:marTop w:val="0"/>
      <w:marBottom w:val="0"/>
      <w:divBdr>
        <w:top w:val="none" w:sz="0" w:space="0" w:color="auto"/>
        <w:left w:val="none" w:sz="0" w:space="0" w:color="auto"/>
        <w:bottom w:val="none" w:sz="0" w:space="0" w:color="auto"/>
        <w:right w:val="none" w:sz="0" w:space="0" w:color="auto"/>
      </w:divBdr>
    </w:div>
    <w:div w:id="888760011">
      <w:bodyDiv w:val="1"/>
      <w:marLeft w:val="0"/>
      <w:marRight w:val="0"/>
      <w:marTop w:val="0"/>
      <w:marBottom w:val="0"/>
      <w:divBdr>
        <w:top w:val="none" w:sz="0" w:space="0" w:color="auto"/>
        <w:left w:val="none" w:sz="0" w:space="0" w:color="auto"/>
        <w:bottom w:val="none" w:sz="0" w:space="0" w:color="auto"/>
        <w:right w:val="none" w:sz="0" w:space="0" w:color="auto"/>
      </w:divBdr>
    </w:div>
    <w:div w:id="909927887">
      <w:bodyDiv w:val="1"/>
      <w:marLeft w:val="0"/>
      <w:marRight w:val="0"/>
      <w:marTop w:val="0"/>
      <w:marBottom w:val="0"/>
      <w:divBdr>
        <w:top w:val="none" w:sz="0" w:space="0" w:color="auto"/>
        <w:left w:val="none" w:sz="0" w:space="0" w:color="auto"/>
        <w:bottom w:val="none" w:sz="0" w:space="0" w:color="auto"/>
        <w:right w:val="none" w:sz="0" w:space="0" w:color="auto"/>
      </w:divBdr>
    </w:div>
    <w:div w:id="917787041">
      <w:bodyDiv w:val="1"/>
      <w:marLeft w:val="0"/>
      <w:marRight w:val="0"/>
      <w:marTop w:val="0"/>
      <w:marBottom w:val="0"/>
      <w:divBdr>
        <w:top w:val="none" w:sz="0" w:space="0" w:color="auto"/>
        <w:left w:val="none" w:sz="0" w:space="0" w:color="auto"/>
        <w:bottom w:val="none" w:sz="0" w:space="0" w:color="auto"/>
        <w:right w:val="none" w:sz="0" w:space="0" w:color="auto"/>
      </w:divBdr>
      <w:divsChild>
        <w:div w:id="1369724559">
          <w:marLeft w:val="0"/>
          <w:marRight w:val="0"/>
          <w:marTop w:val="0"/>
          <w:marBottom w:val="0"/>
          <w:divBdr>
            <w:top w:val="none" w:sz="0" w:space="0" w:color="auto"/>
            <w:left w:val="none" w:sz="0" w:space="0" w:color="auto"/>
            <w:bottom w:val="none" w:sz="0" w:space="0" w:color="auto"/>
            <w:right w:val="none" w:sz="0" w:space="0" w:color="auto"/>
          </w:divBdr>
        </w:div>
        <w:div w:id="1563104259">
          <w:marLeft w:val="0"/>
          <w:marRight w:val="0"/>
          <w:marTop w:val="0"/>
          <w:marBottom w:val="0"/>
          <w:divBdr>
            <w:top w:val="none" w:sz="0" w:space="0" w:color="auto"/>
            <w:left w:val="none" w:sz="0" w:space="0" w:color="auto"/>
            <w:bottom w:val="none" w:sz="0" w:space="0" w:color="auto"/>
            <w:right w:val="none" w:sz="0" w:space="0" w:color="auto"/>
          </w:divBdr>
        </w:div>
      </w:divsChild>
    </w:div>
    <w:div w:id="918832872">
      <w:bodyDiv w:val="1"/>
      <w:marLeft w:val="0"/>
      <w:marRight w:val="0"/>
      <w:marTop w:val="0"/>
      <w:marBottom w:val="0"/>
      <w:divBdr>
        <w:top w:val="none" w:sz="0" w:space="0" w:color="auto"/>
        <w:left w:val="none" w:sz="0" w:space="0" w:color="auto"/>
        <w:bottom w:val="none" w:sz="0" w:space="0" w:color="auto"/>
        <w:right w:val="none" w:sz="0" w:space="0" w:color="auto"/>
      </w:divBdr>
    </w:div>
    <w:div w:id="929777025">
      <w:bodyDiv w:val="1"/>
      <w:marLeft w:val="0"/>
      <w:marRight w:val="0"/>
      <w:marTop w:val="0"/>
      <w:marBottom w:val="0"/>
      <w:divBdr>
        <w:top w:val="none" w:sz="0" w:space="0" w:color="auto"/>
        <w:left w:val="none" w:sz="0" w:space="0" w:color="auto"/>
        <w:bottom w:val="none" w:sz="0" w:space="0" w:color="auto"/>
        <w:right w:val="none" w:sz="0" w:space="0" w:color="auto"/>
      </w:divBdr>
    </w:div>
    <w:div w:id="931935444">
      <w:bodyDiv w:val="1"/>
      <w:marLeft w:val="0"/>
      <w:marRight w:val="0"/>
      <w:marTop w:val="0"/>
      <w:marBottom w:val="0"/>
      <w:divBdr>
        <w:top w:val="none" w:sz="0" w:space="0" w:color="auto"/>
        <w:left w:val="none" w:sz="0" w:space="0" w:color="auto"/>
        <w:bottom w:val="none" w:sz="0" w:space="0" w:color="auto"/>
        <w:right w:val="none" w:sz="0" w:space="0" w:color="auto"/>
      </w:divBdr>
    </w:div>
    <w:div w:id="938485063">
      <w:bodyDiv w:val="1"/>
      <w:marLeft w:val="0"/>
      <w:marRight w:val="0"/>
      <w:marTop w:val="0"/>
      <w:marBottom w:val="0"/>
      <w:divBdr>
        <w:top w:val="none" w:sz="0" w:space="0" w:color="auto"/>
        <w:left w:val="none" w:sz="0" w:space="0" w:color="auto"/>
        <w:bottom w:val="none" w:sz="0" w:space="0" w:color="auto"/>
        <w:right w:val="none" w:sz="0" w:space="0" w:color="auto"/>
      </w:divBdr>
      <w:divsChild>
        <w:div w:id="1861355697">
          <w:marLeft w:val="0"/>
          <w:marRight w:val="0"/>
          <w:marTop w:val="0"/>
          <w:marBottom w:val="0"/>
          <w:divBdr>
            <w:top w:val="none" w:sz="0" w:space="0" w:color="auto"/>
            <w:left w:val="none" w:sz="0" w:space="0" w:color="auto"/>
            <w:bottom w:val="none" w:sz="0" w:space="0" w:color="auto"/>
            <w:right w:val="none" w:sz="0" w:space="0" w:color="auto"/>
          </w:divBdr>
        </w:div>
        <w:div w:id="2042240287">
          <w:marLeft w:val="0"/>
          <w:marRight w:val="0"/>
          <w:marTop w:val="0"/>
          <w:marBottom w:val="0"/>
          <w:divBdr>
            <w:top w:val="none" w:sz="0" w:space="0" w:color="auto"/>
            <w:left w:val="none" w:sz="0" w:space="0" w:color="auto"/>
            <w:bottom w:val="none" w:sz="0" w:space="0" w:color="auto"/>
            <w:right w:val="none" w:sz="0" w:space="0" w:color="auto"/>
          </w:divBdr>
        </w:div>
      </w:divsChild>
    </w:div>
    <w:div w:id="942105446">
      <w:bodyDiv w:val="1"/>
      <w:marLeft w:val="0"/>
      <w:marRight w:val="0"/>
      <w:marTop w:val="0"/>
      <w:marBottom w:val="0"/>
      <w:divBdr>
        <w:top w:val="none" w:sz="0" w:space="0" w:color="auto"/>
        <w:left w:val="none" w:sz="0" w:space="0" w:color="auto"/>
        <w:bottom w:val="none" w:sz="0" w:space="0" w:color="auto"/>
        <w:right w:val="none" w:sz="0" w:space="0" w:color="auto"/>
      </w:divBdr>
    </w:div>
    <w:div w:id="942883767">
      <w:bodyDiv w:val="1"/>
      <w:marLeft w:val="0"/>
      <w:marRight w:val="0"/>
      <w:marTop w:val="0"/>
      <w:marBottom w:val="0"/>
      <w:divBdr>
        <w:top w:val="none" w:sz="0" w:space="0" w:color="auto"/>
        <w:left w:val="none" w:sz="0" w:space="0" w:color="auto"/>
        <w:bottom w:val="none" w:sz="0" w:space="0" w:color="auto"/>
        <w:right w:val="none" w:sz="0" w:space="0" w:color="auto"/>
      </w:divBdr>
      <w:divsChild>
        <w:div w:id="609555143">
          <w:marLeft w:val="0"/>
          <w:marRight w:val="0"/>
          <w:marTop w:val="0"/>
          <w:marBottom w:val="0"/>
          <w:divBdr>
            <w:top w:val="none" w:sz="0" w:space="0" w:color="auto"/>
            <w:left w:val="none" w:sz="0" w:space="0" w:color="auto"/>
            <w:bottom w:val="none" w:sz="0" w:space="0" w:color="auto"/>
            <w:right w:val="none" w:sz="0" w:space="0" w:color="auto"/>
          </w:divBdr>
        </w:div>
        <w:div w:id="1655379010">
          <w:marLeft w:val="0"/>
          <w:marRight w:val="0"/>
          <w:marTop w:val="0"/>
          <w:marBottom w:val="0"/>
          <w:divBdr>
            <w:top w:val="none" w:sz="0" w:space="0" w:color="auto"/>
            <w:left w:val="none" w:sz="0" w:space="0" w:color="auto"/>
            <w:bottom w:val="none" w:sz="0" w:space="0" w:color="auto"/>
            <w:right w:val="none" w:sz="0" w:space="0" w:color="auto"/>
          </w:divBdr>
        </w:div>
      </w:divsChild>
    </w:div>
    <w:div w:id="947932413">
      <w:bodyDiv w:val="1"/>
      <w:marLeft w:val="0"/>
      <w:marRight w:val="0"/>
      <w:marTop w:val="0"/>
      <w:marBottom w:val="0"/>
      <w:divBdr>
        <w:top w:val="none" w:sz="0" w:space="0" w:color="auto"/>
        <w:left w:val="none" w:sz="0" w:space="0" w:color="auto"/>
        <w:bottom w:val="none" w:sz="0" w:space="0" w:color="auto"/>
        <w:right w:val="none" w:sz="0" w:space="0" w:color="auto"/>
      </w:divBdr>
    </w:div>
    <w:div w:id="951976131">
      <w:bodyDiv w:val="1"/>
      <w:marLeft w:val="0"/>
      <w:marRight w:val="0"/>
      <w:marTop w:val="0"/>
      <w:marBottom w:val="0"/>
      <w:divBdr>
        <w:top w:val="none" w:sz="0" w:space="0" w:color="auto"/>
        <w:left w:val="none" w:sz="0" w:space="0" w:color="auto"/>
        <w:bottom w:val="none" w:sz="0" w:space="0" w:color="auto"/>
        <w:right w:val="none" w:sz="0" w:space="0" w:color="auto"/>
      </w:divBdr>
    </w:div>
    <w:div w:id="955256061">
      <w:bodyDiv w:val="1"/>
      <w:marLeft w:val="0"/>
      <w:marRight w:val="0"/>
      <w:marTop w:val="0"/>
      <w:marBottom w:val="0"/>
      <w:divBdr>
        <w:top w:val="none" w:sz="0" w:space="0" w:color="auto"/>
        <w:left w:val="none" w:sz="0" w:space="0" w:color="auto"/>
        <w:bottom w:val="none" w:sz="0" w:space="0" w:color="auto"/>
        <w:right w:val="none" w:sz="0" w:space="0" w:color="auto"/>
      </w:divBdr>
    </w:div>
    <w:div w:id="972829603">
      <w:bodyDiv w:val="1"/>
      <w:marLeft w:val="0"/>
      <w:marRight w:val="0"/>
      <w:marTop w:val="0"/>
      <w:marBottom w:val="0"/>
      <w:divBdr>
        <w:top w:val="none" w:sz="0" w:space="0" w:color="auto"/>
        <w:left w:val="none" w:sz="0" w:space="0" w:color="auto"/>
        <w:bottom w:val="none" w:sz="0" w:space="0" w:color="auto"/>
        <w:right w:val="none" w:sz="0" w:space="0" w:color="auto"/>
      </w:divBdr>
    </w:div>
    <w:div w:id="981692638">
      <w:bodyDiv w:val="1"/>
      <w:marLeft w:val="0"/>
      <w:marRight w:val="0"/>
      <w:marTop w:val="0"/>
      <w:marBottom w:val="0"/>
      <w:divBdr>
        <w:top w:val="none" w:sz="0" w:space="0" w:color="auto"/>
        <w:left w:val="none" w:sz="0" w:space="0" w:color="auto"/>
        <w:bottom w:val="none" w:sz="0" w:space="0" w:color="auto"/>
        <w:right w:val="none" w:sz="0" w:space="0" w:color="auto"/>
      </w:divBdr>
    </w:div>
    <w:div w:id="1002510545">
      <w:bodyDiv w:val="1"/>
      <w:marLeft w:val="0"/>
      <w:marRight w:val="0"/>
      <w:marTop w:val="0"/>
      <w:marBottom w:val="0"/>
      <w:divBdr>
        <w:top w:val="none" w:sz="0" w:space="0" w:color="auto"/>
        <w:left w:val="none" w:sz="0" w:space="0" w:color="auto"/>
        <w:bottom w:val="none" w:sz="0" w:space="0" w:color="auto"/>
        <w:right w:val="none" w:sz="0" w:space="0" w:color="auto"/>
      </w:divBdr>
    </w:div>
    <w:div w:id="1011029748">
      <w:bodyDiv w:val="1"/>
      <w:marLeft w:val="0"/>
      <w:marRight w:val="0"/>
      <w:marTop w:val="0"/>
      <w:marBottom w:val="0"/>
      <w:divBdr>
        <w:top w:val="none" w:sz="0" w:space="0" w:color="auto"/>
        <w:left w:val="none" w:sz="0" w:space="0" w:color="auto"/>
        <w:bottom w:val="none" w:sz="0" w:space="0" w:color="auto"/>
        <w:right w:val="none" w:sz="0" w:space="0" w:color="auto"/>
      </w:divBdr>
    </w:div>
    <w:div w:id="1014376863">
      <w:bodyDiv w:val="1"/>
      <w:marLeft w:val="0"/>
      <w:marRight w:val="0"/>
      <w:marTop w:val="0"/>
      <w:marBottom w:val="0"/>
      <w:divBdr>
        <w:top w:val="none" w:sz="0" w:space="0" w:color="auto"/>
        <w:left w:val="none" w:sz="0" w:space="0" w:color="auto"/>
        <w:bottom w:val="none" w:sz="0" w:space="0" w:color="auto"/>
        <w:right w:val="none" w:sz="0" w:space="0" w:color="auto"/>
      </w:divBdr>
    </w:div>
    <w:div w:id="1022171405">
      <w:bodyDiv w:val="1"/>
      <w:marLeft w:val="0"/>
      <w:marRight w:val="0"/>
      <w:marTop w:val="0"/>
      <w:marBottom w:val="0"/>
      <w:divBdr>
        <w:top w:val="none" w:sz="0" w:space="0" w:color="auto"/>
        <w:left w:val="none" w:sz="0" w:space="0" w:color="auto"/>
        <w:bottom w:val="none" w:sz="0" w:space="0" w:color="auto"/>
        <w:right w:val="none" w:sz="0" w:space="0" w:color="auto"/>
      </w:divBdr>
    </w:div>
    <w:div w:id="1029716412">
      <w:bodyDiv w:val="1"/>
      <w:marLeft w:val="0"/>
      <w:marRight w:val="0"/>
      <w:marTop w:val="0"/>
      <w:marBottom w:val="0"/>
      <w:divBdr>
        <w:top w:val="none" w:sz="0" w:space="0" w:color="auto"/>
        <w:left w:val="none" w:sz="0" w:space="0" w:color="auto"/>
        <w:bottom w:val="none" w:sz="0" w:space="0" w:color="auto"/>
        <w:right w:val="none" w:sz="0" w:space="0" w:color="auto"/>
      </w:divBdr>
    </w:div>
    <w:div w:id="1038504127">
      <w:bodyDiv w:val="1"/>
      <w:marLeft w:val="0"/>
      <w:marRight w:val="0"/>
      <w:marTop w:val="0"/>
      <w:marBottom w:val="0"/>
      <w:divBdr>
        <w:top w:val="none" w:sz="0" w:space="0" w:color="auto"/>
        <w:left w:val="none" w:sz="0" w:space="0" w:color="auto"/>
        <w:bottom w:val="none" w:sz="0" w:space="0" w:color="auto"/>
        <w:right w:val="none" w:sz="0" w:space="0" w:color="auto"/>
      </w:divBdr>
    </w:div>
    <w:div w:id="1048921306">
      <w:bodyDiv w:val="1"/>
      <w:marLeft w:val="0"/>
      <w:marRight w:val="0"/>
      <w:marTop w:val="0"/>
      <w:marBottom w:val="0"/>
      <w:divBdr>
        <w:top w:val="none" w:sz="0" w:space="0" w:color="auto"/>
        <w:left w:val="none" w:sz="0" w:space="0" w:color="auto"/>
        <w:bottom w:val="none" w:sz="0" w:space="0" w:color="auto"/>
        <w:right w:val="none" w:sz="0" w:space="0" w:color="auto"/>
      </w:divBdr>
    </w:div>
    <w:div w:id="1067455965">
      <w:bodyDiv w:val="1"/>
      <w:marLeft w:val="0"/>
      <w:marRight w:val="0"/>
      <w:marTop w:val="0"/>
      <w:marBottom w:val="0"/>
      <w:divBdr>
        <w:top w:val="none" w:sz="0" w:space="0" w:color="auto"/>
        <w:left w:val="none" w:sz="0" w:space="0" w:color="auto"/>
        <w:bottom w:val="none" w:sz="0" w:space="0" w:color="auto"/>
        <w:right w:val="none" w:sz="0" w:space="0" w:color="auto"/>
      </w:divBdr>
    </w:div>
    <w:div w:id="1073968669">
      <w:bodyDiv w:val="1"/>
      <w:marLeft w:val="0"/>
      <w:marRight w:val="0"/>
      <w:marTop w:val="0"/>
      <w:marBottom w:val="0"/>
      <w:divBdr>
        <w:top w:val="none" w:sz="0" w:space="0" w:color="auto"/>
        <w:left w:val="none" w:sz="0" w:space="0" w:color="auto"/>
        <w:bottom w:val="none" w:sz="0" w:space="0" w:color="auto"/>
        <w:right w:val="none" w:sz="0" w:space="0" w:color="auto"/>
      </w:divBdr>
    </w:div>
    <w:div w:id="1080248816">
      <w:bodyDiv w:val="1"/>
      <w:marLeft w:val="0"/>
      <w:marRight w:val="0"/>
      <w:marTop w:val="0"/>
      <w:marBottom w:val="0"/>
      <w:divBdr>
        <w:top w:val="none" w:sz="0" w:space="0" w:color="auto"/>
        <w:left w:val="none" w:sz="0" w:space="0" w:color="auto"/>
        <w:bottom w:val="none" w:sz="0" w:space="0" w:color="auto"/>
        <w:right w:val="none" w:sz="0" w:space="0" w:color="auto"/>
      </w:divBdr>
    </w:div>
    <w:div w:id="1080785816">
      <w:bodyDiv w:val="1"/>
      <w:marLeft w:val="0"/>
      <w:marRight w:val="0"/>
      <w:marTop w:val="0"/>
      <w:marBottom w:val="0"/>
      <w:divBdr>
        <w:top w:val="none" w:sz="0" w:space="0" w:color="auto"/>
        <w:left w:val="none" w:sz="0" w:space="0" w:color="auto"/>
        <w:bottom w:val="none" w:sz="0" w:space="0" w:color="auto"/>
        <w:right w:val="none" w:sz="0" w:space="0" w:color="auto"/>
      </w:divBdr>
    </w:div>
    <w:div w:id="1082677169">
      <w:bodyDiv w:val="1"/>
      <w:marLeft w:val="0"/>
      <w:marRight w:val="0"/>
      <w:marTop w:val="0"/>
      <w:marBottom w:val="0"/>
      <w:divBdr>
        <w:top w:val="none" w:sz="0" w:space="0" w:color="auto"/>
        <w:left w:val="none" w:sz="0" w:space="0" w:color="auto"/>
        <w:bottom w:val="none" w:sz="0" w:space="0" w:color="auto"/>
        <w:right w:val="none" w:sz="0" w:space="0" w:color="auto"/>
      </w:divBdr>
    </w:div>
    <w:div w:id="1102455855">
      <w:bodyDiv w:val="1"/>
      <w:marLeft w:val="0"/>
      <w:marRight w:val="0"/>
      <w:marTop w:val="0"/>
      <w:marBottom w:val="0"/>
      <w:divBdr>
        <w:top w:val="none" w:sz="0" w:space="0" w:color="auto"/>
        <w:left w:val="none" w:sz="0" w:space="0" w:color="auto"/>
        <w:bottom w:val="none" w:sz="0" w:space="0" w:color="auto"/>
        <w:right w:val="none" w:sz="0" w:space="0" w:color="auto"/>
      </w:divBdr>
    </w:div>
    <w:div w:id="1104619898">
      <w:bodyDiv w:val="1"/>
      <w:marLeft w:val="0"/>
      <w:marRight w:val="0"/>
      <w:marTop w:val="0"/>
      <w:marBottom w:val="0"/>
      <w:divBdr>
        <w:top w:val="none" w:sz="0" w:space="0" w:color="auto"/>
        <w:left w:val="none" w:sz="0" w:space="0" w:color="auto"/>
        <w:bottom w:val="none" w:sz="0" w:space="0" w:color="auto"/>
        <w:right w:val="none" w:sz="0" w:space="0" w:color="auto"/>
      </w:divBdr>
    </w:div>
    <w:div w:id="1108039309">
      <w:bodyDiv w:val="1"/>
      <w:marLeft w:val="0"/>
      <w:marRight w:val="0"/>
      <w:marTop w:val="0"/>
      <w:marBottom w:val="0"/>
      <w:divBdr>
        <w:top w:val="none" w:sz="0" w:space="0" w:color="auto"/>
        <w:left w:val="none" w:sz="0" w:space="0" w:color="auto"/>
        <w:bottom w:val="none" w:sz="0" w:space="0" w:color="auto"/>
        <w:right w:val="none" w:sz="0" w:space="0" w:color="auto"/>
      </w:divBdr>
    </w:div>
    <w:div w:id="1116752009">
      <w:bodyDiv w:val="1"/>
      <w:marLeft w:val="0"/>
      <w:marRight w:val="0"/>
      <w:marTop w:val="0"/>
      <w:marBottom w:val="0"/>
      <w:divBdr>
        <w:top w:val="none" w:sz="0" w:space="0" w:color="auto"/>
        <w:left w:val="none" w:sz="0" w:space="0" w:color="auto"/>
        <w:bottom w:val="none" w:sz="0" w:space="0" w:color="auto"/>
        <w:right w:val="none" w:sz="0" w:space="0" w:color="auto"/>
      </w:divBdr>
    </w:div>
    <w:div w:id="1116951142">
      <w:bodyDiv w:val="1"/>
      <w:marLeft w:val="0"/>
      <w:marRight w:val="0"/>
      <w:marTop w:val="0"/>
      <w:marBottom w:val="0"/>
      <w:divBdr>
        <w:top w:val="none" w:sz="0" w:space="0" w:color="auto"/>
        <w:left w:val="none" w:sz="0" w:space="0" w:color="auto"/>
        <w:bottom w:val="none" w:sz="0" w:space="0" w:color="auto"/>
        <w:right w:val="none" w:sz="0" w:space="0" w:color="auto"/>
      </w:divBdr>
    </w:div>
    <w:div w:id="1118912437">
      <w:bodyDiv w:val="1"/>
      <w:marLeft w:val="0"/>
      <w:marRight w:val="0"/>
      <w:marTop w:val="0"/>
      <w:marBottom w:val="0"/>
      <w:divBdr>
        <w:top w:val="none" w:sz="0" w:space="0" w:color="auto"/>
        <w:left w:val="none" w:sz="0" w:space="0" w:color="auto"/>
        <w:bottom w:val="none" w:sz="0" w:space="0" w:color="auto"/>
        <w:right w:val="none" w:sz="0" w:space="0" w:color="auto"/>
      </w:divBdr>
    </w:div>
    <w:div w:id="1120032693">
      <w:bodyDiv w:val="1"/>
      <w:marLeft w:val="0"/>
      <w:marRight w:val="0"/>
      <w:marTop w:val="0"/>
      <w:marBottom w:val="0"/>
      <w:divBdr>
        <w:top w:val="none" w:sz="0" w:space="0" w:color="auto"/>
        <w:left w:val="none" w:sz="0" w:space="0" w:color="auto"/>
        <w:bottom w:val="none" w:sz="0" w:space="0" w:color="auto"/>
        <w:right w:val="none" w:sz="0" w:space="0" w:color="auto"/>
      </w:divBdr>
    </w:div>
    <w:div w:id="1128426124">
      <w:bodyDiv w:val="1"/>
      <w:marLeft w:val="0"/>
      <w:marRight w:val="0"/>
      <w:marTop w:val="0"/>
      <w:marBottom w:val="0"/>
      <w:divBdr>
        <w:top w:val="none" w:sz="0" w:space="0" w:color="auto"/>
        <w:left w:val="none" w:sz="0" w:space="0" w:color="auto"/>
        <w:bottom w:val="none" w:sz="0" w:space="0" w:color="auto"/>
        <w:right w:val="none" w:sz="0" w:space="0" w:color="auto"/>
      </w:divBdr>
      <w:divsChild>
        <w:div w:id="208494357">
          <w:marLeft w:val="0"/>
          <w:marRight w:val="75"/>
          <w:marTop w:val="75"/>
          <w:marBottom w:val="75"/>
          <w:divBdr>
            <w:top w:val="none" w:sz="0" w:space="0" w:color="auto"/>
            <w:left w:val="none" w:sz="0" w:space="0" w:color="auto"/>
            <w:bottom w:val="none" w:sz="0" w:space="0" w:color="auto"/>
            <w:right w:val="none" w:sz="0" w:space="0" w:color="auto"/>
          </w:divBdr>
          <w:divsChild>
            <w:div w:id="473839349">
              <w:marLeft w:val="75"/>
              <w:marRight w:val="150"/>
              <w:marTop w:val="0"/>
              <w:marBottom w:val="225"/>
              <w:divBdr>
                <w:top w:val="none" w:sz="0" w:space="0" w:color="auto"/>
                <w:left w:val="none" w:sz="0" w:space="0" w:color="auto"/>
                <w:bottom w:val="none" w:sz="0" w:space="0" w:color="auto"/>
                <w:right w:val="none" w:sz="0" w:space="0" w:color="auto"/>
              </w:divBdr>
              <w:divsChild>
                <w:div w:id="466557787">
                  <w:marLeft w:val="0"/>
                  <w:marRight w:val="0"/>
                  <w:marTop w:val="0"/>
                  <w:marBottom w:val="0"/>
                  <w:divBdr>
                    <w:top w:val="none" w:sz="0" w:space="0" w:color="auto"/>
                    <w:left w:val="none" w:sz="0" w:space="0" w:color="auto"/>
                    <w:bottom w:val="none" w:sz="0" w:space="0" w:color="auto"/>
                    <w:right w:val="none" w:sz="0" w:space="0" w:color="auto"/>
                  </w:divBdr>
                </w:div>
                <w:div w:id="300577607">
                  <w:marLeft w:val="0"/>
                  <w:marRight w:val="0"/>
                  <w:marTop w:val="0"/>
                  <w:marBottom w:val="0"/>
                  <w:divBdr>
                    <w:top w:val="none" w:sz="0" w:space="0" w:color="auto"/>
                    <w:left w:val="none" w:sz="0" w:space="0" w:color="auto"/>
                    <w:bottom w:val="none" w:sz="0" w:space="0" w:color="auto"/>
                    <w:right w:val="none" w:sz="0" w:space="0" w:color="auto"/>
                  </w:divBdr>
                </w:div>
              </w:divsChild>
            </w:div>
            <w:div w:id="184701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50156">
      <w:bodyDiv w:val="1"/>
      <w:marLeft w:val="0"/>
      <w:marRight w:val="0"/>
      <w:marTop w:val="0"/>
      <w:marBottom w:val="0"/>
      <w:divBdr>
        <w:top w:val="none" w:sz="0" w:space="0" w:color="auto"/>
        <w:left w:val="none" w:sz="0" w:space="0" w:color="auto"/>
        <w:bottom w:val="none" w:sz="0" w:space="0" w:color="auto"/>
        <w:right w:val="none" w:sz="0" w:space="0" w:color="auto"/>
      </w:divBdr>
    </w:div>
    <w:div w:id="1138108077">
      <w:bodyDiv w:val="1"/>
      <w:marLeft w:val="0"/>
      <w:marRight w:val="0"/>
      <w:marTop w:val="0"/>
      <w:marBottom w:val="0"/>
      <w:divBdr>
        <w:top w:val="none" w:sz="0" w:space="0" w:color="auto"/>
        <w:left w:val="none" w:sz="0" w:space="0" w:color="auto"/>
        <w:bottom w:val="none" w:sz="0" w:space="0" w:color="auto"/>
        <w:right w:val="none" w:sz="0" w:space="0" w:color="auto"/>
      </w:divBdr>
    </w:div>
    <w:div w:id="1164277946">
      <w:bodyDiv w:val="1"/>
      <w:marLeft w:val="0"/>
      <w:marRight w:val="0"/>
      <w:marTop w:val="0"/>
      <w:marBottom w:val="0"/>
      <w:divBdr>
        <w:top w:val="none" w:sz="0" w:space="0" w:color="auto"/>
        <w:left w:val="none" w:sz="0" w:space="0" w:color="auto"/>
        <w:bottom w:val="none" w:sz="0" w:space="0" w:color="auto"/>
        <w:right w:val="none" w:sz="0" w:space="0" w:color="auto"/>
      </w:divBdr>
    </w:div>
    <w:div w:id="1171026418">
      <w:bodyDiv w:val="1"/>
      <w:marLeft w:val="0"/>
      <w:marRight w:val="0"/>
      <w:marTop w:val="0"/>
      <w:marBottom w:val="0"/>
      <w:divBdr>
        <w:top w:val="none" w:sz="0" w:space="0" w:color="auto"/>
        <w:left w:val="none" w:sz="0" w:space="0" w:color="auto"/>
        <w:bottom w:val="none" w:sz="0" w:space="0" w:color="auto"/>
        <w:right w:val="none" w:sz="0" w:space="0" w:color="auto"/>
      </w:divBdr>
    </w:div>
    <w:div w:id="1173496510">
      <w:bodyDiv w:val="1"/>
      <w:marLeft w:val="0"/>
      <w:marRight w:val="0"/>
      <w:marTop w:val="0"/>
      <w:marBottom w:val="0"/>
      <w:divBdr>
        <w:top w:val="none" w:sz="0" w:space="0" w:color="auto"/>
        <w:left w:val="none" w:sz="0" w:space="0" w:color="auto"/>
        <w:bottom w:val="none" w:sz="0" w:space="0" w:color="auto"/>
        <w:right w:val="none" w:sz="0" w:space="0" w:color="auto"/>
      </w:divBdr>
    </w:div>
    <w:div w:id="1181049378">
      <w:bodyDiv w:val="1"/>
      <w:marLeft w:val="0"/>
      <w:marRight w:val="0"/>
      <w:marTop w:val="0"/>
      <w:marBottom w:val="0"/>
      <w:divBdr>
        <w:top w:val="none" w:sz="0" w:space="0" w:color="auto"/>
        <w:left w:val="none" w:sz="0" w:space="0" w:color="auto"/>
        <w:bottom w:val="none" w:sz="0" w:space="0" w:color="auto"/>
        <w:right w:val="none" w:sz="0" w:space="0" w:color="auto"/>
      </w:divBdr>
    </w:div>
    <w:div w:id="1181745527">
      <w:bodyDiv w:val="1"/>
      <w:marLeft w:val="0"/>
      <w:marRight w:val="0"/>
      <w:marTop w:val="0"/>
      <w:marBottom w:val="0"/>
      <w:divBdr>
        <w:top w:val="none" w:sz="0" w:space="0" w:color="auto"/>
        <w:left w:val="none" w:sz="0" w:space="0" w:color="auto"/>
        <w:bottom w:val="none" w:sz="0" w:space="0" w:color="auto"/>
        <w:right w:val="none" w:sz="0" w:space="0" w:color="auto"/>
      </w:divBdr>
    </w:div>
    <w:div w:id="1185437749">
      <w:bodyDiv w:val="1"/>
      <w:marLeft w:val="0"/>
      <w:marRight w:val="0"/>
      <w:marTop w:val="0"/>
      <w:marBottom w:val="0"/>
      <w:divBdr>
        <w:top w:val="none" w:sz="0" w:space="0" w:color="auto"/>
        <w:left w:val="none" w:sz="0" w:space="0" w:color="auto"/>
        <w:bottom w:val="none" w:sz="0" w:space="0" w:color="auto"/>
        <w:right w:val="none" w:sz="0" w:space="0" w:color="auto"/>
      </w:divBdr>
    </w:div>
    <w:div w:id="1191257245">
      <w:bodyDiv w:val="1"/>
      <w:marLeft w:val="0"/>
      <w:marRight w:val="0"/>
      <w:marTop w:val="0"/>
      <w:marBottom w:val="0"/>
      <w:divBdr>
        <w:top w:val="none" w:sz="0" w:space="0" w:color="auto"/>
        <w:left w:val="none" w:sz="0" w:space="0" w:color="auto"/>
        <w:bottom w:val="none" w:sz="0" w:space="0" w:color="auto"/>
        <w:right w:val="none" w:sz="0" w:space="0" w:color="auto"/>
      </w:divBdr>
    </w:div>
    <w:div w:id="1201285427">
      <w:bodyDiv w:val="1"/>
      <w:marLeft w:val="0"/>
      <w:marRight w:val="0"/>
      <w:marTop w:val="0"/>
      <w:marBottom w:val="0"/>
      <w:divBdr>
        <w:top w:val="none" w:sz="0" w:space="0" w:color="auto"/>
        <w:left w:val="none" w:sz="0" w:space="0" w:color="auto"/>
        <w:bottom w:val="none" w:sz="0" w:space="0" w:color="auto"/>
        <w:right w:val="none" w:sz="0" w:space="0" w:color="auto"/>
      </w:divBdr>
    </w:div>
    <w:div w:id="1202746593">
      <w:bodyDiv w:val="1"/>
      <w:marLeft w:val="0"/>
      <w:marRight w:val="0"/>
      <w:marTop w:val="0"/>
      <w:marBottom w:val="0"/>
      <w:divBdr>
        <w:top w:val="none" w:sz="0" w:space="0" w:color="auto"/>
        <w:left w:val="none" w:sz="0" w:space="0" w:color="auto"/>
        <w:bottom w:val="none" w:sz="0" w:space="0" w:color="auto"/>
        <w:right w:val="none" w:sz="0" w:space="0" w:color="auto"/>
      </w:divBdr>
    </w:div>
    <w:div w:id="1202985507">
      <w:bodyDiv w:val="1"/>
      <w:marLeft w:val="0"/>
      <w:marRight w:val="0"/>
      <w:marTop w:val="0"/>
      <w:marBottom w:val="0"/>
      <w:divBdr>
        <w:top w:val="none" w:sz="0" w:space="0" w:color="auto"/>
        <w:left w:val="none" w:sz="0" w:space="0" w:color="auto"/>
        <w:bottom w:val="none" w:sz="0" w:space="0" w:color="auto"/>
        <w:right w:val="none" w:sz="0" w:space="0" w:color="auto"/>
      </w:divBdr>
    </w:div>
    <w:div w:id="1215778544">
      <w:bodyDiv w:val="1"/>
      <w:marLeft w:val="0"/>
      <w:marRight w:val="0"/>
      <w:marTop w:val="0"/>
      <w:marBottom w:val="0"/>
      <w:divBdr>
        <w:top w:val="none" w:sz="0" w:space="0" w:color="auto"/>
        <w:left w:val="none" w:sz="0" w:space="0" w:color="auto"/>
        <w:bottom w:val="none" w:sz="0" w:space="0" w:color="auto"/>
        <w:right w:val="none" w:sz="0" w:space="0" w:color="auto"/>
      </w:divBdr>
    </w:div>
    <w:div w:id="1216117374">
      <w:bodyDiv w:val="1"/>
      <w:marLeft w:val="0"/>
      <w:marRight w:val="0"/>
      <w:marTop w:val="0"/>
      <w:marBottom w:val="0"/>
      <w:divBdr>
        <w:top w:val="none" w:sz="0" w:space="0" w:color="auto"/>
        <w:left w:val="none" w:sz="0" w:space="0" w:color="auto"/>
        <w:bottom w:val="none" w:sz="0" w:space="0" w:color="auto"/>
        <w:right w:val="none" w:sz="0" w:space="0" w:color="auto"/>
      </w:divBdr>
    </w:div>
    <w:div w:id="1216821141">
      <w:bodyDiv w:val="1"/>
      <w:marLeft w:val="0"/>
      <w:marRight w:val="0"/>
      <w:marTop w:val="0"/>
      <w:marBottom w:val="0"/>
      <w:divBdr>
        <w:top w:val="none" w:sz="0" w:space="0" w:color="auto"/>
        <w:left w:val="none" w:sz="0" w:space="0" w:color="auto"/>
        <w:bottom w:val="none" w:sz="0" w:space="0" w:color="auto"/>
        <w:right w:val="none" w:sz="0" w:space="0" w:color="auto"/>
      </w:divBdr>
    </w:div>
    <w:div w:id="1236745222">
      <w:bodyDiv w:val="1"/>
      <w:marLeft w:val="0"/>
      <w:marRight w:val="0"/>
      <w:marTop w:val="0"/>
      <w:marBottom w:val="0"/>
      <w:divBdr>
        <w:top w:val="none" w:sz="0" w:space="0" w:color="auto"/>
        <w:left w:val="none" w:sz="0" w:space="0" w:color="auto"/>
        <w:bottom w:val="none" w:sz="0" w:space="0" w:color="auto"/>
        <w:right w:val="none" w:sz="0" w:space="0" w:color="auto"/>
      </w:divBdr>
    </w:div>
    <w:div w:id="1240099022">
      <w:bodyDiv w:val="1"/>
      <w:marLeft w:val="0"/>
      <w:marRight w:val="0"/>
      <w:marTop w:val="0"/>
      <w:marBottom w:val="0"/>
      <w:divBdr>
        <w:top w:val="none" w:sz="0" w:space="0" w:color="auto"/>
        <w:left w:val="none" w:sz="0" w:space="0" w:color="auto"/>
        <w:bottom w:val="none" w:sz="0" w:space="0" w:color="auto"/>
        <w:right w:val="none" w:sz="0" w:space="0" w:color="auto"/>
      </w:divBdr>
    </w:div>
    <w:div w:id="1242059809">
      <w:bodyDiv w:val="1"/>
      <w:marLeft w:val="0"/>
      <w:marRight w:val="0"/>
      <w:marTop w:val="0"/>
      <w:marBottom w:val="0"/>
      <w:divBdr>
        <w:top w:val="none" w:sz="0" w:space="0" w:color="auto"/>
        <w:left w:val="none" w:sz="0" w:space="0" w:color="auto"/>
        <w:bottom w:val="none" w:sz="0" w:space="0" w:color="auto"/>
        <w:right w:val="none" w:sz="0" w:space="0" w:color="auto"/>
      </w:divBdr>
    </w:div>
    <w:div w:id="1251236373">
      <w:bodyDiv w:val="1"/>
      <w:marLeft w:val="0"/>
      <w:marRight w:val="0"/>
      <w:marTop w:val="0"/>
      <w:marBottom w:val="0"/>
      <w:divBdr>
        <w:top w:val="none" w:sz="0" w:space="0" w:color="auto"/>
        <w:left w:val="none" w:sz="0" w:space="0" w:color="auto"/>
        <w:bottom w:val="none" w:sz="0" w:space="0" w:color="auto"/>
        <w:right w:val="none" w:sz="0" w:space="0" w:color="auto"/>
      </w:divBdr>
    </w:div>
    <w:div w:id="1269702669">
      <w:bodyDiv w:val="1"/>
      <w:marLeft w:val="0"/>
      <w:marRight w:val="0"/>
      <w:marTop w:val="0"/>
      <w:marBottom w:val="0"/>
      <w:divBdr>
        <w:top w:val="none" w:sz="0" w:space="0" w:color="auto"/>
        <w:left w:val="none" w:sz="0" w:space="0" w:color="auto"/>
        <w:bottom w:val="none" w:sz="0" w:space="0" w:color="auto"/>
        <w:right w:val="none" w:sz="0" w:space="0" w:color="auto"/>
      </w:divBdr>
    </w:div>
    <w:div w:id="1284847012">
      <w:bodyDiv w:val="1"/>
      <w:marLeft w:val="0"/>
      <w:marRight w:val="0"/>
      <w:marTop w:val="0"/>
      <w:marBottom w:val="0"/>
      <w:divBdr>
        <w:top w:val="none" w:sz="0" w:space="0" w:color="auto"/>
        <w:left w:val="none" w:sz="0" w:space="0" w:color="auto"/>
        <w:bottom w:val="none" w:sz="0" w:space="0" w:color="auto"/>
        <w:right w:val="none" w:sz="0" w:space="0" w:color="auto"/>
      </w:divBdr>
    </w:div>
    <w:div w:id="1288782341">
      <w:bodyDiv w:val="1"/>
      <w:marLeft w:val="0"/>
      <w:marRight w:val="0"/>
      <w:marTop w:val="0"/>
      <w:marBottom w:val="0"/>
      <w:divBdr>
        <w:top w:val="none" w:sz="0" w:space="0" w:color="auto"/>
        <w:left w:val="none" w:sz="0" w:space="0" w:color="auto"/>
        <w:bottom w:val="none" w:sz="0" w:space="0" w:color="auto"/>
        <w:right w:val="none" w:sz="0" w:space="0" w:color="auto"/>
      </w:divBdr>
    </w:div>
    <w:div w:id="1299798230">
      <w:bodyDiv w:val="1"/>
      <w:marLeft w:val="0"/>
      <w:marRight w:val="0"/>
      <w:marTop w:val="0"/>
      <w:marBottom w:val="0"/>
      <w:divBdr>
        <w:top w:val="none" w:sz="0" w:space="0" w:color="auto"/>
        <w:left w:val="none" w:sz="0" w:space="0" w:color="auto"/>
        <w:bottom w:val="none" w:sz="0" w:space="0" w:color="auto"/>
        <w:right w:val="none" w:sz="0" w:space="0" w:color="auto"/>
      </w:divBdr>
    </w:div>
    <w:div w:id="1317760670">
      <w:bodyDiv w:val="1"/>
      <w:marLeft w:val="0"/>
      <w:marRight w:val="0"/>
      <w:marTop w:val="0"/>
      <w:marBottom w:val="0"/>
      <w:divBdr>
        <w:top w:val="none" w:sz="0" w:space="0" w:color="auto"/>
        <w:left w:val="none" w:sz="0" w:space="0" w:color="auto"/>
        <w:bottom w:val="none" w:sz="0" w:space="0" w:color="auto"/>
        <w:right w:val="none" w:sz="0" w:space="0" w:color="auto"/>
      </w:divBdr>
    </w:div>
    <w:div w:id="1342782419">
      <w:bodyDiv w:val="1"/>
      <w:marLeft w:val="0"/>
      <w:marRight w:val="0"/>
      <w:marTop w:val="0"/>
      <w:marBottom w:val="0"/>
      <w:divBdr>
        <w:top w:val="none" w:sz="0" w:space="0" w:color="auto"/>
        <w:left w:val="none" w:sz="0" w:space="0" w:color="auto"/>
        <w:bottom w:val="none" w:sz="0" w:space="0" w:color="auto"/>
        <w:right w:val="none" w:sz="0" w:space="0" w:color="auto"/>
      </w:divBdr>
    </w:div>
    <w:div w:id="1344749920">
      <w:bodyDiv w:val="1"/>
      <w:marLeft w:val="0"/>
      <w:marRight w:val="0"/>
      <w:marTop w:val="0"/>
      <w:marBottom w:val="0"/>
      <w:divBdr>
        <w:top w:val="none" w:sz="0" w:space="0" w:color="auto"/>
        <w:left w:val="none" w:sz="0" w:space="0" w:color="auto"/>
        <w:bottom w:val="none" w:sz="0" w:space="0" w:color="auto"/>
        <w:right w:val="none" w:sz="0" w:space="0" w:color="auto"/>
      </w:divBdr>
    </w:div>
    <w:div w:id="1350331625">
      <w:bodyDiv w:val="1"/>
      <w:marLeft w:val="0"/>
      <w:marRight w:val="0"/>
      <w:marTop w:val="0"/>
      <w:marBottom w:val="0"/>
      <w:divBdr>
        <w:top w:val="none" w:sz="0" w:space="0" w:color="auto"/>
        <w:left w:val="none" w:sz="0" w:space="0" w:color="auto"/>
        <w:bottom w:val="none" w:sz="0" w:space="0" w:color="auto"/>
        <w:right w:val="none" w:sz="0" w:space="0" w:color="auto"/>
      </w:divBdr>
    </w:div>
    <w:div w:id="1360547740">
      <w:bodyDiv w:val="1"/>
      <w:marLeft w:val="0"/>
      <w:marRight w:val="0"/>
      <w:marTop w:val="0"/>
      <w:marBottom w:val="0"/>
      <w:divBdr>
        <w:top w:val="none" w:sz="0" w:space="0" w:color="auto"/>
        <w:left w:val="none" w:sz="0" w:space="0" w:color="auto"/>
        <w:bottom w:val="none" w:sz="0" w:space="0" w:color="auto"/>
        <w:right w:val="none" w:sz="0" w:space="0" w:color="auto"/>
      </w:divBdr>
    </w:div>
    <w:div w:id="1360738025">
      <w:bodyDiv w:val="1"/>
      <w:marLeft w:val="0"/>
      <w:marRight w:val="0"/>
      <w:marTop w:val="0"/>
      <w:marBottom w:val="0"/>
      <w:divBdr>
        <w:top w:val="none" w:sz="0" w:space="0" w:color="auto"/>
        <w:left w:val="none" w:sz="0" w:space="0" w:color="auto"/>
        <w:bottom w:val="none" w:sz="0" w:space="0" w:color="auto"/>
        <w:right w:val="none" w:sz="0" w:space="0" w:color="auto"/>
      </w:divBdr>
    </w:div>
    <w:div w:id="1382554086">
      <w:bodyDiv w:val="1"/>
      <w:marLeft w:val="0"/>
      <w:marRight w:val="0"/>
      <w:marTop w:val="0"/>
      <w:marBottom w:val="0"/>
      <w:divBdr>
        <w:top w:val="none" w:sz="0" w:space="0" w:color="auto"/>
        <w:left w:val="none" w:sz="0" w:space="0" w:color="auto"/>
        <w:bottom w:val="none" w:sz="0" w:space="0" w:color="auto"/>
        <w:right w:val="none" w:sz="0" w:space="0" w:color="auto"/>
      </w:divBdr>
    </w:div>
    <w:div w:id="1404140042">
      <w:bodyDiv w:val="1"/>
      <w:marLeft w:val="0"/>
      <w:marRight w:val="0"/>
      <w:marTop w:val="0"/>
      <w:marBottom w:val="0"/>
      <w:divBdr>
        <w:top w:val="none" w:sz="0" w:space="0" w:color="auto"/>
        <w:left w:val="none" w:sz="0" w:space="0" w:color="auto"/>
        <w:bottom w:val="none" w:sz="0" w:space="0" w:color="auto"/>
        <w:right w:val="none" w:sz="0" w:space="0" w:color="auto"/>
      </w:divBdr>
      <w:divsChild>
        <w:div w:id="194075249">
          <w:marLeft w:val="0"/>
          <w:marRight w:val="0"/>
          <w:marTop w:val="0"/>
          <w:marBottom w:val="0"/>
          <w:divBdr>
            <w:top w:val="none" w:sz="0" w:space="0" w:color="auto"/>
            <w:left w:val="none" w:sz="0" w:space="0" w:color="auto"/>
            <w:bottom w:val="none" w:sz="0" w:space="0" w:color="auto"/>
            <w:right w:val="none" w:sz="0" w:space="0" w:color="auto"/>
          </w:divBdr>
        </w:div>
      </w:divsChild>
    </w:div>
    <w:div w:id="1413970003">
      <w:bodyDiv w:val="1"/>
      <w:marLeft w:val="0"/>
      <w:marRight w:val="0"/>
      <w:marTop w:val="0"/>
      <w:marBottom w:val="0"/>
      <w:divBdr>
        <w:top w:val="none" w:sz="0" w:space="0" w:color="auto"/>
        <w:left w:val="none" w:sz="0" w:space="0" w:color="auto"/>
        <w:bottom w:val="none" w:sz="0" w:space="0" w:color="auto"/>
        <w:right w:val="none" w:sz="0" w:space="0" w:color="auto"/>
      </w:divBdr>
    </w:div>
    <w:div w:id="1424569641">
      <w:bodyDiv w:val="1"/>
      <w:marLeft w:val="0"/>
      <w:marRight w:val="0"/>
      <w:marTop w:val="0"/>
      <w:marBottom w:val="0"/>
      <w:divBdr>
        <w:top w:val="none" w:sz="0" w:space="0" w:color="auto"/>
        <w:left w:val="none" w:sz="0" w:space="0" w:color="auto"/>
        <w:bottom w:val="none" w:sz="0" w:space="0" w:color="auto"/>
        <w:right w:val="none" w:sz="0" w:space="0" w:color="auto"/>
      </w:divBdr>
    </w:div>
    <w:div w:id="1428769089">
      <w:bodyDiv w:val="1"/>
      <w:marLeft w:val="0"/>
      <w:marRight w:val="0"/>
      <w:marTop w:val="0"/>
      <w:marBottom w:val="0"/>
      <w:divBdr>
        <w:top w:val="none" w:sz="0" w:space="0" w:color="auto"/>
        <w:left w:val="none" w:sz="0" w:space="0" w:color="auto"/>
        <w:bottom w:val="none" w:sz="0" w:space="0" w:color="auto"/>
        <w:right w:val="none" w:sz="0" w:space="0" w:color="auto"/>
      </w:divBdr>
    </w:div>
    <w:div w:id="1435595710">
      <w:bodyDiv w:val="1"/>
      <w:marLeft w:val="0"/>
      <w:marRight w:val="0"/>
      <w:marTop w:val="0"/>
      <w:marBottom w:val="0"/>
      <w:divBdr>
        <w:top w:val="none" w:sz="0" w:space="0" w:color="auto"/>
        <w:left w:val="none" w:sz="0" w:space="0" w:color="auto"/>
        <w:bottom w:val="none" w:sz="0" w:space="0" w:color="auto"/>
        <w:right w:val="none" w:sz="0" w:space="0" w:color="auto"/>
      </w:divBdr>
    </w:div>
    <w:div w:id="1443646556">
      <w:bodyDiv w:val="1"/>
      <w:marLeft w:val="0"/>
      <w:marRight w:val="0"/>
      <w:marTop w:val="0"/>
      <w:marBottom w:val="0"/>
      <w:divBdr>
        <w:top w:val="none" w:sz="0" w:space="0" w:color="auto"/>
        <w:left w:val="none" w:sz="0" w:space="0" w:color="auto"/>
        <w:bottom w:val="none" w:sz="0" w:space="0" w:color="auto"/>
        <w:right w:val="none" w:sz="0" w:space="0" w:color="auto"/>
      </w:divBdr>
    </w:div>
    <w:div w:id="1447381868">
      <w:bodyDiv w:val="1"/>
      <w:marLeft w:val="0"/>
      <w:marRight w:val="0"/>
      <w:marTop w:val="0"/>
      <w:marBottom w:val="0"/>
      <w:divBdr>
        <w:top w:val="none" w:sz="0" w:space="0" w:color="auto"/>
        <w:left w:val="none" w:sz="0" w:space="0" w:color="auto"/>
        <w:bottom w:val="none" w:sz="0" w:space="0" w:color="auto"/>
        <w:right w:val="none" w:sz="0" w:space="0" w:color="auto"/>
      </w:divBdr>
    </w:div>
    <w:div w:id="1451820237">
      <w:bodyDiv w:val="1"/>
      <w:marLeft w:val="0"/>
      <w:marRight w:val="0"/>
      <w:marTop w:val="0"/>
      <w:marBottom w:val="0"/>
      <w:divBdr>
        <w:top w:val="none" w:sz="0" w:space="0" w:color="auto"/>
        <w:left w:val="none" w:sz="0" w:space="0" w:color="auto"/>
        <w:bottom w:val="none" w:sz="0" w:space="0" w:color="auto"/>
        <w:right w:val="none" w:sz="0" w:space="0" w:color="auto"/>
      </w:divBdr>
    </w:div>
    <w:div w:id="1457023985">
      <w:bodyDiv w:val="1"/>
      <w:marLeft w:val="0"/>
      <w:marRight w:val="0"/>
      <w:marTop w:val="0"/>
      <w:marBottom w:val="0"/>
      <w:divBdr>
        <w:top w:val="none" w:sz="0" w:space="0" w:color="auto"/>
        <w:left w:val="none" w:sz="0" w:space="0" w:color="auto"/>
        <w:bottom w:val="none" w:sz="0" w:space="0" w:color="auto"/>
        <w:right w:val="none" w:sz="0" w:space="0" w:color="auto"/>
      </w:divBdr>
    </w:div>
    <w:div w:id="1458522213">
      <w:bodyDiv w:val="1"/>
      <w:marLeft w:val="0"/>
      <w:marRight w:val="0"/>
      <w:marTop w:val="0"/>
      <w:marBottom w:val="0"/>
      <w:divBdr>
        <w:top w:val="none" w:sz="0" w:space="0" w:color="auto"/>
        <w:left w:val="none" w:sz="0" w:space="0" w:color="auto"/>
        <w:bottom w:val="none" w:sz="0" w:space="0" w:color="auto"/>
        <w:right w:val="none" w:sz="0" w:space="0" w:color="auto"/>
      </w:divBdr>
    </w:div>
    <w:div w:id="1458523308">
      <w:bodyDiv w:val="1"/>
      <w:marLeft w:val="0"/>
      <w:marRight w:val="0"/>
      <w:marTop w:val="0"/>
      <w:marBottom w:val="0"/>
      <w:divBdr>
        <w:top w:val="none" w:sz="0" w:space="0" w:color="auto"/>
        <w:left w:val="none" w:sz="0" w:space="0" w:color="auto"/>
        <w:bottom w:val="none" w:sz="0" w:space="0" w:color="auto"/>
        <w:right w:val="none" w:sz="0" w:space="0" w:color="auto"/>
      </w:divBdr>
    </w:div>
    <w:div w:id="1468014061">
      <w:bodyDiv w:val="1"/>
      <w:marLeft w:val="0"/>
      <w:marRight w:val="0"/>
      <w:marTop w:val="0"/>
      <w:marBottom w:val="0"/>
      <w:divBdr>
        <w:top w:val="none" w:sz="0" w:space="0" w:color="auto"/>
        <w:left w:val="none" w:sz="0" w:space="0" w:color="auto"/>
        <w:bottom w:val="none" w:sz="0" w:space="0" w:color="auto"/>
        <w:right w:val="none" w:sz="0" w:space="0" w:color="auto"/>
      </w:divBdr>
    </w:div>
    <w:div w:id="1480926010">
      <w:bodyDiv w:val="1"/>
      <w:marLeft w:val="0"/>
      <w:marRight w:val="0"/>
      <w:marTop w:val="0"/>
      <w:marBottom w:val="0"/>
      <w:divBdr>
        <w:top w:val="none" w:sz="0" w:space="0" w:color="auto"/>
        <w:left w:val="none" w:sz="0" w:space="0" w:color="auto"/>
        <w:bottom w:val="none" w:sz="0" w:space="0" w:color="auto"/>
        <w:right w:val="none" w:sz="0" w:space="0" w:color="auto"/>
      </w:divBdr>
    </w:div>
    <w:div w:id="1481341768">
      <w:bodyDiv w:val="1"/>
      <w:marLeft w:val="0"/>
      <w:marRight w:val="0"/>
      <w:marTop w:val="0"/>
      <w:marBottom w:val="0"/>
      <w:divBdr>
        <w:top w:val="none" w:sz="0" w:space="0" w:color="auto"/>
        <w:left w:val="none" w:sz="0" w:space="0" w:color="auto"/>
        <w:bottom w:val="none" w:sz="0" w:space="0" w:color="auto"/>
        <w:right w:val="none" w:sz="0" w:space="0" w:color="auto"/>
      </w:divBdr>
    </w:div>
    <w:div w:id="1504782594">
      <w:bodyDiv w:val="1"/>
      <w:marLeft w:val="0"/>
      <w:marRight w:val="0"/>
      <w:marTop w:val="0"/>
      <w:marBottom w:val="0"/>
      <w:divBdr>
        <w:top w:val="none" w:sz="0" w:space="0" w:color="auto"/>
        <w:left w:val="none" w:sz="0" w:space="0" w:color="auto"/>
        <w:bottom w:val="none" w:sz="0" w:space="0" w:color="auto"/>
        <w:right w:val="none" w:sz="0" w:space="0" w:color="auto"/>
      </w:divBdr>
    </w:div>
    <w:div w:id="1513059241">
      <w:bodyDiv w:val="1"/>
      <w:marLeft w:val="0"/>
      <w:marRight w:val="0"/>
      <w:marTop w:val="0"/>
      <w:marBottom w:val="0"/>
      <w:divBdr>
        <w:top w:val="none" w:sz="0" w:space="0" w:color="auto"/>
        <w:left w:val="none" w:sz="0" w:space="0" w:color="auto"/>
        <w:bottom w:val="none" w:sz="0" w:space="0" w:color="auto"/>
        <w:right w:val="none" w:sz="0" w:space="0" w:color="auto"/>
      </w:divBdr>
    </w:div>
    <w:div w:id="1513060962">
      <w:bodyDiv w:val="1"/>
      <w:marLeft w:val="0"/>
      <w:marRight w:val="0"/>
      <w:marTop w:val="0"/>
      <w:marBottom w:val="0"/>
      <w:divBdr>
        <w:top w:val="none" w:sz="0" w:space="0" w:color="auto"/>
        <w:left w:val="none" w:sz="0" w:space="0" w:color="auto"/>
        <w:bottom w:val="none" w:sz="0" w:space="0" w:color="auto"/>
        <w:right w:val="none" w:sz="0" w:space="0" w:color="auto"/>
      </w:divBdr>
    </w:div>
    <w:div w:id="1523858341">
      <w:bodyDiv w:val="1"/>
      <w:marLeft w:val="0"/>
      <w:marRight w:val="0"/>
      <w:marTop w:val="0"/>
      <w:marBottom w:val="0"/>
      <w:divBdr>
        <w:top w:val="none" w:sz="0" w:space="0" w:color="auto"/>
        <w:left w:val="none" w:sz="0" w:space="0" w:color="auto"/>
        <w:bottom w:val="none" w:sz="0" w:space="0" w:color="auto"/>
        <w:right w:val="none" w:sz="0" w:space="0" w:color="auto"/>
      </w:divBdr>
    </w:div>
    <w:div w:id="1530872128">
      <w:bodyDiv w:val="1"/>
      <w:marLeft w:val="0"/>
      <w:marRight w:val="0"/>
      <w:marTop w:val="0"/>
      <w:marBottom w:val="0"/>
      <w:divBdr>
        <w:top w:val="none" w:sz="0" w:space="0" w:color="auto"/>
        <w:left w:val="none" w:sz="0" w:space="0" w:color="auto"/>
        <w:bottom w:val="none" w:sz="0" w:space="0" w:color="auto"/>
        <w:right w:val="none" w:sz="0" w:space="0" w:color="auto"/>
      </w:divBdr>
      <w:divsChild>
        <w:div w:id="793521911">
          <w:marLeft w:val="0"/>
          <w:marRight w:val="0"/>
          <w:marTop w:val="0"/>
          <w:marBottom w:val="0"/>
          <w:divBdr>
            <w:top w:val="none" w:sz="0" w:space="0" w:color="auto"/>
            <w:left w:val="none" w:sz="0" w:space="0" w:color="auto"/>
            <w:bottom w:val="none" w:sz="0" w:space="0" w:color="auto"/>
            <w:right w:val="none" w:sz="0" w:space="0" w:color="auto"/>
          </w:divBdr>
        </w:div>
      </w:divsChild>
    </w:div>
    <w:div w:id="1532962861">
      <w:bodyDiv w:val="1"/>
      <w:marLeft w:val="0"/>
      <w:marRight w:val="0"/>
      <w:marTop w:val="0"/>
      <w:marBottom w:val="0"/>
      <w:divBdr>
        <w:top w:val="none" w:sz="0" w:space="0" w:color="auto"/>
        <w:left w:val="none" w:sz="0" w:space="0" w:color="auto"/>
        <w:bottom w:val="none" w:sz="0" w:space="0" w:color="auto"/>
        <w:right w:val="none" w:sz="0" w:space="0" w:color="auto"/>
      </w:divBdr>
    </w:div>
    <w:div w:id="1536038026">
      <w:bodyDiv w:val="1"/>
      <w:marLeft w:val="0"/>
      <w:marRight w:val="0"/>
      <w:marTop w:val="0"/>
      <w:marBottom w:val="0"/>
      <w:divBdr>
        <w:top w:val="none" w:sz="0" w:space="0" w:color="auto"/>
        <w:left w:val="none" w:sz="0" w:space="0" w:color="auto"/>
        <w:bottom w:val="none" w:sz="0" w:space="0" w:color="auto"/>
        <w:right w:val="none" w:sz="0" w:space="0" w:color="auto"/>
      </w:divBdr>
    </w:div>
    <w:div w:id="1551302693">
      <w:bodyDiv w:val="1"/>
      <w:marLeft w:val="0"/>
      <w:marRight w:val="0"/>
      <w:marTop w:val="0"/>
      <w:marBottom w:val="0"/>
      <w:divBdr>
        <w:top w:val="none" w:sz="0" w:space="0" w:color="auto"/>
        <w:left w:val="none" w:sz="0" w:space="0" w:color="auto"/>
        <w:bottom w:val="none" w:sz="0" w:space="0" w:color="auto"/>
        <w:right w:val="none" w:sz="0" w:space="0" w:color="auto"/>
      </w:divBdr>
      <w:divsChild>
        <w:div w:id="525558189">
          <w:marLeft w:val="0"/>
          <w:marRight w:val="0"/>
          <w:marTop w:val="0"/>
          <w:marBottom w:val="0"/>
          <w:divBdr>
            <w:top w:val="none" w:sz="0" w:space="0" w:color="auto"/>
            <w:left w:val="none" w:sz="0" w:space="0" w:color="auto"/>
            <w:bottom w:val="none" w:sz="0" w:space="0" w:color="auto"/>
            <w:right w:val="none" w:sz="0" w:space="0" w:color="auto"/>
          </w:divBdr>
        </w:div>
        <w:div w:id="1563102385">
          <w:marLeft w:val="0"/>
          <w:marRight w:val="0"/>
          <w:marTop w:val="0"/>
          <w:marBottom w:val="0"/>
          <w:divBdr>
            <w:top w:val="none" w:sz="0" w:space="0" w:color="auto"/>
            <w:left w:val="none" w:sz="0" w:space="0" w:color="auto"/>
            <w:bottom w:val="none" w:sz="0" w:space="0" w:color="auto"/>
            <w:right w:val="none" w:sz="0" w:space="0" w:color="auto"/>
          </w:divBdr>
        </w:div>
        <w:div w:id="1558319719">
          <w:marLeft w:val="0"/>
          <w:marRight w:val="0"/>
          <w:marTop w:val="0"/>
          <w:marBottom w:val="0"/>
          <w:divBdr>
            <w:top w:val="none" w:sz="0" w:space="0" w:color="auto"/>
            <w:left w:val="none" w:sz="0" w:space="0" w:color="auto"/>
            <w:bottom w:val="none" w:sz="0" w:space="0" w:color="auto"/>
            <w:right w:val="none" w:sz="0" w:space="0" w:color="auto"/>
          </w:divBdr>
        </w:div>
        <w:div w:id="2120904868">
          <w:marLeft w:val="0"/>
          <w:marRight w:val="0"/>
          <w:marTop w:val="0"/>
          <w:marBottom w:val="0"/>
          <w:divBdr>
            <w:top w:val="none" w:sz="0" w:space="0" w:color="auto"/>
            <w:left w:val="none" w:sz="0" w:space="0" w:color="auto"/>
            <w:bottom w:val="none" w:sz="0" w:space="0" w:color="auto"/>
            <w:right w:val="none" w:sz="0" w:space="0" w:color="auto"/>
          </w:divBdr>
        </w:div>
        <w:div w:id="2024621431">
          <w:marLeft w:val="0"/>
          <w:marRight w:val="0"/>
          <w:marTop w:val="0"/>
          <w:marBottom w:val="0"/>
          <w:divBdr>
            <w:top w:val="none" w:sz="0" w:space="0" w:color="auto"/>
            <w:left w:val="none" w:sz="0" w:space="0" w:color="auto"/>
            <w:bottom w:val="none" w:sz="0" w:space="0" w:color="auto"/>
            <w:right w:val="none" w:sz="0" w:space="0" w:color="auto"/>
          </w:divBdr>
        </w:div>
        <w:div w:id="1999188345">
          <w:marLeft w:val="0"/>
          <w:marRight w:val="0"/>
          <w:marTop w:val="0"/>
          <w:marBottom w:val="0"/>
          <w:divBdr>
            <w:top w:val="none" w:sz="0" w:space="0" w:color="auto"/>
            <w:left w:val="none" w:sz="0" w:space="0" w:color="auto"/>
            <w:bottom w:val="none" w:sz="0" w:space="0" w:color="auto"/>
            <w:right w:val="none" w:sz="0" w:space="0" w:color="auto"/>
          </w:divBdr>
        </w:div>
        <w:div w:id="144400180">
          <w:marLeft w:val="0"/>
          <w:marRight w:val="0"/>
          <w:marTop w:val="0"/>
          <w:marBottom w:val="0"/>
          <w:divBdr>
            <w:top w:val="none" w:sz="0" w:space="0" w:color="auto"/>
            <w:left w:val="none" w:sz="0" w:space="0" w:color="auto"/>
            <w:bottom w:val="none" w:sz="0" w:space="0" w:color="auto"/>
            <w:right w:val="none" w:sz="0" w:space="0" w:color="auto"/>
          </w:divBdr>
        </w:div>
        <w:div w:id="1903787276">
          <w:marLeft w:val="0"/>
          <w:marRight w:val="0"/>
          <w:marTop w:val="0"/>
          <w:marBottom w:val="0"/>
          <w:divBdr>
            <w:top w:val="none" w:sz="0" w:space="0" w:color="auto"/>
            <w:left w:val="none" w:sz="0" w:space="0" w:color="auto"/>
            <w:bottom w:val="none" w:sz="0" w:space="0" w:color="auto"/>
            <w:right w:val="none" w:sz="0" w:space="0" w:color="auto"/>
          </w:divBdr>
        </w:div>
        <w:div w:id="1344429098">
          <w:marLeft w:val="0"/>
          <w:marRight w:val="0"/>
          <w:marTop w:val="0"/>
          <w:marBottom w:val="0"/>
          <w:divBdr>
            <w:top w:val="none" w:sz="0" w:space="0" w:color="auto"/>
            <w:left w:val="none" w:sz="0" w:space="0" w:color="auto"/>
            <w:bottom w:val="none" w:sz="0" w:space="0" w:color="auto"/>
            <w:right w:val="none" w:sz="0" w:space="0" w:color="auto"/>
          </w:divBdr>
        </w:div>
        <w:div w:id="1409690042">
          <w:marLeft w:val="0"/>
          <w:marRight w:val="0"/>
          <w:marTop w:val="0"/>
          <w:marBottom w:val="0"/>
          <w:divBdr>
            <w:top w:val="none" w:sz="0" w:space="0" w:color="auto"/>
            <w:left w:val="none" w:sz="0" w:space="0" w:color="auto"/>
            <w:bottom w:val="none" w:sz="0" w:space="0" w:color="auto"/>
            <w:right w:val="none" w:sz="0" w:space="0" w:color="auto"/>
          </w:divBdr>
        </w:div>
        <w:div w:id="1207792761">
          <w:marLeft w:val="0"/>
          <w:marRight w:val="0"/>
          <w:marTop w:val="0"/>
          <w:marBottom w:val="0"/>
          <w:divBdr>
            <w:top w:val="none" w:sz="0" w:space="0" w:color="auto"/>
            <w:left w:val="none" w:sz="0" w:space="0" w:color="auto"/>
            <w:bottom w:val="none" w:sz="0" w:space="0" w:color="auto"/>
            <w:right w:val="none" w:sz="0" w:space="0" w:color="auto"/>
          </w:divBdr>
        </w:div>
        <w:div w:id="1702632425">
          <w:marLeft w:val="0"/>
          <w:marRight w:val="0"/>
          <w:marTop w:val="0"/>
          <w:marBottom w:val="0"/>
          <w:divBdr>
            <w:top w:val="none" w:sz="0" w:space="0" w:color="auto"/>
            <w:left w:val="none" w:sz="0" w:space="0" w:color="auto"/>
            <w:bottom w:val="none" w:sz="0" w:space="0" w:color="auto"/>
            <w:right w:val="none" w:sz="0" w:space="0" w:color="auto"/>
          </w:divBdr>
        </w:div>
        <w:div w:id="1164665732">
          <w:marLeft w:val="0"/>
          <w:marRight w:val="0"/>
          <w:marTop w:val="0"/>
          <w:marBottom w:val="0"/>
          <w:divBdr>
            <w:top w:val="none" w:sz="0" w:space="0" w:color="auto"/>
            <w:left w:val="none" w:sz="0" w:space="0" w:color="auto"/>
            <w:bottom w:val="none" w:sz="0" w:space="0" w:color="auto"/>
            <w:right w:val="none" w:sz="0" w:space="0" w:color="auto"/>
          </w:divBdr>
        </w:div>
        <w:div w:id="1515920685">
          <w:marLeft w:val="0"/>
          <w:marRight w:val="0"/>
          <w:marTop w:val="0"/>
          <w:marBottom w:val="0"/>
          <w:divBdr>
            <w:top w:val="none" w:sz="0" w:space="0" w:color="auto"/>
            <w:left w:val="none" w:sz="0" w:space="0" w:color="auto"/>
            <w:bottom w:val="none" w:sz="0" w:space="0" w:color="auto"/>
            <w:right w:val="none" w:sz="0" w:space="0" w:color="auto"/>
          </w:divBdr>
        </w:div>
        <w:div w:id="1728457083">
          <w:marLeft w:val="0"/>
          <w:marRight w:val="0"/>
          <w:marTop w:val="0"/>
          <w:marBottom w:val="0"/>
          <w:divBdr>
            <w:top w:val="none" w:sz="0" w:space="0" w:color="auto"/>
            <w:left w:val="none" w:sz="0" w:space="0" w:color="auto"/>
            <w:bottom w:val="none" w:sz="0" w:space="0" w:color="auto"/>
            <w:right w:val="none" w:sz="0" w:space="0" w:color="auto"/>
          </w:divBdr>
        </w:div>
        <w:div w:id="1795824914">
          <w:marLeft w:val="0"/>
          <w:marRight w:val="0"/>
          <w:marTop w:val="0"/>
          <w:marBottom w:val="0"/>
          <w:divBdr>
            <w:top w:val="none" w:sz="0" w:space="0" w:color="auto"/>
            <w:left w:val="none" w:sz="0" w:space="0" w:color="auto"/>
            <w:bottom w:val="none" w:sz="0" w:space="0" w:color="auto"/>
            <w:right w:val="none" w:sz="0" w:space="0" w:color="auto"/>
          </w:divBdr>
        </w:div>
        <w:div w:id="1573271111">
          <w:marLeft w:val="0"/>
          <w:marRight w:val="0"/>
          <w:marTop w:val="0"/>
          <w:marBottom w:val="0"/>
          <w:divBdr>
            <w:top w:val="none" w:sz="0" w:space="0" w:color="auto"/>
            <w:left w:val="none" w:sz="0" w:space="0" w:color="auto"/>
            <w:bottom w:val="none" w:sz="0" w:space="0" w:color="auto"/>
            <w:right w:val="none" w:sz="0" w:space="0" w:color="auto"/>
          </w:divBdr>
        </w:div>
        <w:div w:id="1418939127">
          <w:marLeft w:val="0"/>
          <w:marRight w:val="0"/>
          <w:marTop w:val="0"/>
          <w:marBottom w:val="0"/>
          <w:divBdr>
            <w:top w:val="none" w:sz="0" w:space="0" w:color="auto"/>
            <w:left w:val="none" w:sz="0" w:space="0" w:color="auto"/>
            <w:bottom w:val="none" w:sz="0" w:space="0" w:color="auto"/>
            <w:right w:val="none" w:sz="0" w:space="0" w:color="auto"/>
          </w:divBdr>
        </w:div>
        <w:div w:id="1936747604">
          <w:marLeft w:val="0"/>
          <w:marRight w:val="0"/>
          <w:marTop w:val="0"/>
          <w:marBottom w:val="0"/>
          <w:divBdr>
            <w:top w:val="none" w:sz="0" w:space="0" w:color="auto"/>
            <w:left w:val="none" w:sz="0" w:space="0" w:color="auto"/>
            <w:bottom w:val="none" w:sz="0" w:space="0" w:color="auto"/>
            <w:right w:val="none" w:sz="0" w:space="0" w:color="auto"/>
          </w:divBdr>
        </w:div>
        <w:div w:id="1942372036">
          <w:marLeft w:val="0"/>
          <w:marRight w:val="0"/>
          <w:marTop w:val="0"/>
          <w:marBottom w:val="0"/>
          <w:divBdr>
            <w:top w:val="none" w:sz="0" w:space="0" w:color="auto"/>
            <w:left w:val="none" w:sz="0" w:space="0" w:color="auto"/>
            <w:bottom w:val="none" w:sz="0" w:space="0" w:color="auto"/>
            <w:right w:val="none" w:sz="0" w:space="0" w:color="auto"/>
          </w:divBdr>
        </w:div>
        <w:div w:id="2030523768">
          <w:marLeft w:val="0"/>
          <w:marRight w:val="0"/>
          <w:marTop w:val="0"/>
          <w:marBottom w:val="0"/>
          <w:divBdr>
            <w:top w:val="none" w:sz="0" w:space="0" w:color="auto"/>
            <w:left w:val="none" w:sz="0" w:space="0" w:color="auto"/>
            <w:bottom w:val="none" w:sz="0" w:space="0" w:color="auto"/>
            <w:right w:val="none" w:sz="0" w:space="0" w:color="auto"/>
          </w:divBdr>
        </w:div>
        <w:div w:id="2100788074">
          <w:marLeft w:val="0"/>
          <w:marRight w:val="0"/>
          <w:marTop w:val="0"/>
          <w:marBottom w:val="0"/>
          <w:divBdr>
            <w:top w:val="none" w:sz="0" w:space="0" w:color="auto"/>
            <w:left w:val="none" w:sz="0" w:space="0" w:color="auto"/>
            <w:bottom w:val="none" w:sz="0" w:space="0" w:color="auto"/>
            <w:right w:val="none" w:sz="0" w:space="0" w:color="auto"/>
          </w:divBdr>
        </w:div>
        <w:div w:id="916020462">
          <w:marLeft w:val="0"/>
          <w:marRight w:val="0"/>
          <w:marTop w:val="0"/>
          <w:marBottom w:val="0"/>
          <w:divBdr>
            <w:top w:val="none" w:sz="0" w:space="0" w:color="auto"/>
            <w:left w:val="none" w:sz="0" w:space="0" w:color="auto"/>
            <w:bottom w:val="none" w:sz="0" w:space="0" w:color="auto"/>
            <w:right w:val="none" w:sz="0" w:space="0" w:color="auto"/>
          </w:divBdr>
        </w:div>
        <w:div w:id="1063796749">
          <w:marLeft w:val="0"/>
          <w:marRight w:val="0"/>
          <w:marTop w:val="0"/>
          <w:marBottom w:val="0"/>
          <w:divBdr>
            <w:top w:val="none" w:sz="0" w:space="0" w:color="auto"/>
            <w:left w:val="none" w:sz="0" w:space="0" w:color="auto"/>
            <w:bottom w:val="none" w:sz="0" w:space="0" w:color="auto"/>
            <w:right w:val="none" w:sz="0" w:space="0" w:color="auto"/>
          </w:divBdr>
        </w:div>
      </w:divsChild>
    </w:div>
    <w:div w:id="1563060062">
      <w:bodyDiv w:val="1"/>
      <w:marLeft w:val="0"/>
      <w:marRight w:val="0"/>
      <w:marTop w:val="0"/>
      <w:marBottom w:val="0"/>
      <w:divBdr>
        <w:top w:val="none" w:sz="0" w:space="0" w:color="auto"/>
        <w:left w:val="none" w:sz="0" w:space="0" w:color="auto"/>
        <w:bottom w:val="none" w:sz="0" w:space="0" w:color="auto"/>
        <w:right w:val="none" w:sz="0" w:space="0" w:color="auto"/>
      </w:divBdr>
      <w:divsChild>
        <w:div w:id="161702533">
          <w:marLeft w:val="0"/>
          <w:marRight w:val="75"/>
          <w:marTop w:val="75"/>
          <w:marBottom w:val="75"/>
          <w:divBdr>
            <w:top w:val="none" w:sz="0" w:space="0" w:color="auto"/>
            <w:left w:val="none" w:sz="0" w:space="0" w:color="auto"/>
            <w:bottom w:val="none" w:sz="0" w:space="0" w:color="auto"/>
            <w:right w:val="none" w:sz="0" w:space="0" w:color="auto"/>
          </w:divBdr>
          <w:divsChild>
            <w:div w:id="980967429">
              <w:marLeft w:val="75"/>
              <w:marRight w:val="150"/>
              <w:marTop w:val="0"/>
              <w:marBottom w:val="225"/>
              <w:divBdr>
                <w:top w:val="none" w:sz="0" w:space="0" w:color="auto"/>
                <w:left w:val="none" w:sz="0" w:space="0" w:color="auto"/>
                <w:bottom w:val="none" w:sz="0" w:space="0" w:color="auto"/>
                <w:right w:val="none" w:sz="0" w:space="0" w:color="auto"/>
              </w:divBdr>
              <w:divsChild>
                <w:div w:id="1049648503">
                  <w:marLeft w:val="0"/>
                  <w:marRight w:val="0"/>
                  <w:marTop w:val="0"/>
                  <w:marBottom w:val="0"/>
                  <w:divBdr>
                    <w:top w:val="none" w:sz="0" w:space="0" w:color="auto"/>
                    <w:left w:val="none" w:sz="0" w:space="0" w:color="auto"/>
                    <w:bottom w:val="none" w:sz="0" w:space="0" w:color="auto"/>
                    <w:right w:val="none" w:sz="0" w:space="0" w:color="auto"/>
                  </w:divBdr>
                </w:div>
                <w:div w:id="1089158069">
                  <w:marLeft w:val="0"/>
                  <w:marRight w:val="0"/>
                  <w:marTop w:val="0"/>
                  <w:marBottom w:val="0"/>
                  <w:divBdr>
                    <w:top w:val="none" w:sz="0" w:space="0" w:color="auto"/>
                    <w:left w:val="none" w:sz="0" w:space="0" w:color="auto"/>
                    <w:bottom w:val="none" w:sz="0" w:space="0" w:color="auto"/>
                    <w:right w:val="none" w:sz="0" w:space="0" w:color="auto"/>
                  </w:divBdr>
                </w:div>
              </w:divsChild>
            </w:div>
            <w:div w:id="843127860">
              <w:marLeft w:val="0"/>
              <w:marRight w:val="0"/>
              <w:marTop w:val="0"/>
              <w:marBottom w:val="0"/>
              <w:divBdr>
                <w:top w:val="none" w:sz="0" w:space="0" w:color="auto"/>
                <w:left w:val="none" w:sz="0" w:space="0" w:color="auto"/>
                <w:bottom w:val="none" w:sz="0" w:space="0" w:color="auto"/>
                <w:right w:val="none" w:sz="0" w:space="0" w:color="auto"/>
              </w:divBdr>
            </w:div>
          </w:divsChild>
        </w:div>
        <w:div w:id="2063406821">
          <w:marLeft w:val="0"/>
          <w:marRight w:val="75"/>
          <w:marTop w:val="75"/>
          <w:marBottom w:val="75"/>
          <w:divBdr>
            <w:top w:val="none" w:sz="0" w:space="0" w:color="auto"/>
            <w:left w:val="none" w:sz="0" w:space="0" w:color="auto"/>
            <w:bottom w:val="none" w:sz="0" w:space="0" w:color="auto"/>
            <w:right w:val="none" w:sz="0" w:space="0" w:color="auto"/>
          </w:divBdr>
          <w:divsChild>
            <w:div w:id="223682711">
              <w:marLeft w:val="75"/>
              <w:marRight w:val="150"/>
              <w:marTop w:val="0"/>
              <w:marBottom w:val="225"/>
              <w:divBdr>
                <w:top w:val="none" w:sz="0" w:space="0" w:color="auto"/>
                <w:left w:val="none" w:sz="0" w:space="0" w:color="auto"/>
                <w:bottom w:val="none" w:sz="0" w:space="0" w:color="auto"/>
                <w:right w:val="none" w:sz="0" w:space="0" w:color="auto"/>
              </w:divBdr>
              <w:divsChild>
                <w:div w:id="833181302">
                  <w:marLeft w:val="0"/>
                  <w:marRight w:val="0"/>
                  <w:marTop w:val="0"/>
                  <w:marBottom w:val="0"/>
                  <w:divBdr>
                    <w:top w:val="none" w:sz="0" w:space="0" w:color="auto"/>
                    <w:left w:val="none" w:sz="0" w:space="0" w:color="auto"/>
                    <w:bottom w:val="none" w:sz="0" w:space="0" w:color="auto"/>
                    <w:right w:val="none" w:sz="0" w:space="0" w:color="auto"/>
                  </w:divBdr>
                </w:div>
                <w:div w:id="120342803">
                  <w:marLeft w:val="0"/>
                  <w:marRight w:val="0"/>
                  <w:marTop w:val="0"/>
                  <w:marBottom w:val="0"/>
                  <w:divBdr>
                    <w:top w:val="none" w:sz="0" w:space="0" w:color="auto"/>
                    <w:left w:val="none" w:sz="0" w:space="0" w:color="auto"/>
                    <w:bottom w:val="none" w:sz="0" w:space="0" w:color="auto"/>
                    <w:right w:val="none" w:sz="0" w:space="0" w:color="auto"/>
                  </w:divBdr>
                </w:div>
              </w:divsChild>
            </w:div>
            <w:div w:id="147155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733037">
      <w:bodyDiv w:val="1"/>
      <w:marLeft w:val="0"/>
      <w:marRight w:val="0"/>
      <w:marTop w:val="0"/>
      <w:marBottom w:val="0"/>
      <w:divBdr>
        <w:top w:val="none" w:sz="0" w:space="0" w:color="auto"/>
        <w:left w:val="none" w:sz="0" w:space="0" w:color="auto"/>
        <w:bottom w:val="none" w:sz="0" w:space="0" w:color="auto"/>
        <w:right w:val="none" w:sz="0" w:space="0" w:color="auto"/>
      </w:divBdr>
    </w:div>
    <w:div w:id="1608268157">
      <w:bodyDiv w:val="1"/>
      <w:marLeft w:val="0"/>
      <w:marRight w:val="0"/>
      <w:marTop w:val="0"/>
      <w:marBottom w:val="0"/>
      <w:divBdr>
        <w:top w:val="none" w:sz="0" w:space="0" w:color="auto"/>
        <w:left w:val="none" w:sz="0" w:space="0" w:color="auto"/>
        <w:bottom w:val="none" w:sz="0" w:space="0" w:color="auto"/>
        <w:right w:val="none" w:sz="0" w:space="0" w:color="auto"/>
      </w:divBdr>
    </w:div>
    <w:div w:id="1642882442">
      <w:bodyDiv w:val="1"/>
      <w:marLeft w:val="0"/>
      <w:marRight w:val="0"/>
      <w:marTop w:val="0"/>
      <w:marBottom w:val="0"/>
      <w:divBdr>
        <w:top w:val="none" w:sz="0" w:space="0" w:color="auto"/>
        <w:left w:val="none" w:sz="0" w:space="0" w:color="auto"/>
        <w:bottom w:val="none" w:sz="0" w:space="0" w:color="auto"/>
        <w:right w:val="none" w:sz="0" w:space="0" w:color="auto"/>
      </w:divBdr>
    </w:div>
    <w:div w:id="1647315911">
      <w:bodyDiv w:val="1"/>
      <w:marLeft w:val="0"/>
      <w:marRight w:val="0"/>
      <w:marTop w:val="0"/>
      <w:marBottom w:val="0"/>
      <w:divBdr>
        <w:top w:val="none" w:sz="0" w:space="0" w:color="auto"/>
        <w:left w:val="none" w:sz="0" w:space="0" w:color="auto"/>
        <w:bottom w:val="none" w:sz="0" w:space="0" w:color="auto"/>
        <w:right w:val="none" w:sz="0" w:space="0" w:color="auto"/>
      </w:divBdr>
    </w:div>
    <w:div w:id="1654792957">
      <w:bodyDiv w:val="1"/>
      <w:marLeft w:val="0"/>
      <w:marRight w:val="0"/>
      <w:marTop w:val="0"/>
      <w:marBottom w:val="0"/>
      <w:divBdr>
        <w:top w:val="none" w:sz="0" w:space="0" w:color="auto"/>
        <w:left w:val="none" w:sz="0" w:space="0" w:color="auto"/>
        <w:bottom w:val="none" w:sz="0" w:space="0" w:color="auto"/>
        <w:right w:val="none" w:sz="0" w:space="0" w:color="auto"/>
      </w:divBdr>
    </w:div>
    <w:div w:id="1672222506">
      <w:bodyDiv w:val="1"/>
      <w:marLeft w:val="0"/>
      <w:marRight w:val="0"/>
      <w:marTop w:val="0"/>
      <w:marBottom w:val="0"/>
      <w:divBdr>
        <w:top w:val="none" w:sz="0" w:space="0" w:color="auto"/>
        <w:left w:val="none" w:sz="0" w:space="0" w:color="auto"/>
        <w:bottom w:val="none" w:sz="0" w:space="0" w:color="auto"/>
        <w:right w:val="none" w:sz="0" w:space="0" w:color="auto"/>
      </w:divBdr>
    </w:div>
    <w:div w:id="1683622359">
      <w:bodyDiv w:val="1"/>
      <w:marLeft w:val="0"/>
      <w:marRight w:val="0"/>
      <w:marTop w:val="0"/>
      <w:marBottom w:val="0"/>
      <w:divBdr>
        <w:top w:val="none" w:sz="0" w:space="0" w:color="auto"/>
        <w:left w:val="none" w:sz="0" w:space="0" w:color="auto"/>
        <w:bottom w:val="none" w:sz="0" w:space="0" w:color="auto"/>
        <w:right w:val="none" w:sz="0" w:space="0" w:color="auto"/>
      </w:divBdr>
    </w:div>
    <w:div w:id="1686974597">
      <w:bodyDiv w:val="1"/>
      <w:marLeft w:val="0"/>
      <w:marRight w:val="0"/>
      <w:marTop w:val="0"/>
      <w:marBottom w:val="0"/>
      <w:divBdr>
        <w:top w:val="none" w:sz="0" w:space="0" w:color="auto"/>
        <w:left w:val="none" w:sz="0" w:space="0" w:color="auto"/>
        <w:bottom w:val="none" w:sz="0" w:space="0" w:color="auto"/>
        <w:right w:val="none" w:sz="0" w:space="0" w:color="auto"/>
      </w:divBdr>
    </w:div>
    <w:div w:id="1694184057">
      <w:bodyDiv w:val="1"/>
      <w:marLeft w:val="0"/>
      <w:marRight w:val="0"/>
      <w:marTop w:val="0"/>
      <w:marBottom w:val="0"/>
      <w:divBdr>
        <w:top w:val="none" w:sz="0" w:space="0" w:color="auto"/>
        <w:left w:val="none" w:sz="0" w:space="0" w:color="auto"/>
        <w:bottom w:val="none" w:sz="0" w:space="0" w:color="auto"/>
        <w:right w:val="none" w:sz="0" w:space="0" w:color="auto"/>
      </w:divBdr>
    </w:div>
    <w:div w:id="1702825179">
      <w:bodyDiv w:val="1"/>
      <w:marLeft w:val="0"/>
      <w:marRight w:val="0"/>
      <w:marTop w:val="0"/>
      <w:marBottom w:val="0"/>
      <w:divBdr>
        <w:top w:val="none" w:sz="0" w:space="0" w:color="auto"/>
        <w:left w:val="none" w:sz="0" w:space="0" w:color="auto"/>
        <w:bottom w:val="none" w:sz="0" w:space="0" w:color="auto"/>
        <w:right w:val="none" w:sz="0" w:space="0" w:color="auto"/>
      </w:divBdr>
    </w:div>
    <w:div w:id="1702827675">
      <w:bodyDiv w:val="1"/>
      <w:marLeft w:val="0"/>
      <w:marRight w:val="0"/>
      <w:marTop w:val="0"/>
      <w:marBottom w:val="0"/>
      <w:divBdr>
        <w:top w:val="none" w:sz="0" w:space="0" w:color="auto"/>
        <w:left w:val="none" w:sz="0" w:space="0" w:color="auto"/>
        <w:bottom w:val="none" w:sz="0" w:space="0" w:color="auto"/>
        <w:right w:val="none" w:sz="0" w:space="0" w:color="auto"/>
      </w:divBdr>
    </w:div>
    <w:div w:id="1709986562">
      <w:bodyDiv w:val="1"/>
      <w:marLeft w:val="0"/>
      <w:marRight w:val="0"/>
      <w:marTop w:val="0"/>
      <w:marBottom w:val="0"/>
      <w:divBdr>
        <w:top w:val="none" w:sz="0" w:space="0" w:color="auto"/>
        <w:left w:val="none" w:sz="0" w:space="0" w:color="auto"/>
        <w:bottom w:val="none" w:sz="0" w:space="0" w:color="auto"/>
        <w:right w:val="none" w:sz="0" w:space="0" w:color="auto"/>
      </w:divBdr>
    </w:div>
    <w:div w:id="1726752477">
      <w:bodyDiv w:val="1"/>
      <w:marLeft w:val="0"/>
      <w:marRight w:val="0"/>
      <w:marTop w:val="0"/>
      <w:marBottom w:val="0"/>
      <w:divBdr>
        <w:top w:val="none" w:sz="0" w:space="0" w:color="auto"/>
        <w:left w:val="none" w:sz="0" w:space="0" w:color="auto"/>
        <w:bottom w:val="none" w:sz="0" w:space="0" w:color="auto"/>
        <w:right w:val="none" w:sz="0" w:space="0" w:color="auto"/>
      </w:divBdr>
    </w:div>
    <w:div w:id="1728718435">
      <w:bodyDiv w:val="1"/>
      <w:marLeft w:val="0"/>
      <w:marRight w:val="0"/>
      <w:marTop w:val="0"/>
      <w:marBottom w:val="0"/>
      <w:divBdr>
        <w:top w:val="none" w:sz="0" w:space="0" w:color="auto"/>
        <w:left w:val="none" w:sz="0" w:space="0" w:color="auto"/>
        <w:bottom w:val="none" w:sz="0" w:space="0" w:color="auto"/>
        <w:right w:val="none" w:sz="0" w:space="0" w:color="auto"/>
      </w:divBdr>
    </w:div>
    <w:div w:id="1729457569">
      <w:bodyDiv w:val="1"/>
      <w:marLeft w:val="0"/>
      <w:marRight w:val="0"/>
      <w:marTop w:val="0"/>
      <w:marBottom w:val="0"/>
      <w:divBdr>
        <w:top w:val="none" w:sz="0" w:space="0" w:color="auto"/>
        <w:left w:val="none" w:sz="0" w:space="0" w:color="auto"/>
        <w:bottom w:val="none" w:sz="0" w:space="0" w:color="auto"/>
        <w:right w:val="none" w:sz="0" w:space="0" w:color="auto"/>
      </w:divBdr>
    </w:div>
    <w:div w:id="1762488205">
      <w:bodyDiv w:val="1"/>
      <w:marLeft w:val="0"/>
      <w:marRight w:val="0"/>
      <w:marTop w:val="0"/>
      <w:marBottom w:val="0"/>
      <w:divBdr>
        <w:top w:val="none" w:sz="0" w:space="0" w:color="auto"/>
        <w:left w:val="none" w:sz="0" w:space="0" w:color="auto"/>
        <w:bottom w:val="none" w:sz="0" w:space="0" w:color="auto"/>
        <w:right w:val="none" w:sz="0" w:space="0" w:color="auto"/>
      </w:divBdr>
    </w:div>
    <w:div w:id="1766337786">
      <w:bodyDiv w:val="1"/>
      <w:marLeft w:val="0"/>
      <w:marRight w:val="0"/>
      <w:marTop w:val="0"/>
      <w:marBottom w:val="0"/>
      <w:divBdr>
        <w:top w:val="none" w:sz="0" w:space="0" w:color="auto"/>
        <w:left w:val="none" w:sz="0" w:space="0" w:color="auto"/>
        <w:bottom w:val="none" w:sz="0" w:space="0" w:color="auto"/>
        <w:right w:val="none" w:sz="0" w:space="0" w:color="auto"/>
      </w:divBdr>
    </w:div>
    <w:div w:id="1771504605">
      <w:bodyDiv w:val="1"/>
      <w:marLeft w:val="0"/>
      <w:marRight w:val="0"/>
      <w:marTop w:val="0"/>
      <w:marBottom w:val="0"/>
      <w:divBdr>
        <w:top w:val="none" w:sz="0" w:space="0" w:color="auto"/>
        <w:left w:val="none" w:sz="0" w:space="0" w:color="auto"/>
        <w:bottom w:val="none" w:sz="0" w:space="0" w:color="auto"/>
        <w:right w:val="none" w:sz="0" w:space="0" w:color="auto"/>
      </w:divBdr>
    </w:div>
    <w:div w:id="1786272537">
      <w:bodyDiv w:val="1"/>
      <w:marLeft w:val="0"/>
      <w:marRight w:val="0"/>
      <w:marTop w:val="0"/>
      <w:marBottom w:val="0"/>
      <w:divBdr>
        <w:top w:val="none" w:sz="0" w:space="0" w:color="auto"/>
        <w:left w:val="none" w:sz="0" w:space="0" w:color="auto"/>
        <w:bottom w:val="none" w:sz="0" w:space="0" w:color="auto"/>
        <w:right w:val="none" w:sz="0" w:space="0" w:color="auto"/>
      </w:divBdr>
    </w:div>
    <w:div w:id="1788575271">
      <w:bodyDiv w:val="1"/>
      <w:marLeft w:val="0"/>
      <w:marRight w:val="0"/>
      <w:marTop w:val="0"/>
      <w:marBottom w:val="0"/>
      <w:divBdr>
        <w:top w:val="none" w:sz="0" w:space="0" w:color="auto"/>
        <w:left w:val="none" w:sz="0" w:space="0" w:color="auto"/>
        <w:bottom w:val="none" w:sz="0" w:space="0" w:color="auto"/>
        <w:right w:val="none" w:sz="0" w:space="0" w:color="auto"/>
      </w:divBdr>
    </w:div>
    <w:div w:id="1806195893">
      <w:bodyDiv w:val="1"/>
      <w:marLeft w:val="0"/>
      <w:marRight w:val="0"/>
      <w:marTop w:val="0"/>
      <w:marBottom w:val="0"/>
      <w:divBdr>
        <w:top w:val="none" w:sz="0" w:space="0" w:color="auto"/>
        <w:left w:val="none" w:sz="0" w:space="0" w:color="auto"/>
        <w:bottom w:val="none" w:sz="0" w:space="0" w:color="auto"/>
        <w:right w:val="none" w:sz="0" w:space="0" w:color="auto"/>
      </w:divBdr>
    </w:div>
    <w:div w:id="1812864406">
      <w:bodyDiv w:val="1"/>
      <w:marLeft w:val="0"/>
      <w:marRight w:val="0"/>
      <w:marTop w:val="0"/>
      <w:marBottom w:val="0"/>
      <w:divBdr>
        <w:top w:val="none" w:sz="0" w:space="0" w:color="auto"/>
        <w:left w:val="none" w:sz="0" w:space="0" w:color="auto"/>
        <w:bottom w:val="none" w:sz="0" w:space="0" w:color="auto"/>
        <w:right w:val="none" w:sz="0" w:space="0" w:color="auto"/>
      </w:divBdr>
    </w:div>
    <w:div w:id="1816483330">
      <w:bodyDiv w:val="1"/>
      <w:marLeft w:val="0"/>
      <w:marRight w:val="0"/>
      <w:marTop w:val="0"/>
      <w:marBottom w:val="0"/>
      <w:divBdr>
        <w:top w:val="none" w:sz="0" w:space="0" w:color="auto"/>
        <w:left w:val="none" w:sz="0" w:space="0" w:color="auto"/>
        <w:bottom w:val="none" w:sz="0" w:space="0" w:color="auto"/>
        <w:right w:val="none" w:sz="0" w:space="0" w:color="auto"/>
      </w:divBdr>
    </w:div>
    <w:div w:id="1817606090">
      <w:bodyDiv w:val="1"/>
      <w:marLeft w:val="0"/>
      <w:marRight w:val="0"/>
      <w:marTop w:val="0"/>
      <w:marBottom w:val="0"/>
      <w:divBdr>
        <w:top w:val="none" w:sz="0" w:space="0" w:color="auto"/>
        <w:left w:val="none" w:sz="0" w:space="0" w:color="auto"/>
        <w:bottom w:val="none" w:sz="0" w:space="0" w:color="auto"/>
        <w:right w:val="none" w:sz="0" w:space="0" w:color="auto"/>
      </w:divBdr>
    </w:div>
    <w:div w:id="1827673212">
      <w:bodyDiv w:val="1"/>
      <w:marLeft w:val="0"/>
      <w:marRight w:val="0"/>
      <w:marTop w:val="0"/>
      <w:marBottom w:val="0"/>
      <w:divBdr>
        <w:top w:val="none" w:sz="0" w:space="0" w:color="auto"/>
        <w:left w:val="none" w:sz="0" w:space="0" w:color="auto"/>
        <w:bottom w:val="none" w:sz="0" w:space="0" w:color="auto"/>
        <w:right w:val="none" w:sz="0" w:space="0" w:color="auto"/>
      </w:divBdr>
    </w:div>
    <w:div w:id="1840264956">
      <w:bodyDiv w:val="1"/>
      <w:marLeft w:val="0"/>
      <w:marRight w:val="0"/>
      <w:marTop w:val="0"/>
      <w:marBottom w:val="0"/>
      <w:divBdr>
        <w:top w:val="none" w:sz="0" w:space="0" w:color="auto"/>
        <w:left w:val="none" w:sz="0" w:space="0" w:color="auto"/>
        <w:bottom w:val="none" w:sz="0" w:space="0" w:color="auto"/>
        <w:right w:val="none" w:sz="0" w:space="0" w:color="auto"/>
      </w:divBdr>
    </w:div>
    <w:div w:id="1867012573">
      <w:bodyDiv w:val="1"/>
      <w:marLeft w:val="0"/>
      <w:marRight w:val="0"/>
      <w:marTop w:val="0"/>
      <w:marBottom w:val="0"/>
      <w:divBdr>
        <w:top w:val="none" w:sz="0" w:space="0" w:color="auto"/>
        <w:left w:val="none" w:sz="0" w:space="0" w:color="auto"/>
        <w:bottom w:val="none" w:sz="0" w:space="0" w:color="auto"/>
        <w:right w:val="none" w:sz="0" w:space="0" w:color="auto"/>
      </w:divBdr>
    </w:div>
    <w:div w:id="1881937768">
      <w:bodyDiv w:val="1"/>
      <w:marLeft w:val="0"/>
      <w:marRight w:val="0"/>
      <w:marTop w:val="0"/>
      <w:marBottom w:val="0"/>
      <w:divBdr>
        <w:top w:val="none" w:sz="0" w:space="0" w:color="auto"/>
        <w:left w:val="none" w:sz="0" w:space="0" w:color="auto"/>
        <w:bottom w:val="none" w:sz="0" w:space="0" w:color="auto"/>
        <w:right w:val="none" w:sz="0" w:space="0" w:color="auto"/>
      </w:divBdr>
    </w:div>
    <w:div w:id="1908805952">
      <w:bodyDiv w:val="1"/>
      <w:marLeft w:val="0"/>
      <w:marRight w:val="0"/>
      <w:marTop w:val="0"/>
      <w:marBottom w:val="0"/>
      <w:divBdr>
        <w:top w:val="none" w:sz="0" w:space="0" w:color="auto"/>
        <w:left w:val="none" w:sz="0" w:space="0" w:color="auto"/>
        <w:bottom w:val="none" w:sz="0" w:space="0" w:color="auto"/>
        <w:right w:val="none" w:sz="0" w:space="0" w:color="auto"/>
      </w:divBdr>
    </w:div>
    <w:div w:id="1920871595">
      <w:bodyDiv w:val="1"/>
      <w:marLeft w:val="0"/>
      <w:marRight w:val="0"/>
      <w:marTop w:val="0"/>
      <w:marBottom w:val="0"/>
      <w:divBdr>
        <w:top w:val="none" w:sz="0" w:space="0" w:color="auto"/>
        <w:left w:val="none" w:sz="0" w:space="0" w:color="auto"/>
        <w:bottom w:val="none" w:sz="0" w:space="0" w:color="auto"/>
        <w:right w:val="none" w:sz="0" w:space="0" w:color="auto"/>
      </w:divBdr>
    </w:div>
    <w:div w:id="1923951340">
      <w:bodyDiv w:val="1"/>
      <w:marLeft w:val="0"/>
      <w:marRight w:val="0"/>
      <w:marTop w:val="0"/>
      <w:marBottom w:val="0"/>
      <w:divBdr>
        <w:top w:val="none" w:sz="0" w:space="0" w:color="auto"/>
        <w:left w:val="none" w:sz="0" w:space="0" w:color="auto"/>
        <w:bottom w:val="none" w:sz="0" w:space="0" w:color="auto"/>
        <w:right w:val="none" w:sz="0" w:space="0" w:color="auto"/>
      </w:divBdr>
    </w:div>
    <w:div w:id="1931352615">
      <w:bodyDiv w:val="1"/>
      <w:marLeft w:val="0"/>
      <w:marRight w:val="0"/>
      <w:marTop w:val="0"/>
      <w:marBottom w:val="0"/>
      <w:divBdr>
        <w:top w:val="none" w:sz="0" w:space="0" w:color="auto"/>
        <w:left w:val="none" w:sz="0" w:space="0" w:color="auto"/>
        <w:bottom w:val="none" w:sz="0" w:space="0" w:color="auto"/>
        <w:right w:val="none" w:sz="0" w:space="0" w:color="auto"/>
      </w:divBdr>
      <w:divsChild>
        <w:div w:id="1168716183">
          <w:marLeft w:val="0"/>
          <w:marRight w:val="0"/>
          <w:marTop w:val="0"/>
          <w:marBottom w:val="0"/>
          <w:divBdr>
            <w:top w:val="none" w:sz="0" w:space="0" w:color="auto"/>
            <w:left w:val="none" w:sz="0" w:space="0" w:color="auto"/>
            <w:bottom w:val="none" w:sz="0" w:space="0" w:color="auto"/>
            <w:right w:val="none" w:sz="0" w:space="0" w:color="auto"/>
          </w:divBdr>
        </w:div>
      </w:divsChild>
    </w:div>
    <w:div w:id="1938322790">
      <w:bodyDiv w:val="1"/>
      <w:marLeft w:val="0"/>
      <w:marRight w:val="0"/>
      <w:marTop w:val="0"/>
      <w:marBottom w:val="0"/>
      <w:divBdr>
        <w:top w:val="none" w:sz="0" w:space="0" w:color="auto"/>
        <w:left w:val="none" w:sz="0" w:space="0" w:color="auto"/>
        <w:bottom w:val="none" w:sz="0" w:space="0" w:color="auto"/>
        <w:right w:val="none" w:sz="0" w:space="0" w:color="auto"/>
      </w:divBdr>
    </w:div>
    <w:div w:id="1951160332">
      <w:bodyDiv w:val="1"/>
      <w:marLeft w:val="0"/>
      <w:marRight w:val="0"/>
      <w:marTop w:val="0"/>
      <w:marBottom w:val="0"/>
      <w:divBdr>
        <w:top w:val="none" w:sz="0" w:space="0" w:color="auto"/>
        <w:left w:val="none" w:sz="0" w:space="0" w:color="auto"/>
        <w:bottom w:val="none" w:sz="0" w:space="0" w:color="auto"/>
        <w:right w:val="none" w:sz="0" w:space="0" w:color="auto"/>
      </w:divBdr>
    </w:div>
    <w:div w:id="1961183965">
      <w:bodyDiv w:val="1"/>
      <w:marLeft w:val="0"/>
      <w:marRight w:val="0"/>
      <w:marTop w:val="0"/>
      <w:marBottom w:val="0"/>
      <w:divBdr>
        <w:top w:val="none" w:sz="0" w:space="0" w:color="auto"/>
        <w:left w:val="none" w:sz="0" w:space="0" w:color="auto"/>
        <w:bottom w:val="none" w:sz="0" w:space="0" w:color="auto"/>
        <w:right w:val="none" w:sz="0" w:space="0" w:color="auto"/>
      </w:divBdr>
    </w:div>
    <w:div w:id="1964116382">
      <w:bodyDiv w:val="1"/>
      <w:marLeft w:val="0"/>
      <w:marRight w:val="0"/>
      <w:marTop w:val="0"/>
      <w:marBottom w:val="0"/>
      <w:divBdr>
        <w:top w:val="none" w:sz="0" w:space="0" w:color="auto"/>
        <w:left w:val="none" w:sz="0" w:space="0" w:color="auto"/>
        <w:bottom w:val="none" w:sz="0" w:space="0" w:color="auto"/>
        <w:right w:val="none" w:sz="0" w:space="0" w:color="auto"/>
      </w:divBdr>
    </w:div>
    <w:div w:id="1968389966">
      <w:bodyDiv w:val="1"/>
      <w:marLeft w:val="0"/>
      <w:marRight w:val="0"/>
      <w:marTop w:val="0"/>
      <w:marBottom w:val="0"/>
      <w:divBdr>
        <w:top w:val="none" w:sz="0" w:space="0" w:color="auto"/>
        <w:left w:val="none" w:sz="0" w:space="0" w:color="auto"/>
        <w:bottom w:val="none" w:sz="0" w:space="0" w:color="auto"/>
        <w:right w:val="none" w:sz="0" w:space="0" w:color="auto"/>
      </w:divBdr>
    </w:div>
    <w:div w:id="1971127748">
      <w:bodyDiv w:val="1"/>
      <w:marLeft w:val="0"/>
      <w:marRight w:val="0"/>
      <w:marTop w:val="0"/>
      <w:marBottom w:val="0"/>
      <w:divBdr>
        <w:top w:val="none" w:sz="0" w:space="0" w:color="auto"/>
        <w:left w:val="none" w:sz="0" w:space="0" w:color="auto"/>
        <w:bottom w:val="none" w:sz="0" w:space="0" w:color="auto"/>
        <w:right w:val="none" w:sz="0" w:space="0" w:color="auto"/>
      </w:divBdr>
    </w:div>
    <w:div w:id="1981613778">
      <w:bodyDiv w:val="1"/>
      <w:marLeft w:val="0"/>
      <w:marRight w:val="0"/>
      <w:marTop w:val="0"/>
      <w:marBottom w:val="0"/>
      <w:divBdr>
        <w:top w:val="none" w:sz="0" w:space="0" w:color="auto"/>
        <w:left w:val="none" w:sz="0" w:space="0" w:color="auto"/>
        <w:bottom w:val="none" w:sz="0" w:space="0" w:color="auto"/>
        <w:right w:val="none" w:sz="0" w:space="0" w:color="auto"/>
      </w:divBdr>
    </w:div>
    <w:div w:id="1992520625">
      <w:bodyDiv w:val="1"/>
      <w:marLeft w:val="0"/>
      <w:marRight w:val="0"/>
      <w:marTop w:val="0"/>
      <w:marBottom w:val="0"/>
      <w:divBdr>
        <w:top w:val="none" w:sz="0" w:space="0" w:color="auto"/>
        <w:left w:val="none" w:sz="0" w:space="0" w:color="auto"/>
        <w:bottom w:val="none" w:sz="0" w:space="0" w:color="auto"/>
        <w:right w:val="none" w:sz="0" w:space="0" w:color="auto"/>
      </w:divBdr>
    </w:div>
    <w:div w:id="2008899615">
      <w:bodyDiv w:val="1"/>
      <w:marLeft w:val="0"/>
      <w:marRight w:val="0"/>
      <w:marTop w:val="0"/>
      <w:marBottom w:val="0"/>
      <w:divBdr>
        <w:top w:val="none" w:sz="0" w:space="0" w:color="auto"/>
        <w:left w:val="none" w:sz="0" w:space="0" w:color="auto"/>
        <w:bottom w:val="none" w:sz="0" w:space="0" w:color="auto"/>
        <w:right w:val="none" w:sz="0" w:space="0" w:color="auto"/>
      </w:divBdr>
    </w:div>
    <w:div w:id="2031835745">
      <w:bodyDiv w:val="1"/>
      <w:marLeft w:val="0"/>
      <w:marRight w:val="0"/>
      <w:marTop w:val="0"/>
      <w:marBottom w:val="0"/>
      <w:divBdr>
        <w:top w:val="none" w:sz="0" w:space="0" w:color="auto"/>
        <w:left w:val="none" w:sz="0" w:space="0" w:color="auto"/>
        <w:bottom w:val="none" w:sz="0" w:space="0" w:color="auto"/>
        <w:right w:val="none" w:sz="0" w:space="0" w:color="auto"/>
      </w:divBdr>
    </w:div>
    <w:div w:id="2037004781">
      <w:bodyDiv w:val="1"/>
      <w:marLeft w:val="0"/>
      <w:marRight w:val="0"/>
      <w:marTop w:val="0"/>
      <w:marBottom w:val="0"/>
      <w:divBdr>
        <w:top w:val="none" w:sz="0" w:space="0" w:color="auto"/>
        <w:left w:val="none" w:sz="0" w:space="0" w:color="auto"/>
        <w:bottom w:val="none" w:sz="0" w:space="0" w:color="auto"/>
        <w:right w:val="none" w:sz="0" w:space="0" w:color="auto"/>
      </w:divBdr>
    </w:div>
    <w:div w:id="2049259142">
      <w:bodyDiv w:val="1"/>
      <w:marLeft w:val="0"/>
      <w:marRight w:val="0"/>
      <w:marTop w:val="0"/>
      <w:marBottom w:val="0"/>
      <w:divBdr>
        <w:top w:val="none" w:sz="0" w:space="0" w:color="auto"/>
        <w:left w:val="none" w:sz="0" w:space="0" w:color="auto"/>
        <w:bottom w:val="none" w:sz="0" w:space="0" w:color="auto"/>
        <w:right w:val="none" w:sz="0" w:space="0" w:color="auto"/>
      </w:divBdr>
    </w:div>
    <w:div w:id="2055810693">
      <w:bodyDiv w:val="1"/>
      <w:marLeft w:val="0"/>
      <w:marRight w:val="0"/>
      <w:marTop w:val="0"/>
      <w:marBottom w:val="0"/>
      <w:divBdr>
        <w:top w:val="none" w:sz="0" w:space="0" w:color="auto"/>
        <w:left w:val="none" w:sz="0" w:space="0" w:color="auto"/>
        <w:bottom w:val="none" w:sz="0" w:space="0" w:color="auto"/>
        <w:right w:val="none" w:sz="0" w:space="0" w:color="auto"/>
      </w:divBdr>
    </w:div>
    <w:div w:id="2058164442">
      <w:bodyDiv w:val="1"/>
      <w:marLeft w:val="0"/>
      <w:marRight w:val="0"/>
      <w:marTop w:val="0"/>
      <w:marBottom w:val="0"/>
      <w:divBdr>
        <w:top w:val="none" w:sz="0" w:space="0" w:color="auto"/>
        <w:left w:val="none" w:sz="0" w:space="0" w:color="auto"/>
        <w:bottom w:val="none" w:sz="0" w:space="0" w:color="auto"/>
        <w:right w:val="none" w:sz="0" w:space="0" w:color="auto"/>
      </w:divBdr>
    </w:div>
    <w:div w:id="2059622177">
      <w:bodyDiv w:val="1"/>
      <w:marLeft w:val="0"/>
      <w:marRight w:val="0"/>
      <w:marTop w:val="0"/>
      <w:marBottom w:val="0"/>
      <w:divBdr>
        <w:top w:val="none" w:sz="0" w:space="0" w:color="auto"/>
        <w:left w:val="none" w:sz="0" w:space="0" w:color="auto"/>
        <w:bottom w:val="none" w:sz="0" w:space="0" w:color="auto"/>
        <w:right w:val="none" w:sz="0" w:space="0" w:color="auto"/>
      </w:divBdr>
    </w:div>
    <w:div w:id="2060399197">
      <w:bodyDiv w:val="1"/>
      <w:marLeft w:val="0"/>
      <w:marRight w:val="0"/>
      <w:marTop w:val="0"/>
      <w:marBottom w:val="0"/>
      <w:divBdr>
        <w:top w:val="none" w:sz="0" w:space="0" w:color="auto"/>
        <w:left w:val="none" w:sz="0" w:space="0" w:color="auto"/>
        <w:bottom w:val="none" w:sz="0" w:space="0" w:color="auto"/>
        <w:right w:val="none" w:sz="0" w:space="0" w:color="auto"/>
      </w:divBdr>
    </w:div>
    <w:div w:id="2071608183">
      <w:bodyDiv w:val="1"/>
      <w:marLeft w:val="0"/>
      <w:marRight w:val="0"/>
      <w:marTop w:val="0"/>
      <w:marBottom w:val="0"/>
      <w:divBdr>
        <w:top w:val="none" w:sz="0" w:space="0" w:color="auto"/>
        <w:left w:val="none" w:sz="0" w:space="0" w:color="auto"/>
        <w:bottom w:val="none" w:sz="0" w:space="0" w:color="auto"/>
        <w:right w:val="none" w:sz="0" w:space="0" w:color="auto"/>
      </w:divBdr>
    </w:div>
    <w:div w:id="2073652057">
      <w:bodyDiv w:val="1"/>
      <w:marLeft w:val="0"/>
      <w:marRight w:val="0"/>
      <w:marTop w:val="0"/>
      <w:marBottom w:val="0"/>
      <w:divBdr>
        <w:top w:val="none" w:sz="0" w:space="0" w:color="auto"/>
        <w:left w:val="none" w:sz="0" w:space="0" w:color="auto"/>
        <w:bottom w:val="none" w:sz="0" w:space="0" w:color="auto"/>
        <w:right w:val="none" w:sz="0" w:space="0" w:color="auto"/>
      </w:divBdr>
    </w:div>
    <w:div w:id="2074816485">
      <w:bodyDiv w:val="1"/>
      <w:marLeft w:val="0"/>
      <w:marRight w:val="0"/>
      <w:marTop w:val="0"/>
      <w:marBottom w:val="0"/>
      <w:divBdr>
        <w:top w:val="none" w:sz="0" w:space="0" w:color="auto"/>
        <w:left w:val="none" w:sz="0" w:space="0" w:color="auto"/>
        <w:bottom w:val="none" w:sz="0" w:space="0" w:color="auto"/>
        <w:right w:val="none" w:sz="0" w:space="0" w:color="auto"/>
      </w:divBdr>
    </w:div>
    <w:div w:id="2087072175">
      <w:bodyDiv w:val="1"/>
      <w:marLeft w:val="0"/>
      <w:marRight w:val="0"/>
      <w:marTop w:val="0"/>
      <w:marBottom w:val="0"/>
      <w:divBdr>
        <w:top w:val="none" w:sz="0" w:space="0" w:color="auto"/>
        <w:left w:val="none" w:sz="0" w:space="0" w:color="auto"/>
        <w:bottom w:val="none" w:sz="0" w:space="0" w:color="auto"/>
        <w:right w:val="none" w:sz="0" w:space="0" w:color="auto"/>
      </w:divBdr>
    </w:div>
    <w:div w:id="2093547814">
      <w:bodyDiv w:val="1"/>
      <w:marLeft w:val="0"/>
      <w:marRight w:val="0"/>
      <w:marTop w:val="0"/>
      <w:marBottom w:val="0"/>
      <w:divBdr>
        <w:top w:val="none" w:sz="0" w:space="0" w:color="auto"/>
        <w:left w:val="none" w:sz="0" w:space="0" w:color="auto"/>
        <w:bottom w:val="none" w:sz="0" w:space="0" w:color="auto"/>
        <w:right w:val="none" w:sz="0" w:space="0" w:color="auto"/>
      </w:divBdr>
    </w:div>
    <w:div w:id="2097821187">
      <w:bodyDiv w:val="1"/>
      <w:marLeft w:val="0"/>
      <w:marRight w:val="0"/>
      <w:marTop w:val="0"/>
      <w:marBottom w:val="0"/>
      <w:divBdr>
        <w:top w:val="none" w:sz="0" w:space="0" w:color="auto"/>
        <w:left w:val="none" w:sz="0" w:space="0" w:color="auto"/>
        <w:bottom w:val="none" w:sz="0" w:space="0" w:color="auto"/>
        <w:right w:val="none" w:sz="0" w:space="0" w:color="auto"/>
      </w:divBdr>
    </w:div>
    <w:div w:id="2101172936">
      <w:bodyDiv w:val="1"/>
      <w:marLeft w:val="0"/>
      <w:marRight w:val="0"/>
      <w:marTop w:val="0"/>
      <w:marBottom w:val="0"/>
      <w:divBdr>
        <w:top w:val="none" w:sz="0" w:space="0" w:color="auto"/>
        <w:left w:val="none" w:sz="0" w:space="0" w:color="auto"/>
        <w:bottom w:val="none" w:sz="0" w:space="0" w:color="auto"/>
        <w:right w:val="none" w:sz="0" w:space="0" w:color="auto"/>
      </w:divBdr>
    </w:div>
    <w:div w:id="2131582426">
      <w:bodyDiv w:val="1"/>
      <w:marLeft w:val="0"/>
      <w:marRight w:val="0"/>
      <w:marTop w:val="0"/>
      <w:marBottom w:val="0"/>
      <w:divBdr>
        <w:top w:val="none" w:sz="0" w:space="0" w:color="auto"/>
        <w:left w:val="none" w:sz="0" w:space="0" w:color="auto"/>
        <w:bottom w:val="none" w:sz="0" w:space="0" w:color="auto"/>
        <w:right w:val="none" w:sz="0" w:space="0" w:color="auto"/>
      </w:divBdr>
    </w:div>
    <w:div w:id="2134204700">
      <w:bodyDiv w:val="1"/>
      <w:marLeft w:val="0"/>
      <w:marRight w:val="0"/>
      <w:marTop w:val="0"/>
      <w:marBottom w:val="0"/>
      <w:divBdr>
        <w:top w:val="none" w:sz="0" w:space="0" w:color="auto"/>
        <w:left w:val="none" w:sz="0" w:space="0" w:color="auto"/>
        <w:bottom w:val="none" w:sz="0" w:space="0" w:color="auto"/>
        <w:right w:val="none" w:sz="0" w:space="0" w:color="auto"/>
      </w:divBdr>
    </w:div>
    <w:div w:id="214677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fc23@cam.ac.uk"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physionet.org/tutorials/hrv-toolkit/"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Sol</b:Tag>
    <b:SourceType>JournalArticle</b:SourceType>
    <b:Guid>{B4AC5065-FA13-4517-8FA4-E35D7CD984A6}</b:Guid>
    <b:Author>
      <b:Author>
        <b:NameList>
          <b:Person>
            <b:Last>Soler-Cedeño</b:Last>
          </b:Person>
        </b:NameList>
      </b:Author>
    </b:Author>
    <b:RefOrder>1</b:RefOrder>
  </b:Source>
</b:Sources>
</file>

<file path=customXml/itemProps1.xml><?xml version="1.0" encoding="utf-8"?>
<ds:datastoreItem xmlns:ds="http://schemas.openxmlformats.org/officeDocument/2006/customXml" ds:itemID="{BA76F884-7EEB-4BF5-AA7B-98D003B7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68644</Words>
  <Characters>391276</Characters>
  <Application>Microsoft Office Word</Application>
  <DocSecurity>0</DocSecurity>
  <Lines>3260</Lines>
  <Paragraphs>918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459002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dc:creator>
  <cp:keywords/>
  <dc:description/>
  <cp:lastModifiedBy>Hannah</cp:lastModifiedBy>
  <cp:revision>5</cp:revision>
  <dcterms:created xsi:type="dcterms:W3CDTF">2018-12-07T15:43:00Z</dcterms:created>
  <dcterms:modified xsi:type="dcterms:W3CDTF">2018-12-07T16:00:00Z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19fc7ab7-1b5b-3979-9ba4-4abf61108465</vt:lpwstr>
  </property>
  <property fmtid="{D5CDD505-2E9C-101B-9397-08002B2CF9AE}" pid="4" name="Mendeley Citation Style_1">
    <vt:lpwstr>http://www.zotero.org/styles/the-journal-of-neuroscience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http://www.zotero.org/styles/biological-psychiatry</vt:lpwstr>
  </property>
  <property fmtid="{D5CDD505-2E9C-101B-9397-08002B2CF9AE}" pid="10" name="Mendeley Recent Style Name 2_1">
    <vt:lpwstr>Biological Psychiatry</vt:lpwstr>
  </property>
  <property fmtid="{D5CDD505-2E9C-101B-9397-08002B2CF9AE}" pid="11" name="Mendeley Recent Style Id 3_1">
    <vt:lpwstr>http://www.zotero.org/styles/cerebral-cortex</vt:lpwstr>
  </property>
  <property fmtid="{D5CDD505-2E9C-101B-9397-08002B2CF9AE}" pid="12" name="Mendeley Recent Style Name 3_1">
    <vt:lpwstr>Cerebral Cortex</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http://www.zotero.org/styles/pnas</vt:lpwstr>
  </property>
  <property fmtid="{D5CDD505-2E9C-101B-9397-08002B2CF9AE}" pid="20" name="Mendeley Recent Style Name 7_1">
    <vt:lpwstr>Proceedings of the National Academy of Sciences of the United States of America</vt:lpwstr>
  </property>
  <property fmtid="{D5CDD505-2E9C-101B-9397-08002B2CF9AE}" pid="21" name="Mendeley Recent Style Id 8_1">
    <vt:lpwstr>http://www.zotero.org/styles/science</vt:lpwstr>
  </property>
  <property fmtid="{D5CDD505-2E9C-101B-9397-08002B2CF9AE}" pid="22" name="Mendeley Recent Style Name 8_1">
    <vt:lpwstr>Science</vt:lpwstr>
  </property>
  <property fmtid="{D5CDD505-2E9C-101B-9397-08002B2CF9AE}" pid="23" name="Mendeley Recent Style Id 9_1">
    <vt:lpwstr>http://www.zotero.org/styles/the-journal-of-neuroscience</vt:lpwstr>
  </property>
  <property fmtid="{D5CDD505-2E9C-101B-9397-08002B2CF9AE}" pid="24" name="Mendeley Recent Style Name 9_1">
    <vt:lpwstr>The Journal of Neuroscience</vt:lpwstr>
  </property>
</Properties>
</file>