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B4" w:rsidRDefault="00595013" w:rsidP="00595013">
      <w:pPr>
        <w:pStyle w:val="Title"/>
        <w:ind w:firstLine="0"/>
      </w:pPr>
      <w:bookmarkStart w:id="0" w:name="_Hlk530497382"/>
      <w:r>
        <w:t>‘</w:t>
      </w:r>
      <w:r w:rsidR="00542124">
        <w:t>Scripture Grows with its Readers</w:t>
      </w:r>
      <w:r>
        <w:t>’</w:t>
      </w:r>
      <w:r w:rsidR="00542124">
        <w:t xml:space="preserve">: </w:t>
      </w:r>
    </w:p>
    <w:p w:rsidR="00542124" w:rsidRDefault="00D77A14" w:rsidP="00595013">
      <w:pPr>
        <w:pStyle w:val="Title"/>
        <w:ind w:firstLine="0"/>
      </w:pPr>
      <w:r>
        <w:t>Doctrinal Development from a Ricœurian Perspective</w:t>
      </w:r>
      <w:bookmarkEnd w:id="0"/>
    </w:p>
    <w:p w:rsidR="00A409BD" w:rsidRDefault="00A409BD" w:rsidP="00A409BD">
      <w:pPr>
        <w:pStyle w:val="Heading1"/>
        <w:rPr>
          <w:lang w:eastAsia="en-GB"/>
        </w:rPr>
      </w:pPr>
      <w:r>
        <w:rPr>
          <w:lang w:eastAsia="en-GB"/>
        </w:rPr>
        <w:t>Introduction</w:t>
      </w:r>
    </w:p>
    <w:p w:rsidR="00B87F12" w:rsidRPr="00982F85" w:rsidRDefault="00B87F12" w:rsidP="00B87F12">
      <w:r>
        <w:t xml:space="preserve">In one of his last books, </w:t>
      </w:r>
      <w:r w:rsidRPr="00983C8A">
        <w:rPr>
          <w:i/>
        </w:rPr>
        <w:t>Thinking Biblically</w:t>
      </w:r>
      <w:r>
        <w:t>, Paul Ricœur wrote:</w:t>
      </w:r>
    </w:p>
    <w:p w:rsidR="00B87F12" w:rsidRDefault="00B87F12" w:rsidP="00B87F12">
      <w:pPr>
        <w:pStyle w:val="Quote"/>
        <w:rPr>
          <w:lang w:eastAsia="en-GB"/>
        </w:rPr>
      </w:pPr>
      <w:r w:rsidRPr="00982F85">
        <w:rPr>
          <w:lang w:eastAsia="en-GB"/>
        </w:rPr>
        <w:t xml:space="preserve">The first effect of reading is to confer an autonomy, an independent existence on a text, which thereby opens it to subsequent developments and subsequent enrichments, </w:t>
      </w:r>
      <w:r w:rsidRPr="00A904A9">
        <w:rPr>
          <w:i/>
          <w:lang w:eastAsia="en-GB"/>
        </w:rPr>
        <w:t>all of which affect its very meaning</w:t>
      </w:r>
      <w:r w:rsidRPr="00982F85">
        <w:rPr>
          <w:lang w:eastAsia="en-GB"/>
        </w:rPr>
        <w:t xml:space="preserve">. In light of this, we would like </w:t>
      </w:r>
      <w:r>
        <w:rPr>
          <w:lang w:eastAsia="en-GB"/>
        </w:rPr>
        <w:t>to</w:t>
      </w:r>
      <w:r w:rsidRPr="00982F85">
        <w:rPr>
          <w:lang w:eastAsia="en-GB"/>
        </w:rPr>
        <w:t xml:space="preserve"> recall the wonderful saying of Gregory the Great</w:t>
      </w:r>
      <w:r>
        <w:rPr>
          <w:lang w:eastAsia="en-GB"/>
        </w:rPr>
        <w:t>…</w:t>
      </w:r>
      <w:r w:rsidRPr="00982F85">
        <w:rPr>
          <w:lang w:eastAsia="en-GB"/>
        </w:rPr>
        <w:t xml:space="preserve">: </w:t>
      </w:r>
      <w:r>
        <w:rPr>
          <w:lang w:eastAsia="en-GB"/>
        </w:rPr>
        <w:t>‘</w:t>
      </w:r>
      <w:r w:rsidRPr="00982F85">
        <w:rPr>
          <w:lang w:eastAsia="en-GB"/>
        </w:rPr>
        <w:t>Scripture Grows with its Readers</w:t>
      </w:r>
      <w:r>
        <w:rPr>
          <w:lang w:eastAsia="en-GB"/>
        </w:rPr>
        <w:t>.’</w:t>
      </w:r>
      <w:r>
        <w:rPr>
          <w:rStyle w:val="FootnoteReference"/>
          <w:lang w:eastAsia="en-GB"/>
        </w:rPr>
        <w:footnoteReference w:id="1"/>
      </w:r>
    </w:p>
    <w:p w:rsidR="00B87F12" w:rsidRDefault="00B87F12" w:rsidP="00242330">
      <w:pPr>
        <w:rPr>
          <w:lang w:eastAsia="en-GB"/>
        </w:rPr>
      </w:pPr>
      <w:r>
        <w:rPr>
          <w:lang w:eastAsia="en-GB"/>
        </w:rPr>
        <w:t>This claim</w:t>
      </w:r>
      <w:r w:rsidR="00C90E12">
        <w:rPr>
          <w:lang w:eastAsia="en-GB"/>
        </w:rPr>
        <w:t xml:space="preserve"> from</w:t>
      </w:r>
      <w:r>
        <w:rPr>
          <w:lang w:eastAsia="en-GB"/>
        </w:rPr>
        <w:t xml:space="preserve"> France’s most </w:t>
      </w:r>
      <w:r w:rsidR="00C90E12">
        <w:rPr>
          <w:lang w:eastAsia="en-GB"/>
        </w:rPr>
        <w:t>renowned</w:t>
      </w:r>
      <w:r>
        <w:rPr>
          <w:lang w:eastAsia="en-GB"/>
        </w:rPr>
        <w:t xml:space="preserve"> Protestant philosopher might seem counter-intuitive. How can Scripture’s meaning ‘grow’? How </w:t>
      </w:r>
      <w:r w:rsidR="00C90E12">
        <w:rPr>
          <w:lang w:eastAsia="en-GB"/>
        </w:rPr>
        <w:t xml:space="preserve">can what a text says be </w:t>
      </w:r>
      <w:r>
        <w:rPr>
          <w:lang w:eastAsia="en-GB"/>
        </w:rPr>
        <w:t xml:space="preserve">affected by </w:t>
      </w:r>
      <w:r w:rsidR="00C90E12">
        <w:rPr>
          <w:lang w:eastAsia="en-GB"/>
        </w:rPr>
        <w:t>its readers</w:t>
      </w:r>
      <w:r>
        <w:rPr>
          <w:lang w:eastAsia="en-GB"/>
        </w:rPr>
        <w:t xml:space="preserve">? </w:t>
      </w:r>
      <w:r w:rsidR="00861FDF">
        <w:rPr>
          <w:lang w:eastAsia="en-GB"/>
        </w:rPr>
        <w:t xml:space="preserve">Yet Ricœur is </w:t>
      </w:r>
      <w:r w:rsidR="00785585">
        <w:rPr>
          <w:lang w:eastAsia="en-GB"/>
        </w:rPr>
        <w:t>addressing a phenomenon with which all of us are familiar: the way in which a new cultural context can give rise to surprising new interpretations of any text</w:t>
      </w:r>
      <w:r w:rsidR="0056654A">
        <w:rPr>
          <w:lang w:eastAsia="en-GB"/>
        </w:rPr>
        <w:t xml:space="preserve">, not all of which are immediately considered wrong. </w:t>
      </w:r>
    </w:p>
    <w:p w:rsidR="003B5699" w:rsidRDefault="008D0B3A" w:rsidP="00242330">
      <w:pPr>
        <w:rPr>
          <w:lang w:eastAsia="en-GB"/>
        </w:rPr>
      </w:pPr>
      <w:r>
        <w:rPr>
          <w:lang w:eastAsia="en-GB"/>
        </w:rPr>
        <w:t>Th</w:t>
      </w:r>
      <w:r w:rsidR="0056654A">
        <w:rPr>
          <w:lang w:eastAsia="en-GB"/>
        </w:rPr>
        <w:t xml:space="preserve">e tension between innovation and preservation lies at the heart of questions concerning both the </w:t>
      </w:r>
      <w:r w:rsidR="0056654A" w:rsidRPr="00CB51E6">
        <w:rPr>
          <w:i/>
          <w:lang w:eastAsia="en-GB"/>
        </w:rPr>
        <w:t>nature</w:t>
      </w:r>
      <w:r w:rsidR="0056654A">
        <w:rPr>
          <w:lang w:eastAsia="en-GB"/>
        </w:rPr>
        <w:t xml:space="preserve">, and the </w:t>
      </w:r>
      <w:r w:rsidR="0056654A" w:rsidRPr="00CB51E6">
        <w:rPr>
          <w:i/>
          <w:lang w:eastAsia="en-GB"/>
        </w:rPr>
        <w:t>legitimacy</w:t>
      </w:r>
      <w:r w:rsidR="0056654A">
        <w:rPr>
          <w:lang w:eastAsia="en-GB"/>
        </w:rPr>
        <w:t>, of what been called “doctrinal development</w:t>
      </w:r>
      <w:r w:rsidR="00251326">
        <w:rPr>
          <w:lang w:eastAsia="en-GB"/>
        </w:rPr>
        <w:t>,</w:t>
      </w:r>
      <w:r w:rsidR="0056654A">
        <w:rPr>
          <w:lang w:eastAsia="en-GB"/>
        </w:rPr>
        <w:t xml:space="preserve">” viz. the idea that doctrine unfolds gradually through the course of history and thus has an irreducibly historical dimension. The question of doctrinal development is fundamentally </w:t>
      </w:r>
      <w:r w:rsidR="0056654A" w:rsidRPr="001A2BE5">
        <w:rPr>
          <w:i/>
          <w:lang w:eastAsia="en-GB"/>
        </w:rPr>
        <w:t>hermeneutical</w:t>
      </w:r>
      <w:r w:rsidR="0056654A">
        <w:rPr>
          <w:lang w:eastAsia="en-GB"/>
        </w:rPr>
        <w:t>, asking how the fullness of revelation in Scripture can be faithfully ‘extended’ to speak to new situations it did not originally address.</w:t>
      </w:r>
      <w:r w:rsidR="0056654A" w:rsidRPr="00D475C4">
        <w:rPr>
          <w:lang w:eastAsia="en-GB"/>
        </w:rPr>
        <w:t xml:space="preserve"> </w:t>
      </w:r>
    </w:p>
    <w:p w:rsidR="00581587" w:rsidRDefault="003B5699" w:rsidP="00505876">
      <w:r>
        <w:rPr>
          <w:lang w:eastAsia="en-GB"/>
        </w:rPr>
        <w:t xml:space="preserve">Most contemporary accounts of doctrinal development </w:t>
      </w:r>
      <w:r w:rsidR="004E77C8">
        <w:rPr>
          <w:lang w:eastAsia="en-GB"/>
        </w:rPr>
        <w:t>consider</w:t>
      </w:r>
      <w:r>
        <w:rPr>
          <w:lang w:eastAsia="en-GB"/>
        </w:rPr>
        <w:t xml:space="preserve"> the Catholic John Henry Newman (1801-1890) </w:t>
      </w:r>
      <w:r w:rsidR="004E77C8">
        <w:rPr>
          <w:lang w:eastAsia="en-GB"/>
        </w:rPr>
        <w:t xml:space="preserve">to be </w:t>
      </w:r>
      <w:r>
        <w:rPr>
          <w:lang w:eastAsia="en-GB"/>
        </w:rPr>
        <w:t xml:space="preserve">its first major advocate, but the concept can </w:t>
      </w:r>
      <w:r w:rsidR="004122F8">
        <w:rPr>
          <w:lang w:eastAsia="en-GB"/>
        </w:rPr>
        <w:t xml:space="preserve">in fact </w:t>
      </w:r>
      <w:r>
        <w:rPr>
          <w:lang w:eastAsia="en-GB"/>
        </w:rPr>
        <w:t>be traced further back to the Protestant Friedrich Schleiermacher (1768-1834)</w:t>
      </w:r>
      <w:r w:rsidR="009B402C">
        <w:rPr>
          <w:lang w:eastAsia="en-GB"/>
        </w:rPr>
        <w:t xml:space="preserve"> who is also</w:t>
      </w:r>
      <w:r w:rsidR="00D475C4">
        <w:rPr>
          <w:lang w:eastAsia="en-GB"/>
        </w:rPr>
        <w:t xml:space="preserve"> </w:t>
      </w:r>
      <w:r>
        <w:rPr>
          <w:lang w:eastAsia="en-GB"/>
        </w:rPr>
        <w:t>the founder of modern hermeneutics</w:t>
      </w:r>
      <w:r w:rsidR="004122F8">
        <w:rPr>
          <w:lang w:eastAsia="en-GB"/>
        </w:rPr>
        <w:t>, not by coincidence</w:t>
      </w:r>
      <w:r>
        <w:rPr>
          <w:lang w:eastAsia="en-GB"/>
        </w:rPr>
        <w:t>.</w:t>
      </w:r>
      <w:r>
        <w:rPr>
          <w:rStyle w:val="FootnoteReference"/>
          <w:lang w:eastAsia="en-GB"/>
        </w:rPr>
        <w:footnoteReference w:id="2"/>
      </w:r>
      <w:r>
        <w:rPr>
          <w:lang w:eastAsia="en-GB"/>
        </w:rPr>
        <w:t xml:space="preserve"> Nonetheless, </w:t>
      </w:r>
      <w:r w:rsidR="00505876">
        <w:rPr>
          <w:lang w:eastAsia="en-GB"/>
        </w:rPr>
        <w:t>while</w:t>
      </w:r>
      <w:r>
        <w:rPr>
          <w:lang w:eastAsia="en-GB"/>
        </w:rPr>
        <w:t xml:space="preserve"> the twentieth century </w:t>
      </w:r>
      <w:r w:rsidR="00505876">
        <w:rPr>
          <w:lang w:eastAsia="en-GB"/>
        </w:rPr>
        <w:t xml:space="preserve">has witnessed a flourishing of discourse on </w:t>
      </w:r>
      <w:r>
        <w:rPr>
          <w:lang w:eastAsia="en-GB"/>
        </w:rPr>
        <w:t xml:space="preserve">doctrinal development in Catholic circles, </w:t>
      </w:r>
      <w:r w:rsidR="0056654A">
        <w:rPr>
          <w:lang w:eastAsia="en-GB"/>
        </w:rPr>
        <w:t>non-Catholic</w:t>
      </w:r>
      <w:r>
        <w:rPr>
          <w:lang w:eastAsia="en-GB"/>
        </w:rPr>
        <w:t xml:space="preserve"> theologians have</w:t>
      </w:r>
      <w:r w:rsidR="0056654A">
        <w:rPr>
          <w:lang w:eastAsia="en-GB"/>
        </w:rPr>
        <w:t xml:space="preserve"> largely</w:t>
      </w:r>
      <w:r>
        <w:rPr>
          <w:lang w:eastAsia="en-GB"/>
        </w:rPr>
        <w:t xml:space="preserve"> </w:t>
      </w:r>
      <w:r w:rsidR="00505876">
        <w:rPr>
          <w:lang w:eastAsia="en-GB"/>
        </w:rPr>
        <w:t>regarded it with more suspicion.</w:t>
      </w:r>
      <w:r w:rsidR="00736F6D">
        <w:rPr>
          <w:rStyle w:val="FootnoteReference"/>
        </w:rPr>
        <w:footnoteReference w:id="3"/>
      </w:r>
      <w:r w:rsidR="00736F6D">
        <w:t xml:space="preserve"> </w:t>
      </w:r>
    </w:p>
    <w:p w:rsidR="0085209D" w:rsidRDefault="00D705DB" w:rsidP="00D475C4">
      <w:pPr>
        <w:rPr>
          <w:lang w:eastAsia="en-GB"/>
        </w:rPr>
      </w:pPr>
      <w:r>
        <w:lastRenderedPageBreak/>
        <w:t xml:space="preserve">This essay aims to articulate a Protestant-ecumenical account of doctrinal development with the help of Ricœur. </w:t>
      </w:r>
      <w:r w:rsidR="00505876" w:rsidRPr="00D77A14">
        <w:t>What makes it Protestant is that it</w:t>
      </w:r>
      <w:r>
        <w:t xml:space="preserve"> </w:t>
      </w:r>
      <w:r w:rsidR="00143D8E">
        <w:t>sees Christian</w:t>
      </w:r>
      <w:r>
        <w:t xml:space="preserve"> </w:t>
      </w:r>
      <w:r w:rsidR="00505876" w:rsidRPr="00D77A14">
        <w:t xml:space="preserve">revelation </w:t>
      </w:r>
      <w:r w:rsidR="00143D8E">
        <w:t>exclusively in terms of Scripture</w:t>
      </w:r>
      <w:r w:rsidR="00505876" w:rsidRPr="00D77A14">
        <w:t>.</w:t>
      </w:r>
      <w:r>
        <w:t xml:space="preserve"> </w:t>
      </w:r>
      <w:r w:rsidR="0056654A">
        <w:t xml:space="preserve">What makes it ecumenical is </w:t>
      </w:r>
      <w:r>
        <w:t xml:space="preserve">its goal, </w:t>
      </w:r>
      <w:r w:rsidR="004122F8">
        <w:t xml:space="preserve">which is </w:t>
      </w:r>
      <w:r w:rsidR="00D475C4">
        <w:t xml:space="preserve">to </w:t>
      </w:r>
      <w:r>
        <w:t xml:space="preserve">widen </w:t>
      </w:r>
      <w:r>
        <w:rPr>
          <w:lang w:eastAsia="en-GB"/>
        </w:rPr>
        <w:t xml:space="preserve">into a recognition of the need for both the voice of tradition and the unity of the church. </w:t>
      </w:r>
      <w:r w:rsidR="0085209D">
        <w:rPr>
          <w:lang w:eastAsia="en-GB"/>
        </w:rPr>
        <w:t xml:space="preserve">I will propose a way of understanding doctrinal development that – it is hoped – will serve as an ecumenical bridge between Protestant concerns for </w:t>
      </w:r>
      <w:r w:rsidR="0085209D">
        <w:rPr>
          <w:i/>
          <w:lang w:eastAsia="en-GB"/>
        </w:rPr>
        <w:t>sola scriptura</w:t>
      </w:r>
      <w:r w:rsidR="0085209D">
        <w:rPr>
          <w:lang w:eastAsia="en-GB"/>
        </w:rPr>
        <w:t xml:space="preserve"> and Catholic/Orthodox reliance on the normativity of tradition. This bridge, I argue, relies on the work of Ricœur, not so much due to his confessional Protestantism as to the distinctiveness of his hermeneutics. </w:t>
      </w:r>
      <w:r w:rsidR="0085209D">
        <w:t xml:space="preserve">Although philosophical hermeneutics’ applicability to doctrinal development has </w:t>
      </w:r>
      <w:r w:rsidR="00251326">
        <w:t>been much discussed</w:t>
      </w:r>
      <w:r w:rsidR="0085209D">
        <w:t>,</w:t>
      </w:r>
      <w:r w:rsidR="0085209D">
        <w:rPr>
          <w:rStyle w:val="FootnoteReference"/>
        </w:rPr>
        <w:footnoteReference w:id="4"/>
      </w:r>
      <w:r w:rsidR="0085209D">
        <w:t xml:space="preserve"> the value of Ricœur’s hermeneutics to clarify both the necessity and the value of doctrinal development has not </w:t>
      </w:r>
      <w:r w:rsidR="00251326">
        <w:t xml:space="preserve">so far </w:t>
      </w:r>
      <w:r w:rsidR="0085209D">
        <w:t xml:space="preserve">been identified. </w:t>
      </w:r>
      <w:r w:rsidR="0085209D">
        <w:rPr>
          <w:lang w:eastAsia="en-GB"/>
        </w:rPr>
        <w:t xml:space="preserve">This essay presupposes that philosophical hermeneutics has a valuable contribution to make to uniquely theological concerns, and that such a contribution does not undermine the distinctiveness of Christian revelation but rather supports it in the role of </w:t>
      </w:r>
      <w:r w:rsidR="0085209D" w:rsidRPr="0085209D">
        <w:rPr>
          <w:i/>
          <w:lang w:eastAsia="en-GB"/>
        </w:rPr>
        <w:t xml:space="preserve">ancilla </w:t>
      </w:r>
      <w:proofErr w:type="spellStart"/>
      <w:r w:rsidR="0085209D" w:rsidRPr="0085209D">
        <w:rPr>
          <w:i/>
          <w:lang w:eastAsia="en-GB"/>
        </w:rPr>
        <w:t>theologiae</w:t>
      </w:r>
      <w:proofErr w:type="spellEnd"/>
      <w:r w:rsidR="0085209D">
        <w:rPr>
          <w:lang w:eastAsia="en-GB"/>
        </w:rPr>
        <w:t xml:space="preserve">. </w:t>
      </w:r>
    </w:p>
    <w:p w:rsidR="00DC6837" w:rsidRDefault="00A1371E" w:rsidP="00595013">
      <w:pPr>
        <w:rPr>
          <w:lang w:eastAsia="en-GB"/>
        </w:rPr>
      </w:pPr>
      <w:r>
        <w:t xml:space="preserve">What follows is a journey through </w:t>
      </w:r>
      <w:r w:rsidR="00DC6837">
        <w:t xml:space="preserve">five </w:t>
      </w:r>
      <w:r>
        <w:t xml:space="preserve">elements of Ricœur’s hermeneutics that elucidate doctrinal development from a </w:t>
      </w:r>
      <w:r>
        <w:rPr>
          <w:i/>
        </w:rPr>
        <w:t xml:space="preserve">sola scriptura </w:t>
      </w:r>
      <w:r>
        <w:t xml:space="preserve">perspective. </w:t>
      </w:r>
      <w:r>
        <w:rPr>
          <w:lang w:eastAsia="en-GB"/>
        </w:rPr>
        <w:t>First, Ricœur breaks with the Romantic tradition for which Authorial Intention is the exclusive fullness of meaning</w:t>
      </w:r>
      <w:r w:rsidR="00D475C4">
        <w:rPr>
          <w:lang w:eastAsia="en-GB"/>
        </w:rPr>
        <w:t>;</w:t>
      </w:r>
      <w:r>
        <w:rPr>
          <w:lang w:eastAsia="en-GB"/>
        </w:rPr>
        <w:t xml:space="preserve"> </w:t>
      </w:r>
      <w:r w:rsidR="00251326">
        <w:rPr>
          <w:lang w:eastAsia="en-GB"/>
        </w:rPr>
        <w:t xml:space="preserve">instead, he sees </w:t>
      </w:r>
      <w:r>
        <w:rPr>
          <w:lang w:eastAsia="en-GB"/>
        </w:rPr>
        <w:t xml:space="preserve">the meaning of </w:t>
      </w:r>
      <w:r w:rsidR="00251326">
        <w:rPr>
          <w:lang w:eastAsia="en-GB"/>
        </w:rPr>
        <w:t xml:space="preserve">a </w:t>
      </w:r>
      <w:r>
        <w:rPr>
          <w:lang w:eastAsia="en-GB"/>
        </w:rPr>
        <w:t xml:space="preserve">text </w:t>
      </w:r>
      <w:r w:rsidR="00251326">
        <w:rPr>
          <w:lang w:eastAsia="en-GB"/>
        </w:rPr>
        <w:t xml:space="preserve">as </w:t>
      </w:r>
      <w:r>
        <w:rPr>
          <w:lang w:eastAsia="en-GB"/>
        </w:rPr>
        <w:t>a product of author and reader together. Second, Ricœur breaks with structuralism for which meaning is fixed and timeless, independent of author or reader</w:t>
      </w:r>
      <w:r w:rsidR="00D475C4">
        <w:rPr>
          <w:lang w:eastAsia="en-GB"/>
        </w:rPr>
        <w:t>;</w:t>
      </w:r>
      <w:r>
        <w:rPr>
          <w:lang w:eastAsia="en-GB"/>
        </w:rPr>
        <w:t xml:space="preserve"> </w:t>
      </w:r>
      <w:r w:rsidR="00251326">
        <w:rPr>
          <w:lang w:eastAsia="en-GB"/>
        </w:rPr>
        <w:t xml:space="preserve">rather, </w:t>
      </w:r>
      <w:r>
        <w:rPr>
          <w:lang w:eastAsia="en-GB"/>
        </w:rPr>
        <w:t xml:space="preserve">to understand a text </w:t>
      </w:r>
      <w:r w:rsidR="00D475C4">
        <w:rPr>
          <w:lang w:eastAsia="en-GB"/>
        </w:rPr>
        <w:t xml:space="preserve">for Ricœur </w:t>
      </w:r>
      <w:r>
        <w:rPr>
          <w:lang w:eastAsia="en-GB"/>
        </w:rPr>
        <w:t xml:space="preserve">is not only to identify timeless patterns in it, but also to make it one’s own in a unique life-situation. Third, with Gadamer Ricœur recovers the value of an </w:t>
      </w:r>
      <w:r w:rsidRPr="00EB7483">
        <w:rPr>
          <w:i/>
          <w:lang w:eastAsia="en-GB"/>
        </w:rPr>
        <w:t>interpretative tradition</w:t>
      </w:r>
      <w:r>
        <w:rPr>
          <w:lang w:eastAsia="en-GB"/>
        </w:rPr>
        <w:t xml:space="preserve">, seen no longer as </w:t>
      </w:r>
      <w:r w:rsidRPr="0015114E">
        <w:rPr>
          <w:lang w:eastAsia="en-GB"/>
        </w:rPr>
        <w:t>obscuring</w:t>
      </w:r>
      <w:r>
        <w:rPr>
          <w:lang w:eastAsia="en-GB"/>
        </w:rPr>
        <w:t xml:space="preserve"> the text’s true meaning, but as enabling it</w:t>
      </w:r>
      <w:r w:rsidR="00D475C4">
        <w:rPr>
          <w:lang w:eastAsia="en-GB"/>
        </w:rPr>
        <w:t>.</w:t>
      </w:r>
      <w:r>
        <w:rPr>
          <w:lang w:eastAsia="en-GB"/>
        </w:rPr>
        <w:t xml:space="preserve"> Ricœur goes beyond Gadamer in sustaining the value of </w:t>
      </w:r>
      <w:r w:rsidR="00D475C4">
        <w:rPr>
          <w:lang w:eastAsia="en-GB"/>
        </w:rPr>
        <w:t xml:space="preserve">the </w:t>
      </w:r>
      <w:r w:rsidRPr="0015114E">
        <w:rPr>
          <w:lang w:eastAsia="en-GB"/>
        </w:rPr>
        <w:t>critical distance</w:t>
      </w:r>
      <w:r>
        <w:rPr>
          <w:lang w:eastAsia="en-GB"/>
        </w:rPr>
        <w:t xml:space="preserve"> </w:t>
      </w:r>
      <w:r w:rsidR="00D475C4">
        <w:rPr>
          <w:lang w:eastAsia="en-GB"/>
        </w:rPr>
        <w:t xml:space="preserve">given by </w:t>
      </w:r>
      <w:r>
        <w:rPr>
          <w:lang w:eastAsia="en-GB"/>
        </w:rPr>
        <w:t xml:space="preserve">our historical standpoint, not to undermine the tradition, but to enrich it with </w:t>
      </w:r>
      <w:r>
        <w:t xml:space="preserve"> an ever growing pool of interpretations for every new reader belonging to it. </w:t>
      </w:r>
      <w:r w:rsidR="00595013">
        <w:rPr>
          <w:lang w:eastAsia="en-GB"/>
        </w:rPr>
        <w:t xml:space="preserve">Fourth, </w:t>
      </w:r>
      <w:r>
        <w:rPr>
          <w:lang w:eastAsia="en-GB"/>
        </w:rPr>
        <w:t xml:space="preserve">Ricœur distinguishes between diversity and conflict of interpretations, arguing </w:t>
      </w:r>
      <w:r w:rsidR="009B39E8">
        <w:rPr>
          <w:lang w:eastAsia="en-GB"/>
        </w:rPr>
        <w:t>for a “logic of probability” rather than the possibility of any scientific verification.</w:t>
      </w:r>
      <w:r>
        <w:rPr>
          <w:lang w:eastAsia="en-GB"/>
        </w:rPr>
        <w:t xml:space="preserve"> Fifth and finally, </w:t>
      </w:r>
      <w:r w:rsidR="00A409BD">
        <w:rPr>
          <w:lang w:eastAsia="en-GB"/>
        </w:rPr>
        <w:t xml:space="preserve">Ricœur gives us clues for seeing </w:t>
      </w:r>
      <w:r w:rsidR="00251326">
        <w:rPr>
          <w:lang w:eastAsia="en-GB"/>
        </w:rPr>
        <w:t xml:space="preserve">both </w:t>
      </w:r>
      <w:r w:rsidR="00A409BD">
        <w:rPr>
          <w:lang w:eastAsia="en-GB"/>
        </w:rPr>
        <w:t xml:space="preserve">dogma </w:t>
      </w:r>
      <w:r w:rsidR="00251326">
        <w:rPr>
          <w:lang w:eastAsia="en-GB"/>
        </w:rPr>
        <w:t xml:space="preserve">and a centralised authority </w:t>
      </w:r>
      <w:r w:rsidR="00A409BD">
        <w:rPr>
          <w:lang w:eastAsia="en-GB"/>
        </w:rPr>
        <w:t>as a necessary component of any ecclesial community.</w:t>
      </w:r>
    </w:p>
    <w:p w:rsidR="008E5873" w:rsidRDefault="00595013" w:rsidP="0049465E">
      <w:pPr>
        <w:pStyle w:val="Heading1"/>
        <w:rPr>
          <w:lang w:eastAsia="en-GB"/>
        </w:rPr>
      </w:pPr>
      <w:r>
        <w:rPr>
          <w:lang w:eastAsia="en-GB"/>
        </w:rPr>
        <w:t>Beyond Authorial Intention: How the Reader Produces Meaning</w:t>
      </w:r>
    </w:p>
    <w:p w:rsidR="00BC005C" w:rsidRDefault="004F50DE" w:rsidP="009B39E8">
      <w:pPr>
        <w:rPr>
          <w:lang w:eastAsia="en-GB"/>
        </w:rPr>
      </w:pPr>
      <w:r>
        <w:rPr>
          <w:lang w:eastAsia="en-GB"/>
        </w:rPr>
        <w:t>First, t</w:t>
      </w:r>
      <w:r w:rsidR="008857F9">
        <w:rPr>
          <w:lang w:eastAsia="en-GB"/>
        </w:rPr>
        <w:t xml:space="preserve">he meaning of </w:t>
      </w:r>
      <w:r w:rsidR="00B81962">
        <w:rPr>
          <w:lang w:eastAsia="en-GB"/>
        </w:rPr>
        <w:t xml:space="preserve">Scripture </w:t>
      </w:r>
      <w:r w:rsidR="008857F9">
        <w:rPr>
          <w:lang w:eastAsia="en-GB"/>
        </w:rPr>
        <w:t>cannot grow if it is fixed by the author’s intention. But f</w:t>
      </w:r>
      <w:r w:rsidR="00BC005C">
        <w:rPr>
          <w:lang w:eastAsia="en-GB"/>
        </w:rPr>
        <w:t xml:space="preserve">or Ricœur, a text’s meaning is not fully determined by what the author meant when they wrote it. </w:t>
      </w:r>
      <w:r w:rsidR="008857F9">
        <w:rPr>
          <w:lang w:eastAsia="en-GB"/>
        </w:rPr>
        <w:t>While</w:t>
      </w:r>
      <w:r w:rsidR="00BC005C">
        <w:rPr>
          <w:lang w:eastAsia="en-GB"/>
        </w:rPr>
        <w:t xml:space="preserve"> author</w:t>
      </w:r>
      <w:r w:rsidR="00DC6837">
        <w:rPr>
          <w:lang w:eastAsia="en-GB"/>
        </w:rPr>
        <w:t>ial</w:t>
      </w:r>
      <w:r w:rsidR="00BC005C">
        <w:rPr>
          <w:lang w:eastAsia="en-GB"/>
        </w:rPr>
        <w:t xml:space="preserve"> intention remains </w:t>
      </w:r>
      <w:r w:rsidR="00D475C4">
        <w:rPr>
          <w:lang w:eastAsia="en-GB"/>
        </w:rPr>
        <w:t xml:space="preserve">an essential component of meaning </w:t>
      </w:r>
      <w:r w:rsidR="00BE59F9">
        <w:rPr>
          <w:lang w:eastAsia="en-GB"/>
        </w:rPr>
        <w:t>so far as</w:t>
      </w:r>
      <w:r w:rsidR="00D475C4">
        <w:rPr>
          <w:lang w:eastAsia="en-GB"/>
        </w:rPr>
        <w:t xml:space="preserve"> it can be </w:t>
      </w:r>
      <w:r w:rsidR="00BE59F9">
        <w:rPr>
          <w:lang w:eastAsia="en-GB"/>
        </w:rPr>
        <w:t>known</w:t>
      </w:r>
      <w:r w:rsidR="00BC005C">
        <w:rPr>
          <w:lang w:eastAsia="en-GB"/>
        </w:rPr>
        <w:t xml:space="preserve">, </w:t>
      </w:r>
      <w:r w:rsidR="00251326">
        <w:rPr>
          <w:lang w:eastAsia="en-GB"/>
        </w:rPr>
        <w:t>the reader also contributes a share for</w:t>
      </w:r>
      <w:r w:rsidR="00077326">
        <w:rPr>
          <w:lang w:eastAsia="en-GB"/>
        </w:rPr>
        <w:t xml:space="preserve"> a Ricœurian hermeneutic model</w:t>
      </w:r>
      <w:r w:rsidR="00BC005C">
        <w:rPr>
          <w:lang w:eastAsia="en-GB"/>
        </w:rPr>
        <w:t>.</w:t>
      </w:r>
    </w:p>
    <w:p w:rsidR="00046769" w:rsidRDefault="00BC005C" w:rsidP="00046769">
      <w:pPr>
        <w:rPr>
          <w:lang w:eastAsia="en-GB"/>
        </w:rPr>
      </w:pPr>
      <w:r>
        <w:rPr>
          <w:lang w:eastAsia="en-GB"/>
        </w:rPr>
        <w:lastRenderedPageBreak/>
        <w:t xml:space="preserve">This claim puts Ricœur at odds with the prevalent hermeneutical theory of modernity that </w:t>
      </w:r>
      <w:r w:rsidR="00907506">
        <w:rPr>
          <w:lang w:eastAsia="en-GB"/>
        </w:rPr>
        <w:t>began</w:t>
      </w:r>
      <w:r w:rsidR="00D906DB">
        <w:rPr>
          <w:lang w:eastAsia="en-GB"/>
        </w:rPr>
        <w:t xml:space="preserve"> with nineteenth-century Romanticism, primarily </w:t>
      </w:r>
      <w:r w:rsidR="00907506">
        <w:rPr>
          <w:lang w:eastAsia="en-GB"/>
        </w:rPr>
        <w:t xml:space="preserve">in the figures of </w:t>
      </w:r>
      <w:r w:rsidR="008E5873">
        <w:rPr>
          <w:lang w:eastAsia="en-GB"/>
        </w:rPr>
        <w:t xml:space="preserve">Friedrich Schleiermacher and Wilhelm Dilthey. </w:t>
      </w:r>
      <w:r w:rsidR="009A3811">
        <w:rPr>
          <w:lang w:eastAsia="en-GB"/>
        </w:rPr>
        <w:t>Reacting against the timeless</w:t>
      </w:r>
      <w:r w:rsidR="00325F5E">
        <w:rPr>
          <w:lang w:eastAsia="en-GB"/>
        </w:rPr>
        <w:t>, ahistorical</w:t>
      </w:r>
      <w:r w:rsidR="009A3811">
        <w:rPr>
          <w:lang w:eastAsia="en-GB"/>
        </w:rPr>
        <w:t xml:space="preserve"> account </w:t>
      </w:r>
      <w:r w:rsidR="00160F38">
        <w:rPr>
          <w:lang w:eastAsia="en-GB"/>
        </w:rPr>
        <w:t>of reality</w:t>
      </w:r>
      <w:r w:rsidR="009A3811">
        <w:rPr>
          <w:lang w:eastAsia="en-GB"/>
        </w:rPr>
        <w:t xml:space="preserve"> they saw in the Enlightenment, </w:t>
      </w:r>
      <w:r w:rsidR="00160F38">
        <w:rPr>
          <w:lang w:eastAsia="en-GB"/>
        </w:rPr>
        <w:t xml:space="preserve">the Romantics </w:t>
      </w:r>
      <w:r w:rsidR="00046769">
        <w:rPr>
          <w:lang w:eastAsia="en-GB"/>
        </w:rPr>
        <w:t>overlapped with what is now called the</w:t>
      </w:r>
      <w:r w:rsidR="009A3811">
        <w:rPr>
          <w:lang w:eastAsia="en-GB"/>
        </w:rPr>
        <w:t xml:space="preserve"> “rise of historical consciousness</w:t>
      </w:r>
      <w:r w:rsidR="00160F38">
        <w:rPr>
          <w:lang w:eastAsia="en-GB"/>
        </w:rPr>
        <w:t>,</w:t>
      </w:r>
      <w:r w:rsidR="00046769">
        <w:rPr>
          <w:lang w:eastAsia="en-GB"/>
        </w:rPr>
        <w:t>”</w:t>
      </w:r>
      <w:r w:rsidR="00160F38">
        <w:rPr>
          <w:lang w:eastAsia="en-GB"/>
        </w:rPr>
        <w:t xml:space="preserve"> which</w:t>
      </w:r>
      <w:r w:rsidR="00046769">
        <w:rPr>
          <w:lang w:eastAsia="en-GB"/>
        </w:rPr>
        <w:t xml:space="preserve">, </w:t>
      </w:r>
      <w:r w:rsidR="00251326">
        <w:rPr>
          <w:lang w:eastAsia="en-GB"/>
        </w:rPr>
        <w:t>writes</w:t>
      </w:r>
      <w:r w:rsidR="00046769">
        <w:rPr>
          <w:lang w:eastAsia="en-GB"/>
        </w:rPr>
        <w:t xml:space="preserve"> Wolfart, is “characterized by the recognition that things change over time and that this change is fundamental or essential rather than superficial or apparent.”</w:t>
      </w:r>
      <w:r w:rsidR="00046769">
        <w:rPr>
          <w:rStyle w:val="FootnoteReference"/>
          <w:lang w:eastAsia="en-GB"/>
        </w:rPr>
        <w:footnoteReference w:id="5"/>
      </w:r>
      <w:r w:rsidR="00046769">
        <w:rPr>
          <w:lang w:eastAsia="en-GB"/>
        </w:rPr>
        <w:t xml:space="preserve"> </w:t>
      </w:r>
      <w:r w:rsidR="00160F38">
        <w:rPr>
          <w:lang w:eastAsia="en-GB"/>
        </w:rPr>
        <w:t xml:space="preserve">Because words and ideas change in meaning, </w:t>
      </w:r>
      <w:r w:rsidR="00325F5E">
        <w:rPr>
          <w:lang w:eastAsia="en-GB"/>
        </w:rPr>
        <w:t xml:space="preserve">Schleiermacher saw that </w:t>
      </w:r>
      <w:r w:rsidR="00160F38">
        <w:rPr>
          <w:lang w:eastAsia="en-GB"/>
        </w:rPr>
        <w:t xml:space="preserve">“misunderstanding results as a matter of course,” and </w:t>
      </w:r>
      <w:r w:rsidR="00325F5E">
        <w:rPr>
          <w:lang w:eastAsia="en-GB"/>
        </w:rPr>
        <w:t>this signals, for him,</w:t>
      </w:r>
      <w:r w:rsidR="00160F38">
        <w:rPr>
          <w:lang w:eastAsia="en-GB"/>
        </w:rPr>
        <w:t xml:space="preserve"> the birth of hermeneutics.</w:t>
      </w:r>
      <w:r w:rsidR="00160F38">
        <w:rPr>
          <w:rStyle w:val="FootnoteReference"/>
          <w:lang w:eastAsia="en-GB"/>
        </w:rPr>
        <w:footnoteReference w:id="6"/>
      </w:r>
      <w:r w:rsidR="00160F38">
        <w:rPr>
          <w:lang w:eastAsia="en-GB"/>
        </w:rPr>
        <w:t xml:space="preserve">  </w:t>
      </w:r>
      <w:r w:rsidR="00143D8E">
        <w:rPr>
          <w:lang w:eastAsia="en-GB"/>
        </w:rPr>
        <w:t>Our awareness</w:t>
      </w:r>
      <w:r w:rsidR="00234BAF">
        <w:rPr>
          <w:lang w:eastAsia="en-GB"/>
        </w:rPr>
        <w:t xml:space="preserve"> </w:t>
      </w:r>
      <w:r w:rsidR="00046769">
        <w:rPr>
          <w:lang w:eastAsia="en-GB"/>
        </w:rPr>
        <w:t>of the cultural distance between an ancient text and its modern reader</w:t>
      </w:r>
      <w:r w:rsidR="00143D8E">
        <w:rPr>
          <w:lang w:eastAsia="en-GB"/>
        </w:rPr>
        <w:t xml:space="preserve"> gives rise to the need for a contemporary interpretation</w:t>
      </w:r>
      <w:r w:rsidR="00046769">
        <w:rPr>
          <w:lang w:eastAsia="en-GB"/>
        </w:rPr>
        <w:t xml:space="preserve">. </w:t>
      </w:r>
    </w:p>
    <w:p w:rsidR="00F164CF" w:rsidRDefault="00234BAF" w:rsidP="00F164CF">
      <w:r>
        <w:rPr>
          <w:lang w:eastAsia="en-GB"/>
        </w:rPr>
        <w:t xml:space="preserve">Romanticism </w:t>
      </w:r>
      <w:r w:rsidR="00046769">
        <w:rPr>
          <w:lang w:eastAsia="en-GB"/>
        </w:rPr>
        <w:t>fought</w:t>
      </w:r>
      <w:r w:rsidR="00BE59F9">
        <w:rPr>
          <w:lang w:eastAsia="en-GB"/>
        </w:rPr>
        <w:t>, however,</w:t>
      </w:r>
      <w:r w:rsidR="00046769">
        <w:rPr>
          <w:lang w:eastAsia="en-GB"/>
        </w:rPr>
        <w:t xml:space="preserve"> on </w:t>
      </w:r>
      <w:r w:rsidR="00F164CF">
        <w:rPr>
          <w:lang w:eastAsia="en-GB"/>
        </w:rPr>
        <w:t>terrain already determined</w:t>
      </w:r>
      <w:r>
        <w:rPr>
          <w:lang w:eastAsia="en-GB"/>
        </w:rPr>
        <w:t xml:space="preserve"> by </w:t>
      </w:r>
      <w:r w:rsidR="00160F38">
        <w:rPr>
          <w:lang w:eastAsia="en-GB"/>
        </w:rPr>
        <w:t xml:space="preserve">Enlightenment </w:t>
      </w:r>
      <w:r>
        <w:rPr>
          <w:lang w:eastAsia="en-GB"/>
        </w:rPr>
        <w:t>concerns for universality, certainty, and objectivity</w:t>
      </w:r>
      <w:r w:rsidR="00160F38">
        <w:rPr>
          <w:lang w:eastAsia="en-GB"/>
        </w:rPr>
        <w:t>.</w:t>
      </w:r>
      <w:r w:rsidR="00BE59F9">
        <w:rPr>
          <w:lang w:eastAsia="en-GB"/>
        </w:rPr>
        <w:t xml:space="preserve"> T</w:t>
      </w:r>
      <w:r>
        <w:rPr>
          <w:lang w:eastAsia="en-GB"/>
        </w:rPr>
        <w:t>he rise of scientific positivism</w:t>
      </w:r>
      <w:r w:rsidR="00160F38">
        <w:rPr>
          <w:lang w:eastAsia="en-GB"/>
        </w:rPr>
        <w:t xml:space="preserve"> at the end of the nineteenth century put</w:t>
      </w:r>
      <w:r>
        <w:rPr>
          <w:lang w:eastAsia="en-GB"/>
        </w:rPr>
        <w:t xml:space="preserve"> </w:t>
      </w:r>
      <w:r w:rsidR="00160F38">
        <w:rPr>
          <w:lang w:eastAsia="en-GB"/>
        </w:rPr>
        <w:t>t</w:t>
      </w:r>
      <w:r>
        <w:rPr>
          <w:lang w:eastAsia="en-GB"/>
        </w:rPr>
        <w:t>he humanities under enormous pressure to justify their validity</w:t>
      </w:r>
      <w:r w:rsidR="00F164CF">
        <w:rPr>
          <w:lang w:eastAsia="en-GB"/>
        </w:rPr>
        <w:t xml:space="preserve"> in scientific terms</w:t>
      </w:r>
      <w:r w:rsidR="00160F38">
        <w:rPr>
          <w:lang w:eastAsia="en-GB"/>
        </w:rPr>
        <w:t xml:space="preserve">. </w:t>
      </w:r>
      <w:r w:rsidR="00325F5E">
        <w:t xml:space="preserve">Hermeneutics needed objective criteria to </w:t>
      </w:r>
      <w:r w:rsidR="00D34F3E">
        <w:t>determine</w:t>
      </w:r>
      <w:r w:rsidR="00325F5E">
        <w:t xml:space="preserve"> </w:t>
      </w:r>
      <w:r w:rsidR="000342D5">
        <w:t>a single, univocal</w:t>
      </w:r>
      <w:r w:rsidR="00325F5E">
        <w:t xml:space="preserve"> meaning of a text in a scientifically verifiable way</w:t>
      </w:r>
      <w:r w:rsidR="000342D5">
        <w:t>.</w:t>
      </w:r>
      <w:r w:rsidR="00325F5E">
        <w:t xml:space="preserve"> </w:t>
      </w:r>
      <w:r w:rsidR="00D34F3E">
        <w:t xml:space="preserve">Dilthey </w:t>
      </w:r>
      <w:r w:rsidR="00325F5E">
        <w:t>found this criteria</w:t>
      </w:r>
      <w:r w:rsidR="00292A61">
        <w:t>, says Ricœur, in “the idea of intentionality and of the iden</w:t>
      </w:r>
      <w:r w:rsidR="00077326">
        <w:t>tical character of the intentional object</w:t>
      </w:r>
      <w:r w:rsidR="00525D79">
        <w:t>.</w:t>
      </w:r>
      <w:r w:rsidR="00077326">
        <w:t>”</w:t>
      </w:r>
      <w:r w:rsidR="00077326">
        <w:rPr>
          <w:rStyle w:val="FootnoteReference"/>
        </w:rPr>
        <w:footnoteReference w:id="7"/>
      </w:r>
      <w:r w:rsidR="00525D79">
        <w:t xml:space="preserve"> </w:t>
      </w:r>
      <w:r w:rsidR="00F164CF">
        <w:t>Thus</w:t>
      </w:r>
      <w:r w:rsidR="00325F5E">
        <w:t xml:space="preserve"> to interpret a text meant to “transpose oneself onto another” – to go behind the text to the intentions of its author.</w:t>
      </w:r>
      <w:r w:rsidR="00325F5E" w:rsidRPr="001514FD">
        <w:rPr>
          <w:rStyle w:val="FootnoteReference"/>
        </w:rPr>
        <w:footnoteReference w:id="8"/>
      </w:r>
    </w:p>
    <w:p w:rsidR="00272334" w:rsidRDefault="00F8083D" w:rsidP="00272334">
      <w:r>
        <w:t xml:space="preserve">Ricœur </w:t>
      </w:r>
      <w:r w:rsidR="000342D5">
        <w:t>does not deny the essential role played by authorial intention.</w:t>
      </w:r>
      <w:r w:rsidR="000F1977">
        <w:t xml:space="preserve"> </w:t>
      </w:r>
      <w:r w:rsidR="00143D8E">
        <w:t xml:space="preserve">The </w:t>
      </w:r>
      <w:r w:rsidR="000F1977">
        <w:t>author’s “intention … [is] not to be excluded from hermeneutics</w:t>
      </w:r>
      <w:r w:rsidR="00525D79">
        <w:t>,</w:t>
      </w:r>
      <w:r w:rsidR="000F1977">
        <w:t>”</w:t>
      </w:r>
      <w:r w:rsidR="00525D79">
        <w:t xml:space="preserve"> he tells us.</w:t>
      </w:r>
      <w:r w:rsidR="000F1977">
        <w:rPr>
          <w:rStyle w:val="FootnoteReference"/>
        </w:rPr>
        <w:footnoteReference w:id="9"/>
      </w:r>
      <w:r w:rsidR="000F1977">
        <w:t xml:space="preserve"> His </w:t>
      </w:r>
      <w:r w:rsidR="00525D79">
        <w:t>criticism of</w:t>
      </w:r>
      <w:r w:rsidR="000F1977">
        <w:t xml:space="preserve"> the Romantics </w:t>
      </w:r>
      <w:r w:rsidR="009D4269">
        <w:t xml:space="preserve">is </w:t>
      </w:r>
      <w:r w:rsidR="00236123">
        <w:t>rather</w:t>
      </w:r>
      <w:r w:rsidR="009D4269">
        <w:t xml:space="preserve"> </w:t>
      </w:r>
      <w:r w:rsidR="000F1977">
        <w:t xml:space="preserve">that they assign the </w:t>
      </w:r>
      <w:r w:rsidR="00390B94">
        <w:rPr>
          <w:i/>
        </w:rPr>
        <w:t>complete</w:t>
      </w:r>
      <w:r w:rsidR="000F1977">
        <w:t xml:space="preserve"> meaning to the author’s intent</w:t>
      </w:r>
      <w:r w:rsidR="00BE59F9">
        <w:t>ion</w:t>
      </w:r>
      <w:r w:rsidR="009D4269">
        <w:t xml:space="preserve"> without remainder</w:t>
      </w:r>
      <w:r w:rsidR="002322FA">
        <w:t xml:space="preserve">, which, for Ricœur, </w:t>
      </w:r>
      <w:r w:rsidR="00BE59F9">
        <w:t xml:space="preserve">is </w:t>
      </w:r>
      <w:r w:rsidR="00A82F91">
        <w:t xml:space="preserve">neither </w:t>
      </w:r>
      <w:r w:rsidR="00A82F91" w:rsidRPr="00A82F91">
        <w:rPr>
          <w:i/>
        </w:rPr>
        <w:t>possible</w:t>
      </w:r>
      <w:r w:rsidR="00A82F91">
        <w:t xml:space="preserve"> nor </w:t>
      </w:r>
      <w:r w:rsidR="00A82F91" w:rsidRPr="00A82F91">
        <w:rPr>
          <w:i/>
        </w:rPr>
        <w:t>desirable</w:t>
      </w:r>
      <w:r w:rsidR="00A82F91">
        <w:t xml:space="preserve">. It is not </w:t>
      </w:r>
      <w:r w:rsidR="00A82F91">
        <w:rPr>
          <w:i/>
        </w:rPr>
        <w:t xml:space="preserve">possible </w:t>
      </w:r>
      <w:r w:rsidR="00A82F91">
        <w:t xml:space="preserve">because </w:t>
      </w:r>
      <w:r w:rsidR="00E31A0E">
        <w:t xml:space="preserve">we can never eliminate our own </w:t>
      </w:r>
      <w:r w:rsidR="00A82F91">
        <w:t xml:space="preserve">finite perspective to obtain a neutral, objective </w:t>
      </w:r>
      <w:r w:rsidR="003E61FB">
        <w:t>‘</w:t>
      </w:r>
      <w:r w:rsidR="00A82F91">
        <w:t>meaning</w:t>
      </w:r>
      <w:r w:rsidR="003E61FB">
        <w:t>’</w:t>
      </w:r>
      <w:r w:rsidR="00A82F91">
        <w:t xml:space="preserve"> to a text</w:t>
      </w:r>
      <w:r w:rsidR="008B54C0">
        <w:t>, even if that meaning is restricted to what the author meant</w:t>
      </w:r>
      <w:r w:rsidR="00A82F91">
        <w:t>: “to adopt the other’s point of view while forgetting one’s own, is that not objectivity? Yet nothing is more disastrous than this fallacious assimilation.”</w:t>
      </w:r>
      <w:r w:rsidR="008B54C0">
        <w:rPr>
          <w:rStyle w:val="FootnoteReference"/>
        </w:rPr>
        <w:footnoteReference w:id="10"/>
      </w:r>
      <w:r w:rsidR="008B54C0">
        <w:t xml:space="preserve"> </w:t>
      </w:r>
      <w:r w:rsidR="00E31A0E">
        <w:t>You can never see the world through another’s eyes.</w:t>
      </w:r>
      <w:r w:rsidR="00A82F91">
        <w:t xml:space="preserve"> </w:t>
      </w:r>
      <w:r w:rsidR="008B54C0">
        <w:t xml:space="preserve">But nor is </w:t>
      </w:r>
      <w:r w:rsidR="00B740D3">
        <w:t>it</w:t>
      </w:r>
      <w:r w:rsidR="008B54C0">
        <w:t xml:space="preserve"> </w:t>
      </w:r>
      <w:r w:rsidR="008B54C0" w:rsidRPr="00C34EBE">
        <w:rPr>
          <w:i/>
        </w:rPr>
        <w:t>desirable</w:t>
      </w:r>
      <w:r w:rsidR="008B54C0">
        <w:t>.</w:t>
      </w:r>
      <w:r w:rsidR="00272334">
        <w:t xml:space="preserve"> </w:t>
      </w:r>
      <w:r w:rsidR="002322FA">
        <w:t>A</w:t>
      </w:r>
      <w:r w:rsidR="00272334">
        <w:t xml:space="preserve"> text</w:t>
      </w:r>
      <w:r w:rsidR="002322FA">
        <w:t>, argues Ricœur,</w:t>
      </w:r>
      <w:r w:rsidR="00272334">
        <w:t xml:space="preserve"> is not there merely to convey the author’s subjective intentions, but to communicate something about the world which transcends the horizon of both author and reader. The text </w:t>
      </w:r>
      <w:r w:rsidR="00272334" w:rsidRPr="00E31A0E">
        <w:rPr>
          <w:i/>
        </w:rPr>
        <w:t>says something</w:t>
      </w:r>
      <w:r w:rsidR="00272334">
        <w:t xml:space="preserve"> and it is the </w:t>
      </w:r>
      <w:r w:rsidR="00272334" w:rsidRPr="00E31A0E">
        <w:rPr>
          <w:i/>
        </w:rPr>
        <w:t>something</w:t>
      </w:r>
      <w:r w:rsidR="00272334">
        <w:t xml:space="preserve"> which matters, the meaning of which the author’s intention </w:t>
      </w:r>
      <w:r w:rsidR="00272334" w:rsidRPr="00390B94">
        <w:t>contributes to</w:t>
      </w:r>
      <w:r w:rsidR="00272334">
        <w:t xml:space="preserve"> but does not </w:t>
      </w:r>
      <w:r w:rsidR="00272334" w:rsidRPr="00390B94">
        <w:t>complete</w:t>
      </w:r>
      <w:r w:rsidR="00272334">
        <w:t xml:space="preserve">. </w:t>
      </w:r>
    </w:p>
    <w:p w:rsidR="00236123" w:rsidRDefault="002322FA" w:rsidP="00236123">
      <w:r>
        <w:lastRenderedPageBreak/>
        <w:t xml:space="preserve">What, then, does complete the text’s meaning? To answer this, Ricœur </w:t>
      </w:r>
      <w:r w:rsidR="00816B48">
        <w:t>asks us to look closely at what</w:t>
      </w:r>
      <w:r>
        <w:t xml:space="preserve"> is presupposed by</w:t>
      </w:r>
      <w:r w:rsidR="00816B48">
        <w:t xml:space="preserve"> </w:t>
      </w:r>
      <w:r>
        <w:t xml:space="preserve">the very need for </w:t>
      </w:r>
      <w:r w:rsidR="00816B48">
        <w:t>interpretation</w:t>
      </w:r>
      <w:r>
        <w:t xml:space="preserve">: </w:t>
      </w:r>
      <w:r w:rsidR="00D2000C">
        <w:t xml:space="preserve">the text’s </w:t>
      </w:r>
      <w:r w:rsidR="00236123" w:rsidRPr="00236123">
        <w:rPr>
          <w:i/>
        </w:rPr>
        <w:t>duration</w:t>
      </w:r>
      <w:r w:rsidR="00816B48">
        <w:t>. While verbal dialogue takes place at one moment in time, a text carries its message into a future context where the author is no longer present</w:t>
      </w:r>
      <w:r w:rsidR="00236123">
        <w:t>.</w:t>
      </w:r>
      <w:r>
        <w:t xml:space="preserve"> “The peculiarity of the literary work,” he writes, is</w:t>
      </w:r>
    </w:p>
    <w:p w:rsidR="00816B48" w:rsidRDefault="00236123" w:rsidP="00236123">
      <w:pPr>
        <w:pStyle w:val="Quote"/>
      </w:pPr>
      <w:r>
        <w:t xml:space="preserve">to transcend its own psycho-sociological conditions of production and thereby to open itself to an unlimited series of readings, themselves situated in socio-cultural contexts which are always different. In short, the work </w:t>
      </w:r>
      <w:r>
        <w:rPr>
          <w:i/>
        </w:rPr>
        <w:t xml:space="preserve">decontextualizes </w:t>
      </w:r>
      <w:r>
        <w:t xml:space="preserve">itself … and is able to </w:t>
      </w:r>
      <w:r>
        <w:rPr>
          <w:i/>
        </w:rPr>
        <w:t xml:space="preserve">recontextualise </w:t>
      </w:r>
      <w:r>
        <w:t>itself differently in the act of reading.</w:t>
      </w:r>
      <w:r w:rsidR="00B118D2">
        <w:rPr>
          <w:rStyle w:val="FootnoteReference"/>
        </w:rPr>
        <w:footnoteReference w:id="11"/>
      </w:r>
      <w:r>
        <w:t xml:space="preserve">  </w:t>
      </w:r>
    </w:p>
    <w:p w:rsidR="00594B1C" w:rsidRDefault="00C46589" w:rsidP="008B54C0">
      <w:pPr>
        <w:rPr>
          <w:lang w:eastAsia="en-GB"/>
        </w:rPr>
      </w:pPr>
      <w:r>
        <w:t>Meaning, then,</w:t>
      </w:r>
      <w:r w:rsidR="00272334">
        <w:t xml:space="preserve"> is not complete until it is realised in contemporary understanding, where the world opened by the text is grasped in its implications for today. </w:t>
      </w:r>
      <w:r w:rsidR="00266E21">
        <w:t>The legal procedures around a court case are a helpful example of how this works</w:t>
      </w:r>
      <w:r w:rsidR="00272334">
        <w:rPr>
          <w:lang w:eastAsia="en-GB"/>
        </w:rPr>
        <w:t xml:space="preserve">. Every lawyer knows that the judge’s decision about how to interpret the law is not merely a recovery of what the law always originally meant, but a creative act which gives the law a new meaning it did not previously have. That is why trainee lawyers need to know, not only the original wording of a law, but also the history of cases in which the law was applied, because such cases </w:t>
      </w:r>
      <w:r w:rsidR="00266E21">
        <w:rPr>
          <w:lang w:eastAsia="en-GB"/>
        </w:rPr>
        <w:t>affect</w:t>
      </w:r>
      <w:r w:rsidR="00272334">
        <w:rPr>
          <w:lang w:eastAsia="en-GB"/>
        </w:rPr>
        <w:t xml:space="preserve"> </w:t>
      </w:r>
      <w:r w:rsidR="00266E21">
        <w:rPr>
          <w:lang w:eastAsia="en-GB"/>
        </w:rPr>
        <w:t>the law’s</w:t>
      </w:r>
      <w:r w:rsidR="00272334">
        <w:rPr>
          <w:lang w:eastAsia="en-GB"/>
        </w:rPr>
        <w:t xml:space="preserve"> meaning.</w:t>
      </w:r>
    </w:p>
    <w:p w:rsidR="000138FF" w:rsidRDefault="00251326" w:rsidP="00266E21">
      <w:r>
        <w:rPr>
          <w:lang w:eastAsia="en-GB"/>
        </w:rPr>
        <w:t>Ricœur’s</w:t>
      </w:r>
      <w:r w:rsidR="00BD16EB">
        <w:rPr>
          <w:lang w:eastAsia="en-GB"/>
        </w:rPr>
        <w:t xml:space="preserve"> break with authorial intention can </w:t>
      </w:r>
      <w:r w:rsidR="004F50DE">
        <w:rPr>
          <w:lang w:eastAsia="en-GB"/>
        </w:rPr>
        <w:t>provide</w:t>
      </w:r>
      <w:r w:rsidR="00BD16EB">
        <w:rPr>
          <w:lang w:eastAsia="en-GB"/>
        </w:rPr>
        <w:t xml:space="preserve"> an understanding of </w:t>
      </w:r>
      <w:r w:rsidR="00272334">
        <w:rPr>
          <w:lang w:eastAsia="en-GB"/>
        </w:rPr>
        <w:t>doctrinal</w:t>
      </w:r>
      <w:r w:rsidR="00BD16EB">
        <w:rPr>
          <w:lang w:eastAsia="en-GB"/>
        </w:rPr>
        <w:t xml:space="preserve"> development that does not conflict with </w:t>
      </w:r>
      <w:r w:rsidR="00BD16EB">
        <w:rPr>
          <w:i/>
          <w:lang w:eastAsia="en-GB"/>
        </w:rPr>
        <w:t>sola scriptura</w:t>
      </w:r>
      <w:r w:rsidR="00BD16EB">
        <w:rPr>
          <w:lang w:eastAsia="en-GB"/>
        </w:rPr>
        <w:t xml:space="preserve">. </w:t>
      </w:r>
      <w:r w:rsidR="00272334">
        <w:rPr>
          <w:lang w:eastAsia="en-GB"/>
        </w:rPr>
        <w:t>M</w:t>
      </w:r>
      <w:r w:rsidR="00C34EBE">
        <w:rPr>
          <w:lang w:eastAsia="en-GB"/>
        </w:rPr>
        <w:t xml:space="preserve">any Protestants are suspicious of dogmatic developments </w:t>
      </w:r>
      <w:r w:rsidR="00272334">
        <w:rPr>
          <w:lang w:eastAsia="en-GB"/>
        </w:rPr>
        <w:t xml:space="preserve">because </w:t>
      </w:r>
      <w:r w:rsidR="00C34EBE">
        <w:rPr>
          <w:lang w:eastAsia="en-GB"/>
        </w:rPr>
        <w:t>they seem</w:t>
      </w:r>
      <w:r w:rsidR="00272334">
        <w:rPr>
          <w:lang w:eastAsia="en-GB"/>
        </w:rPr>
        <w:t>,</w:t>
      </w:r>
      <w:r w:rsidR="00C34EBE">
        <w:rPr>
          <w:lang w:eastAsia="en-GB"/>
        </w:rPr>
        <w:t xml:space="preserve"> by very definition</w:t>
      </w:r>
      <w:r w:rsidR="00272334">
        <w:rPr>
          <w:lang w:eastAsia="en-GB"/>
        </w:rPr>
        <w:t>,</w:t>
      </w:r>
      <w:r w:rsidR="00C34EBE">
        <w:rPr>
          <w:lang w:eastAsia="en-GB"/>
        </w:rPr>
        <w:t xml:space="preserve"> to go “beyond what is written” in a manner condemned by the apostle Paul (1 Corinthians 4:6). </w:t>
      </w:r>
      <w:r w:rsidR="00C34EBE">
        <w:t xml:space="preserve">Lindbeck </w:t>
      </w:r>
      <w:r w:rsidR="00272334">
        <w:t xml:space="preserve">expresses </w:t>
      </w:r>
      <w:r w:rsidR="00C34EBE">
        <w:t>this concern when he writes, “the sixteenth-century view of the relation of Scripture to creeds and confessions has become untenable as the result of advances in historical studies and awareness. The Church’s doctrines are developments which ‘go beyond’ Scripture; they have what look like novel elements in terms of objective historiography, they clearly are not simply distillations of biblical teaching. Consequently their status has become questionable[.]”</w:t>
      </w:r>
      <w:r w:rsidR="00C34EBE">
        <w:rPr>
          <w:rStyle w:val="FootnoteReference"/>
        </w:rPr>
        <w:footnoteReference w:id="12"/>
      </w:r>
      <w:r w:rsidR="0086547A">
        <w:t xml:space="preserve"> Ashley Hall even goes the other way, seeing the necessity of doctrinal development as a reason for abandoning </w:t>
      </w:r>
      <w:r w:rsidR="0086547A">
        <w:rPr>
          <w:i/>
        </w:rPr>
        <w:t>sola scriptura</w:t>
      </w:r>
      <w:r w:rsidR="0086547A">
        <w:t>: “In evaluating the status of doctrine—that is, the question of proper development and corruption—sola scriptura is an inadequate standard.”</w:t>
      </w:r>
      <w:r w:rsidR="0086547A">
        <w:rPr>
          <w:rStyle w:val="FootnoteReference"/>
        </w:rPr>
        <w:footnoteReference w:id="13"/>
      </w:r>
      <w:r w:rsidR="00266E21">
        <w:t xml:space="preserve"> </w:t>
      </w:r>
      <w:r w:rsidR="004F50DE">
        <w:t>But t</w:t>
      </w:r>
      <w:r w:rsidR="00C34EBE">
        <w:t xml:space="preserve">his kind of </w:t>
      </w:r>
      <w:r w:rsidR="00272334">
        <w:t>‘</w:t>
      </w:r>
      <w:r w:rsidR="00C34EBE">
        <w:t>going beyond</w:t>
      </w:r>
      <w:r w:rsidR="00272334">
        <w:t>’</w:t>
      </w:r>
      <w:r w:rsidR="00C34EBE">
        <w:t xml:space="preserve"> Scripture is simply not a problem from a Ricœurian point of view, if we remember that for Ricœur the meaning of a text is jointly produced by author and reader. </w:t>
      </w:r>
      <w:r w:rsidR="00587D8E">
        <w:t>E</w:t>
      </w:r>
      <w:r w:rsidR="00C34EBE">
        <w:rPr>
          <w:lang w:eastAsia="en-GB"/>
        </w:rPr>
        <w:t>ven t</w:t>
      </w:r>
      <w:r w:rsidR="00C34EBE">
        <w:t xml:space="preserve">he original </w:t>
      </w:r>
      <w:r w:rsidR="00587D8E">
        <w:t>audience of</w:t>
      </w:r>
      <w:r w:rsidR="00EE747F">
        <w:t>, for example,</w:t>
      </w:r>
      <w:r w:rsidR="00587D8E">
        <w:t xml:space="preserve"> a New Testament epistle,</w:t>
      </w:r>
      <w:r w:rsidR="00C34EBE">
        <w:t xml:space="preserve"> went “beyond” it in a</w:t>
      </w:r>
      <w:r w:rsidR="00587D8E">
        <w:t xml:space="preserve"> narrow</w:t>
      </w:r>
      <w:r w:rsidR="00C34EBE">
        <w:t xml:space="preserve"> sense, by contributing their unique perspective and situation to the text’s meaning. </w:t>
      </w:r>
      <w:r w:rsidR="000138FF">
        <w:t>As an example</w:t>
      </w:r>
      <w:r w:rsidR="00C34EBE">
        <w:t xml:space="preserve">, the “novelty” </w:t>
      </w:r>
      <w:r w:rsidR="00C34EBE">
        <w:lastRenderedPageBreak/>
        <w:t>in the Nicene Creed is simply a result of seeking to understand Scripture from the perspective of the fourth</w:t>
      </w:r>
      <w:r w:rsidR="00C901CA">
        <w:t>-</w:t>
      </w:r>
      <w:r w:rsidR="00C34EBE">
        <w:t>century cultural context, as Craig Blaising</w:t>
      </w:r>
      <w:r w:rsidR="008E58A4">
        <w:t xml:space="preserve"> has argued in detail</w:t>
      </w:r>
      <w:r w:rsidR="00C34EBE">
        <w:t>.</w:t>
      </w:r>
      <w:r w:rsidR="00C34EBE">
        <w:rPr>
          <w:rStyle w:val="FootnoteReference"/>
        </w:rPr>
        <w:footnoteReference w:id="14"/>
      </w:r>
      <w:r w:rsidR="00C34EBE">
        <w:t xml:space="preserve"> Novelty does not disqualify it as a </w:t>
      </w:r>
      <w:r w:rsidR="00C34EBE" w:rsidRPr="00C265E4">
        <w:rPr>
          <w:i/>
        </w:rPr>
        <w:t>potentially</w:t>
      </w:r>
      <w:r w:rsidR="00C34EBE">
        <w:t xml:space="preserve"> correct interpretation, although whether it is </w:t>
      </w:r>
      <w:r w:rsidR="00C34EBE">
        <w:rPr>
          <w:i/>
        </w:rPr>
        <w:t>actually</w:t>
      </w:r>
      <w:r w:rsidR="00C34EBE">
        <w:t xml:space="preserve"> correct is a separate question.</w:t>
      </w:r>
      <w:r w:rsidR="000138FF">
        <w:t xml:space="preserve"> </w:t>
      </w:r>
      <w:r w:rsidR="00C34EBE">
        <w:t xml:space="preserve">I suggest then, that a Ricœurian take on </w:t>
      </w:r>
      <w:r w:rsidR="00C34EBE">
        <w:rPr>
          <w:i/>
        </w:rPr>
        <w:t xml:space="preserve">sola scriptura </w:t>
      </w:r>
      <w:r w:rsidR="00C34EBE">
        <w:t xml:space="preserve">is that it prohibits any dogmas that are not </w:t>
      </w:r>
      <w:r w:rsidR="00C34EBE" w:rsidRPr="006F1F11">
        <w:rPr>
          <w:i/>
        </w:rPr>
        <w:t>anchored</w:t>
      </w:r>
      <w:r w:rsidR="00C34EBE">
        <w:t xml:space="preserve"> in Scripture as their basis and origin.</w:t>
      </w:r>
      <w:r w:rsidR="008E58A4">
        <w:t xml:space="preserve"> </w:t>
      </w:r>
    </w:p>
    <w:p w:rsidR="00272334" w:rsidRDefault="00266E21" w:rsidP="00266E21">
      <w:pPr>
        <w:rPr>
          <w:lang w:eastAsia="en-GB"/>
        </w:rPr>
      </w:pPr>
      <w:r>
        <w:rPr>
          <w:lang w:eastAsia="en-GB"/>
        </w:rPr>
        <w:t xml:space="preserve">This definition </w:t>
      </w:r>
      <w:r w:rsidR="00B118D2">
        <w:rPr>
          <w:lang w:eastAsia="en-GB"/>
        </w:rPr>
        <w:t xml:space="preserve">also helps clarify </w:t>
      </w:r>
      <w:r>
        <w:rPr>
          <w:lang w:eastAsia="en-GB"/>
        </w:rPr>
        <w:t xml:space="preserve">the importance of the </w:t>
      </w:r>
      <w:r w:rsidRPr="000138FF">
        <w:rPr>
          <w:i/>
          <w:lang w:eastAsia="en-GB"/>
        </w:rPr>
        <w:t>history of interpretation</w:t>
      </w:r>
      <w:r w:rsidR="004F50DE">
        <w:rPr>
          <w:lang w:eastAsia="en-GB"/>
        </w:rPr>
        <w:t>.</w:t>
      </w:r>
      <w:r w:rsidR="00272334">
        <w:rPr>
          <w:lang w:eastAsia="en-GB"/>
        </w:rPr>
        <w:t xml:space="preserve"> </w:t>
      </w:r>
      <w:r w:rsidR="00B118D2">
        <w:rPr>
          <w:lang w:eastAsia="en-GB"/>
        </w:rPr>
        <w:t>C</w:t>
      </w:r>
      <w:r w:rsidR="00390B94">
        <w:rPr>
          <w:lang w:eastAsia="en-GB"/>
        </w:rPr>
        <w:t xml:space="preserve">hurches which base their reading of Scripture </w:t>
      </w:r>
      <w:r w:rsidR="00B118D2">
        <w:rPr>
          <w:lang w:eastAsia="en-GB"/>
        </w:rPr>
        <w:t xml:space="preserve">exclusively </w:t>
      </w:r>
      <w:r w:rsidR="00390B94">
        <w:rPr>
          <w:lang w:eastAsia="en-GB"/>
        </w:rPr>
        <w:t>on</w:t>
      </w:r>
      <w:r>
        <w:rPr>
          <w:lang w:eastAsia="en-GB"/>
        </w:rPr>
        <w:t xml:space="preserve"> authorial intention</w:t>
      </w:r>
      <w:r w:rsidR="00B118D2">
        <w:rPr>
          <w:lang w:eastAsia="en-GB"/>
        </w:rPr>
        <w:t>, on the other hand,</w:t>
      </w:r>
      <w:r w:rsidR="00390B94">
        <w:rPr>
          <w:lang w:eastAsia="en-GB"/>
        </w:rPr>
        <w:t xml:space="preserve"> would </w:t>
      </w:r>
      <w:r>
        <w:rPr>
          <w:lang w:eastAsia="en-GB"/>
        </w:rPr>
        <w:t xml:space="preserve">have little need </w:t>
      </w:r>
      <w:r w:rsidR="00B118D2">
        <w:rPr>
          <w:lang w:eastAsia="en-GB"/>
        </w:rPr>
        <w:t xml:space="preserve">to know </w:t>
      </w:r>
      <w:r>
        <w:rPr>
          <w:lang w:eastAsia="en-GB"/>
        </w:rPr>
        <w:t xml:space="preserve">the history between the writing of Scripture and </w:t>
      </w:r>
      <w:r w:rsidR="00B118D2">
        <w:rPr>
          <w:lang w:eastAsia="en-GB"/>
        </w:rPr>
        <w:t>their</w:t>
      </w:r>
      <w:r>
        <w:rPr>
          <w:lang w:eastAsia="en-GB"/>
        </w:rPr>
        <w:t xml:space="preserve"> own time. </w:t>
      </w:r>
      <w:r w:rsidR="00390B94">
        <w:rPr>
          <w:lang w:eastAsia="en-GB"/>
        </w:rPr>
        <w:t xml:space="preserve">Their </w:t>
      </w:r>
      <w:r w:rsidR="00272334">
        <w:rPr>
          <w:lang w:eastAsia="en-GB"/>
        </w:rPr>
        <w:t xml:space="preserve">doctrinal ‘development’ would be more like scientific progress, where the history of interpretation is irrelevant because all that matters is the aggregate of results considered true </w:t>
      </w:r>
      <w:r w:rsidR="00B118D2">
        <w:rPr>
          <w:lang w:eastAsia="en-GB"/>
        </w:rPr>
        <w:t>in the present</w:t>
      </w:r>
      <w:r w:rsidR="00272334">
        <w:rPr>
          <w:lang w:eastAsia="en-GB"/>
        </w:rPr>
        <w:t>, past ‘dogmas’ having no authoritative weight.</w:t>
      </w:r>
      <w:r w:rsidR="00634CB5">
        <w:rPr>
          <w:rStyle w:val="FootnoteReference"/>
          <w:lang w:eastAsia="en-GB"/>
        </w:rPr>
        <w:footnoteReference w:id="15"/>
      </w:r>
      <w:r w:rsidR="00634CB5">
        <w:rPr>
          <w:lang w:eastAsia="en-GB"/>
        </w:rPr>
        <w:t xml:space="preserve"> </w:t>
      </w:r>
      <w:r w:rsidR="00F51249">
        <w:rPr>
          <w:lang w:eastAsia="en-GB"/>
        </w:rPr>
        <w:t>It is highly unlikely that such churches would rediscover the Trinity</w:t>
      </w:r>
      <w:r w:rsidR="00EE321D">
        <w:rPr>
          <w:lang w:eastAsia="en-GB"/>
        </w:rPr>
        <w:t>, for example,</w:t>
      </w:r>
      <w:r w:rsidR="00F51249">
        <w:rPr>
          <w:lang w:eastAsia="en-GB"/>
        </w:rPr>
        <w:t xml:space="preserve"> every generation on their own merits</w:t>
      </w:r>
      <w:r w:rsidR="00EE321D">
        <w:rPr>
          <w:lang w:eastAsia="en-GB"/>
        </w:rPr>
        <w:t>,</w:t>
      </w:r>
      <w:r w:rsidR="00F51249">
        <w:rPr>
          <w:lang w:eastAsia="en-GB"/>
        </w:rPr>
        <w:t xml:space="preserve"> since </w:t>
      </w:r>
      <w:r w:rsidR="00EE321D">
        <w:rPr>
          <w:lang w:eastAsia="en-GB"/>
        </w:rPr>
        <w:t>Trinitarian</w:t>
      </w:r>
      <w:r w:rsidR="00F51249">
        <w:rPr>
          <w:lang w:eastAsia="en-GB"/>
        </w:rPr>
        <w:t xml:space="preserve"> doctrine depended on unique external pressures which compelled a similarly unique response. Our actual experience of </w:t>
      </w:r>
      <w:r w:rsidR="00EE321D">
        <w:rPr>
          <w:lang w:eastAsia="en-GB"/>
        </w:rPr>
        <w:t>these kinds of</w:t>
      </w:r>
      <w:r w:rsidR="00F51249">
        <w:rPr>
          <w:lang w:eastAsia="en-GB"/>
        </w:rPr>
        <w:t xml:space="preserve"> churches is that they either believe uncritically in the Trinity, or that critical examination re-opens the ancient conciliar debates anew as if they had never happened. These stories thus lead to </w:t>
      </w:r>
      <w:r w:rsidR="00272334">
        <w:rPr>
          <w:lang w:eastAsia="en-GB"/>
        </w:rPr>
        <w:t xml:space="preserve">a kind of discontinuous repetition like the amnesiac in the movie </w:t>
      </w:r>
      <w:r w:rsidR="00272334">
        <w:rPr>
          <w:i/>
          <w:lang w:eastAsia="en-GB"/>
        </w:rPr>
        <w:t>M</w:t>
      </w:r>
      <w:r w:rsidR="00272334" w:rsidRPr="00E97E26">
        <w:rPr>
          <w:i/>
          <w:lang w:eastAsia="en-GB"/>
        </w:rPr>
        <w:t>emento</w:t>
      </w:r>
      <w:r w:rsidR="00F51249">
        <w:rPr>
          <w:lang w:eastAsia="en-GB"/>
        </w:rPr>
        <w:t>,</w:t>
      </w:r>
      <w:r w:rsidR="00272334">
        <w:rPr>
          <w:lang w:eastAsia="en-GB"/>
        </w:rPr>
        <w:t xml:space="preserve"> who can never remember anything that happened more than five minutes ago and is thus doomed to an</w:t>
      </w:r>
      <w:r w:rsidR="00390B94">
        <w:rPr>
          <w:lang w:eastAsia="en-GB"/>
        </w:rPr>
        <w:t xml:space="preserve"> unconscious</w:t>
      </w:r>
      <w:r w:rsidR="00272334">
        <w:rPr>
          <w:lang w:eastAsia="en-GB"/>
        </w:rPr>
        <w:t xml:space="preserve"> identical repetition of the same action over and over again.</w:t>
      </w:r>
    </w:p>
    <w:p w:rsidR="008E5873" w:rsidRDefault="00BC005C" w:rsidP="0049465E">
      <w:pPr>
        <w:pStyle w:val="Heading1"/>
        <w:rPr>
          <w:lang w:eastAsia="en-GB"/>
        </w:rPr>
      </w:pPr>
      <w:r>
        <w:rPr>
          <w:lang w:eastAsia="en-GB"/>
        </w:rPr>
        <w:t xml:space="preserve">Beyond Timeless Structures: How Understanding is </w:t>
      </w:r>
      <w:r w:rsidR="00F75E57">
        <w:rPr>
          <w:lang w:eastAsia="en-GB"/>
        </w:rPr>
        <w:t>an Event</w:t>
      </w:r>
    </w:p>
    <w:p w:rsidR="008B54C0" w:rsidRDefault="004F50DE" w:rsidP="00E52EFC">
      <w:pPr>
        <w:rPr>
          <w:lang w:eastAsia="en-GB"/>
        </w:rPr>
      </w:pPr>
      <w:r>
        <w:rPr>
          <w:lang w:eastAsia="en-GB"/>
        </w:rPr>
        <w:t>Second, t</w:t>
      </w:r>
      <w:r w:rsidR="008857F9">
        <w:rPr>
          <w:lang w:eastAsia="en-GB"/>
        </w:rPr>
        <w:t xml:space="preserve">he meaning of </w:t>
      </w:r>
      <w:r w:rsidR="00B81962">
        <w:rPr>
          <w:lang w:eastAsia="en-GB"/>
        </w:rPr>
        <w:t>Scripture</w:t>
      </w:r>
      <w:r w:rsidR="008857F9">
        <w:rPr>
          <w:lang w:eastAsia="en-GB"/>
        </w:rPr>
        <w:t xml:space="preserve"> cannot grow if it is </w:t>
      </w:r>
      <w:r w:rsidR="00B118D2">
        <w:rPr>
          <w:lang w:eastAsia="en-GB"/>
        </w:rPr>
        <w:t>made rigid and inflexible</w:t>
      </w:r>
      <w:r w:rsidR="008857F9">
        <w:rPr>
          <w:lang w:eastAsia="en-GB"/>
        </w:rPr>
        <w:t xml:space="preserve"> by </w:t>
      </w:r>
      <w:r w:rsidR="00B118D2">
        <w:rPr>
          <w:lang w:eastAsia="en-GB"/>
        </w:rPr>
        <w:t xml:space="preserve">purportedly atemporal </w:t>
      </w:r>
      <w:r w:rsidR="00B81962">
        <w:rPr>
          <w:lang w:eastAsia="en-GB"/>
        </w:rPr>
        <w:t>doctrines</w:t>
      </w:r>
      <w:r w:rsidR="008857F9">
        <w:rPr>
          <w:lang w:eastAsia="en-GB"/>
        </w:rPr>
        <w:t xml:space="preserve">. </w:t>
      </w:r>
      <w:r w:rsidR="00B118D2">
        <w:rPr>
          <w:lang w:eastAsia="en-GB"/>
        </w:rPr>
        <w:t xml:space="preserve">Although French structuralism </w:t>
      </w:r>
      <w:r w:rsidR="00D32397">
        <w:rPr>
          <w:lang w:eastAsia="en-GB"/>
        </w:rPr>
        <w:t>is</w:t>
      </w:r>
      <w:r w:rsidR="00B118D2">
        <w:rPr>
          <w:lang w:eastAsia="en-GB"/>
        </w:rPr>
        <w:t xml:space="preserve"> not the impetus for such </w:t>
      </w:r>
      <w:r w:rsidR="00D32397">
        <w:rPr>
          <w:lang w:eastAsia="en-GB"/>
        </w:rPr>
        <w:t>a hermeneutic</w:t>
      </w:r>
      <w:r w:rsidR="00B118D2">
        <w:rPr>
          <w:lang w:eastAsia="en-GB"/>
        </w:rPr>
        <w:t xml:space="preserve">, </w:t>
      </w:r>
      <w:r w:rsidR="00D32397">
        <w:rPr>
          <w:lang w:eastAsia="en-GB"/>
        </w:rPr>
        <w:t xml:space="preserve">there are </w:t>
      </w:r>
      <w:r w:rsidR="00B118D2">
        <w:rPr>
          <w:lang w:eastAsia="en-GB"/>
        </w:rPr>
        <w:t>many instructive parallels</w:t>
      </w:r>
      <w:r w:rsidR="00D32397">
        <w:rPr>
          <w:lang w:eastAsia="en-GB"/>
        </w:rPr>
        <w:t xml:space="preserve"> between the two</w:t>
      </w:r>
      <w:r w:rsidR="00B118D2">
        <w:rPr>
          <w:lang w:eastAsia="en-GB"/>
        </w:rPr>
        <w:t xml:space="preserve">. </w:t>
      </w:r>
      <w:r w:rsidR="00D32397">
        <w:rPr>
          <w:lang w:eastAsia="en-GB"/>
        </w:rPr>
        <w:t xml:space="preserve">Because Ricœur engaged extensively with structuralism, </w:t>
      </w:r>
      <w:r w:rsidR="00B118D2">
        <w:rPr>
          <w:lang w:eastAsia="en-GB"/>
        </w:rPr>
        <w:t xml:space="preserve">I will use </w:t>
      </w:r>
      <w:r w:rsidR="00D32397">
        <w:rPr>
          <w:lang w:eastAsia="en-GB"/>
        </w:rPr>
        <w:t xml:space="preserve">it </w:t>
      </w:r>
      <w:r w:rsidR="00B118D2">
        <w:rPr>
          <w:lang w:eastAsia="en-GB"/>
        </w:rPr>
        <w:t>as a</w:t>
      </w:r>
      <w:r w:rsidR="00D32397">
        <w:rPr>
          <w:lang w:eastAsia="en-GB"/>
        </w:rPr>
        <w:t xml:space="preserve">n </w:t>
      </w:r>
      <w:r w:rsidR="00B118D2">
        <w:rPr>
          <w:lang w:eastAsia="en-GB"/>
        </w:rPr>
        <w:t xml:space="preserve">analogy </w:t>
      </w:r>
      <w:r w:rsidR="00D32397">
        <w:rPr>
          <w:lang w:eastAsia="en-GB"/>
        </w:rPr>
        <w:t xml:space="preserve">for </w:t>
      </w:r>
      <w:r w:rsidR="00B118D2">
        <w:t xml:space="preserve">a theology </w:t>
      </w:r>
      <w:r w:rsidR="00D32397">
        <w:t xml:space="preserve">according to </w:t>
      </w:r>
      <w:r w:rsidR="00B118D2">
        <w:t xml:space="preserve">which doctrine is </w:t>
      </w:r>
      <w:r w:rsidR="00D32397">
        <w:t>regarded as</w:t>
      </w:r>
      <w:r w:rsidR="00B118D2">
        <w:t xml:space="preserve"> infallible, </w:t>
      </w:r>
      <w:r w:rsidR="00D32397">
        <w:t xml:space="preserve">decontextualised </w:t>
      </w:r>
      <w:r w:rsidR="00B118D2">
        <w:t>and certain truths that yield the timeless ‘grammar’ of Scripture.</w:t>
      </w:r>
      <w:r w:rsidR="00D32397">
        <w:t xml:space="preserve"> </w:t>
      </w:r>
      <w:r w:rsidR="008857F9">
        <w:rPr>
          <w:lang w:eastAsia="en-GB"/>
        </w:rPr>
        <w:t xml:space="preserve">But just as </w:t>
      </w:r>
      <w:r w:rsidR="00F75E57">
        <w:rPr>
          <w:lang w:eastAsia="en-GB"/>
        </w:rPr>
        <w:t>authorial intention does not fully capture a text’s meaning, neither</w:t>
      </w:r>
      <w:r w:rsidR="00B81962">
        <w:rPr>
          <w:lang w:eastAsia="en-GB"/>
        </w:rPr>
        <w:t>, in Ricœur’s view,</w:t>
      </w:r>
      <w:r w:rsidR="00F75E57">
        <w:rPr>
          <w:lang w:eastAsia="en-GB"/>
        </w:rPr>
        <w:t xml:space="preserve"> do structuralist analyses which ignore the historicity of human understanding.</w:t>
      </w:r>
    </w:p>
    <w:p w:rsidR="005B289A" w:rsidRDefault="004F50DE" w:rsidP="00E52EFC">
      <w:pPr>
        <w:rPr>
          <w:lang w:eastAsia="en-GB"/>
        </w:rPr>
      </w:pPr>
      <w:r>
        <w:rPr>
          <w:lang w:eastAsia="en-GB"/>
        </w:rPr>
        <w:t>S</w:t>
      </w:r>
      <w:r w:rsidR="00E52EFC">
        <w:rPr>
          <w:lang w:eastAsia="en-GB"/>
        </w:rPr>
        <w:t xml:space="preserve">tructuralism </w:t>
      </w:r>
      <w:r>
        <w:rPr>
          <w:lang w:eastAsia="en-GB"/>
        </w:rPr>
        <w:t xml:space="preserve">is, in Ricœur’s view, </w:t>
      </w:r>
      <w:r w:rsidR="00E52EFC">
        <w:rPr>
          <w:lang w:eastAsia="en-GB"/>
        </w:rPr>
        <w:t xml:space="preserve">the direct opposite of Romantic hermeneutics, denying </w:t>
      </w:r>
      <w:r w:rsidR="00E52EFC">
        <w:rPr>
          <w:i/>
          <w:lang w:eastAsia="en-GB"/>
        </w:rPr>
        <w:t>all</w:t>
      </w:r>
      <w:r w:rsidR="00E52EFC">
        <w:rPr>
          <w:lang w:eastAsia="en-GB"/>
        </w:rPr>
        <w:t xml:space="preserve"> meaning to the author’s intention and placing it instead in the hands of an abstract and </w:t>
      </w:r>
      <w:r w:rsidR="00D32397">
        <w:rPr>
          <w:lang w:eastAsia="en-GB"/>
        </w:rPr>
        <w:t>ahistorical</w:t>
      </w:r>
      <w:r w:rsidR="00E52EFC">
        <w:rPr>
          <w:lang w:eastAsia="en-GB"/>
        </w:rPr>
        <w:t xml:space="preserve"> set of structures, to be </w:t>
      </w:r>
      <w:r w:rsidR="000F29A4">
        <w:rPr>
          <w:lang w:eastAsia="en-GB"/>
        </w:rPr>
        <w:t>discovered</w:t>
      </w:r>
      <w:r w:rsidR="00E52EFC">
        <w:rPr>
          <w:lang w:eastAsia="en-GB"/>
        </w:rPr>
        <w:t xml:space="preserve"> </w:t>
      </w:r>
      <w:r w:rsidR="000F29A4">
        <w:rPr>
          <w:lang w:eastAsia="en-GB"/>
        </w:rPr>
        <w:t xml:space="preserve">by means of </w:t>
      </w:r>
      <w:r w:rsidR="00E52EFC">
        <w:rPr>
          <w:lang w:eastAsia="en-GB"/>
        </w:rPr>
        <w:t>equally abstract and timeless rules.</w:t>
      </w:r>
      <w:r w:rsidR="00B67F45">
        <w:rPr>
          <w:rStyle w:val="FootnoteReference"/>
          <w:lang w:eastAsia="en-GB"/>
        </w:rPr>
        <w:footnoteReference w:id="16"/>
      </w:r>
      <w:r w:rsidR="00E52EFC">
        <w:rPr>
          <w:lang w:eastAsia="en-GB"/>
        </w:rPr>
        <w:t xml:space="preserve"> </w:t>
      </w:r>
      <w:r w:rsidR="005B289A">
        <w:rPr>
          <w:lang w:eastAsia="en-GB"/>
        </w:rPr>
        <w:t xml:space="preserve">The goal of structuralism was to find common patterns in texts, building </w:t>
      </w:r>
      <w:r w:rsidR="005B289A">
        <w:rPr>
          <w:lang w:eastAsia="en-GB"/>
        </w:rPr>
        <w:lastRenderedPageBreak/>
        <w:t>a system of principles which can help explain any new text that arises. Noticing that every sentence is a sequence of words, none of which is original to the sentence, they extended this insight to see every text as a series of sentences which form a structure repeated elsewhere in other texts.</w:t>
      </w:r>
    </w:p>
    <w:p w:rsidR="000E68E3" w:rsidRDefault="0012433E" w:rsidP="00E52EFC">
      <w:r>
        <w:t>As with Romantic hermeneutics, Ricœur is not opposed to the positive insights of structuralism</w:t>
      </w:r>
      <w:r w:rsidR="00D32397">
        <w:t>, calling it</w:t>
      </w:r>
      <w:r w:rsidR="000E68E3">
        <w:t xml:space="preserve"> </w:t>
      </w:r>
      <w:r w:rsidR="004F50DE">
        <w:t>“</w:t>
      </w:r>
      <w:r w:rsidR="004F50DE" w:rsidRPr="00435639">
        <w:t xml:space="preserve">perfectly legitimate </w:t>
      </w:r>
      <w:r w:rsidR="004F50DE">
        <w:t xml:space="preserve">… </w:t>
      </w:r>
      <w:r w:rsidR="004F50DE" w:rsidRPr="00435639">
        <w:t>as long as it remains conscious of its conditions of validity and thus of its limits.</w:t>
      </w:r>
      <w:r w:rsidR="004F50DE">
        <w:t>”</w:t>
      </w:r>
      <w:r w:rsidR="004F50DE" w:rsidRPr="001514FD">
        <w:rPr>
          <w:rStyle w:val="FootnoteReference"/>
        </w:rPr>
        <w:footnoteReference w:id="17"/>
      </w:r>
      <w:r w:rsidR="004F50DE">
        <w:t xml:space="preserve"> </w:t>
      </w:r>
      <w:r>
        <w:t>His problem is not with the dimension of meaning it uncovers, but that it rules out all other dimensions of meaning and claims totality for itself.</w:t>
      </w:r>
      <w:r w:rsidR="000F29A4">
        <w:t xml:space="preserve"> </w:t>
      </w:r>
      <w:r w:rsidR="004F50DE">
        <w:t xml:space="preserve">Structuralism </w:t>
      </w:r>
      <w:r>
        <w:t xml:space="preserve">sees a text as only another example of the timeless structures of language. </w:t>
      </w:r>
      <w:r w:rsidR="004F50DE">
        <w:t xml:space="preserve">Structuralism’s lack of semantic reference restricts it to the realm of </w:t>
      </w:r>
      <w:r w:rsidR="004F50DE" w:rsidRPr="00474D1A">
        <w:rPr>
          <w:i/>
          <w:iCs/>
        </w:rPr>
        <w:t>scientific analysis</w:t>
      </w:r>
      <w:r w:rsidR="004F50DE">
        <w:t xml:space="preserve"> without penetrating to the question of the relation of a text to the historical human experience out of which it arises: “It is because there is first something to say, because we have an experience to bring to language, that conversely, language ... refers to </w:t>
      </w:r>
      <w:r w:rsidR="004F50DE" w:rsidRPr="0012433E">
        <w:rPr>
          <w:i/>
        </w:rPr>
        <w:t>what is</w:t>
      </w:r>
      <w:r w:rsidR="004F50DE">
        <w:t>. … If language were not fundamentally referential, would or could it be meaningful?”</w:t>
      </w:r>
      <w:r w:rsidR="004F50DE" w:rsidRPr="001514FD">
        <w:rPr>
          <w:rStyle w:val="FootnoteReference"/>
        </w:rPr>
        <w:footnoteReference w:id="18"/>
      </w:r>
      <w:r w:rsidR="004F50DE">
        <w:t xml:space="preserve"> </w:t>
      </w:r>
      <w:r w:rsidR="00057801">
        <w:t>W</w:t>
      </w:r>
      <w:r w:rsidR="008B54C0">
        <w:t>hen we read a text we expect to be told something about the world, not just something about language: “If reading is possible, it is indeed because the text is not closed in on itself but opens out onto other things.”</w:t>
      </w:r>
      <w:r w:rsidR="008B54C0" w:rsidRPr="001514FD">
        <w:rPr>
          <w:rStyle w:val="FootnoteReference"/>
        </w:rPr>
        <w:footnoteReference w:id="19"/>
      </w:r>
      <w:r w:rsidR="008B54C0">
        <w:t xml:space="preserve"> </w:t>
      </w:r>
      <w:r w:rsidR="000E68E3">
        <w:t>The analogy of words/sentences does not follow to sentences/texts, in Ricœur’s view.</w:t>
      </w:r>
      <w:r w:rsidR="008B54C0" w:rsidRPr="001514FD">
        <w:rPr>
          <w:rStyle w:val="FootnoteReference"/>
        </w:rPr>
        <w:footnoteReference w:id="20"/>
      </w:r>
      <w:r w:rsidR="008B54C0">
        <w:t xml:space="preserve"> With sentences we enter a different world which properly belongs not just to syntax but to </w:t>
      </w:r>
      <w:r w:rsidR="008B54C0" w:rsidRPr="00BF5A26">
        <w:rPr>
          <w:i/>
          <w:iCs/>
        </w:rPr>
        <w:t>semantics</w:t>
      </w:r>
      <w:r w:rsidR="008B54C0">
        <w:t>, of meaning in reference to objects outside language.</w:t>
      </w:r>
      <w:r w:rsidR="004F50DE">
        <w:t xml:space="preserve"> </w:t>
      </w:r>
      <w:r w:rsidR="008B54C0">
        <w:t>Language becomes real at its moment of use in</w:t>
      </w:r>
      <w:r w:rsidR="00057801">
        <w:t xml:space="preserve"> history to convey a particular message about the non-linguistic world</w:t>
      </w:r>
      <w:r w:rsidR="008B54C0">
        <w:t>.</w:t>
      </w:r>
      <w:r>
        <w:t xml:space="preserve"> But </w:t>
      </w:r>
      <w:r w:rsidR="000F29A4">
        <w:t>to do so</w:t>
      </w:r>
      <w:r w:rsidR="005B289A">
        <w:rPr>
          <w:lang w:eastAsia="en-GB"/>
        </w:rPr>
        <w:t xml:space="preserve"> it must connect with the </w:t>
      </w:r>
      <w:r w:rsidR="000F29A4">
        <w:rPr>
          <w:lang w:eastAsia="en-GB"/>
        </w:rPr>
        <w:t xml:space="preserve">existential self-understanding </w:t>
      </w:r>
      <w:r w:rsidR="005B289A">
        <w:rPr>
          <w:lang w:eastAsia="en-GB"/>
        </w:rPr>
        <w:t>of the reader</w:t>
      </w:r>
      <w:r w:rsidR="000F29A4">
        <w:rPr>
          <w:lang w:eastAsia="en-GB"/>
        </w:rPr>
        <w:t xml:space="preserve"> who lives at another moment in history.</w:t>
      </w:r>
      <w:r w:rsidR="00556002" w:rsidRPr="00556002">
        <w:t xml:space="preserve"> </w:t>
      </w:r>
    </w:p>
    <w:p w:rsidR="00D32397" w:rsidRDefault="00D32397" w:rsidP="00D32397">
      <w:r>
        <w:rPr>
          <w:lang w:eastAsia="en-GB"/>
        </w:rPr>
        <w:t xml:space="preserve">There is nothing wrong with doctrines that guide future readers in interpreting Scripture, as long as they do not close themselves to future reinterpretations. As William Reiser says, </w:t>
      </w:r>
      <w:r>
        <w:t>“Dogmas emerge from contexts that are themselves historical, cultural, advancing, conditioned.”</w:t>
      </w:r>
      <w:r>
        <w:rPr>
          <w:rStyle w:val="FootnoteReference"/>
        </w:rPr>
        <w:footnoteReference w:id="21"/>
      </w:r>
      <w:r>
        <w:t xml:space="preserve"> </w:t>
      </w:r>
      <w:r>
        <w:rPr>
          <w:lang w:eastAsia="en-GB"/>
        </w:rPr>
        <w:t xml:space="preserve">Just as Scripture is both written and read from concrete historical circumstances, so also with dogma. </w:t>
      </w:r>
      <w:r>
        <w:t>“If the scriptures,” Lash writes, “are a relative statement of truth, this is even more obviously the case with dogmatic definitions.”</w:t>
      </w:r>
      <w:r>
        <w:rPr>
          <w:rStyle w:val="FootnoteReference"/>
        </w:rPr>
        <w:footnoteReference w:id="22"/>
      </w:r>
      <w:r>
        <w:t xml:space="preserve"> </w:t>
      </w:r>
      <w:r w:rsidR="00EE321D">
        <w:t>But Lash cautions that t</w:t>
      </w:r>
      <w:r>
        <w:t>he relative nature of dogma does not mean that “in twenty years’ time, it will become untrue”</w:t>
      </w:r>
      <w:r w:rsidR="00EE321D">
        <w:t>;</w:t>
      </w:r>
      <w:r>
        <w:t xml:space="preserve"> rather, “it is to say, with Rahner, that ‘all human statements, even </w:t>
      </w:r>
      <w:r>
        <w:lastRenderedPageBreak/>
        <w:t xml:space="preserve">those in which faith expresses God’s saving truth, are finite. By this we mean that they never declare the </w:t>
      </w:r>
      <w:r w:rsidRPr="009A55A7">
        <w:rPr>
          <w:i/>
        </w:rPr>
        <w:t>whole</w:t>
      </w:r>
      <w:r>
        <w:t xml:space="preserve"> of a reality.’”</w:t>
      </w:r>
      <w:r>
        <w:rPr>
          <w:rStyle w:val="FootnoteReference"/>
        </w:rPr>
        <w:footnoteReference w:id="23"/>
      </w:r>
    </w:p>
    <w:p w:rsidR="003530CE" w:rsidRDefault="003530CE" w:rsidP="003530CE">
      <w:pPr>
        <w:rPr>
          <w:lang w:eastAsia="en-GB"/>
        </w:rPr>
      </w:pPr>
      <w:r>
        <w:t xml:space="preserve">The lesson Ricœur took from his engagement with structuralism is that </w:t>
      </w:r>
      <w:r w:rsidRPr="000F29A4">
        <w:rPr>
          <w:i/>
        </w:rPr>
        <w:t xml:space="preserve">the historical nature of </w:t>
      </w:r>
      <w:r>
        <w:rPr>
          <w:i/>
        </w:rPr>
        <w:t>both</w:t>
      </w:r>
      <w:r w:rsidRPr="000F29A4">
        <w:rPr>
          <w:i/>
        </w:rPr>
        <w:t xml:space="preserve"> text </w:t>
      </w:r>
      <w:r>
        <w:rPr>
          <w:i/>
        </w:rPr>
        <w:t xml:space="preserve">and reader </w:t>
      </w:r>
      <w:r w:rsidRPr="000F29A4">
        <w:rPr>
          <w:i/>
        </w:rPr>
        <w:t>cannot be ignored</w:t>
      </w:r>
      <w:r>
        <w:t xml:space="preserve"> if what we seek is not merely a text’s atemporal grammar but its referential (even existential) meaning. The historically situated side of dogma must be taken seriously if it is to be made relevant to a new generation belonging to a different historical situation. Jean Greisch summarises Ricœur’s insight like this: “Interpretation could be compared to drinking. A text which, one way or another, is not transformed into a source of living water, capable of transforming (‘refiguring’) our lives more or less profoundly, is not worth being read and interpreted.”</w:t>
      </w:r>
      <w:r>
        <w:rPr>
          <w:rStyle w:val="FootnoteReference"/>
        </w:rPr>
        <w:footnoteReference w:id="24"/>
      </w:r>
    </w:p>
    <w:p w:rsidR="003530CE" w:rsidRDefault="00237784" w:rsidP="003530CE">
      <w:pPr>
        <w:rPr>
          <w:lang w:eastAsia="en-GB"/>
        </w:rPr>
      </w:pPr>
      <w:r>
        <w:rPr>
          <w:lang w:eastAsia="en-GB"/>
        </w:rPr>
        <w:t xml:space="preserve">A church that based its interpretation of Scripture on unchangeable doctrines would have </w:t>
      </w:r>
      <w:r w:rsidRPr="002B3503">
        <w:rPr>
          <w:i/>
          <w:lang w:eastAsia="en-GB"/>
        </w:rPr>
        <w:t>continuity</w:t>
      </w:r>
      <w:r>
        <w:rPr>
          <w:lang w:eastAsia="en-GB"/>
        </w:rPr>
        <w:t xml:space="preserve"> but no </w:t>
      </w:r>
      <w:r w:rsidRPr="002B3503">
        <w:rPr>
          <w:i/>
          <w:lang w:eastAsia="en-GB"/>
        </w:rPr>
        <w:t>development</w:t>
      </w:r>
      <w:r>
        <w:rPr>
          <w:lang w:eastAsia="en-GB"/>
        </w:rPr>
        <w:t xml:space="preserve">. It could never see innovation as anything other than corruption of the true meaning of Scripture. Curiously, </w:t>
      </w:r>
      <w:r w:rsidR="003530CE">
        <w:rPr>
          <w:lang w:eastAsia="en-GB"/>
        </w:rPr>
        <w:t>for</w:t>
      </w:r>
      <w:r w:rsidR="00724ED9">
        <w:rPr>
          <w:lang w:eastAsia="en-GB"/>
        </w:rPr>
        <w:t xml:space="preserve"> </w:t>
      </w:r>
      <w:r>
        <w:rPr>
          <w:lang w:eastAsia="en-GB"/>
        </w:rPr>
        <w:t xml:space="preserve">this </w:t>
      </w:r>
      <w:r w:rsidR="00724ED9">
        <w:rPr>
          <w:lang w:eastAsia="en-GB"/>
        </w:rPr>
        <w:t xml:space="preserve">approach </w:t>
      </w:r>
      <w:r>
        <w:rPr>
          <w:lang w:eastAsia="en-GB"/>
        </w:rPr>
        <w:t xml:space="preserve">it </w:t>
      </w:r>
      <w:r w:rsidR="00724ED9">
        <w:rPr>
          <w:lang w:eastAsia="en-GB"/>
        </w:rPr>
        <w:t xml:space="preserve">would become </w:t>
      </w:r>
      <w:r>
        <w:rPr>
          <w:lang w:eastAsia="en-GB"/>
        </w:rPr>
        <w:t xml:space="preserve">unnecessary for anyone to read Scripture in the present. Scripture would be </w:t>
      </w:r>
      <w:r w:rsidRPr="00AF3983">
        <w:rPr>
          <w:i/>
          <w:lang w:eastAsia="en-GB"/>
        </w:rPr>
        <w:t>always already</w:t>
      </w:r>
      <w:r>
        <w:rPr>
          <w:lang w:eastAsia="en-GB"/>
        </w:rPr>
        <w:t xml:space="preserve"> </w:t>
      </w:r>
      <w:r>
        <w:rPr>
          <w:i/>
          <w:lang w:eastAsia="en-GB"/>
        </w:rPr>
        <w:t>interpreted</w:t>
      </w:r>
      <w:r>
        <w:rPr>
          <w:lang w:eastAsia="en-GB"/>
        </w:rPr>
        <w:t>, its meaning formulated into a rigid set of doctrines which Christians would need only memorise like a multiplication table.</w:t>
      </w:r>
      <w:r w:rsidR="00E63623" w:rsidRPr="00E63623">
        <w:rPr>
          <w:lang w:eastAsia="en-GB"/>
        </w:rPr>
        <w:t xml:space="preserve"> </w:t>
      </w:r>
      <w:r w:rsidR="00E63623">
        <w:rPr>
          <w:lang w:eastAsia="en-GB"/>
        </w:rPr>
        <w:t>This kind of hermeneutic ignores the final step needed to make the meaning of Scripture something that connects with the living situation of the reader.</w:t>
      </w:r>
      <w:r w:rsidR="003530CE">
        <w:rPr>
          <w:lang w:eastAsia="en-GB"/>
        </w:rPr>
        <w:t xml:space="preserve"> </w:t>
      </w:r>
    </w:p>
    <w:p w:rsidR="00563AF4" w:rsidRDefault="00320E54" w:rsidP="009B358C">
      <w:pPr>
        <w:rPr>
          <w:lang w:eastAsia="en-GB"/>
        </w:rPr>
      </w:pPr>
      <w:r>
        <w:rPr>
          <w:lang w:eastAsia="en-GB"/>
        </w:rPr>
        <w:t>“T</w:t>
      </w:r>
      <w:r w:rsidR="00563AF4">
        <w:rPr>
          <w:lang w:eastAsia="en-GB"/>
        </w:rPr>
        <w:t>raditional formulations,” observes George Lindbeck, “when repeated unchanged in unprecedented situations take on different, sometimes radically different, meanings. Instead of protecting or transmitting the faith once for all delivered to the saints, they may in fact betray it.”</w:t>
      </w:r>
      <w:r w:rsidR="00563AF4">
        <w:rPr>
          <w:rStyle w:val="FootnoteReference"/>
          <w:lang w:eastAsia="en-GB"/>
        </w:rPr>
        <w:footnoteReference w:id="25"/>
      </w:r>
      <w:r w:rsidR="009B358C">
        <w:rPr>
          <w:lang w:eastAsia="en-GB"/>
        </w:rPr>
        <w:t xml:space="preserve"> As an illustration of this principle, consider</w:t>
      </w:r>
      <w:r w:rsidR="00563AF4">
        <w:rPr>
          <w:lang w:eastAsia="en-GB"/>
        </w:rPr>
        <w:t xml:space="preserve"> </w:t>
      </w:r>
      <w:r w:rsidR="009B358C">
        <w:rPr>
          <w:lang w:eastAsia="en-GB"/>
        </w:rPr>
        <w:t>Vatican I’s interpretation</w:t>
      </w:r>
      <w:r w:rsidR="00563AF4">
        <w:rPr>
          <w:lang w:eastAsia="en-GB"/>
        </w:rPr>
        <w:t xml:space="preserve"> of Romans 1:20</w:t>
      </w:r>
      <w:r w:rsidR="009B358C">
        <w:rPr>
          <w:lang w:eastAsia="en-GB"/>
        </w:rPr>
        <w:t xml:space="preserve"> (</w:t>
      </w:r>
      <w:r w:rsidR="005B5D7F">
        <w:rPr>
          <w:lang w:eastAsia="en-GB"/>
        </w:rPr>
        <w:t>repeated in</w:t>
      </w:r>
      <w:r w:rsidR="009B358C">
        <w:rPr>
          <w:lang w:eastAsia="en-GB"/>
        </w:rPr>
        <w:t xml:space="preserve"> the </w:t>
      </w:r>
      <w:r w:rsidR="005B5D7F">
        <w:rPr>
          <w:lang w:eastAsia="en-GB"/>
        </w:rPr>
        <w:t xml:space="preserve">1910 </w:t>
      </w:r>
      <w:r w:rsidR="009B358C">
        <w:rPr>
          <w:lang w:eastAsia="en-GB"/>
        </w:rPr>
        <w:t>“Oath Against Modernism”),</w:t>
      </w:r>
      <w:r w:rsidR="00563AF4">
        <w:rPr>
          <w:lang w:eastAsia="en-GB"/>
        </w:rPr>
        <w:t xml:space="preserve"> </w:t>
      </w:r>
      <w:r>
        <w:rPr>
          <w:lang w:eastAsia="en-GB"/>
        </w:rPr>
        <w:t>that</w:t>
      </w:r>
      <w:r w:rsidR="00563AF4">
        <w:rPr>
          <w:lang w:eastAsia="en-GB"/>
        </w:rPr>
        <w:t xml:space="preserve"> “</w:t>
      </w:r>
      <w:r>
        <w:rPr>
          <w:lang w:eastAsia="en-GB"/>
        </w:rPr>
        <w:t>God … may be certainly known by the natural light of human reason</w:t>
      </w:r>
      <w:r w:rsidR="005B5D7F">
        <w:rPr>
          <w:lang w:eastAsia="en-GB"/>
        </w:rPr>
        <w:t>.</w:t>
      </w:r>
      <w:r w:rsidR="00563AF4">
        <w:rPr>
          <w:lang w:eastAsia="en-GB"/>
        </w:rPr>
        <w:t>”</w:t>
      </w:r>
      <w:r>
        <w:rPr>
          <w:rStyle w:val="FootnoteReference"/>
          <w:lang w:eastAsia="en-GB"/>
        </w:rPr>
        <w:footnoteReference w:id="26"/>
      </w:r>
      <w:r>
        <w:rPr>
          <w:lang w:eastAsia="en-GB"/>
        </w:rPr>
        <w:t xml:space="preserve"> </w:t>
      </w:r>
      <w:r w:rsidR="009B358C">
        <w:rPr>
          <w:lang w:eastAsia="en-GB"/>
        </w:rPr>
        <w:t xml:space="preserve">Without passing judgment on the appropriateness of this interpretation for its own context, we can say that by the time of Vatican II it was judged to be no longer appropriate, shifts in philosophical culture having made it misleading, and the Oath Against Modernity was dropped as a requirement for </w:t>
      </w:r>
      <w:r w:rsidR="005B5D7F">
        <w:rPr>
          <w:lang w:eastAsia="en-GB"/>
        </w:rPr>
        <w:t xml:space="preserve">Catholic </w:t>
      </w:r>
      <w:r w:rsidR="009B358C">
        <w:rPr>
          <w:lang w:eastAsia="en-GB"/>
        </w:rPr>
        <w:t>clergy.</w:t>
      </w:r>
      <w:r w:rsidR="009B358C">
        <w:rPr>
          <w:rStyle w:val="FootnoteReference"/>
          <w:lang w:eastAsia="en-GB"/>
        </w:rPr>
        <w:footnoteReference w:id="27"/>
      </w:r>
    </w:p>
    <w:p w:rsidR="005938DD" w:rsidRDefault="00F75E57" w:rsidP="0049465E">
      <w:pPr>
        <w:pStyle w:val="Heading1"/>
        <w:rPr>
          <w:lang w:eastAsia="en-GB"/>
        </w:rPr>
      </w:pPr>
      <w:r>
        <w:rPr>
          <w:lang w:eastAsia="en-GB"/>
        </w:rPr>
        <w:t>Beyond Gadamer: How Critique is Part of Tradition</w:t>
      </w:r>
      <w:r w:rsidR="00935531">
        <w:rPr>
          <w:lang w:eastAsia="en-GB"/>
        </w:rPr>
        <w:t xml:space="preserve"> </w:t>
      </w:r>
    </w:p>
    <w:p w:rsidR="00F75E57" w:rsidRDefault="00B81962" w:rsidP="005D7C7F">
      <w:pPr>
        <w:rPr>
          <w:lang w:eastAsia="en-GB"/>
        </w:rPr>
      </w:pPr>
      <w:r>
        <w:t>Romanticism and Structuralism placed Scripture and tradition in opposition to each other, forcing a</w:t>
      </w:r>
      <w:r w:rsidR="00724ED9">
        <w:t>n exclusive choice between them</w:t>
      </w:r>
      <w:r>
        <w:t>.</w:t>
      </w:r>
      <w:r>
        <w:rPr>
          <w:lang w:eastAsia="en-GB"/>
        </w:rPr>
        <w:t xml:space="preserve"> </w:t>
      </w:r>
      <w:r w:rsidR="00EE321D">
        <w:rPr>
          <w:lang w:eastAsia="en-GB"/>
        </w:rPr>
        <w:t>While Gadamer</w:t>
      </w:r>
      <w:r w:rsidR="00857573">
        <w:rPr>
          <w:lang w:eastAsia="en-GB"/>
        </w:rPr>
        <w:t xml:space="preserve"> overcomes the </w:t>
      </w:r>
      <w:r w:rsidR="00857573">
        <w:rPr>
          <w:lang w:eastAsia="en-GB"/>
        </w:rPr>
        <w:lastRenderedPageBreak/>
        <w:t xml:space="preserve">opposition between </w:t>
      </w:r>
      <w:r>
        <w:rPr>
          <w:lang w:eastAsia="en-GB"/>
        </w:rPr>
        <w:t xml:space="preserve">Scripture </w:t>
      </w:r>
      <w:r w:rsidR="00857573">
        <w:rPr>
          <w:lang w:eastAsia="en-GB"/>
        </w:rPr>
        <w:t xml:space="preserve">and tradition, because </w:t>
      </w:r>
      <w:r w:rsidR="00EE321D">
        <w:rPr>
          <w:lang w:eastAsia="en-GB"/>
        </w:rPr>
        <w:t>he</w:t>
      </w:r>
      <w:r w:rsidR="00857573">
        <w:rPr>
          <w:lang w:eastAsia="en-GB"/>
        </w:rPr>
        <w:t xml:space="preserve"> rejects the standpoint of critique, the ‘newness’ of interpretation </w:t>
      </w:r>
      <w:r w:rsidR="004F5A77">
        <w:rPr>
          <w:lang w:eastAsia="en-GB"/>
        </w:rPr>
        <w:t>cannot be</w:t>
      </w:r>
      <w:r w:rsidR="00724ED9">
        <w:rPr>
          <w:lang w:eastAsia="en-GB"/>
        </w:rPr>
        <w:t xml:space="preserve">, for him, </w:t>
      </w:r>
      <w:r w:rsidR="00857573">
        <w:rPr>
          <w:lang w:eastAsia="en-GB"/>
        </w:rPr>
        <w:t xml:space="preserve">a </w:t>
      </w:r>
      <w:r w:rsidR="00857573" w:rsidRPr="006724AF">
        <w:rPr>
          <w:i/>
          <w:lang w:eastAsia="en-GB"/>
        </w:rPr>
        <w:t>growth</w:t>
      </w:r>
      <w:r w:rsidR="00857573">
        <w:rPr>
          <w:lang w:eastAsia="en-GB"/>
        </w:rPr>
        <w:t xml:space="preserve"> </w:t>
      </w:r>
      <w:r w:rsidR="006724AF">
        <w:rPr>
          <w:lang w:eastAsia="en-GB"/>
        </w:rPr>
        <w:t xml:space="preserve">of </w:t>
      </w:r>
      <w:r w:rsidR="00857573">
        <w:rPr>
          <w:lang w:eastAsia="en-GB"/>
        </w:rPr>
        <w:t>meaning, only a personal appropriation of the tradition in a way that leaves it unchanged</w:t>
      </w:r>
      <w:r w:rsidR="006724AF">
        <w:rPr>
          <w:lang w:eastAsia="en-GB"/>
        </w:rPr>
        <w:t xml:space="preserve"> for anyone else</w:t>
      </w:r>
      <w:r w:rsidR="00857573">
        <w:rPr>
          <w:lang w:eastAsia="en-GB"/>
        </w:rPr>
        <w:t>.</w:t>
      </w:r>
      <w:r w:rsidR="004F5A77">
        <w:rPr>
          <w:lang w:eastAsia="en-GB"/>
        </w:rPr>
        <w:t xml:space="preserve"> </w:t>
      </w:r>
      <w:r w:rsidR="006724AF">
        <w:rPr>
          <w:lang w:eastAsia="en-GB"/>
        </w:rPr>
        <w:t xml:space="preserve">In contrast to Gadamer, </w:t>
      </w:r>
      <w:r w:rsidR="004F5A77">
        <w:rPr>
          <w:lang w:eastAsia="en-GB"/>
        </w:rPr>
        <w:t>Ricœur</w:t>
      </w:r>
      <w:r w:rsidR="00724ED9">
        <w:rPr>
          <w:lang w:eastAsia="en-GB"/>
        </w:rPr>
        <w:t xml:space="preserve"> overcomes the </w:t>
      </w:r>
      <w:r w:rsidR="00EE321D">
        <w:rPr>
          <w:lang w:eastAsia="en-GB"/>
        </w:rPr>
        <w:t xml:space="preserve">further </w:t>
      </w:r>
      <w:r w:rsidR="00724ED9">
        <w:rPr>
          <w:lang w:eastAsia="en-GB"/>
        </w:rPr>
        <w:t xml:space="preserve">opposition between </w:t>
      </w:r>
      <w:r w:rsidR="004F5A77">
        <w:rPr>
          <w:lang w:eastAsia="en-GB"/>
        </w:rPr>
        <w:t>‘critique’ and ‘belonging’</w:t>
      </w:r>
      <w:r w:rsidR="00D32397">
        <w:rPr>
          <w:lang w:eastAsia="en-GB"/>
        </w:rPr>
        <w:t xml:space="preserve"> by making </w:t>
      </w:r>
      <w:r w:rsidR="00724ED9">
        <w:rPr>
          <w:lang w:eastAsia="en-GB"/>
        </w:rPr>
        <w:t xml:space="preserve">the </w:t>
      </w:r>
      <w:r w:rsidR="00D32397">
        <w:rPr>
          <w:lang w:eastAsia="en-GB"/>
        </w:rPr>
        <w:t xml:space="preserve">tension </w:t>
      </w:r>
      <w:r w:rsidR="00724ED9">
        <w:rPr>
          <w:lang w:eastAsia="en-GB"/>
        </w:rPr>
        <w:t>between them</w:t>
      </w:r>
      <w:r w:rsidR="004F5A77">
        <w:rPr>
          <w:lang w:eastAsia="en-GB"/>
        </w:rPr>
        <w:t xml:space="preserve"> the </w:t>
      </w:r>
      <w:r w:rsidR="00D32397">
        <w:rPr>
          <w:lang w:eastAsia="en-GB"/>
        </w:rPr>
        <w:t xml:space="preserve">very motor </w:t>
      </w:r>
      <w:r w:rsidR="004F5A77">
        <w:rPr>
          <w:lang w:eastAsia="en-GB"/>
        </w:rPr>
        <w:t>of interpretation</w:t>
      </w:r>
      <w:r w:rsidR="000A0A8E">
        <w:rPr>
          <w:lang w:eastAsia="en-GB"/>
        </w:rPr>
        <w:t xml:space="preserve"> that allows the meaning of Scripture to grow. </w:t>
      </w:r>
    </w:p>
    <w:p w:rsidR="000A0A8E" w:rsidRDefault="004F5A77" w:rsidP="008119CD">
      <w:r>
        <w:t xml:space="preserve">Gadamer’s hermeneutics is motivated at heart by a recovery of </w:t>
      </w:r>
      <w:r>
        <w:rPr>
          <w:i/>
        </w:rPr>
        <w:t>belonging to a tradition</w:t>
      </w:r>
      <w:r>
        <w:t xml:space="preserve"> and a rejection of </w:t>
      </w:r>
      <w:r>
        <w:rPr>
          <w:i/>
        </w:rPr>
        <w:t>autonomous critical distance</w:t>
      </w:r>
      <w:r>
        <w:t xml:space="preserve">. </w:t>
      </w:r>
      <w:r>
        <w:rPr>
          <w:lang w:eastAsia="en-GB"/>
        </w:rPr>
        <w:t xml:space="preserve">His </w:t>
      </w:r>
      <w:r w:rsidR="006C4B17">
        <w:rPr>
          <w:lang w:eastAsia="en-GB"/>
        </w:rPr>
        <w:t xml:space="preserve">number one adversary is the autonomous spirit of Enlightenment thought, mediated through the objectifying epistemology of scientific method. </w:t>
      </w:r>
      <w:r w:rsidR="00D32397">
        <w:rPr>
          <w:lang w:eastAsia="en-GB"/>
        </w:rPr>
        <w:t xml:space="preserve">Insofar as </w:t>
      </w:r>
      <w:r w:rsidR="00B334E4">
        <w:t>Romantic hermeneutics</w:t>
      </w:r>
      <w:r w:rsidR="00D32397">
        <w:t xml:space="preserve"> based itself on Enlightenment principles,</w:t>
      </w:r>
      <w:r w:rsidR="00B334E4">
        <w:t xml:space="preserve"> </w:t>
      </w:r>
      <w:r w:rsidR="00D32397">
        <w:t xml:space="preserve">it </w:t>
      </w:r>
      <w:r w:rsidR="00B334E4">
        <w:t>presupposed a historical distance from the text</w:t>
      </w:r>
      <w:r w:rsidR="006C4B17">
        <w:t>s</w:t>
      </w:r>
      <w:r w:rsidR="00B334E4">
        <w:t xml:space="preserve"> </w:t>
      </w:r>
      <w:r w:rsidR="006C4B17">
        <w:t>it wanted to interpret</w:t>
      </w:r>
      <w:r w:rsidR="00B334E4">
        <w:t xml:space="preserve">, a distance which </w:t>
      </w:r>
      <w:r w:rsidR="006C4B17">
        <w:t xml:space="preserve">it claimed to </w:t>
      </w:r>
      <w:r w:rsidR="00B334E4">
        <w:t xml:space="preserve">overcome by applying the right </w:t>
      </w:r>
      <w:r w:rsidR="006C4B17">
        <w:t>critical</w:t>
      </w:r>
      <w:r w:rsidR="00B334E4">
        <w:t xml:space="preserve"> method. But in Gadamer’s view, </w:t>
      </w:r>
      <w:r w:rsidR="00A87536">
        <w:t>o</w:t>
      </w:r>
      <w:r w:rsidR="00B334E4">
        <w:t xml:space="preserve">ur distanciation from the past is not an unavoidable fact, but a result of our </w:t>
      </w:r>
      <w:r w:rsidR="006C4B17">
        <w:t xml:space="preserve">choice to abandon tradition in an attempt to stand on our own two feet. </w:t>
      </w:r>
      <w:r w:rsidR="000A0A8E">
        <w:t xml:space="preserve">Gadamer sees ‘critical method’ as the </w:t>
      </w:r>
      <w:r w:rsidR="000A0A8E" w:rsidRPr="00D32397">
        <w:rPr>
          <w:i/>
        </w:rPr>
        <w:t>problem that creates distance</w:t>
      </w:r>
      <w:r w:rsidR="000A0A8E">
        <w:t xml:space="preserve">, rather than (as with Romantic hermeneutics) </w:t>
      </w:r>
      <w:r w:rsidR="000A0A8E" w:rsidRPr="00D32397">
        <w:rPr>
          <w:i/>
        </w:rPr>
        <w:t>the solution that overcomes it</w:t>
      </w:r>
      <w:r w:rsidR="000A0A8E">
        <w:t>.</w:t>
      </w:r>
    </w:p>
    <w:p w:rsidR="00666F97" w:rsidRDefault="00BD0AB7" w:rsidP="00B334E4">
      <w:pPr>
        <w:rPr>
          <w:lang w:eastAsia="en-GB"/>
        </w:rPr>
      </w:pPr>
      <w:r>
        <w:rPr>
          <w:lang w:eastAsia="en-GB"/>
        </w:rPr>
        <w:t xml:space="preserve">But </w:t>
      </w:r>
      <w:r w:rsidR="00666F97">
        <w:rPr>
          <w:lang w:eastAsia="en-GB"/>
        </w:rPr>
        <w:t xml:space="preserve">critical distanciation is </w:t>
      </w:r>
      <w:r w:rsidR="00666F97" w:rsidRPr="00EE321D">
        <w:rPr>
          <w:lang w:eastAsia="en-GB"/>
        </w:rPr>
        <w:t>impossible</w:t>
      </w:r>
      <w:r w:rsidR="00666F97">
        <w:rPr>
          <w:lang w:eastAsia="en-GB"/>
        </w:rPr>
        <w:t xml:space="preserve"> for Gadamer</w:t>
      </w:r>
      <w:r w:rsidR="00EE321D">
        <w:rPr>
          <w:lang w:eastAsia="en-GB"/>
        </w:rPr>
        <w:t>.</w:t>
      </w:r>
      <w:r w:rsidR="00666F97">
        <w:rPr>
          <w:lang w:eastAsia="en-GB"/>
        </w:rPr>
        <w:t xml:space="preserve"> </w:t>
      </w:r>
      <w:r w:rsidR="00EE321D">
        <w:rPr>
          <w:lang w:eastAsia="en-GB"/>
        </w:rPr>
        <w:t>I</w:t>
      </w:r>
      <w:r w:rsidR="00666F97">
        <w:rPr>
          <w:lang w:eastAsia="en-GB"/>
        </w:rPr>
        <w:t xml:space="preserve">t relies on the idea of a consciousness making judgments independent of its own perspective or place in history – in short, a God’s-eye-view of the world, an absolute or neutral </w:t>
      </w:r>
      <w:r w:rsidR="00D86E7A">
        <w:rPr>
          <w:lang w:eastAsia="en-GB"/>
        </w:rPr>
        <w:t>perspective</w:t>
      </w:r>
      <w:r w:rsidR="00EE321D">
        <w:rPr>
          <w:lang w:eastAsia="en-GB"/>
        </w:rPr>
        <w:t>. B</w:t>
      </w:r>
      <w:r w:rsidR="00666F97">
        <w:rPr>
          <w:lang w:eastAsia="en-GB"/>
        </w:rPr>
        <w:t>ut</w:t>
      </w:r>
      <w:r w:rsidR="00EE321D">
        <w:rPr>
          <w:lang w:eastAsia="en-GB"/>
        </w:rPr>
        <w:t xml:space="preserve"> </w:t>
      </w:r>
      <w:r w:rsidR="00666F97">
        <w:rPr>
          <w:lang w:eastAsia="en-GB"/>
        </w:rPr>
        <w:t xml:space="preserve">in practice </w:t>
      </w:r>
      <w:r w:rsidR="00EE321D">
        <w:rPr>
          <w:lang w:eastAsia="en-GB"/>
        </w:rPr>
        <w:t>no historian seems able to achieve this</w:t>
      </w:r>
      <w:r w:rsidR="00666F97">
        <w:rPr>
          <w:lang w:eastAsia="en-GB"/>
        </w:rPr>
        <w:t xml:space="preserve">. </w:t>
      </w:r>
      <w:r w:rsidR="00A4347A">
        <w:rPr>
          <w:lang w:eastAsia="en-GB"/>
        </w:rPr>
        <w:t>Historians like Leopold von Ranke (</w:t>
      </w:r>
      <w:r w:rsidR="00A4347A" w:rsidRPr="004B3018">
        <w:rPr>
          <w:lang w:eastAsia="en-GB"/>
        </w:rPr>
        <w:t>1795</w:t>
      </w:r>
      <w:r w:rsidR="00A4347A">
        <w:rPr>
          <w:lang w:eastAsia="en-GB"/>
        </w:rPr>
        <w:t>–</w:t>
      </w:r>
      <w:r w:rsidR="00A4347A" w:rsidRPr="004B3018">
        <w:rPr>
          <w:lang w:eastAsia="en-GB"/>
        </w:rPr>
        <w:t>1886</w:t>
      </w:r>
      <w:r w:rsidR="00A4347A">
        <w:rPr>
          <w:lang w:eastAsia="en-GB"/>
        </w:rPr>
        <w:t xml:space="preserve">) saw the goal of interpretation as the “extinguishing of the self,” by which he meant the suppression of all subjective bias, point of view and prejudice, by which means alone one can understand the past as it “really was.” But </w:t>
      </w:r>
      <w:r w:rsidR="00666F97">
        <w:rPr>
          <w:lang w:eastAsia="en-GB"/>
        </w:rPr>
        <w:t>Gadamer points out:</w:t>
      </w:r>
    </w:p>
    <w:p w:rsidR="00666F97" w:rsidRPr="00666F97" w:rsidRDefault="00666F97" w:rsidP="00666F97">
      <w:pPr>
        <w:pStyle w:val="Quote"/>
        <w:rPr>
          <w:lang w:eastAsia="en-GB"/>
        </w:rPr>
      </w:pPr>
      <w:r>
        <w:rPr>
          <w:lang w:eastAsia="en-GB"/>
        </w:rPr>
        <w:t>Even in those masterworks of historical scholarship that seem to be the very consummation of the extinguishing of the individual demanded by Ranke, it is still an unquestioned principle of our scientific experience that we can classify these works with unfailing accuracy in terms of the political tendencies of the time in which they were written.</w:t>
      </w:r>
      <w:r w:rsidR="00B90845">
        <w:rPr>
          <w:rStyle w:val="FootnoteReference"/>
          <w:lang w:eastAsia="en-GB"/>
        </w:rPr>
        <w:footnoteReference w:id="28"/>
      </w:r>
    </w:p>
    <w:p w:rsidR="00B64455" w:rsidRDefault="00EE21F7" w:rsidP="00EE21F7">
      <w:pPr>
        <w:ind w:firstLine="0"/>
      </w:pPr>
      <w:r>
        <w:rPr>
          <w:lang w:eastAsia="en-GB"/>
        </w:rPr>
        <w:t>Thus</w:t>
      </w:r>
      <w:r w:rsidR="00EE321D">
        <w:rPr>
          <w:lang w:eastAsia="en-GB"/>
        </w:rPr>
        <w:t>, for Gadamer,</w:t>
      </w:r>
      <w:r>
        <w:rPr>
          <w:lang w:eastAsia="en-GB"/>
        </w:rPr>
        <w:t xml:space="preserve"> w</w:t>
      </w:r>
      <w:r w:rsidR="00B90845">
        <w:rPr>
          <w:lang w:eastAsia="en-GB"/>
        </w:rPr>
        <w:t xml:space="preserve">e are fooling ourselves if we think we have eliminated all our prejudices, biases, and presuppositions </w:t>
      </w:r>
      <w:r>
        <w:rPr>
          <w:lang w:eastAsia="en-GB"/>
        </w:rPr>
        <w:t xml:space="preserve">and come to </w:t>
      </w:r>
      <w:r w:rsidR="00B90845">
        <w:rPr>
          <w:lang w:eastAsia="en-GB"/>
        </w:rPr>
        <w:t xml:space="preserve">understand </w:t>
      </w:r>
      <w:r w:rsidR="007052B9">
        <w:rPr>
          <w:lang w:eastAsia="en-GB"/>
        </w:rPr>
        <w:t>a historical text</w:t>
      </w:r>
      <w:r>
        <w:rPr>
          <w:lang w:eastAsia="en-GB"/>
        </w:rPr>
        <w:t xml:space="preserve"> neutrally as it “really was.”</w:t>
      </w:r>
      <w:r w:rsidR="00B90845">
        <w:rPr>
          <w:lang w:eastAsia="en-GB"/>
        </w:rPr>
        <w:t xml:space="preserve"> </w:t>
      </w:r>
      <w:r>
        <w:rPr>
          <w:lang w:eastAsia="en-GB"/>
        </w:rPr>
        <w:t xml:space="preserve">Future historians </w:t>
      </w:r>
      <w:r w:rsidR="00B90845">
        <w:rPr>
          <w:lang w:eastAsia="en-GB"/>
        </w:rPr>
        <w:t xml:space="preserve">will see the log in our eyes to which we were blind, just as we saw the speck in the eyes of </w:t>
      </w:r>
      <w:r>
        <w:rPr>
          <w:lang w:eastAsia="en-GB"/>
        </w:rPr>
        <w:t>past historians</w:t>
      </w:r>
      <w:r w:rsidR="00B90845">
        <w:rPr>
          <w:lang w:eastAsia="en-GB"/>
        </w:rPr>
        <w:t>.</w:t>
      </w:r>
      <w:r w:rsidR="00B64455" w:rsidRPr="00B64455">
        <w:t xml:space="preserve"> </w:t>
      </w:r>
      <w:r>
        <w:t>I</w:t>
      </w:r>
      <w:r w:rsidR="00B64455">
        <w:t xml:space="preserve">t is impossible to distance ourselves from our past in order to </w:t>
      </w:r>
      <w:r>
        <w:t>view it objectively</w:t>
      </w:r>
      <w:r w:rsidR="00B64455">
        <w:t xml:space="preserve">, because </w:t>
      </w:r>
      <w:r w:rsidR="008C2F65">
        <w:t xml:space="preserve">there is no Archimedean point outside of history from which to make an ahistorical, objective judgment: in short, </w:t>
      </w:r>
      <w:r w:rsidR="00B64455">
        <w:t>“history does not belong to us; we belong to it.”</w:t>
      </w:r>
      <w:r w:rsidR="00B64455">
        <w:rPr>
          <w:rStyle w:val="FootnoteReference"/>
        </w:rPr>
        <w:footnoteReference w:id="29"/>
      </w:r>
    </w:p>
    <w:p w:rsidR="000304E0" w:rsidRDefault="00EE321D" w:rsidP="00B90845">
      <w:pPr>
        <w:rPr>
          <w:lang w:eastAsia="en-GB"/>
        </w:rPr>
      </w:pPr>
      <w:r>
        <w:rPr>
          <w:lang w:eastAsia="en-GB"/>
        </w:rPr>
        <w:lastRenderedPageBreak/>
        <w:t>S</w:t>
      </w:r>
      <w:r w:rsidR="00B90845">
        <w:rPr>
          <w:lang w:eastAsia="en-GB"/>
        </w:rPr>
        <w:t xml:space="preserve">econd and more importantly, </w:t>
      </w:r>
      <w:r>
        <w:rPr>
          <w:lang w:eastAsia="en-GB"/>
        </w:rPr>
        <w:t xml:space="preserve">for Gadamer </w:t>
      </w:r>
      <w:r w:rsidR="00B90845">
        <w:rPr>
          <w:lang w:eastAsia="en-GB"/>
        </w:rPr>
        <w:t xml:space="preserve">critical distanciation is </w:t>
      </w:r>
      <w:r w:rsidR="00B90845" w:rsidRPr="00EE321D">
        <w:rPr>
          <w:lang w:eastAsia="en-GB"/>
        </w:rPr>
        <w:t>undesirable</w:t>
      </w:r>
      <w:r w:rsidR="00B90845">
        <w:rPr>
          <w:lang w:eastAsia="en-GB"/>
        </w:rPr>
        <w:t xml:space="preserve">. </w:t>
      </w:r>
      <w:r w:rsidR="00B64455">
        <w:rPr>
          <w:lang w:eastAsia="en-GB"/>
        </w:rPr>
        <w:t xml:space="preserve">Even if we could “extinguish the self” and eliminate all our prejudices, </w:t>
      </w:r>
      <w:r w:rsidR="00EE21F7">
        <w:rPr>
          <w:lang w:eastAsia="en-GB"/>
        </w:rPr>
        <w:t xml:space="preserve">this would render the text a </w:t>
      </w:r>
      <w:r w:rsidR="000304E0">
        <w:rPr>
          <w:lang w:eastAsia="en-GB"/>
        </w:rPr>
        <w:t>lifeless irrelevant</w:t>
      </w:r>
      <w:r w:rsidR="00EE21F7">
        <w:rPr>
          <w:lang w:eastAsia="en-GB"/>
        </w:rPr>
        <w:t xml:space="preserve"> object for us</w:t>
      </w:r>
      <w:r w:rsidR="00B64455">
        <w:rPr>
          <w:lang w:eastAsia="en-GB"/>
        </w:rPr>
        <w:t>.</w:t>
      </w:r>
      <w:r w:rsidR="007052B9">
        <w:rPr>
          <w:lang w:eastAsia="en-GB"/>
        </w:rPr>
        <w:t xml:space="preserve"> </w:t>
      </w:r>
      <w:r w:rsidR="007052B9">
        <w:t xml:space="preserve">“Nothing destroys more the very sense of the historical enterprise than this objective distancing,” says Ricœur </w:t>
      </w:r>
      <w:r>
        <w:t>expounding</w:t>
      </w:r>
      <w:r w:rsidR="007052B9">
        <w:t xml:space="preserve"> Gadamer, because “the text, thus treated as an absolute object, is thus divested of its claim to tell us something about something.”</w:t>
      </w:r>
      <w:r w:rsidR="007052B9" w:rsidRPr="001514FD">
        <w:rPr>
          <w:rStyle w:val="FootnoteReference"/>
        </w:rPr>
        <w:footnoteReference w:id="30"/>
      </w:r>
      <w:r w:rsidR="00B64455">
        <w:rPr>
          <w:lang w:eastAsia="en-GB"/>
        </w:rPr>
        <w:t xml:space="preserve"> </w:t>
      </w:r>
    </w:p>
    <w:p w:rsidR="00B90845" w:rsidRPr="00B90845" w:rsidRDefault="00A87536" w:rsidP="00B90845">
      <w:pPr>
        <w:rPr>
          <w:lang w:eastAsia="en-GB"/>
        </w:rPr>
      </w:pPr>
      <w:r>
        <w:rPr>
          <w:lang w:eastAsia="en-GB"/>
        </w:rPr>
        <w:t>Prejudices are desirable, says Gadamer, for</w:t>
      </w:r>
      <w:r w:rsidR="00DF3BD5">
        <w:rPr>
          <w:lang w:eastAsia="en-GB"/>
        </w:rPr>
        <w:t xml:space="preserve"> two reasons. </w:t>
      </w:r>
      <w:r w:rsidR="00B64455">
        <w:rPr>
          <w:lang w:eastAsia="en-GB"/>
        </w:rPr>
        <w:t xml:space="preserve">First, our prejudices are part of who we are in our deepest nature, giving us our orientation in the world, the perspective from which we survey </w:t>
      </w:r>
      <w:r w:rsidR="00EE21F7">
        <w:rPr>
          <w:lang w:eastAsia="en-GB"/>
        </w:rPr>
        <w:t>all that we see</w:t>
      </w:r>
      <w:r w:rsidR="00B64455">
        <w:rPr>
          <w:lang w:eastAsia="en-GB"/>
        </w:rPr>
        <w:t xml:space="preserve">. </w:t>
      </w:r>
      <w:r w:rsidR="00B90845">
        <w:rPr>
          <w:lang w:eastAsia="en-GB"/>
        </w:rPr>
        <w:t>“The prejudices of the individual,</w:t>
      </w:r>
      <w:r w:rsidR="00B64455">
        <w:rPr>
          <w:lang w:eastAsia="en-GB"/>
        </w:rPr>
        <w:t>” Gadamer tells us, “</w:t>
      </w:r>
      <w:r w:rsidR="00B90845">
        <w:rPr>
          <w:lang w:eastAsia="en-GB"/>
        </w:rPr>
        <w:t>far more than his judgments, constitute the historical reality of his being. … If we want to do justice to man’s finite, historical mode of being, it is necessary to fundamentally rehabilitate the concept of prejudice and acknowledge the fact that there are legitimate prejudices.”</w:t>
      </w:r>
      <w:r w:rsidR="00B90845">
        <w:rPr>
          <w:rStyle w:val="FootnoteReference"/>
          <w:lang w:eastAsia="en-GB"/>
        </w:rPr>
        <w:footnoteReference w:id="31"/>
      </w:r>
      <w:r w:rsidR="00B90845">
        <w:rPr>
          <w:lang w:eastAsia="en-GB"/>
        </w:rPr>
        <w:t xml:space="preserve"> </w:t>
      </w:r>
      <w:r w:rsidR="00DF3BD5">
        <w:rPr>
          <w:lang w:eastAsia="en-GB"/>
        </w:rPr>
        <w:t>This</w:t>
      </w:r>
      <w:r w:rsidR="00B90845">
        <w:rPr>
          <w:lang w:eastAsia="en-GB"/>
        </w:rPr>
        <w:t xml:space="preserve"> </w:t>
      </w:r>
      <w:r w:rsidR="00BD0AB7">
        <w:rPr>
          <w:lang w:eastAsia="en-GB"/>
        </w:rPr>
        <w:t>does not</w:t>
      </w:r>
      <w:r w:rsidR="00B90845">
        <w:rPr>
          <w:lang w:eastAsia="en-GB"/>
        </w:rPr>
        <w:t xml:space="preserve"> imply that prejudice is always good, </w:t>
      </w:r>
      <w:r w:rsidR="00BD0AB7">
        <w:rPr>
          <w:lang w:eastAsia="en-GB"/>
        </w:rPr>
        <w:t xml:space="preserve">simply </w:t>
      </w:r>
      <w:r w:rsidR="00B90845">
        <w:rPr>
          <w:lang w:eastAsia="en-GB"/>
        </w:rPr>
        <w:t>that not all prejudice is bad.</w:t>
      </w:r>
      <w:r w:rsidR="00B90845" w:rsidRPr="00B90845">
        <w:rPr>
          <w:lang w:eastAsia="en-GB"/>
        </w:rPr>
        <w:t xml:space="preserve"> </w:t>
      </w:r>
      <w:r w:rsidR="00BD0AB7">
        <w:rPr>
          <w:lang w:eastAsia="en-GB"/>
        </w:rPr>
        <w:t>S</w:t>
      </w:r>
      <w:r>
        <w:rPr>
          <w:lang w:eastAsia="en-GB"/>
        </w:rPr>
        <w:t xml:space="preserve">econd, </w:t>
      </w:r>
      <w:r w:rsidR="00BD0AB7">
        <w:rPr>
          <w:lang w:eastAsia="en-GB"/>
        </w:rPr>
        <w:t xml:space="preserve">prejudices are founded on our belonging </w:t>
      </w:r>
      <w:r w:rsidR="00B64455">
        <w:rPr>
          <w:lang w:eastAsia="en-GB"/>
        </w:rPr>
        <w:t xml:space="preserve">to </w:t>
      </w:r>
      <w:r w:rsidR="00BD0AB7">
        <w:rPr>
          <w:lang w:eastAsia="en-GB"/>
        </w:rPr>
        <w:t xml:space="preserve">a </w:t>
      </w:r>
      <w:r w:rsidR="00B64455">
        <w:rPr>
          <w:lang w:eastAsia="en-GB"/>
        </w:rPr>
        <w:t xml:space="preserve">culture and tradition. They are given by our education, our upbringing, long before we begin to critically reflect on them. </w:t>
      </w:r>
      <w:r w:rsidR="00EE21F7">
        <w:rPr>
          <w:lang w:eastAsia="en-GB"/>
        </w:rPr>
        <w:t xml:space="preserve">Without these prejudices we would neither </w:t>
      </w:r>
      <w:proofErr w:type="spellStart"/>
      <w:r w:rsidR="00EE21F7" w:rsidRPr="00EE21F7">
        <w:rPr>
          <w:i/>
          <w:lang w:eastAsia="en-GB"/>
        </w:rPr>
        <w:t>be</w:t>
      </w:r>
      <w:proofErr w:type="spellEnd"/>
      <w:r w:rsidR="00EE21F7">
        <w:rPr>
          <w:lang w:eastAsia="en-GB"/>
        </w:rPr>
        <w:t xml:space="preserve"> nor </w:t>
      </w:r>
      <w:r w:rsidR="00EE21F7" w:rsidRPr="00EE21F7">
        <w:rPr>
          <w:i/>
          <w:lang w:eastAsia="en-GB"/>
        </w:rPr>
        <w:t>know</w:t>
      </w:r>
      <w:r w:rsidR="00EE21F7">
        <w:rPr>
          <w:lang w:eastAsia="en-GB"/>
        </w:rPr>
        <w:t xml:space="preserve"> who we are.</w:t>
      </w:r>
      <w:r w:rsidR="008C2F65">
        <w:rPr>
          <w:lang w:eastAsia="en-GB"/>
        </w:rPr>
        <w:t xml:space="preserve"> The text we seek to interpret only has value for us insofar as it connects to our “self,” the concerns, questions and indeed </w:t>
      </w:r>
      <w:r w:rsidR="008C2F65" w:rsidRPr="00DF3BD5">
        <w:rPr>
          <w:i/>
          <w:lang w:eastAsia="en-GB"/>
        </w:rPr>
        <w:t>prejudices</w:t>
      </w:r>
      <w:r w:rsidR="008C2F65">
        <w:rPr>
          <w:lang w:eastAsia="en-GB"/>
        </w:rPr>
        <w:t xml:space="preserve"> that we bring to the text which come from our own historical situation. </w:t>
      </w:r>
    </w:p>
    <w:p w:rsidR="00A41DD6" w:rsidRDefault="00BD0AB7" w:rsidP="00DF3BD5">
      <w:pPr>
        <w:rPr>
          <w:lang w:eastAsia="en-GB"/>
        </w:rPr>
      </w:pPr>
      <w:r>
        <w:rPr>
          <w:lang w:eastAsia="en-GB"/>
        </w:rPr>
        <w:t xml:space="preserve">For Gadamer, </w:t>
      </w:r>
      <w:r w:rsidR="00994EE5">
        <w:rPr>
          <w:lang w:eastAsia="en-GB"/>
        </w:rPr>
        <w:t xml:space="preserve">Romantic hermeneutics </w:t>
      </w:r>
      <w:r w:rsidR="00A87536">
        <w:rPr>
          <w:lang w:eastAsia="en-GB"/>
        </w:rPr>
        <w:t xml:space="preserve">presupposes </w:t>
      </w:r>
      <w:r w:rsidR="00DF3BD5">
        <w:rPr>
          <w:lang w:eastAsia="en-GB"/>
        </w:rPr>
        <w:t>the Enlightenment “prejudice against prejudice,”</w:t>
      </w:r>
      <w:r w:rsidR="00DF3BD5">
        <w:rPr>
          <w:rStyle w:val="FootnoteReference"/>
          <w:lang w:eastAsia="en-GB"/>
        </w:rPr>
        <w:footnoteReference w:id="32"/>
      </w:r>
      <w:r w:rsidR="00EE21F7">
        <w:rPr>
          <w:lang w:eastAsia="en-GB"/>
        </w:rPr>
        <w:t xml:space="preserve"> </w:t>
      </w:r>
      <w:r w:rsidR="00DF3BD5">
        <w:rPr>
          <w:lang w:eastAsia="en-GB"/>
        </w:rPr>
        <w:t>seeing</w:t>
      </w:r>
      <w:r w:rsidR="00EE21F7">
        <w:rPr>
          <w:lang w:eastAsia="en-GB"/>
        </w:rPr>
        <w:t xml:space="preserve"> prejudice </w:t>
      </w:r>
      <w:r w:rsidR="00DF3BD5">
        <w:rPr>
          <w:lang w:eastAsia="en-GB"/>
        </w:rPr>
        <w:t>as nothing more than an</w:t>
      </w:r>
      <w:r w:rsidR="00EE21F7">
        <w:rPr>
          <w:lang w:eastAsia="en-GB"/>
        </w:rPr>
        <w:t xml:space="preserve"> unfounded judgment</w:t>
      </w:r>
      <w:r w:rsidR="00A87536">
        <w:rPr>
          <w:lang w:eastAsia="en-GB"/>
        </w:rPr>
        <w:t xml:space="preserve">. </w:t>
      </w:r>
      <w:r>
        <w:rPr>
          <w:lang w:eastAsia="en-GB"/>
        </w:rPr>
        <w:t xml:space="preserve">By attempting to </w:t>
      </w:r>
      <w:r w:rsidR="00DF3BD5">
        <w:rPr>
          <w:lang w:eastAsia="en-GB"/>
        </w:rPr>
        <w:t>eliminat</w:t>
      </w:r>
      <w:r>
        <w:rPr>
          <w:lang w:eastAsia="en-GB"/>
        </w:rPr>
        <w:t>e</w:t>
      </w:r>
      <w:r w:rsidR="00DF3BD5">
        <w:rPr>
          <w:lang w:eastAsia="en-GB"/>
        </w:rPr>
        <w:t xml:space="preserve"> prejudices, </w:t>
      </w:r>
      <w:r w:rsidR="00A87536">
        <w:rPr>
          <w:lang w:eastAsia="en-GB"/>
        </w:rPr>
        <w:t xml:space="preserve">Romantics </w:t>
      </w:r>
      <w:r>
        <w:rPr>
          <w:lang w:eastAsia="en-GB"/>
        </w:rPr>
        <w:t xml:space="preserve">alienated </w:t>
      </w:r>
      <w:r w:rsidR="00A87536">
        <w:rPr>
          <w:lang w:eastAsia="en-GB"/>
        </w:rPr>
        <w:t xml:space="preserve">themselves </w:t>
      </w:r>
      <w:r w:rsidR="00EE21F7">
        <w:rPr>
          <w:lang w:eastAsia="en-GB"/>
        </w:rPr>
        <w:t xml:space="preserve">from </w:t>
      </w:r>
      <w:r w:rsidR="00A87536">
        <w:rPr>
          <w:lang w:eastAsia="en-GB"/>
        </w:rPr>
        <w:t xml:space="preserve">their </w:t>
      </w:r>
      <w:r w:rsidR="00EE21F7">
        <w:rPr>
          <w:lang w:eastAsia="en-GB"/>
        </w:rPr>
        <w:t>tradition</w:t>
      </w:r>
      <w:r w:rsidR="00994EE5">
        <w:rPr>
          <w:lang w:eastAsia="en-GB"/>
        </w:rPr>
        <w:t xml:space="preserve">. </w:t>
      </w:r>
      <w:r>
        <w:rPr>
          <w:lang w:eastAsia="en-GB"/>
        </w:rPr>
        <w:t>But</w:t>
      </w:r>
      <w:r w:rsidR="00616999">
        <w:rPr>
          <w:lang w:eastAsia="en-GB"/>
        </w:rPr>
        <w:t xml:space="preserve"> </w:t>
      </w:r>
      <w:r w:rsidR="00A41DD6">
        <w:rPr>
          <w:lang w:eastAsia="en-GB"/>
        </w:rPr>
        <w:t xml:space="preserve">distanciation, far from being the solution, is instead the problem </w:t>
      </w:r>
      <w:r>
        <w:rPr>
          <w:lang w:eastAsia="en-GB"/>
        </w:rPr>
        <w:t xml:space="preserve">for Gadamer </w:t>
      </w:r>
      <w:r w:rsidR="00A41DD6">
        <w:rPr>
          <w:lang w:eastAsia="en-GB"/>
        </w:rPr>
        <w:t>–</w:t>
      </w:r>
      <w:r>
        <w:rPr>
          <w:lang w:eastAsia="en-GB"/>
        </w:rPr>
        <w:t xml:space="preserve"> </w:t>
      </w:r>
      <w:r w:rsidR="00A41DD6">
        <w:rPr>
          <w:lang w:eastAsia="en-GB"/>
        </w:rPr>
        <w:t>a posture brought about by our attempt to emancipate ourselves from tradition in the name of universal reason.</w:t>
      </w:r>
      <w:r w:rsidR="00DF3BD5">
        <w:rPr>
          <w:lang w:eastAsia="en-GB"/>
        </w:rPr>
        <w:t xml:space="preserve"> The text only comes to life and acquires meaning insofar as it connects with the existential questions of its readers, which come from their tradition and form part of their “prejudice.”</w:t>
      </w:r>
      <w:r w:rsidR="00A41DD6">
        <w:rPr>
          <w:lang w:eastAsia="en-GB"/>
        </w:rPr>
        <w:t xml:space="preserve"> </w:t>
      </w:r>
    </w:p>
    <w:p w:rsidR="008454C5" w:rsidRDefault="008C2F65" w:rsidP="00883171">
      <w:r>
        <w:t>Ricœur</w:t>
      </w:r>
      <w:r w:rsidR="00AE524F">
        <w:t>’s own insights are</w:t>
      </w:r>
      <w:r w:rsidR="000304E0">
        <w:t xml:space="preserve"> (performatively)</w:t>
      </w:r>
      <w:r w:rsidR="00AE524F">
        <w:t xml:space="preserve"> more a development than a critique of Gadamer.</w:t>
      </w:r>
      <w:r w:rsidR="00956A44">
        <w:t xml:space="preserve"> </w:t>
      </w:r>
      <w:r w:rsidR="00BD0AB7">
        <w:t xml:space="preserve">For </w:t>
      </w:r>
      <w:r w:rsidR="008454C5">
        <w:t xml:space="preserve">Ricœur a certain measure of </w:t>
      </w:r>
      <w:r w:rsidR="000A0A8E">
        <w:t>‘</w:t>
      </w:r>
      <w:r w:rsidR="008454C5">
        <w:t>critique</w:t>
      </w:r>
      <w:r w:rsidR="000A0A8E">
        <w:t>’</w:t>
      </w:r>
      <w:r w:rsidR="008454C5">
        <w:t xml:space="preserve"> </w:t>
      </w:r>
      <w:r w:rsidR="004F5A77">
        <w:t>or</w:t>
      </w:r>
      <w:r w:rsidR="008454C5">
        <w:t xml:space="preserve"> </w:t>
      </w:r>
      <w:r w:rsidR="000A0A8E">
        <w:t>‘</w:t>
      </w:r>
      <w:r w:rsidR="008454C5">
        <w:t>distanciation</w:t>
      </w:r>
      <w:r w:rsidR="000A0A8E">
        <w:t>’</w:t>
      </w:r>
      <w:r w:rsidR="008454C5">
        <w:t xml:space="preserve"> is not only </w:t>
      </w:r>
      <w:r w:rsidR="008454C5" w:rsidRPr="00BD0AB7">
        <w:t>possible</w:t>
      </w:r>
      <w:r w:rsidR="008454C5">
        <w:t xml:space="preserve"> but </w:t>
      </w:r>
      <w:r w:rsidR="00956A44" w:rsidRPr="00BD0AB7">
        <w:t>intrinsic</w:t>
      </w:r>
      <w:r w:rsidR="00956A44">
        <w:rPr>
          <w:i/>
        </w:rPr>
        <w:t xml:space="preserve"> </w:t>
      </w:r>
      <w:r w:rsidR="00956A44">
        <w:t>to</w:t>
      </w:r>
      <w:r w:rsidR="008454C5">
        <w:t xml:space="preserve"> the process of interpretation. Distanciation and belonging </w:t>
      </w:r>
      <w:r w:rsidR="00956A44">
        <w:t xml:space="preserve">are not exclusive alternatives but </w:t>
      </w:r>
      <w:r w:rsidR="008454C5">
        <w:t xml:space="preserve">are actually bound together in a never-ending dialectic out of which new </w:t>
      </w:r>
      <w:r w:rsidR="00C40299">
        <w:t>interpretations</w:t>
      </w:r>
      <w:r w:rsidR="008454C5">
        <w:t xml:space="preserve"> </w:t>
      </w:r>
      <w:r w:rsidR="00956A44">
        <w:t>arise</w:t>
      </w:r>
      <w:r w:rsidR="008454C5">
        <w:t>.</w:t>
      </w:r>
      <w:r w:rsidR="00956A44">
        <w:t xml:space="preserve"> Let us follow Ricœur’s reasoning step by step. </w:t>
      </w:r>
    </w:p>
    <w:p w:rsidR="00883171" w:rsidRDefault="00883171" w:rsidP="00883171">
      <w:r>
        <w:t xml:space="preserve">The major advance Gadamer makes over Romanticism and structuralism is </w:t>
      </w:r>
      <w:r w:rsidR="00C40299">
        <w:t>the</w:t>
      </w:r>
      <w:r>
        <w:t xml:space="preserve"> recognition that the meaning of a text is </w:t>
      </w:r>
      <w:r w:rsidR="000304E0">
        <w:t>never fully determined</w:t>
      </w:r>
      <w:r w:rsidR="00DF3BD5">
        <w:t>. As Gadamer puts it,</w:t>
      </w:r>
      <w:r>
        <w:t xml:space="preserve"> “every age has to understand a transmitted text in its own way, for the text belongs to the </w:t>
      </w:r>
      <w:r>
        <w:lastRenderedPageBreak/>
        <w:t>whole tradition whose content interests the age and in which it seeks to understand itself. … Not just occasionally but always, the meaning of a text goes beyond its author. That is why understanding is not merely a reproductive but always a productive activity as well.”</w:t>
      </w:r>
      <w:r w:rsidRPr="001514FD">
        <w:rPr>
          <w:rStyle w:val="FootnoteReference"/>
        </w:rPr>
        <w:footnoteReference w:id="33"/>
      </w:r>
      <w:r>
        <w:t xml:space="preserve"> </w:t>
      </w:r>
    </w:p>
    <w:p w:rsidR="00CA7B33" w:rsidRDefault="00CA7B33" w:rsidP="00C40299">
      <w:r>
        <w:t xml:space="preserve">But </w:t>
      </w:r>
      <w:r w:rsidR="005D7C7F">
        <w:t>Gadamer</w:t>
      </w:r>
      <w:r w:rsidR="00C40299">
        <w:t xml:space="preserve"> </w:t>
      </w:r>
      <w:r>
        <w:t>fails to see that</w:t>
      </w:r>
      <w:r w:rsidR="00C40299">
        <w:t xml:space="preserve"> </w:t>
      </w:r>
      <w:r w:rsidR="00C40299" w:rsidRPr="00CA7B33">
        <w:rPr>
          <w:i/>
        </w:rPr>
        <w:t xml:space="preserve">the very thing that makes understanding productive </w:t>
      </w:r>
      <w:r w:rsidR="00724AB4" w:rsidRPr="00CA7B33">
        <w:rPr>
          <w:i/>
        </w:rPr>
        <w:t>is the distanciation he so vehemently attacks</w:t>
      </w:r>
      <w:r w:rsidR="00C40299">
        <w:t xml:space="preserve">. </w:t>
      </w:r>
      <w:r w:rsidR="00701D93">
        <w:t>This is because</w:t>
      </w:r>
      <w:r w:rsidR="00BD0AB7">
        <w:t xml:space="preserve"> </w:t>
      </w:r>
      <w:r w:rsidR="00701D93">
        <w:t xml:space="preserve">he has </w:t>
      </w:r>
      <w:r w:rsidR="00724AB4">
        <w:t xml:space="preserve">conflated two types of </w:t>
      </w:r>
      <w:r w:rsidR="00701D93">
        <w:t>distance</w:t>
      </w:r>
      <w:r w:rsidR="00BD0AB7">
        <w:t>, according to Ricœur</w:t>
      </w:r>
      <w:r w:rsidR="009C73BB">
        <w:t xml:space="preserve">: the unchosen distance of our place in history and the chosen distance of our scientific method. </w:t>
      </w:r>
      <w:r w:rsidR="00701D93">
        <w:t xml:space="preserve">“Distance is a fact; </w:t>
      </w:r>
      <w:r w:rsidR="00724AB4">
        <w:t>placing at a distance is a methodological attitude</w:t>
      </w:r>
      <w:r w:rsidR="009C73BB">
        <w:t>,</w:t>
      </w:r>
      <w:r w:rsidR="00724AB4">
        <w:t>”</w:t>
      </w:r>
      <w:r w:rsidR="009C73BB">
        <w:t xml:space="preserve"> says Ricœur.</w:t>
      </w:r>
      <w:r w:rsidR="00724AB4">
        <w:rPr>
          <w:rStyle w:val="FootnoteReference"/>
        </w:rPr>
        <w:footnoteReference w:id="34"/>
      </w:r>
      <w:r w:rsidR="00724AB4">
        <w:t xml:space="preserve"> The </w:t>
      </w:r>
      <w:r w:rsidR="00724AB4" w:rsidRPr="00724AB4">
        <w:rPr>
          <w:i/>
        </w:rPr>
        <w:t>fact</w:t>
      </w:r>
      <w:r w:rsidR="00724AB4">
        <w:t xml:space="preserve"> of our </w:t>
      </w:r>
      <w:r w:rsidR="00C40299">
        <w:t xml:space="preserve">historical distance from the text is our distinctive standpoint which gives us unique insight into the meaning of the text. </w:t>
      </w:r>
    </w:p>
    <w:p w:rsidR="00701D93" w:rsidRDefault="00D86E7A" w:rsidP="00BD0AB7">
      <w:r>
        <w:t>In fairness, Gadamer</w:t>
      </w:r>
      <w:r w:rsidR="008454C5">
        <w:t xml:space="preserve"> is not wholly unaware of </w:t>
      </w:r>
      <w:r w:rsidR="00CA7B33">
        <w:t>the positive role of distanciation</w:t>
      </w:r>
      <w:r w:rsidR="008454C5">
        <w:t xml:space="preserve">. </w:t>
      </w:r>
      <w:r w:rsidR="00724AB4">
        <w:t>At one point</w:t>
      </w:r>
      <w:r w:rsidR="005D7C7F">
        <w:t xml:space="preserve"> </w:t>
      </w:r>
      <w:r w:rsidR="00724AB4">
        <w:t xml:space="preserve">he acknowledges </w:t>
      </w:r>
      <w:r w:rsidR="00CA7B33">
        <w:t>it</w:t>
      </w:r>
      <w:r w:rsidR="00BD0AB7">
        <w:t>, saying that “t</w:t>
      </w:r>
      <w:r w:rsidR="005D7C7F">
        <w:t xml:space="preserve">emporal distance … lets the true meaning of the object emerge fully. </w:t>
      </w:r>
      <w:r w:rsidR="00BD0AB7">
        <w:t>…</w:t>
      </w:r>
      <w:r w:rsidR="005D7C7F">
        <w:t xml:space="preserve"> Not only are fresh sources of error constantly excluded,</w:t>
      </w:r>
      <w:r w:rsidR="00BD0AB7">
        <w:t xml:space="preserve"> …</w:t>
      </w:r>
      <w:r w:rsidR="005D7C7F">
        <w:t xml:space="preserve"> but new sources of understanding are continually emerging that reveal unsuspected elements of meaning.</w:t>
      </w:r>
      <w:r w:rsidR="00BD0AB7">
        <w:t>”</w:t>
      </w:r>
      <w:r w:rsidR="005D7C7F" w:rsidRPr="001514FD">
        <w:rPr>
          <w:rStyle w:val="FootnoteReference"/>
        </w:rPr>
        <w:footnoteReference w:id="35"/>
      </w:r>
      <w:r w:rsidR="00BD0AB7">
        <w:t xml:space="preserve"> </w:t>
      </w:r>
      <w:r w:rsidR="005D7C7F">
        <w:t xml:space="preserve">However, as </w:t>
      </w:r>
      <w:r w:rsidR="00F8083D">
        <w:t xml:space="preserve">Ricœur </w:t>
      </w:r>
      <w:r w:rsidR="005D7C7F">
        <w:t xml:space="preserve">observes, Gadamer </w:t>
      </w:r>
      <w:r w:rsidR="00CA7B33">
        <w:t>does not explain</w:t>
      </w:r>
      <w:r w:rsidR="005D7C7F">
        <w:t xml:space="preserve"> </w:t>
      </w:r>
      <w:r w:rsidR="005D7C7F" w:rsidRPr="006C057D">
        <w:rPr>
          <w:i/>
          <w:iCs/>
        </w:rPr>
        <w:t>how</w:t>
      </w:r>
      <w:r w:rsidR="005D7C7F">
        <w:t xml:space="preserve"> temporal distance makes interpretation productive</w:t>
      </w:r>
      <w:r w:rsidR="00701D93">
        <w:t xml:space="preserve"> because all he can see in distanciation is the arrogance of autonomous critique and the lifelessness of </w:t>
      </w:r>
      <w:r w:rsidR="00CA7B33">
        <w:t>scientific objectifying method</w:t>
      </w:r>
      <w:r w:rsidR="00701D93">
        <w:t xml:space="preserve">. </w:t>
      </w:r>
    </w:p>
    <w:p w:rsidR="00CA7B33" w:rsidRDefault="00746535" w:rsidP="00CA7B33">
      <w:r>
        <w:t>Ricœur</w:t>
      </w:r>
      <w:r w:rsidR="000A0A8E">
        <w:t>’s solution is to</w:t>
      </w:r>
      <w:r>
        <w:t xml:space="preserve"> see</w:t>
      </w:r>
      <w:r w:rsidR="00CA7B33">
        <w:t xml:space="preserve"> </w:t>
      </w:r>
      <w:r w:rsidR="000A0A8E">
        <w:t>‘</w:t>
      </w:r>
      <w:r w:rsidR="00CA7B33">
        <w:t>critical distanciation</w:t>
      </w:r>
      <w:r w:rsidR="000A0A8E">
        <w:t>’</w:t>
      </w:r>
      <w:r>
        <w:t xml:space="preserve">, like </w:t>
      </w:r>
      <w:r w:rsidR="000A0A8E">
        <w:t>‘</w:t>
      </w:r>
      <w:r>
        <w:t>belonging</w:t>
      </w:r>
      <w:r w:rsidR="000A0A8E">
        <w:t>’</w:t>
      </w:r>
      <w:r>
        <w:t>,</w:t>
      </w:r>
      <w:r w:rsidR="00CA7B33">
        <w:t xml:space="preserve"> </w:t>
      </w:r>
      <w:r>
        <w:t>as</w:t>
      </w:r>
      <w:r w:rsidR="00CA7B33">
        <w:t xml:space="preserve"> both </w:t>
      </w:r>
      <w:r w:rsidR="00CA7B33" w:rsidRPr="00424F49">
        <w:t>unavoidable</w:t>
      </w:r>
      <w:r w:rsidR="00CA7B33">
        <w:rPr>
          <w:i/>
        </w:rPr>
        <w:t xml:space="preserve"> </w:t>
      </w:r>
      <w:r w:rsidR="00CA7B33">
        <w:t xml:space="preserve">and </w:t>
      </w:r>
      <w:r w:rsidR="00CA7B33" w:rsidRPr="00424F49">
        <w:t>desirable</w:t>
      </w:r>
      <w:r w:rsidR="00424F49">
        <w:t>:</w:t>
      </w:r>
      <w:r w:rsidR="00CA7B33">
        <w:t xml:space="preserve"> </w:t>
      </w:r>
      <w:r w:rsidR="00424F49" w:rsidRPr="00424F49">
        <w:t>u</w:t>
      </w:r>
      <w:r w:rsidR="00CA7B33" w:rsidRPr="00424F49">
        <w:t>navoidable</w:t>
      </w:r>
      <w:r w:rsidR="00CA7B33">
        <w:t xml:space="preserve"> because we begin from a different place in history whether we like it or not</w:t>
      </w:r>
      <w:r w:rsidR="00424F49">
        <w:t>;</w:t>
      </w:r>
      <w:r w:rsidR="00CA7B33" w:rsidRPr="00424F49">
        <w:t xml:space="preserve"> desirable</w:t>
      </w:r>
      <w:r w:rsidR="00CA7B33">
        <w:t xml:space="preserve"> because is only by means of cultural difference that the meaning of a text extends beyond its original context. Our unique place in history </w:t>
      </w:r>
      <w:r>
        <w:t xml:space="preserve">is the source of new interpretations, because it </w:t>
      </w:r>
      <w:r w:rsidR="00CA7B33">
        <w:t>gives us a distinctive point of view which unveils fresh meanings that previous generations did not see. Thus distanciation is not a problem to be overcome, but “a positive component of being for the text; it characteristically belongs to interpretation, not as its contrary but as its condition.”</w:t>
      </w:r>
      <w:r w:rsidR="00CA7B33" w:rsidRPr="001514FD">
        <w:rPr>
          <w:rStyle w:val="FootnoteReference"/>
        </w:rPr>
        <w:footnoteReference w:id="36"/>
      </w:r>
    </w:p>
    <w:p w:rsidR="000D11D5" w:rsidRDefault="000D11D5" w:rsidP="000D11D5">
      <w:pPr>
        <w:rPr>
          <w:lang w:eastAsia="en-GB"/>
        </w:rPr>
      </w:pPr>
      <w:r>
        <w:rPr>
          <w:lang w:eastAsia="en-GB"/>
        </w:rPr>
        <w:t>Ricœur shows how every new age brings forth new questions and a new life-situation from which the text is read. The readers from this new life-situation have a new perspective on the text and are thus enabled to find things in it that nobody had found before. And because the meaning of the text belongs not to the author alone, but is produced by both author and reader together, a new reader with a new perspective brings a new meaning to the text that it did not previously have. Thus the meaning of the text grows (develops) in the most real sense.</w:t>
      </w:r>
    </w:p>
    <w:p w:rsidR="00A409BD" w:rsidRDefault="00424F49" w:rsidP="00A409BD">
      <w:r>
        <w:t>Of the hermeneutic methods we have surveyed so far, o</w:t>
      </w:r>
      <w:r w:rsidR="00A409BD">
        <w:t xml:space="preserve">nly </w:t>
      </w:r>
      <w:r>
        <w:t xml:space="preserve">Ricœur’s sees </w:t>
      </w:r>
      <w:r w:rsidR="00A409BD">
        <w:t xml:space="preserve">both </w:t>
      </w:r>
      <w:r w:rsidR="00A409BD" w:rsidRPr="000D11D5">
        <w:rPr>
          <w:i/>
        </w:rPr>
        <w:t>tradition</w:t>
      </w:r>
      <w:r w:rsidR="00A409BD">
        <w:t xml:space="preserve"> and historical </w:t>
      </w:r>
      <w:r w:rsidR="00A409BD" w:rsidRPr="000D11D5">
        <w:rPr>
          <w:i/>
        </w:rPr>
        <w:t>distance</w:t>
      </w:r>
      <w:r w:rsidR="00A409BD">
        <w:t xml:space="preserve"> </w:t>
      </w:r>
      <w:r>
        <w:t xml:space="preserve">as </w:t>
      </w:r>
      <w:r w:rsidR="00A409BD">
        <w:t>positive</w:t>
      </w:r>
      <w:r>
        <w:t xml:space="preserve">. This is </w:t>
      </w:r>
      <w:r w:rsidR="00A409BD">
        <w:t xml:space="preserve">because only for Ricœur can there be multiple interpretations of a text that do not compete with or contradict one another. </w:t>
      </w:r>
      <w:r w:rsidR="00A409BD" w:rsidRPr="00424F49">
        <w:t>Tradition</w:t>
      </w:r>
      <w:r w:rsidR="00A409BD">
        <w:t xml:space="preserve"> is </w:t>
      </w:r>
      <w:r w:rsidR="00A409BD">
        <w:lastRenderedPageBreak/>
        <w:t xml:space="preserve">problematic for Schleiermacher and structuralism, irrelevant at best and a distorting influence at worst. Historical </w:t>
      </w:r>
      <w:r w:rsidR="00A409BD" w:rsidRPr="00424F49">
        <w:t>distance</w:t>
      </w:r>
      <w:r w:rsidR="00A409BD">
        <w:t xml:space="preserve"> is problematic for both Schleiermacher and Gadamer: for Schleiermacher because it gives rise to misunderstandings; for Gadamer because it alienates us from the tradition which is the wellspring of meaning. Only for Ricœur do we </w:t>
      </w:r>
      <w:r w:rsidR="00A409BD" w:rsidRPr="002D4C43">
        <w:t>belong</w:t>
      </w:r>
      <w:r w:rsidR="00A409BD">
        <w:t xml:space="preserve"> to the tradition by joining our own unique interpretation to it, not as a </w:t>
      </w:r>
      <w:r w:rsidR="00A409BD" w:rsidRPr="000D11D5">
        <w:t>rival</w:t>
      </w:r>
      <w:r w:rsidR="00A409BD">
        <w:t xml:space="preserve"> but as a </w:t>
      </w:r>
      <w:r w:rsidR="00A409BD" w:rsidRPr="000D11D5">
        <w:t>complement</w:t>
      </w:r>
      <w:r w:rsidR="00A409BD">
        <w:t xml:space="preserve">. We </w:t>
      </w:r>
      <w:r w:rsidR="00A409BD" w:rsidRPr="002D4C43">
        <w:t>participate</w:t>
      </w:r>
      <w:r w:rsidR="00A409BD">
        <w:t xml:space="preserve"> in the tradition, but in a non-identical way.</w:t>
      </w:r>
    </w:p>
    <w:p w:rsidR="000D11D5" w:rsidRDefault="000D11D5" w:rsidP="000D11D5">
      <w:r>
        <w:t xml:space="preserve">A church that followed Gadamer’s hermeneutic would see Scripture and tradition, not merely as </w:t>
      </w:r>
      <w:r w:rsidRPr="0086547A">
        <w:rPr>
          <w:i/>
        </w:rPr>
        <w:t>inseparable</w:t>
      </w:r>
      <w:r>
        <w:t xml:space="preserve">, but as </w:t>
      </w:r>
      <w:r w:rsidRPr="0086547A">
        <w:rPr>
          <w:i/>
        </w:rPr>
        <w:t>identical</w:t>
      </w:r>
      <w:r>
        <w:t xml:space="preserve">. </w:t>
      </w:r>
      <w:r w:rsidR="0086547A">
        <w:t>R</w:t>
      </w:r>
      <w:r>
        <w:t>ecognis</w:t>
      </w:r>
      <w:r w:rsidR="0086547A">
        <w:t>ing</w:t>
      </w:r>
      <w:r>
        <w:t xml:space="preserve"> that each new generation must discover the meaning of Scripture afresh for itself, </w:t>
      </w:r>
      <w:r w:rsidR="008238CA">
        <w:t xml:space="preserve">it would </w:t>
      </w:r>
      <w:r w:rsidR="0086547A">
        <w:t xml:space="preserve">still condemn </w:t>
      </w:r>
      <w:r>
        <w:t xml:space="preserve">innovative interpretations as foreign to the spirit of the tradition. </w:t>
      </w:r>
      <w:r w:rsidR="008238CA">
        <w:t>O</w:t>
      </w:r>
      <w:r>
        <w:t>nly two options</w:t>
      </w:r>
      <w:r w:rsidR="008238CA">
        <w:t xml:space="preserve"> </w:t>
      </w:r>
      <w:r w:rsidR="0086547A">
        <w:t xml:space="preserve">would be </w:t>
      </w:r>
      <w:r w:rsidR="008238CA">
        <w:t>available for the modern reader:</w:t>
      </w:r>
      <w:r>
        <w:t xml:space="preserve"> interpret Scripture in your own way but also in a way consonant with the tradition, or pretend to have a critical standpoint outside the church tradition from which to judge it. </w:t>
      </w:r>
      <w:r w:rsidR="008238CA">
        <w:t>But i</w:t>
      </w:r>
      <w:r>
        <w:t xml:space="preserve">n the latter case </w:t>
      </w:r>
      <w:r w:rsidR="008238CA">
        <w:t xml:space="preserve">you </w:t>
      </w:r>
      <w:r>
        <w:t>would be deluding yourself because your very critical faculties have been shaped and trained by the tradition, so your critique can only be a war of the branch against the tree.</w:t>
      </w:r>
      <w:r w:rsidR="005B4DB7">
        <w:rPr>
          <w:rStyle w:val="FootnoteReference"/>
        </w:rPr>
        <w:footnoteReference w:id="37"/>
      </w:r>
    </w:p>
    <w:p w:rsidR="0086547A" w:rsidRDefault="0086547A" w:rsidP="0086547A">
      <w:r>
        <w:t>Critique-from-within is impossible for Gadamer, because the tradition alone is normative. But for Ricœur, the tradition itself has an element of critique-from-within: “Critique is also a tradition. I would even say that it plunges into the most impressive tradition, that of liberating acts, of the Exodus and the Resurrection.”</w:t>
      </w:r>
      <w:r>
        <w:rPr>
          <w:rStyle w:val="FootnoteReference"/>
        </w:rPr>
        <w:footnoteReference w:id="38"/>
      </w:r>
      <w:r w:rsidR="005B5D7F">
        <w:t xml:space="preserve"> To illustrate this, consider the renewed approaches to Christian-Jewish relations by almost all ecclesial bodies in the wake of Auschwitz. It was almost universally recognised that Christians needed to re-evaluate their supersessionist language and re-read the New Testament with more careful attention to the thoroughgoing Jewishness of its context and presuppositions.  </w:t>
      </w:r>
    </w:p>
    <w:p w:rsidR="0086547A" w:rsidRDefault="00A409BD" w:rsidP="00A409BD">
      <w:pPr>
        <w:rPr>
          <w:lang w:eastAsia="en-GB"/>
        </w:rPr>
      </w:pPr>
      <w:r>
        <w:t>Ricœur’s hermeneutics</w:t>
      </w:r>
      <w:r w:rsidR="00EA7B75">
        <w:t>, on the other hand,</w:t>
      </w:r>
      <w:r>
        <w:t xml:space="preserve"> can hold in tension belonging and critique, continuity and change, celebrating both old and new interpretations as equally valid, able to </w:t>
      </w:r>
      <w:r>
        <w:rPr>
          <w:i/>
        </w:rPr>
        <w:t>distinguish</w:t>
      </w:r>
      <w:r>
        <w:t xml:space="preserve"> but not </w:t>
      </w:r>
      <w:r>
        <w:rPr>
          <w:i/>
        </w:rPr>
        <w:t>separate</w:t>
      </w:r>
      <w:r>
        <w:t xml:space="preserve"> Scripture and tradition. Indeed, such a church not only </w:t>
      </w:r>
      <w:r>
        <w:rPr>
          <w:i/>
        </w:rPr>
        <w:t>can</w:t>
      </w:r>
      <w:r>
        <w:t xml:space="preserve">, but </w:t>
      </w:r>
      <w:r>
        <w:rPr>
          <w:i/>
        </w:rPr>
        <w:t>must</w:t>
      </w:r>
      <w:r>
        <w:t xml:space="preserve"> experience doctrinal development, because it is of the very nature of interpretation that new meanings are found in every new age and culture. A Ricœurian hermeneutic does not let interpretation become a free-for-all where anything goes, because it retains the importance of authorial intention as a </w:t>
      </w:r>
      <w:r w:rsidR="00DC6837">
        <w:t>‘</w:t>
      </w:r>
      <w:r>
        <w:t>regulative idea</w:t>
      </w:r>
      <w:r w:rsidR="00DC6837">
        <w:t>’</w:t>
      </w:r>
      <w:r>
        <w:t xml:space="preserve">. But from this foundation it can branch out into never-ending new interpretations, because the meaning of Scripture is a combination of the author’s intention and the reader’s understanding. </w:t>
      </w:r>
      <w:r>
        <w:rPr>
          <w:lang w:eastAsia="en-GB"/>
        </w:rPr>
        <w:t xml:space="preserve">Ricœur has taught us not to be afraid of diversity of interpretations, to see it as something </w:t>
      </w:r>
      <w:r>
        <w:rPr>
          <w:lang w:eastAsia="en-GB"/>
        </w:rPr>
        <w:lastRenderedPageBreak/>
        <w:t>not to lament but to celebrate, a result not of our fallen sinfulness but of our created finitude, by which each of us reflects a unique aspect of the glory of God. When each new reader of Scripture brings their perspective to the community, they allow all of us to grow in our understanding of Scripture.</w:t>
      </w:r>
      <w:r w:rsidR="0086547A">
        <w:rPr>
          <w:lang w:eastAsia="en-GB"/>
        </w:rPr>
        <w:t xml:space="preserve"> </w:t>
      </w:r>
    </w:p>
    <w:p w:rsidR="004F5A77" w:rsidRDefault="004F5A77" w:rsidP="0049465E">
      <w:pPr>
        <w:pStyle w:val="Heading1"/>
        <w:rPr>
          <w:lang w:eastAsia="en-GB"/>
        </w:rPr>
      </w:pPr>
      <w:r>
        <w:rPr>
          <w:lang w:eastAsia="en-GB"/>
        </w:rPr>
        <w:t>Beyond Pluralism: How to Arbitrate Conflicting Interpretations</w:t>
      </w:r>
    </w:p>
    <w:p w:rsidR="000D11D5" w:rsidRDefault="000D11D5" w:rsidP="004F5A77">
      <w:r>
        <w:t>Having established that Ricœur’s hermeneutics enables the growth of the meaning of Scripture, it remains to distinguish between positive and negative ways in which meaning may grow.</w:t>
      </w:r>
    </w:p>
    <w:p w:rsidR="004F5A77" w:rsidRDefault="004F5A77" w:rsidP="004F5A77">
      <w:r>
        <w:t>“I have never hidden the belief,” Ricœur says, “that a pluralism of interpretation constitutes not a vice but a richness for biblical hermeneutics.”</w:t>
      </w:r>
      <w:r>
        <w:rPr>
          <w:rStyle w:val="FootnoteReference"/>
        </w:rPr>
        <w:footnoteReference w:id="39"/>
      </w:r>
      <w:r>
        <w:t xml:space="preserve">  Instead of lamenting the multiplicity of interpretations of Scripture, </w:t>
      </w:r>
      <w:r w:rsidR="00A87536">
        <w:t xml:space="preserve">Ricœur </w:t>
      </w:r>
      <w:r>
        <w:t xml:space="preserve">celebrates the diversity of viewpoints that enrich everyone’s understanding. </w:t>
      </w:r>
      <w:r w:rsidR="00C34EBE">
        <w:t>T</w:t>
      </w:r>
      <w:r>
        <w:t>he text is always “open to an indefinite number of readers and, therefore, of interpretations.”</w:t>
      </w:r>
      <w:r w:rsidRPr="00336FF6">
        <w:rPr>
          <w:rStyle w:val="FootnoteReference"/>
        </w:rPr>
        <w:footnoteReference w:id="40"/>
      </w:r>
      <w:r>
        <w:t xml:space="preserve"> </w:t>
      </w:r>
      <w:r w:rsidR="00C34EBE">
        <w:t>F</w:t>
      </w:r>
      <w:r>
        <w:t>or Ricœur,</w:t>
      </w:r>
      <w:r w:rsidR="00C34EBE">
        <w:t xml:space="preserve"> </w:t>
      </w:r>
      <w:r w:rsidR="00424F49">
        <w:t>writes</w:t>
      </w:r>
      <w:r w:rsidR="00C34EBE">
        <w:t xml:space="preserve"> Greisch,</w:t>
      </w:r>
      <w:r>
        <w:t xml:space="preserve"> “the Bible … is an ‘open work’ in the sense [that] its reception is always a creative process, and, in this sense, unfinishable in principle.”</w:t>
      </w:r>
      <w:r w:rsidRPr="00336FF6">
        <w:rPr>
          <w:rStyle w:val="FootnoteReference"/>
        </w:rPr>
        <w:footnoteReference w:id="41"/>
      </w:r>
    </w:p>
    <w:p w:rsidR="00F54AD0" w:rsidRDefault="006724AF" w:rsidP="003034D8">
      <w:pPr>
        <w:rPr>
          <w:lang w:eastAsia="en-GB"/>
        </w:rPr>
      </w:pPr>
      <w:r>
        <w:rPr>
          <w:lang w:eastAsia="en-GB"/>
        </w:rPr>
        <w:t>But</w:t>
      </w:r>
      <w:r w:rsidR="00DF6F35">
        <w:rPr>
          <w:lang w:eastAsia="en-GB"/>
        </w:rPr>
        <w:t xml:space="preserve"> </w:t>
      </w:r>
      <w:r>
        <w:rPr>
          <w:lang w:eastAsia="en-GB"/>
        </w:rPr>
        <w:t xml:space="preserve">celebrating </w:t>
      </w:r>
      <w:r w:rsidR="00DF6F35">
        <w:rPr>
          <w:lang w:eastAsia="en-GB"/>
        </w:rPr>
        <w:t>the plurivocity of meaning</w:t>
      </w:r>
      <w:r w:rsidR="002A3BCA">
        <w:rPr>
          <w:lang w:eastAsia="en-GB"/>
        </w:rPr>
        <w:t xml:space="preserve"> is not enough</w:t>
      </w:r>
      <w:r w:rsidR="004F5A77">
        <w:rPr>
          <w:lang w:eastAsia="en-GB"/>
        </w:rPr>
        <w:t xml:space="preserve">. Not all diversity is good because not all interpretations are correct. </w:t>
      </w:r>
      <w:r w:rsidR="005B5D7F">
        <w:rPr>
          <w:lang w:eastAsia="en-GB"/>
        </w:rPr>
        <w:t>However much one may celebrate</w:t>
      </w:r>
      <w:r w:rsidR="00F54AD0">
        <w:rPr>
          <w:lang w:eastAsia="en-GB"/>
        </w:rPr>
        <w:t>, for example,</w:t>
      </w:r>
      <w:r w:rsidR="003034D8">
        <w:rPr>
          <w:lang w:eastAsia="en-GB"/>
        </w:rPr>
        <w:t xml:space="preserve"> the number of possible sermons on Jesus’ parable of the Prodigal Son, such plurivocity </w:t>
      </w:r>
      <w:r w:rsidR="00F54AD0">
        <w:rPr>
          <w:lang w:eastAsia="en-GB"/>
        </w:rPr>
        <w:t xml:space="preserve">does not </w:t>
      </w:r>
      <w:r w:rsidR="003034D8">
        <w:rPr>
          <w:lang w:eastAsia="en-GB"/>
        </w:rPr>
        <w:t>rule out the possibility of sermons that betray the truth of th</w:t>
      </w:r>
      <w:r w:rsidR="00F54AD0">
        <w:rPr>
          <w:lang w:eastAsia="en-GB"/>
        </w:rPr>
        <w:t>at</w:t>
      </w:r>
      <w:r w:rsidR="003034D8">
        <w:rPr>
          <w:lang w:eastAsia="en-GB"/>
        </w:rPr>
        <w:t xml:space="preserve"> parable. </w:t>
      </w:r>
    </w:p>
    <w:p w:rsidR="004F5A77" w:rsidRDefault="00F54AD0" w:rsidP="003034D8">
      <w:r>
        <w:rPr>
          <w:lang w:eastAsia="en-GB"/>
        </w:rPr>
        <w:t>T</w:t>
      </w:r>
      <w:r w:rsidR="003034D8">
        <w:rPr>
          <w:lang w:eastAsia="en-GB"/>
        </w:rPr>
        <w:t xml:space="preserve">o see Ricœur as </w:t>
      </w:r>
      <w:r>
        <w:rPr>
          <w:lang w:eastAsia="en-GB"/>
        </w:rPr>
        <w:t>an</w:t>
      </w:r>
      <w:r w:rsidR="003034D8">
        <w:rPr>
          <w:lang w:eastAsia="en-GB"/>
        </w:rPr>
        <w:t xml:space="preserve"> </w:t>
      </w:r>
      <w:r w:rsidR="00424F49">
        <w:rPr>
          <w:lang w:eastAsia="en-GB"/>
        </w:rPr>
        <w:t>‘</w:t>
      </w:r>
      <w:r w:rsidR="003034D8">
        <w:rPr>
          <w:lang w:eastAsia="en-GB"/>
        </w:rPr>
        <w:t>anything goes</w:t>
      </w:r>
      <w:r w:rsidR="00424F49">
        <w:rPr>
          <w:lang w:eastAsia="en-GB"/>
        </w:rPr>
        <w:t>’</w:t>
      </w:r>
      <w:r w:rsidR="003034D8">
        <w:rPr>
          <w:lang w:eastAsia="en-GB"/>
        </w:rPr>
        <w:t xml:space="preserve"> </w:t>
      </w:r>
      <w:r>
        <w:rPr>
          <w:lang w:eastAsia="en-GB"/>
        </w:rPr>
        <w:t xml:space="preserve">relativist </w:t>
      </w:r>
      <w:r w:rsidR="003034D8">
        <w:rPr>
          <w:lang w:eastAsia="en-GB"/>
        </w:rPr>
        <w:t>is to miss a crucial element of his thought.</w:t>
      </w:r>
      <w:r w:rsidR="003034D8">
        <w:t xml:space="preserve"> “If it is true,” he writes, “</w:t>
      </w:r>
      <w:r w:rsidR="004F5A77">
        <w:t>that there is always more than one way of construing a text, it is not true that all interpretations are equal. … The text is a limited field of possible construction. … It is always possible to argue for or against an interpretation, to confront interpretations, to arbitrate between them, and to seek for an agreement.</w:t>
      </w:r>
      <w:r w:rsidR="003034D8">
        <w:t>”</w:t>
      </w:r>
      <w:r w:rsidR="004F5A77" w:rsidRPr="00336FF6">
        <w:rPr>
          <w:rStyle w:val="FootnoteReference"/>
        </w:rPr>
        <w:footnoteReference w:id="42"/>
      </w:r>
      <w:r w:rsidR="003034D8">
        <w:t xml:space="preserve"> </w:t>
      </w:r>
      <w:r>
        <w:t>Again:</w:t>
      </w:r>
      <w:r w:rsidR="004F5A77">
        <w:t xml:space="preserve"> “a text is a finite space of interpretations: there is not just one interpretation, but, on the other hand, there is not an infinite number of them. A text is a space of variations that has its own constraints.”</w:t>
      </w:r>
      <w:r w:rsidR="004F5A77">
        <w:rPr>
          <w:rStyle w:val="FootnoteReference"/>
        </w:rPr>
        <w:footnoteReference w:id="43"/>
      </w:r>
      <w:r w:rsidR="004F5A77">
        <w:t xml:space="preserve"> The plurality of interpretations, therefore, is not unlimited even if it is always open. It extends </w:t>
      </w:r>
      <w:r w:rsidR="004F5A77" w:rsidRPr="00442AA8">
        <w:rPr>
          <w:i/>
          <w:iCs/>
        </w:rPr>
        <w:t>in one direction only</w:t>
      </w:r>
      <w:r w:rsidR="004F5A77">
        <w:t>, the “direction which [the text] opens up for thought.”</w:t>
      </w:r>
      <w:r w:rsidR="004F5A77" w:rsidRPr="00336FF6">
        <w:rPr>
          <w:rStyle w:val="FootnoteReference"/>
        </w:rPr>
        <w:footnoteReference w:id="44"/>
      </w:r>
      <w:r w:rsidR="004F5A77">
        <w:t xml:space="preserve"> </w:t>
      </w:r>
    </w:p>
    <w:p w:rsidR="00DF6F35" w:rsidRDefault="00D86E7A" w:rsidP="004F5A77">
      <w:r>
        <w:rPr>
          <w:lang w:eastAsia="en-GB"/>
        </w:rPr>
        <w:t>H</w:t>
      </w:r>
      <w:r w:rsidR="004F5A77">
        <w:rPr>
          <w:lang w:eastAsia="en-GB"/>
        </w:rPr>
        <w:t>ow</w:t>
      </w:r>
      <w:r>
        <w:rPr>
          <w:lang w:eastAsia="en-GB"/>
        </w:rPr>
        <w:t>, then,</w:t>
      </w:r>
      <w:r w:rsidR="004F5A77">
        <w:rPr>
          <w:lang w:eastAsia="en-GB"/>
        </w:rPr>
        <w:t xml:space="preserve"> do we discriminate between enriching plurivocity and simple misinterpretation? N</w:t>
      </w:r>
      <w:r w:rsidR="004F5A77">
        <w:t xml:space="preserve">obody who is misinterpreting Scripture thinks they are doing so. </w:t>
      </w:r>
      <w:r w:rsidR="004F5A77">
        <w:lastRenderedPageBreak/>
        <w:t>Their interpretation is simply what Scripture seems to be saying from their current standpoint</w:t>
      </w:r>
      <w:r w:rsidR="003034D8">
        <w:t xml:space="preserve">. Moreover, </w:t>
      </w:r>
      <w:r w:rsidR="000D11D5">
        <w:t xml:space="preserve">due to the historical situatedness of every reader of Scripture, </w:t>
      </w:r>
      <w:r w:rsidR="00DF6F35">
        <w:t xml:space="preserve">there is no ‘absolute standpoint’ </w:t>
      </w:r>
      <w:r w:rsidR="000D11D5">
        <w:t xml:space="preserve">detached from history </w:t>
      </w:r>
      <w:r w:rsidR="00DF6F35">
        <w:t>from which to arbitrate between conflicting interpretations</w:t>
      </w:r>
      <w:r w:rsidR="004F5A77">
        <w:t>.</w:t>
      </w:r>
    </w:p>
    <w:p w:rsidR="006724AF" w:rsidRDefault="00DF6F35" w:rsidP="006724AF">
      <w:r>
        <w:t>Ricœur</w:t>
      </w:r>
      <w:r w:rsidR="00D86E7A">
        <w:t xml:space="preserve"> addresses this problem by offering </w:t>
      </w:r>
      <w:r>
        <w:t xml:space="preserve">“procedures of validation” by which conflicting interpretations may be evaluated. He prefers the term </w:t>
      </w:r>
      <w:r w:rsidR="00D86E7A">
        <w:t>‘</w:t>
      </w:r>
      <w:r w:rsidRPr="00D86E7A">
        <w:t>validation</w:t>
      </w:r>
      <w:r w:rsidR="00D86E7A">
        <w:t>’</w:t>
      </w:r>
      <w:r>
        <w:t xml:space="preserve"> </w:t>
      </w:r>
      <w:r w:rsidR="00D86E7A">
        <w:t xml:space="preserve">because ‘verification’ </w:t>
      </w:r>
      <w:r>
        <w:t>implies a level of final certainty that is not available</w:t>
      </w:r>
      <w:r w:rsidR="00D86E7A">
        <w:t xml:space="preserve">. </w:t>
      </w:r>
      <w:r w:rsidR="006724AF">
        <w:t>To explain how validation occurs, Ricœur turns to a lawcourt analogy. Validation “is an argumentative discipline comparable to the juridical procedures of legal interpretation.”</w:t>
      </w:r>
      <w:r w:rsidR="006724AF">
        <w:rPr>
          <w:rStyle w:val="FootnoteReference"/>
        </w:rPr>
        <w:footnoteReference w:id="45"/>
      </w:r>
      <w:r w:rsidR="006724AF">
        <w:t xml:space="preserve"> He goes on:</w:t>
      </w:r>
    </w:p>
    <w:p w:rsidR="006724AF" w:rsidRDefault="00F82F6B" w:rsidP="006724AF">
      <w:pPr>
        <w:pStyle w:val="Quote"/>
      </w:pPr>
      <w:r>
        <w:t xml:space="preserve">The procedures of validation have a polemical character. </w:t>
      </w:r>
      <w:r w:rsidR="006724AF">
        <w:t xml:space="preserve">In front of the court, the plurivocity </w:t>
      </w:r>
      <w:r>
        <w:t xml:space="preserve">… </w:t>
      </w:r>
      <w:r w:rsidR="006724AF">
        <w:t xml:space="preserve">is exhibited in the form of a conflict of interpretations, and the final interpretation appears as a verdict to which it is possible to make appeal. Like legal utterances, all interpretations </w:t>
      </w:r>
      <w:r>
        <w:t>…</w:t>
      </w:r>
      <w:r w:rsidR="006724AF">
        <w:t xml:space="preserve"> may be challenged.</w:t>
      </w:r>
      <w:r w:rsidR="006724AF">
        <w:rPr>
          <w:rStyle w:val="FootnoteReference"/>
        </w:rPr>
        <w:footnoteReference w:id="46"/>
      </w:r>
      <w:r w:rsidR="006724AF">
        <w:t xml:space="preserve"> </w:t>
      </w:r>
    </w:p>
    <w:p w:rsidR="00424F49" w:rsidRDefault="006724AF" w:rsidP="006724AF">
      <w:r>
        <w:t>“Only in the tribunal,” he concludes, “is there a moment when the procedures of appeal are exhausted.</w:t>
      </w:r>
      <w:r w:rsidR="00F82F6B">
        <w:t>” But the finality of the tribunal is connected to its authority for the state, to which there is no equivalent in philosophy. Never in academic debate “</w:t>
      </w:r>
      <w:r>
        <w:t>is there such a last word.”</w:t>
      </w:r>
      <w:r>
        <w:rPr>
          <w:rStyle w:val="FootnoteReference"/>
        </w:rPr>
        <w:footnoteReference w:id="47"/>
      </w:r>
      <w:r w:rsidR="00F54AD0">
        <w:t xml:space="preserve"> </w:t>
      </w:r>
    </w:p>
    <w:p w:rsidR="00E63623" w:rsidRDefault="00F54AD0" w:rsidP="006724AF">
      <w:r>
        <w:t xml:space="preserve">There may, however, be an equivalent in theology. </w:t>
      </w:r>
    </w:p>
    <w:p w:rsidR="00135A43" w:rsidRDefault="0049465E" w:rsidP="0049465E">
      <w:pPr>
        <w:pStyle w:val="Heading1"/>
      </w:pPr>
      <w:r>
        <w:t>Beyond Individualism: How the Community Interprets Together</w:t>
      </w:r>
    </w:p>
    <w:p w:rsidR="00194DFD" w:rsidRDefault="00D1001F" w:rsidP="00861FDF">
      <w:r>
        <w:t>Fifth and finally</w:t>
      </w:r>
      <w:r w:rsidR="00861FDF">
        <w:t xml:space="preserve">, when </w:t>
      </w:r>
      <w:r w:rsidR="00504A51">
        <w:t>a Ricœurian hermeneutic</w:t>
      </w:r>
      <w:r w:rsidR="00861FDF">
        <w:t xml:space="preserve"> is applied to the history of dogma</w:t>
      </w:r>
      <w:r w:rsidR="00504A51">
        <w:t>,</w:t>
      </w:r>
      <w:r>
        <w:t xml:space="preserve"> we shall see that</w:t>
      </w:r>
      <w:r w:rsidR="00504A51">
        <w:t xml:space="preserve"> </w:t>
      </w:r>
      <w:r w:rsidR="00194DFD">
        <w:rPr>
          <w:i/>
        </w:rPr>
        <w:t>sola scriptura</w:t>
      </w:r>
      <w:r w:rsidR="00194DFD">
        <w:t xml:space="preserve"> is </w:t>
      </w:r>
      <w:r w:rsidR="00504A51">
        <w:t xml:space="preserve">not </w:t>
      </w:r>
      <w:r w:rsidR="00194DFD">
        <w:t>incompatible with the idea of irreversible dogmatic decisions</w:t>
      </w:r>
      <w:r w:rsidR="00F13A52">
        <w:t xml:space="preserve">, </w:t>
      </w:r>
      <w:r>
        <w:t>considered</w:t>
      </w:r>
      <w:r w:rsidR="00F13A52">
        <w:t xml:space="preserve"> as interpretations of Scripture that</w:t>
      </w:r>
      <w:r w:rsidR="00504A51">
        <w:t xml:space="preserve"> have a finality for </w:t>
      </w:r>
      <w:r w:rsidR="000B4753">
        <w:t>a particular church tradition</w:t>
      </w:r>
      <w:r w:rsidR="00504A51">
        <w:t>.</w:t>
      </w:r>
    </w:p>
    <w:p w:rsidR="0066510C" w:rsidRDefault="00861FDF" w:rsidP="00801CB9">
      <w:r>
        <w:t xml:space="preserve">At this point we transition from </w:t>
      </w:r>
      <w:r w:rsidR="00F54AD0">
        <w:t>philosophy to theology</w:t>
      </w:r>
      <w:r>
        <w:t xml:space="preserve">, from interpretive categories available to any text, to categories which presuppose an ecclesial </w:t>
      </w:r>
      <w:r w:rsidR="00F54AD0">
        <w:t xml:space="preserve">reading </w:t>
      </w:r>
      <w:r>
        <w:t xml:space="preserve">context. </w:t>
      </w:r>
      <w:r w:rsidR="00D1001F">
        <w:t>K</w:t>
      </w:r>
      <w:r w:rsidR="00C74DAE">
        <w:t xml:space="preserve">ey to </w:t>
      </w:r>
      <w:r w:rsidR="0057604C">
        <w:t>this transition</w:t>
      </w:r>
      <w:r w:rsidR="00D1001F">
        <w:t>, for Ricœur,</w:t>
      </w:r>
      <w:r w:rsidR="000B75BD">
        <w:t xml:space="preserve"> is the communal nature of the church, which has </w:t>
      </w:r>
      <w:r w:rsidR="00900588">
        <w:t>“rules of reading that are not at all the same as those that govern the manner in which philosophers read other philosophers.”</w:t>
      </w:r>
      <w:r w:rsidR="00900588">
        <w:rPr>
          <w:rStyle w:val="FootnoteReference"/>
        </w:rPr>
        <w:footnoteReference w:id="48"/>
      </w:r>
      <w:r w:rsidR="00900588" w:rsidRPr="00C94F8F">
        <w:t xml:space="preserve"> </w:t>
      </w:r>
      <w:r w:rsidR="00900588">
        <w:t>This is due</w:t>
      </w:r>
      <w:r w:rsidR="0057604C">
        <w:t xml:space="preserve"> </w:t>
      </w:r>
      <w:r w:rsidR="00900588">
        <w:t>to the “structuring role performed by the ecclesiastical communitary life, which has no equivalent in philosophy.”</w:t>
      </w:r>
      <w:r w:rsidR="00900588">
        <w:rPr>
          <w:rStyle w:val="FootnoteReference"/>
        </w:rPr>
        <w:footnoteReference w:id="49"/>
      </w:r>
      <w:r w:rsidR="00C74DAE">
        <w:t xml:space="preserve"> </w:t>
      </w:r>
      <w:r w:rsidR="00135A43">
        <w:t xml:space="preserve">Where </w:t>
      </w:r>
      <w:r w:rsidR="00135A43" w:rsidRPr="00C94F8F">
        <w:rPr>
          <w:i/>
        </w:rPr>
        <w:t>philosophical</w:t>
      </w:r>
      <w:r w:rsidR="00135A43">
        <w:t xml:space="preserve"> hermeneutics deals with the </w:t>
      </w:r>
      <w:r w:rsidR="00C94F8F">
        <w:t>conditions</w:t>
      </w:r>
      <w:r w:rsidR="00135A43">
        <w:t xml:space="preserve"> of </w:t>
      </w:r>
      <w:r w:rsidR="00C94F8F">
        <w:t>text-</w:t>
      </w:r>
      <w:r w:rsidR="00135A43">
        <w:t xml:space="preserve">interpretation in an endless academic debate where there is never a final decision, </w:t>
      </w:r>
      <w:r w:rsidR="00135A43" w:rsidRPr="00C94F8F">
        <w:rPr>
          <w:i/>
        </w:rPr>
        <w:t>theological</w:t>
      </w:r>
      <w:r w:rsidR="00135A43">
        <w:t xml:space="preserve"> hermeneutics </w:t>
      </w:r>
      <w:r w:rsidR="00A355E3">
        <w:t>serves</w:t>
      </w:r>
      <w:r w:rsidR="00135A43">
        <w:t xml:space="preserve"> the </w:t>
      </w:r>
      <w:r w:rsidR="00135A43">
        <w:lastRenderedPageBreak/>
        <w:t>church, a concrete community with its own tradition</w:t>
      </w:r>
      <w:r w:rsidR="00A355E3">
        <w:t>,</w:t>
      </w:r>
      <w:r w:rsidR="00135A43">
        <w:t xml:space="preserve"> and </w:t>
      </w:r>
      <w:r w:rsidR="00A355E3">
        <w:t xml:space="preserve">with </w:t>
      </w:r>
      <w:r w:rsidR="00135A43">
        <w:t xml:space="preserve">particular conflicts </w:t>
      </w:r>
      <w:r w:rsidR="00A355E3">
        <w:t>that</w:t>
      </w:r>
      <w:r w:rsidR="00135A43">
        <w:t xml:space="preserve"> have a practical impact on </w:t>
      </w:r>
      <w:r w:rsidR="00A355E3">
        <w:t>communal living</w:t>
      </w:r>
      <w:r w:rsidR="00135A43">
        <w:t xml:space="preserve">. </w:t>
      </w:r>
    </w:p>
    <w:p w:rsidR="0041252B" w:rsidRDefault="00504A51" w:rsidP="0041252B">
      <w:r>
        <w:t xml:space="preserve">The </w:t>
      </w:r>
      <w:r w:rsidRPr="008E58A4">
        <w:t>communal</w:t>
      </w:r>
      <w:r>
        <w:t xml:space="preserve"> nature of the church </w:t>
      </w:r>
      <w:r w:rsidR="006B267A">
        <w:t xml:space="preserve">also </w:t>
      </w:r>
      <w:r>
        <w:t xml:space="preserve">gives it a dimension analogous to that of a nation state. </w:t>
      </w:r>
      <w:r w:rsidR="00900588">
        <w:t xml:space="preserve">In the case of conflict, </w:t>
      </w:r>
      <w:r w:rsidR="008C0660">
        <w:t>academic (rational)</w:t>
      </w:r>
      <w:r w:rsidR="00900588">
        <w:t xml:space="preserve"> debate can shift people’s perspective and enlighten them to the error of their thinking</w:t>
      </w:r>
      <w:r w:rsidR="00672F27">
        <w:t>,</w:t>
      </w:r>
      <w:r w:rsidR="00900588">
        <w:t xml:space="preserve"> </w:t>
      </w:r>
      <w:r w:rsidR="00672F27">
        <w:t xml:space="preserve">but </w:t>
      </w:r>
      <w:r w:rsidR="00900588">
        <w:t xml:space="preserve">there remains a residue of disputes which cannot be resolved by reason and argument alone. Any community that wishes to remain both united in the present and continuous </w:t>
      </w:r>
      <w:r w:rsidR="00672F27">
        <w:t>in the future</w:t>
      </w:r>
      <w:r w:rsidR="00900588">
        <w:t xml:space="preserve"> must have a </w:t>
      </w:r>
      <w:r w:rsidR="00DD5F31">
        <w:t xml:space="preserve">juridical process which may be </w:t>
      </w:r>
      <w:r w:rsidR="00632B71">
        <w:t>trusted by the community</w:t>
      </w:r>
      <w:r w:rsidR="00DD5F31">
        <w:t xml:space="preserve"> to resolve disputes when rational argument has found no solution. Without such trust, the juridical process </w:t>
      </w:r>
      <w:r w:rsidR="00DC6837">
        <w:t xml:space="preserve">has no authority </w:t>
      </w:r>
      <w:r w:rsidR="00672F27">
        <w:t>and</w:t>
      </w:r>
      <w:r w:rsidR="00DD5F31">
        <w:t xml:space="preserve"> will not prevent the community from fragmenting</w:t>
      </w:r>
      <w:r w:rsidR="008C0660">
        <w:t>, because those whose interpretation is ruled against will simply leave the community.</w:t>
      </w:r>
    </w:p>
    <w:p w:rsidR="00900588" w:rsidRDefault="0041252B" w:rsidP="00900588">
      <w:r>
        <w:t>“The ‘power of deciding’,” says Will Cohen, “is the element of doctrinal development that is missing from the examples of contemporary ecclesiology we have seen.”</w:t>
      </w:r>
      <w:r>
        <w:rPr>
          <w:rStyle w:val="FootnoteReference"/>
        </w:rPr>
        <w:footnoteReference w:id="50"/>
      </w:r>
      <w:r>
        <w:t xml:space="preserve"> </w:t>
      </w:r>
      <w:r w:rsidR="00DD5F31">
        <w:rPr>
          <w:lang w:eastAsia="en-GB"/>
        </w:rPr>
        <w:t>D</w:t>
      </w:r>
      <w:r w:rsidR="00900588">
        <w:rPr>
          <w:lang w:eastAsia="en-GB"/>
        </w:rPr>
        <w:t>ogma</w:t>
      </w:r>
      <w:r w:rsidR="00DD5F31">
        <w:rPr>
          <w:lang w:eastAsia="en-GB"/>
        </w:rPr>
        <w:t>, seen this way, is</w:t>
      </w:r>
      <w:r w:rsidR="00900588">
        <w:rPr>
          <w:lang w:eastAsia="en-GB"/>
        </w:rPr>
        <w:t xml:space="preserve"> </w:t>
      </w:r>
      <w:r w:rsidR="00900588" w:rsidRPr="001F0719">
        <w:rPr>
          <w:i/>
          <w:iCs/>
        </w:rPr>
        <w:t xml:space="preserve">the </w:t>
      </w:r>
      <w:r w:rsidR="00900588">
        <w:rPr>
          <w:i/>
          <w:iCs/>
        </w:rPr>
        <w:t xml:space="preserve">ecclesial </w:t>
      </w:r>
      <w:r w:rsidR="00900588" w:rsidRPr="001F0719">
        <w:rPr>
          <w:i/>
          <w:iCs/>
        </w:rPr>
        <w:t xml:space="preserve">community’s decision to take </w:t>
      </w:r>
      <w:r w:rsidR="00900588">
        <w:rPr>
          <w:i/>
          <w:iCs/>
        </w:rPr>
        <w:t xml:space="preserve">Scriptural </w:t>
      </w:r>
      <w:r w:rsidR="00900588" w:rsidRPr="001F0719">
        <w:rPr>
          <w:i/>
          <w:iCs/>
        </w:rPr>
        <w:t>interpretation in a certain direction</w:t>
      </w:r>
      <w:r w:rsidR="00900588">
        <w:t xml:space="preserve">, </w:t>
      </w:r>
      <w:r w:rsidR="00DD5F31">
        <w:t xml:space="preserve">a </w:t>
      </w:r>
      <w:r w:rsidR="00900588">
        <w:t xml:space="preserve">juridical ruling that arbitrates between two conflicting interpretations </w:t>
      </w:r>
      <w:r w:rsidR="00DD5F31">
        <w:t>of Scripture</w:t>
      </w:r>
      <w:r w:rsidR="00900588">
        <w:t>, exalting one as necessary and excluding the other as unacceptable.</w:t>
      </w:r>
      <w:r w:rsidR="008C0660">
        <w:t xml:space="preserve"> Dogma thus develops the same way a nation’s framework of law develops: through the cumulative growth of legal rulings which set a precedent for future interpretations.</w:t>
      </w:r>
      <w:r w:rsidR="00900588">
        <w:t xml:space="preserve"> The Nicene Creed, for example, can be seen as a </w:t>
      </w:r>
      <w:r w:rsidR="008C0660">
        <w:t>juridical</w:t>
      </w:r>
      <w:r w:rsidR="00900588">
        <w:t xml:space="preserve"> decision to lay down guidelines </w:t>
      </w:r>
      <w:r w:rsidR="00DD5F31">
        <w:t xml:space="preserve">for interpreting Scripture. These guidelines, far from being a burden or a restriction, </w:t>
      </w:r>
      <w:r w:rsidR="00672F27">
        <w:t>are</w:t>
      </w:r>
      <w:r w:rsidR="00900588">
        <w:t xml:space="preserve"> a gift to future generations to help them avoid repeating the same interpretative mistakes</w:t>
      </w:r>
      <w:r w:rsidR="00672F27">
        <w:t>,</w:t>
      </w:r>
      <w:r w:rsidR="00900588">
        <w:t xml:space="preserve"> </w:t>
      </w:r>
      <w:r w:rsidR="00672F27">
        <w:t xml:space="preserve">but only if the guidelines continue to be trusted by future generations. </w:t>
      </w:r>
    </w:p>
    <w:p w:rsidR="00194DFD" w:rsidRDefault="00194DFD" w:rsidP="00194DFD">
      <w:r>
        <w:t>But is dogma</w:t>
      </w:r>
      <w:r w:rsidR="008C0660">
        <w:t xml:space="preserve"> </w:t>
      </w:r>
      <w:r>
        <w:t>a final and irrevocable decision?</w:t>
      </w:r>
      <w:r w:rsidR="008C0660">
        <w:t xml:space="preserve"> Is there such a thing as a ‘tribunal’ in the church? Can future theologians never find that a dogmatic decision was mistakenly made?</w:t>
      </w:r>
    </w:p>
    <w:p w:rsidR="00F82F6B" w:rsidRPr="00F82F6B" w:rsidRDefault="00C34EBE" w:rsidP="00C34EBE">
      <w:pPr>
        <w:rPr>
          <w:lang w:eastAsia="en-GB"/>
        </w:rPr>
      </w:pPr>
      <w:r>
        <w:t>Lindbeck’s answer to th</w:t>
      </w:r>
      <w:r w:rsidR="008C0660">
        <w:t>ese</w:t>
      </w:r>
      <w:r>
        <w:t xml:space="preserve"> question</w:t>
      </w:r>
      <w:r w:rsidR="008C0660">
        <w:t>s</w:t>
      </w:r>
      <w:r>
        <w:t xml:space="preserve"> is a clear negative. “The </w:t>
      </w:r>
      <w:r>
        <w:rPr>
          <w:i/>
        </w:rPr>
        <w:t>sola scriptura</w:t>
      </w:r>
      <w:r>
        <w:t>,” he says, “forbids the formal attribution of irreversibility to even the most necessary dogmatic developments.”</w:t>
      </w:r>
      <w:r>
        <w:rPr>
          <w:rStyle w:val="FootnoteReference"/>
        </w:rPr>
        <w:footnoteReference w:id="51"/>
      </w:r>
      <w:r>
        <w:t xml:space="preserve"> All dogma must be in principle subject to revision. Even if the </w:t>
      </w:r>
      <w:r w:rsidR="00137685">
        <w:t>c</w:t>
      </w:r>
      <w:r>
        <w:t>hurch is “morally certain” of a doctrine, it “cannot transpose its moral certainty regarding this or that of its teachings into a juridical, dogmatic declaration of infallibility.”</w:t>
      </w:r>
      <w:r>
        <w:rPr>
          <w:rStyle w:val="FootnoteReference"/>
        </w:rPr>
        <w:footnoteReference w:id="52"/>
      </w:r>
      <w:r>
        <w:t xml:space="preserve"> Instead, all dogma must always be “tested by Scripture and thus kept open to review, revision or perhaps even repeal. This is true … because the Church may be led to see that in the light of new perspectives on revelation that it was actually in error, even in the original circumstances, in making this or that dogmatic decision.”</w:t>
      </w:r>
      <w:r>
        <w:rPr>
          <w:rStyle w:val="FootnoteReference"/>
        </w:rPr>
        <w:footnoteReference w:id="53"/>
      </w:r>
    </w:p>
    <w:p w:rsidR="00B2727F" w:rsidRDefault="00AE7C90" w:rsidP="00EB7483">
      <w:r>
        <w:lastRenderedPageBreak/>
        <w:t>Lindbeck</w:t>
      </w:r>
      <w:r w:rsidR="00861FDF">
        <w:t xml:space="preserve"> </w:t>
      </w:r>
      <w:r w:rsidR="00B2727F">
        <w:t xml:space="preserve">makes it </w:t>
      </w:r>
      <w:r w:rsidR="006051C6">
        <w:t xml:space="preserve">seem </w:t>
      </w:r>
      <w:r w:rsidR="00B2727F">
        <w:t xml:space="preserve">as if nothing could be simpler than the church being “led to see” that its </w:t>
      </w:r>
      <w:r w:rsidR="006051C6">
        <w:t>former</w:t>
      </w:r>
      <w:r w:rsidR="008C0660">
        <w:t xml:space="preserve"> dogmatic</w:t>
      </w:r>
      <w:r w:rsidR="00A9189F">
        <w:t xml:space="preserve"> </w:t>
      </w:r>
      <w:r w:rsidR="008C0660">
        <w:t>decisions</w:t>
      </w:r>
      <w:r w:rsidR="00B2727F">
        <w:t xml:space="preserve"> were misinformed. But does this not subtly imply that the </w:t>
      </w:r>
      <w:r w:rsidR="006051C6">
        <w:t xml:space="preserve">contemporary (or future) church possesses </w:t>
      </w:r>
      <w:r w:rsidR="00B2727F">
        <w:t xml:space="preserve">a superior </w:t>
      </w:r>
      <w:r w:rsidR="00270060">
        <w:t xml:space="preserve">rational </w:t>
      </w:r>
      <w:r w:rsidR="00B2727F">
        <w:t>vantage point</w:t>
      </w:r>
      <w:r w:rsidR="006051C6">
        <w:t>, from which it may critically assess the beliefs of past generations? And is this not to tip the balance in favour of “critique” over “belonging” in a way that both Ricœur and Gadamer would see as unwarranted?</w:t>
      </w:r>
      <w:r w:rsidR="007D4E46">
        <w:t xml:space="preserve"> </w:t>
      </w:r>
      <w:r w:rsidR="00C94F8F">
        <w:t>Let us remember that</w:t>
      </w:r>
      <w:r w:rsidR="007D4E46">
        <w:t xml:space="preserve"> </w:t>
      </w:r>
      <w:r w:rsidR="00C94F8F">
        <w:t xml:space="preserve">for </w:t>
      </w:r>
      <w:r w:rsidR="007D4E46">
        <w:t>Ricœur</w:t>
      </w:r>
      <w:r w:rsidR="00C94F8F">
        <w:t xml:space="preserve">, </w:t>
      </w:r>
      <w:r w:rsidR="007D4E46">
        <w:t xml:space="preserve">interpretative conflict is only resolvable by means of “probabilities” and not scientific certainties. </w:t>
      </w:r>
      <w:r w:rsidR="006051C6">
        <w:t xml:space="preserve">The church </w:t>
      </w:r>
      <w:r w:rsidR="00C94F8F">
        <w:t xml:space="preserve">of the future </w:t>
      </w:r>
      <w:r w:rsidR="006051C6">
        <w:t xml:space="preserve">is just as historically situated as the </w:t>
      </w:r>
      <w:r w:rsidR="007D4E46">
        <w:t xml:space="preserve">historic </w:t>
      </w:r>
      <w:r w:rsidR="006051C6">
        <w:t xml:space="preserve">church </w:t>
      </w:r>
      <w:r w:rsidR="007D4E46">
        <w:t xml:space="preserve">whose dogmas </w:t>
      </w:r>
      <w:r w:rsidR="006051C6">
        <w:t xml:space="preserve">it </w:t>
      </w:r>
      <w:r w:rsidR="007D4E46">
        <w:t>rejects</w:t>
      </w:r>
      <w:r w:rsidR="00A9189F">
        <w:t>, and</w:t>
      </w:r>
      <w:r w:rsidR="006051C6">
        <w:t xml:space="preserve"> no </w:t>
      </w:r>
      <w:r w:rsidR="00A9189F">
        <w:t xml:space="preserve">absolute </w:t>
      </w:r>
      <w:r w:rsidR="00C94F8F">
        <w:t>(</w:t>
      </w:r>
      <w:r w:rsidR="006051C6">
        <w:t>human</w:t>
      </w:r>
      <w:r w:rsidR="00C94F8F">
        <w:t>)</w:t>
      </w:r>
      <w:r w:rsidR="006051C6">
        <w:t xml:space="preserve"> arbitrator exists who might judge in favour of one viewpoint over another.</w:t>
      </w:r>
      <w:r w:rsidR="00672F27">
        <w:t xml:space="preserve"> </w:t>
      </w:r>
      <w:r w:rsidR="008C0660">
        <w:t>Since there is no ahistorical standpoint from which to arbitrate, all interpretation of Scripture contains an element of faith in the Holy Spirit’s guidance, first in the writing of Scriptural texts, then in their canonisation, and finally in their interpretation. The only choice an individual can make is who he or she believes the Holy Spirit is guiding in interpreting Scripture.</w:t>
      </w:r>
    </w:p>
    <w:p w:rsidR="00672F27" w:rsidRPr="00086526" w:rsidRDefault="000E4A50" w:rsidP="00672F27">
      <w:r>
        <w:t>I suggest that i</w:t>
      </w:r>
      <w:r w:rsidR="00A9189F">
        <w:t xml:space="preserve">f a historical council has </w:t>
      </w:r>
      <w:r>
        <w:t>laid down a dogmatic definition</w:t>
      </w:r>
      <w:r w:rsidR="00A9189F">
        <w:t xml:space="preserve">, then </w:t>
      </w:r>
      <w:r>
        <w:t xml:space="preserve">that definition </w:t>
      </w:r>
      <w:r w:rsidR="00672F27">
        <w:t>must be seen as</w:t>
      </w:r>
      <w:r w:rsidR="00A9189F">
        <w:t xml:space="preserve"> irrevocable </w:t>
      </w:r>
      <w:r w:rsidR="00A9189F" w:rsidRPr="000E4A50">
        <w:rPr>
          <w:i/>
        </w:rPr>
        <w:t xml:space="preserve">for </w:t>
      </w:r>
      <w:r w:rsidR="00A17407" w:rsidRPr="000E4A50">
        <w:rPr>
          <w:i/>
        </w:rPr>
        <w:t xml:space="preserve">any future members of </w:t>
      </w:r>
      <w:r w:rsidR="00A9189F" w:rsidRPr="000E4A50">
        <w:rPr>
          <w:i/>
        </w:rPr>
        <w:t>that</w:t>
      </w:r>
      <w:r w:rsidR="007D4E46" w:rsidRPr="000E4A50">
        <w:rPr>
          <w:i/>
        </w:rPr>
        <w:t xml:space="preserve"> particular</w:t>
      </w:r>
      <w:r w:rsidR="00A9189F" w:rsidRPr="000E4A50">
        <w:rPr>
          <w:i/>
        </w:rPr>
        <w:t xml:space="preserve"> church </w:t>
      </w:r>
      <w:r w:rsidR="007D4E46" w:rsidRPr="000E4A50">
        <w:rPr>
          <w:i/>
        </w:rPr>
        <w:t>tradition</w:t>
      </w:r>
      <w:r w:rsidR="00A9189F">
        <w:t>.</w:t>
      </w:r>
      <w:r w:rsidR="00A17407">
        <w:t xml:space="preserve"> </w:t>
      </w:r>
      <w:r w:rsidR="007D4E46">
        <w:t>This in no way implies that such</w:t>
      </w:r>
      <w:r w:rsidR="00A9189F">
        <w:t xml:space="preserve"> dogma </w:t>
      </w:r>
      <w:r w:rsidR="007D4E46">
        <w:t xml:space="preserve">is </w:t>
      </w:r>
      <w:r w:rsidR="00A9189F">
        <w:t>certain,</w:t>
      </w:r>
      <w:r w:rsidR="007D4E46">
        <w:t xml:space="preserve"> infallible, </w:t>
      </w:r>
      <w:r w:rsidR="00A9189F">
        <w:t xml:space="preserve">or any of the other hard non-hermeneutical words one might be tempted to </w:t>
      </w:r>
      <w:r w:rsidR="007D4E46">
        <w:t>call it</w:t>
      </w:r>
      <w:r w:rsidR="00A9189F">
        <w:t xml:space="preserve">. </w:t>
      </w:r>
      <w:r>
        <w:t>Nor, as Lindbeck suggests, does it “deny that there is no objective guarantee regarding the rightness of any of the human aspects of the Church.”</w:t>
      </w:r>
      <w:r>
        <w:rPr>
          <w:rStyle w:val="FootnoteReference"/>
        </w:rPr>
        <w:footnoteReference w:id="54"/>
      </w:r>
      <w:r>
        <w:t xml:space="preserve"> </w:t>
      </w:r>
      <w:r w:rsidR="0041252B">
        <w:t>On the contrary, it is precisely the absence of an objective guarantee that is the lesson of Ricœurian hermeneutics. T</w:t>
      </w:r>
      <w:r w:rsidR="00A9189F">
        <w:t xml:space="preserve">o belong to </w:t>
      </w:r>
      <w:r w:rsidR="0041252B">
        <w:t xml:space="preserve">a </w:t>
      </w:r>
      <w:r w:rsidR="007D4E46">
        <w:t>particular</w:t>
      </w:r>
      <w:r w:rsidR="00A9189F">
        <w:t xml:space="preserve"> </w:t>
      </w:r>
      <w:r w:rsidR="0041252B">
        <w:t xml:space="preserve">church </w:t>
      </w:r>
      <w:r w:rsidR="00FA308D">
        <w:t xml:space="preserve">(be it Catholic, Anglican, Lutheran, or even </w:t>
      </w:r>
      <w:r w:rsidR="00FF07B8">
        <w:t xml:space="preserve">a </w:t>
      </w:r>
      <w:r w:rsidR="00FA308D">
        <w:t xml:space="preserve">free-church denomination with less history) </w:t>
      </w:r>
      <w:r w:rsidR="00A9189F">
        <w:t xml:space="preserve">means to </w:t>
      </w:r>
      <w:r w:rsidR="008C0660">
        <w:t>put faith</w:t>
      </w:r>
      <w:r w:rsidR="0041252B">
        <w:t xml:space="preserve"> in </w:t>
      </w:r>
      <w:r w:rsidR="00A9189F">
        <w:t>the</w:t>
      </w:r>
      <w:r w:rsidR="00672F27">
        <w:t xml:space="preserve"> </w:t>
      </w:r>
      <w:r w:rsidR="00A9189F">
        <w:t xml:space="preserve">interpretative guidelines </w:t>
      </w:r>
      <w:r w:rsidR="00587D8E">
        <w:t xml:space="preserve">(at least, the non-negotiable ones) </w:t>
      </w:r>
      <w:r w:rsidR="00A17407">
        <w:t>it has laid down</w:t>
      </w:r>
      <w:r w:rsidR="0041252B">
        <w:t xml:space="preserve"> in its tradition</w:t>
      </w:r>
      <w:r w:rsidR="00672F27">
        <w:t>, and to trust that it had reason</w:t>
      </w:r>
      <w:r w:rsidR="0041252B">
        <w:t>s</w:t>
      </w:r>
      <w:r w:rsidR="00672F27">
        <w:t xml:space="preserve"> to do so even if those reasons are not rationally clear to everyone</w:t>
      </w:r>
      <w:r w:rsidR="0041252B">
        <w:t xml:space="preserve"> in the present day</w:t>
      </w:r>
      <w:r w:rsidR="00A9189F">
        <w:t>.</w:t>
      </w:r>
      <w:r w:rsidR="009F0922">
        <w:rPr>
          <w:rStyle w:val="FootnoteReference"/>
        </w:rPr>
        <w:footnoteReference w:id="55"/>
      </w:r>
      <w:r w:rsidR="00A9189F">
        <w:t xml:space="preserve"> If </w:t>
      </w:r>
      <w:r w:rsidR="00A17407">
        <w:t>some</w:t>
      </w:r>
      <w:r w:rsidR="007D4E46">
        <w:t xml:space="preserve">one </w:t>
      </w:r>
      <w:r w:rsidR="00A9189F">
        <w:t xml:space="preserve">should choose to trust </w:t>
      </w:r>
      <w:r w:rsidR="00A17407">
        <w:t xml:space="preserve">their </w:t>
      </w:r>
      <w:r w:rsidR="00A9189F">
        <w:t xml:space="preserve">own </w:t>
      </w:r>
      <w:r w:rsidR="00A17407">
        <w:t xml:space="preserve">contemporary </w:t>
      </w:r>
      <w:r w:rsidR="00A9189F">
        <w:t>interpretation</w:t>
      </w:r>
      <w:r w:rsidR="00687431">
        <w:t xml:space="preserve"> of Scripture</w:t>
      </w:r>
      <w:r w:rsidR="00A9189F">
        <w:t xml:space="preserve"> against the interpretation </w:t>
      </w:r>
      <w:r w:rsidR="0015114E">
        <w:t>offered</w:t>
      </w:r>
      <w:r w:rsidR="00A9189F">
        <w:t xml:space="preserve"> by </w:t>
      </w:r>
      <w:r w:rsidR="00687431">
        <w:t>the tradition</w:t>
      </w:r>
      <w:r w:rsidR="00A9189F">
        <w:t xml:space="preserve">, </w:t>
      </w:r>
      <w:r w:rsidR="00A17407">
        <w:t xml:space="preserve">they are at liberty </w:t>
      </w:r>
      <w:r>
        <w:t>break away and</w:t>
      </w:r>
      <w:r w:rsidR="00A17407">
        <w:t xml:space="preserve"> </w:t>
      </w:r>
      <w:r w:rsidR="00A9189F">
        <w:t>start a new community</w:t>
      </w:r>
      <w:r w:rsidR="00A17407">
        <w:t xml:space="preserve">, thus inaugurating </w:t>
      </w:r>
      <w:r w:rsidR="00A9189F">
        <w:t xml:space="preserve">a new tradition unburdened by the errors of the dogma </w:t>
      </w:r>
      <w:r w:rsidR="007D4E46">
        <w:t xml:space="preserve">with which </w:t>
      </w:r>
      <w:r w:rsidR="00687431">
        <w:t>they disagree</w:t>
      </w:r>
      <w:r w:rsidR="00A9189F">
        <w:t>.</w:t>
      </w:r>
      <w:r w:rsidR="00687431">
        <w:t xml:space="preserve"> </w:t>
      </w:r>
      <w:r w:rsidR="007D4E46">
        <w:t>T</w:t>
      </w:r>
      <w:r w:rsidR="00687431">
        <w:t xml:space="preserve">he </w:t>
      </w:r>
      <w:r>
        <w:t xml:space="preserve">only </w:t>
      </w:r>
      <w:r w:rsidR="00687431">
        <w:t>lesson Ricœurian hermeneutics would teach them is that their choice</w:t>
      </w:r>
      <w:r w:rsidR="00C94F8F">
        <w:t xml:space="preserve"> has nothing to do with acceptance or rejection of </w:t>
      </w:r>
      <w:r w:rsidR="00C94F8F">
        <w:rPr>
          <w:i/>
        </w:rPr>
        <w:t>sola scriptura</w:t>
      </w:r>
      <w:r w:rsidR="0041252B">
        <w:t>.</w:t>
      </w:r>
      <w:r w:rsidR="00C94F8F">
        <w:t xml:space="preserve"> </w:t>
      </w:r>
      <w:r w:rsidR="0041252B">
        <w:t>T</w:t>
      </w:r>
      <w:r w:rsidR="00C94F8F">
        <w:t>heir interpretation of Scripture</w:t>
      </w:r>
      <w:r w:rsidR="00687431">
        <w:t xml:space="preserve"> is no </w:t>
      </w:r>
      <w:r>
        <w:t xml:space="preserve">more objectively verifiable, and no </w:t>
      </w:r>
      <w:r w:rsidR="00687431">
        <w:t>less a faith-wager</w:t>
      </w:r>
      <w:r>
        <w:t>,</w:t>
      </w:r>
      <w:r w:rsidR="00687431">
        <w:t xml:space="preserve"> than the choice to submit to the tradition</w:t>
      </w:r>
      <w:r w:rsidR="00C94F8F">
        <w:t>al interpretation</w:t>
      </w:r>
      <w:r>
        <w:t xml:space="preserve"> and remain continuous with the existing community.</w:t>
      </w:r>
      <w:r w:rsidR="00672F27">
        <w:t xml:space="preserve"> </w:t>
      </w:r>
    </w:p>
    <w:p w:rsidR="00363008" w:rsidRDefault="0015114E" w:rsidP="0015114E">
      <w:r>
        <w:t xml:space="preserve">I suggest further that historic dogmas alone are not sufficient to guarantee a unified development. A new interpretation may arise which is seen by some members of the community to be an aberration, and by others to be in perfect continuity with </w:t>
      </w:r>
      <w:r w:rsidR="00FF07B8">
        <w:t>the</w:t>
      </w:r>
      <w:r>
        <w:t xml:space="preserve"> past. If the community’s interpretation is going to </w:t>
      </w:r>
      <w:r w:rsidRPr="00877DCA">
        <w:rPr>
          <w:i/>
        </w:rPr>
        <w:t>develop</w:t>
      </w:r>
      <w:r>
        <w:t xml:space="preserve"> without </w:t>
      </w:r>
      <w:r w:rsidRPr="00877DCA">
        <w:rPr>
          <w:i/>
        </w:rPr>
        <w:t>dividing</w:t>
      </w:r>
      <w:r>
        <w:t xml:space="preserve">, and if rational argument has failed to bring about a consensus (as Ricœur predicts it will, if only </w:t>
      </w:r>
      <w:r>
        <w:lastRenderedPageBreak/>
        <w:t>occasionally), then the community will need a living, contemporary arbitrator – either an individual or a committee –</w:t>
      </w:r>
      <w:r w:rsidR="004258A1">
        <w:t xml:space="preserve"> </w:t>
      </w:r>
      <w:r>
        <w:t>trust</w:t>
      </w:r>
      <w:r w:rsidR="004258A1">
        <w:t xml:space="preserve">ed </w:t>
      </w:r>
      <w:r>
        <w:t xml:space="preserve">to </w:t>
      </w:r>
      <w:r w:rsidR="00534CAC">
        <w:t xml:space="preserve">endorse a new doctrinal position, </w:t>
      </w:r>
      <w:r w:rsidR="00FA308D">
        <w:t xml:space="preserve">reject it, </w:t>
      </w:r>
      <w:r w:rsidR="00534CAC">
        <w:t xml:space="preserve">or permit </w:t>
      </w:r>
      <w:r w:rsidR="00FA308D">
        <w:t xml:space="preserve">a </w:t>
      </w:r>
      <w:r w:rsidR="00534CAC">
        <w:t>diversity of viewpoints</w:t>
      </w:r>
      <w:r w:rsidR="00F03CFC">
        <w:t xml:space="preserve"> on behalf of the whole community</w:t>
      </w:r>
      <w:r>
        <w:t>.</w:t>
      </w:r>
      <w:r w:rsidR="004258A1">
        <w:t xml:space="preserve"> </w:t>
      </w:r>
      <w:r w:rsidR="00D603D2">
        <w:t>A</w:t>
      </w:r>
      <w:r w:rsidR="00FA308D">
        <w:t>s</w:t>
      </w:r>
      <w:r w:rsidR="00D603D2">
        <w:t xml:space="preserve"> we saw in the case of</w:t>
      </w:r>
      <w:r w:rsidR="00FA308D">
        <w:t xml:space="preserve"> past dogmatic decisions, there is no objective guarantee that such a new </w:t>
      </w:r>
      <w:r w:rsidR="003736FB">
        <w:t>doctrinal position</w:t>
      </w:r>
      <w:r w:rsidR="00FA308D">
        <w:t xml:space="preserve"> is the correct one</w:t>
      </w:r>
      <w:r w:rsidR="00D603D2">
        <w:t>;</w:t>
      </w:r>
      <w:r w:rsidR="00FA308D">
        <w:t xml:space="preserve"> if there was, then no arbitration would be necessary in the first place. Those who disagree with the </w:t>
      </w:r>
      <w:r w:rsidR="00D603D2">
        <w:t>arbitrator’s decision</w:t>
      </w:r>
      <w:r w:rsidR="00722314">
        <w:t xml:space="preserve">, again, </w:t>
      </w:r>
      <w:r w:rsidR="00EB45D2">
        <w:t>are free to</w:t>
      </w:r>
      <w:r w:rsidR="00FA308D">
        <w:t xml:space="preserve"> break away and start a new community</w:t>
      </w:r>
      <w:r w:rsidR="003736FB">
        <w:t xml:space="preserve"> –</w:t>
      </w:r>
      <w:r w:rsidR="00FA308D">
        <w:t xml:space="preserve"> </w:t>
      </w:r>
      <w:r w:rsidR="00FF07B8">
        <w:t>as</w:t>
      </w:r>
      <w:r w:rsidR="003736FB">
        <w:t xml:space="preserve"> </w:t>
      </w:r>
      <w:r w:rsidR="00FA308D">
        <w:t xml:space="preserve">the Old Catholics </w:t>
      </w:r>
      <w:r w:rsidR="003736FB">
        <w:t xml:space="preserve">broke from Roman Catholicism </w:t>
      </w:r>
      <w:r w:rsidR="00FA308D">
        <w:t xml:space="preserve">after Vatican I </w:t>
      </w:r>
      <w:r w:rsidR="003736FB">
        <w:t>and</w:t>
      </w:r>
      <w:r w:rsidR="00FA308D">
        <w:t xml:space="preserve"> the </w:t>
      </w:r>
      <w:r w:rsidR="003736FB">
        <w:t>S</w:t>
      </w:r>
      <w:r w:rsidR="00FA308D" w:rsidRPr="00FA308D">
        <w:t>edevacantis</w:t>
      </w:r>
      <w:r w:rsidR="00FA308D">
        <w:t>ts after Vatican II</w:t>
      </w:r>
      <w:r w:rsidR="00247F7B">
        <w:rPr>
          <w:rStyle w:val="FootnoteReference"/>
        </w:rPr>
        <w:footnoteReference w:id="56"/>
      </w:r>
      <w:r w:rsidR="003736FB">
        <w:t xml:space="preserve"> –</w:t>
      </w:r>
      <w:r w:rsidR="00FA308D">
        <w:t xml:space="preserve"> or</w:t>
      </w:r>
      <w:r w:rsidR="003736FB">
        <w:t xml:space="preserve"> </w:t>
      </w:r>
      <w:r w:rsidR="00FA308D">
        <w:t xml:space="preserve">they can submissively assent to the </w:t>
      </w:r>
      <w:r w:rsidR="003736FB">
        <w:t>decision</w:t>
      </w:r>
      <w:r w:rsidR="00FA308D">
        <w:t xml:space="preserve"> and remain part of the </w:t>
      </w:r>
      <w:r w:rsidR="003736FB">
        <w:t xml:space="preserve">traditional </w:t>
      </w:r>
      <w:r w:rsidR="00FA308D">
        <w:t xml:space="preserve">community. </w:t>
      </w:r>
      <w:r w:rsidR="00D70C67">
        <w:t xml:space="preserve">Both </w:t>
      </w:r>
      <w:r w:rsidR="00FF07B8">
        <w:t xml:space="preserve">options </w:t>
      </w:r>
      <w:r w:rsidR="00F03CFC">
        <w:t xml:space="preserve">– dissenting or submitting – </w:t>
      </w:r>
      <w:r w:rsidR="00D70C67">
        <w:t>are</w:t>
      </w:r>
      <w:r w:rsidR="00F03CFC">
        <w:t xml:space="preserve"> </w:t>
      </w:r>
      <w:r w:rsidR="00D70C67">
        <w:t>innovations which extend the meaning of Scripture into the present day</w:t>
      </w:r>
      <w:r w:rsidR="00FF07B8">
        <w:t>, and both require faith, either in the</w:t>
      </w:r>
      <w:r w:rsidR="00F03CFC">
        <w:t xml:space="preserve"> superior judgment of the</w:t>
      </w:r>
      <w:r w:rsidR="00FF07B8">
        <w:t xml:space="preserve"> dissenters’ own interpretation or in the authority of the central arbitrator’s interpretation.</w:t>
      </w:r>
      <w:r w:rsidR="007E7977">
        <w:t xml:space="preserve"> </w:t>
      </w:r>
      <w:r w:rsidR="00247F7B">
        <w:t>Ricœurian hermeneutics teaches us that n</w:t>
      </w:r>
      <w:r w:rsidR="007E7977">
        <w:t xml:space="preserve">either innovation nor </w:t>
      </w:r>
      <w:r w:rsidR="00247F7B">
        <w:t>faith</w:t>
      </w:r>
      <w:r w:rsidR="007E7977">
        <w:t xml:space="preserve"> in something external to Scripture can be avoided</w:t>
      </w:r>
      <w:r w:rsidR="00247F7B">
        <w:t>: both are the natural and inevitable result of the passage of time, the emergence of a new context, and the insufficiency of reason</w:t>
      </w:r>
      <w:r w:rsidR="00346CBD">
        <w:t xml:space="preserve"> to arbitrate in all cases</w:t>
      </w:r>
      <w:r w:rsidR="00F03CFC">
        <w:t>.</w:t>
      </w:r>
      <w:r w:rsidR="00247F7B">
        <w:t xml:space="preserve"> In such </w:t>
      </w:r>
      <w:r w:rsidR="005C2F40">
        <w:t>instances</w:t>
      </w:r>
      <w:bookmarkStart w:id="1" w:name="_GoBack"/>
      <w:bookmarkEnd w:id="1"/>
      <w:r w:rsidR="00D06BDE">
        <w:t xml:space="preserve"> t</w:t>
      </w:r>
      <w:r w:rsidR="00247F7B">
        <w:t xml:space="preserve">he choice is not between objectively verifiable faithfulness or unfaithfulness to Scripture, but between the </w:t>
      </w:r>
      <w:r w:rsidR="00346CBD">
        <w:t>division</w:t>
      </w:r>
      <w:r w:rsidR="00247F7B">
        <w:t xml:space="preserve"> and discontinuity of dissent, or the unity and continuity of development.</w:t>
      </w:r>
    </w:p>
    <w:p w:rsidR="002A7239" w:rsidRDefault="002A7239" w:rsidP="0049465E">
      <w:pPr>
        <w:pStyle w:val="Heading1"/>
      </w:pPr>
      <w:r>
        <w:t>Conclusion</w:t>
      </w:r>
    </w:p>
    <w:p w:rsidR="008A1464" w:rsidRDefault="008A1464" w:rsidP="008A1464">
      <w:r>
        <w:t xml:space="preserve">At the heart of Ricœur’s methodology is the dialectic between ‘belonging’ and ‘critique’, which can be understood theologically as the dialectic between </w:t>
      </w:r>
      <w:r w:rsidRPr="00811EAE">
        <w:rPr>
          <w:i/>
        </w:rPr>
        <w:t>faithfulness</w:t>
      </w:r>
      <w:r>
        <w:t xml:space="preserve"> and </w:t>
      </w:r>
      <w:r w:rsidRPr="00811EAE">
        <w:rPr>
          <w:i/>
        </w:rPr>
        <w:t>innovation</w:t>
      </w:r>
      <w:r>
        <w:t xml:space="preserve"> in doctrine, between old and new interpretations of Scripture, and ultimately, the dialectic at the heart of the process of doctrinal development.</w:t>
      </w:r>
      <w:r w:rsidRPr="00D475C4">
        <w:t xml:space="preserve"> </w:t>
      </w:r>
      <w:r>
        <w:rPr>
          <w:lang w:eastAsia="en-GB"/>
        </w:rPr>
        <w:t xml:space="preserve">Ricœur’s hermeneutics makes doctrinal development possible because it celebrates diversity of interpretations without giving way to pluralism, and allows old and new readings of Scripture to sit alongside one another in mutual dialogue and enrichment. </w:t>
      </w:r>
      <w:r>
        <w:t xml:space="preserve">This allows us to see doctrinal development as </w:t>
      </w:r>
      <w:r w:rsidRPr="0045355B">
        <w:rPr>
          <w:i/>
        </w:rPr>
        <w:t>the growth of the meaning of Scripture</w:t>
      </w:r>
      <w:r>
        <w:t xml:space="preserve">. </w:t>
      </w:r>
    </w:p>
    <w:p w:rsidR="0015114E" w:rsidRDefault="00E61D72" w:rsidP="0015114E">
      <w:r>
        <w:rPr>
          <w:lang w:eastAsia="en-GB"/>
        </w:rPr>
        <w:t xml:space="preserve">We have seen how Ricœur’s hermeneutics allows for </w:t>
      </w:r>
      <w:r w:rsidR="002B0A2E">
        <w:rPr>
          <w:lang w:eastAsia="en-GB"/>
        </w:rPr>
        <w:t xml:space="preserve">Scripture to </w:t>
      </w:r>
      <w:r w:rsidR="00DC6837">
        <w:rPr>
          <w:lang w:eastAsia="en-GB"/>
        </w:rPr>
        <w:t>‘</w:t>
      </w:r>
      <w:r w:rsidR="002B0A2E">
        <w:rPr>
          <w:lang w:eastAsia="en-GB"/>
        </w:rPr>
        <w:t>grow</w:t>
      </w:r>
      <w:r w:rsidR="00DC6837">
        <w:rPr>
          <w:lang w:eastAsia="en-GB"/>
        </w:rPr>
        <w:t>’</w:t>
      </w:r>
      <w:r w:rsidR="002B0A2E">
        <w:rPr>
          <w:lang w:eastAsia="en-GB"/>
        </w:rPr>
        <w:t xml:space="preserve">, through </w:t>
      </w:r>
      <w:r>
        <w:rPr>
          <w:lang w:eastAsia="en-GB"/>
        </w:rPr>
        <w:t xml:space="preserve">development </w:t>
      </w:r>
      <w:r w:rsidR="002B0A2E">
        <w:rPr>
          <w:lang w:eastAsia="en-GB"/>
        </w:rPr>
        <w:t xml:space="preserve">in its </w:t>
      </w:r>
      <w:r>
        <w:rPr>
          <w:lang w:eastAsia="en-GB"/>
        </w:rPr>
        <w:t xml:space="preserve">meaning. </w:t>
      </w:r>
      <w:r w:rsidR="00A73A01">
        <w:rPr>
          <w:lang w:eastAsia="en-GB"/>
        </w:rPr>
        <w:t xml:space="preserve">Ricœur gives us the tools to open a text to multiple </w:t>
      </w:r>
      <w:r w:rsidR="002B0A2E">
        <w:rPr>
          <w:lang w:eastAsia="en-GB"/>
        </w:rPr>
        <w:t xml:space="preserve">valid </w:t>
      </w:r>
      <w:r w:rsidR="00A73A01">
        <w:rPr>
          <w:lang w:eastAsia="en-GB"/>
        </w:rPr>
        <w:t>interpretations, and to celebrate such multiplicity rather than lament it.</w:t>
      </w:r>
      <w:r w:rsidR="00D34115">
        <w:rPr>
          <w:lang w:eastAsia="en-GB"/>
        </w:rPr>
        <w:t xml:space="preserve"> </w:t>
      </w:r>
      <w:r w:rsidR="003736FB">
        <w:rPr>
          <w:lang w:eastAsia="en-GB"/>
        </w:rPr>
        <w:t>T</w:t>
      </w:r>
      <w:r w:rsidR="00D34115">
        <w:rPr>
          <w:lang w:eastAsia="en-GB"/>
        </w:rPr>
        <w:t>he meaning of Scripture truly grows and develops in a colourful diversity of interpretations, each of which mutually enriches and deepens the others for the benefit of the whole community.</w:t>
      </w:r>
      <w:r w:rsidR="00DC6837">
        <w:rPr>
          <w:lang w:eastAsia="en-GB"/>
        </w:rPr>
        <w:t xml:space="preserve"> </w:t>
      </w:r>
      <w:r w:rsidR="0015114E">
        <w:t xml:space="preserve">Ricœur’s hermeneutics </w:t>
      </w:r>
      <w:r w:rsidR="00DC6837">
        <w:t>shows the continual openness of Scripture to new interpretations along what Ricœur calls a “‘trajectory’ that has its origin in the text itself,”</w:t>
      </w:r>
      <w:r w:rsidR="00DC6837">
        <w:rPr>
          <w:rStyle w:val="FootnoteReference"/>
        </w:rPr>
        <w:footnoteReference w:id="57"/>
      </w:r>
      <w:r w:rsidR="0015114E">
        <w:t xml:space="preserve"> </w:t>
      </w:r>
      <w:r w:rsidR="00794010">
        <w:t>D</w:t>
      </w:r>
      <w:r w:rsidR="0015114E" w:rsidRPr="00C94F8F">
        <w:rPr>
          <w:iCs/>
        </w:rPr>
        <w:t>evelopment</w:t>
      </w:r>
      <w:r w:rsidR="0015114E">
        <w:t xml:space="preserve"> is only possible </w:t>
      </w:r>
      <w:r w:rsidR="00CC0CF0">
        <w:t>in</w:t>
      </w:r>
      <w:r w:rsidR="0015114E">
        <w:t xml:space="preserve">sofar as there is continuity in the </w:t>
      </w:r>
      <w:r w:rsidR="00D454A7">
        <w:t xml:space="preserve">interpretative </w:t>
      </w:r>
      <w:r w:rsidR="0015114E">
        <w:t xml:space="preserve">tradition, and continuity can only be safeguarded by means of dogmas, </w:t>
      </w:r>
      <w:r w:rsidR="000A39B2">
        <w:t xml:space="preserve">interpretative guidelines </w:t>
      </w:r>
      <w:r w:rsidR="0015114E">
        <w:t xml:space="preserve">whose normativity continues to be trusted by the community. Dogmas help distinguish between acceptable </w:t>
      </w:r>
      <w:r w:rsidR="0015114E">
        <w:lastRenderedPageBreak/>
        <w:t>diversity in interpretation and unacceptable deviation, restricting the interpretive scope of a text to a particular trajectory and enabling continuity with past conclusions.</w:t>
      </w:r>
    </w:p>
    <w:p w:rsidR="00356D2C" w:rsidRDefault="00356D2C" w:rsidP="0015114E">
      <w:r>
        <w:t>Ricœur’s approach has the potential to build</w:t>
      </w:r>
      <w:r w:rsidR="00045B39">
        <w:t xml:space="preserve"> ecumenical</w:t>
      </w:r>
      <w:r>
        <w:t xml:space="preserve"> bridges between seemingly intractable ecclesial </w:t>
      </w:r>
      <w:r w:rsidR="00045B39">
        <w:t>positions</w:t>
      </w:r>
      <w:r>
        <w:t xml:space="preserve"> on the relationship between Scripture and doctrine. For Catholics who might be suspicious of the potential restrictiveness of </w:t>
      </w:r>
      <w:r>
        <w:rPr>
          <w:i/>
        </w:rPr>
        <w:t>sola scriptura</w:t>
      </w:r>
      <w:r>
        <w:t>, I have tried to show that it need not be restrictive at all, but can lead to a continuous and flourishing development. For Protestants who might be suspicious of dogma</w:t>
      </w:r>
      <w:r w:rsidR="00D1001F">
        <w:t xml:space="preserve">, new or old, </w:t>
      </w:r>
      <w:r>
        <w:t>as supplementary to Scripture, I have tried to show how all interpretation is supplementary by its very nature, and that this is to be celebrated rather than lamented.</w:t>
      </w:r>
    </w:p>
    <w:p w:rsidR="001218A6" w:rsidRDefault="008A1464" w:rsidP="0060274A">
      <w:r>
        <w:t xml:space="preserve"> </w:t>
      </w:r>
      <w:r w:rsidR="003B5960">
        <w:t>“</w:t>
      </w:r>
      <w:r w:rsidR="003B5960" w:rsidRPr="00D51659">
        <w:t>Developing</w:t>
      </w:r>
      <w:r w:rsidR="003B5960">
        <w:t xml:space="preserve"> is … characteristic of my work,” says </w:t>
      </w:r>
      <w:r w:rsidR="00F8083D">
        <w:t>Ricœur</w:t>
      </w:r>
      <w:r w:rsidR="003B5960">
        <w:t>.</w:t>
      </w:r>
      <w:r w:rsidR="003B5960" w:rsidRPr="00D51659">
        <w:t xml:space="preserve"> </w:t>
      </w:r>
      <w:r w:rsidR="003B5960">
        <w:t>“</w:t>
      </w:r>
      <w:r w:rsidR="003B5960" w:rsidRPr="00D51659">
        <w:t>I would compare this to the optics of a camera, which gradually brings out details more and more clearly from an initially larger, obscure picture</w:t>
      </w:r>
      <w:r w:rsidR="003B5960">
        <w:t>.”</w:t>
      </w:r>
      <w:r w:rsidR="000A39B2">
        <w:rPr>
          <w:rStyle w:val="FootnoteReference"/>
        </w:rPr>
        <w:footnoteReference w:id="58"/>
      </w:r>
      <w:r w:rsidR="003B5960">
        <w:t xml:space="preserve"> Perhaps </w:t>
      </w:r>
      <w:r w:rsidR="00F8083D">
        <w:t>Ricœur</w:t>
      </w:r>
      <w:r w:rsidR="003B5960">
        <w:t>’s philosophical career is a miniature model of the trajectory of the Christian community, as its foundational text becomes ever more clearly understood in a process only to be completed at the eschaton.</w:t>
      </w:r>
    </w:p>
    <w:sectPr w:rsidR="001218A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940" w:rsidRDefault="00615940" w:rsidP="00542124">
      <w:pPr>
        <w:spacing w:after="0" w:line="240" w:lineRule="auto"/>
      </w:pPr>
      <w:r>
        <w:separator/>
      </w:r>
    </w:p>
  </w:endnote>
  <w:endnote w:type="continuationSeparator" w:id="0">
    <w:p w:rsidR="00615940" w:rsidRDefault="00615940" w:rsidP="0054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940" w:rsidRDefault="00615940" w:rsidP="00542124">
      <w:pPr>
        <w:spacing w:after="0" w:line="240" w:lineRule="auto"/>
      </w:pPr>
      <w:r>
        <w:separator/>
      </w:r>
    </w:p>
  </w:footnote>
  <w:footnote w:type="continuationSeparator" w:id="0">
    <w:p w:rsidR="00615940" w:rsidRDefault="00615940" w:rsidP="00542124">
      <w:pPr>
        <w:spacing w:after="0" w:line="240" w:lineRule="auto"/>
      </w:pPr>
      <w:r>
        <w:continuationSeparator/>
      </w:r>
    </w:p>
  </w:footnote>
  <w:footnote w:id="1">
    <w:p w:rsidR="00D603D2" w:rsidRPr="0049465E" w:rsidRDefault="00D603D2" w:rsidP="00B87F12">
      <w:pPr>
        <w:pStyle w:val="FootnoteText"/>
      </w:pPr>
      <w:r>
        <w:rPr>
          <w:rStyle w:val="FootnoteReference"/>
        </w:rPr>
        <w:footnoteRef/>
      </w:r>
      <w:r w:rsidRPr="009F0922">
        <w:rPr>
          <w:lang w:val="fr-FR"/>
        </w:rPr>
        <w:t xml:space="preserve"> </w:t>
      </w:r>
      <w:r>
        <w:fldChar w:fldCharType="begin"/>
      </w:r>
      <w:r w:rsidR="001218A6">
        <w:rPr>
          <w:lang w:val="fr-FR"/>
        </w:rPr>
        <w:instrText xml:space="preserve"> ADDIN ZOTERO_ITEM CSL_CITATION {"citationID":"qaQswf9k","properties":{"formattedCitation":"Andr\\uc0\\u233{} LaCocque and Paul Ric\\uc0\\u339{}ur, {\\i{}Thinking Biblically: Exegetical and Hermeneutical Studies}, trans. David Pellauer (Chicago: University of Chicago Press, 2003), xi. Italics mine.","plainCitation":"André LaCocque and Paul Ricœur, Thinking Biblically: Exegetical and Hermeneutical Studies, trans. David Pellauer (Chicago: University of Chicago Press, 2003), xi. Italics mine.","noteIndex":1},"citationItems":[{"id":301,"uris":["http://zotero.org/users/379369/items/PCM3P6JR"],"uri":["http://zotero.org/users/379369/items/PCM3P6JR"],"itemData":{"id":301,"type":"book","title":"Thinking Biblically: Exegetical and Hermeneutical Studies","publisher":"University of Chicago Press","publisher-place":"Chicago","number-of-pages":"470","source":"Google Books","event-place":"Chicago","abstract":"Unparalled in its poetry, richness, and religious and historical significance, the Hebrew Bible has been the site and center of countless commentaries, perhaps none as unique as Thinking Biblically. This remarkable collaboration sets the words of a distinguished biblical scholar, André LaCocque, and those of a leading philosopher, Paul Ricoeur, in dialogue around six crucial passages from the Old Testament: the story of Adam and Eve; the commandment \"thou shalt not kill\"; the valley of dry bones passage from Ezekiel; Psalm 22; the Song of Songs; and the naming of God in Exodus 3:14. Commenting on these texts, LaCocque and Ricoeur provide a wealth of new insights into the meaning of the different genres of the Old Testament as these made their way into and were transformed by the New Testament.  LaCocque's commentaries employ a historical-critical method that takes into account archaeological, philological, and historical research. LaCocque includes in his essays historical information about the dynamic tradition of reading scripture, opening his exegesis to developments and enrichments subsequent to the production of the original literary text. Ricoeur also takes into account the relation between the texts and the historical communities that read and interpreted them, but he broadens his scope to include philosophical speculation. His commentaries highlight the metaphorical structure of the passages and how they have served as catalysts for philosophical thinking from the Greeks to the modern age.  This extraordinary literary and historical venture reads the Bible through two different but complementary lenses, revealing the familiar texts as vibrant, philosophically consequential, and unceasingly absorbing.","ISBN":"978-0-226-71343-4","shortTitle":"Thinking Biblically","language":"en","author":[{"family":"LaCocque","given":"André"},{"family":"Ricœur","given":"Paul"}],"translator":[{"family":"Pellauer","given":"David"}],"issued":{"date-parts":[["2003",12,1]]}},"locator":"xi","suffix":". Italics mine"}],"schema":"https://github.com/citation-style-language/schema/raw/master/csl-citation.json"} </w:instrText>
      </w:r>
      <w:r>
        <w:fldChar w:fldCharType="separate"/>
      </w:r>
      <w:r w:rsidR="001218A6" w:rsidRPr="001218A6">
        <w:rPr>
          <w:rFonts w:cs="Times New Roman"/>
          <w:szCs w:val="24"/>
        </w:rPr>
        <w:t xml:space="preserve">André LaCocque and Paul Ricœur, </w:t>
      </w:r>
      <w:r w:rsidR="001218A6" w:rsidRPr="001218A6">
        <w:rPr>
          <w:rFonts w:cs="Times New Roman"/>
          <w:i/>
          <w:iCs/>
          <w:szCs w:val="24"/>
        </w:rPr>
        <w:t>Thinking Biblically: Exegetical and Hermeneutical Studies</w:t>
      </w:r>
      <w:r w:rsidR="001218A6" w:rsidRPr="001218A6">
        <w:rPr>
          <w:rFonts w:cs="Times New Roman"/>
          <w:szCs w:val="24"/>
        </w:rPr>
        <w:t>, trans. David Pellauer (Chicago: University of Chicago Press, 2003), xi. Italics mine.</w:t>
      </w:r>
      <w:r>
        <w:fldChar w:fldCharType="end"/>
      </w:r>
    </w:p>
  </w:footnote>
  <w:footnote w:id="2">
    <w:p w:rsidR="00D603D2" w:rsidRDefault="00D603D2">
      <w:pPr>
        <w:pStyle w:val="FootnoteText"/>
      </w:pPr>
      <w:r>
        <w:rPr>
          <w:rStyle w:val="FootnoteReference"/>
        </w:rPr>
        <w:footnoteRef/>
      </w:r>
      <w:r>
        <w:t xml:space="preserve"> </w:t>
      </w:r>
      <w:r>
        <w:fldChar w:fldCharType="begin"/>
      </w:r>
      <w:r w:rsidR="001218A6">
        <w:instrText xml:space="preserve"> ADDIN ZOTERO_ITEM CSL_CITATION {"citationID":"BJVxfcHe","properties":{"formattedCitation":"John E. Thiel, \\uc0\\u8216{}Orthodoxy and Heterodoxy in Schleiermacher\\uc0\\u8217{}s Theological Encyclopedia: Doctrinal Development and Theological Creativity\\uc0\\u8217{}, {\\i{}The Heythrop Journal} 25, no. 2 (April 1984): 142\\uc0\\u8211{}57.","plainCitation":"John E. Thiel, ‘Orthodoxy and Heterodoxy in Schleiermacher’s Theological Encyclopedia: Doctrinal Development and Theological Creativity’, The Heythrop Journal 25, no. 2 (April 1984): 142–57.","noteIndex":2},"citationItems":[{"id":1404,"uris":["http://zotero.org/users/379369/items/38AXQRPF"],"uri":["http://zotero.org/users/379369/items/38AXQRPF"],"itemData":{"id":1404,"type":"article-journal","title":"Orthodoxy and Heterodoxy in Schleiermacher's Theological Encyclopedia: Doctrinal Development and Theological Creativity","container-title":"The Heythrop Journal","page":"142-157","volume":"25","issue":"2","source":"Wiley Online Library","ISSN":"1468-2265","shortTitle":"Orthodoxy and Heterodoxy in Schleiermacher's Theological Encyclopedia","language":"en","author":[{"family":"Thiel","given":"John E."}],"issued":{"date-parts":[["1984",4]]}}}],"schema":"https://github.com/citation-style-language/schema/raw/master/csl-citation.json"} </w:instrText>
      </w:r>
      <w:r>
        <w:fldChar w:fldCharType="separate"/>
      </w:r>
      <w:r w:rsidR="001218A6" w:rsidRPr="001218A6">
        <w:rPr>
          <w:rFonts w:cs="Times New Roman"/>
          <w:szCs w:val="24"/>
        </w:rPr>
        <w:t xml:space="preserve">John E. Thiel, ‘Orthodoxy and Heterodoxy in Schleiermacher’s Theological Encyclopedia: Doctrinal Development and Theological Creativity’, </w:t>
      </w:r>
      <w:r w:rsidR="001218A6" w:rsidRPr="001218A6">
        <w:rPr>
          <w:rFonts w:cs="Times New Roman"/>
          <w:i/>
          <w:iCs/>
          <w:szCs w:val="24"/>
        </w:rPr>
        <w:t>The Heythrop Journal</w:t>
      </w:r>
      <w:r w:rsidR="001218A6" w:rsidRPr="001218A6">
        <w:rPr>
          <w:rFonts w:cs="Times New Roman"/>
          <w:szCs w:val="24"/>
        </w:rPr>
        <w:t xml:space="preserve"> 25, no. 2 (April 1984): 142–57.</w:t>
      </w:r>
      <w:r>
        <w:fldChar w:fldCharType="end"/>
      </w:r>
    </w:p>
  </w:footnote>
  <w:footnote w:id="3">
    <w:p w:rsidR="00D603D2" w:rsidRDefault="00D603D2">
      <w:pPr>
        <w:pStyle w:val="FootnoteText"/>
      </w:pPr>
      <w:r>
        <w:rPr>
          <w:rStyle w:val="FootnoteReference"/>
        </w:rPr>
        <w:footnoteRef/>
      </w:r>
      <w:r>
        <w:t xml:space="preserve"> See e.g., </w:t>
      </w:r>
      <w:r>
        <w:fldChar w:fldCharType="begin"/>
      </w:r>
      <w:r w:rsidR="00103606">
        <w:instrText xml:space="preserve"> ADDIN ZOTERO_ITEM CSL_CITATION {"citationID":"5ZiiOLvy","properties":{"formattedCitation":"H Ashley Hall, \\uc0\\u8216{}The Development of Doctrine: A Lutheran Examination\\uc0\\u8217{}, {\\i{}Pro Ecclesia} 16, no. 3 (Summer 2007): 256\\uc0\\u8211{}77; Daniel J Lattier, \\uc0\\u8216{}The Orthodox Rejection of Doctrinal Development\\uc0\\u8217{}, {\\i{}Pro Ecclesia} 20, no. 4 (Fall 2011): 389\\uc0\\u8211{}410; Andrew Louth, \\uc0\\u8216{}Is Development of Doctrine a Valid Category for Orthodox Theology?\\uc0\\u8217{}, in {\\i{}Orthodoxy &amp; Western Culture: A Collection of Essays Honoring Jaroslav Pelikan on His Eightieth Birthday}, ed. Valerie Hotchkiss and Patrick Henry (Crestwood, NY: St Vladimir\\uc0\\u8217{}s Seminary Press, 2005).","plainCitation":"H Ashley Hall, ‘The Development of Doctrine: A Lutheran Examination’, Pro Ecclesia 16, no. 3 (Summer 2007): 256–77; Daniel J Lattier, ‘The Orthodox Rejection of Doctrinal Development’, Pro Ecclesia 20, no. 4 (Fall 2011): 389–410; Andrew Louth, ‘Is Development of Doctrine a Valid Category for Orthodox Theology?’, in Orthodoxy &amp; Western Culture: A Collection of Essays Honoring Jaroslav Pelikan on His Eightieth Birthday, ed. Valerie Hotchkiss and Patrick Henry (Crestwood, NY: St Vladimir’s Seminary Press, 2005).","noteIndex":3},"citationItems":[{"id":1354,"uris":["http://zotero.org/users/379369/items/ME727GED"],"uri":["http://zotero.org/users/379369/items/ME727GED"],"itemData":{"id":1354,"type":"article-journal","title":"The development of doctrine: a Lutheran examination","container-title":"Pro Ecclesia","page":"256-77","volume":"16","issue":"3","source":"EBSCOhost","ISSN":"1063-8512","shortTitle":"The development of doctrine","journalAbbreviation":"Pro Ecclesia","author":[{"family":"Hall","given":"H Ashley"}],"issued":{"date-parts":[["2007"]],"season":"Summer"}}},{"id":1356,"uris":["http://zotero.org/users/379369/items/D2A6TRTI"],"uri":["http://zotero.org/users/379369/items/D2A6TRTI"],"itemData":{"id":1356,"type":"article-journal","title":"The Orthodox rejection of doctrinal development","container-title":"Pro Ecclesia","page":"389-410","volume":"20","issue":"4","source":"EBSCOhost","ISSN":"1063-8512","journalAbbreviation":"Pro Ecclesia","author":[{"family":"Lattier","given":"Daniel J"}],"issued":{"date-parts":[["2011"]],"season":"Fall"}}},{"id":1408,"uris":["http://zotero.org/users/379369/items/XI4EIEZL"],"uri":["http://zotero.org/users/379369/items/XI4EIEZL"],"itemData":{"id":1408,"type":"chapter","title":"Is Development of Doctrine a Valid Category for Orthodox Theology?","container-title":"Orthodoxy &amp; Western Culture: A Collection of Essays Honoring Jaroslav Pelikan on His Eightieth Birthday","publisher":"St Vladimir's Seminary Press","publisher-place":"Crestwood, NY","source":"Google Books","event-place":"Crestwood, NY","abstract":"Jaroslav Pelikan, the foremost church historian of the twentieth century, is honored by this collection of essays written by his colleagues and former students in honor of his 80th birthday celebration; Pelikan himself contributed an autiobiographical sketch, and the final lecture.","ISBN":"978-0-88141-271-0","note":"Google-Books-ID: 13DRvCcJUvcC","language":"en","author":[{"family":"Louth","given":"Andrew"}],"editor":[{"family":"Hotchkiss","given":"Valerie"},{"family":"Henry","given":"Patrick"}],"issued":{"date-parts":[["2005"]]}}}],"schema":"https://github.com/citation-style-language/schema/raw/master/csl-citation.json"} </w:instrText>
      </w:r>
      <w:r>
        <w:fldChar w:fldCharType="separate"/>
      </w:r>
      <w:r w:rsidR="00103606" w:rsidRPr="00103606">
        <w:rPr>
          <w:rFonts w:cs="Times New Roman"/>
          <w:szCs w:val="24"/>
        </w:rPr>
        <w:t xml:space="preserve">H Ashley Hall, ‘The Development of Doctrine: A Lutheran Examination’, </w:t>
      </w:r>
      <w:r w:rsidR="00103606" w:rsidRPr="00103606">
        <w:rPr>
          <w:rFonts w:cs="Times New Roman"/>
          <w:i/>
          <w:iCs/>
          <w:szCs w:val="24"/>
        </w:rPr>
        <w:t>Pro Ecclesia</w:t>
      </w:r>
      <w:r w:rsidR="00103606" w:rsidRPr="00103606">
        <w:rPr>
          <w:rFonts w:cs="Times New Roman"/>
          <w:szCs w:val="24"/>
        </w:rPr>
        <w:t xml:space="preserve"> 16, no. 3 (Summer 2007): 256–77; Daniel J Lattier, ‘The Orthodox Rejection of Doctrinal Development’, </w:t>
      </w:r>
      <w:r w:rsidR="00103606" w:rsidRPr="00103606">
        <w:rPr>
          <w:rFonts w:cs="Times New Roman"/>
          <w:i/>
          <w:iCs/>
          <w:szCs w:val="24"/>
        </w:rPr>
        <w:t>Pro Ecclesia</w:t>
      </w:r>
      <w:r w:rsidR="00103606" w:rsidRPr="00103606">
        <w:rPr>
          <w:rFonts w:cs="Times New Roman"/>
          <w:szCs w:val="24"/>
        </w:rPr>
        <w:t xml:space="preserve"> 20, no. 4 (Fall 2011): 389–410; Andrew Louth, ‘Is Development of Doctrine a Valid Category for Orthodox Theology?’, in </w:t>
      </w:r>
      <w:r w:rsidR="00103606" w:rsidRPr="00103606">
        <w:rPr>
          <w:rFonts w:cs="Times New Roman"/>
          <w:i/>
          <w:iCs/>
          <w:szCs w:val="24"/>
        </w:rPr>
        <w:t>Orthodoxy &amp; Western Culture: A Collection of Essays Honoring Jaroslav Pelikan on His Eightieth Birthday</w:t>
      </w:r>
      <w:r w:rsidR="00103606" w:rsidRPr="00103606">
        <w:rPr>
          <w:rFonts w:cs="Times New Roman"/>
          <w:szCs w:val="24"/>
        </w:rPr>
        <w:t>, ed. Valerie Hotchkiss and Patrick Henry (Crestwood, NY: St Vladimir’s Seminary Press, 2005).</w:t>
      </w:r>
      <w:r>
        <w:fldChar w:fldCharType="end"/>
      </w:r>
      <w:r>
        <w:t xml:space="preserve"> The absence of enthusiasm for doctrinal development in Orthodox and Protestant circles may be because the idea of development legitimates a dialectic of change and continuity in doctrine through history; but not every Orthodox is convinced of the legitimacy of change, nor does every Protestant recognise the need for continuity.</w:t>
      </w:r>
    </w:p>
  </w:footnote>
  <w:footnote w:id="4">
    <w:p w:rsidR="00D603D2" w:rsidRDefault="00D603D2" w:rsidP="0085209D">
      <w:pPr>
        <w:pStyle w:val="FootnoteText"/>
      </w:pPr>
      <w:r>
        <w:rPr>
          <w:rStyle w:val="FootnoteReference"/>
        </w:rPr>
        <w:footnoteRef/>
      </w:r>
      <w:r>
        <w:t xml:space="preserve"> </w:t>
      </w:r>
      <w:r>
        <w:fldChar w:fldCharType="begin"/>
      </w:r>
      <w:r w:rsidR="0060274A">
        <w:instrText xml:space="preserve"> ADDIN ZOTERO_ITEM CSL_CITATION {"citationID":"WupXM08F","properties":{"formattedCitation":"See e.g. Drew Phillip Morgan, \\uc0\\u8216{}Hermeneutical Aspects of John Henry Newman\\uc0\\u8217{}s Essay on the Development of Christian Doctrine\\uc0\\u8217{}, {\\i{}Horizons} 16, no. 2 (Fall 1989): 223\\uc0\\u8211{}42; Thomas Carr, {\\i{}Newman and Gadamer: Toward a Hermeneutics of Religious Knowledge} (Atlanta: Scholars Press, 1996).","plainCitation":"See e.g. Drew Phillip Morgan, ‘Hermeneutical Aspects of John Henry Newman’s Essay on the Development of Christian Doctrine’, Horizons 16, no. 2 (Fall 1989): 223–42; Thomas Carr, Newman and Gadamer: Toward a Hermeneutics of Religious Knowledge (Atlanta: Scholars Press, 1996).","noteIndex":4},"citationItems":[{"id":1414,"uris":["http://zotero.org/users/379369/items/IKSWREPX"],"uri":["http://zotero.org/users/379369/items/IKSWREPX"],"itemData":{"id":1414,"type":"article-journal","title":"Hermeneutical Aspects of John Henry Newman's Essay on the Development of Christian Doctrine","container-title":"Horizons","page":"223–42","volume":"16","issue":"2","source":"idiscover.lib.cam.ac.uk","ISSN":"0360-9669","language":"eng","author":[{"family":"Morgan","given":"Drew Phillip"}],"issued":{"date-parts":[["1989"]],"season":"Fall"}},"prefix":"See e.g. "},{"id":1415,"uris":["http://zotero.org/users/379369/items/FQG242SI"],"uri":["http://zotero.org/users/379369/items/FQG242SI"],"itemData":{"id":1415,"type":"book","title":"Newman and Gadamer: toward a hermeneutics of religious knowledge","publisher":"Scholars Press","publisher-place":"Atlanta","source":"idiscover.lib.cam.ac.uk","event-place":"Atlanta","abstract":"\"This volume is a work of comparison, criticism, and construction. The author examines the religious epistemology of John Henry Newman alongside the philosophical hermeneutics of Hans-Georg Gadamer. Both writers cover a surprising amount of common ground ; they make similar claims ; and they fall into similar errors. A critical examination of four of Newman's leading ideas - first principles, antecedent probability, doctrinal development, and the illative sense - are compared with such Gadamerian themes as self-understanding, Bildung, projection, tradition and the fusion of horizons. The author concludes with a constructive proposal that applies a Newman-Gadamer synthesis to questions about a knowledge of God.\"--Back cover.","ISBN":"978-0-7885-0303-0","call-number":"1:3.c.95.1004","shortTitle":"Newman and Gadamer","language":"eng","author":[{"family":"Carr","given":"Thomas"}],"issued":{"date-parts":[["1996"]]}}}],"schema":"https://github.com/citation-style-language/schema/raw/master/csl-citation.json"} </w:instrText>
      </w:r>
      <w:r>
        <w:fldChar w:fldCharType="separate"/>
      </w:r>
      <w:r w:rsidR="0060274A" w:rsidRPr="0060274A">
        <w:rPr>
          <w:rFonts w:cs="Times New Roman"/>
          <w:szCs w:val="24"/>
        </w:rPr>
        <w:t xml:space="preserve">See e.g. Drew Phillip Morgan, ‘Hermeneutical Aspects of John Henry Newman’s Essay on the Development of Christian Doctrine’, </w:t>
      </w:r>
      <w:r w:rsidR="0060274A" w:rsidRPr="0060274A">
        <w:rPr>
          <w:rFonts w:cs="Times New Roman"/>
          <w:i/>
          <w:iCs/>
          <w:szCs w:val="24"/>
        </w:rPr>
        <w:t>Horizons</w:t>
      </w:r>
      <w:r w:rsidR="0060274A" w:rsidRPr="0060274A">
        <w:rPr>
          <w:rFonts w:cs="Times New Roman"/>
          <w:szCs w:val="24"/>
        </w:rPr>
        <w:t xml:space="preserve"> 16, no. 2 (Fall 1989): 223–42; Thomas Carr, </w:t>
      </w:r>
      <w:r w:rsidR="0060274A" w:rsidRPr="0060274A">
        <w:rPr>
          <w:rFonts w:cs="Times New Roman"/>
          <w:i/>
          <w:iCs/>
          <w:szCs w:val="24"/>
        </w:rPr>
        <w:t>Newman and Gadamer: Toward a Hermeneutics of Religious Knowledge</w:t>
      </w:r>
      <w:r w:rsidR="0060274A" w:rsidRPr="0060274A">
        <w:rPr>
          <w:rFonts w:cs="Times New Roman"/>
          <w:szCs w:val="24"/>
        </w:rPr>
        <w:t xml:space="preserve"> (Atlanta: Scholars Press, 1996).</w:t>
      </w:r>
      <w:r>
        <w:fldChar w:fldCharType="end"/>
      </w:r>
    </w:p>
  </w:footnote>
  <w:footnote w:id="5">
    <w:p w:rsidR="00D603D2" w:rsidRDefault="00D603D2" w:rsidP="00046769">
      <w:pPr>
        <w:pStyle w:val="FootnoteText"/>
      </w:pPr>
      <w:r>
        <w:rPr>
          <w:rStyle w:val="FootnoteReference"/>
        </w:rPr>
        <w:footnoteRef/>
      </w:r>
      <w:r>
        <w:t xml:space="preserve"> </w:t>
      </w:r>
      <w:r>
        <w:fldChar w:fldCharType="begin"/>
      </w:r>
      <w:r w:rsidR="0060274A">
        <w:instrText xml:space="preserve"> ADDIN ZOTERO_ITEM CSL_CITATION {"citationID":"GX8IXzFh","properties":{"formattedCitation":"Johannes C. Wolfart, \\uc0\\u8216{}\\uc0\\u8220{}The Rise of the Historical Consciousness\\uc0\\u8221{}\\uc0\\u8217{}, {\\i{}Religion Compass} 3, no. 1 (January 2009): 88.","plainCitation":"Johannes C. Wolfart, ‘“The Rise of the Historical Consciousness”’, Religion Compass 3, no. 1 (January 2009): 88.","noteIndex":5},"citationItems":[{"id":1342,"uris":["http://zotero.org/users/379369/items/W565DVXR"],"uri":["http://zotero.org/users/379369/items/W565DVXR"],"itemData":{"id":1342,"type":"article-journal","title":"‘The Rise of the Historical Consciousness’","container-title":"Religion Compass","page":"86-98","volume":"3","issue":"1","source":"Wiley Online Library","abstract":"‘The rise of the historical consciousness’ represents a grand narrative that is closely linked to other meta-histories, especially modernization and secularization. The idea that critical thought about history arose uniquely in a certain place (Europe, particularly Germany) and at a certain time (the Enlightenment of the eighteenth century) is widespread and powerful. As an ideology this notion, which is also known as historicism, actually operates in two principal directions. First, it poses a direct challenge to other powerful epistemological systems of the West, especially those supporting the establishments of science and religion. Second, historicism is a key element in the imperialism, cultural and otherwise, by means of which European and American societies have dominated the rest of the world in the capitalist age. Finally, this dual operation of historicism means not only that it has come in for much criticism, especially in recent decades, but that such criticism has come from both ends of the very wide spectrum in contemporary cultural politics. Rather confusingly, historicism remains both the darling and the bête noire of both‘conservative’ theological apologists and ‘radical’ postcolonial critics.","ISSN":"1749-8171","language":"en","author":[{"family":"Wolfart","given":"Johannes C."}],"issued":{"date-parts":[["2009",1]]}},"locator":"88"}],"schema":"https://github.com/citation-style-language/schema/raw/master/csl-citation.json"} </w:instrText>
      </w:r>
      <w:r>
        <w:fldChar w:fldCharType="separate"/>
      </w:r>
      <w:r w:rsidR="0060274A" w:rsidRPr="0060274A">
        <w:rPr>
          <w:rFonts w:cs="Times New Roman"/>
          <w:szCs w:val="24"/>
        </w:rPr>
        <w:t xml:space="preserve">Johannes C. Wolfart, ‘“The Rise of the Historical Consciousness”’, </w:t>
      </w:r>
      <w:r w:rsidR="0060274A" w:rsidRPr="0060274A">
        <w:rPr>
          <w:rFonts w:cs="Times New Roman"/>
          <w:i/>
          <w:iCs/>
          <w:szCs w:val="24"/>
        </w:rPr>
        <w:t>Religion Compass</w:t>
      </w:r>
      <w:r w:rsidR="0060274A" w:rsidRPr="0060274A">
        <w:rPr>
          <w:rFonts w:cs="Times New Roman"/>
          <w:szCs w:val="24"/>
        </w:rPr>
        <w:t xml:space="preserve"> 3, no. 1 (January 2009): 88.</w:t>
      </w:r>
      <w:r>
        <w:fldChar w:fldCharType="end"/>
      </w:r>
    </w:p>
  </w:footnote>
  <w:footnote w:id="6">
    <w:p w:rsidR="00D603D2" w:rsidRDefault="00D603D2" w:rsidP="00160F38">
      <w:pPr>
        <w:pStyle w:val="FootnoteText"/>
      </w:pPr>
      <w:r>
        <w:rPr>
          <w:rStyle w:val="FootnoteReference"/>
        </w:rPr>
        <w:footnoteRef/>
      </w:r>
      <w:r>
        <w:t xml:space="preserve"> </w:t>
      </w:r>
      <w:r>
        <w:fldChar w:fldCharType="begin"/>
      </w:r>
      <w:r>
        <w:instrText xml:space="preserve"> ADDIN ZOTERO_ITEM CSL_CITATION {"citationID":"KtFsWeEb","properties":{"formattedCitation":"Friedrich Schleiermacher, {\\i{}Hermeneutics and Criticism}, trans. Andrew Bowie (Cambridge: Cambridge University Press, 1998), 22.","plainCitation":"Friedrich Schleiermacher, Hermeneutics and Criticism, trans. Andrew Bowie (Cambridge: Cambridge University Press, 1998), 22.","noteIndex":6},"citationItems":[{"id":334,"uris":["http://zotero.org/users/379369/items/RKZ6GRWD"],"uri":["http://zotero.org/users/379369/items/RKZ6GRWD"],"itemData":{"id":334,"type":"book","title":"Hermeneutics and criticism","publisher":"Cambridge University Press","publisher-place":"Cambridge","number-of-pages":"xl,283p","source":"Library Catalog (Aquabrowser)","event-place":"Cambridge","ISBN":"978-0-521-59149-2","author":[{"family":"Schleiermacher","given":"Friedrich"}],"translator":[{"family":"Bowie","given":"Andrew"}],"issued":{"date-parts":[["1998"]]}},"locator":"22"}],"schema":"https://github.com/citation-style-language/schema/raw/master/csl-citation.json"} </w:instrText>
      </w:r>
      <w:r>
        <w:fldChar w:fldCharType="separate"/>
      </w:r>
      <w:r w:rsidRPr="00B118D2">
        <w:rPr>
          <w:rFonts w:cs="Times New Roman"/>
          <w:szCs w:val="24"/>
        </w:rPr>
        <w:t xml:space="preserve">Friedrich Schleiermacher, </w:t>
      </w:r>
      <w:r w:rsidRPr="00B118D2">
        <w:rPr>
          <w:rFonts w:cs="Times New Roman"/>
          <w:i/>
          <w:iCs/>
          <w:szCs w:val="24"/>
        </w:rPr>
        <w:t>Hermeneutics and Criticism</w:t>
      </w:r>
      <w:r w:rsidRPr="00B118D2">
        <w:rPr>
          <w:rFonts w:cs="Times New Roman"/>
          <w:szCs w:val="24"/>
        </w:rPr>
        <w:t>, trans. Andrew Bowie (Cambridge: Cambridge University Press, 1998), 22.</w:t>
      </w:r>
      <w:r>
        <w:fldChar w:fldCharType="end"/>
      </w:r>
    </w:p>
  </w:footnote>
  <w:footnote w:id="7">
    <w:p w:rsidR="00D603D2" w:rsidRDefault="00D603D2">
      <w:pPr>
        <w:pStyle w:val="FootnoteText"/>
      </w:pPr>
      <w:r>
        <w:rPr>
          <w:rStyle w:val="FootnoteReference"/>
        </w:rPr>
        <w:footnoteRef/>
      </w:r>
      <w:r>
        <w:t xml:space="preserve"> </w:t>
      </w:r>
      <w:r>
        <w:fldChar w:fldCharType="begin"/>
      </w:r>
      <w:r w:rsidR="00103606">
        <w:instrText xml:space="preserve"> ADDIN ZOTERO_ITEM CSL_CITATION {"citationID":"hfoXDnFZ","properties":{"formattedCitation":"Paul Ric\\uc0\\u339{}ur, {\\i{}Hermeneutics and the Human Sciences}, ed. and trans. John Thompson (Cambridge: Cambridge University Press, 1981), 50.","plainCitation":"Paul Ricœur, Hermeneutics and the Human Sciences, ed. and trans. John Thompson (Cambridge: Cambridge University Press, 1981), 50.","noteIndex":7},"citationItems":[{"id":160,"uris":["http://zotero.org/users/379369/items/DUXX6XTN"],"uri":["http://zotero.org/users/379369/items/DUXX6XTN"],"itemData":{"id":160,"type":"book","title":"Hermeneutics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50"}],"schema":"https://github.com/citation-style-language/schema/raw/master/csl-citation.json"} </w:instrText>
      </w:r>
      <w:r>
        <w:fldChar w:fldCharType="separate"/>
      </w:r>
      <w:r w:rsidRPr="00077326">
        <w:rPr>
          <w:rFonts w:cs="Times New Roman"/>
          <w:szCs w:val="24"/>
        </w:rPr>
        <w:t xml:space="preserve">Paul Ricœur, </w:t>
      </w:r>
      <w:r w:rsidRPr="00077326">
        <w:rPr>
          <w:rFonts w:cs="Times New Roman"/>
          <w:i/>
          <w:iCs/>
          <w:szCs w:val="24"/>
        </w:rPr>
        <w:t>Hermeneutics and the Human Sciences</w:t>
      </w:r>
      <w:r w:rsidRPr="00077326">
        <w:rPr>
          <w:rFonts w:cs="Times New Roman"/>
          <w:szCs w:val="24"/>
        </w:rPr>
        <w:t>, ed. and trans. John Thompson (Cambridge: Cambridge University Press, 1981), 50.</w:t>
      </w:r>
      <w:r>
        <w:fldChar w:fldCharType="end"/>
      </w:r>
    </w:p>
  </w:footnote>
  <w:footnote w:id="8">
    <w:p w:rsidR="00D603D2" w:rsidRPr="00525D79" w:rsidRDefault="00D603D2" w:rsidP="00325F5E">
      <w:pPr>
        <w:pStyle w:val="FootnoteText"/>
      </w:pPr>
      <w:r w:rsidRPr="001514FD">
        <w:rPr>
          <w:rStyle w:val="FootnoteReference"/>
        </w:rPr>
        <w:footnoteRef/>
      </w:r>
      <w:r w:rsidRPr="00525D79">
        <w:t xml:space="preserve"> </w:t>
      </w:r>
      <w:r>
        <w:fldChar w:fldCharType="begin"/>
      </w:r>
      <w:r w:rsidR="00103606">
        <w:instrText xml:space="preserve"> ADDIN ZOTERO_ITEM CSL_CITATION {"citationID":"qZcl4OzP","properties":{"formattedCitation":"Ibid.","plainCitation":"Ibid.","noteIndex":8},"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50"}],"schema":"https://github.com/citation-style-language/schema/raw/master/csl-citation.json"} </w:instrText>
      </w:r>
      <w:r>
        <w:fldChar w:fldCharType="separate"/>
      </w:r>
      <w:r w:rsidRPr="00077326">
        <w:t>Ibid.</w:t>
      </w:r>
      <w:r>
        <w:fldChar w:fldCharType="end"/>
      </w:r>
      <w:r>
        <w:t xml:space="preserve"> </w:t>
      </w:r>
    </w:p>
  </w:footnote>
  <w:footnote w:id="9">
    <w:p w:rsidR="00D603D2" w:rsidRPr="00525D79" w:rsidRDefault="00D603D2">
      <w:pPr>
        <w:pStyle w:val="FootnoteText"/>
      </w:pPr>
      <w:r>
        <w:rPr>
          <w:rStyle w:val="FootnoteReference"/>
        </w:rPr>
        <w:footnoteRef/>
      </w:r>
      <w:r w:rsidRPr="00525D79">
        <w:t xml:space="preserve"> </w:t>
      </w:r>
      <w:r>
        <w:fldChar w:fldCharType="begin"/>
      </w:r>
      <w:r>
        <w:instrText xml:space="preserve"> ADDIN ZOTERO_ITEM CSL_CITATION {"citationID":"oojWCDmD","properties":{"formattedCitation":"Paul Ric\\uc0\\u339{}ur, {\\i{}Interpretation Theory: Discourse and the Surplus of Meaning} (Fort Worth: Texas Christian University Press, 1976), 23.","plainCitation":"Paul Ricœur, Interpretation Theory: Discourse and the Surplus of Meaning (Fort Worth: Texas Christian University Press, 1976), 23.","noteIndex":9},"citationItems":[{"id":140,"uris":["http://zotero.org/users/379369/items/CAWGFHQ4"],"uri":["http://zotero.org/users/379369/items/CAWGFHQ4"],"itemData":{"id":140,"type":"book","title":"Interpretation theory: discourse and the surplus of meaning","publisher":"Texas Christian University Press","publisher-place":"Fort Worth","number-of-pages":"xii,107p","source":"Library Catalog (Aquabrowser)","event-place":"Fort Worth","ISBN":"978-0-912646-59-6","shortTitle":"Interpretation theory","author":[{"family":"Ricœur","given":"Paul"}],"issued":{"date-parts":[["1976"]]}},"locator":"23"}],"schema":"https://github.com/citation-style-language/schema/raw/master/csl-citation.json"} </w:instrText>
      </w:r>
      <w:r>
        <w:fldChar w:fldCharType="separate"/>
      </w:r>
      <w:r w:rsidRPr="00B118D2">
        <w:rPr>
          <w:rFonts w:cs="Times New Roman"/>
          <w:szCs w:val="24"/>
        </w:rPr>
        <w:t xml:space="preserve">Paul Ricœur, </w:t>
      </w:r>
      <w:r w:rsidRPr="00B118D2">
        <w:rPr>
          <w:rFonts w:cs="Times New Roman"/>
          <w:i/>
          <w:iCs/>
          <w:szCs w:val="24"/>
        </w:rPr>
        <w:t>Interpretation Theory: Discourse and the Surplus of Meaning</w:t>
      </w:r>
      <w:r w:rsidRPr="00B118D2">
        <w:rPr>
          <w:rFonts w:cs="Times New Roman"/>
          <w:szCs w:val="24"/>
        </w:rPr>
        <w:t xml:space="preserve"> (Fort Worth: Texas Christian University Press, 1976), 23.</w:t>
      </w:r>
      <w:r>
        <w:fldChar w:fldCharType="end"/>
      </w:r>
    </w:p>
  </w:footnote>
  <w:footnote w:id="10">
    <w:p w:rsidR="00D603D2" w:rsidRDefault="00D603D2">
      <w:pPr>
        <w:pStyle w:val="FootnoteText"/>
      </w:pPr>
      <w:r>
        <w:rPr>
          <w:rStyle w:val="FootnoteReference"/>
        </w:rPr>
        <w:footnoteRef/>
      </w:r>
      <w:r>
        <w:t xml:space="preserve"> </w:t>
      </w:r>
      <w:r>
        <w:fldChar w:fldCharType="begin"/>
      </w:r>
      <w:r w:rsidR="00103606">
        <w:instrText xml:space="preserve"> ADDIN ZOTERO_ITEM CSL_CITATION {"citationID":"uHM7pj5X","properties":{"formattedCitation":"Ric\\uc0\\u339{}ur, {\\i{}Hermeneutics and the Human Sciences}, 75.","plainCitation":"Ricœur, Hermeneutics and the Human Sciences, 75.","noteIndex":10},"citationItems":[{"id":160,"uris":["http://zotero.org/users/379369/items/DUXX6XTN"],"uri":["http://zotero.org/users/379369/items/DUXX6XTN"],"itemData":{"id":160,"type":"book","title":"Hermeneutics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75"}],"schema":"https://github.com/citation-style-language/schema/raw/master/csl-citation.json"} </w:instrText>
      </w:r>
      <w:r>
        <w:fldChar w:fldCharType="separate"/>
      </w:r>
      <w:r w:rsidR="00103606" w:rsidRPr="00103606">
        <w:rPr>
          <w:rFonts w:cs="Times New Roman"/>
          <w:szCs w:val="24"/>
        </w:rPr>
        <w:t xml:space="preserve">Ricœur, </w:t>
      </w:r>
      <w:r w:rsidR="00103606" w:rsidRPr="00103606">
        <w:rPr>
          <w:rFonts w:cs="Times New Roman"/>
          <w:i/>
          <w:iCs/>
          <w:szCs w:val="24"/>
        </w:rPr>
        <w:t>Hermeneutics and the Human Sciences</w:t>
      </w:r>
      <w:r w:rsidR="00103606" w:rsidRPr="00103606">
        <w:rPr>
          <w:rFonts w:cs="Times New Roman"/>
          <w:szCs w:val="24"/>
        </w:rPr>
        <w:t>, 75.</w:t>
      </w:r>
      <w:r>
        <w:fldChar w:fldCharType="end"/>
      </w:r>
    </w:p>
  </w:footnote>
  <w:footnote w:id="11">
    <w:p w:rsidR="00D603D2" w:rsidRDefault="00D603D2">
      <w:pPr>
        <w:pStyle w:val="FootnoteText"/>
      </w:pPr>
      <w:r>
        <w:rPr>
          <w:rStyle w:val="FootnoteReference"/>
        </w:rPr>
        <w:footnoteRef/>
      </w:r>
      <w:r>
        <w:t xml:space="preserve"> </w:t>
      </w:r>
      <w:r>
        <w:fldChar w:fldCharType="begin"/>
      </w:r>
      <w:r w:rsidR="00103606">
        <w:instrText xml:space="preserve"> ADDIN ZOTERO_ITEM CSL_CITATION {"citationID":"75lwK51s","properties":{"formattedCitation":"Ibid., 101.","plainCitation":"Ibid., 101.","noteIndex":11},"citationItems":[{"id":160,"uris":["http://zotero.org/users/379369/items/DUXX6XTN"],"uri":["http://zotero.org/users/379369/items/DUXX6XTN"],"itemData":{"id":160,"type":"book","title":"Hermeneutics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101"}],"schema":"https://github.com/citation-style-language/schema/raw/master/csl-citation.json"} </w:instrText>
      </w:r>
      <w:r>
        <w:fldChar w:fldCharType="separate"/>
      </w:r>
      <w:r w:rsidRPr="00B118D2">
        <w:t>Ibid., 101.</w:t>
      </w:r>
      <w:r>
        <w:fldChar w:fldCharType="end"/>
      </w:r>
    </w:p>
  </w:footnote>
  <w:footnote w:id="12">
    <w:p w:rsidR="00D603D2" w:rsidRDefault="00D603D2" w:rsidP="00C34EBE">
      <w:pPr>
        <w:pStyle w:val="FootnoteText"/>
      </w:pPr>
      <w:r>
        <w:rPr>
          <w:rStyle w:val="FootnoteReference"/>
        </w:rPr>
        <w:footnoteRef/>
      </w:r>
      <w:r w:rsidRPr="00266E21">
        <w:t xml:space="preserve"> </w:t>
      </w:r>
      <w:r>
        <w:fldChar w:fldCharType="begin"/>
      </w:r>
      <w:r w:rsidR="00502BD6">
        <w:instrText xml:space="preserve"> ADDIN ZOTERO_ITEM CSL_CITATION {"citationID":"YH92XRTD","properties":{"formattedCitation":"George Lindbeck, \\uc0\\u8216{}The Problem of Doctrinal Development and Contemporary Protestant Theology\\uc0\\u8217{}, {\\i{}Concilium} 1, no. 3 (January 1967): 65.","plainCitation":"George Lindbeck, ‘The Problem of Doctrinal Development and Contemporary Protestant Theology’, Concilium 1, no. 3 (January 1967): 65.","noteIndex":12},"citationItems":[{"id":1351,"uris":["http://zotero.org/users/379369/items/UCUHU4D5"],"uri":["http://zotero.org/users/379369/items/UCUHU4D5"],"itemData":{"id":1351,"type":"article-journal","title":"The Problem of Doctrinal Development and Contemporary Protestant Theology","container-title":"Concilium","page":"64-72","volume":"1","issue":"3","source":"idiscover.lib.cam.ac.uk","abstract":"6 no. a year,","call-number":"13 CON, P69.b.26 [p/hole: A.172]","shortTitle":"Doctrinal Development and Contemporary Protestant Theology","language":"eng","author":[{"family":"Lindbeck","given":"George"}],"issued":{"date-parts":[["1967",1]]}},"locator":"65"}],"schema":"https://github.com/citation-style-language/schema/raw/master/csl-citation.json"} </w:instrText>
      </w:r>
      <w:r>
        <w:fldChar w:fldCharType="separate"/>
      </w:r>
      <w:r w:rsidR="00502BD6" w:rsidRPr="00502BD6">
        <w:rPr>
          <w:rFonts w:cs="Times New Roman"/>
          <w:szCs w:val="24"/>
        </w:rPr>
        <w:t xml:space="preserve">George Lindbeck, ‘The Problem of Doctrinal Development and Contemporary Protestant Theology’, </w:t>
      </w:r>
      <w:r w:rsidR="00502BD6" w:rsidRPr="00502BD6">
        <w:rPr>
          <w:rFonts w:cs="Times New Roman"/>
          <w:i/>
          <w:iCs/>
          <w:szCs w:val="24"/>
        </w:rPr>
        <w:t>Concilium</w:t>
      </w:r>
      <w:r w:rsidR="00502BD6" w:rsidRPr="00502BD6">
        <w:rPr>
          <w:rFonts w:cs="Times New Roman"/>
          <w:szCs w:val="24"/>
        </w:rPr>
        <w:t xml:space="preserve"> 1, no. 3 (January 1967): 65.</w:t>
      </w:r>
      <w:r>
        <w:fldChar w:fldCharType="end"/>
      </w:r>
      <w:r w:rsidRPr="00266E21">
        <w:t xml:space="preserve"> </w:t>
      </w:r>
      <w:r>
        <w:t xml:space="preserve">Lindbeck offers his own solution to this problem later in the article: “It is quite impossible to deduce the </w:t>
      </w:r>
      <w:r>
        <w:rPr>
          <w:i/>
        </w:rPr>
        <w:t>homoousion</w:t>
      </w:r>
      <w:r>
        <w:t xml:space="preserve"> from Scripture, yet, given the way in which the question was formulated, this provided the only possible concretely available answer which was consonant with Scripture” </w:t>
      </w:r>
      <w:r>
        <w:fldChar w:fldCharType="begin"/>
      </w:r>
      <w:r w:rsidR="00502BD6">
        <w:instrText xml:space="preserve"> ADDIN ZOTERO_ITEM CSL_CITATION {"citationID":"QV7hLQEp","properties":{"formattedCitation":"(ibid., 68).","plainCitation":"(ibid., 68).","noteIndex":12},"citationItems":[{"id":1351,"uris":["http://zotero.org/users/379369/items/UCUHU4D5"],"uri":["http://zotero.org/users/379369/items/UCUHU4D5"],"itemData":{"id":1351,"type":"article-journal","title":"The Problem of Doctrinal Development and Contemporary Protestant Theology","container-title":"Concilium","page":"64-72","volume":"1","issue":"3","source":"idiscover.lib.cam.ac.uk","abstract":"6 no. a year,","call-number":"13 CON, P69.b.26 [p/hole: A.172]","shortTitle":"Doctrinal Development and Contemporary Protestant Theology","language":"eng","author":[{"family":"Lindbeck","given":"George"}],"issued":{"date-parts":[["1967",1]]}},"locator":"68","prefix":"(","suffix":")"}],"schema":"https://github.com/citation-style-language/schema/raw/master/csl-citation.json"} </w:instrText>
      </w:r>
      <w:r>
        <w:fldChar w:fldCharType="separate"/>
      </w:r>
      <w:r w:rsidRPr="00B118D2">
        <w:t>(ibid., 68).</w:t>
      </w:r>
      <w:r>
        <w:fldChar w:fldCharType="end"/>
      </w:r>
      <w:r>
        <w:t xml:space="preserve"> </w:t>
      </w:r>
    </w:p>
  </w:footnote>
  <w:footnote w:id="13">
    <w:p w:rsidR="00D603D2" w:rsidRDefault="00D603D2">
      <w:pPr>
        <w:pStyle w:val="FootnoteText"/>
      </w:pPr>
      <w:r>
        <w:rPr>
          <w:rStyle w:val="FootnoteReference"/>
        </w:rPr>
        <w:footnoteRef/>
      </w:r>
      <w:r>
        <w:t xml:space="preserve"> </w:t>
      </w:r>
      <w:r>
        <w:fldChar w:fldCharType="begin"/>
      </w:r>
      <w:r w:rsidR="00502BD6">
        <w:instrText xml:space="preserve"> ADDIN ZOTERO_ITEM CSL_CITATION {"citationID":"eFpVuz38","properties":{"formattedCitation":"Hall, \\uc0\\u8216{}The Development of Doctrine\\uc0\\u8217{}, 276.","plainCitation":"Hall, ‘The Development of Doctrine’, 276.","noteIndex":13},"citationItems":[{"id":1354,"uris":["http://zotero.org/users/379369/items/ME727GED"],"uri":["http://zotero.org/users/379369/items/ME727GED"],"itemData":{"id":1354,"type":"article-journal","title":"The development of doctrine: a Lutheran examination","container-title":"Pro Ecclesia","page":"256-77","volume":"16","issue":"3","source":"EBSCOhost","ISSN":"1063-8512","shortTitle":"The development of doctrine","journalAbbreviation":"Pro Ecclesia","author":[{"family":"Hall","given":"H Ashley"}],"issued":{"date-parts":[["2007"]],"season":"Summer"}},"locator":"276"}],"schema":"https://github.com/citation-style-language/schema/raw/master/csl-citation.json"} </w:instrText>
      </w:r>
      <w:r>
        <w:fldChar w:fldCharType="separate"/>
      </w:r>
      <w:r w:rsidRPr="00B118D2">
        <w:rPr>
          <w:rFonts w:cs="Times New Roman"/>
          <w:szCs w:val="24"/>
        </w:rPr>
        <w:t>Hall, ‘The Development of Doctrine’, 276.</w:t>
      </w:r>
      <w:r>
        <w:fldChar w:fldCharType="end"/>
      </w:r>
    </w:p>
  </w:footnote>
  <w:footnote w:id="14">
    <w:p w:rsidR="00D603D2" w:rsidRPr="007848E9" w:rsidRDefault="00D603D2" w:rsidP="00C34EBE">
      <w:pPr>
        <w:pStyle w:val="FootnoteText"/>
      </w:pPr>
      <w:r>
        <w:rPr>
          <w:rStyle w:val="FootnoteReference"/>
        </w:rPr>
        <w:footnoteRef/>
      </w:r>
      <w:r w:rsidRPr="007848E9">
        <w:t xml:space="preserve"> </w:t>
      </w:r>
      <w:r>
        <w:fldChar w:fldCharType="begin"/>
      </w:r>
      <w:r w:rsidR="00502BD6">
        <w:instrText xml:space="preserve"> ADDIN ZOTERO_ITEM CSL_CITATION {"citationID":"4s1gKsRK","properties":{"formattedCitation":"Craig Blaising, \\uc0\\u8216{}Creedal Formation as Hermeneutical Development: A Re-Examination of Nicaea\\uc0\\u8217{}, {\\i{}Pro Ecclesia} 19, no. 4 (Fall 2010).","plainCitation":"Craig Blaising, ‘Creedal Formation as Hermeneutical Development: A Re-Examination of Nicaea’, Pro Ecclesia 19, no. 4 (Fall 2010).","noteIndex":14},"citationItems":[{"id":1400,"uris":["http://zotero.org/users/379369/items/WEU25LHK"],"uri":["http://zotero.org/users/379369/items/WEU25LHK"],"itemData":{"id":1400,"type":"article-journal","title":"Creedal Formation as Hermeneutical Development: A re-examination of Nicaea","container-title":"Pro Ecclesia","volume":"19","issue":"4","source":"EBSCOhost","ISSN":"1063-8512","journalAbbreviation":"Pro Ecclesia","author":[{"family":"Blaising","given":"Craig"}],"issued":{"date-parts":[["2010"]],"season":"Fall"}}}],"schema":"https://github.com/citation-style-language/schema/raw/master/csl-citation.json"} </w:instrText>
      </w:r>
      <w:r>
        <w:fldChar w:fldCharType="separate"/>
      </w:r>
      <w:r w:rsidR="00502BD6" w:rsidRPr="00502BD6">
        <w:rPr>
          <w:rFonts w:cs="Times New Roman"/>
          <w:szCs w:val="24"/>
        </w:rPr>
        <w:t xml:space="preserve">Craig Blaising, ‘Creedal Formation as Hermeneutical Development: A Re-Examination of Nicaea’, </w:t>
      </w:r>
      <w:r w:rsidR="00502BD6" w:rsidRPr="00502BD6">
        <w:rPr>
          <w:rFonts w:cs="Times New Roman"/>
          <w:i/>
          <w:iCs/>
          <w:szCs w:val="24"/>
        </w:rPr>
        <w:t>Pro Ecclesia</w:t>
      </w:r>
      <w:r w:rsidR="00502BD6" w:rsidRPr="00502BD6">
        <w:rPr>
          <w:rFonts w:cs="Times New Roman"/>
          <w:szCs w:val="24"/>
        </w:rPr>
        <w:t xml:space="preserve"> 19, no. 4 (Fall 2010).</w:t>
      </w:r>
      <w:r>
        <w:fldChar w:fldCharType="end"/>
      </w:r>
    </w:p>
  </w:footnote>
  <w:footnote w:id="15">
    <w:p w:rsidR="00D603D2" w:rsidRDefault="00D603D2" w:rsidP="00634CB5">
      <w:pPr>
        <w:pStyle w:val="FootnoteText"/>
      </w:pPr>
      <w:r>
        <w:rPr>
          <w:rStyle w:val="FootnoteReference"/>
        </w:rPr>
        <w:footnoteRef/>
      </w:r>
      <w:r>
        <w:t xml:space="preserve"> A number of free Evangelical denominations, while not formally taking such a position, can foster a culture which tends in this direction. Especially where </w:t>
      </w:r>
      <w:r w:rsidR="008A1464">
        <w:t>they engender a feud</w:t>
      </w:r>
      <w:r>
        <w:t xml:space="preserve"> between the disciplines of “biblical studies” and “systematic theology,” proponents of the former may, in a manner parallel to the hard sciences, consider only the “latest exegesis” relevant to biblical interpretation. The history of interpretation then becomes little more than the history of errors from which we have now freed ourselves.</w:t>
      </w:r>
    </w:p>
  </w:footnote>
  <w:footnote w:id="16">
    <w:p w:rsidR="00D603D2" w:rsidRPr="00194DFD" w:rsidRDefault="00D603D2">
      <w:pPr>
        <w:pStyle w:val="FootnoteText"/>
      </w:pPr>
      <w:r>
        <w:rPr>
          <w:rStyle w:val="FootnoteReference"/>
        </w:rPr>
        <w:footnoteRef/>
      </w:r>
      <w:r w:rsidRPr="00194DFD">
        <w:t xml:space="preserve"> </w:t>
      </w:r>
      <w:r>
        <w:fldChar w:fldCharType="begin"/>
      </w:r>
      <w:r w:rsidR="00103606">
        <w:instrText xml:space="preserve"> ADDIN ZOTERO_ITEM CSL_CITATION {"citationID":"6xlOSY7f","properties":{"formattedCitation":"Ric\\uc0\\u339{}ur, {\\i{}Hermeneutics and the Human Sciences}, 140.","plainCitation":"Ricœur, Hermeneutics and the Human Sciences, 140.","noteIndex":16},"citationItems":[{"id":160,"uris":["http://zotero.org/users/379369/items/DUXX6XTN"],"uri":["http://zotero.org/users/379369/items/DUXX6XTN"],"itemData":{"id":160,"type":"book","title":"Hermeneutics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140"}],"schema":"https://github.com/citation-style-language/schema/raw/master/csl-citation.json"} </w:instrText>
      </w:r>
      <w:r>
        <w:fldChar w:fldCharType="separate"/>
      </w:r>
      <w:r w:rsidR="00103606" w:rsidRPr="00103606">
        <w:rPr>
          <w:rFonts w:cs="Times New Roman"/>
          <w:szCs w:val="24"/>
        </w:rPr>
        <w:t xml:space="preserve">Ricœur, </w:t>
      </w:r>
      <w:r w:rsidR="00103606" w:rsidRPr="00103606">
        <w:rPr>
          <w:rFonts w:cs="Times New Roman"/>
          <w:i/>
          <w:iCs/>
          <w:szCs w:val="24"/>
        </w:rPr>
        <w:t>Hermeneutics and the Human Sciences</w:t>
      </w:r>
      <w:r w:rsidR="00103606" w:rsidRPr="00103606">
        <w:rPr>
          <w:rFonts w:cs="Times New Roman"/>
          <w:szCs w:val="24"/>
        </w:rPr>
        <w:t>, 140.</w:t>
      </w:r>
      <w:r>
        <w:fldChar w:fldCharType="end"/>
      </w:r>
    </w:p>
  </w:footnote>
  <w:footnote w:id="17">
    <w:p w:rsidR="00D603D2" w:rsidRPr="00194DFD" w:rsidRDefault="00D603D2" w:rsidP="004F50DE">
      <w:pPr>
        <w:pStyle w:val="FootnoteText"/>
      </w:pPr>
      <w:r w:rsidRPr="001514FD">
        <w:rPr>
          <w:rStyle w:val="FootnoteReference"/>
        </w:rPr>
        <w:footnoteRef/>
      </w:r>
      <w:r w:rsidRPr="00194DFD">
        <w:t xml:space="preserve"> </w:t>
      </w:r>
      <w:r>
        <w:fldChar w:fldCharType="begin"/>
      </w:r>
      <w:r w:rsidR="00EE321D">
        <w:instrText xml:space="preserve"> ADDIN ZOTERO_ITEM CSL_CITATION {"citationID":"jIv5L7cu","properties":{"formattedCitation":"Paul Ric\\uc0\\u339{}ur, {\\i{}The Conflict of Interpretations} (Evanston: Northwestern University Press, 1974), 39.","plainCitation":"Paul Ricœur, The Conflict of Interpretations (Evanston: Northwestern University Press, 1974), 39.","noteIndex":17},"citationItems":[{"id":371,"uris":["http://zotero.org/users/379369/items/TPEHH4VF"],"uri":["http://zotero.org/users/379369/items/TPEHH4VF"],"itemData":{"id":371,"type":"book","title":"The conflict of interpretations","publisher":"Northwestern University Press","publisher-place":"Evanston","number-of-pages":"xxv, 512 p.","source":"Library Catalog (Aquabrowser)","event-place":"Evanston","ISBN":"978-0-8101-0442-6","call-number":"121, BD241 .R4813","author":[{"family":"Ricœur","given":"Paul"}],"issued":{"date-parts":[["1974"]]}},"locator":"39"}],"schema":"https://github.com/citation-style-language/schema/raw/master/csl-citation.json"} </w:instrText>
      </w:r>
      <w:r>
        <w:fldChar w:fldCharType="separate"/>
      </w:r>
      <w:r w:rsidRPr="00B118D2">
        <w:rPr>
          <w:rFonts w:cs="Times New Roman"/>
          <w:szCs w:val="24"/>
        </w:rPr>
        <w:t xml:space="preserve">Paul Ricœur, </w:t>
      </w:r>
      <w:r w:rsidRPr="00B118D2">
        <w:rPr>
          <w:rFonts w:cs="Times New Roman"/>
          <w:i/>
          <w:iCs/>
          <w:szCs w:val="24"/>
        </w:rPr>
        <w:t>The Conflict of Interpretations</w:t>
      </w:r>
      <w:r w:rsidRPr="00B118D2">
        <w:rPr>
          <w:rFonts w:cs="Times New Roman"/>
          <w:szCs w:val="24"/>
        </w:rPr>
        <w:t xml:space="preserve"> (Evanston: Northwestern University Press, 1974), 39.</w:t>
      </w:r>
      <w:r>
        <w:fldChar w:fldCharType="end"/>
      </w:r>
    </w:p>
  </w:footnote>
  <w:footnote w:id="18">
    <w:p w:rsidR="00D603D2" w:rsidRPr="00D77A14" w:rsidRDefault="00D603D2" w:rsidP="004F50DE">
      <w:pPr>
        <w:pStyle w:val="FootnoteText"/>
        <w:rPr>
          <w:lang w:val="fr-FR"/>
        </w:rPr>
      </w:pPr>
      <w:r w:rsidRPr="001514FD">
        <w:rPr>
          <w:rStyle w:val="FootnoteReference"/>
        </w:rPr>
        <w:footnoteRef/>
      </w:r>
      <w:r w:rsidRPr="00F8083D">
        <w:rPr>
          <w:lang w:val="fr-FR"/>
        </w:rPr>
        <w:t xml:space="preserve"> </w:t>
      </w:r>
      <w:r>
        <w:fldChar w:fldCharType="begin"/>
      </w:r>
      <w:r w:rsidR="00EE321D">
        <w:rPr>
          <w:lang w:val="fr-FR"/>
        </w:rPr>
        <w:instrText xml:space="preserve"> ADDIN ZOTERO_ITEM CSL_CITATION {"citationID":"0KcOxFqH","properties":{"formattedCitation":"Ric\\uc0\\u339{}ur, {\\i{}Interpretation Theory}, 21.","plainCitation":"Ricœur, Interpretation Theory, 21.","noteIndex":18},"citationItems":[{"id":140,"uris":["http://zotero.org/users/379369/items/CAWGFHQ4"],"uri":["http://zotero.org/users/379369/items/CAWGFHQ4"],"itemData":{"id":140,"type":"book","title":"Interpretation theory: discourse and the surplus of meaning","publisher":"Texas Christian University Press","publisher-place":"Fort Worth","number-of-pages":"xii,107p","source":"Library Catalog (Aquabrowser)","event-place":"Fort Worth","ISBN":"978-0-912646-59-6","shortTitle":"Interpretation theory","author":[{"family":"Ricœur","given":"Paul"}],"issued":{"date-parts":[["1976"]]}},"locator":"21"}],"schema":"https://github.com/citation-style-language/schema/raw/master/csl-citation.json"} </w:instrText>
      </w:r>
      <w:r>
        <w:fldChar w:fldCharType="separate"/>
      </w:r>
      <w:r w:rsidRPr="00BE3378">
        <w:rPr>
          <w:rFonts w:cs="Times New Roman"/>
          <w:szCs w:val="24"/>
          <w:lang w:val="fr-FR"/>
        </w:rPr>
        <w:t xml:space="preserve">Ricœur, </w:t>
      </w:r>
      <w:r w:rsidRPr="00BE3378">
        <w:rPr>
          <w:rFonts w:cs="Times New Roman"/>
          <w:i/>
          <w:iCs/>
          <w:szCs w:val="24"/>
          <w:lang w:val="fr-FR"/>
        </w:rPr>
        <w:t>Interpretation Theory</w:t>
      </w:r>
      <w:r w:rsidRPr="00BE3378">
        <w:rPr>
          <w:rFonts w:cs="Times New Roman"/>
          <w:szCs w:val="24"/>
          <w:lang w:val="fr-FR"/>
        </w:rPr>
        <w:t>, 21.</w:t>
      </w:r>
      <w:r>
        <w:fldChar w:fldCharType="end"/>
      </w:r>
      <w:r w:rsidRPr="00F8083D">
        <w:rPr>
          <w:lang w:val="fr-FR"/>
        </w:rPr>
        <w:t xml:space="preserve"> </w:t>
      </w:r>
      <w:proofErr w:type="spellStart"/>
      <w:r w:rsidRPr="00D77A14">
        <w:rPr>
          <w:lang w:val="fr-FR"/>
        </w:rPr>
        <w:t>Italics</w:t>
      </w:r>
      <w:proofErr w:type="spellEnd"/>
      <w:r w:rsidRPr="00D77A14">
        <w:rPr>
          <w:lang w:val="fr-FR"/>
        </w:rPr>
        <w:t xml:space="preserve"> mine. </w:t>
      </w:r>
    </w:p>
  </w:footnote>
  <w:footnote w:id="19">
    <w:p w:rsidR="00D603D2" w:rsidRPr="00103606" w:rsidRDefault="00D603D2" w:rsidP="008B54C0">
      <w:pPr>
        <w:pStyle w:val="FootnoteText"/>
      </w:pPr>
      <w:r w:rsidRPr="001514FD">
        <w:rPr>
          <w:rStyle w:val="FootnoteReference"/>
        </w:rPr>
        <w:footnoteRef/>
      </w:r>
      <w:r w:rsidRPr="00103606">
        <w:t xml:space="preserve"> </w:t>
      </w:r>
      <w:r>
        <w:fldChar w:fldCharType="begin"/>
      </w:r>
      <w:r w:rsidR="00103606" w:rsidRPr="00103606">
        <w:instrText xml:space="preserve"> ADDIN ZOTERO_ITEM CSL_CITATION {"citationID":"Qbf1zq6I","properties":{"formattedCitation":"Ric\\uc0\\u339{}ur, {\\i{}Hermeneutics and the Human Sciences}, 158.","plainCitation":"Ricœur, Hermeneutics and the Human Sciences, 158.","noteIndex":19},"citationItems":[{"id":160,"uris":["http://zotero.org/users/379369/items/DUXX6XTN"],"uri":["http://zotero.org/users/379369/items/DUXX6XTN"],"itemData":{"id":160,"type":"book","title":"Hermeneutics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158"}],"schema":"https://github.com/citation-style-language/schema/raw/master/csl-citation.json"} </w:instrText>
      </w:r>
      <w:r>
        <w:fldChar w:fldCharType="separate"/>
      </w:r>
      <w:r w:rsidR="00103606" w:rsidRPr="00103606">
        <w:rPr>
          <w:rFonts w:cs="Times New Roman"/>
          <w:szCs w:val="24"/>
        </w:rPr>
        <w:t xml:space="preserve">Ricœur, </w:t>
      </w:r>
      <w:r w:rsidR="00103606" w:rsidRPr="00103606">
        <w:rPr>
          <w:rFonts w:cs="Times New Roman"/>
          <w:i/>
          <w:iCs/>
          <w:szCs w:val="24"/>
        </w:rPr>
        <w:t>Hermeneutics and the Human Sciences</w:t>
      </w:r>
      <w:r w:rsidR="00103606" w:rsidRPr="00103606">
        <w:rPr>
          <w:rFonts w:cs="Times New Roman"/>
          <w:szCs w:val="24"/>
        </w:rPr>
        <w:t>, 158.</w:t>
      </w:r>
      <w:r>
        <w:fldChar w:fldCharType="end"/>
      </w:r>
    </w:p>
  </w:footnote>
  <w:footnote w:id="20">
    <w:p w:rsidR="00D603D2" w:rsidRPr="00722314" w:rsidRDefault="00D603D2" w:rsidP="008B54C0">
      <w:pPr>
        <w:pStyle w:val="FootnoteText"/>
      </w:pPr>
      <w:r w:rsidRPr="001514FD">
        <w:rPr>
          <w:rStyle w:val="FootnoteReference"/>
        </w:rPr>
        <w:footnoteRef/>
      </w:r>
      <w:r w:rsidRPr="00722314">
        <w:t xml:space="preserve"> </w:t>
      </w:r>
      <w:r>
        <w:fldChar w:fldCharType="begin"/>
      </w:r>
      <w:r w:rsidR="00EE321D" w:rsidRPr="00722314">
        <w:instrText xml:space="preserve"> ADDIN ZOTERO_ITEM CSL_CITATION {"citationID":"jBOS3d4w","properties":{"formattedCitation":"Ric\\uc0\\u339{}ur, {\\i{}Interpretation Theory}, 7.","plainCitation":"Ricœur, Interpretation Theory, 7.","noteIndex":20},"citationItems":[{"id":140,"uris":["http://zotero.org/users/379369/items/CAWGFHQ4"],"uri":["http://zotero.org/users/379369/items/CAWGFHQ4"],"itemData":{"id":140,"type":"book","title":"Interpretation theory: discourse and the surplus of meaning","publisher":"Texas Christian University Press","publisher-place":"Fort Worth","number-of-pages":"xii,107p","source":"Library Catalog (Aquabrowser)","event-place":"Fort Worth","ISBN":"978-0-912646-59-6","shortTitle":"Interpretation theory","author":[{"family":"Ricœur","given":"Paul"}],"issued":{"date-parts":[["1976"]]}},"locator":"7"}],"schema":"https://github.com/citation-style-language/schema/raw/master/csl-citation.json"} </w:instrText>
      </w:r>
      <w:r>
        <w:fldChar w:fldCharType="separate"/>
      </w:r>
      <w:r w:rsidRPr="00722314">
        <w:rPr>
          <w:rFonts w:cs="Times New Roman"/>
          <w:szCs w:val="24"/>
        </w:rPr>
        <w:t xml:space="preserve">Ricœur, </w:t>
      </w:r>
      <w:r w:rsidRPr="00722314">
        <w:rPr>
          <w:rFonts w:cs="Times New Roman"/>
          <w:i/>
          <w:iCs/>
          <w:szCs w:val="24"/>
        </w:rPr>
        <w:t>Interpretation Theory</w:t>
      </w:r>
      <w:r w:rsidRPr="00722314">
        <w:rPr>
          <w:rFonts w:cs="Times New Roman"/>
          <w:szCs w:val="24"/>
        </w:rPr>
        <w:t>, 7.</w:t>
      </w:r>
      <w:r>
        <w:fldChar w:fldCharType="end"/>
      </w:r>
    </w:p>
  </w:footnote>
  <w:footnote w:id="21">
    <w:p w:rsidR="00D603D2" w:rsidRPr="0060274A" w:rsidRDefault="00D603D2" w:rsidP="00D32397">
      <w:pPr>
        <w:pStyle w:val="FootnoteText"/>
      </w:pPr>
      <w:r>
        <w:rPr>
          <w:rStyle w:val="FootnoteReference"/>
        </w:rPr>
        <w:footnoteRef/>
      </w:r>
      <w:r w:rsidRPr="0060274A">
        <w:t xml:space="preserve"> </w:t>
      </w:r>
      <w:r>
        <w:fldChar w:fldCharType="begin"/>
      </w:r>
      <w:r w:rsidR="0060274A" w:rsidRPr="0060274A">
        <w:instrText xml:space="preserve"> ADDIN ZOTERO_ITEM CSL_CITATION {"citationID":"7GC4JESd","properties":{"formattedCitation":"William Reiser, \\uc0\\u8216{}An Essay on the Development of Dogma in a Heideggerian Context: A Non-Theological Explanation of Theological Heresy\\uc0\\u8217{}, {\\i{}The Thomist} 39, no. 3 (Summer 1975): 473.","plainCitation":"William Reiser, ‘An Essay on the Development of Dogma in a Heideggerian Context: A Non-Theological Explanation of Theological Heresy’, The Thomist 39, no. 3 (Summer 1975): 473.","noteIndex":21},"citationItems":[{"id":1393,"uris":["http://zotero.org/users/379369/items/ZEVK2Q9P"],"uri":["http://zotero.org/users/379369/items/ZEVK2Q9P"],"itemData":{"id":1393,"type":"article-journal","title":"An Essay on the Development of Dogma in a Heideggerian Context: A Non-Theological Explanation of Theological Heresy","container-title":"The Thomist","page":"471-495","volume":"39","issue":"3","source":"idiscover.lib.cam.ac.uk","ISSN":"0040-6325","shortTitle":"An Essay on the Development of Dogma in a Heideggerian Context","language":"eng","author":[{"family":"Reiser","given":"William"}],"issued":{"date-parts":[["1975"]],"season":"Summer"}},"locator":"473"}],"schema":"https://github.com/citation-style-language/schema/raw/master/csl-citation.json"} </w:instrText>
      </w:r>
      <w:r>
        <w:fldChar w:fldCharType="separate"/>
      </w:r>
      <w:r w:rsidR="0060274A" w:rsidRPr="0060274A">
        <w:rPr>
          <w:rFonts w:cs="Times New Roman"/>
          <w:szCs w:val="24"/>
        </w:rPr>
        <w:t xml:space="preserve">William Reiser, ‘An Essay on the Development of Dogma in a Heideggerian Context: A Non-Theological Explanation of Theological Heresy’, </w:t>
      </w:r>
      <w:r w:rsidR="0060274A" w:rsidRPr="0060274A">
        <w:rPr>
          <w:rFonts w:cs="Times New Roman"/>
          <w:i/>
          <w:iCs/>
          <w:szCs w:val="24"/>
        </w:rPr>
        <w:t>The Thomist</w:t>
      </w:r>
      <w:r w:rsidR="0060274A" w:rsidRPr="0060274A">
        <w:rPr>
          <w:rFonts w:cs="Times New Roman"/>
          <w:szCs w:val="24"/>
        </w:rPr>
        <w:t xml:space="preserve"> 39, no. 3 (Summer 1975): 473.</w:t>
      </w:r>
      <w:r>
        <w:fldChar w:fldCharType="end"/>
      </w:r>
    </w:p>
  </w:footnote>
  <w:footnote w:id="22">
    <w:p w:rsidR="00D603D2" w:rsidRDefault="00D603D2" w:rsidP="00D32397">
      <w:pPr>
        <w:pStyle w:val="FootnoteText"/>
      </w:pPr>
      <w:r>
        <w:rPr>
          <w:rStyle w:val="FootnoteReference"/>
        </w:rPr>
        <w:footnoteRef/>
      </w:r>
      <w:r>
        <w:t xml:space="preserve"> </w:t>
      </w:r>
      <w:r>
        <w:fldChar w:fldCharType="begin"/>
      </w:r>
      <w:r>
        <w:instrText xml:space="preserve"> ADDIN ZOTERO_ITEM CSL_CITATION {"citationID":"avYFGk5I","properties":{"formattedCitation":"Nicholas Lash, \\uc0\\u8216{}Dogmas and Doctrinal Progress\\uc0\\u8217{}, in {\\i{}Doctrinal Development and Christian Unity}, ed. Nicholas Lash (London: Sheed and Ward, 1967), 13.","plainCitation":"Nicholas Lash, ‘Dogmas and Doctrinal Progress’, in Doctrinal Development and Christian Unity, ed. Nicholas Lash (London: Sheed and Ward, 1967), 13.","noteIndex":22},"citationItems":[{"id":1394,"uris":["http://zotero.org/users/379369/items/H4552KHS"],"uri":["http://zotero.org/users/379369/items/H4552KHS"],"itemData":{"id":1394,"type":"chapter","title":"Dogmas and Doctrinal Progress","container-title":"Doctrinal development and Christian unity","publisher":"Sheed and Ward","publisher-place":"London","source":"idiscover.lib.cam.ac.uk","event-place":"London","ISBN":"978-0-7220-0500-2","call-number":"244.2 LAS, 271 LAS, 65:1.d.95.17","language":"eng","editor":[{"family":"Lash","given":"Nicholas"}],"author":[{"family":"Lash","given":"Nicholas"}],"issued":{"date-parts":[["1967"]]}},"locator":"13"}],"schema":"https://github.com/citation-style-language/schema/raw/master/csl-citation.json"} </w:instrText>
      </w:r>
      <w:r>
        <w:fldChar w:fldCharType="separate"/>
      </w:r>
      <w:r w:rsidRPr="00B118D2">
        <w:rPr>
          <w:rFonts w:cs="Times New Roman"/>
          <w:szCs w:val="24"/>
        </w:rPr>
        <w:t xml:space="preserve">Nicholas Lash, ‘Dogmas and Doctrinal Progress’, in </w:t>
      </w:r>
      <w:r w:rsidRPr="00B118D2">
        <w:rPr>
          <w:rFonts w:cs="Times New Roman"/>
          <w:i/>
          <w:iCs/>
          <w:szCs w:val="24"/>
        </w:rPr>
        <w:t>Doctrinal Development and Christian Unity</w:t>
      </w:r>
      <w:r w:rsidRPr="00B118D2">
        <w:rPr>
          <w:rFonts w:cs="Times New Roman"/>
          <w:szCs w:val="24"/>
        </w:rPr>
        <w:t>, ed. Nicholas Lash (London: Sheed and Ward, 1967), 13.</w:t>
      </w:r>
      <w:r>
        <w:fldChar w:fldCharType="end"/>
      </w:r>
    </w:p>
  </w:footnote>
  <w:footnote w:id="23">
    <w:p w:rsidR="00D603D2" w:rsidRPr="00251326" w:rsidRDefault="00D603D2" w:rsidP="00D32397">
      <w:pPr>
        <w:pStyle w:val="FootnoteText"/>
      </w:pPr>
      <w:r>
        <w:rPr>
          <w:rStyle w:val="FootnoteReference"/>
        </w:rPr>
        <w:footnoteRef/>
      </w:r>
      <w:r w:rsidRPr="00251326">
        <w:t xml:space="preserve"> </w:t>
      </w:r>
      <w:r>
        <w:fldChar w:fldCharType="begin"/>
      </w:r>
      <w:r w:rsidRPr="00251326">
        <w:instrText xml:space="preserve"> ADDIN ZOTERO_ITEM CSL_CITATION {"citationID":"sRAGzqjE","properties":{"formattedCitation":"Ibid., 12.","plainCitation":"Ibid., 12.","noteIndex":23},"citationItems":[{"id":1394,"uris":["http://zotero.org/users/379369/items/H4552KHS"],"uri":["http://zotero.org/users/379369/items/H4552KHS"],"itemData":{"id":1394,"type":"chapter","title":"Dogmas and Doctrinal Progress","container-title":"Doctrinal development and Christian unity","publisher":"Sheed and Ward","publisher-place":"London","source":"idiscover.lib.cam.ac.uk","event-place":"London","ISBN":"978-0-7220-0500-2","call-number":"244.2 LAS, 271 LAS, 65:1.d.95.17","language":"eng","editor":[{"family":"Lash","given":"Nicholas"}],"author":[{"family":"Lash","given":"Nicholas"}],"issued":{"date-parts":[["1967"]]}},"locator":"12"}],"schema":"https://github.com/citation-style-language/schema/raw/master/csl-citation.json"} </w:instrText>
      </w:r>
      <w:r>
        <w:fldChar w:fldCharType="separate"/>
      </w:r>
      <w:r w:rsidRPr="00251326">
        <w:t>Ibid., 12.</w:t>
      </w:r>
      <w:r>
        <w:fldChar w:fldCharType="end"/>
      </w:r>
    </w:p>
  </w:footnote>
  <w:footnote w:id="24">
    <w:p w:rsidR="00D603D2" w:rsidRPr="00722314" w:rsidRDefault="00D603D2" w:rsidP="003530CE">
      <w:pPr>
        <w:pStyle w:val="FootnoteText"/>
      </w:pPr>
      <w:r>
        <w:rPr>
          <w:rStyle w:val="FootnoteReference"/>
        </w:rPr>
        <w:footnoteRef/>
      </w:r>
      <w:r w:rsidRPr="00722314">
        <w:t xml:space="preserve"> My translation: </w:t>
      </w:r>
      <w:r>
        <w:fldChar w:fldCharType="begin"/>
      </w:r>
      <w:r w:rsidR="003031E1" w:rsidRPr="00722314">
        <w:instrText xml:space="preserve"> ADDIN ZOTERO_ITEM CSL_CITATION {"citationID":"uzbpyRwJ","properties":{"formattedCitation":"Jean Greisch, \\uc0\\u8216{}Lire, interpr\\uc0\\u233{}ter, comprendre: Vers une herm\\uc0\\u233{}neutique philosophique de la religion\\uc0\\u8217{}, in {\\i{}Paul Ric\\uc0\\u339{}ur: Poetics and Religion}, ed. T. L. Hettema, Joseph Verheyden, and Pieter Vandecasteele (Leuven: Uitgeverij Peeters, 2011), 33.","plainCitation":"Jean Greisch, ‘Lire, interpréter, comprendre: Vers une herméneutique philosophique de la religion’, in Paul Ricœur: Poetics and Religion, ed. T. L. Hettema, Joseph Verheyden, and Pieter Vandecasteele (Leuven: Uitgeverij Peeters, 2011), 33.","noteIndex":24},"citationItems":[{"id":1374,"uris":["http://zotero.org/users/379369/items/UD97UCWK"],"uri":["http://zotero.org/users/379369/items/UD97UCWK"],"itemData":{"id":1374,"type":"chapter","title":"Lire, interpréter, comprendre: Vers une herméneutique philosophique de la religion","container-title":"Paul Ricœur: Poetics and Religion","publisher":"Uitgeverij Peeters","publisher-place":"Leuven","source":"Google Books","event-place":"Leuven","note":"Google-Books-ID: gnSjswEACAAJ","language":"fr","editor":[{"family":"Hettema","given":"T. L."},{"family":"Verheyden","given":"Joseph"},{"family":"Vandecasteele","given":"Pieter"}],"author":[{"family":"Greisch","given":"Jean"}],"issued":{"date-parts":[["2011"]]}},"locator":"33"}],"schema":"https://github.com/citation-style-language/schema/raw/master/csl-citation.json"} </w:instrText>
      </w:r>
      <w:r>
        <w:fldChar w:fldCharType="separate"/>
      </w:r>
      <w:r w:rsidR="003031E1" w:rsidRPr="00722314">
        <w:rPr>
          <w:rFonts w:cs="Times New Roman"/>
          <w:szCs w:val="24"/>
        </w:rPr>
        <w:t xml:space="preserve">Jean Greisch, ‘Lire, interpréter, comprendre: Vers une herméneutique philosophique de la religion’, in </w:t>
      </w:r>
      <w:r w:rsidR="003031E1" w:rsidRPr="00722314">
        <w:rPr>
          <w:rFonts w:cs="Times New Roman"/>
          <w:i/>
          <w:iCs/>
          <w:szCs w:val="24"/>
        </w:rPr>
        <w:t>Paul Ricœur: Poetics and Religion</w:t>
      </w:r>
      <w:r w:rsidR="003031E1" w:rsidRPr="00722314">
        <w:rPr>
          <w:rFonts w:cs="Times New Roman"/>
          <w:szCs w:val="24"/>
        </w:rPr>
        <w:t>, ed. T. L. Hettema, Joseph Verheyden, and Pieter Vandecasteele (Leuven: Uitgeverij Peeters, 2011), 33.</w:t>
      </w:r>
      <w:r>
        <w:fldChar w:fldCharType="end"/>
      </w:r>
    </w:p>
  </w:footnote>
  <w:footnote w:id="25">
    <w:p w:rsidR="00D603D2" w:rsidRDefault="00D603D2" w:rsidP="00563AF4">
      <w:pPr>
        <w:pStyle w:val="FootnoteText"/>
      </w:pPr>
      <w:r>
        <w:rPr>
          <w:rStyle w:val="FootnoteReference"/>
        </w:rPr>
        <w:footnoteRef/>
      </w:r>
      <w:r>
        <w:t xml:space="preserve"> </w:t>
      </w:r>
      <w:r>
        <w:fldChar w:fldCharType="begin"/>
      </w:r>
      <w:r w:rsidR="00502BD6">
        <w:instrText xml:space="preserve"> ADDIN ZOTERO_ITEM CSL_CITATION {"citationID":"dOAMwQGR","properties":{"formattedCitation":"Lindbeck, \\uc0\\u8216{}Doctrinal Development and Contemporary Protestant Theology\\uc0\\u8217{}, 66.","plainCitation":"Lindbeck, ‘Doctrinal Development and Contemporary Protestant Theology’, 66.","noteIndex":25},"citationItems":[{"id":1351,"uris":["http://zotero.org/users/379369/items/UCUHU4D5"],"uri":["http://zotero.org/users/379369/items/UCUHU4D5"],"itemData":{"id":1351,"type":"article-journal","title":"The Problem of Doctrinal Development and Contemporary Protestant Theology","container-title":"Concilium","page":"64-72","volume":"1","issue":"3","source":"idiscover.lib.cam.ac.uk","abstract":"6 no. a year,","call-number":"13 CON, P69.b.26 [p/hole: A.172]","shortTitle":"Doctrinal Development and Contemporary Protestant Theology","language":"eng","author":[{"family":"Lindbeck","given":"George"}],"issued":{"date-parts":[["1967",1]]}},"locator":"66"}],"schema":"https://github.com/citation-style-language/schema/raw/master/csl-citation.json"} </w:instrText>
      </w:r>
      <w:r>
        <w:fldChar w:fldCharType="separate"/>
      </w:r>
      <w:r w:rsidRPr="00B118D2">
        <w:rPr>
          <w:rFonts w:cs="Times New Roman"/>
          <w:szCs w:val="24"/>
        </w:rPr>
        <w:t>Lindbeck, ‘Doctrinal Development and Contemporary Protestant Theology’, 66.</w:t>
      </w:r>
      <w:r>
        <w:fldChar w:fldCharType="end"/>
      </w:r>
    </w:p>
  </w:footnote>
  <w:footnote w:id="26">
    <w:p w:rsidR="00D603D2" w:rsidRDefault="00D603D2">
      <w:pPr>
        <w:pStyle w:val="FootnoteText"/>
      </w:pPr>
      <w:r>
        <w:rPr>
          <w:rStyle w:val="FootnoteReference"/>
        </w:rPr>
        <w:footnoteRef/>
      </w:r>
      <w:r w:rsidRPr="00320E54">
        <w:rPr>
          <w:lang w:val="it-IT"/>
        </w:rPr>
        <w:t xml:space="preserve"> “</w:t>
      </w:r>
      <w:proofErr w:type="spellStart"/>
      <w:r w:rsidRPr="00320E54">
        <w:rPr>
          <w:i/>
          <w:lang w:val="it-IT" w:eastAsia="en-GB"/>
        </w:rPr>
        <w:t>Deum</w:t>
      </w:r>
      <w:proofErr w:type="spellEnd"/>
      <w:r w:rsidRPr="00320E54">
        <w:rPr>
          <w:i/>
          <w:lang w:val="it-IT" w:eastAsia="en-GB"/>
        </w:rPr>
        <w:t xml:space="preserve"> … naturali </w:t>
      </w:r>
      <w:proofErr w:type="spellStart"/>
      <w:r w:rsidRPr="00320E54">
        <w:rPr>
          <w:i/>
          <w:lang w:val="it-IT" w:eastAsia="en-GB"/>
        </w:rPr>
        <w:t>humanæ</w:t>
      </w:r>
      <w:proofErr w:type="spellEnd"/>
      <w:r w:rsidRPr="00320E54">
        <w:rPr>
          <w:i/>
          <w:lang w:val="it-IT" w:eastAsia="en-GB"/>
        </w:rPr>
        <w:t xml:space="preserve"> </w:t>
      </w:r>
      <w:proofErr w:type="spellStart"/>
      <w:r w:rsidRPr="00320E54">
        <w:rPr>
          <w:i/>
          <w:lang w:val="it-IT" w:eastAsia="en-GB"/>
        </w:rPr>
        <w:t>rationis</w:t>
      </w:r>
      <w:proofErr w:type="spellEnd"/>
      <w:r w:rsidRPr="00320E54">
        <w:rPr>
          <w:i/>
          <w:lang w:val="it-IT" w:eastAsia="en-GB"/>
        </w:rPr>
        <w:t xml:space="preserve"> </w:t>
      </w:r>
      <w:proofErr w:type="spellStart"/>
      <w:r w:rsidRPr="00320E54">
        <w:rPr>
          <w:i/>
          <w:lang w:val="it-IT" w:eastAsia="en-GB"/>
        </w:rPr>
        <w:t>lumine</w:t>
      </w:r>
      <w:proofErr w:type="spellEnd"/>
      <w:r w:rsidRPr="00320E54">
        <w:rPr>
          <w:i/>
          <w:lang w:val="it-IT" w:eastAsia="en-GB"/>
        </w:rPr>
        <w:t xml:space="preserve"> … certo </w:t>
      </w:r>
      <w:proofErr w:type="spellStart"/>
      <w:r w:rsidRPr="00320E54">
        <w:rPr>
          <w:i/>
          <w:lang w:val="it-IT" w:eastAsia="en-GB"/>
        </w:rPr>
        <w:t>cognosci</w:t>
      </w:r>
      <w:proofErr w:type="spellEnd"/>
      <w:r w:rsidRPr="00320E54">
        <w:rPr>
          <w:i/>
          <w:lang w:val="it-IT" w:eastAsia="en-GB"/>
        </w:rPr>
        <w:t xml:space="preserve"> posse” </w:t>
      </w:r>
      <w:r w:rsidRPr="00320E54">
        <w:rPr>
          <w:lang w:val="it-IT" w:eastAsia="en-GB"/>
        </w:rPr>
        <w:t xml:space="preserve">(Vatican I, </w:t>
      </w:r>
      <w:r w:rsidRPr="00320E54">
        <w:rPr>
          <w:i/>
          <w:lang w:val="it-IT" w:eastAsia="en-GB"/>
        </w:rPr>
        <w:t xml:space="preserve">Dei </w:t>
      </w:r>
      <w:proofErr w:type="spellStart"/>
      <w:r w:rsidRPr="00320E54">
        <w:rPr>
          <w:i/>
          <w:lang w:val="it-IT" w:eastAsia="en-GB"/>
        </w:rPr>
        <w:t>Filius</w:t>
      </w:r>
      <w:proofErr w:type="spellEnd"/>
      <w:r w:rsidRPr="00320E54">
        <w:rPr>
          <w:i/>
          <w:lang w:val="it-IT" w:eastAsia="en-GB"/>
        </w:rPr>
        <w:t xml:space="preserve">, </w:t>
      </w:r>
      <w:proofErr w:type="spellStart"/>
      <w:r w:rsidRPr="00320E54">
        <w:rPr>
          <w:lang w:val="it-IT" w:eastAsia="en-GB"/>
        </w:rPr>
        <w:t>chapter</w:t>
      </w:r>
      <w:proofErr w:type="spellEnd"/>
      <w:r w:rsidRPr="00320E54">
        <w:rPr>
          <w:lang w:val="it-IT" w:eastAsia="en-GB"/>
        </w:rPr>
        <w:t xml:space="preserve"> 2). </w:t>
      </w:r>
      <w:r w:rsidRPr="00320E54">
        <w:rPr>
          <w:lang w:val="it-IT"/>
        </w:rPr>
        <w:t xml:space="preserve"> </w:t>
      </w:r>
      <w:r>
        <w:t xml:space="preserve">Translation by </w:t>
      </w:r>
      <w:r>
        <w:fldChar w:fldCharType="begin"/>
      </w:r>
      <w:r w:rsidR="0060274A">
        <w:instrText xml:space="preserve"> ADDIN ZOTERO_ITEM CSL_CITATION {"citationID":"LnVgYX7g","properties":{"formattedCitation":"Henry Edward Manning, {\\i{}Petri Privilegium: Three Pastoral Letters to the Clergy of the Diocese} (London: Longmans, Green, 1871), 195.","plainCitation":"Henry Edward Manning, Petri Privilegium: Three Pastoral Letters to the Clergy of the Diocese (London: Longmans, Green, 1871), 195.","noteIndex":26},"citationItems":[{"id":1696,"uris":["http://zotero.org/users/379369/items/I3A3SXVN"],"uri":["http://zotero.org/users/379369/items/I3A3SXVN"],"itemData":{"id":1696,"type":"book","title":"Petri privilegium: three pastoral letters to the clergy of the diocese","publisher":"Longmans, Green","publisher-place":"London","number-of-pages":"602","source":"Internet Archive","event-place":"London","abstract":"Includes bibliographical references and index","call-number":"a5918082","shortTitle":"Petri privilegium","language":"eng","author":[{"family":"Manning","given":"Henry Edward"}],"issued":{"date-parts":[["1871"]]},"accessed":{"date-parts":[["2018",11,20]]}},"locator":"195"}],"schema":"https://github.com/citation-style-language/schema/raw/master/csl-citation.json"} </w:instrText>
      </w:r>
      <w:r>
        <w:fldChar w:fldCharType="separate"/>
      </w:r>
      <w:r w:rsidR="0060274A" w:rsidRPr="0060274A">
        <w:rPr>
          <w:rFonts w:cs="Times New Roman"/>
          <w:szCs w:val="24"/>
        </w:rPr>
        <w:t xml:space="preserve">Henry Edward Manning, </w:t>
      </w:r>
      <w:r w:rsidR="0060274A" w:rsidRPr="0060274A">
        <w:rPr>
          <w:rFonts w:cs="Times New Roman"/>
          <w:i/>
          <w:iCs/>
          <w:szCs w:val="24"/>
        </w:rPr>
        <w:t>Petri Privilegium: Three Pastoral Letters to the Clergy of the Diocese</w:t>
      </w:r>
      <w:r w:rsidR="0060274A" w:rsidRPr="0060274A">
        <w:rPr>
          <w:rFonts w:cs="Times New Roman"/>
          <w:szCs w:val="24"/>
        </w:rPr>
        <w:t xml:space="preserve"> (London: Longmans, Green, 1871), 195.</w:t>
      </w:r>
      <w:r>
        <w:fldChar w:fldCharType="end"/>
      </w:r>
    </w:p>
  </w:footnote>
  <w:footnote w:id="27">
    <w:p w:rsidR="00D603D2" w:rsidRDefault="00D603D2">
      <w:pPr>
        <w:pStyle w:val="FootnoteText"/>
      </w:pPr>
      <w:r>
        <w:rPr>
          <w:rStyle w:val="FootnoteReference"/>
        </w:rPr>
        <w:footnoteRef/>
      </w:r>
      <w:r>
        <w:t xml:space="preserve"> </w:t>
      </w:r>
      <w:r>
        <w:fldChar w:fldCharType="begin"/>
      </w:r>
      <w:r w:rsidR="00EE321D">
        <w:instrText xml:space="preserve"> ADDIN ZOTERO_ITEM CSL_CITATION {"citationID":"AmrrTXCf","properties":{"formattedCitation":"Tad Szulc, \\uc0\\u8216{}Pope Said to Cancel Antimodernist Oath\\uc0\\u8217{}, {\\i{}New York Times}, 18 July 1967.","plainCitation":"Tad Szulc, ‘Pope Said to Cancel Antimodernist Oath’, New York Times, 18 July 1967.","noteIndex":27},"citationItems":[{"id":1697,"uris":["http://zotero.org/users/379369/items/3VAPRPEW"],"uri":["http://zotero.org/users/379369/items/3VAPRPEW"],"itemData":{"id":1697,"type":"article-newspaper","title":"Pope Said to Cancel Antimodernist Oath","container-title":"New York Times","publisher-place":"New York, N.Y., United States, New York, N.Y.","page":"1","source":"ProQuest","event-place":"New York, N.Y., United States, New York, N.Y.","abstract":"ROME, July 17--Pope Paul VI was reported today to have ordered the abrogation of the oath against modernism that Roman Catholic priests and ecclesiastical officials have been obliged to take for the last 57 years.","ISSN":"03624331","shortTitle":"Pope Said to Cancel Antimodernist Oath","author":[{"family":"Szulc","given":"Tad"}],"issued":{"date-parts":[["1967",7,18]]}}}],"schema":"https://github.com/citation-style-language/schema/raw/master/csl-citation.json"} </w:instrText>
      </w:r>
      <w:r>
        <w:fldChar w:fldCharType="separate"/>
      </w:r>
      <w:r w:rsidRPr="005B5D7F">
        <w:rPr>
          <w:rFonts w:cs="Times New Roman"/>
          <w:szCs w:val="24"/>
        </w:rPr>
        <w:t xml:space="preserve">Tad Szulc, ‘Pope Said to Cancel Antimodernist Oath’, </w:t>
      </w:r>
      <w:r w:rsidRPr="005B5D7F">
        <w:rPr>
          <w:rFonts w:cs="Times New Roman"/>
          <w:i/>
          <w:iCs/>
          <w:szCs w:val="24"/>
        </w:rPr>
        <w:t>New York Times</w:t>
      </w:r>
      <w:r w:rsidRPr="005B5D7F">
        <w:rPr>
          <w:rFonts w:cs="Times New Roman"/>
          <w:szCs w:val="24"/>
        </w:rPr>
        <w:t>, 18 July 1967.</w:t>
      </w:r>
      <w:r>
        <w:fldChar w:fldCharType="end"/>
      </w:r>
    </w:p>
  </w:footnote>
  <w:footnote w:id="28">
    <w:p w:rsidR="00D603D2" w:rsidRDefault="00D603D2">
      <w:pPr>
        <w:pStyle w:val="FootnoteText"/>
      </w:pPr>
      <w:r>
        <w:rPr>
          <w:rStyle w:val="FootnoteReference"/>
        </w:rPr>
        <w:footnoteRef/>
      </w:r>
      <w:r>
        <w:t xml:space="preserve"> </w:t>
      </w:r>
      <w:r>
        <w:fldChar w:fldCharType="begin"/>
      </w:r>
      <w:r w:rsidR="003031E1">
        <w:instrText xml:space="preserve"> ADDIN ZOTERO_ITEM CSL_CITATION {"citationID":"OEJ4IpgY","properties":{"formattedCitation":"Hans-Georg Gadamer, {\\i{}Philosophical Hermeneutics}, trans. David E. Linge (Berkeley: University of California Press, 1977), 6.","plainCitation":"Hans-Georg Gadamer, Philosophical Hermeneutics, trans. David E. Linge (Berkeley: University of California Press, 1977), 6.","noteIndex":28},"citationItems":[{"id":1368,"uris":["http://zotero.org/users/379369/items/NITETIH4"],"uri":["http://zotero.org/users/379369/items/NITETIH4"],"itemData":{"id":1368,"type":"book","title":"Philosophical Hermeneutics","publisher":"University of California Press","publisher-place":"Berkeley","number-of-pages":"306","source":"Google Books","event-place":"Berkeley","abstract":"Published in German during the last 15 years, the 13 essays in this volume provide readers with valuable knowledge of the much discussed theme of hermeneutics today. Gadamer was an early student of Martin Heidegger and has been a lifelong friend and interpreter. These essays are an outgrowth of Gadamer's Truth and Method. They can be understood, however, independently of it. Gadamer's standpoint is a blend of Hegel's and Heidegger's, with his own independent development in part. The book contains a long and highly competent introduction by the editor, David E. Linge, who has translated most of the essays. - Choice, on back cover.","ISBN":"978-0-520-03475-4","note":"Google-Books-ID: 0Lzb4ZPKtMkC","language":"en","author":[{"family":"Gadamer","given":"Hans-Georg"}],"translator":[{"family":"Linge","given":"David E."}],"issued":{"date-parts":[["1977"]]}},"locator":"6"}],"schema":"https://github.com/citation-style-language/schema/raw/master/csl-citation.json"} </w:instrText>
      </w:r>
      <w:r>
        <w:fldChar w:fldCharType="separate"/>
      </w:r>
      <w:r w:rsidR="003031E1" w:rsidRPr="003031E1">
        <w:rPr>
          <w:rFonts w:cs="Times New Roman"/>
          <w:szCs w:val="24"/>
        </w:rPr>
        <w:t xml:space="preserve">Hans-Georg Gadamer, </w:t>
      </w:r>
      <w:r w:rsidR="003031E1" w:rsidRPr="003031E1">
        <w:rPr>
          <w:rFonts w:cs="Times New Roman"/>
          <w:i/>
          <w:iCs/>
          <w:szCs w:val="24"/>
        </w:rPr>
        <w:t>Philosophical Hermeneutics</w:t>
      </w:r>
      <w:r w:rsidR="003031E1" w:rsidRPr="003031E1">
        <w:rPr>
          <w:rFonts w:cs="Times New Roman"/>
          <w:szCs w:val="24"/>
        </w:rPr>
        <w:t>, trans. David E. Linge (Berkeley: University of California Press, 1977), 6.</w:t>
      </w:r>
      <w:r>
        <w:fldChar w:fldCharType="end"/>
      </w:r>
    </w:p>
  </w:footnote>
  <w:footnote w:id="29">
    <w:p w:rsidR="00D603D2" w:rsidRDefault="00D603D2" w:rsidP="00B64455">
      <w:pPr>
        <w:pStyle w:val="FootnoteText"/>
      </w:pPr>
      <w:r>
        <w:rPr>
          <w:rStyle w:val="FootnoteReference"/>
        </w:rPr>
        <w:footnoteRef/>
      </w:r>
      <w:r>
        <w:t xml:space="preserve"> </w:t>
      </w:r>
      <w:r>
        <w:fldChar w:fldCharType="begin"/>
      </w:r>
      <w:r w:rsidR="003031E1">
        <w:instrText xml:space="preserve"> ADDIN ZOTERO_ITEM CSL_CITATION {"citationID":"bhn516nP","properties":{"formattedCitation":"Hans-Georg Gadamer, {\\i{}Truth and Method}, trans. Joel Weinsheimer and Donald G. Marshall (London: Continuum, 2004), 278.","plainCitation":"Hans-Georg Gadamer, Truth and Method, trans. Joel Weinsheimer and Donald G. Marshall (London: Continuum, 2004), 278.","noteIndex":29},"citationItems":[{"id":1750,"uris":["http://zotero.org/users/379369/items/UIVA3RL3"],"uri":["http://zotero.org/users/379369/items/UIVA3RL3"],"itemData":{"id":1750,"type":"book","title":"Truth and Method","publisher":"Continuum","publisher-place":"London","number-of-pages":"640","source":"Google Books","event-place":"London","abstract":"The first edition is cited in Books for College Libraries, 3d. ed. German philosopher of humanistic studies Gadamer (1900-2002) first published what turned out to be his most important work in 1960. Looking beyond the self-consciousness of science, he discusses the tense relationship between truth and methodology. In examining the different experie","ISBN":"978-0-8264-7697-5","note":"Google-Books-ID: ScG5YqYcsEcC","language":"en","author":[{"family":"Gadamer","given":"Hans-Georg"}],"translator":[{"family":"Weinsheimer","given":"Joel"},{"family":"Marshall","given":"Donald G."}],"issued":{"date-parts":[["2004",12,7]]}},"locator":"278"}],"schema":"https://github.com/citation-style-language/schema/raw/master/csl-citation.json"} </w:instrText>
      </w:r>
      <w:r>
        <w:fldChar w:fldCharType="separate"/>
      </w:r>
      <w:r w:rsidR="003031E1" w:rsidRPr="003031E1">
        <w:rPr>
          <w:rFonts w:cs="Times New Roman"/>
          <w:szCs w:val="24"/>
        </w:rPr>
        <w:t xml:space="preserve">Hans-Georg Gadamer, </w:t>
      </w:r>
      <w:r w:rsidR="003031E1" w:rsidRPr="003031E1">
        <w:rPr>
          <w:rFonts w:cs="Times New Roman"/>
          <w:i/>
          <w:iCs/>
          <w:szCs w:val="24"/>
        </w:rPr>
        <w:t>Truth and Method</w:t>
      </w:r>
      <w:r w:rsidR="003031E1" w:rsidRPr="003031E1">
        <w:rPr>
          <w:rFonts w:cs="Times New Roman"/>
          <w:szCs w:val="24"/>
        </w:rPr>
        <w:t>, trans. Joel Weinsheimer and Donald G. Marshall (London: Continuum, 2004), 278.</w:t>
      </w:r>
      <w:r>
        <w:fldChar w:fldCharType="end"/>
      </w:r>
    </w:p>
  </w:footnote>
  <w:footnote w:id="30">
    <w:p w:rsidR="00D603D2" w:rsidRDefault="00D603D2" w:rsidP="007052B9">
      <w:pPr>
        <w:pStyle w:val="FootnoteText"/>
      </w:pPr>
      <w:r w:rsidRPr="001514FD">
        <w:rPr>
          <w:rStyle w:val="FootnoteReference"/>
        </w:rPr>
        <w:footnoteRef/>
      </w:r>
      <w:r>
        <w:t xml:space="preserve"> </w:t>
      </w:r>
      <w:r>
        <w:fldChar w:fldCharType="begin"/>
      </w:r>
      <w:r w:rsidR="00103606">
        <w:instrText xml:space="preserve"> ADDIN ZOTERO_ITEM CSL_CITATION {"citationID":"XGOlGRsM","properties":{"formattedCitation":"Ric\\uc0\\u339{}ur, {\\i{}Hermeneutics and the Human Sciences}, 75.","plainCitation":"Ricœur, Hermeneutics and the Human Sciences, 75.","noteIndex":30},"citationItems":[{"id":160,"uris":["http://zotero.org/users/379369/items/DUXX6XTN"],"uri":["http://zotero.org/users/379369/items/DUXX6XTN"],"itemData":{"id":160,"type":"book","title":"Hermeneutics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75"}],"schema":"https://github.com/citation-style-language/schema/raw/master/csl-citation.json"} </w:instrText>
      </w:r>
      <w:r>
        <w:fldChar w:fldCharType="separate"/>
      </w:r>
      <w:r w:rsidR="00103606" w:rsidRPr="00103606">
        <w:rPr>
          <w:rFonts w:cs="Times New Roman"/>
          <w:szCs w:val="24"/>
        </w:rPr>
        <w:t xml:space="preserve">Ricœur, </w:t>
      </w:r>
      <w:r w:rsidR="00103606" w:rsidRPr="00103606">
        <w:rPr>
          <w:rFonts w:cs="Times New Roman"/>
          <w:i/>
          <w:iCs/>
          <w:szCs w:val="24"/>
        </w:rPr>
        <w:t>Hermeneutics and the Human Sciences</w:t>
      </w:r>
      <w:r w:rsidR="00103606" w:rsidRPr="00103606">
        <w:rPr>
          <w:rFonts w:cs="Times New Roman"/>
          <w:szCs w:val="24"/>
        </w:rPr>
        <w:t>, 75.</w:t>
      </w:r>
      <w:r>
        <w:fldChar w:fldCharType="end"/>
      </w:r>
    </w:p>
  </w:footnote>
  <w:footnote w:id="31">
    <w:p w:rsidR="00D603D2" w:rsidRDefault="00D603D2">
      <w:pPr>
        <w:pStyle w:val="FootnoteText"/>
      </w:pPr>
      <w:r>
        <w:rPr>
          <w:rStyle w:val="FootnoteReference"/>
        </w:rPr>
        <w:footnoteRef/>
      </w:r>
      <w:r>
        <w:t xml:space="preserve"> </w:t>
      </w:r>
      <w:r>
        <w:fldChar w:fldCharType="begin"/>
      </w:r>
      <w:r w:rsidR="003031E1">
        <w:instrText xml:space="preserve"> ADDIN ZOTERO_ITEM CSL_CITATION {"citationID":"mgRQQ3EK","properties":{"formattedCitation":"Gadamer, {\\i{}Truth and Method}, 278.","plainCitation":"Gadamer, Truth and Method, 278.","noteIndex":31},"citationItems":[{"id":1750,"uris":["http://zotero.org/users/379369/items/UIVA3RL3"],"uri":["http://zotero.org/users/379369/items/UIVA3RL3"],"itemData":{"id":1750,"type":"book","title":"Truth and Method","publisher":"Continuum","publisher-place":"London","number-of-pages":"640","source":"Google Books","event-place":"London","abstract":"The first edition is cited in Books for College Libraries, 3d. ed. German philosopher of humanistic studies Gadamer (1900-2002) first published what turned out to be his most important work in 1960. Looking beyond the self-consciousness of science, he discusses the tense relationship between truth and methodology. In examining the different experie","ISBN":"978-0-8264-7697-5","note":"Google-Books-ID: ScG5YqYcsEcC","language":"en","author":[{"family":"Gadamer","given":"Hans-Georg"}],"translator":[{"family":"Weinsheimer","given":"Joel"},{"family":"Marshall","given":"Donald G."}],"issued":{"date-parts":[["2004",12,7]]}},"locator":"278"}],"schema":"https://github.com/citation-style-language/schema/raw/master/csl-citation.json"} </w:instrText>
      </w:r>
      <w:r>
        <w:fldChar w:fldCharType="separate"/>
      </w:r>
      <w:r w:rsidR="003031E1" w:rsidRPr="003031E1">
        <w:rPr>
          <w:rFonts w:cs="Times New Roman"/>
          <w:szCs w:val="24"/>
        </w:rPr>
        <w:t xml:space="preserve">Gadamer, </w:t>
      </w:r>
      <w:r w:rsidR="003031E1" w:rsidRPr="003031E1">
        <w:rPr>
          <w:rFonts w:cs="Times New Roman"/>
          <w:i/>
          <w:iCs/>
          <w:szCs w:val="24"/>
        </w:rPr>
        <w:t>Truth and Method</w:t>
      </w:r>
      <w:r w:rsidR="003031E1" w:rsidRPr="003031E1">
        <w:rPr>
          <w:rFonts w:cs="Times New Roman"/>
          <w:szCs w:val="24"/>
        </w:rPr>
        <w:t>, 278.</w:t>
      </w:r>
      <w:r>
        <w:fldChar w:fldCharType="end"/>
      </w:r>
    </w:p>
  </w:footnote>
  <w:footnote w:id="32">
    <w:p w:rsidR="00D603D2" w:rsidRDefault="00D603D2" w:rsidP="00DF3BD5">
      <w:pPr>
        <w:pStyle w:val="FootnoteText"/>
      </w:pPr>
      <w:r>
        <w:rPr>
          <w:rStyle w:val="FootnoteReference"/>
        </w:rPr>
        <w:footnoteRef/>
      </w:r>
      <w:r>
        <w:t xml:space="preserve"> </w:t>
      </w:r>
      <w:r>
        <w:fldChar w:fldCharType="begin"/>
      </w:r>
      <w:r w:rsidR="003031E1">
        <w:instrText xml:space="preserve"> ADDIN ZOTERO_ITEM CSL_CITATION {"citationID":"evceCt5B","properties":{"formattedCitation":"Ibid., 273.","plainCitation":"Ibid., 273.","noteIndex":32},"citationItems":[{"id":1750,"uris":["http://zotero.org/users/379369/items/UIVA3RL3"],"uri":["http://zotero.org/users/379369/items/UIVA3RL3"],"itemData":{"id":1750,"type":"book","title":"Truth and Method","publisher":"Continuum","publisher-place":"London","number-of-pages":"640","source":"Google Books","event-place":"London","abstract":"The first edition is cited in Books for College Libraries, 3d. ed. German philosopher of humanistic studies Gadamer (1900-2002) first published what turned out to be his most important work in 1960. Looking beyond the self-consciousness of science, he discusses the tense relationship between truth and methodology. In examining the different experie","ISBN":"978-0-8264-7697-5","note":"Google-Books-ID: ScG5YqYcsEcC","language":"en","author":[{"family":"Gadamer","given":"Hans-Georg"}],"translator":[{"family":"Weinsheimer","given":"Joel"},{"family":"Marshall","given":"Donald G."}],"issued":{"date-parts":[["2004",12,7]]}},"locator":"273"}],"schema":"https://github.com/citation-style-language/schema/raw/master/csl-citation.json"} </w:instrText>
      </w:r>
      <w:r>
        <w:fldChar w:fldCharType="separate"/>
      </w:r>
      <w:r w:rsidR="003031E1" w:rsidRPr="003031E1">
        <w:t>Ibid., 273.</w:t>
      </w:r>
      <w:r>
        <w:fldChar w:fldCharType="end"/>
      </w:r>
    </w:p>
  </w:footnote>
  <w:footnote w:id="33">
    <w:p w:rsidR="00D603D2" w:rsidRDefault="00D603D2" w:rsidP="00883171">
      <w:pPr>
        <w:pStyle w:val="FootnoteText"/>
      </w:pPr>
      <w:r w:rsidRPr="001514FD">
        <w:rPr>
          <w:rStyle w:val="FootnoteReference"/>
        </w:rPr>
        <w:footnoteRef/>
      </w:r>
      <w:r>
        <w:t xml:space="preserve"> </w:t>
      </w:r>
      <w:r>
        <w:fldChar w:fldCharType="begin"/>
      </w:r>
      <w:r w:rsidR="003031E1">
        <w:instrText xml:space="preserve"> ADDIN ZOTERO_ITEM CSL_CITATION {"citationID":"xiFdxgsz","properties":{"formattedCitation":"Ibid., 296.","plainCitation":"Ibid., 296.","noteIndex":33},"citationItems":[{"id":1750,"uris":["http://zotero.org/users/379369/items/UIVA3RL3"],"uri":["http://zotero.org/users/379369/items/UIVA3RL3"],"itemData":{"id":1750,"type":"book","title":"Truth and Method","publisher":"Continuum","publisher-place":"London","number-of-pages":"640","source":"Google Books","event-place":"London","abstract":"The first edition is cited in Books for College Libraries, 3d. ed. German philosopher of humanistic studies Gadamer (1900-2002) first published what turned out to be his most important work in 1960. Looking beyond the self-consciousness of science, he discusses the tense relationship between truth and methodology. In examining the different experie","ISBN":"978-0-8264-7697-5","note":"Google-Books-ID: ScG5YqYcsEcC","language":"en","author":[{"family":"Gadamer","given":"Hans-Georg"}],"translator":[{"family":"Weinsheimer","given":"Joel"},{"family":"Marshall","given":"Donald G."}],"issued":{"date-parts":[["2004",12,7]]}},"locator":"296"}],"schema":"https://github.com/citation-style-language/schema/raw/master/csl-citation.json"} </w:instrText>
      </w:r>
      <w:r>
        <w:fldChar w:fldCharType="separate"/>
      </w:r>
      <w:r w:rsidR="003031E1" w:rsidRPr="003031E1">
        <w:t>Ibid., 296.</w:t>
      </w:r>
      <w:r>
        <w:fldChar w:fldCharType="end"/>
      </w:r>
    </w:p>
  </w:footnote>
  <w:footnote w:id="34">
    <w:p w:rsidR="00D603D2" w:rsidRDefault="00D603D2">
      <w:pPr>
        <w:pStyle w:val="FootnoteText"/>
      </w:pPr>
      <w:r>
        <w:rPr>
          <w:rStyle w:val="FootnoteReference"/>
        </w:rPr>
        <w:footnoteRef/>
      </w:r>
      <w:r>
        <w:t xml:space="preserve"> </w:t>
      </w:r>
      <w:r>
        <w:fldChar w:fldCharType="begin"/>
      </w:r>
      <w:r w:rsidR="00103606">
        <w:instrText xml:space="preserve"> ADDIN ZOTERO_ITEM CSL_CITATION {"citationID":"MdUxLH5g","properties":{"formattedCitation":"Ric\\uc0\\u339{}ur, {\\i{}Hermeneutics and the Human Sciences}, 74.","plainCitation":"Ricœur, Hermeneutics and the Human Sciences, 74.","noteIndex":34},"citationItems":[{"id":160,"uris":["http://zotero.org/users/379369/items/DUXX6XTN"],"uri":["http://zotero.org/users/379369/items/DUXX6XTN"],"itemData":{"id":160,"type":"book","title":"Hermeneutics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74"}],"schema":"https://github.com/citation-style-language/schema/raw/master/csl-citation.json"} </w:instrText>
      </w:r>
      <w:r>
        <w:fldChar w:fldCharType="separate"/>
      </w:r>
      <w:r w:rsidR="00103606" w:rsidRPr="00103606">
        <w:rPr>
          <w:rFonts w:cs="Times New Roman"/>
          <w:szCs w:val="24"/>
        </w:rPr>
        <w:t xml:space="preserve">Ricœur, </w:t>
      </w:r>
      <w:r w:rsidR="00103606" w:rsidRPr="00103606">
        <w:rPr>
          <w:rFonts w:cs="Times New Roman"/>
          <w:i/>
          <w:iCs/>
          <w:szCs w:val="24"/>
        </w:rPr>
        <w:t>Hermeneutics and the Human Sciences</w:t>
      </w:r>
      <w:r w:rsidR="00103606" w:rsidRPr="00103606">
        <w:rPr>
          <w:rFonts w:cs="Times New Roman"/>
          <w:szCs w:val="24"/>
        </w:rPr>
        <w:t>, 74.</w:t>
      </w:r>
      <w:r>
        <w:fldChar w:fldCharType="end"/>
      </w:r>
    </w:p>
  </w:footnote>
  <w:footnote w:id="35">
    <w:p w:rsidR="00D603D2" w:rsidRDefault="00D603D2" w:rsidP="005D7C7F">
      <w:pPr>
        <w:pStyle w:val="FootnoteText"/>
      </w:pPr>
      <w:r w:rsidRPr="001514FD">
        <w:rPr>
          <w:rStyle w:val="FootnoteReference"/>
        </w:rPr>
        <w:footnoteRef/>
      </w:r>
      <w:r>
        <w:t xml:space="preserve"> </w:t>
      </w:r>
      <w:r>
        <w:fldChar w:fldCharType="begin"/>
      </w:r>
      <w:r w:rsidR="003031E1">
        <w:instrText xml:space="preserve"> ADDIN ZOTERO_ITEM CSL_CITATION {"citationID":"cZhSbUju","properties":{"formattedCitation":"Gadamer, {\\i{}Truth and Method}, 298.","plainCitation":"Gadamer, Truth and Method, 298.","noteIndex":35},"citationItems":[{"id":1750,"uris":["http://zotero.org/users/379369/items/UIVA3RL3"],"uri":["http://zotero.org/users/379369/items/UIVA3RL3"],"itemData":{"id":1750,"type":"book","title":"Truth and Method","publisher":"Continuum","publisher-place":"London","number-of-pages":"640","source":"Google Books","event-place":"London","abstract":"The first edition is cited in Books for College Libraries, 3d. ed. German philosopher of humanistic studies Gadamer (1900-2002) first published what turned out to be his most important work in 1960. Looking beyond the self-consciousness of science, he discusses the tense relationship between truth and methodology. In examining the different experie","ISBN":"978-0-8264-7697-5","note":"Google-Books-ID: ScG5YqYcsEcC","language":"en","author":[{"family":"Gadamer","given":"Hans-Georg"}],"translator":[{"family":"Weinsheimer","given":"Joel"},{"family":"Marshall","given":"Donald G."}],"issued":{"date-parts":[["2004",12,7]]}},"locator":"298"}],"schema":"https://github.com/citation-style-language/schema/raw/master/csl-citation.json"} </w:instrText>
      </w:r>
      <w:r>
        <w:fldChar w:fldCharType="separate"/>
      </w:r>
      <w:r w:rsidR="003031E1" w:rsidRPr="003031E1">
        <w:rPr>
          <w:rFonts w:cs="Times New Roman"/>
          <w:szCs w:val="24"/>
        </w:rPr>
        <w:t xml:space="preserve">Gadamer, </w:t>
      </w:r>
      <w:r w:rsidR="003031E1" w:rsidRPr="003031E1">
        <w:rPr>
          <w:rFonts w:cs="Times New Roman"/>
          <w:i/>
          <w:iCs/>
          <w:szCs w:val="24"/>
        </w:rPr>
        <w:t>Truth and Method</w:t>
      </w:r>
      <w:r w:rsidR="003031E1" w:rsidRPr="003031E1">
        <w:rPr>
          <w:rFonts w:cs="Times New Roman"/>
          <w:szCs w:val="24"/>
        </w:rPr>
        <w:t>, 298.</w:t>
      </w:r>
      <w:r>
        <w:fldChar w:fldCharType="end"/>
      </w:r>
    </w:p>
  </w:footnote>
  <w:footnote w:id="36">
    <w:p w:rsidR="00D603D2" w:rsidRPr="009B358C" w:rsidRDefault="00D603D2" w:rsidP="00CA7B33">
      <w:pPr>
        <w:pStyle w:val="FootnoteText"/>
      </w:pPr>
      <w:r w:rsidRPr="001514FD">
        <w:rPr>
          <w:rStyle w:val="FootnoteReference"/>
        </w:rPr>
        <w:footnoteRef/>
      </w:r>
      <w:r w:rsidRPr="009B358C">
        <w:t xml:space="preserve"> </w:t>
      </w:r>
      <w:r>
        <w:fldChar w:fldCharType="begin"/>
      </w:r>
      <w:r w:rsidR="00103606">
        <w:instrText xml:space="preserve"> ADDIN ZOTERO_ITEM CSL_CITATION {"citationID":"x0nVACcH","properties":{"formattedCitation":"Ric\\uc0\\u339{}ur, {\\i{}Hermeneutics and the Human Sciences}, 91.","plainCitation":"Ricœur, Hermeneutics and the Human Sciences, 91.","noteIndex":36},"citationItems":[{"id":160,"uris":["http://zotero.org/users/379369/items/DUXX6XTN"],"uri":["http://zotero.org/users/379369/items/DUXX6XTN"],"itemData":{"id":160,"type":"book","title":"Hermeneutics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91"}],"schema":"https://github.com/citation-style-language/schema/raw/master/csl-citation.json"} </w:instrText>
      </w:r>
      <w:r>
        <w:fldChar w:fldCharType="separate"/>
      </w:r>
      <w:r w:rsidR="00103606" w:rsidRPr="00103606">
        <w:rPr>
          <w:rFonts w:cs="Times New Roman"/>
          <w:szCs w:val="24"/>
        </w:rPr>
        <w:t xml:space="preserve">Ricœur, </w:t>
      </w:r>
      <w:r w:rsidR="00103606" w:rsidRPr="00103606">
        <w:rPr>
          <w:rFonts w:cs="Times New Roman"/>
          <w:i/>
          <w:iCs/>
          <w:szCs w:val="24"/>
        </w:rPr>
        <w:t>Hermeneutics and the Human Sciences</w:t>
      </w:r>
      <w:r w:rsidR="00103606" w:rsidRPr="00103606">
        <w:rPr>
          <w:rFonts w:cs="Times New Roman"/>
          <w:szCs w:val="24"/>
        </w:rPr>
        <w:t>, 91.</w:t>
      </w:r>
      <w:r>
        <w:fldChar w:fldCharType="end"/>
      </w:r>
    </w:p>
  </w:footnote>
  <w:footnote w:id="37">
    <w:p w:rsidR="00D603D2" w:rsidRDefault="00D603D2">
      <w:pPr>
        <w:pStyle w:val="FootnoteText"/>
      </w:pPr>
      <w:r>
        <w:rPr>
          <w:rStyle w:val="FootnoteReference"/>
        </w:rPr>
        <w:footnoteRef/>
      </w:r>
      <w:r>
        <w:t xml:space="preserve"> In light of this, it is perhaps not entirely a coincidence that Gadamer has had a warm reception from the same Orthodox theologians who have made a point of rejecting the concept of doctrinal development, Louth being a key example. See </w:t>
      </w:r>
      <w:r>
        <w:fldChar w:fldCharType="begin"/>
      </w:r>
      <w:r w:rsidR="00103606">
        <w:instrText xml:space="preserve"> ADDIN ZOTERO_ITEM CSL_CITATION {"citationID":"MDKrLMyB","properties":{"formattedCitation":"Andrew Louth, {\\i{}Discerning the Mystery: An Essay on the Nature of Theology} (Oxford: Clarendon Press, 1983), in which Gadamer features prominently; and \\uc0\\u8216{}Is Development of Doctrine a Valid Category for Orthodox Theology?\\uc0\\u8217{}, where Louth denies the legitimacy of doctrinal development for Orthodox theology.","plainCitation":"Andrew Louth, Discerning the Mystery: An Essay on the Nature of Theology (Oxford: Clarendon Press, 1983), in which Gadamer features prominently; and ‘Is Development of Doctrine a Valid Category for Orthodox Theology?’, where Louth denies the legitimacy of doctrinal development for Orthodox theology.","noteIndex":37},"citationItems":[{"id":1731,"uris":["http://zotero.org/users/379369/items/FNL3PWGE"],"uri":["http://zotero.org/users/379369/items/FNL3PWGE"],"itemData":{"id":1731,"type":"book","title":"Discerning the Mystery: An Essay on the Nature of Theology","publisher":"Clarendon Press","publisher-place":"Oxford","number-of-pages":"150","source":"Google Books","event-place":"Oxford","note":"Google-Books-ID: X9OHPwAACAAJ","shortTitle":"Discerning the Mystery","language":"en","author":[{"family":"Louth","given":"Andrew"}],"issued":{"date-parts":[["1983"]]}},"suffix":", in which Gadamer features prominently"},{"id":1408,"uris":["http://zotero.org/users/379369/items/XI4EIEZL"],"uri":["http://zotero.org/users/379369/items/XI4EIEZL"],"itemData":{"id":1408,"type":"chapter","title":"Is Development of Doctrine a Valid Category for Orthodox Theology?","container-title":"Orthodoxy &amp; Western Culture: A Collection of Essays Honoring Jaroslav Pelikan on His Eightieth Birthday","publisher":"St Vladimir's Seminary Press","publisher-place":"Crestwood, NY","source":"Google Books","event-place":"Crestwood, NY","abstract":"Jaroslav Pelikan, the foremost church historian of the twentieth century, is honored by this collection of essays written by his colleagues and former students in honor of his 80th birthday celebration; Pelikan himself contributed an autiobiographical sketch, and the final lecture.","ISBN":"978-0-88141-271-0","note":"Google-Books-ID: 13DRvCcJUvcC","language":"en","author":[{"family":"Louth","given":"Andrew"}],"editor":[{"family":"Hotchkiss","given":"Valerie"},{"family":"Henry","given":"Patrick"}],"issued":{"date-parts":[["2005"]]}},"suppress-author":true,"prefix":"and ","suffix":", where Louth denies the legitimacy of doctrinal development for Orthodox theology"}],"schema":"https://github.com/citation-style-language/schema/raw/master/csl-citation.json"} </w:instrText>
      </w:r>
      <w:r>
        <w:fldChar w:fldCharType="separate"/>
      </w:r>
      <w:r w:rsidR="00502BD6" w:rsidRPr="00502BD6">
        <w:rPr>
          <w:rFonts w:cs="Times New Roman"/>
          <w:szCs w:val="24"/>
        </w:rPr>
        <w:t xml:space="preserve">Andrew Louth, </w:t>
      </w:r>
      <w:r w:rsidR="00502BD6" w:rsidRPr="00502BD6">
        <w:rPr>
          <w:rFonts w:cs="Times New Roman"/>
          <w:i/>
          <w:iCs/>
          <w:szCs w:val="24"/>
        </w:rPr>
        <w:t>Discerning the Mystery: An Essay on the Nature of Theology</w:t>
      </w:r>
      <w:r w:rsidR="00502BD6" w:rsidRPr="00502BD6">
        <w:rPr>
          <w:rFonts w:cs="Times New Roman"/>
          <w:szCs w:val="24"/>
        </w:rPr>
        <w:t xml:space="preserve"> (Oxford: Clarendon Press, 1983), in which Gadamer features prominently; and ‘Is Development of Doctrine a Valid Category for Orthodox Theology?’, where Louth denies the legitimacy of doctrinal development for Orthodox theology.</w:t>
      </w:r>
      <w:r>
        <w:fldChar w:fldCharType="end"/>
      </w:r>
      <w:r>
        <w:t xml:space="preserve"> See also </w:t>
      </w:r>
      <w:proofErr w:type="spellStart"/>
      <w:r w:rsidRPr="008552F6">
        <w:t>Zdenko</w:t>
      </w:r>
      <w:proofErr w:type="spellEnd"/>
      <w:r w:rsidRPr="008552F6">
        <w:t xml:space="preserve"> </w:t>
      </w:r>
      <w:proofErr w:type="spellStart"/>
      <w:r w:rsidRPr="008552F6">
        <w:t>Širka</w:t>
      </w:r>
      <w:proofErr w:type="spellEnd"/>
      <w:r w:rsidRPr="008552F6">
        <w:t>, ‘Horizons of Human Understanding: Gadamer and Modern Orthodox Hermeneutics in Dialogue’ (</w:t>
      </w:r>
      <w:r>
        <w:t xml:space="preserve">Unpublished doctoral thesis: Prague, </w:t>
      </w:r>
      <w:r w:rsidRPr="008552F6">
        <w:t>2015).</w:t>
      </w:r>
    </w:p>
  </w:footnote>
  <w:footnote w:id="38">
    <w:p w:rsidR="00D603D2" w:rsidRPr="009B358C" w:rsidRDefault="00D603D2" w:rsidP="0086547A">
      <w:pPr>
        <w:pStyle w:val="FootnoteText"/>
      </w:pPr>
      <w:r>
        <w:rPr>
          <w:rStyle w:val="FootnoteReference"/>
        </w:rPr>
        <w:footnoteRef/>
      </w:r>
      <w:r w:rsidRPr="009B358C">
        <w:t xml:space="preserve"> </w:t>
      </w:r>
      <w:r>
        <w:fldChar w:fldCharType="begin"/>
      </w:r>
      <w:r w:rsidR="00103606">
        <w:instrText xml:space="preserve"> ADDIN ZOTERO_ITEM CSL_CITATION {"citationID":"vBTsr1L2","properties":{"formattedCitation":"Ric\\uc0\\u339{}ur, {\\i{}Hermeneutics and the Human Sciences}, 100.","plainCitation":"Ricœur, Hermeneutics and the Human Sciences, 100.","noteIndex":38},"citationItems":[{"id":160,"uris":["http://zotero.org/users/379369/items/DUXX6XTN"],"uri":["http://zotero.org/users/379369/items/DUXX6XTN"],"itemData":{"id":160,"type":"book","title":"Hermeneutics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100"}],"schema":"https://github.com/citation-style-language/schema/raw/master/csl-citation.json"} </w:instrText>
      </w:r>
      <w:r>
        <w:fldChar w:fldCharType="separate"/>
      </w:r>
      <w:r w:rsidR="00103606" w:rsidRPr="00103606">
        <w:rPr>
          <w:rFonts w:cs="Times New Roman"/>
          <w:szCs w:val="24"/>
        </w:rPr>
        <w:t xml:space="preserve">Ricœur, </w:t>
      </w:r>
      <w:r w:rsidR="00103606" w:rsidRPr="00103606">
        <w:rPr>
          <w:rFonts w:cs="Times New Roman"/>
          <w:i/>
          <w:iCs/>
          <w:szCs w:val="24"/>
        </w:rPr>
        <w:t>Hermeneutics and the Human Sciences</w:t>
      </w:r>
      <w:r w:rsidR="00103606" w:rsidRPr="00103606">
        <w:rPr>
          <w:rFonts w:cs="Times New Roman"/>
          <w:szCs w:val="24"/>
        </w:rPr>
        <w:t>, 100.</w:t>
      </w:r>
      <w:r>
        <w:fldChar w:fldCharType="end"/>
      </w:r>
    </w:p>
  </w:footnote>
  <w:footnote w:id="39">
    <w:p w:rsidR="00D603D2" w:rsidRDefault="00D603D2" w:rsidP="004F5A77">
      <w:pPr>
        <w:pStyle w:val="FootnoteText"/>
      </w:pPr>
      <w:r>
        <w:rPr>
          <w:rStyle w:val="FootnoteReference"/>
        </w:rPr>
        <w:footnoteRef/>
      </w:r>
      <w:r w:rsidRPr="009B358C">
        <w:t xml:space="preserve"> </w:t>
      </w:r>
      <w:r>
        <w:fldChar w:fldCharType="begin"/>
      </w:r>
      <w:r>
        <w:instrText xml:space="preserve"> ADDIN ZOTERO_ITEM CSL_CITATION {"citationID":"gWJvjdo1","properties":{"formattedCitation":"Paul Ric\\uc0\\u339{}ur, \\uc0\\u8216{}Reply to David Stewart\\uc0\\u8217{}, in {\\i{}The Philosophy of Paul Ric\\uc0\\u339{}ur}, ed. Lewis Hahn, vol. v. 22, The Library of Living Philosophers (Chicago: Open Court, 1995), 448.","plainCitation":"Paul Ricœur, ‘Reply to David Stewart’, in The Philosophy of Paul Ricœur, ed. Lewis Hahn, vol. v. 22, The Library of Living Philosophers (Chicago: Open Court, 1995), 448.","noteIndex":39},"citationItems":[{"id":1378,"uris":["http://zotero.org/users/379369/items/E96JIP5A"],"uri":["http://zotero.org/users/379369/items/E96JIP5A"],"itemData":{"id":1378,"type":"chapter","title":"Reply to David Stewart","container-title":"The philosophy of Paul Ricœur","collection-title":"The library of living philosophers","publisher":"Open Court","publisher-place":"Chicago","volume":"v. 22","source":"Library Catalog (Aquabrowser)","event-place":"Chicago","ISBN":"978-0-8126-9259-4","editor":[{"family":"Hahn","given":"Lewis"}],"author":[{"family":"Ricœur","given":"Paul"}],"issued":{"date-parts":[["1995"]]}},"locator":"448"}],"schema":"https://github.com/citation-style-language/schema/raw/master/csl-citation.json"} </w:instrText>
      </w:r>
      <w:r>
        <w:fldChar w:fldCharType="separate"/>
      </w:r>
      <w:r w:rsidRPr="009B358C">
        <w:rPr>
          <w:rFonts w:cs="Times New Roman"/>
          <w:szCs w:val="24"/>
        </w:rPr>
        <w:t xml:space="preserve">Paul Ricœur, ‘Reply to David Stewart’, in </w:t>
      </w:r>
      <w:r w:rsidRPr="009B358C">
        <w:rPr>
          <w:rFonts w:cs="Times New Roman"/>
          <w:i/>
          <w:iCs/>
          <w:szCs w:val="24"/>
        </w:rPr>
        <w:t>The Philosophy of Paul Ricœur</w:t>
      </w:r>
      <w:r w:rsidRPr="009B358C">
        <w:rPr>
          <w:rFonts w:cs="Times New Roman"/>
          <w:szCs w:val="24"/>
        </w:rPr>
        <w:t xml:space="preserve">, ed. </w:t>
      </w:r>
      <w:r w:rsidRPr="00B118D2">
        <w:rPr>
          <w:rFonts w:cs="Times New Roman"/>
          <w:szCs w:val="24"/>
        </w:rPr>
        <w:t>Lewis Hahn, vol. v. 22, The Library of Living Philosophers (Chicago: Open Court, 1995), 448.</w:t>
      </w:r>
      <w:r>
        <w:fldChar w:fldCharType="end"/>
      </w:r>
    </w:p>
  </w:footnote>
  <w:footnote w:id="40">
    <w:p w:rsidR="00D603D2" w:rsidRPr="0060274A" w:rsidRDefault="00D603D2" w:rsidP="004F5A77">
      <w:pPr>
        <w:pStyle w:val="FootnoteText"/>
        <w:rPr>
          <w:lang w:val="fr-FR"/>
        </w:rPr>
      </w:pPr>
      <w:r w:rsidRPr="00336FF6">
        <w:rPr>
          <w:rStyle w:val="FootnoteReference"/>
        </w:rPr>
        <w:footnoteRef/>
      </w:r>
      <w:r w:rsidRPr="0060274A">
        <w:rPr>
          <w:lang w:val="fr-FR"/>
        </w:rPr>
        <w:t xml:space="preserve"> </w:t>
      </w:r>
      <w:r>
        <w:fldChar w:fldCharType="begin"/>
      </w:r>
      <w:r w:rsidR="0060274A" w:rsidRPr="0060274A">
        <w:rPr>
          <w:lang w:val="fr-FR"/>
        </w:rPr>
        <w:instrText xml:space="preserve"> ADDIN ZOTERO_ITEM CSL_CITATION {"citationID":"JDx8gpxJ","properties":{"formattedCitation":"Ric\\uc0\\u339{}ur, {\\i{}Interpretation Theory}, 31\\uc0\\u8211{}32.","plainCitation":"Ricœur, Interpretation Theory, 31–32.","noteIndex":40},"citationItems":[{"id":140,"uris":["http://zotero.org/users/379369/items/CAWGFHQ4"],"uri":["http://zotero.org/users/379369/items/CAWGFHQ4"],"itemData":{"id":140,"type":"book","title":"Interpretation theory: discourse and the surplus of meaning","publisher":"Texas Christian University Press","publisher-place":"Fort Worth","number-of-pages":"xii,107p","source":"Library Catalog (Aquabrowser)","event-place":"Fort Worth","ISBN":"978-0-912646-59-6","shortTitle":"Interpretation theory","author":[{"family":"Ricœur","given":"Paul"}],"issued":{"date-parts":[["1976"]]}},"locator":"31-2"}],"schema":"https://github.com/citation-style-language/schema/raw/master/csl-citation.json"} </w:instrText>
      </w:r>
      <w:r>
        <w:fldChar w:fldCharType="separate"/>
      </w:r>
      <w:r w:rsidR="0060274A" w:rsidRPr="0060274A">
        <w:rPr>
          <w:rFonts w:cs="Times New Roman"/>
          <w:szCs w:val="24"/>
          <w:lang w:val="fr-FR"/>
        </w:rPr>
        <w:t xml:space="preserve">Ricœur, </w:t>
      </w:r>
      <w:r w:rsidR="0060274A" w:rsidRPr="0060274A">
        <w:rPr>
          <w:rFonts w:cs="Times New Roman"/>
          <w:i/>
          <w:iCs/>
          <w:szCs w:val="24"/>
          <w:lang w:val="fr-FR"/>
        </w:rPr>
        <w:t>Interpretation Theory</w:t>
      </w:r>
      <w:r w:rsidR="0060274A" w:rsidRPr="0060274A">
        <w:rPr>
          <w:rFonts w:cs="Times New Roman"/>
          <w:szCs w:val="24"/>
          <w:lang w:val="fr-FR"/>
        </w:rPr>
        <w:t>, 31–32.</w:t>
      </w:r>
      <w:r>
        <w:fldChar w:fldCharType="end"/>
      </w:r>
    </w:p>
  </w:footnote>
  <w:footnote w:id="41">
    <w:p w:rsidR="00D603D2" w:rsidRPr="003500AF" w:rsidRDefault="00D603D2" w:rsidP="004F5A77">
      <w:pPr>
        <w:pStyle w:val="FootnoteText"/>
        <w:rPr>
          <w:lang w:val="fr-FR"/>
        </w:rPr>
      </w:pPr>
      <w:r w:rsidRPr="00336FF6">
        <w:rPr>
          <w:rStyle w:val="FootnoteReference"/>
        </w:rPr>
        <w:footnoteRef/>
      </w:r>
      <w:r w:rsidRPr="003500AF">
        <w:rPr>
          <w:lang w:val="fr-FR"/>
        </w:rPr>
        <w:t xml:space="preserve"> </w:t>
      </w:r>
      <w:r>
        <w:fldChar w:fldCharType="begin"/>
      </w:r>
      <w:r w:rsidR="0060274A">
        <w:rPr>
          <w:lang w:val="fr-FR"/>
        </w:rPr>
        <w:instrText xml:space="preserve"> ADDIN ZOTERO_ITEM CSL_CITATION {"citationID":"1VD2B1ex","properties":{"formattedCitation":"My translation: Greisch, \\uc0\\u8216{}Lire, interpr\\uc0\\u233{}ter, comprendre: Vers une herm\\uc0\\u233{}neutique philosophique de la religion\\uc0\\u8217{}, 17.","plainCitation":"My translation: Greisch, ‘Lire, interpréter, comprendre: Vers une herméneutique philosophique de la religion’, 17.","noteIndex":41},"citationItems":[{"id":1374,"uris":["http://zotero.org/users/379369/items/UD97UCWK"],"uri":["http://zotero.org/users/379369/items/UD97UCWK"],"itemData":{"id":1374,"type":"chapter","title":"Lire, interpréter, comprendre: Vers une herméneutique philosophique de la religion","container-title":"Paul Ricœur: Poetics and Religion","publisher":"Uitgeverij Peeters","publisher-place":"Leuven","source":"Google Books","event-place":"Leuven","note":"Google-Books-ID: gnSjswEACAAJ","language":"fr","editor":[{"family":"Hettema","given":"T. L."},{"family":"Verheyden","given":"Joseph"},{"family":"Vandecasteele","given":"Pieter"}],"author":[{"family":"Greisch","given":"Jean"}],"issued":{"date-parts":[["2011"]]}},"locator":"17","prefix":"My translation: "}],"schema":"https://github.com/citation-style-language/schema/raw/master/csl-citation.json"} </w:instrText>
      </w:r>
      <w:r>
        <w:fldChar w:fldCharType="separate"/>
      </w:r>
      <w:r w:rsidR="0060274A" w:rsidRPr="0060274A">
        <w:rPr>
          <w:rFonts w:cs="Times New Roman"/>
          <w:szCs w:val="24"/>
          <w:lang w:val="fr-FR"/>
        </w:rPr>
        <w:t>My translation: Greisch, ‘Lire, interpréter, comprendre: Vers une herméneutique philosophique de la religion’, 17.</w:t>
      </w:r>
      <w:r>
        <w:fldChar w:fldCharType="end"/>
      </w:r>
    </w:p>
  </w:footnote>
  <w:footnote w:id="42">
    <w:p w:rsidR="00D603D2" w:rsidRPr="00103606" w:rsidRDefault="00D603D2" w:rsidP="004F5A77">
      <w:pPr>
        <w:pStyle w:val="FootnoteText"/>
      </w:pPr>
      <w:r w:rsidRPr="00336FF6">
        <w:rPr>
          <w:rStyle w:val="FootnoteReference"/>
        </w:rPr>
        <w:footnoteRef/>
      </w:r>
      <w:r w:rsidRPr="00103606">
        <w:t xml:space="preserve"> </w:t>
      </w:r>
      <w:r>
        <w:fldChar w:fldCharType="begin"/>
      </w:r>
      <w:r w:rsidR="00103606" w:rsidRPr="00103606">
        <w:instrText xml:space="preserve"> ADDIN ZOTERO_ITEM CSL_CITATION {"citationID":"A105grNY","properties":{"formattedCitation":"Ric\\uc0\\u339{}ur, {\\i{}Hermeneutics and the Human Sciences}, 213.","plainCitation":"Ricœur, Hermeneutics and the Human Sciences, 213.","noteIndex":42},"citationItems":[{"id":160,"uris":["http://zotero.org/users/379369/items/DUXX6XTN"],"uri":["http://zotero.org/users/379369/items/DUXX6XTN"],"itemData":{"id":160,"type":"book","title":"Hermeneutics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213"}],"schema":"https://github.com/citation-style-language/schema/raw/master/csl-citation.json"} </w:instrText>
      </w:r>
      <w:r>
        <w:fldChar w:fldCharType="separate"/>
      </w:r>
      <w:r w:rsidR="00103606" w:rsidRPr="00103606">
        <w:rPr>
          <w:rFonts w:cs="Times New Roman"/>
          <w:szCs w:val="24"/>
        </w:rPr>
        <w:t xml:space="preserve">Ricœur, </w:t>
      </w:r>
      <w:r w:rsidR="00103606" w:rsidRPr="00103606">
        <w:rPr>
          <w:rFonts w:cs="Times New Roman"/>
          <w:i/>
          <w:iCs/>
          <w:szCs w:val="24"/>
        </w:rPr>
        <w:t>Hermeneutics and the Human Sciences</w:t>
      </w:r>
      <w:r w:rsidR="00103606" w:rsidRPr="00103606">
        <w:rPr>
          <w:rFonts w:cs="Times New Roman"/>
          <w:szCs w:val="24"/>
        </w:rPr>
        <w:t>, 213.</w:t>
      </w:r>
      <w:r>
        <w:fldChar w:fldCharType="end"/>
      </w:r>
    </w:p>
  </w:footnote>
  <w:footnote w:id="43">
    <w:p w:rsidR="00D603D2" w:rsidRPr="0060274A" w:rsidRDefault="00D603D2" w:rsidP="004F5A77">
      <w:pPr>
        <w:pStyle w:val="FootnoteText"/>
      </w:pPr>
      <w:r>
        <w:rPr>
          <w:rStyle w:val="FootnoteReference"/>
        </w:rPr>
        <w:footnoteRef/>
      </w:r>
      <w:r w:rsidRPr="0060274A">
        <w:t xml:space="preserve"> </w:t>
      </w:r>
      <w:r>
        <w:fldChar w:fldCharType="begin"/>
      </w:r>
      <w:r w:rsidR="0060274A" w:rsidRPr="0060274A">
        <w:instrText xml:space="preserve"> ADDIN ZOTERO_ITEM CSL_CITATION {"citationID":"j215lP1j","properties":{"formattedCitation":"Paul Ric\\uc0\\u339{}ur, {\\i{}A Ric\\uc0\\u339{}ur Reader: Reflection and Imagination}, ed. Mario Vald\\uc0\\u233{}s (New York: Harvester Wheatsheaf, 1991), 496.","plainCitation":"Paul Ricœur, A Ricœur Reader: Reflection and Imagination, ed. Mario Valdés (New York: Harvester Wheatsheaf, 1991), 496.","noteIndex":43},"citationItems":[{"id":1375,"uris":["http://zotero.org/users/379369/items/6NATBFA4"],"uri":["http://zotero.org/users/379369/items/6NATBFA4"],"itemData":{"id":1375,"type":"book","title":"A Ricœur Reader: Reflection and Imagination","publisher":"Harvester Wheatsheaf","publisher-place":"New York","number-of-pages":"532","source":"Google Books","event-place":"New York","abstract":"Paul Ricoeur is one of the most important modern literary theorists and a philosopher of world renown. This collection brings together his published articles, papers, reviews, and interviews that focus on literary theory and criticism. The first of four sections includes early pieces that explore the philosophical foundations for a post-structural hermeneutics. The second contains reviews and essays in which Ricoeur engages in debate over some of the central themes of literary theory, including figuration/configuration and narrativity. In the third section are later essays on post-structuralist hermeneutics, and in the fourth, interviews in which he discusses text, language, and myths. Mario Valdés provides an introduction to the literary theories of Paul Ricoeur and the works in this collection particularly. He also includes a complete bibliography of Ricoeur's works that have appeared in English.","ISBN":"978-1-4426-1324-9","note":"Google-Books-ID: ar12DgAAQBAJ","shortTitle":"A Ricoeur Reader","language":"en","author":[{"family":"Ricœur","given":"Paul"}],"editor":[{"family":"Valdés","given":"Mario"}],"issued":{"date-parts":[["1991",8]]}},"locator":"496"}],"schema":"https://github.com/citation-style-language/schema/raw/master/csl-citation.json"} </w:instrText>
      </w:r>
      <w:r>
        <w:fldChar w:fldCharType="separate"/>
      </w:r>
      <w:r w:rsidR="0060274A" w:rsidRPr="0060274A">
        <w:rPr>
          <w:rFonts w:cs="Times New Roman"/>
          <w:szCs w:val="24"/>
        </w:rPr>
        <w:t xml:space="preserve">Paul Ricœur, </w:t>
      </w:r>
      <w:r w:rsidR="0060274A" w:rsidRPr="0060274A">
        <w:rPr>
          <w:rFonts w:cs="Times New Roman"/>
          <w:i/>
          <w:iCs/>
          <w:szCs w:val="24"/>
        </w:rPr>
        <w:t>A Ricœur Reader: Reflection and Imagination</w:t>
      </w:r>
      <w:r w:rsidR="0060274A" w:rsidRPr="0060274A">
        <w:rPr>
          <w:rFonts w:cs="Times New Roman"/>
          <w:szCs w:val="24"/>
        </w:rPr>
        <w:t>, ed. Mario Valdés (New York: Harvester Wheatsheaf, 1991), 496.</w:t>
      </w:r>
      <w:r>
        <w:fldChar w:fldCharType="end"/>
      </w:r>
    </w:p>
  </w:footnote>
  <w:footnote w:id="44">
    <w:p w:rsidR="00D603D2" w:rsidRPr="00103606" w:rsidRDefault="00D603D2" w:rsidP="004F5A77">
      <w:pPr>
        <w:pStyle w:val="FootnoteText"/>
      </w:pPr>
      <w:r w:rsidRPr="00336FF6">
        <w:rPr>
          <w:rStyle w:val="FootnoteReference"/>
        </w:rPr>
        <w:footnoteRef/>
      </w:r>
      <w:r w:rsidRPr="00103606">
        <w:t xml:space="preserve"> </w:t>
      </w:r>
      <w:r>
        <w:fldChar w:fldCharType="begin"/>
      </w:r>
      <w:r w:rsidR="00103606" w:rsidRPr="00103606">
        <w:instrText xml:space="preserve"> ADDIN ZOTERO_ITEM CSL_CITATION {"citationID":"L31mKkG9","properties":{"formattedCitation":"Ric\\uc0\\u339{}ur, {\\i{}Hermeneutics and the Human Sciences}, 161.","plainCitation":"Ricœur, Hermeneutics and the Human Sciences, 161.","noteIndex":44},"citationItems":[{"id":160,"uris":["http://zotero.org/users/379369/items/DUXX6XTN"],"uri":["http://zotero.org/users/379369/items/DUXX6XTN"],"itemData":{"id":160,"type":"book","title":"Hermeneutics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161"}],"schema":"https://github.com/citation-style-language/schema/raw/master/csl-citation.json"} </w:instrText>
      </w:r>
      <w:r>
        <w:fldChar w:fldCharType="separate"/>
      </w:r>
      <w:r w:rsidR="00103606" w:rsidRPr="00103606">
        <w:rPr>
          <w:rFonts w:cs="Times New Roman"/>
          <w:szCs w:val="24"/>
        </w:rPr>
        <w:t xml:space="preserve">Ricœur, </w:t>
      </w:r>
      <w:r w:rsidR="00103606" w:rsidRPr="00103606">
        <w:rPr>
          <w:rFonts w:cs="Times New Roman"/>
          <w:i/>
          <w:iCs/>
          <w:szCs w:val="24"/>
        </w:rPr>
        <w:t>Hermeneutics and the Human Sciences</w:t>
      </w:r>
      <w:r w:rsidR="00103606" w:rsidRPr="00103606">
        <w:rPr>
          <w:rFonts w:cs="Times New Roman"/>
          <w:szCs w:val="24"/>
        </w:rPr>
        <w:t>, 161.</w:t>
      </w:r>
      <w:r>
        <w:fldChar w:fldCharType="end"/>
      </w:r>
    </w:p>
  </w:footnote>
  <w:footnote w:id="45">
    <w:p w:rsidR="00D603D2" w:rsidRPr="00722314" w:rsidRDefault="00D603D2" w:rsidP="006724AF">
      <w:pPr>
        <w:pStyle w:val="FootnoteText"/>
      </w:pPr>
      <w:r>
        <w:rPr>
          <w:rStyle w:val="FootnoteReference"/>
        </w:rPr>
        <w:footnoteRef/>
      </w:r>
      <w:r w:rsidRPr="00722314">
        <w:t xml:space="preserve"> </w:t>
      </w:r>
      <w:r>
        <w:fldChar w:fldCharType="begin"/>
      </w:r>
      <w:r w:rsidR="00103606" w:rsidRPr="00722314">
        <w:instrText xml:space="preserve"> ADDIN ZOTERO_ITEM CSL_CITATION {"citationID":"4P6H9Ehs","properties":{"formattedCitation":"Ibid., 212.","plainCitation":"Ibid., 212.","noteIndex":45},"citationItems":[{"id":160,"uris":["http://zotero.org/users/379369/items/DUXX6XTN"],"uri":["http://zotero.org/users/379369/items/DUXX6XTN"],"itemData":{"id":160,"type":"book","title":"Hermeneutics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212","suppress-author":true}],"schema":"https://github.com/citation-style-language/schema/raw/master/csl-citation.json"} </w:instrText>
      </w:r>
      <w:r>
        <w:fldChar w:fldCharType="separate"/>
      </w:r>
      <w:r w:rsidRPr="00722314">
        <w:t>Ibid., 212.</w:t>
      </w:r>
      <w:r>
        <w:fldChar w:fldCharType="end"/>
      </w:r>
    </w:p>
  </w:footnote>
  <w:footnote w:id="46">
    <w:p w:rsidR="00D603D2" w:rsidRPr="00722314" w:rsidRDefault="00D603D2" w:rsidP="006724AF">
      <w:pPr>
        <w:pStyle w:val="FootnoteText"/>
      </w:pPr>
      <w:r>
        <w:rPr>
          <w:rStyle w:val="FootnoteReference"/>
        </w:rPr>
        <w:footnoteRef/>
      </w:r>
      <w:r w:rsidRPr="00722314">
        <w:t xml:space="preserve"> </w:t>
      </w:r>
      <w:r>
        <w:fldChar w:fldCharType="begin"/>
      </w:r>
      <w:r w:rsidR="00103606" w:rsidRPr="00722314">
        <w:instrText xml:space="preserve"> ADDIN ZOTERO_ITEM CSL_CITATION {"citationID":"hVGVby9k","properties":{"formattedCitation":"Ibid., 215.","plainCitation":"Ibid., 215.","noteIndex":46},"citationItems":[{"id":160,"uris":["http://zotero.org/users/379369/items/DUXX6XTN"],"uri":["http://zotero.org/users/379369/items/DUXX6XTN"],"itemData":{"id":160,"type":"book","title":"Hermeneutics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215","suppress-author":true}],"schema":"https://github.com/citation-style-language/schema/raw/master/csl-citation.json"} </w:instrText>
      </w:r>
      <w:r>
        <w:fldChar w:fldCharType="separate"/>
      </w:r>
      <w:r w:rsidRPr="00722314">
        <w:t>Ibid., 215.</w:t>
      </w:r>
      <w:r>
        <w:fldChar w:fldCharType="end"/>
      </w:r>
    </w:p>
  </w:footnote>
  <w:footnote w:id="47">
    <w:p w:rsidR="00D603D2" w:rsidRPr="00722314" w:rsidRDefault="00D603D2" w:rsidP="006724AF">
      <w:pPr>
        <w:pStyle w:val="FootnoteText"/>
      </w:pPr>
      <w:r>
        <w:rPr>
          <w:rStyle w:val="FootnoteReference"/>
        </w:rPr>
        <w:footnoteRef/>
      </w:r>
      <w:r w:rsidRPr="00722314">
        <w:t xml:space="preserve"> </w:t>
      </w:r>
      <w:r>
        <w:fldChar w:fldCharType="begin"/>
      </w:r>
      <w:r w:rsidR="00103606" w:rsidRPr="00722314">
        <w:instrText xml:space="preserve"> ADDIN ZOTERO_ITEM CSL_CITATION {"citationID":"jxkPBboa","properties":{"formattedCitation":"Ibid.","plainCitation":"Ibid.","noteIndex":47},"citationItems":[{"id":160,"uris":["http://zotero.org/users/379369/items/DUXX6XTN"],"uri":["http://zotero.org/users/379369/items/DUXX6XTN"],"itemData":{"id":160,"type":"book","title":"Hermeneutics and the human sciences","publisher":"Cambridge University Press","publisher-place":"Cambridge","number-of-pages":"viii,314","source":"Library Catalog (Aquabrowser)","event-place":"Cambridge","ISBN":"978-0-521-28002-0","author":[{"family":"Ricœur","given":"Paul"}],"editor":[{"family":"Thompson","given":"John"}],"translator":[{"family":"Thompson","given":"John"}],"issued":{"date-parts":[["1981"]]}},"locator":"215","suppress-author":true}],"schema":"https://github.com/citation-style-language/schema/raw/master/csl-citation.json"} </w:instrText>
      </w:r>
      <w:r>
        <w:fldChar w:fldCharType="separate"/>
      </w:r>
      <w:r w:rsidRPr="00722314">
        <w:t>Ibid.</w:t>
      </w:r>
      <w:r>
        <w:fldChar w:fldCharType="end"/>
      </w:r>
    </w:p>
  </w:footnote>
  <w:footnote w:id="48">
    <w:p w:rsidR="00D603D2" w:rsidRPr="00B118D2" w:rsidRDefault="00D603D2" w:rsidP="00900588">
      <w:pPr>
        <w:pStyle w:val="FootnoteText"/>
      </w:pPr>
      <w:r>
        <w:rPr>
          <w:rStyle w:val="FootnoteReference"/>
        </w:rPr>
        <w:footnoteRef/>
      </w:r>
      <w:r w:rsidRPr="00B118D2">
        <w:t xml:space="preserve"> </w:t>
      </w:r>
      <w:r>
        <w:fldChar w:fldCharType="begin"/>
      </w:r>
      <w:r>
        <w:instrText xml:space="preserve"> ADDIN ZOTERO_ITEM CSL_CITATION {"citationID":"cvzKbfsN","properties":{"formattedCitation":"Ric\\uc0\\u339{}ur, \\uc0\\u8216{}Reply to David Stewart\\uc0\\u8217{}, 449.","plainCitation":"Ricœur, ‘Reply to David Stewart’, 449.","noteIndex":48},"citationItems":[{"id":1378,"uris":["http://zotero.org/users/379369/items/E96JIP5A"],"uri":["http://zotero.org/users/379369/items/E96JIP5A"],"itemData":{"id":1378,"type":"chapter","title":"Reply to David Stewart","container-title":"The philosophy of Paul Ricœur","collection-title":"The library of living philosophers","publisher":"Open Court","publisher-place":"Chicago","volume":"v. 22","source":"Library Catalog (Aquabrowser)","event-place":"Chicago","ISBN":"978-0-8126-9259-4","editor":[{"family":"Hahn","given":"Lewis"}],"author":[{"family":"Ricœur","given":"Paul"}],"issued":{"date-parts":[["1995"]]}},"locator":"449"}],"schema":"https://github.com/citation-style-language/schema/raw/master/csl-citation.json"} </w:instrText>
      </w:r>
      <w:r>
        <w:fldChar w:fldCharType="separate"/>
      </w:r>
      <w:r w:rsidRPr="00B118D2">
        <w:rPr>
          <w:rFonts w:cs="Times New Roman"/>
          <w:szCs w:val="24"/>
        </w:rPr>
        <w:t>Ricœur, ‘Reply to David Stewart’, 449.</w:t>
      </w:r>
      <w:r>
        <w:fldChar w:fldCharType="end"/>
      </w:r>
    </w:p>
  </w:footnote>
  <w:footnote w:id="49">
    <w:p w:rsidR="00D603D2" w:rsidRPr="00B118D2" w:rsidRDefault="00D603D2" w:rsidP="00900588">
      <w:pPr>
        <w:pStyle w:val="FootnoteText"/>
      </w:pPr>
      <w:r>
        <w:rPr>
          <w:rStyle w:val="FootnoteReference"/>
        </w:rPr>
        <w:footnoteRef/>
      </w:r>
      <w:r w:rsidRPr="00B118D2">
        <w:t xml:space="preserve"> </w:t>
      </w:r>
      <w:r>
        <w:fldChar w:fldCharType="begin"/>
      </w:r>
      <w:r>
        <w:instrText xml:space="preserve"> ADDIN ZOTERO_ITEM CSL_CITATION {"citationID":"0yGFf5r3","properties":{"formattedCitation":"Ibid., 448.","plainCitation":"Ibid., 448.","noteIndex":49},"citationItems":[{"id":1378,"uris":["http://zotero.org/users/379369/items/E96JIP5A"],"uri":["http://zotero.org/users/379369/items/E96JIP5A"],"itemData":{"id":1378,"type":"chapter","title":"Reply to David Stewart","container-title":"The philosophy of Paul Ricœur","collection-title":"The library of living philosophers","publisher":"Open Court","publisher-place":"Chicago","volume":"v. 22","source":"Library Catalog (Aquabrowser)","event-place":"Chicago","ISBN":"978-0-8126-9259-4","editor":[{"family":"Hahn","given":"Lewis"}],"author":[{"family":"Ricœur","given":"Paul"}],"issued":{"date-parts":[["1995"]]}},"locator":"448"}],"schema":"https://github.com/citation-style-language/schema/raw/master/csl-citation.json"} </w:instrText>
      </w:r>
      <w:r>
        <w:fldChar w:fldCharType="separate"/>
      </w:r>
      <w:r w:rsidRPr="00B118D2">
        <w:t>Ibid., 448.</w:t>
      </w:r>
      <w:r>
        <w:fldChar w:fldCharType="end"/>
      </w:r>
    </w:p>
  </w:footnote>
  <w:footnote w:id="50">
    <w:p w:rsidR="00D603D2" w:rsidRPr="00B118D2" w:rsidRDefault="00D603D2">
      <w:pPr>
        <w:pStyle w:val="FootnoteText"/>
      </w:pPr>
      <w:r>
        <w:rPr>
          <w:rStyle w:val="FootnoteReference"/>
        </w:rPr>
        <w:footnoteRef/>
      </w:r>
      <w:r w:rsidRPr="00B118D2">
        <w:t xml:space="preserve"> </w:t>
      </w:r>
      <w:r>
        <w:fldChar w:fldCharType="begin"/>
      </w:r>
      <w:r w:rsidR="003031E1">
        <w:instrText xml:space="preserve"> ADDIN ZOTERO_ITEM CSL_CITATION {"citationID":"9s3qyBBm","properties":{"formattedCitation":"Will Cohen, \\uc0\\u8216{}Doctrinal Drift, Dance or Development: How Truth Takes Time in the Life of Communion\\uc0\\u8217{}, {\\i{}International Journal of Systematic Theology} 20, no. 2 (April 2018): 221.","plainCitation":"Will Cohen, ‘Doctrinal Drift, Dance or Development: How Truth Takes Time in the Life of Communion’, International Journal of Systematic Theology 20, no. 2 (April 2018): 221.","noteIndex":50},"citationItems":[{"id":1411,"uris":["http://zotero.org/users/379369/items/92RR82L5"],"uri":["http://zotero.org/users/379369/items/92RR82L5"],"itemData":{"id":1411,"type":"article-journal","title":"Doctrinal Drift, Dance or Development: How Truth Takes Time in the Life of Communion","container-title":"International Journal of Systematic Theology","page":"209-225","volume":"20","issue":"2","source":"Wiley Online Library","abstract":"In recent ecclesiology, which highlights the value of diversity and dialogue and the difficulty of resolving complex issues, the concept of doctrinal development is sometimes reduced merely to the notion that we cannot be sure of things we once thought we knew. While affirming the need for ecclesial humility and uncertainty, the article insists that a truly questioning church is one that also has hope of arriving, eventually, at answers to history's new questions. Passages from Scripture, Augustine and J.H. Newman are used to show that in recent ecclesiological statements of the Anglican Primates, the World Council of Churches and the Catholic theologian Stan Chu Ilo commenting on the 2014–15 Synods on the Family, an imbalanced vision of a church of only questions – prone to doctrinal drift or ‘dance’ – has supplanted a proper vision of a church of both questions and answers, in which authentic development of doctrine is possible.","ISSN":"1468-2400","shortTitle":"Doctrinal Drift, Dance or Development","language":"en","author":[{"family":"Cohen","given":"Will"}],"issued":{"date-parts":[["2018",4]]}},"locator":"221"}],"schema":"https://github.com/citation-style-language/schema/raw/master/csl-citation.json"} </w:instrText>
      </w:r>
      <w:r>
        <w:fldChar w:fldCharType="separate"/>
      </w:r>
      <w:r w:rsidR="003031E1" w:rsidRPr="003031E1">
        <w:rPr>
          <w:rFonts w:cs="Times New Roman"/>
          <w:szCs w:val="24"/>
        </w:rPr>
        <w:t xml:space="preserve">Will Cohen, ‘Doctrinal Drift, Dance or Development: How Truth Takes Time in the Life of Communion’, </w:t>
      </w:r>
      <w:r w:rsidR="003031E1" w:rsidRPr="003031E1">
        <w:rPr>
          <w:rFonts w:cs="Times New Roman"/>
          <w:i/>
          <w:iCs/>
          <w:szCs w:val="24"/>
        </w:rPr>
        <w:t>International Journal of Systematic Theology</w:t>
      </w:r>
      <w:r w:rsidR="003031E1" w:rsidRPr="003031E1">
        <w:rPr>
          <w:rFonts w:cs="Times New Roman"/>
          <w:szCs w:val="24"/>
        </w:rPr>
        <w:t xml:space="preserve"> 20, no. 2 (April 2018): 221.</w:t>
      </w:r>
      <w:r>
        <w:fldChar w:fldCharType="end"/>
      </w:r>
    </w:p>
  </w:footnote>
  <w:footnote w:id="51">
    <w:p w:rsidR="00D603D2" w:rsidRDefault="00D603D2" w:rsidP="00C34EBE">
      <w:pPr>
        <w:pStyle w:val="FootnoteText"/>
      </w:pPr>
      <w:r>
        <w:rPr>
          <w:rStyle w:val="FootnoteReference"/>
        </w:rPr>
        <w:footnoteRef/>
      </w:r>
      <w:r>
        <w:t xml:space="preserve"> </w:t>
      </w:r>
      <w:r>
        <w:fldChar w:fldCharType="begin"/>
      </w:r>
      <w:r w:rsidR="00502BD6">
        <w:instrText xml:space="preserve"> ADDIN ZOTERO_ITEM CSL_CITATION {"citationID":"PrF86Kml","properties":{"formattedCitation":"Lindbeck, \\uc0\\u8216{}Doctrinal Development and Contemporary Protestant Theology\\uc0\\u8217{}, 69.","plainCitation":"Lindbeck, ‘Doctrinal Development and Contemporary Protestant Theology’, 69.","noteIndex":51},"citationItems":[{"id":1351,"uris":["http://zotero.org/users/379369/items/UCUHU4D5"],"uri":["http://zotero.org/users/379369/items/UCUHU4D5"],"itemData":{"id":1351,"type":"article-journal","title":"The Problem of Doctrinal Development and Contemporary Protestant Theology","container-title":"Concilium","page":"64-72","volume":"1","issue":"3","source":"idiscover.lib.cam.ac.uk","abstract":"6 no. a year,","call-number":"13 CON, P69.b.26 [p/hole: A.172]","shortTitle":"Doctrinal Development and Contemporary Protestant Theology","language":"eng","author":[{"family":"Lindbeck","given":"George"}],"issued":{"date-parts":[["1967",1]]}},"locator":"69"}],"schema":"https://github.com/citation-style-language/schema/raw/master/csl-citation.json"} </w:instrText>
      </w:r>
      <w:r>
        <w:fldChar w:fldCharType="separate"/>
      </w:r>
      <w:r w:rsidRPr="00B118D2">
        <w:rPr>
          <w:rFonts w:cs="Times New Roman"/>
          <w:szCs w:val="24"/>
        </w:rPr>
        <w:t>Lindbeck, ‘Doctrinal Development and Contemporary Protestant Theology’, 69.</w:t>
      </w:r>
      <w:r>
        <w:fldChar w:fldCharType="end"/>
      </w:r>
    </w:p>
  </w:footnote>
  <w:footnote w:id="52">
    <w:p w:rsidR="00D603D2" w:rsidRPr="00093F48" w:rsidRDefault="00D603D2" w:rsidP="00C34EBE">
      <w:pPr>
        <w:pStyle w:val="FootnoteText"/>
      </w:pPr>
      <w:r>
        <w:rPr>
          <w:rStyle w:val="FootnoteReference"/>
        </w:rPr>
        <w:footnoteRef/>
      </w:r>
      <w:r w:rsidRPr="00093F48">
        <w:t xml:space="preserve"> </w:t>
      </w:r>
      <w:r>
        <w:fldChar w:fldCharType="begin"/>
      </w:r>
      <w:r w:rsidR="00502BD6">
        <w:instrText xml:space="preserve"> ADDIN ZOTERO_ITEM CSL_CITATION {"citationID":"kD4PoZeL","properties":{"formattedCitation":"Ibid.","plainCitation":"Ibid.","noteIndex":52},"citationItems":[{"id":1351,"uris":["http://zotero.org/users/379369/items/UCUHU4D5"],"uri":["http://zotero.org/users/379369/items/UCUHU4D5"],"itemData":{"id":1351,"type":"article-journal","title":"The Problem of Doctrinal Development and Contemporary Protestant Theology","container-title":"Concilium","page":"64-72","volume":"1","issue":"3","source":"idiscover.lib.cam.ac.uk","abstract":"6 no. a year,","call-number":"13 CON, P69.b.26 [p/hole: A.172]","shortTitle":"Doctrinal Development and Contemporary Protestant Theology","language":"eng","author":[{"family":"Lindbeck","given":"George"}],"issued":{"date-parts":[["1967",1]]}},"locator":"69"}],"schema":"https://github.com/citation-style-language/schema/raw/master/csl-citation.json"} </w:instrText>
      </w:r>
      <w:r>
        <w:fldChar w:fldCharType="separate"/>
      </w:r>
      <w:r w:rsidRPr="00B118D2">
        <w:t>Ibid.</w:t>
      </w:r>
      <w:r>
        <w:fldChar w:fldCharType="end"/>
      </w:r>
    </w:p>
  </w:footnote>
  <w:footnote w:id="53">
    <w:p w:rsidR="00D603D2" w:rsidRPr="000E4A50" w:rsidRDefault="00D603D2" w:rsidP="00C34EBE">
      <w:pPr>
        <w:pStyle w:val="FootnoteText"/>
      </w:pPr>
      <w:r>
        <w:rPr>
          <w:rStyle w:val="FootnoteReference"/>
        </w:rPr>
        <w:footnoteRef/>
      </w:r>
      <w:r w:rsidRPr="000E4A50">
        <w:t xml:space="preserve"> </w:t>
      </w:r>
      <w:r>
        <w:fldChar w:fldCharType="begin"/>
      </w:r>
      <w:r w:rsidR="00502BD6">
        <w:instrText xml:space="preserve"> ADDIN ZOTERO_ITEM CSL_CITATION {"citationID":"PAN3NJLp","properties":{"formattedCitation":"Ibid., 67.","plainCitation":"Ibid., 67.","noteIndex":53},"citationItems":[{"id":1351,"uris":["http://zotero.org/users/379369/items/UCUHU4D5"],"uri":["http://zotero.org/users/379369/items/UCUHU4D5"],"itemData":{"id":1351,"type":"article-journal","title":"The Problem of Doctrinal Development and Contemporary Protestant Theology","container-title":"Concilium","page":"64-72","volume":"1","issue":"3","source":"idiscover.lib.cam.ac.uk","abstract":"6 no. a year,","call-number":"13 CON, P69.b.26 [p/hole: A.172]","shortTitle":"Doctrinal Development and Contemporary Protestant Theology","language":"eng","author":[{"family":"Lindbeck","given":"George"}],"issued":{"date-parts":[["1967",1]]}},"locator":"67"}],"schema":"https://github.com/citation-style-language/schema/raw/master/csl-citation.json"} </w:instrText>
      </w:r>
      <w:r>
        <w:fldChar w:fldCharType="separate"/>
      </w:r>
      <w:r w:rsidRPr="00B118D2">
        <w:t>Ibid., 67.</w:t>
      </w:r>
      <w:r>
        <w:fldChar w:fldCharType="end"/>
      </w:r>
    </w:p>
  </w:footnote>
  <w:footnote w:id="54">
    <w:p w:rsidR="00D603D2" w:rsidRDefault="00D603D2">
      <w:pPr>
        <w:pStyle w:val="FootnoteText"/>
      </w:pPr>
      <w:r>
        <w:rPr>
          <w:rStyle w:val="FootnoteReference"/>
        </w:rPr>
        <w:footnoteRef/>
      </w:r>
      <w:r>
        <w:t xml:space="preserve"> </w:t>
      </w:r>
      <w:r>
        <w:fldChar w:fldCharType="begin"/>
      </w:r>
      <w:r w:rsidR="00502BD6">
        <w:instrText xml:space="preserve"> ADDIN ZOTERO_ITEM CSL_CITATION {"citationID":"9oAeZn37","properties":{"formattedCitation":"Ibid., 69.","plainCitation":"Ibid., 69.","noteIndex":54},"citationItems":[{"id":1351,"uris":["http://zotero.org/users/379369/items/UCUHU4D5"],"uri":["http://zotero.org/users/379369/items/UCUHU4D5"],"itemData":{"id":1351,"type":"article-journal","title":"The Problem of Doctrinal Development and Contemporary Protestant Theology","container-title":"Concilium","page":"64-72","volume":"1","issue":"3","source":"idiscover.lib.cam.ac.uk","abstract":"6 no. a year,","call-number":"13 CON, P69.b.26 [p/hole: A.172]","shortTitle":"Doctrinal Development and Contemporary Protestant Theology","language":"eng","author":[{"family":"Lindbeck","given":"George"}],"issued":{"date-parts":[["1967",1]]}},"locator":"69"}],"schema":"https://github.com/citation-style-language/schema/raw/master/csl-citation.json"} </w:instrText>
      </w:r>
      <w:r>
        <w:fldChar w:fldCharType="separate"/>
      </w:r>
      <w:r w:rsidRPr="00B118D2">
        <w:t>Ibid., 69.</w:t>
      </w:r>
      <w:r>
        <w:fldChar w:fldCharType="end"/>
      </w:r>
    </w:p>
  </w:footnote>
  <w:footnote w:id="55">
    <w:p w:rsidR="00D603D2" w:rsidRPr="009F0922" w:rsidRDefault="00D603D2">
      <w:pPr>
        <w:pStyle w:val="FootnoteText"/>
      </w:pPr>
      <w:r>
        <w:rPr>
          <w:rStyle w:val="FootnoteReference"/>
        </w:rPr>
        <w:footnoteRef/>
      </w:r>
      <w:r w:rsidRPr="009F0922">
        <w:t xml:space="preserve"> </w:t>
      </w:r>
      <w:r>
        <w:t xml:space="preserve">This </w:t>
      </w:r>
      <w:r w:rsidRPr="009F0922">
        <w:t xml:space="preserve">does not mean that the church can never reverse </w:t>
      </w:r>
      <w:r w:rsidRPr="009F0922">
        <w:rPr>
          <w:i/>
        </w:rPr>
        <w:t>any</w:t>
      </w:r>
      <w:r w:rsidRPr="009F0922">
        <w:t xml:space="preserve"> doctrinal position</w:t>
      </w:r>
      <w:r>
        <w:t>, only one that is raised to the level of dogma</w:t>
      </w:r>
      <w:r w:rsidRPr="009F0922">
        <w:t>.</w:t>
      </w:r>
    </w:p>
  </w:footnote>
  <w:footnote w:id="56">
    <w:p w:rsidR="00247F7B" w:rsidRDefault="00247F7B">
      <w:pPr>
        <w:pStyle w:val="FootnoteText"/>
      </w:pPr>
      <w:r>
        <w:rPr>
          <w:rStyle w:val="FootnoteReference"/>
        </w:rPr>
        <w:footnoteRef/>
      </w:r>
      <w:r>
        <w:t xml:space="preserve"> Granted that in these non-Protestant examples faithfulness to Scripture was not the central concern, but rather continuity with tradition</w:t>
      </w:r>
      <w:r w:rsidR="003154C0">
        <w:t>, they nonetheless illustrate what is at stake when developments occur that are not seen the same way by all.</w:t>
      </w:r>
    </w:p>
  </w:footnote>
  <w:footnote w:id="57">
    <w:p w:rsidR="00D603D2" w:rsidRPr="0049465E" w:rsidRDefault="00D603D2" w:rsidP="00DC6837">
      <w:pPr>
        <w:pStyle w:val="FootnoteText"/>
      </w:pPr>
      <w:r>
        <w:rPr>
          <w:rStyle w:val="FootnoteReference"/>
        </w:rPr>
        <w:footnoteRef/>
      </w:r>
      <w:r w:rsidRPr="0049465E">
        <w:t xml:space="preserve"> </w:t>
      </w:r>
      <w:r>
        <w:fldChar w:fldCharType="begin"/>
      </w:r>
      <w:r w:rsidR="001218A6">
        <w:instrText xml:space="preserve"> ADDIN ZOTERO_ITEM CSL_CITATION {"citationID":"opdlzJZF","properties":{"formattedCitation":"LaCocque and Ric\\uc0\\u339{}ur, {\\i{}Thinking Biblically}, xii.","plainCitation":"LaCocque and Ricœur, Thinking Biblically, xii.","noteIndex":56},"citationItems":[{"id":301,"uris":["http://zotero.org/users/379369/items/PCM3P6JR"],"uri":["http://zotero.org/users/379369/items/PCM3P6JR"],"itemData":{"id":301,"type":"book","title":"Thinking Biblically: Exegetical and Hermeneutical Studies","publisher":"University of Chicago Press","publisher-place":"Chicago","number-of-pages":"470","source":"Google Books","event-place":"Chicago","abstract":"Unparalled in its poetry, richness, and religious and historical significance, the Hebrew Bible has been the site and center of countless commentaries, perhaps none as unique as Thinking Biblically. This remarkable collaboration sets the words of a distinguished biblical scholar, André LaCocque, and those of a leading philosopher, Paul Ricoeur, in dialogue around six crucial passages from the Old Testament: the story of Adam and Eve; the commandment \"thou shalt not kill\"; the valley of dry bones passage from Ezekiel; Psalm 22; the Song of Songs; and the naming of God in Exodus 3:14. Commenting on these texts, LaCocque and Ricoeur provide a wealth of new insights into the meaning of the different genres of the Old Testament as these made their way into and were transformed by the New Testament.  LaCocque's commentaries employ a historical-critical method that takes into account archaeological, philological, and historical research. LaCocque includes in his essays historical information about the dynamic tradition of reading scripture, opening his exegesis to developments and enrichments subsequent to the production of the original literary text. Ricoeur also takes into account the relation between the texts and the historical communities that read and interpreted them, but he broadens his scope to include philosophical speculation. His commentaries highlight the metaphorical structure of the passages and how they have served as catalysts for philosophical thinking from the Greeks to the modern age.  This extraordinary literary and historical venture reads the Bible through two different but complementary lenses, revealing the familiar texts as vibrant, philosophically consequential, and unceasingly absorbing.","ISBN":"978-0-226-71343-4","shortTitle":"Thinking Biblically","language":"en","author":[{"family":"LaCocque","given":"André"},{"family":"Ricœur","given":"Paul"}],"translator":[{"family":"Pellauer","given":"David"}],"issued":{"date-parts":[["2003",12,1]]}},"locator":"xii"}],"schema":"https://github.com/citation-style-language/schema/raw/master/csl-citation.json"} </w:instrText>
      </w:r>
      <w:r>
        <w:fldChar w:fldCharType="separate"/>
      </w:r>
      <w:r w:rsidRPr="00B118D2">
        <w:rPr>
          <w:rFonts w:cs="Times New Roman"/>
          <w:szCs w:val="24"/>
        </w:rPr>
        <w:t xml:space="preserve">LaCocque and Ricœur, </w:t>
      </w:r>
      <w:r w:rsidRPr="00B118D2">
        <w:rPr>
          <w:rFonts w:cs="Times New Roman"/>
          <w:i/>
          <w:iCs/>
          <w:szCs w:val="24"/>
        </w:rPr>
        <w:t>Thinking Biblically</w:t>
      </w:r>
      <w:r w:rsidRPr="00B118D2">
        <w:rPr>
          <w:rFonts w:cs="Times New Roman"/>
          <w:szCs w:val="24"/>
        </w:rPr>
        <w:t>, xii.</w:t>
      </w:r>
      <w:r>
        <w:fldChar w:fldCharType="end"/>
      </w:r>
    </w:p>
  </w:footnote>
  <w:footnote w:id="58">
    <w:p w:rsidR="00D603D2" w:rsidRPr="00237784" w:rsidRDefault="00D603D2">
      <w:pPr>
        <w:pStyle w:val="FootnoteText"/>
      </w:pPr>
      <w:r>
        <w:rPr>
          <w:rStyle w:val="FootnoteReference"/>
        </w:rPr>
        <w:footnoteRef/>
      </w:r>
      <w:r w:rsidRPr="0049465E">
        <w:t xml:space="preserve"> </w:t>
      </w:r>
      <w:r>
        <w:fldChar w:fldCharType="begin"/>
      </w:r>
      <w:r w:rsidR="0060274A">
        <w:instrText xml:space="preserve"> ADDIN ZOTERO_ITEM CSL_CITATION {"citationID":"ZF5iwHrC","properties":{"formattedCitation":"Tam\\uc0\\u225{}s T\\uc0\\u243{}th, \\uc0\\u8216{}The Graft, The Residue, And Memory: Two Conversations with Paul Ric\\uc0\\u339{}ur\\uc0\\u8217{}, in {\\i{}Between Suspicion and Sympathy: Paul Ric\\uc0\\u339{}ur\\uc0\\u8217{}s Unstable Equilibrium}, ed. Andrzej Wierci\\uc0\\u324{}ski (Toronto: Hermeneutic Press, 2003), 646.","plainCitation":"Tamás Tóth, ‘The Graft, The Residue, And Memory: Two Conversations with Paul Ricœur’, in Between Suspicion and Sympathy: Paul Ricœur’s Unstable Equilibrium, ed. Andrzej Wierci</w:instrText>
      </w:r>
      <w:r w:rsidR="0060274A">
        <w:rPr>
          <w:rFonts w:ascii="Cambria" w:hAnsi="Cambria" w:cs="Cambria"/>
        </w:rPr>
        <w:instrText>ń</w:instrText>
      </w:r>
      <w:r w:rsidR="0060274A">
        <w:instrText>ski (Toronto: Hermeneutic Press, 2003), 646.","noteIndex":57},"citationItems":[{"id":1409,"uris":["http://zotero.org/users/379369/items/4SJ9QRG9"],"uri":["http://zotero.org/users/379369/items/4SJ9QRG9"],"itemData":{"id":1409,"type":"chapter","title":"The Graft, The Residue, And Memory: Two Conversations with Paul Ricœur","container-title":"Between suspicion and sympathy: Paul Ricœur's unstable equilibrium","publisher":"Hermeneutic Press","publisher-place":"Toronto","source":"Library Catalog (Aquabrowser)","event-place":"Toronto","ISBN":"978-0-9525333-4-4","call-number":"121.686","editor":[{"family":"Wierci</w:instrText>
      </w:r>
      <w:r w:rsidR="0060274A">
        <w:rPr>
          <w:rFonts w:ascii="Cambria" w:hAnsi="Cambria" w:cs="Cambria"/>
        </w:rPr>
        <w:instrText>ń</w:instrText>
      </w:r>
      <w:r w:rsidR="0060274A">
        <w:instrText xml:space="preserve">ski","given":"Andrzej"}],"author":[{"family":"Tóth","given":"Tamás"}],"issued":{"date-parts":[["2003"]]}},"locator":"646"}],"schema":"https://github.com/citation-style-language/schema/raw/master/csl-citation.json"} </w:instrText>
      </w:r>
      <w:r>
        <w:fldChar w:fldCharType="separate"/>
      </w:r>
      <w:r w:rsidR="0060274A" w:rsidRPr="0060274A">
        <w:rPr>
          <w:rFonts w:cs="Times New Roman"/>
          <w:szCs w:val="24"/>
        </w:rPr>
        <w:t xml:space="preserve">Tamás Tóth, ‘The Graft, The Residue, And Memory: Two Conversations with Paul Ricœur’, in </w:t>
      </w:r>
      <w:r w:rsidR="0060274A" w:rsidRPr="0060274A">
        <w:rPr>
          <w:rFonts w:cs="Times New Roman"/>
          <w:i/>
          <w:iCs/>
          <w:szCs w:val="24"/>
        </w:rPr>
        <w:t>Between Suspicion and Sympathy: Paul Ricœur’s Unstable Equilibrium</w:t>
      </w:r>
      <w:r w:rsidR="0060274A" w:rsidRPr="0060274A">
        <w:rPr>
          <w:rFonts w:cs="Times New Roman"/>
          <w:szCs w:val="24"/>
        </w:rPr>
        <w:t>, ed. Andrzej Wierciński (Toronto: Hermeneutic Press, 2003), 646.</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D2" w:rsidRDefault="00D603D2">
    <w:pPr>
      <w:pStyle w:val="Header"/>
    </w:pPr>
    <w:r>
      <w:tab/>
    </w:r>
    <w:r>
      <w:tab/>
    </w:r>
    <w:r>
      <w:fldChar w:fldCharType="begin"/>
    </w:r>
    <w:r>
      <w:instrText xml:space="preserve"> PAGE   \* MERGEFORMAT </w:instrText>
    </w:r>
    <w:r>
      <w:fldChar w:fldCharType="separate"/>
    </w:r>
    <w:r>
      <w:rPr>
        <w:noProof/>
      </w:rPr>
      <w:t>12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91700"/>
    <w:multiLevelType w:val="multilevel"/>
    <w:tmpl w:val="8864C7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2415874"/>
    <w:multiLevelType w:val="hybridMultilevel"/>
    <w:tmpl w:val="67C68D3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24"/>
    <w:rsid w:val="00005B06"/>
    <w:rsid w:val="000138FF"/>
    <w:rsid w:val="00023746"/>
    <w:rsid w:val="000304E0"/>
    <w:rsid w:val="000318B7"/>
    <w:rsid w:val="000342D5"/>
    <w:rsid w:val="00045B39"/>
    <w:rsid w:val="00046769"/>
    <w:rsid w:val="00053051"/>
    <w:rsid w:val="00057801"/>
    <w:rsid w:val="000626EB"/>
    <w:rsid w:val="00076E7F"/>
    <w:rsid w:val="00077326"/>
    <w:rsid w:val="00077654"/>
    <w:rsid w:val="000806A7"/>
    <w:rsid w:val="000923A4"/>
    <w:rsid w:val="00093F48"/>
    <w:rsid w:val="000A0A8E"/>
    <w:rsid w:val="000A1207"/>
    <w:rsid w:val="000A39B2"/>
    <w:rsid w:val="000A3E1B"/>
    <w:rsid w:val="000A6D76"/>
    <w:rsid w:val="000B4753"/>
    <w:rsid w:val="000B75BD"/>
    <w:rsid w:val="000D11D5"/>
    <w:rsid w:val="000D4FF1"/>
    <w:rsid w:val="000D54DF"/>
    <w:rsid w:val="000D7766"/>
    <w:rsid w:val="000E4A50"/>
    <w:rsid w:val="000E68E3"/>
    <w:rsid w:val="000F1977"/>
    <w:rsid w:val="000F29A4"/>
    <w:rsid w:val="000F2EAA"/>
    <w:rsid w:val="00103606"/>
    <w:rsid w:val="0010580C"/>
    <w:rsid w:val="00106467"/>
    <w:rsid w:val="00114EBD"/>
    <w:rsid w:val="00120497"/>
    <w:rsid w:val="001218A6"/>
    <w:rsid w:val="00122FBE"/>
    <w:rsid w:val="0012342E"/>
    <w:rsid w:val="0012433E"/>
    <w:rsid w:val="00124F2E"/>
    <w:rsid w:val="001252C3"/>
    <w:rsid w:val="00125F27"/>
    <w:rsid w:val="00135A43"/>
    <w:rsid w:val="00137685"/>
    <w:rsid w:val="00143D8E"/>
    <w:rsid w:val="00146625"/>
    <w:rsid w:val="0015114E"/>
    <w:rsid w:val="00156170"/>
    <w:rsid w:val="00160F38"/>
    <w:rsid w:val="0016281A"/>
    <w:rsid w:val="00173E0E"/>
    <w:rsid w:val="00176196"/>
    <w:rsid w:val="00185095"/>
    <w:rsid w:val="001864A2"/>
    <w:rsid w:val="0018746F"/>
    <w:rsid w:val="00194DFD"/>
    <w:rsid w:val="001A2BE5"/>
    <w:rsid w:val="001A31E4"/>
    <w:rsid w:val="001A7A6E"/>
    <w:rsid w:val="001B5214"/>
    <w:rsid w:val="001C5FA1"/>
    <w:rsid w:val="001D14AD"/>
    <w:rsid w:val="001E079C"/>
    <w:rsid w:val="001E1BD5"/>
    <w:rsid w:val="001E1C3F"/>
    <w:rsid w:val="001E2756"/>
    <w:rsid w:val="001F0AFE"/>
    <w:rsid w:val="001F6F48"/>
    <w:rsid w:val="00212684"/>
    <w:rsid w:val="0021498C"/>
    <w:rsid w:val="00227C97"/>
    <w:rsid w:val="00230DF9"/>
    <w:rsid w:val="002322FA"/>
    <w:rsid w:val="002337B2"/>
    <w:rsid w:val="00234BAF"/>
    <w:rsid w:val="00236123"/>
    <w:rsid w:val="00237784"/>
    <w:rsid w:val="00242330"/>
    <w:rsid w:val="00247F7B"/>
    <w:rsid w:val="00251326"/>
    <w:rsid w:val="00266E21"/>
    <w:rsid w:val="00270060"/>
    <w:rsid w:val="00272334"/>
    <w:rsid w:val="0027291C"/>
    <w:rsid w:val="00290B0A"/>
    <w:rsid w:val="00292A61"/>
    <w:rsid w:val="00294934"/>
    <w:rsid w:val="002A0718"/>
    <w:rsid w:val="002A3BCA"/>
    <w:rsid w:val="002A422A"/>
    <w:rsid w:val="002A662A"/>
    <w:rsid w:val="002A7239"/>
    <w:rsid w:val="002B0A2E"/>
    <w:rsid w:val="002B3503"/>
    <w:rsid w:val="002C0874"/>
    <w:rsid w:val="002D4A5A"/>
    <w:rsid w:val="002D4C43"/>
    <w:rsid w:val="002D5DD1"/>
    <w:rsid w:val="002F128E"/>
    <w:rsid w:val="002F1540"/>
    <w:rsid w:val="002F4BC2"/>
    <w:rsid w:val="00301979"/>
    <w:rsid w:val="003020F3"/>
    <w:rsid w:val="003031E1"/>
    <w:rsid w:val="003034D8"/>
    <w:rsid w:val="00310297"/>
    <w:rsid w:val="003144FB"/>
    <w:rsid w:val="003154C0"/>
    <w:rsid w:val="00320E54"/>
    <w:rsid w:val="00321CAD"/>
    <w:rsid w:val="00325F5E"/>
    <w:rsid w:val="00326BEE"/>
    <w:rsid w:val="00326CEB"/>
    <w:rsid w:val="00332B53"/>
    <w:rsid w:val="00343D37"/>
    <w:rsid w:val="00346CBD"/>
    <w:rsid w:val="003500AF"/>
    <w:rsid w:val="003501AC"/>
    <w:rsid w:val="003530CE"/>
    <w:rsid w:val="00356B7B"/>
    <w:rsid w:val="00356D2C"/>
    <w:rsid w:val="00363008"/>
    <w:rsid w:val="003736FB"/>
    <w:rsid w:val="00386AE9"/>
    <w:rsid w:val="00390B94"/>
    <w:rsid w:val="00393B34"/>
    <w:rsid w:val="00397B11"/>
    <w:rsid w:val="003A1F78"/>
    <w:rsid w:val="003B5699"/>
    <w:rsid w:val="003B5960"/>
    <w:rsid w:val="003E1745"/>
    <w:rsid w:val="003E61FB"/>
    <w:rsid w:val="003F19A6"/>
    <w:rsid w:val="003F1E17"/>
    <w:rsid w:val="003F4063"/>
    <w:rsid w:val="004106F3"/>
    <w:rsid w:val="004122F8"/>
    <w:rsid w:val="0041252B"/>
    <w:rsid w:val="0041411E"/>
    <w:rsid w:val="00414629"/>
    <w:rsid w:val="00424F49"/>
    <w:rsid w:val="004258A1"/>
    <w:rsid w:val="0042790F"/>
    <w:rsid w:val="00432DE3"/>
    <w:rsid w:val="00435ADA"/>
    <w:rsid w:val="0045355B"/>
    <w:rsid w:val="00456EF1"/>
    <w:rsid w:val="0046138F"/>
    <w:rsid w:val="004674D5"/>
    <w:rsid w:val="00476520"/>
    <w:rsid w:val="0049465E"/>
    <w:rsid w:val="00494B7D"/>
    <w:rsid w:val="00495B36"/>
    <w:rsid w:val="004A54F5"/>
    <w:rsid w:val="004B3018"/>
    <w:rsid w:val="004E52AB"/>
    <w:rsid w:val="004E77C8"/>
    <w:rsid w:val="004F1FFA"/>
    <w:rsid w:val="004F50DE"/>
    <w:rsid w:val="004F5A77"/>
    <w:rsid w:val="00501F0D"/>
    <w:rsid w:val="00502BD6"/>
    <w:rsid w:val="00504A51"/>
    <w:rsid w:val="00505876"/>
    <w:rsid w:val="00513AAA"/>
    <w:rsid w:val="00525D79"/>
    <w:rsid w:val="00526C12"/>
    <w:rsid w:val="005274AB"/>
    <w:rsid w:val="00534CAC"/>
    <w:rsid w:val="00542124"/>
    <w:rsid w:val="00543E08"/>
    <w:rsid w:val="00556002"/>
    <w:rsid w:val="00561106"/>
    <w:rsid w:val="0056162A"/>
    <w:rsid w:val="00563AF4"/>
    <w:rsid w:val="0056654A"/>
    <w:rsid w:val="005730E7"/>
    <w:rsid w:val="0057604C"/>
    <w:rsid w:val="00577642"/>
    <w:rsid w:val="005809CC"/>
    <w:rsid w:val="00581587"/>
    <w:rsid w:val="005834AB"/>
    <w:rsid w:val="00587CC7"/>
    <w:rsid w:val="00587D8E"/>
    <w:rsid w:val="00590FFC"/>
    <w:rsid w:val="005938DD"/>
    <w:rsid w:val="00594B1C"/>
    <w:rsid w:val="00595013"/>
    <w:rsid w:val="00596C1D"/>
    <w:rsid w:val="005A3E34"/>
    <w:rsid w:val="005B289A"/>
    <w:rsid w:val="005B4C48"/>
    <w:rsid w:val="005B4DB7"/>
    <w:rsid w:val="005B5D7F"/>
    <w:rsid w:val="005C2F40"/>
    <w:rsid w:val="005D6733"/>
    <w:rsid w:val="005D7C7F"/>
    <w:rsid w:val="005F1CA8"/>
    <w:rsid w:val="005F487F"/>
    <w:rsid w:val="0060274A"/>
    <w:rsid w:val="006051C6"/>
    <w:rsid w:val="00615940"/>
    <w:rsid w:val="006164F7"/>
    <w:rsid w:val="00616999"/>
    <w:rsid w:val="00621DD9"/>
    <w:rsid w:val="00623122"/>
    <w:rsid w:val="00624CB4"/>
    <w:rsid w:val="00632B71"/>
    <w:rsid w:val="00634079"/>
    <w:rsid w:val="00634CB5"/>
    <w:rsid w:val="0064605F"/>
    <w:rsid w:val="00655BD1"/>
    <w:rsid w:val="006641E8"/>
    <w:rsid w:val="0066510C"/>
    <w:rsid w:val="0066569B"/>
    <w:rsid w:val="006659FB"/>
    <w:rsid w:val="00666F97"/>
    <w:rsid w:val="0067239A"/>
    <w:rsid w:val="006724AF"/>
    <w:rsid w:val="00672F27"/>
    <w:rsid w:val="006824CD"/>
    <w:rsid w:val="0068740A"/>
    <w:rsid w:val="00687431"/>
    <w:rsid w:val="0069112A"/>
    <w:rsid w:val="00697FB1"/>
    <w:rsid w:val="006A3501"/>
    <w:rsid w:val="006A615F"/>
    <w:rsid w:val="006B001B"/>
    <w:rsid w:val="006B1803"/>
    <w:rsid w:val="006B267A"/>
    <w:rsid w:val="006B287B"/>
    <w:rsid w:val="006B53F2"/>
    <w:rsid w:val="006C4B17"/>
    <w:rsid w:val="006D33AD"/>
    <w:rsid w:val="006D6CC4"/>
    <w:rsid w:val="006E30E7"/>
    <w:rsid w:val="006F0E9B"/>
    <w:rsid w:val="006F1F11"/>
    <w:rsid w:val="00700328"/>
    <w:rsid w:val="00701D93"/>
    <w:rsid w:val="007052B9"/>
    <w:rsid w:val="00712C02"/>
    <w:rsid w:val="00715CB4"/>
    <w:rsid w:val="00721B3B"/>
    <w:rsid w:val="00722314"/>
    <w:rsid w:val="00724AB4"/>
    <w:rsid w:val="00724ED9"/>
    <w:rsid w:val="00736F6D"/>
    <w:rsid w:val="00746535"/>
    <w:rsid w:val="0075159A"/>
    <w:rsid w:val="00755984"/>
    <w:rsid w:val="00762D4F"/>
    <w:rsid w:val="00762DB0"/>
    <w:rsid w:val="00770404"/>
    <w:rsid w:val="007811D0"/>
    <w:rsid w:val="007848E9"/>
    <w:rsid w:val="00785585"/>
    <w:rsid w:val="00785A64"/>
    <w:rsid w:val="00787DA1"/>
    <w:rsid w:val="00794010"/>
    <w:rsid w:val="00795457"/>
    <w:rsid w:val="007B11B2"/>
    <w:rsid w:val="007C05B9"/>
    <w:rsid w:val="007C2306"/>
    <w:rsid w:val="007D4E46"/>
    <w:rsid w:val="007E7977"/>
    <w:rsid w:val="007F1A68"/>
    <w:rsid w:val="00801CB9"/>
    <w:rsid w:val="008119CD"/>
    <w:rsid w:val="00811EAE"/>
    <w:rsid w:val="00816B48"/>
    <w:rsid w:val="008238CA"/>
    <w:rsid w:val="008319A4"/>
    <w:rsid w:val="00842ED5"/>
    <w:rsid w:val="00843921"/>
    <w:rsid w:val="008454C5"/>
    <w:rsid w:val="00846C50"/>
    <w:rsid w:val="0085209D"/>
    <w:rsid w:val="00852361"/>
    <w:rsid w:val="008552F6"/>
    <w:rsid w:val="00857573"/>
    <w:rsid w:val="00861FDF"/>
    <w:rsid w:val="0086547A"/>
    <w:rsid w:val="00877DCA"/>
    <w:rsid w:val="00883171"/>
    <w:rsid w:val="008857F9"/>
    <w:rsid w:val="00886B03"/>
    <w:rsid w:val="00897906"/>
    <w:rsid w:val="008A1464"/>
    <w:rsid w:val="008B54C0"/>
    <w:rsid w:val="008C0660"/>
    <w:rsid w:val="008C2F65"/>
    <w:rsid w:val="008D0B3A"/>
    <w:rsid w:val="008D3AB5"/>
    <w:rsid w:val="008D54D6"/>
    <w:rsid w:val="008E5873"/>
    <w:rsid w:val="008E58A4"/>
    <w:rsid w:val="008E7D89"/>
    <w:rsid w:val="008F0B85"/>
    <w:rsid w:val="008F7AAF"/>
    <w:rsid w:val="00900588"/>
    <w:rsid w:val="00901DAF"/>
    <w:rsid w:val="00907506"/>
    <w:rsid w:val="009076B1"/>
    <w:rsid w:val="009338AE"/>
    <w:rsid w:val="009347E0"/>
    <w:rsid w:val="00935531"/>
    <w:rsid w:val="009412EB"/>
    <w:rsid w:val="00956A44"/>
    <w:rsid w:val="009611E4"/>
    <w:rsid w:val="00965F4E"/>
    <w:rsid w:val="009755F4"/>
    <w:rsid w:val="009825E4"/>
    <w:rsid w:val="00982F85"/>
    <w:rsid w:val="00983C8A"/>
    <w:rsid w:val="0098566D"/>
    <w:rsid w:val="00993925"/>
    <w:rsid w:val="00994EE5"/>
    <w:rsid w:val="00997128"/>
    <w:rsid w:val="0099754C"/>
    <w:rsid w:val="009A2F32"/>
    <w:rsid w:val="009A3811"/>
    <w:rsid w:val="009A55A7"/>
    <w:rsid w:val="009B358C"/>
    <w:rsid w:val="009B39E8"/>
    <w:rsid w:val="009B402C"/>
    <w:rsid w:val="009B74D2"/>
    <w:rsid w:val="009C73BB"/>
    <w:rsid w:val="009D2DB9"/>
    <w:rsid w:val="009D4269"/>
    <w:rsid w:val="009F0922"/>
    <w:rsid w:val="009F772B"/>
    <w:rsid w:val="00A0184B"/>
    <w:rsid w:val="00A01B45"/>
    <w:rsid w:val="00A12F14"/>
    <w:rsid w:val="00A1371E"/>
    <w:rsid w:val="00A164AA"/>
    <w:rsid w:val="00A17407"/>
    <w:rsid w:val="00A22BD0"/>
    <w:rsid w:val="00A277C1"/>
    <w:rsid w:val="00A355E3"/>
    <w:rsid w:val="00A409BD"/>
    <w:rsid w:val="00A41DD6"/>
    <w:rsid w:val="00A4347A"/>
    <w:rsid w:val="00A64442"/>
    <w:rsid w:val="00A73A01"/>
    <w:rsid w:val="00A82F91"/>
    <w:rsid w:val="00A87536"/>
    <w:rsid w:val="00A904A9"/>
    <w:rsid w:val="00A9189F"/>
    <w:rsid w:val="00AA1488"/>
    <w:rsid w:val="00AA156F"/>
    <w:rsid w:val="00AA3DFF"/>
    <w:rsid w:val="00AB0E45"/>
    <w:rsid w:val="00AB30DF"/>
    <w:rsid w:val="00AD2526"/>
    <w:rsid w:val="00AE2714"/>
    <w:rsid w:val="00AE497C"/>
    <w:rsid w:val="00AE524F"/>
    <w:rsid w:val="00AE7C90"/>
    <w:rsid w:val="00AF3983"/>
    <w:rsid w:val="00B02166"/>
    <w:rsid w:val="00B03AC9"/>
    <w:rsid w:val="00B118D2"/>
    <w:rsid w:val="00B2727F"/>
    <w:rsid w:val="00B3130C"/>
    <w:rsid w:val="00B334E4"/>
    <w:rsid w:val="00B36670"/>
    <w:rsid w:val="00B45C58"/>
    <w:rsid w:val="00B64455"/>
    <w:rsid w:val="00B6716C"/>
    <w:rsid w:val="00B67933"/>
    <w:rsid w:val="00B67F45"/>
    <w:rsid w:val="00B740D3"/>
    <w:rsid w:val="00B81962"/>
    <w:rsid w:val="00B82A1A"/>
    <w:rsid w:val="00B8437E"/>
    <w:rsid w:val="00B87F12"/>
    <w:rsid w:val="00B90845"/>
    <w:rsid w:val="00B954D3"/>
    <w:rsid w:val="00BA12FB"/>
    <w:rsid w:val="00BA47D8"/>
    <w:rsid w:val="00BB2E73"/>
    <w:rsid w:val="00BB6293"/>
    <w:rsid w:val="00BB6F80"/>
    <w:rsid w:val="00BC005C"/>
    <w:rsid w:val="00BC32D8"/>
    <w:rsid w:val="00BC7336"/>
    <w:rsid w:val="00BD0AB7"/>
    <w:rsid w:val="00BD16EB"/>
    <w:rsid w:val="00BE1CC0"/>
    <w:rsid w:val="00BE3378"/>
    <w:rsid w:val="00BE59DE"/>
    <w:rsid w:val="00BE59F9"/>
    <w:rsid w:val="00BF04DF"/>
    <w:rsid w:val="00C04A2F"/>
    <w:rsid w:val="00C21B3E"/>
    <w:rsid w:val="00C265E4"/>
    <w:rsid w:val="00C34EBE"/>
    <w:rsid w:val="00C40299"/>
    <w:rsid w:val="00C46589"/>
    <w:rsid w:val="00C503CE"/>
    <w:rsid w:val="00C55F6C"/>
    <w:rsid w:val="00C56D5F"/>
    <w:rsid w:val="00C64919"/>
    <w:rsid w:val="00C70EFA"/>
    <w:rsid w:val="00C71809"/>
    <w:rsid w:val="00C74DAE"/>
    <w:rsid w:val="00C75513"/>
    <w:rsid w:val="00C82FFB"/>
    <w:rsid w:val="00C901CA"/>
    <w:rsid w:val="00C90E12"/>
    <w:rsid w:val="00C94F8F"/>
    <w:rsid w:val="00CA3FC0"/>
    <w:rsid w:val="00CA7B33"/>
    <w:rsid w:val="00CB18B2"/>
    <w:rsid w:val="00CB3272"/>
    <w:rsid w:val="00CB51E6"/>
    <w:rsid w:val="00CC0CF0"/>
    <w:rsid w:val="00CD5ED2"/>
    <w:rsid w:val="00CD63E4"/>
    <w:rsid w:val="00CE29C4"/>
    <w:rsid w:val="00CE6457"/>
    <w:rsid w:val="00CF3A34"/>
    <w:rsid w:val="00D06BDE"/>
    <w:rsid w:val="00D1001F"/>
    <w:rsid w:val="00D131FB"/>
    <w:rsid w:val="00D13E9F"/>
    <w:rsid w:val="00D2000C"/>
    <w:rsid w:val="00D21119"/>
    <w:rsid w:val="00D2245F"/>
    <w:rsid w:val="00D32397"/>
    <w:rsid w:val="00D34115"/>
    <w:rsid w:val="00D34F3E"/>
    <w:rsid w:val="00D4022E"/>
    <w:rsid w:val="00D4382F"/>
    <w:rsid w:val="00D4488E"/>
    <w:rsid w:val="00D454A7"/>
    <w:rsid w:val="00D475C4"/>
    <w:rsid w:val="00D507C6"/>
    <w:rsid w:val="00D5495B"/>
    <w:rsid w:val="00D56CEF"/>
    <w:rsid w:val="00D603D2"/>
    <w:rsid w:val="00D705DB"/>
    <w:rsid w:val="00D70C67"/>
    <w:rsid w:val="00D77A14"/>
    <w:rsid w:val="00D8001B"/>
    <w:rsid w:val="00D8687B"/>
    <w:rsid w:val="00D86E7A"/>
    <w:rsid w:val="00D906DB"/>
    <w:rsid w:val="00D91500"/>
    <w:rsid w:val="00D92109"/>
    <w:rsid w:val="00DA3CEA"/>
    <w:rsid w:val="00DA45CE"/>
    <w:rsid w:val="00DA5F6E"/>
    <w:rsid w:val="00DA76B1"/>
    <w:rsid w:val="00DB481E"/>
    <w:rsid w:val="00DC6837"/>
    <w:rsid w:val="00DD0D3B"/>
    <w:rsid w:val="00DD3153"/>
    <w:rsid w:val="00DD5F31"/>
    <w:rsid w:val="00DF3BD5"/>
    <w:rsid w:val="00DF6F35"/>
    <w:rsid w:val="00E00E84"/>
    <w:rsid w:val="00E03BF0"/>
    <w:rsid w:val="00E05867"/>
    <w:rsid w:val="00E14ED5"/>
    <w:rsid w:val="00E14FCC"/>
    <w:rsid w:val="00E30931"/>
    <w:rsid w:val="00E31A0E"/>
    <w:rsid w:val="00E52EFC"/>
    <w:rsid w:val="00E61D72"/>
    <w:rsid w:val="00E63623"/>
    <w:rsid w:val="00E763A1"/>
    <w:rsid w:val="00E97E26"/>
    <w:rsid w:val="00EA0731"/>
    <w:rsid w:val="00EA6A85"/>
    <w:rsid w:val="00EA7B75"/>
    <w:rsid w:val="00EB3635"/>
    <w:rsid w:val="00EB45D2"/>
    <w:rsid w:val="00EB7483"/>
    <w:rsid w:val="00EC03DA"/>
    <w:rsid w:val="00EC42DE"/>
    <w:rsid w:val="00EC6858"/>
    <w:rsid w:val="00ED0203"/>
    <w:rsid w:val="00ED2517"/>
    <w:rsid w:val="00EE21F7"/>
    <w:rsid w:val="00EE321D"/>
    <w:rsid w:val="00EE747F"/>
    <w:rsid w:val="00F03CFC"/>
    <w:rsid w:val="00F114F9"/>
    <w:rsid w:val="00F13A52"/>
    <w:rsid w:val="00F164CF"/>
    <w:rsid w:val="00F23679"/>
    <w:rsid w:val="00F268D0"/>
    <w:rsid w:val="00F308A2"/>
    <w:rsid w:val="00F446C0"/>
    <w:rsid w:val="00F5052E"/>
    <w:rsid w:val="00F51249"/>
    <w:rsid w:val="00F54AD0"/>
    <w:rsid w:val="00F55EC4"/>
    <w:rsid w:val="00F63E4F"/>
    <w:rsid w:val="00F75E57"/>
    <w:rsid w:val="00F769F1"/>
    <w:rsid w:val="00F8083D"/>
    <w:rsid w:val="00F82F6B"/>
    <w:rsid w:val="00F865D7"/>
    <w:rsid w:val="00FA308D"/>
    <w:rsid w:val="00FB3961"/>
    <w:rsid w:val="00FB63DA"/>
    <w:rsid w:val="00FC5981"/>
    <w:rsid w:val="00FD5F89"/>
    <w:rsid w:val="00FD7511"/>
    <w:rsid w:val="00FF07B8"/>
    <w:rsid w:val="00FF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8E4B"/>
  <w15:chartTrackingRefBased/>
  <w15:docId w15:val="{7CF46052-035D-4D0E-BFF2-3C1CCBBE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45F"/>
    <w:pPr>
      <w:ind w:firstLine="340"/>
      <w:jc w:val="both"/>
    </w:pPr>
    <w:rPr>
      <w:rFonts w:ascii="Perpetua" w:hAnsi="Perpetua"/>
      <w:sz w:val="28"/>
    </w:rPr>
  </w:style>
  <w:style w:type="paragraph" w:styleId="Heading1">
    <w:name w:val="heading 1"/>
    <w:basedOn w:val="Normal"/>
    <w:next w:val="Normal"/>
    <w:link w:val="Heading1Char"/>
    <w:uiPriority w:val="9"/>
    <w:qFormat/>
    <w:rsid w:val="0049465E"/>
    <w:pPr>
      <w:keepNext/>
      <w:keepLines/>
      <w:numPr>
        <w:numId w:val="5"/>
      </w:numPr>
      <w:spacing w:before="240" w:after="0"/>
      <w:jc w:val="left"/>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A3501"/>
    <w:pPr>
      <w:keepNext/>
      <w:keepLines/>
      <w:numPr>
        <w:ilvl w:val="1"/>
        <w:numId w:val="5"/>
      </w:numP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6A3501"/>
    <w:pPr>
      <w:keepNext/>
      <w:keepLines/>
      <w:numPr>
        <w:ilvl w:val="2"/>
        <w:numId w:val="5"/>
      </w:numPr>
      <w:spacing w:before="40" w:after="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6A3501"/>
    <w:pPr>
      <w:keepNext/>
      <w:keepLines/>
      <w:numPr>
        <w:ilvl w:val="3"/>
        <w:numId w:val="5"/>
      </w:numPr>
      <w:spacing w:before="40" w:after="0"/>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90845"/>
    <w:pPr>
      <w:spacing w:before="200" w:after="200" w:line="240" w:lineRule="auto"/>
      <w:ind w:left="862" w:right="862" w:firstLine="0"/>
    </w:pPr>
    <w:rPr>
      <w:iCs/>
      <w:sz w:val="24"/>
    </w:rPr>
  </w:style>
  <w:style w:type="character" w:customStyle="1" w:styleId="QuoteChar">
    <w:name w:val="Quote Char"/>
    <w:basedOn w:val="DefaultParagraphFont"/>
    <w:link w:val="Quote"/>
    <w:uiPriority w:val="29"/>
    <w:rsid w:val="00B90845"/>
    <w:rPr>
      <w:rFonts w:ascii="Perpetua" w:hAnsi="Perpetua"/>
      <w:iCs/>
      <w:sz w:val="24"/>
    </w:rPr>
  </w:style>
  <w:style w:type="paragraph" w:styleId="Header">
    <w:name w:val="header"/>
    <w:basedOn w:val="Normal"/>
    <w:link w:val="HeaderChar"/>
    <w:uiPriority w:val="99"/>
    <w:unhideWhenUsed/>
    <w:rsid w:val="00F308A2"/>
    <w:pPr>
      <w:tabs>
        <w:tab w:val="center" w:pos="4513"/>
        <w:tab w:val="right" w:pos="9026"/>
      </w:tabs>
      <w:spacing w:after="0" w:line="240" w:lineRule="auto"/>
      <w:ind w:firstLine="0"/>
    </w:pPr>
    <w:rPr>
      <w:sz w:val="24"/>
    </w:rPr>
  </w:style>
  <w:style w:type="character" w:customStyle="1" w:styleId="HeaderChar">
    <w:name w:val="Header Char"/>
    <w:basedOn w:val="DefaultParagraphFont"/>
    <w:link w:val="Header"/>
    <w:uiPriority w:val="99"/>
    <w:rsid w:val="00F308A2"/>
    <w:rPr>
      <w:rFonts w:ascii="Perpetua" w:hAnsi="Perpetua"/>
      <w:sz w:val="24"/>
    </w:rPr>
  </w:style>
  <w:style w:type="character" w:customStyle="1" w:styleId="Heading1Char">
    <w:name w:val="Heading 1 Char"/>
    <w:basedOn w:val="DefaultParagraphFont"/>
    <w:link w:val="Heading1"/>
    <w:uiPriority w:val="9"/>
    <w:rsid w:val="0049465E"/>
    <w:rPr>
      <w:rFonts w:asciiTheme="majorHAnsi" w:eastAsiaTheme="majorEastAsia" w:hAnsiTheme="majorHAnsi" w:cstheme="majorBidi"/>
      <w:b/>
      <w:sz w:val="32"/>
      <w:szCs w:val="32"/>
    </w:rPr>
  </w:style>
  <w:style w:type="paragraph" w:styleId="FootnoteText">
    <w:name w:val="footnote text"/>
    <w:basedOn w:val="Normal"/>
    <w:link w:val="FootnoteTextChar"/>
    <w:uiPriority w:val="99"/>
    <w:unhideWhenUsed/>
    <w:qFormat/>
    <w:rsid w:val="001E1C3F"/>
    <w:pPr>
      <w:spacing w:after="0" w:line="240" w:lineRule="auto"/>
      <w:ind w:firstLine="0"/>
    </w:pPr>
    <w:rPr>
      <w:sz w:val="20"/>
      <w:szCs w:val="20"/>
    </w:rPr>
  </w:style>
  <w:style w:type="character" w:customStyle="1" w:styleId="FootnoteTextChar">
    <w:name w:val="Footnote Text Char"/>
    <w:basedOn w:val="DefaultParagraphFont"/>
    <w:link w:val="FootnoteText"/>
    <w:uiPriority w:val="99"/>
    <w:rsid w:val="001E1C3F"/>
    <w:rPr>
      <w:rFonts w:ascii="Perpetua" w:hAnsi="Perpetua"/>
      <w:sz w:val="20"/>
      <w:szCs w:val="20"/>
    </w:rPr>
  </w:style>
  <w:style w:type="character" w:customStyle="1" w:styleId="Heading2Char">
    <w:name w:val="Heading 2 Char"/>
    <w:basedOn w:val="DefaultParagraphFont"/>
    <w:link w:val="Heading2"/>
    <w:uiPriority w:val="9"/>
    <w:rsid w:val="006A3501"/>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F308A2"/>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F308A2"/>
    <w:rPr>
      <w:rFonts w:asciiTheme="majorHAnsi" w:eastAsiaTheme="majorEastAsia" w:hAnsiTheme="majorHAnsi" w:cstheme="majorBidi"/>
      <w:b/>
      <w:iCs/>
      <w:sz w:val="24"/>
    </w:rPr>
  </w:style>
  <w:style w:type="paragraph" w:styleId="Bibliography">
    <w:name w:val="Bibliography"/>
    <w:basedOn w:val="Normal"/>
    <w:next w:val="Normal"/>
    <w:uiPriority w:val="37"/>
    <w:unhideWhenUsed/>
    <w:qFormat/>
    <w:rsid w:val="00712C02"/>
    <w:pPr>
      <w:spacing w:after="0" w:line="240" w:lineRule="auto"/>
      <w:ind w:left="720" w:hanging="720"/>
      <w:jc w:val="left"/>
    </w:pPr>
  </w:style>
  <w:style w:type="paragraph" w:styleId="Footer">
    <w:name w:val="footer"/>
    <w:basedOn w:val="Normal"/>
    <w:link w:val="FooterChar"/>
    <w:uiPriority w:val="99"/>
    <w:unhideWhenUsed/>
    <w:rsid w:val="004106F3"/>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4106F3"/>
    <w:rPr>
      <w:rFonts w:ascii="Perpetua" w:hAnsi="Perpetua"/>
      <w:sz w:val="24"/>
    </w:rPr>
  </w:style>
  <w:style w:type="paragraph" w:customStyle="1" w:styleId="BibleQuote">
    <w:name w:val="Bible Quote"/>
    <w:basedOn w:val="Quote"/>
    <w:qFormat/>
    <w:rsid w:val="009347E0"/>
    <w:pPr>
      <w:pBdr>
        <w:left w:val="single" w:sz="4" w:space="4" w:color="auto"/>
        <w:right w:val="single" w:sz="4" w:space="4" w:color="auto"/>
      </w:pBdr>
      <w:spacing w:before="120" w:after="120"/>
      <w:contextualSpacing/>
    </w:pPr>
    <w:rPr>
      <w:rFonts w:ascii="Helvetica" w:hAnsi="Helvetica"/>
      <w:sz w:val="22"/>
    </w:rPr>
  </w:style>
  <w:style w:type="paragraph" w:styleId="ListParagraph">
    <w:name w:val="List Paragraph"/>
    <w:basedOn w:val="Normal"/>
    <w:uiPriority w:val="34"/>
    <w:qFormat/>
    <w:rsid w:val="006641E8"/>
    <w:pPr>
      <w:spacing w:after="0" w:line="276" w:lineRule="auto"/>
      <w:ind w:left="720" w:firstLine="0"/>
      <w:contextualSpacing/>
      <w:jc w:val="left"/>
    </w:pPr>
    <w:rPr>
      <w:rFonts w:eastAsiaTheme="minorEastAsia"/>
      <w:szCs w:val="20"/>
      <w:lang w:eastAsia="en-GB"/>
    </w:rPr>
  </w:style>
  <w:style w:type="paragraph" w:styleId="Title">
    <w:name w:val="Title"/>
    <w:basedOn w:val="Normal"/>
    <w:next w:val="Normal"/>
    <w:link w:val="TitleChar"/>
    <w:uiPriority w:val="10"/>
    <w:qFormat/>
    <w:rsid w:val="00542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124"/>
    <w:rPr>
      <w:rFonts w:asciiTheme="majorHAnsi" w:eastAsiaTheme="majorEastAsia" w:hAnsiTheme="majorHAnsi" w:cstheme="majorBidi"/>
      <w:spacing w:val="-10"/>
      <w:kern w:val="28"/>
      <w:sz w:val="56"/>
      <w:szCs w:val="56"/>
    </w:rPr>
  </w:style>
  <w:style w:type="character" w:styleId="FootnoteReference">
    <w:name w:val="footnote reference"/>
    <w:basedOn w:val="DefaultParagraphFont"/>
    <w:uiPriority w:val="99"/>
    <w:semiHidden/>
    <w:unhideWhenUsed/>
    <w:rsid w:val="00982F85"/>
    <w:rPr>
      <w:vertAlign w:val="superscript"/>
    </w:rPr>
  </w:style>
  <w:style w:type="paragraph" w:customStyle="1" w:styleId="Quotation">
    <w:name w:val="Quotation"/>
    <w:basedOn w:val="Normal"/>
    <w:qFormat/>
    <w:rsid w:val="000318B7"/>
    <w:pPr>
      <w:spacing w:after="360" w:line="240" w:lineRule="auto"/>
      <w:ind w:left="720" w:right="720"/>
      <w:jc w:val="left"/>
    </w:pPr>
    <w:rPr>
      <w:rFonts w:asciiTheme="minorHAnsi" w:hAnsiTheme="minorHAnsi"/>
      <w:sz w:val="20"/>
      <w:lang w:bidi="he-IL"/>
    </w:rPr>
  </w:style>
  <w:style w:type="paragraph" w:styleId="BalloonText">
    <w:name w:val="Balloon Text"/>
    <w:basedOn w:val="Normal"/>
    <w:link w:val="BalloonTextChar"/>
    <w:uiPriority w:val="99"/>
    <w:semiHidden/>
    <w:unhideWhenUsed/>
    <w:rsid w:val="00BB6F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6F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65D7"/>
    <w:rPr>
      <w:sz w:val="18"/>
      <w:szCs w:val="18"/>
    </w:rPr>
  </w:style>
  <w:style w:type="paragraph" w:styleId="CommentText">
    <w:name w:val="annotation text"/>
    <w:basedOn w:val="Normal"/>
    <w:link w:val="CommentTextChar"/>
    <w:uiPriority w:val="99"/>
    <w:unhideWhenUsed/>
    <w:rsid w:val="00F865D7"/>
    <w:pPr>
      <w:spacing w:line="240" w:lineRule="auto"/>
    </w:pPr>
    <w:rPr>
      <w:sz w:val="24"/>
      <w:szCs w:val="24"/>
    </w:rPr>
  </w:style>
  <w:style w:type="character" w:customStyle="1" w:styleId="CommentTextChar">
    <w:name w:val="Comment Text Char"/>
    <w:basedOn w:val="DefaultParagraphFont"/>
    <w:link w:val="CommentText"/>
    <w:uiPriority w:val="99"/>
    <w:rsid w:val="00F865D7"/>
    <w:rPr>
      <w:rFonts w:ascii="Perpetua" w:hAnsi="Perpetua"/>
      <w:sz w:val="24"/>
      <w:szCs w:val="24"/>
    </w:rPr>
  </w:style>
  <w:style w:type="paragraph" w:styleId="CommentSubject">
    <w:name w:val="annotation subject"/>
    <w:basedOn w:val="CommentText"/>
    <w:next w:val="CommentText"/>
    <w:link w:val="CommentSubjectChar"/>
    <w:uiPriority w:val="99"/>
    <w:semiHidden/>
    <w:unhideWhenUsed/>
    <w:rsid w:val="00F865D7"/>
    <w:rPr>
      <w:b/>
      <w:bCs/>
      <w:sz w:val="20"/>
      <w:szCs w:val="20"/>
    </w:rPr>
  </w:style>
  <w:style w:type="character" w:customStyle="1" w:styleId="CommentSubjectChar">
    <w:name w:val="Comment Subject Char"/>
    <w:basedOn w:val="CommentTextChar"/>
    <w:link w:val="CommentSubject"/>
    <w:uiPriority w:val="99"/>
    <w:semiHidden/>
    <w:rsid w:val="00F865D7"/>
    <w:rPr>
      <w:rFonts w:ascii="Perpetua" w:hAnsi="Perpet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9196">
      <w:bodyDiv w:val="1"/>
      <w:marLeft w:val="0"/>
      <w:marRight w:val="0"/>
      <w:marTop w:val="0"/>
      <w:marBottom w:val="0"/>
      <w:divBdr>
        <w:top w:val="none" w:sz="0" w:space="0" w:color="auto"/>
        <w:left w:val="none" w:sz="0" w:space="0" w:color="auto"/>
        <w:bottom w:val="none" w:sz="0" w:space="0" w:color="auto"/>
        <w:right w:val="none" w:sz="0" w:space="0" w:color="auto"/>
      </w:divBdr>
      <w:divsChild>
        <w:div w:id="1992518723">
          <w:marLeft w:val="0"/>
          <w:marRight w:val="0"/>
          <w:marTop w:val="0"/>
          <w:marBottom w:val="0"/>
          <w:divBdr>
            <w:top w:val="none" w:sz="0" w:space="0" w:color="auto"/>
            <w:left w:val="none" w:sz="0" w:space="0" w:color="auto"/>
            <w:bottom w:val="none" w:sz="0" w:space="0" w:color="auto"/>
            <w:right w:val="none" w:sz="0" w:space="0" w:color="auto"/>
          </w:divBdr>
        </w:div>
        <w:div w:id="1577669262">
          <w:marLeft w:val="0"/>
          <w:marRight w:val="0"/>
          <w:marTop w:val="0"/>
          <w:marBottom w:val="0"/>
          <w:divBdr>
            <w:top w:val="none" w:sz="0" w:space="0" w:color="auto"/>
            <w:left w:val="none" w:sz="0" w:space="0" w:color="auto"/>
            <w:bottom w:val="none" w:sz="0" w:space="0" w:color="auto"/>
            <w:right w:val="none" w:sz="0" w:space="0" w:color="auto"/>
          </w:divBdr>
        </w:div>
        <w:div w:id="1046872697">
          <w:marLeft w:val="0"/>
          <w:marRight w:val="0"/>
          <w:marTop w:val="0"/>
          <w:marBottom w:val="0"/>
          <w:divBdr>
            <w:top w:val="none" w:sz="0" w:space="0" w:color="auto"/>
            <w:left w:val="none" w:sz="0" w:space="0" w:color="auto"/>
            <w:bottom w:val="none" w:sz="0" w:space="0" w:color="auto"/>
            <w:right w:val="none" w:sz="0" w:space="0" w:color="auto"/>
          </w:divBdr>
        </w:div>
        <w:div w:id="1540239932">
          <w:marLeft w:val="0"/>
          <w:marRight w:val="0"/>
          <w:marTop w:val="0"/>
          <w:marBottom w:val="0"/>
          <w:divBdr>
            <w:top w:val="none" w:sz="0" w:space="0" w:color="auto"/>
            <w:left w:val="none" w:sz="0" w:space="0" w:color="auto"/>
            <w:bottom w:val="none" w:sz="0" w:space="0" w:color="auto"/>
            <w:right w:val="none" w:sz="0" w:space="0" w:color="auto"/>
          </w:divBdr>
        </w:div>
        <w:div w:id="1255943141">
          <w:marLeft w:val="0"/>
          <w:marRight w:val="0"/>
          <w:marTop w:val="0"/>
          <w:marBottom w:val="0"/>
          <w:divBdr>
            <w:top w:val="none" w:sz="0" w:space="0" w:color="auto"/>
            <w:left w:val="none" w:sz="0" w:space="0" w:color="auto"/>
            <w:bottom w:val="none" w:sz="0" w:space="0" w:color="auto"/>
            <w:right w:val="none" w:sz="0" w:space="0" w:color="auto"/>
          </w:divBdr>
        </w:div>
      </w:divsChild>
    </w:div>
    <w:div w:id="386496346">
      <w:bodyDiv w:val="1"/>
      <w:marLeft w:val="0"/>
      <w:marRight w:val="0"/>
      <w:marTop w:val="0"/>
      <w:marBottom w:val="0"/>
      <w:divBdr>
        <w:top w:val="none" w:sz="0" w:space="0" w:color="auto"/>
        <w:left w:val="none" w:sz="0" w:space="0" w:color="auto"/>
        <w:bottom w:val="none" w:sz="0" w:space="0" w:color="auto"/>
        <w:right w:val="none" w:sz="0" w:space="0" w:color="auto"/>
      </w:divBdr>
      <w:divsChild>
        <w:div w:id="1699812824">
          <w:marLeft w:val="0"/>
          <w:marRight w:val="0"/>
          <w:marTop w:val="0"/>
          <w:marBottom w:val="0"/>
          <w:divBdr>
            <w:top w:val="none" w:sz="0" w:space="0" w:color="auto"/>
            <w:left w:val="none" w:sz="0" w:space="0" w:color="auto"/>
            <w:bottom w:val="none" w:sz="0" w:space="0" w:color="auto"/>
            <w:right w:val="none" w:sz="0" w:space="0" w:color="auto"/>
          </w:divBdr>
        </w:div>
      </w:divsChild>
    </w:div>
    <w:div w:id="703797711">
      <w:bodyDiv w:val="1"/>
      <w:marLeft w:val="0"/>
      <w:marRight w:val="0"/>
      <w:marTop w:val="0"/>
      <w:marBottom w:val="0"/>
      <w:divBdr>
        <w:top w:val="none" w:sz="0" w:space="0" w:color="auto"/>
        <w:left w:val="none" w:sz="0" w:space="0" w:color="auto"/>
        <w:bottom w:val="none" w:sz="0" w:space="0" w:color="auto"/>
        <w:right w:val="none" w:sz="0" w:space="0" w:color="auto"/>
      </w:divBdr>
      <w:divsChild>
        <w:div w:id="1275093997">
          <w:marLeft w:val="0"/>
          <w:marRight w:val="0"/>
          <w:marTop w:val="0"/>
          <w:marBottom w:val="0"/>
          <w:divBdr>
            <w:top w:val="none" w:sz="0" w:space="0" w:color="auto"/>
            <w:left w:val="none" w:sz="0" w:space="0" w:color="auto"/>
            <w:bottom w:val="none" w:sz="0" w:space="0" w:color="auto"/>
            <w:right w:val="none" w:sz="0" w:space="0" w:color="auto"/>
          </w:divBdr>
        </w:div>
      </w:divsChild>
    </w:div>
    <w:div w:id="721749918">
      <w:bodyDiv w:val="1"/>
      <w:marLeft w:val="0"/>
      <w:marRight w:val="0"/>
      <w:marTop w:val="0"/>
      <w:marBottom w:val="0"/>
      <w:divBdr>
        <w:top w:val="none" w:sz="0" w:space="0" w:color="auto"/>
        <w:left w:val="none" w:sz="0" w:space="0" w:color="auto"/>
        <w:bottom w:val="none" w:sz="0" w:space="0" w:color="auto"/>
        <w:right w:val="none" w:sz="0" w:space="0" w:color="auto"/>
      </w:divBdr>
      <w:divsChild>
        <w:div w:id="272055445">
          <w:marLeft w:val="0"/>
          <w:marRight w:val="0"/>
          <w:marTop w:val="0"/>
          <w:marBottom w:val="0"/>
          <w:divBdr>
            <w:top w:val="none" w:sz="0" w:space="0" w:color="auto"/>
            <w:left w:val="none" w:sz="0" w:space="0" w:color="auto"/>
            <w:bottom w:val="none" w:sz="0" w:space="0" w:color="auto"/>
            <w:right w:val="none" w:sz="0" w:space="0" w:color="auto"/>
          </w:divBdr>
        </w:div>
      </w:divsChild>
    </w:div>
    <w:div w:id="1267927368">
      <w:bodyDiv w:val="1"/>
      <w:marLeft w:val="0"/>
      <w:marRight w:val="0"/>
      <w:marTop w:val="0"/>
      <w:marBottom w:val="0"/>
      <w:divBdr>
        <w:top w:val="none" w:sz="0" w:space="0" w:color="auto"/>
        <w:left w:val="none" w:sz="0" w:space="0" w:color="auto"/>
        <w:bottom w:val="none" w:sz="0" w:space="0" w:color="auto"/>
        <w:right w:val="none" w:sz="0" w:space="0" w:color="auto"/>
      </w:divBdr>
      <w:divsChild>
        <w:div w:id="990401934">
          <w:marLeft w:val="0"/>
          <w:marRight w:val="0"/>
          <w:marTop w:val="0"/>
          <w:marBottom w:val="0"/>
          <w:divBdr>
            <w:top w:val="none" w:sz="0" w:space="0" w:color="auto"/>
            <w:left w:val="none" w:sz="0" w:space="0" w:color="auto"/>
            <w:bottom w:val="none" w:sz="0" w:space="0" w:color="auto"/>
            <w:right w:val="none" w:sz="0" w:space="0" w:color="auto"/>
          </w:divBdr>
        </w:div>
      </w:divsChild>
    </w:div>
    <w:div w:id="1499079112">
      <w:bodyDiv w:val="1"/>
      <w:marLeft w:val="0"/>
      <w:marRight w:val="0"/>
      <w:marTop w:val="0"/>
      <w:marBottom w:val="0"/>
      <w:divBdr>
        <w:top w:val="none" w:sz="0" w:space="0" w:color="auto"/>
        <w:left w:val="none" w:sz="0" w:space="0" w:color="auto"/>
        <w:bottom w:val="none" w:sz="0" w:space="0" w:color="auto"/>
        <w:right w:val="none" w:sz="0" w:space="0" w:color="auto"/>
      </w:divBdr>
      <w:divsChild>
        <w:div w:id="1059599116">
          <w:marLeft w:val="0"/>
          <w:marRight w:val="0"/>
          <w:marTop w:val="0"/>
          <w:marBottom w:val="0"/>
          <w:divBdr>
            <w:top w:val="none" w:sz="0" w:space="0" w:color="auto"/>
            <w:left w:val="none" w:sz="0" w:space="0" w:color="auto"/>
            <w:bottom w:val="none" w:sz="0" w:space="0" w:color="auto"/>
            <w:right w:val="none" w:sz="0" w:space="0" w:color="auto"/>
          </w:divBdr>
        </w:div>
      </w:divsChild>
    </w:div>
    <w:div w:id="1989089274">
      <w:bodyDiv w:val="1"/>
      <w:marLeft w:val="0"/>
      <w:marRight w:val="0"/>
      <w:marTop w:val="0"/>
      <w:marBottom w:val="0"/>
      <w:divBdr>
        <w:top w:val="none" w:sz="0" w:space="0" w:color="auto"/>
        <w:left w:val="none" w:sz="0" w:space="0" w:color="auto"/>
        <w:bottom w:val="none" w:sz="0" w:space="0" w:color="auto"/>
        <w:right w:val="none" w:sz="0" w:space="0" w:color="auto"/>
      </w:divBdr>
      <w:divsChild>
        <w:div w:id="1524318076">
          <w:marLeft w:val="0"/>
          <w:marRight w:val="0"/>
          <w:marTop w:val="0"/>
          <w:marBottom w:val="0"/>
          <w:divBdr>
            <w:top w:val="none" w:sz="0" w:space="0" w:color="auto"/>
            <w:left w:val="none" w:sz="0" w:space="0" w:color="auto"/>
            <w:bottom w:val="none" w:sz="0" w:space="0" w:color="auto"/>
            <w:right w:val="none" w:sz="0" w:space="0" w:color="auto"/>
          </w:divBdr>
        </w:div>
        <w:div w:id="115610360">
          <w:marLeft w:val="0"/>
          <w:marRight w:val="0"/>
          <w:marTop w:val="0"/>
          <w:marBottom w:val="0"/>
          <w:divBdr>
            <w:top w:val="none" w:sz="0" w:space="0" w:color="auto"/>
            <w:left w:val="none" w:sz="0" w:space="0" w:color="auto"/>
            <w:bottom w:val="none" w:sz="0" w:space="0" w:color="auto"/>
            <w:right w:val="none" w:sz="0" w:space="0" w:color="auto"/>
          </w:divBdr>
        </w:div>
        <w:div w:id="1134373717">
          <w:marLeft w:val="0"/>
          <w:marRight w:val="0"/>
          <w:marTop w:val="0"/>
          <w:marBottom w:val="0"/>
          <w:divBdr>
            <w:top w:val="none" w:sz="0" w:space="0" w:color="auto"/>
            <w:left w:val="none" w:sz="0" w:space="0" w:color="auto"/>
            <w:bottom w:val="none" w:sz="0" w:space="0" w:color="auto"/>
            <w:right w:val="none" w:sz="0" w:space="0" w:color="auto"/>
          </w:divBdr>
        </w:div>
      </w:divsChild>
    </w:div>
    <w:div w:id="21463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0DBE-D3E1-4D2C-A062-2D6DD537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17</Pages>
  <Words>6715</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Barnabas Aspray</dc:creator>
  <cp:keywords/>
  <dc:description/>
  <cp:lastModifiedBy>Barnabas Aspray</cp:lastModifiedBy>
  <cp:revision>55</cp:revision>
  <dcterms:created xsi:type="dcterms:W3CDTF">2018-09-13T14:40:00Z</dcterms:created>
  <dcterms:modified xsi:type="dcterms:W3CDTF">2019-01-31T12:18:00Z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id="cEpxVqtY"/&gt;&lt;style id="http://www.zotero.org/styles/chicago-fullnote-bibliography-with-ibid" locale="en-GB" hasBibliography="1" bibliographyStyleHasBeenSet="1"/&gt;&lt;prefs&gt;&lt;pref name="fieldType" value</vt:lpwstr>
  </property>
  <property fmtid="{D5CDD505-2E9C-101B-9397-08002B2CF9AE}" pid="3" name="ZOTERO_PREF_2">
    <vt:lpwstr>="Field"/&gt;&lt;pref name="storeReferences" value="true"/&gt;&lt;pref name="automaticJournalAbbreviations" value="true"/&gt;&lt;pref name="noteType" value="1"/&gt;&lt;/prefs&gt;&lt;/data&gt;</vt:lpwstr>
  </property>
</Properties>
</file>