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E0AF" w14:textId="01BF0E21" w:rsidR="00AF29E2" w:rsidRDefault="00897AD2" w:rsidP="00660B3D">
      <w:pPr>
        <w:pStyle w:val="Title"/>
        <w:ind w:firstLine="567"/>
        <w:jc w:val="center"/>
        <w:rPr>
          <w:rFonts w:ascii="Times New Roman" w:hAnsi="Times New Roman" w:cs="Times New Roman"/>
          <w:b/>
          <w:color w:val="000000" w:themeColor="text1"/>
          <w:sz w:val="32"/>
          <w:szCs w:val="32"/>
        </w:rPr>
      </w:pPr>
      <w:r w:rsidRPr="00F60A11">
        <w:rPr>
          <w:rFonts w:ascii="Times New Roman" w:hAnsi="Times New Roman" w:cs="Times New Roman"/>
          <w:b/>
          <w:color w:val="000000" w:themeColor="text1"/>
          <w:sz w:val="32"/>
          <w:szCs w:val="32"/>
        </w:rPr>
        <w:t xml:space="preserve">European gas </w:t>
      </w:r>
      <w:r w:rsidR="00FA2E3C" w:rsidRPr="00F60A11">
        <w:rPr>
          <w:rFonts w:ascii="Times New Roman" w:hAnsi="Times New Roman" w:cs="Times New Roman"/>
          <w:b/>
          <w:color w:val="000000" w:themeColor="text1"/>
          <w:sz w:val="32"/>
          <w:szCs w:val="32"/>
        </w:rPr>
        <w:t>markets</w:t>
      </w:r>
      <w:r w:rsidR="001D58E5" w:rsidRPr="00F60A11">
        <w:rPr>
          <w:rFonts w:ascii="Times New Roman" w:hAnsi="Times New Roman" w:cs="Times New Roman"/>
          <w:b/>
          <w:color w:val="000000" w:themeColor="text1"/>
          <w:sz w:val="32"/>
          <w:szCs w:val="32"/>
        </w:rPr>
        <w:t xml:space="preserve">: </w:t>
      </w:r>
      <w:r w:rsidR="003A4240" w:rsidRPr="00F60A11">
        <w:rPr>
          <w:rFonts w:ascii="Times New Roman" w:hAnsi="Times New Roman" w:cs="Times New Roman"/>
          <w:b/>
          <w:color w:val="000000" w:themeColor="text1"/>
          <w:sz w:val="32"/>
          <w:szCs w:val="32"/>
        </w:rPr>
        <w:t>taking stock and looking forward</w:t>
      </w:r>
    </w:p>
    <w:p w14:paraId="6D7A549C" w14:textId="77777777" w:rsidR="00E76616" w:rsidRPr="004337C2" w:rsidRDefault="00E76616" w:rsidP="00E76616">
      <w:pPr>
        <w:ind w:firstLine="567"/>
        <w:jc w:val="center"/>
        <w:rPr>
          <w:rFonts w:ascii="Times New Roman" w:hAnsi="Times New Roman" w:cs="Times New Roman"/>
          <w:i/>
          <w:color w:val="000000" w:themeColor="text1"/>
          <w:sz w:val="24"/>
          <w:szCs w:val="24"/>
        </w:rPr>
      </w:pPr>
      <w:r w:rsidRPr="004337C2">
        <w:rPr>
          <w:rFonts w:ascii="Times New Roman" w:hAnsi="Times New Roman" w:cs="Times New Roman"/>
          <w:i/>
          <w:color w:val="000000" w:themeColor="text1"/>
          <w:sz w:val="24"/>
          <w:szCs w:val="24"/>
        </w:rPr>
        <w:t>Chi Kong Chyong, EPRG, University of Cambridge</w:t>
      </w:r>
    </w:p>
    <w:p w14:paraId="4769B146" w14:textId="3CC29702" w:rsidR="007A7841" w:rsidRPr="00F60A11" w:rsidRDefault="007A7841" w:rsidP="00660B3D">
      <w:pPr>
        <w:ind w:firstLine="567"/>
        <w:jc w:val="center"/>
        <w:rPr>
          <w:rFonts w:ascii="Times New Roman" w:hAnsi="Times New Roman" w:cs="Times New Roman"/>
          <w:i/>
          <w:color w:val="000000" w:themeColor="text1"/>
          <w:sz w:val="24"/>
          <w:szCs w:val="24"/>
        </w:rPr>
      </w:pPr>
    </w:p>
    <w:p w14:paraId="1027F3A2" w14:textId="67BA4166" w:rsidR="007A7841" w:rsidRPr="00F60A11" w:rsidRDefault="007A7841" w:rsidP="00660B3D">
      <w:pPr>
        <w:ind w:firstLine="567"/>
        <w:jc w:val="center"/>
        <w:rPr>
          <w:rFonts w:ascii="Times New Roman" w:hAnsi="Times New Roman" w:cs="Times New Roman"/>
          <w:i/>
          <w:color w:val="000000" w:themeColor="text1"/>
          <w:sz w:val="24"/>
          <w:szCs w:val="24"/>
        </w:rPr>
      </w:pPr>
    </w:p>
    <w:p w14:paraId="6F6BE50E" w14:textId="193F45B8" w:rsidR="007A7841" w:rsidRPr="00F60A11" w:rsidRDefault="007A7841" w:rsidP="00660B3D">
      <w:pPr>
        <w:ind w:firstLine="567"/>
        <w:jc w:val="center"/>
        <w:rPr>
          <w:rFonts w:ascii="Times New Roman" w:hAnsi="Times New Roman" w:cs="Times New Roman"/>
          <w:i/>
          <w:color w:val="000000" w:themeColor="text1"/>
          <w:sz w:val="24"/>
          <w:szCs w:val="24"/>
        </w:rPr>
      </w:pPr>
    </w:p>
    <w:p w14:paraId="2B627298" w14:textId="7AD30762" w:rsidR="007A7841" w:rsidRPr="00F60A11" w:rsidRDefault="007A7841" w:rsidP="00660B3D">
      <w:pPr>
        <w:ind w:firstLine="567"/>
        <w:jc w:val="center"/>
        <w:rPr>
          <w:rFonts w:ascii="Times New Roman" w:hAnsi="Times New Roman" w:cs="Times New Roman"/>
          <w:i/>
          <w:color w:val="000000" w:themeColor="text1"/>
          <w:sz w:val="24"/>
          <w:szCs w:val="24"/>
        </w:rPr>
      </w:pPr>
    </w:p>
    <w:p w14:paraId="0CCF3676" w14:textId="04690A16" w:rsidR="007A7841" w:rsidRPr="00F60A11" w:rsidRDefault="007A7841" w:rsidP="00660B3D">
      <w:pPr>
        <w:ind w:firstLine="567"/>
        <w:jc w:val="center"/>
        <w:rPr>
          <w:rFonts w:ascii="Times New Roman" w:hAnsi="Times New Roman" w:cs="Times New Roman"/>
          <w:i/>
          <w:color w:val="000000" w:themeColor="text1"/>
          <w:sz w:val="24"/>
          <w:szCs w:val="24"/>
        </w:rPr>
      </w:pPr>
    </w:p>
    <w:p w14:paraId="4CB4B0D4" w14:textId="4AF08FC1" w:rsidR="007A7841" w:rsidRPr="00F60A11" w:rsidRDefault="007A7841" w:rsidP="00660B3D">
      <w:pPr>
        <w:ind w:firstLine="567"/>
        <w:jc w:val="center"/>
        <w:rPr>
          <w:rFonts w:ascii="Times New Roman" w:hAnsi="Times New Roman" w:cs="Times New Roman"/>
          <w:i/>
          <w:color w:val="000000" w:themeColor="text1"/>
          <w:sz w:val="24"/>
          <w:szCs w:val="24"/>
        </w:rPr>
      </w:pPr>
    </w:p>
    <w:p w14:paraId="09C7B7AF" w14:textId="77777777" w:rsidR="007A7841" w:rsidRPr="00F60A11" w:rsidRDefault="007A7841" w:rsidP="00660B3D">
      <w:pPr>
        <w:ind w:firstLine="567"/>
        <w:jc w:val="center"/>
        <w:rPr>
          <w:rFonts w:ascii="Times New Roman" w:hAnsi="Times New Roman" w:cs="Times New Roman"/>
          <w:i/>
          <w:color w:val="000000" w:themeColor="text1"/>
          <w:sz w:val="24"/>
          <w:szCs w:val="24"/>
        </w:rPr>
      </w:pPr>
    </w:p>
    <w:p w14:paraId="138A1AF9" w14:textId="55FB07C2" w:rsidR="004D1133" w:rsidRPr="00F60A11" w:rsidRDefault="004D1133" w:rsidP="004D1133">
      <w:pPr>
        <w:pStyle w:val="Heading1"/>
        <w:spacing w:line="360" w:lineRule="auto"/>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Abstract</w:t>
      </w:r>
    </w:p>
    <w:p w14:paraId="3EA3C4FD" w14:textId="1A6592AB" w:rsidR="004D1133" w:rsidRPr="00F60A11" w:rsidRDefault="004D1133" w:rsidP="004D1133">
      <w:pPr>
        <w:rPr>
          <w:color w:val="000000" w:themeColor="text1"/>
        </w:rPr>
      </w:pPr>
    </w:p>
    <w:p w14:paraId="45B860E5" w14:textId="0F916C8A" w:rsidR="004D1133" w:rsidRDefault="004D1133" w:rsidP="004D1133">
      <w:pPr>
        <w:spacing w:line="360" w:lineRule="auto"/>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Recent gas price dynamics in Europe show convergence to the extent that locational price differentials approached transport tariffs</w:t>
      </w:r>
      <w:r w:rsidR="001708A0">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and hence</w:t>
      </w:r>
      <w:r w:rsidR="001708A0">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arbitrage was largely saturated</w:t>
      </w:r>
      <w:r w:rsidR="0056677D">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a sign of a well-functioning pan-European gas wholesale market. This contribution seeks to understand how we </w:t>
      </w:r>
      <w:r w:rsidR="0056677D">
        <w:rPr>
          <w:rFonts w:ascii="Times New Roman" w:hAnsi="Times New Roman" w:cs="Times New Roman"/>
          <w:color w:val="000000" w:themeColor="text1"/>
          <w:sz w:val="24"/>
          <w:szCs w:val="24"/>
        </w:rPr>
        <w:t>got</w:t>
      </w:r>
      <w:r w:rsidR="0056677D"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to where we are in terms of the evolution of the gas industry structure in Europe and its institutional setup. It does so using</w:t>
      </w:r>
      <w:r w:rsidR="0056677D">
        <w:rPr>
          <w:rFonts w:ascii="Times New Roman" w:hAnsi="Times New Roman" w:cs="Times New Roman"/>
          <w:color w:val="000000" w:themeColor="text1"/>
          <w:sz w:val="24"/>
          <w:szCs w:val="24"/>
        </w:rPr>
        <w:t xml:space="preserve"> a</w:t>
      </w:r>
      <w:r w:rsidRPr="00F60A11">
        <w:rPr>
          <w:rFonts w:ascii="Times New Roman" w:hAnsi="Times New Roman" w:cs="Times New Roman"/>
          <w:color w:val="000000" w:themeColor="text1"/>
          <w:sz w:val="24"/>
          <w:szCs w:val="24"/>
        </w:rPr>
        <w:t xml:space="preserve"> transaction cost economics framework. The paper concludes that the move (which is still ongoing) towards a single market in gas has allowed European gas consumers to benefit from transparently set market-based wholesale prices </w:t>
      </w:r>
      <w:r w:rsidR="0056677D">
        <w:rPr>
          <w:rFonts w:ascii="Times New Roman" w:hAnsi="Times New Roman" w:cs="Times New Roman"/>
          <w:color w:val="000000" w:themeColor="text1"/>
          <w:sz w:val="24"/>
          <w:szCs w:val="24"/>
        </w:rPr>
        <w:t>and</w:t>
      </w:r>
      <w:r w:rsidRPr="00F60A11">
        <w:rPr>
          <w:rFonts w:ascii="Times New Roman" w:hAnsi="Times New Roman" w:cs="Times New Roman"/>
          <w:color w:val="000000" w:themeColor="text1"/>
          <w:sz w:val="24"/>
          <w:szCs w:val="24"/>
        </w:rPr>
        <w:t xml:space="preserve"> increased market competition between suppliers. However, as the gas market in Europe matures and with the increased penetration of renewable energy generation in the electricity sector as well as overall </w:t>
      </w:r>
      <w:r w:rsidR="003D2C40" w:rsidRPr="00F60A11">
        <w:rPr>
          <w:rFonts w:ascii="Times New Roman" w:hAnsi="Times New Roman" w:cs="Times New Roman"/>
          <w:color w:val="000000" w:themeColor="text1"/>
          <w:sz w:val="24"/>
          <w:szCs w:val="24"/>
        </w:rPr>
        <w:t>decarbonisation</w:t>
      </w:r>
      <w:r w:rsidRPr="00F60A11">
        <w:rPr>
          <w:rFonts w:ascii="Times New Roman" w:hAnsi="Times New Roman" w:cs="Times New Roman"/>
          <w:color w:val="000000" w:themeColor="text1"/>
          <w:sz w:val="24"/>
          <w:szCs w:val="24"/>
        </w:rPr>
        <w:t xml:space="preserve"> of the energy sector in Europe, </w:t>
      </w:r>
      <w:r w:rsidR="0056677D">
        <w:rPr>
          <w:rFonts w:ascii="Times New Roman" w:hAnsi="Times New Roman" w:cs="Times New Roman"/>
          <w:color w:val="000000" w:themeColor="text1"/>
          <w:sz w:val="24"/>
          <w:szCs w:val="24"/>
        </w:rPr>
        <w:t xml:space="preserve">the </w:t>
      </w:r>
      <w:r w:rsidRPr="00F60A11">
        <w:rPr>
          <w:rFonts w:ascii="Times New Roman" w:hAnsi="Times New Roman" w:cs="Times New Roman"/>
          <w:color w:val="000000" w:themeColor="text1"/>
          <w:sz w:val="24"/>
          <w:szCs w:val="24"/>
        </w:rPr>
        <w:t xml:space="preserve">gas market and its current regulatory regime face </w:t>
      </w:r>
      <w:proofErr w:type="gramStart"/>
      <w:r w:rsidRPr="00F60A11">
        <w:rPr>
          <w:rFonts w:ascii="Times New Roman" w:hAnsi="Times New Roman" w:cs="Times New Roman"/>
          <w:color w:val="000000" w:themeColor="text1"/>
          <w:sz w:val="24"/>
          <w:szCs w:val="24"/>
        </w:rPr>
        <w:t>a number of</w:t>
      </w:r>
      <w:proofErr w:type="gramEnd"/>
      <w:r w:rsidRPr="00F60A11">
        <w:rPr>
          <w:rFonts w:ascii="Times New Roman" w:hAnsi="Times New Roman" w:cs="Times New Roman"/>
          <w:color w:val="000000" w:themeColor="text1"/>
          <w:sz w:val="24"/>
          <w:szCs w:val="24"/>
        </w:rPr>
        <w:t xml:space="preserve"> challenges. Addressing these challenges may require an update </w:t>
      </w:r>
      <w:r w:rsidR="0056677D">
        <w:rPr>
          <w:rFonts w:ascii="Times New Roman" w:hAnsi="Times New Roman" w:cs="Times New Roman"/>
          <w:color w:val="000000" w:themeColor="text1"/>
          <w:sz w:val="24"/>
          <w:szCs w:val="24"/>
        </w:rPr>
        <w:t>of</w:t>
      </w:r>
      <w:r w:rsidR="0056677D"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the current market design and possibly drastic reforms </w:t>
      </w:r>
      <w:r w:rsidR="00557E8D" w:rsidRPr="00F60A11">
        <w:rPr>
          <w:rFonts w:ascii="Times New Roman" w:hAnsi="Times New Roman" w:cs="Times New Roman"/>
          <w:color w:val="000000" w:themeColor="text1"/>
          <w:sz w:val="24"/>
          <w:szCs w:val="24"/>
        </w:rPr>
        <w:t>of</w:t>
      </w:r>
      <w:r w:rsidRPr="00F60A11">
        <w:rPr>
          <w:rFonts w:ascii="Times New Roman" w:hAnsi="Times New Roman" w:cs="Times New Roman"/>
          <w:color w:val="000000" w:themeColor="text1"/>
          <w:sz w:val="24"/>
          <w:szCs w:val="24"/>
        </w:rPr>
        <w:t xml:space="preserve"> tariff setting for </w:t>
      </w:r>
      <w:r w:rsidR="0056677D">
        <w:rPr>
          <w:rFonts w:ascii="Times New Roman" w:hAnsi="Times New Roman" w:cs="Times New Roman"/>
          <w:color w:val="000000" w:themeColor="text1"/>
          <w:sz w:val="24"/>
          <w:szCs w:val="24"/>
        </w:rPr>
        <w:t xml:space="preserve">the </w:t>
      </w:r>
      <w:r w:rsidRPr="00F60A11">
        <w:rPr>
          <w:rFonts w:ascii="Times New Roman" w:hAnsi="Times New Roman" w:cs="Times New Roman"/>
          <w:color w:val="000000" w:themeColor="text1"/>
          <w:sz w:val="24"/>
          <w:szCs w:val="24"/>
        </w:rPr>
        <w:t>gas transport market.</w:t>
      </w:r>
    </w:p>
    <w:p w14:paraId="77FB77E2" w14:textId="12C0A9B5" w:rsidR="00E76616" w:rsidRDefault="00E76616" w:rsidP="004D1133">
      <w:pPr>
        <w:spacing w:line="360" w:lineRule="auto"/>
        <w:rPr>
          <w:rFonts w:ascii="Times New Roman" w:hAnsi="Times New Roman" w:cs="Times New Roman"/>
          <w:color w:val="000000" w:themeColor="text1"/>
          <w:sz w:val="24"/>
          <w:szCs w:val="24"/>
        </w:rPr>
      </w:pPr>
    </w:p>
    <w:p w14:paraId="043B50BC" w14:textId="77777777" w:rsidR="00E76616" w:rsidRPr="00F60A11" w:rsidRDefault="00E76616" w:rsidP="004D1133">
      <w:pPr>
        <w:spacing w:line="360" w:lineRule="auto"/>
        <w:rPr>
          <w:rFonts w:ascii="Times New Roman" w:hAnsi="Times New Roman" w:cs="Times New Roman"/>
          <w:color w:val="000000" w:themeColor="text1"/>
          <w:sz w:val="24"/>
          <w:szCs w:val="24"/>
        </w:rPr>
      </w:pPr>
    </w:p>
    <w:p w14:paraId="372BD630" w14:textId="77777777" w:rsidR="00E76616" w:rsidRPr="004337C2" w:rsidRDefault="00E76616" w:rsidP="00E76616">
      <w:pPr>
        <w:spacing w:line="360" w:lineRule="auto"/>
        <w:rPr>
          <w:rFonts w:ascii="Times New Roman" w:hAnsi="Times New Roman" w:cs="Times New Roman"/>
          <w:color w:val="000000" w:themeColor="text1"/>
          <w:sz w:val="24"/>
          <w:szCs w:val="24"/>
        </w:rPr>
      </w:pPr>
      <w:r w:rsidRPr="004337C2">
        <w:rPr>
          <w:rFonts w:ascii="Times New Roman" w:hAnsi="Times New Roman" w:cs="Times New Roman"/>
          <w:b/>
          <w:color w:val="000000" w:themeColor="text1"/>
          <w:sz w:val="24"/>
          <w:szCs w:val="24"/>
        </w:rPr>
        <w:t>Keywords</w:t>
      </w:r>
      <w:r w:rsidRPr="004337C2">
        <w:rPr>
          <w:rFonts w:ascii="Times New Roman" w:hAnsi="Times New Roman" w:cs="Times New Roman"/>
          <w:color w:val="000000" w:themeColor="text1"/>
          <w:sz w:val="24"/>
          <w:szCs w:val="24"/>
        </w:rPr>
        <w:tab/>
      </w:r>
      <w:r w:rsidRPr="004337C2">
        <w:rPr>
          <w:rFonts w:ascii="Times New Roman" w:hAnsi="Times New Roman" w:cs="Times New Roman"/>
          <w:color w:val="000000" w:themeColor="text1"/>
          <w:sz w:val="24"/>
          <w:szCs w:val="24"/>
        </w:rPr>
        <w:tab/>
        <w:t>natural gas; gas single market; security of supply; gas regulatory policy</w:t>
      </w:r>
    </w:p>
    <w:p w14:paraId="27C4D15F" w14:textId="77777777" w:rsidR="00E76616" w:rsidRPr="004337C2" w:rsidRDefault="00E76616" w:rsidP="00E76616">
      <w:pPr>
        <w:spacing w:line="360" w:lineRule="auto"/>
        <w:rPr>
          <w:rFonts w:ascii="Times New Roman" w:hAnsi="Times New Roman" w:cs="Times New Roman"/>
          <w:color w:val="000000" w:themeColor="text1"/>
          <w:sz w:val="24"/>
          <w:szCs w:val="24"/>
        </w:rPr>
      </w:pPr>
    </w:p>
    <w:p w14:paraId="44A0EC7F" w14:textId="77777777" w:rsidR="00E76616" w:rsidRPr="004337C2" w:rsidRDefault="00E76616" w:rsidP="00E76616">
      <w:pPr>
        <w:spacing w:line="360" w:lineRule="auto"/>
        <w:rPr>
          <w:rFonts w:ascii="Times New Roman" w:hAnsi="Times New Roman" w:cs="Times New Roman"/>
          <w:color w:val="000000" w:themeColor="text1"/>
          <w:sz w:val="24"/>
          <w:szCs w:val="24"/>
        </w:rPr>
      </w:pPr>
      <w:r w:rsidRPr="004337C2">
        <w:rPr>
          <w:rFonts w:ascii="Times New Roman" w:hAnsi="Times New Roman" w:cs="Times New Roman"/>
          <w:b/>
          <w:color w:val="000000" w:themeColor="text1"/>
          <w:sz w:val="24"/>
          <w:szCs w:val="24"/>
        </w:rPr>
        <w:t>JEL Classification</w:t>
      </w:r>
      <w:r w:rsidRPr="004337C2">
        <w:rPr>
          <w:rFonts w:ascii="Times New Roman" w:hAnsi="Times New Roman" w:cs="Times New Roman"/>
          <w:color w:val="000000" w:themeColor="text1"/>
          <w:sz w:val="24"/>
          <w:szCs w:val="24"/>
        </w:rPr>
        <w:tab/>
        <w:t>L94</w:t>
      </w:r>
    </w:p>
    <w:p w14:paraId="65700080" w14:textId="14D009FE" w:rsidR="004D1133" w:rsidRPr="00F60A11" w:rsidRDefault="004D1133" w:rsidP="004D1133">
      <w:pPr>
        <w:spacing w:line="360" w:lineRule="auto"/>
        <w:rPr>
          <w:rFonts w:ascii="Times New Roman" w:hAnsi="Times New Roman" w:cs="Times New Roman"/>
          <w:color w:val="000000" w:themeColor="text1"/>
          <w:sz w:val="24"/>
          <w:szCs w:val="24"/>
        </w:rPr>
      </w:pPr>
    </w:p>
    <w:p w14:paraId="7E90BB2B" w14:textId="11695477" w:rsidR="007A7841" w:rsidRPr="00F60A11" w:rsidRDefault="007A7841">
      <w:pPr>
        <w:spacing w:after="160" w:line="259" w:lineRule="auto"/>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br w:type="page"/>
      </w:r>
    </w:p>
    <w:p w14:paraId="2E9F15C5" w14:textId="7F7A57E0" w:rsidR="008F645E" w:rsidRPr="00F60A11" w:rsidRDefault="008F645E" w:rsidP="00106AA0">
      <w:pPr>
        <w:pStyle w:val="Heading1"/>
        <w:numPr>
          <w:ilvl w:val="0"/>
          <w:numId w:val="1"/>
        </w:numPr>
        <w:spacing w:line="360" w:lineRule="auto"/>
        <w:ind w:left="0" w:firstLine="0"/>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lastRenderedPageBreak/>
        <w:t>Introduction</w:t>
      </w:r>
    </w:p>
    <w:p w14:paraId="213AD447" w14:textId="4C780792" w:rsidR="00F23AF7" w:rsidRPr="00F60A11" w:rsidRDefault="00516ECA"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European gas market liberalization and the process of creating a single market for natural gas started with the </w:t>
      </w:r>
      <w:r w:rsidR="008F645E" w:rsidRPr="00F60A11">
        <w:rPr>
          <w:rFonts w:ascii="Times New Roman" w:hAnsi="Times New Roman" w:cs="Times New Roman"/>
          <w:color w:val="000000" w:themeColor="text1"/>
          <w:sz w:val="24"/>
          <w:szCs w:val="24"/>
        </w:rPr>
        <w:t xml:space="preserve">first reforms in England and Wales around 1990, using unbundling and privatization of supply and distribution of gas and electricity to enhance </w:t>
      </w:r>
      <w:r w:rsidR="00F23AF7" w:rsidRPr="00F60A11">
        <w:rPr>
          <w:rFonts w:ascii="Times New Roman" w:hAnsi="Times New Roman" w:cs="Times New Roman"/>
          <w:color w:val="000000" w:themeColor="text1"/>
          <w:sz w:val="24"/>
          <w:szCs w:val="24"/>
        </w:rPr>
        <w:t xml:space="preserve">market </w:t>
      </w:r>
      <w:r w:rsidR="008F645E" w:rsidRPr="00F60A11">
        <w:rPr>
          <w:rFonts w:ascii="Times New Roman" w:hAnsi="Times New Roman" w:cs="Times New Roman"/>
          <w:color w:val="000000" w:themeColor="text1"/>
          <w:sz w:val="24"/>
          <w:szCs w:val="24"/>
        </w:rPr>
        <w:t>competition</w:t>
      </w:r>
      <w:r w:rsidR="00F23AF7" w:rsidRPr="00F60A11">
        <w:rPr>
          <w:rFonts w:ascii="Times New Roman" w:hAnsi="Times New Roman" w:cs="Times New Roman"/>
          <w:color w:val="000000" w:themeColor="text1"/>
          <w:sz w:val="24"/>
          <w:szCs w:val="24"/>
        </w:rPr>
        <w:t xml:space="preserve">. </w:t>
      </w:r>
      <w:r w:rsidR="002D1305" w:rsidRPr="00F60A11">
        <w:rPr>
          <w:rFonts w:ascii="Times New Roman" w:hAnsi="Times New Roman" w:cs="Times New Roman"/>
          <w:color w:val="000000" w:themeColor="text1"/>
          <w:sz w:val="24"/>
          <w:szCs w:val="24"/>
        </w:rPr>
        <w:t>Since then</w:t>
      </w:r>
      <w:r w:rsidR="00DA1677" w:rsidRPr="00F60A11">
        <w:rPr>
          <w:rFonts w:ascii="Times New Roman" w:hAnsi="Times New Roman" w:cs="Times New Roman"/>
          <w:color w:val="000000" w:themeColor="text1"/>
          <w:sz w:val="24"/>
          <w:szCs w:val="24"/>
        </w:rPr>
        <w:t>,</w:t>
      </w:r>
      <w:r w:rsidR="00F23AF7" w:rsidRPr="00F60A11">
        <w:rPr>
          <w:rFonts w:ascii="Times New Roman" w:hAnsi="Times New Roman" w:cs="Times New Roman"/>
          <w:color w:val="000000" w:themeColor="text1"/>
          <w:sz w:val="24"/>
          <w:szCs w:val="24"/>
        </w:rPr>
        <w:t xml:space="preserve"> </w:t>
      </w:r>
      <w:proofErr w:type="gramStart"/>
      <w:r w:rsidR="00F23AF7" w:rsidRPr="00F60A11">
        <w:rPr>
          <w:rFonts w:ascii="Times New Roman" w:hAnsi="Times New Roman" w:cs="Times New Roman"/>
          <w:color w:val="000000" w:themeColor="text1"/>
          <w:sz w:val="24"/>
          <w:szCs w:val="24"/>
        </w:rPr>
        <w:t>a number of</w:t>
      </w:r>
      <w:proofErr w:type="gramEnd"/>
      <w:r w:rsidR="00F23AF7" w:rsidRPr="00F60A11">
        <w:rPr>
          <w:rFonts w:ascii="Times New Roman" w:hAnsi="Times New Roman" w:cs="Times New Roman"/>
          <w:color w:val="000000" w:themeColor="text1"/>
          <w:sz w:val="24"/>
          <w:szCs w:val="24"/>
        </w:rPr>
        <w:t xml:space="preserve"> countries in Europe </w:t>
      </w:r>
      <w:r w:rsidR="0056677D">
        <w:rPr>
          <w:rFonts w:ascii="Times New Roman" w:hAnsi="Times New Roman" w:cs="Times New Roman"/>
          <w:color w:val="000000" w:themeColor="text1"/>
          <w:sz w:val="24"/>
          <w:szCs w:val="24"/>
        </w:rPr>
        <w:t xml:space="preserve">have </w:t>
      </w:r>
      <w:r w:rsidR="00E4361B" w:rsidRPr="00F60A11">
        <w:rPr>
          <w:rFonts w:ascii="Times New Roman" w:hAnsi="Times New Roman" w:cs="Times New Roman"/>
          <w:color w:val="000000" w:themeColor="text1"/>
          <w:sz w:val="24"/>
          <w:szCs w:val="24"/>
        </w:rPr>
        <w:t>followed these reforms with the aim of creating a single market for gas and electricity</w:t>
      </w:r>
      <w:r w:rsidR="002D1305" w:rsidRPr="00F60A11">
        <w:rPr>
          <w:rFonts w:ascii="Times New Roman" w:hAnsi="Times New Roman" w:cs="Times New Roman"/>
          <w:color w:val="000000" w:themeColor="text1"/>
          <w:sz w:val="24"/>
          <w:szCs w:val="24"/>
        </w:rPr>
        <w:t xml:space="preserve"> for all </w:t>
      </w:r>
      <w:r w:rsidR="00DA1677" w:rsidRPr="00F60A11">
        <w:rPr>
          <w:rFonts w:ascii="Times New Roman" w:hAnsi="Times New Roman" w:cs="Times New Roman"/>
          <w:color w:val="000000" w:themeColor="text1"/>
          <w:sz w:val="24"/>
          <w:szCs w:val="24"/>
        </w:rPr>
        <w:t xml:space="preserve">the </w:t>
      </w:r>
      <w:r w:rsidR="002D1305" w:rsidRPr="00F60A11">
        <w:rPr>
          <w:rFonts w:ascii="Times New Roman" w:hAnsi="Times New Roman" w:cs="Times New Roman"/>
          <w:color w:val="000000" w:themeColor="text1"/>
          <w:sz w:val="24"/>
          <w:szCs w:val="24"/>
        </w:rPr>
        <w:t>EU member states</w:t>
      </w:r>
      <w:r w:rsidR="00E4361B" w:rsidRPr="00F60A11">
        <w:rPr>
          <w:rFonts w:ascii="Times New Roman" w:hAnsi="Times New Roman" w:cs="Times New Roman"/>
          <w:color w:val="000000" w:themeColor="text1"/>
          <w:sz w:val="24"/>
          <w:szCs w:val="24"/>
        </w:rPr>
        <w:t xml:space="preserve">. </w:t>
      </w:r>
      <w:r w:rsidR="00D5469A" w:rsidRPr="00F60A11">
        <w:rPr>
          <w:rFonts w:ascii="Times New Roman" w:hAnsi="Times New Roman" w:cs="Times New Roman"/>
          <w:color w:val="000000" w:themeColor="text1"/>
          <w:sz w:val="24"/>
          <w:szCs w:val="24"/>
        </w:rPr>
        <w:t xml:space="preserve">By 2016, gas prices in Europe converged to the extent that locational price differentials </w:t>
      </w:r>
      <w:r w:rsidR="00F93A56" w:rsidRPr="00F60A11">
        <w:rPr>
          <w:rFonts w:ascii="Times New Roman" w:hAnsi="Times New Roman" w:cs="Times New Roman"/>
          <w:color w:val="000000" w:themeColor="text1"/>
          <w:sz w:val="24"/>
          <w:szCs w:val="24"/>
        </w:rPr>
        <w:t>approached marginal cost of transporting gas and hence arbitrage was saturated</w:t>
      </w:r>
      <w:r w:rsidR="0056677D">
        <w:rPr>
          <w:rFonts w:ascii="Times New Roman" w:hAnsi="Times New Roman" w:cs="Times New Roman"/>
          <w:color w:val="000000" w:themeColor="text1"/>
          <w:sz w:val="24"/>
          <w:szCs w:val="24"/>
        </w:rPr>
        <w:t>—</w:t>
      </w:r>
      <w:r w:rsidR="00E30FC3" w:rsidRPr="00F60A11">
        <w:rPr>
          <w:rFonts w:ascii="Times New Roman" w:hAnsi="Times New Roman" w:cs="Times New Roman"/>
          <w:color w:val="000000" w:themeColor="text1"/>
          <w:sz w:val="24"/>
          <w:szCs w:val="24"/>
        </w:rPr>
        <w:t xml:space="preserve">a </w:t>
      </w:r>
      <w:r w:rsidR="00F93A56" w:rsidRPr="00F60A11">
        <w:rPr>
          <w:rFonts w:ascii="Times New Roman" w:hAnsi="Times New Roman" w:cs="Times New Roman"/>
          <w:color w:val="000000" w:themeColor="text1"/>
          <w:sz w:val="24"/>
          <w:szCs w:val="24"/>
        </w:rPr>
        <w:t xml:space="preserve">sign of a well-functioning </w:t>
      </w:r>
      <w:r w:rsidR="00D8347E" w:rsidRPr="00F60A11">
        <w:rPr>
          <w:rFonts w:ascii="Times New Roman" w:hAnsi="Times New Roman" w:cs="Times New Roman"/>
          <w:color w:val="000000" w:themeColor="text1"/>
          <w:sz w:val="24"/>
          <w:szCs w:val="24"/>
        </w:rPr>
        <w:t xml:space="preserve">pan-European </w:t>
      </w:r>
      <w:r w:rsidR="00F93A56" w:rsidRPr="00F60A11">
        <w:rPr>
          <w:rFonts w:ascii="Times New Roman" w:hAnsi="Times New Roman" w:cs="Times New Roman"/>
          <w:color w:val="000000" w:themeColor="text1"/>
          <w:sz w:val="24"/>
          <w:szCs w:val="24"/>
        </w:rPr>
        <w:t>wholesale gas commodity market</w:t>
      </w:r>
      <w:r w:rsidR="002D1305" w:rsidRPr="00F60A11">
        <w:rPr>
          <w:rFonts w:ascii="Times New Roman" w:hAnsi="Times New Roman" w:cs="Times New Roman"/>
          <w:color w:val="000000" w:themeColor="text1"/>
          <w:sz w:val="24"/>
          <w:szCs w:val="24"/>
        </w:rPr>
        <w:t>.</w:t>
      </w:r>
      <w:r w:rsidR="007E4F3A" w:rsidRPr="00F60A11">
        <w:rPr>
          <w:rFonts w:ascii="Times New Roman" w:hAnsi="Times New Roman" w:cs="Times New Roman"/>
          <w:color w:val="000000" w:themeColor="text1"/>
          <w:sz w:val="24"/>
          <w:szCs w:val="24"/>
        </w:rPr>
        <w:t xml:space="preserve"> This contribution </w:t>
      </w:r>
      <w:r w:rsidR="00965E2C" w:rsidRPr="00F60A11">
        <w:rPr>
          <w:rFonts w:ascii="Times New Roman" w:hAnsi="Times New Roman" w:cs="Times New Roman"/>
          <w:color w:val="000000" w:themeColor="text1"/>
          <w:sz w:val="24"/>
          <w:szCs w:val="24"/>
        </w:rPr>
        <w:t>seeks</w:t>
      </w:r>
      <w:r w:rsidR="007E4F3A" w:rsidRPr="00F60A11">
        <w:rPr>
          <w:rFonts w:ascii="Times New Roman" w:hAnsi="Times New Roman" w:cs="Times New Roman"/>
          <w:color w:val="000000" w:themeColor="text1"/>
          <w:sz w:val="24"/>
          <w:szCs w:val="24"/>
        </w:rPr>
        <w:t xml:space="preserve"> to </w:t>
      </w:r>
      <w:r w:rsidR="00B37333" w:rsidRPr="00F60A11">
        <w:rPr>
          <w:rFonts w:ascii="Times New Roman" w:hAnsi="Times New Roman" w:cs="Times New Roman"/>
          <w:color w:val="000000" w:themeColor="text1"/>
          <w:sz w:val="24"/>
          <w:szCs w:val="24"/>
        </w:rPr>
        <w:t xml:space="preserve">take stock of </w:t>
      </w:r>
      <w:r w:rsidR="007E4F3A" w:rsidRPr="00F60A11">
        <w:rPr>
          <w:rFonts w:ascii="Times New Roman" w:hAnsi="Times New Roman" w:cs="Times New Roman"/>
          <w:color w:val="000000" w:themeColor="text1"/>
          <w:sz w:val="24"/>
          <w:szCs w:val="24"/>
        </w:rPr>
        <w:t xml:space="preserve">the </w:t>
      </w:r>
      <w:r w:rsidR="00010A0D" w:rsidRPr="00F60A11">
        <w:rPr>
          <w:rFonts w:ascii="Times New Roman" w:hAnsi="Times New Roman" w:cs="Times New Roman"/>
          <w:color w:val="000000" w:themeColor="text1"/>
          <w:sz w:val="24"/>
          <w:szCs w:val="24"/>
        </w:rPr>
        <w:t>evolution</w:t>
      </w:r>
      <w:r w:rsidR="007E4F3A" w:rsidRPr="00F60A11">
        <w:rPr>
          <w:rFonts w:ascii="Times New Roman" w:hAnsi="Times New Roman" w:cs="Times New Roman"/>
          <w:color w:val="000000" w:themeColor="text1"/>
          <w:sz w:val="24"/>
          <w:szCs w:val="24"/>
        </w:rPr>
        <w:t xml:space="preserve"> of the European gas industry since 199</w:t>
      </w:r>
      <w:r w:rsidR="00010A0D" w:rsidRPr="00F60A11">
        <w:rPr>
          <w:rFonts w:ascii="Times New Roman" w:hAnsi="Times New Roman" w:cs="Times New Roman"/>
          <w:color w:val="000000" w:themeColor="text1"/>
          <w:sz w:val="24"/>
          <w:szCs w:val="24"/>
        </w:rPr>
        <w:t>0s,</w:t>
      </w:r>
      <w:r w:rsidR="00B37333" w:rsidRPr="00F60A11">
        <w:rPr>
          <w:rFonts w:ascii="Times New Roman" w:hAnsi="Times New Roman" w:cs="Times New Roman"/>
          <w:color w:val="000000" w:themeColor="text1"/>
          <w:sz w:val="24"/>
          <w:szCs w:val="24"/>
        </w:rPr>
        <w:t xml:space="preserve"> the</w:t>
      </w:r>
      <w:r w:rsidR="00010A0D" w:rsidRPr="00F60A11">
        <w:rPr>
          <w:rFonts w:ascii="Times New Roman" w:hAnsi="Times New Roman" w:cs="Times New Roman"/>
          <w:color w:val="000000" w:themeColor="text1"/>
          <w:sz w:val="24"/>
          <w:szCs w:val="24"/>
        </w:rPr>
        <w:t xml:space="preserve"> effects of market liberalization and </w:t>
      </w:r>
      <w:r w:rsidR="00087943" w:rsidRPr="00F60A11">
        <w:rPr>
          <w:rFonts w:ascii="Times New Roman" w:hAnsi="Times New Roman" w:cs="Times New Roman"/>
          <w:color w:val="000000" w:themeColor="text1"/>
          <w:sz w:val="24"/>
          <w:szCs w:val="24"/>
        </w:rPr>
        <w:t>a sober look forward</w:t>
      </w:r>
      <w:r w:rsidR="00A6197E" w:rsidRPr="00F60A11">
        <w:rPr>
          <w:rFonts w:ascii="Times New Roman" w:hAnsi="Times New Roman" w:cs="Times New Roman"/>
          <w:color w:val="000000" w:themeColor="text1"/>
          <w:sz w:val="24"/>
          <w:szCs w:val="24"/>
        </w:rPr>
        <w:t>:</w:t>
      </w:r>
      <w:r w:rsidR="00087943" w:rsidRPr="00F60A11">
        <w:rPr>
          <w:rFonts w:ascii="Times New Roman" w:hAnsi="Times New Roman" w:cs="Times New Roman"/>
          <w:color w:val="000000" w:themeColor="text1"/>
          <w:sz w:val="24"/>
          <w:szCs w:val="24"/>
        </w:rPr>
        <w:t xml:space="preserve"> </w:t>
      </w:r>
      <w:r w:rsidR="00C364CA" w:rsidRPr="00E76616">
        <w:rPr>
          <w:rFonts w:ascii="Times New Roman" w:hAnsi="Times New Roman" w:cs="Times New Roman"/>
          <w:color w:val="000000" w:themeColor="text1"/>
          <w:sz w:val="24"/>
          <w:szCs w:val="24"/>
        </w:rPr>
        <w:t xml:space="preserve">‘quo </w:t>
      </w:r>
      <w:proofErr w:type="spellStart"/>
      <w:r w:rsidR="00C364CA" w:rsidRPr="00E76616">
        <w:rPr>
          <w:rFonts w:ascii="Times New Roman" w:hAnsi="Times New Roman" w:cs="Times New Roman"/>
          <w:color w:val="000000" w:themeColor="text1"/>
          <w:sz w:val="24"/>
          <w:szCs w:val="24"/>
        </w:rPr>
        <w:t>vadis</w:t>
      </w:r>
      <w:proofErr w:type="spellEnd"/>
      <w:r w:rsidR="00C364CA" w:rsidRPr="00E76616">
        <w:rPr>
          <w:rFonts w:ascii="Times New Roman" w:hAnsi="Times New Roman" w:cs="Times New Roman"/>
          <w:color w:val="000000" w:themeColor="text1"/>
          <w:sz w:val="24"/>
          <w:szCs w:val="24"/>
        </w:rPr>
        <w:t xml:space="preserve"> European gas market</w:t>
      </w:r>
      <w:r w:rsidR="00965E2C" w:rsidRPr="00E76616">
        <w:rPr>
          <w:rFonts w:ascii="Times New Roman" w:hAnsi="Times New Roman" w:cs="Times New Roman"/>
          <w:color w:val="000000" w:themeColor="text1"/>
          <w:sz w:val="24"/>
          <w:szCs w:val="24"/>
        </w:rPr>
        <w:t>?</w:t>
      </w:r>
      <w:r w:rsidR="00C364CA" w:rsidRPr="00E76616">
        <w:rPr>
          <w:rFonts w:ascii="Times New Roman" w:hAnsi="Times New Roman" w:cs="Times New Roman"/>
          <w:color w:val="000000" w:themeColor="text1"/>
          <w:sz w:val="24"/>
          <w:szCs w:val="24"/>
        </w:rPr>
        <w:t>’</w:t>
      </w:r>
      <w:r w:rsidR="00A6197E" w:rsidRPr="00F60A11">
        <w:rPr>
          <w:rFonts w:ascii="Times New Roman" w:hAnsi="Times New Roman" w:cs="Times New Roman"/>
          <w:color w:val="000000" w:themeColor="text1"/>
          <w:sz w:val="24"/>
          <w:szCs w:val="24"/>
        </w:rPr>
        <w:t xml:space="preserve"> </w:t>
      </w:r>
      <w:r w:rsidR="00965E2C" w:rsidRPr="00F60A11">
        <w:rPr>
          <w:rFonts w:ascii="Times New Roman" w:hAnsi="Times New Roman" w:cs="Times New Roman"/>
          <w:color w:val="000000" w:themeColor="text1"/>
          <w:sz w:val="24"/>
          <w:szCs w:val="24"/>
        </w:rPr>
        <w:t>T</w:t>
      </w:r>
      <w:r w:rsidR="00A6197E" w:rsidRPr="00F60A11">
        <w:rPr>
          <w:rFonts w:ascii="Times New Roman" w:hAnsi="Times New Roman" w:cs="Times New Roman"/>
          <w:color w:val="000000" w:themeColor="text1"/>
          <w:sz w:val="24"/>
          <w:szCs w:val="24"/>
        </w:rPr>
        <w:t>he rest of this paper proceed</w:t>
      </w:r>
      <w:r w:rsidR="00836D2F">
        <w:rPr>
          <w:rFonts w:ascii="Times New Roman" w:hAnsi="Times New Roman" w:cs="Times New Roman"/>
          <w:color w:val="000000" w:themeColor="text1"/>
          <w:sz w:val="24"/>
          <w:szCs w:val="24"/>
        </w:rPr>
        <w:t>s</w:t>
      </w:r>
      <w:r w:rsidR="00A6197E" w:rsidRPr="00F60A11">
        <w:rPr>
          <w:rFonts w:ascii="Times New Roman" w:hAnsi="Times New Roman" w:cs="Times New Roman"/>
          <w:color w:val="000000" w:themeColor="text1"/>
          <w:sz w:val="24"/>
          <w:szCs w:val="24"/>
        </w:rPr>
        <w:t xml:space="preserve"> with the </w:t>
      </w:r>
      <w:r w:rsidR="0059386F" w:rsidRPr="00F60A11">
        <w:rPr>
          <w:rFonts w:ascii="Times New Roman" w:hAnsi="Times New Roman" w:cs="Times New Roman"/>
          <w:color w:val="000000" w:themeColor="text1"/>
          <w:sz w:val="24"/>
          <w:szCs w:val="24"/>
        </w:rPr>
        <w:t xml:space="preserve">analysis of the evolution of the gas markets in Europe using transaction cost economics; it then briefly outlines key literature </w:t>
      </w:r>
      <w:r w:rsidR="00514979" w:rsidRPr="00F60A11">
        <w:rPr>
          <w:rFonts w:ascii="Times New Roman" w:hAnsi="Times New Roman" w:cs="Times New Roman"/>
          <w:color w:val="000000" w:themeColor="text1"/>
          <w:sz w:val="24"/>
          <w:szCs w:val="24"/>
        </w:rPr>
        <w:t xml:space="preserve">regarding </w:t>
      </w:r>
      <w:r w:rsidR="00076DF7" w:rsidRPr="00F60A11">
        <w:rPr>
          <w:rFonts w:ascii="Times New Roman" w:hAnsi="Times New Roman" w:cs="Times New Roman"/>
          <w:color w:val="000000" w:themeColor="text1"/>
          <w:sz w:val="24"/>
          <w:szCs w:val="24"/>
        </w:rPr>
        <w:t>gas market organi</w:t>
      </w:r>
      <w:r w:rsidR="00AC205F">
        <w:rPr>
          <w:rFonts w:ascii="Times New Roman" w:hAnsi="Times New Roman" w:cs="Times New Roman"/>
          <w:color w:val="000000" w:themeColor="text1"/>
          <w:sz w:val="24"/>
          <w:szCs w:val="24"/>
        </w:rPr>
        <w:t>s</w:t>
      </w:r>
      <w:r w:rsidR="00076DF7" w:rsidRPr="00F60A11">
        <w:rPr>
          <w:rFonts w:ascii="Times New Roman" w:hAnsi="Times New Roman" w:cs="Times New Roman"/>
          <w:color w:val="000000" w:themeColor="text1"/>
          <w:sz w:val="24"/>
          <w:szCs w:val="24"/>
        </w:rPr>
        <w:t xml:space="preserve">ation (long-term contracts vs. spot trading) and </w:t>
      </w:r>
      <w:r w:rsidR="00691FC7" w:rsidRPr="00F60A11">
        <w:rPr>
          <w:rFonts w:ascii="Times New Roman" w:hAnsi="Times New Roman" w:cs="Times New Roman"/>
          <w:color w:val="000000" w:themeColor="text1"/>
          <w:sz w:val="24"/>
          <w:szCs w:val="24"/>
        </w:rPr>
        <w:t>ex</w:t>
      </w:r>
      <w:r w:rsidR="00AC205F">
        <w:rPr>
          <w:rFonts w:ascii="Times New Roman" w:hAnsi="Times New Roman" w:cs="Times New Roman"/>
          <w:color w:val="000000" w:themeColor="text1"/>
          <w:sz w:val="24"/>
          <w:szCs w:val="24"/>
        </w:rPr>
        <w:t xml:space="preserve"> </w:t>
      </w:r>
      <w:r w:rsidR="00691FC7" w:rsidRPr="00F60A11">
        <w:rPr>
          <w:rFonts w:ascii="Times New Roman" w:hAnsi="Times New Roman" w:cs="Times New Roman"/>
          <w:color w:val="000000" w:themeColor="text1"/>
          <w:sz w:val="24"/>
          <w:szCs w:val="24"/>
        </w:rPr>
        <w:t xml:space="preserve">post analysis of </w:t>
      </w:r>
      <w:r w:rsidR="00E7484E" w:rsidRPr="00F60A11">
        <w:rPr>
          <w:rFonts w:ascii="Times New Roman" w:hAnsi="Times New Roman" w:cs="Times New Roman"/>
          <w:color w:val="000000" w:themeColor="text1"/>
          <w:sz w:val="24"/>
          <w:szCs w:val="24"/>
        </w:rPr>
        <w:t>effects of gas market liberalization</w:t>
      </w:r>
      <w:r w:rsidR="00691FC7" w:rsidRPr="00F60A11">
        <w:rPr>
          <w:rFonts w:ascii="Times New Roman" w:hAnsi="Times New Roman" w:cs="Times New Roman"/>
          <w:color w:val="000000" w:themeColor="text1"/>
          <w:sz w:val="24"/>
          <w:szCs w:val="24"/>
        </w:rPr>
        <w:t xml:space="preserve"> on price convergence</w:t>
      </w:r>
      <w:r w:rsidR="00E7484E" w:rsidRPr="00F60A11">
        <w:rPr>
          <w:rFonts w:ascii="Times New Roman" w:hAnsi="Times New Roman" w:cs="Times New Roman"/>
          <w:color w:val="000000" w:themeColor="text1"/>
          <w:sz w:val="24"/>
          <w:szCs w:val="24"/>
        </w:rPr>
        <w:t xml:space="preserve">. </w:t>
      </w:r>
      <w:r w:rsidR="00402BF8">
        <w:rPr>
          <w:rFonts w:ascii="Times New Roman" w:hAnsi="Times New Roman" w:cs="Times New Roman"/>
          <w:color w:val="000000" w:themeColor="text1"/>
          <w:sz w:val="24"/>
          <w:szCs w:val="24"/>
        </w:rPr>
        <w:t xml:space="preserve">I </w:t>
      </w:r>
      <w:r w:rsidR="00E7484E" w:rsidRPr="00F60A11">
        <w:rPr>
          <w:rFonts w:ascii="Times New Roman" w:hAnsi="Times New Roman" w:cs="Times New Roman"/>
          <w:color w:val="000000" w:themeColor="text1"/>
          <w:sz w:val="24"/>
          <w:szCs w:val="24"/>
        </w:rPr>
        <w:t xml:space="preserve">conclude the paper with </w:t>
      </w:r>
      <w:r w:rsidR="00E5467B" w:rsidRPr="00F60A11">
        <w:rPr>
          <w:rFonts w:ascii="Times New Roman" w:hAnsi="Times New Roman" w:cs="Times New Roman"/>
          <w:color w:val="000000" w:themeColor="text1"/>
          <w:sz w:val="24"/>
          <w:szCs w:val="24"/>
        </w:rPr>
        <w:t>a</w:t>
      </w:r>
      <w:r w:rsidR="00E7484E" w:rsidRPr="00F60A11">
        <w:rPr>
          <w:rFonts w:ascii="Times New Roman" w:hAnsi="Times New Roman" w:cs="Times New Roman"/>
          <w:color w:val="000000" w:themeColor="text1"/>
          <w:sz w:val="24"/>
          <w:szCs w:val="24"/>
        </w:rPr>
        <w:t xml:space="preserve"> forward look </w:t>
      </w:r>
      <w:r w:rsidR="00836D2F">
        <w:rPr>
          <w:rFonts w:ascii="Times New Roman" w:hAnsi="Times New Roman" w:cs="Times New Roman"/>
          <w:color w:val="000000" w:themeColor="text1"/>
          <w:sz w:val="24"/>
          <w:szCs w:val="24"/>
        </w:rPr>
        <w:t xml:space="preserve">at </w:t>
      </w:r>
      <w:r w:rsidR="00E7484E" w:rsidRPr="00F60A11">
        <w:rPr>
          <w:rFonts w:ascii="Times New Roman" w:hAnsi="Times New Roman" w:cs="Times New Roman"/>
          <w:color w:val="000000" w:themeColor="text1"/>
          <w:sz w:val="24"/>
          <w:szCs w:val="24"/>
        </w:rPr>
        <w:t xml:space="preserve">where the </w:t>
      </w:r>
      <w:r w:rsidR="00CD59E9" w:rsidRPr="00F60A11">
        <w:rPr>
          <w:rFonts w:ascii="Times New Roman" w:hAnsi="Times New Roman" w:cs="Times New Roman"/>
          <w:color w:val="000000" w:themeColor="text1"/>
          <w:sz w:val="24"/>
          <w:szCs w:val="24"/>
        </w:rPr>
        <w:t xml:space="preserve">European </w:t>
      </w:r>
      <w:r w:rsidR="00E7484E" w:rsidRPr="00F60A11">
        <w:rPr>
          <w:rFonts w:ascii="Times New Roman" w:hAnsi="Times New Roman" w:cs="Times New Roman"/>
          <w:color w:val="000000" w:themeColor="text1"/>
          <w:sz w:val="24"/>
          <w:szCs w:val="24"/>
        </w:rPr>
        <w:t xml:space="preserve">gas markets </w:t>
      </w:r>
      <w:r w:rsidR="00E5467B" w:rsidRPr="00F60A11">
        <w:rPr>
          <w:rFonts w:ascii="Times New Roman" w:hAnsi="Times New Roman" w:cs="Times New Roman"/>
          <w:color w:val="000000" w:themeColor="text1"/>
          <w:sz w:val="24"/>
          <w:szCs w:val="24"/>
        </w:rPr>
        <w:t>are</w:t>
      </w:r>
      <w:r w:rsidR="00CD59E9" w:rsidRPr="00F60A11">
        <w:rPr>
          <w:rFonts w:ascii="Times New Roman" w:hAnsi="Times New Roman" w:cs="Times New Roman"/>
          <w:color w:val="000000" w:themeColor="text1"/>
          <w:sz w:val="24"/>
          <w:szCs w:val="24"/>
        </w:rPr>
        <w:t xml:space="preserve"> moving to and general lessons to be learned.</w:t>
      </w:r>
    </w:p>
    <w:p w14:paraId="1E9170D0" w14:textId="77777777" w:rsidR="00F23AF7" w:rsidRPr="00F60A11" w:rsidRDefault="00F23AF7" w:rsidP="00660B3D">
      <w:pPr>
        <w:spacing w:line="360" w:lineRule="auto"/>
        <w:ind w:firstLine="567"/>
        <w:rPr>
          <w:rFonts w:ascii="Times New Roman" w:hAnsi="Times New Roman" w:cs="Times New Roman"/>
          <w:color w:val="000000" w:themeColor="text1"/>
          <w:sz w:val="24"/>
          <w:szCs w:val="24"/>
        </w:rPr>
      </w:pPr>
    </w:p>
    <w:p w14:paraId="7195C614" w14:textId="2B6A0448" w:rsidR="009B7083" w:rsidRPr="00F60A11" w:rsidRDefault="004969F8" w:rsidP="00106AA0">
      <w:pPr>
        <w:pStyle w:val="Heading1"/>
        <w:numPr>
          <w:ilvl w:val="0"/>
          <w:numId w:val="1"/>
        </w:numPr>
        <w:spacing w:line="360" w:lineRule="auto"/>
        <w:ind w:left="0" w:firstLine="0"/>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 xml:space="preserve">The evolution of the </w:t>
      </w:r>
      <w:r w:rsidR="00566C83" w:rsidRPr="00F60A11">
        <w:rPr>
          <w:rFonts w:ascii="Times New Roman" w:hAnsi="Times New Roman" w:cs="Times New Roman"/>
          <w:b/>
          <w:color w:val="000000" w:themeColor="text1"/>
          <w:sz w:val="24"/>
          <w:szCs w:val="24"/>
        </w:rPr>
        <w:t xml:space="preserve">European gas industry </w:t>
      </w:r>
      <w:r w:rsidR="00C06F81" w:rsidRPr="00F60A11">
        <w:rPr>
          <w:rFonts w:ascii="Times New Roman" w:hAnsi="Times New Roman" w:cs="Times New Roman"/>
          <w:b/>
          <w:color w:val="000000" w:themeColor="text1"/>
          <w:sz w:val="24"/>
          <w:szCs w:val="24"/>
        </w:rPr>
        <w:t>f</w:t>
      </w:r>
      <w:r w:rsidR="00566C83" w:rsidRPr="00F60A11">
        <w:rPr>
          <w:rFonts w:ascii="Times New Roman" w:hAnsi="Times New Roman" w:cs="Times New Roman"/>
          <w:b/>
          <w:color w:val="000000" w:themeColor="text1"/>
          <w:sz w:val="24"/>
          <w:szCs w:val="24"/>
        </w:rPr>
        <w:t xml:space="preserve">rom </w:t>
      </w:r>
      <w:r w:rsidR="00836D2F">
        <w:rPr>
          <w:rFonts w:ascii="Times New Roman" w:hAnsi="Times New Roman" w:cs="Times New Roman"/>
          <w:b/>
          <w:color w:val="000000" w:themeColor="text1"/>
          <w:sz w:val="24"/>
          <w:szCs w:val="24"/>
        </w:rPr>
        <w:t xml:space="preserve">a </w:t>
      </w:r>
      <w:r w:rsidRPr="00F60A11">
        <w:rPr>
          <w:rFonts w:ascii="Times New Roman" w:hAnsi="Times New Roman" w:cs="Times New Roman"/>
          <w:b/>
          <w:color w:val="000000" w:themeColor="text1"/>
          <w:sz w:val="24"/>
          <w:szCs w:val="24"/>
        </w:rPr>
        <w:t>transaction cost economics perspective</w:t>
      </w:r>
    </w:p>
    <w:p w14:paraId="15F8EDB4" w14:textId="56A0F468" w:rsidR="00767FE8" w:rsidRPr="00F60A11" w:rsidRDefault="009377C3"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The transaction cost framework is a helpful tool for understanding the evolution and organisational complexity of the natural gas trade in Europe.</w:t>
      </w:r>
      <w:r w:rsidR="00DD6FE9" w:rsidRPr="00F60A11">
        <w:rPr>
          <w:rFonts w:ascii="Times New Roman" w:hAnsi="Times New Roman" w:cs="Times New Roman"/>
          <w:color w:val="000000" w:themeColor="text1"/>
          <w:sz w:val="24"/>
          <w:szCs w:val="24"/>
        </w:rPr>
        <w:t xml:space="preserve"> </w:t>
      </w:r>
      <w:r w:rsidR="00767FE8" w:rsidRPr="00F60A11">
        <w:rPr>
          <w:rFonts w:ascii="Times New Roman" w:hAnsi="Times New Roman" w:cs="Times New Roman"/>
          <w:color w:val="000000" w:themeColor="text1"/>
          <w:sz w:val="24"/>
          <w:szCs w:val="24"/>
        </w:rPr>
        <w:t xml:space="preserve">The economic literature points to two major organisational forms that support exchanges between economic agents: (i) markets and (ii) vertical integration. </w:t>
      </w:r>
      <w:r w:rsidR="00836D2F">
        <w:rPr>
          <w:rFonts w:ascii="Times New Roman" w:hAnsi="Times New Roman" w:cs="Times New Roman"/>
          <w:color w:val="000000" w:themeColor="text1"/>
          <w:sz w:val="24"/>
          <w:szCs w:val="24"/>
        </w:rPr>
        <w:t>B</w:t>
      </w:r>
      <w:r w:rsidR="00063542" w:rsidRPr="00F60A11">
        <w:rPr>
          <w:rFonts w:ascii="Times New Roman" w:hAnsi="Times New Roman" w:cs="Times New Roman"/>
          <w:color w:val="000000" w:themeColor="text1"/>
          <w:sz w:val="24"/>
          <w:szCs w:val="24"/>
        </w:rPr>
        <w:t>etween those two extremes</w:t>
      </w:r>
      <w:r w:rsidR="00836D2F">
        <w:rPr>
          <w:rFonts w:ascii="Times New Roman" w:hAnsi="Times New Roman" w:cs="Times New Roman"/>
          <w:color w:val="000000" w:themeColor="text1"/>
          <w:sz w:val="24"/>
          <w:szCs w:val="24"/>
        </w:rPr>
        <w:t xml:space="preserve"> is </w:t>
      </w:r>
      <w:r w:rsidR="002662E1" w:rsidRPr="00F60A11">
        <w:rPr>
          <w:rFonts w:ascii="Times New Roman" w:hAnsi="Times New Roman" w:cs="Times New Roman"/>
          <w:color w:val="000000" w:themeColor="text1"/>
          <w:sz w:val="24"/>
          <w:szCs w:val="24"/>
        </w:rPr>
        <w:t>a continuum of organi</w:t>
      </w:r>
      <w:r w:rsidR="00AC205F">
        <w:rPr>
          <w:rFonts w:ascii="Times New Roman" w:hAnsi="Times New Roman" w:cs="Times New Roman"/>
          <w:color w:val="000000" w:themeColor="text1"/>
          <w:sz w:val="24"/>
          <w:szCs w:val="24"/>
        </w:rPr>
        <w:t>s</w:t>
      </w:r>
      <w:r w:rsidR="002662E1" w:rsidRPr="00F60A11">
        <w:rPr>
          <w:rFonts w:ascii="Times New Roman" w:hAnsi="Times New Roman" w:cs="Times New Roman"/>
          <w:color w:val="000000" w:themeColor="text1"/>
          <w:sz w:val="24"/>
          <w:szCs w:val="24"/>
        </w:rPr>
        <w:t xml:space="preserve">ational forms ranging </w:t>
      </w:r>
      <w:r w:rsidR="007546A1" w:rsidRPr="00F60A11">
        <w:rPr>
          <w:rFonts w:ascii="Times New Roman" w:hAnsi="Times New Roman" w:cs="Times New Roman"/>
          <w:color w:val="000000" w:themeColor="text1"/>
          <w:sz w:val="24"/>
          <w:szCs w:val="24"/>
        </w:rPr>
        <w:t>from</w:t>
      </w:r>
      <w:r w:rsidR="002662E1" w:rsidRPr="00F60A11">
        <w:rPr>
          <w:rFonts w:ascii="Times New Roman" w:hAnsi="Times New Roman" w:cs="Times New Roman"/>
          <w:color w:val="000000" w:themeColor="text1"/>
          <w:sz w:val="24"/>
          <w:szCs w:val="24"/>
        </w:rPr>
        <w:t xml:space="preserve"> </w:t>
      </w:r>
      <w:r w:rsidR="00767FE8" w:rsidRPr="00F60A11">
        <w:rPr>
          <w:rFonts w:ascii="Times New Roman" w:hAnsi="Times New Roman" w:cs="Times New Roman"/>
          <w:color w:val="000000" w:themeColor="text1"/>
          <w:sz w:val="24"/>
          <w:szCs w:val="24"/>
        </w:rPr>
        <w:t xml:space="preserve">joint ventures </w:t>
      </w:r>
      <w:r w:rsidR="002662E1" w:rsidRPr="00F60A11">
        <w:rPr>
          <w:rFonts w:ascii="Times New Roman" w:hAnsi="Times New Roman" w:cs="Times New Roman"/>
          <w:color w:val="000000" w:themeColor="text1"/>
          <w:sz w:val="24"/>
          <w:szCs w:val="24"/>
        </w:rPr>
        <w:t>to long-term contracts</w:t>
      </w:r>
      <w:r w:rsidR="00836D2F">
        <w:rPr>
          <w:rFonts w:ascii="Times New Roman" w:hAnsi="Times New Roman" w:cs="Times New Roman"/>
          <w:color w:val="000000" w:themeColor="text1"/>
          <w:sz w:val="24"/>
          <w:szCs w:val="24"/>
        </w:rPr>
        <w:t xml:space="preserve"> (</w:t>
      </w:r>
      <w:r w:rsidR="002662E1" w:rsidRPr="00F60A11">
        <w:rPr>
          <w:rFonts w:ascii="Times New Roman" w:hAnsi="Times New Roman" w:cs="Times New Roman"/>
          <w:color w:val="000000" w:themeColor="text1"/>
          <w:sz w:val="24"/>
          <w:szCs w:val="24"/>
        </w:rPr>
        <w:t>LTC</w:t>
      </w:r>
      <w:r w:rsidR="00836D2F">
        <w:rPr>
          <w:rFonts w:ascii="Times New Roman" w:hAnsi="Times New Roman" w:cs="Times New Roman"/>
          <w:color w:val="000000" w:themeColor="text1"/>
          <w:sz w:val="24"/>
          <w:szCs w:val="24"/>
        </w:rPr>
        <w:t>)</w:t>
      </w:r>
      <w:r w:rsidR="002662E1" w:rsidRPr="00F60A11">
        <w:rPr>
          <w:rFonts w:ascii="Times New Roman" w:hAnsi="Times New Roman" w:cs="Times New Roman"/>
          <w:color w:val="000000" w:themeColor="text1"/>
          <w:sz w:val="24"/>
          <w:szCs w:val="24"/>
        </w:rPr>
        <w:t xml:space="preserve"> </w:t>
      </w:r>
      <w:r w:rsidR="00767FE8" w:rsidRPr="00F60A11">
        <w:rPr>
          <w:rFonts w:ascii="Times New Roman" w:hAnsi="Times New Roman" w:cs="Times New Roman"/>
          <w:color w:val="000000" w:themeColor="text1"/>
          <w:sz w:val="24"/>
          <w:szCs w:val="24"/>
        </w:rPr>
        <w:t>(quasi-vertical integration)</w:t>
      </w:r>
      <w:r w:rsidR="00BC23CC" w:rsidRPr="00F60A11">
        <w:rPr>
          <w:rFonts w:ascii="Times New Roman" w:hAnsi="Times New Roman" w:cs="Times New Roman"/>
          <w:color w:val="000000" w:themeColor="text1"/>
          <w:sz w:val="24"/>
          <w:szCs w:val="24"/>
        </w:rPr>
        <w:t>. T</w:t>
      </w:r>
      <w:r w:rsidR="00767FE8" w:rsidRPr="00F60A11">
        <w:rPr>
          <w:rFonts w:ascii="Times New Roman" w:hAnsi="Times New Roman" w:cs="Times New Roman"/>
          <w:color w:val="000000" w:themeColor="text1"/>
          <w:sz w:val="24"/>
          <w:szCs w:val="24"/>
        </w:rPr>
        <w:t xml:space="preserve">he choice of organisational form depends on the characteristics of the transaction in question. Choosing an organisational form to facilitate trade has long been at the heart of economic thinking, particularly within the </w:t>
      </w:r>
      <w:r w:rsidR="00767FE8" w:rsidRPr="00E76616">
        <w:rPr>
          <w:rFonts w:ascii="Times New Roman" w:hAnsi="Times New Roman" w:cs="Times New Roman"/>
          <w:color w:val="000000" w:themeColor="text1"/>
          <w:sz w:val="24"/>
          <w:szCs w:val="24"/>
        </w:rPr>
        <w:t>transaction cost economics</w:t>
      </w:r>
      <w:r w:rsidR="00767FE8" w:rsidRPr="00836D2F">
        <w:rPr>
          <w:rFonts w:ascii="Times New Roman" w:hAnsi="Times New Roman" w:cs="Times New Roman"/>
          <w:color w:val="000000" w:themeColor="text1"/>
          <w:sz w:val="24"/>
          <w:szCs w:val="24"/>
        </w:rPr>
        <w:t xml:space="preserve"> </w:t>
      </w:r>
      <w:r w:rsidR="00767FE8" w:rsidRPr="00F60A11">
        <w:rPr>
          <w:rFonts w:ascii="Times New Roman" w:hAnsi="Times New Roman" w:cs="Times New Roman"/>
          <w:color w:val="000000" w:themeColor="text1"/>
          <w:sz w:val="24"/>
          <w:szCs w:val="24"/>
        </w:rPr>
        <w:t>literature led by scholars such as Coase, Williamson, Klein and Goldberg (Coase, 1937; 1972; Williamson, 1971; 1975; 1979; 1983; 1985; Klein et al., 1978; Klein, 1980; Goldberg, 1976; Goldberg and Erickson, 1987) and others following a similar approach. Joskow (1985) summarises the basic theory behind the transaction cost approach by explaining the choice of governance structure: markets or long-term vertical relationships. In addition to the traditional cost elements usually incurred during any production process (such as land, labour, capital and materials), there are also transaction costs associated with the exchange of economic goods between agents</w:t>
      </w:r>
      <w:r w:rsidR="00BD09AB" w:rsidRPr="00F60A11">
        <w:rPr>
          <w:rFonts w:ascii="Times New Roman" w:hAnsi="Times New Roman" w:cs="Times New Roman"/>
          <w:color w:val="000000" w:themeColor="text1"/>
          <w:sz w:val="24"/>
          <w:szCs w:val="24"/>
        </w:rPr>
        <w:t xml:space="preserve"> (Joskow, 1985)</w:t>
      </w:r>
      <w:r w:rsidR="00767FE8" w:rsidRPr="00F60A11">
        <w:rPr>
          <w:rFonts w:ascii="Times New Roman" w:hAnsi="Times New Roman" w:cs="Times New Roman"/>
          <w:color w:val="000000" w:themeColor="text1"/>
          <w:sz w:val="24"/>
          <w:szCs w:val="24"/>
        </w:rPr>
        <w:t xml:space="preserve">; for example, costs relating to drafting, enforcing and potentially breaching contracts. These transaction costs are real </w:t>
      </w:r>
      <w:r w:rsidR="00767FE8" w:rsidRPr="00F60A11">
        <w:rPr>
          <w:rFonts w:ascii="Times New Roman" w:hAnsi="Times New Roman" w:cs="Times New Roman"/>
          <w:color w:val="000000" w:themeColor="text1"/>
          <w:sz w:val="24"/>
          <w:szCs w:val="24"/>
        </w:rPr>
        <w:lastRenderedPageBreak/>
        <w:t>economic costs that should be considered alongside traditional cost items in the cost-minimising decision-making problem.</w:t>
      </w:r>
    </w:p>
    <w:p w14:paraId="09C3D6A7" w14:textId="3095A25B"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In general, a set of characteristics may influence the nature and magnitude of transaction costs: (i) the uncertainty and complexity of transactions, (ii) the need for and degree of relationship-specific sunk investments to support transactions, (iii) the trade-off between the cost and benefit of internalisation versus reliance on market transactions and (iv) the regularity of transactions. Crucially, the need for and magnitude of relationship-specific investments to facilitate trade are the most important characteristics, which, </w:t>
      </w:r>
      <w:r w:rsidR="00836D2F">
        <w:rPr>
          <w:rFonts w:ascii="Times New Roman" w:hAnsi="Times New Roman" w:cs="Times New Roman"/>
          <w:color w:val="000000" w:themeColor="text1"/>
          <w:sz w:val="24"/>
          <w:szCs w:val="24"/>
        </w:rPr>
        <w:t>combined</w:t>
      </w:r>
      <w:r w:rsidRPr="00F60A11">
        <w:rPr>
          <w:rFonts w:ascii="Times New Roman" w:hAnsi="Times New Roman" w:cs="Times New Roman"/>
          <w:color w:val="000000" w:themeColor="text1"/>
          <w:sz w:val="24"/>
          <w:szCs w:val="24"/>
        </w:rPr>
        <w:t xml:space="preserve"> with the other factors mentioned, could give rise to very high transaction costs associated with potential exchanges. </w:t>
      </w:r>
      <w:r w:rsidR="001D224D" w:rsidRPr="00F60A11">
        <w:rPr>
          <w:rFonts w:ascii="Times New Roman" w:hAnsi="Times New Roman" w:cs="Times New Roman"/>
          <w:color w:val="000000" w:themeColor="text1"/>
          <w:sz w:val="24"/>
          <w:szCs w:val="24"/>
        </w:rPr>
        <w:t>High</w:t>
      </w:r>
      <w:r w:rsidRPr="00F60A11">
        <w:rPr>
          <w:rFonts w:ascii="Times New Roman" w:hAnsi="Times New Roman" w:cs="Times New Roman"/>
          <w:color w:val="000000" w:themeColor="text1"/>
          <w:sz w:val="24"/>
          <w:szCs w:val="24"/>
        </w:rPr>
        <w:t xml:space="preserve"> uncertainty means that contracts may be incomplete in the sense that they are unable to specify every possible state of nature that could affect the performance of the parties under the contract. As such, the incompleteness of contracts would not create significant problems were it not for the involvement of a high degree of relationship-specific assets that must be developed </w:t>
      </w:r>
      <w:r w:rsidRPr="00F60A11">
        <w:rPr>
          <w:rFonts w:ascii="Times New Roman" w:hAnsi="Times New Roman" w:cs="Times New Roman"/>
          <w:i/>
          <w:color w:val="000000" w:themeColor="text1"/>
          <w:sz w:val="24"/>
          <w:szCs w:val="24"/>
        </w:rPr>
        <w:t>ex ante</w:t>
      </w:r>
      <w:r w:rsidRPr="00F60A11">
        <w:rPr>
          <w:rFonts w:ascii="Times New Roman" w:hAnsi="Times New Roman" w:cs="Times New Roman"/>
          <w:color w:val="000000" w:themeColor="text1"/>
          <w:sz w:val="24"/>
          <w:szCs w:val="24"/>
        </w:rPr>
        <w:t xml:space="preserve"> to facilitate the exchange. Furthermore, the frequency of transactions should only matter when high (sunk) investment costs were involved in establishing bilateral trade because subsequent transactions represent opportunities for haggling and the higher the frequency of those transactions, the higher the risk of opportunistic behaviour among the parties involved in the trade. Williamson (1983)</w:t>
      </w:r>
      <w:r w:rsidR="00836D2F">
        <w:rPr>
          <w:rFonts w:ascii="Times New Roman" w:hAnsi="Times New Roman" w:cs="Times New Roman"/>
          <w:color w:val="000000" w:themeColor="text1"/>
          <w:sz w:val="24"/>
          <w:szCs w:val="24"/>
        </w:rPr>
        <w:t xml:space="preserve"> identifies </w:t>
      </w:r>
      <w:r w:rsidRPr="00F60A11">
        <w:rPr>
          <w:rFonts w:ascii="Times New Roman" w:hAnsi="Times New Roman" w:cs="Times New Roman"/>
          <w:color w:val="000000" w:themeColor="text1"/>
          <w:sz w:val="24"/>
          <w:szCs w:val="24"/>
        </w:rPr>
        <w:t>four types of asset specificity that may partition an industry into a smaller number of bilateral oligopolies</w:t>
      </w:r>
      <w:r w:rsidR="00836D2F">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w:t>
      </w:r>
    </w:p>
    <w:p w14:paraId="390E8A5A" w14:textId="77823E05" w:rsidR="00767FE8" w:rsidRPr="00F60A11" w:rsidRDefault="00767FE8" w:rsidP="00836D2F">
      <w:pPr>
        <w:pStyle w:val="ListParagraph"/>
        <w:numPr>
          <w:ilvl w:val="0"/>
          <w:numId w:val="2"/>
        </w:numPr>
        <w:spacing w:line="360" w:lineRule="auto"/>
        <w:ind w:left="1080"/>
        <w:rPr>
          <w:rFonts w:ascii="Times New Roman" w:hAnsi="Times New Roman" w:cs="Times New Roman"/>
          <w:color w:val="000000" w:themeColor="text1"/>
          <w:sz w:val="24"/>
          <w:szCs w:val="24"/>
        </w:rPr>
      </w:pPr>
      <w:r w:rsidRPr="00F60A11">
        <w:rPr>
          <w:rFonts w:ascii="Times New Roman" w:hAnsi="Times New Roman" w:cs="Times New Roman"/>
          <w:i/>
          <w:color w:val="000000" w:themeColor="text1"/>
          <w:sz w:val="24"/>
          <w:szCs w:val="24"/>
        </w:rPr>
        <w:t>Site specificity</w:t>
      </w:r>
      <w:r w:rsidR="0056677D">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the vertical relationship is arranged such that related facilities are located close to one another; for example, to minimise transport and inventory costs.</w:t>
      </w:r>
    </w:p>
    <w:p w14:paraId="7DDE75AF" w14:textId="359B41E9" w:rsidR="00767FE8" w:rsidRPr="00F60A11" w:rsidRDefault="00767FE8" w:rsidP="00836D2F">
      <w:pPr>
        <w:pStyle w:val="ListParagraph"/>
        <w:numPr>
          <w:ilvl w:val="0"/>
          <w:numId w:val="2"/>
        </w:numPr>
        <w:spacing w:line="360" w:lineRule="auto"/>
        <w:ind w:left="1080"/>
        <w:rPr>
          <w:rFonts w:ascii="Times New Roman" w:hAnsi="Times New Roman" w:cs="Times New Roman"/>
          <w:color w:val="000000" w:themeColor="text1"/>
          <w:sz w:val="24"/>
          <w:szCs w:val="24"/>
        </w:rPr>
      </w:pPr>
      <w:r w:rsidRPr="00F60A11">
        <w:rPr>
          <w:rFonts w:ascii="Times New Roman" w:hAnsi="Times New Roman" w:cs="Times New Roman"/>
          <w:i/>
          <w:color w:val="000000" w:themeColor="text1"/>
          <w:sz w:val="24"/>
          <w:szCs w:val="24"/>
        </w:rPr>
        <w:t>Physical asset specificity</w:t>
      </w:r>
      <w:r w:rsidR="0056677D">
        <w:rPr>
          <w:rFonts w:ascii="Times New Roman" w:hAnsi="Times New Roman" w:cs="Times New Roman"/>
          <w:color w:val="000000" w:themeColor="text1"/>
          <w:sz w:val="24"/>
          <w:szCs w:val="24"/>
        </w:rPr>
        <w:t>—</w:t>
      </w:r>
      <w:r w:rsidR="00836D2F">
        <w:rPr>
          <w:rFonts w:ascii="Times New Roman" w:hAnsi="Times New Roman" w:cs="Times New Roman"/>
          <w:color w:val="000000" w:themeColor="text1"/>
          <w:sz w:val="24"/>
          <w:szCs w:val="24"/>
        </w:rPr>
        <w:t>occurs</w:t>
      </w:r>
      <w:r w:rsidR="00836D2F"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when investments in equipment can only be utilised by one or both parties to the transaction and there is little value in utilising these assets in alternative ways. </w:t>
      </w:r>
    </w:p>
    <w:p w14:paraId="5A55B65B" w14:textId="51252B67" w:rsidR="00767FE8" w:rsidRPr="00F60A11" w:rsidRDefault="00767FE8" w:rsidP="00836D2F">
      <w:pPr>
        <w:pStyle w:val="ListParagraph"/>
        <w:numPr>
          <w:ilvl w:val="0"/>
          <w:numId w:val="2"/>
        </w:numPr>
        <w:spacing w:line="360" w:lineRule="auto"/>
        <w:ind w:left="1080"/>
        <w:rPr>
          <w:rFonts w:ascii="Times New Roman" w:hAnsi="Times New Roman" w:cs="Times New Roman"/>
          <w:color w:val="000000" w:themeColor="text1"/>
          <w:sz w:val="24"/>
          <w:szCs w:val="24"/>
        </w:rPr>
      </w:pPr>
      <w:r w:rsidRPr="00F60A11">
        <w:rPr>
          <w:rFonts w:ascii="Times New Roman" w:hAnsi="Times New Roman" w:cs="Times New Roman"/>
          <w:i/>
          <w:color w:val="000000" w:themeColor="text1"/>
          <w:sz w:val="24"/>
          <w:szCs w:val="24"/>
        </w:rPr>
        <w:t>Human capital specificity</w:t>
      </w:r>
      <w:r w:rsidR="0056677D">
        <w:rPr>
          <w:rFonts w:ascii="Times New Roman" w:hAnsi="Times New Roman" w:cs="Times New Roman"/>
          <w:i/>
          <w:color w:val="000000" w:themeColor="text1"/>
          <w:sz w:val="24"/>
          <w:szCs w:val="24"/>
        </w:rPr>
        <w:t>—</w:t>
      </w:r>
      <w:r w:rsidR="00836D2F">
        <w:rPr>
          <w:rFonts w:ascii="Times New Roman" w:hAnsi="Times New Roman" w:cs="Times New Roman"/>
          <w:color w:val="000000" w:themeColor="text1"/>
          <w:sz w:val="24"/>
          <w:szCs w:val="24"/>
        </w:rPr>
        <w:t>occurs</w:t>
      </w:r>
      <w:r w:rsidR="00836D2F"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when employees develop specific skills required for a </w:t>
      </w:r>
      <w:proofErr w:type="gramStart"/>
      <w:r w:rsidRPr="00F60A11">
        <w:rPr>
          <w:rFonts w:ascii="Times New Roman" w:hAnsi="Times New Roman" w:cs="Times New Roman"/>
          <w:color w:val="000000" w:themeColor="text1"/>
          <w:sz w:val="24"/>
          <w:szCs w:val="24"/>
        </w:rPr>
        <w:t>particular transaction</w:t>
      </w:r>
      <w:proofErr w:type="gramEnd"/>
      <w:r w:rsidRPr="00F60A11">
        <w:rPr>
          <w:rFonts w:ascii="Times New Roman" w:hAnsi="Times New Roman" w:cs="Times New Roman"/>
          <w:color w:val="000000" w:themeColor="text1"/>
          <w:sz w:val="24"/>
          <w:szCs w:val="24"/>
        </w:rPr>
        <w:t>.</w:t>
      </w:r>
    </w:p>
    <w:p w14:paraId="25419D99" w14:textId="61EA8B9D" w:rsidR="00767FE8" w:rsidRPr="00F60A11" w:rsidRDefault="00767FE8" w:rsidP="00836D2F">
      <w:pPr>
        <w:pStyle w:val="ListParagraph"/>
        <w:numPr>
          <w:ilvl w:val="0"/>
          <w:numId w:val="2"/>
        </w:numPr>
        <w:spacing w:line="360" w:lineRule="auto"/>
        <w:ind w:left="1080"/>
        <w:rPr>
          <w:rFonts w:ascii="Times New Roman" w:hAnsi="Times New Roman" w:cs="Times New Roman"/>
          <w:color w:val="000000" w:themeColor="text1"/>
          <w:sz w:val="24"/>
          <w:szCs w:val="24"/>
        </w:rPr>
      </w:pPr>
      <w:r w:rsidRPr="00F60A11">
        <w:rPr>
          <w:rFonts w:ascii="Times New Roman" w:hAnsi="Times New Roman" w:cs="Times New Roman"/>
          <w:i/>
          <w:color w:val="000000" w:themeColor="text1"/>
          <w:sz w:val="24"/>
          <w:szCs w:val="24"/>
        </w:rPr>
        <w:t>Dedicated assets</w:t>
      </w:r>
      <w:r w:rsidR="0056677D">
        <w:rPr>
          <w:rFonts w:ascii="Times New Roman" w:hAnsi="Times New Roman" w:cs="Times New Roman"/>
          <w:i/>
          <w:color w:val="000000" w:themeColor="text1"/>
          <w:sz w:val="24"/>
          <w:szCs w:val="24"/>
        </w:rPr>
        <w:t>—</w:t>
      </w:r>
      <w:r w:rsidRPr="00F60A11">
        <w:rPr>
          <w:rFonts w:ascii="Times New Roman" w:hAnsi="Times New Roman" w:cs="Times New Roman"/>
          <w:color w:val="000000" w:themeColor="text1"/>
          <w:sz w:val="24"/>
          <w:szCs w:val="24"/>
        </w:rPr>
        <w:t>arises when investments are made only to serve a specific transaction and would not have been developed otherwise; thus, should the contract underpinning the exchanges be terminated prematurely, the dedicated asset would be underutilised.</w:t>
      </w:r>
    </w:p>
    <w:p w14:paraId="6C3FD7E8" w14:textId="424C0036" w:rsidR="00767FE8" w:rsidRPr="00F60A11" w:rsidRDefault="00836D2F" w:rsidP="00660B3D">
      <w:pPr>
        <w:spacing w:line="36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h</w:t>
      </w:r>
      <w:r w:rsidR="00767FE8" w:rsidRPr="00F60A11">
        <w:rPr>
          <w:rFonts w:ascii="Times New Roman" w:hAnsi="Times New Roman" w:cs="Times New Roman"/>
          <w:color w:val="000000" w:themeColor="text1"/>
          <w:sz w:val="24"/>
          <w:szCs w:val="24"/>
        </w:rPr>
        <w:t xml:space="preserve">igh transaction cost structure </w:t>
      </w:r>
      <w:r w:rsidR="004C0491" w:rsidRPr="00F60A11">
        <w:rPr>
          <w:rFonts w:ascii="Times New Roman" w:hAnsi="Times New Roman" w:cs="Times New Roman"/>
          <w:color w:val="000000" w:themeColor="text1"/>
          <w:sz w:val="24"/>
          <w:szCs w:val="24"/>
        </w:rPr>
        <w:t>was</w:t>
      </w:r>
      <w:r w:rsidR="00767FE8" w:rsidRPr="00F60A11">
        <w:rPr>
          <w:rFonts w:ascii="Times New Roman" w:hAnsi="Times New Roman" w:cs="Times New Roman"/>
          <w:color w:val="000000" w:themeColor="text1"/>
          <w:sz w:val="24"/>
          <w:szCs w:val="24"/>
        </w:rPr>
        <w:t xml:space="preserve"> present at the beginning of the development of the natural gas industry in Europe and persisted until European authorities launched the liberali</w:t>
      </w:r>
      <w:r w:rsidR="00AC205F">
        <w:rPr>
          <w:rFonts w:ascii="Times New Roman" w:hAnsi="Times New Roman" w:cs="Times New Roman"/>
          <w:color w:val="000000" w:themeColor="text1"/>
          <w:sz w:val="24"/>
          <w:szCs w:val="24"/>
        </w:rPr>
        <w:t>z</w:t>
      </w:r>
      <w:r w:rsidR="00767FE8" w:rsidRPr="00F60A11">
        <w:rPr>
          <w:rFonts w:ascii="Times New Roman" w:hAnsi="Times New Roman" w:cs="Times New Roman"/>
          <w:color w:val="000000" w:themeColor="text1"/>
          <w:sz w:val="24"/>
          <w:szCs w:val="24"/>
        </w:rPr>
        <w:t xml:space="preserve">ation of the electricity and gas markets. As the transaction cost theory predicts, the European gas industry was developed based on a system of complex LTCs between buyers and sellers. LTCs drove the </w:t>
      </w:r>
      <w:r w:rsidR="00767FE8" w:rsidRPr="00F60A11">
        <w:rPr>
          <w:rFonts w:ascii="Times New Roman" w:hAnsi="Times New Roman" w:cs="Times New Roman"/>
          <w:color w:val="000000" w:themeColor="text1"/>
          <w:sz w:val="24"/>
          <w:szCs w:val="24"/>
        </w:rPr>
        <w:lastRenderedPageBreak/>
        <w:t>development of the gas trade in Europe</w:t>
      </w:r>
      <w:r w:rsidR="00B729DE" w:rsidRPr="00F60A11">
        <w:rPr>
          <w:rFonts w:ascii="Times New Roman" w:hAnsi="Times New Roman" w:cs="Times New Roman"/>
          <w:color w:val="000000" w:themeColor="text1"/>
          <w:sz w:val="24"/>
          <w:szCs w:val="24"/>
        </w:rPr>
        <w:t xml:space="preserve"> (see </w:t>
      </w:r>
      <w:r w:rsidR="009B6F04" w:rsidRPr="00F60A11">
        <w:rPr>
          <w:rFonts w:ascii="Times New Roman" w:hAnsi="Times New Roman" w:cs="Times New Roman"/>
          <w:color w:val="000000" w:themeColor="text1"/>
          <w:sz w:val="24"/>
          <w:szCs w:val="24"/>
        </w:rPr>
        <w:fldChar w:fldCharType="begin"/>
      </w:r>
      <w:r w:rsidR="009B6F04" w:rsidRPr="00F60A11">
        <w:rPr>
          <w:rFonts w:ascii="Times New Roman" w:hAnsi="Times New Roman" w:cs="Times New Roman"/>
          <w:color w:val="000000" w:themeColor="text1"/>
          <w:sz w:val="24"/>
          <w:szCs w:val="24"/>
        </w:rPr>
        <w:instrText xml:space="preserve"> REF _Ref520194554 \h </w:instrText>
      </w:r>
      <w:r w:rsidR="009B6F04" w:rsidRPr="00F60A11">
        <w:rPr>
          <w:rFonts w:ascii="Times New Roman" w:hAnsi="Times New Roman" w:cs="Times New Roman"/>
          <w:color w:val="000000" w:themeColor="text1"/>
          <w:sz w:val="24"/>
          <w:szCs w:val="24"/>
        </w:rPr>
      </w:r>
      <w:r w:rsidR="009B6F04"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1</w:t>
      </w:r>
      <w:r w:rsidR="009B6F04" w:rsidRPr="00F60A11">
        <w:rPr>
          <w:rFonts w:ascii="Times New Roman" w:hAnsi="Times New Roman" w:cs="Times New Roman"/>
          <w:color w:val="000000" w:themeColor="text1"/>
          <w:sz w:val="24"/>
          <w:szCs w:val="24"/>
        </w:rPr>
        <w:fldChar w:fldCharType="end"/>
      </w:r>
      <w:r w:rsidR="005C6423" w:rsidRPr="00F60A11">
        <w:rPr>
          <w:rFonts w:ascii="Times New Roman" w:hAnsi="Times New Roman" w:cs="Times New Roman"/>
          <w:color w:val="000000" w:themeColor="text1"/>
          <w:sz w:val="24"/>
          <w:szCs w:val="24"/>
        </w:rPr>
        <w:t>)</w:t>
      </w:r>
      <w:r w:rsidR="00767FE8" w:rsidRPr="00F60A11">
        <w:rPr>
          <w:rFonts w:ascii="Times New Roman" w:hAnsi="Times New Roman" w:cs="Times New Roman"/>
          <w:color w:val="000000" w:themeColor="text1"/>
          <w:sz w:val="24"/>
          <w:szCs w:val="24"/>
        </w:rPr>
        <w:t>, and the first such contracts were signed between European companies to develop the gas reserves of the giant Groningen gas field in the Netherlands (Energy Charter Secretariat, 2007).</w:t>
      </w:r>
      <w:r w:rsidR="000C133F" w:rsidRPr="00F60A11">
        <w:rPr>
          <w:rFonts w:ascii="Times New Roman" w:hAnsi="Times New Roman" w:cs="Times New Roman"/>
          <w:color w:val="000000" w:themeColor="text1"/>
          <w:sz w:val="24"/>
          <w:szCs w:val="24"/>
        </w:rPr>
        <w:t xml:space="preserve"> </w:t>
      </w:r>
      <w:r w:rsidR="000C133F" w:rsidRPr="00F60A11">
        <w:rPr>
          <w:rFonts w:ascii="Times New Roman" w:hAnsi="Times New Roman" w:cs="Times New Roman"/>
          <w:color w:val="000000" w:themeColor="text1"/>
          <w:sz w:val="24"/>
          <w:szCs w:val="24"/>
        </w:rPr>
        <w:fldChar w:fldCharType="begin"/>
      </w:r>
      <w:r w:rsidR="000C133F" w:rsidRPr="00F60A11">
        <w:rPr>
          <w:rFonts w:ascii="Times New Roman" w:hAnsi="Times New Roman" w:cs="Times New Roman"/>
          <w:color w:val="000000" w:themeColor="text1"/>
          <w:sz w:val="24"/>
          <w:szCs w:val="24"/>
        </w:rPr>
        <w:instrText xml:space="preserve"> REF _Ref520194554 \h </w:instrText>
      </w:r>
      <w:r w:rsidR="000C133F" w:rsidRPr="00F60A11">
        <w:rPr>
          <w:rFonts w:ascii="Times New Roman" w:hAnsi="Times New Roman" w:cs="Times New Roman"/>
          <w:color w:val="000000" w:themeColor="text1"/>
          <w:sz w:val="24"/>
          <w:szCs w:val="24"/>
        </w:rPr>
      </w:r>
      <w:r w:rsidR="000C133F"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1</w:t>
      </w:r>
      <w:r w:rsidR="000C133F" w:rsidRPr="00F60A11">
        <w:rPr>
          <w:rFonts w:ascii="Times New Roman" w:hAnsi="Times New Roman" w:cs="Times New Roman"/>
          <w:color w:val="000000" w:themeColor="text1"/>
          <w:sz w:val="24"/>
          <w:szCs w:val="24"/>
        </w:rPr>
        <w:fldChar w:fldCharType="end"/>
      </w:r>
      <w:r w:rsidR="000C133F" w:rsidRPr="00F60A11">
        <w:rPr>
          <w:rFonts w:ascii="Times New Roman" w:hAnsi="Times New Roman" w:cs="Times New Roman"/>
          <w:color w:val="000000" w:themeColor="text1"/>
          <w:sz w:val="24"/>
          <w:szCs w:val="24"/>
        </w:rPr>
        <w:t xml:space="preserve"> highlights the importance of LTCs in the development of the gas industry in Europe</w:t>
      </w:r>
      <w:r w:rsidR="003E01B7" w:rsidRPr="00F60A11">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the </w:t>
      </w:r>
      <w:r w:rsidR="003E01B7" w:rsidRPr="00F60A11">
        <w:rPr>
          <w:rFonts w:ascii="Times New Roman" w:hAnsi="Times New Roman" w:cs="Times New Roman"/>
          <w:color w:val="000000" w:themeColor="text1"/>
          <w:sz w:val="24"/>
          <w:szCs w:val="24"/>
        </w:rPr>
        <w:t>majority of</w:t>
      </w:r>
      <w:proofErr w:type="gramEnd"/>
      <w:r w:rsidR="003E01B7" w:rsidRPr="00F60A11">
        <w:rPr>
          <w:rFonts w:ascii="Times New Roman" w:hAnsi="Times New Roman" w:cs="Times New Roman"/>
          <w:color w:val="000000" w:themeColor="text1"/>
          <w:sz w:val="24"/>
          <w:szCs w:val="24"/>
        </w:rPr>
        <w:t xml:space="preserve"> the contracts were signed in the period 1991-2007</w:t>
      </w:r>
      <w:r>
        <w:rPr>
          <w:rFonts w:ascii="Times New Roman" w:hAnsi="Times New Roman" w:cs="Times New Roman"/>
          <w:color w:val="000000" w:themeColor="text1"/>
          <w:sz w:val="24"/>
          <w:szCs w:val="24"/>
        </w:rPr>
        <w:t>,</w:t>
      </w:r>
      <w:r w:rsidR="003E01B7" w:rsidRPr="00F60A11">
        <w:rPr>
          <w:rFonts w:ascii="Times New Roman" w:hAnsi="Times New Roman" w:cs="Times New Roman"/>
          <w:color w:val="000000" w:themeColor="text1"/>
          <w:sz w:val="24"/>
          <w:szCs w:val="24"/>
        </w:rPr>
        <w:t xml:space="preserve"> with total contract volume signed in that period exceeding 66% of </w:t>
      </w:r>
      <w:r w:rsidR="004A32DE" w:rsidRPr="00F60A11">
        <w:rPr>
          <w:rFonts w:ascii="Times New Roman" w:hAnsi="Times New Roman" w:cs="Times New Roman"/>
          <w:color w:val="000000" w:themeColor="text1"/>
          <w:sz w:val="24"/>
          <w:szCs w:val="24"/>
        </w:rPr>
        <w:t xml:space="preserve">average gas consumption in that same period. Note that </w:t>
      </w:r>
      <w:proofErr w:type="gramStart"/>
      <w:r>
        <w:rPr>
          <w:rFonts w:ascii="Times New Roman" w:hAnsi="Times New Roman" w:cs="Times New Roman"/>
          <w:color w:val="000000" w:themeColor="text1"/>
          <w:sz w:val="24"/>
          <w:szCs w:val="24"/>
        </w:rPr>
        <w:t xml:space="preserve">the </w:t>
      </w:r>
      <w:r w:rsidR="004A32DE" w:rsidRPr="00F60A11">
        <w:rPr>
          <w:rFonts w:ascii="Times New Roman" w:hAnsi="Times New Roman" w:cs="Times New Roman"/>
          <w:color w:val="000000" w:themeColor="text1"/>
          <w:sz w:val="24"/>
          <w:szCs w:val="24"/>
        </w:rPr>
        <w:t>majority of</w:t>
      </w:r>
      <w:proofErr w:type="gramEnd"/>
      <w:r w:rsidR="004A32DE" w:rsidRPr="00F60A11">
        <w:rPr>
          <w:rFonts w:ascii="Times New Roman" w:hAnsi="Times New Roman" w:cs="Times New Roman"/>
          <w:color w:val="000000" w:themeColor="text1"/>
          <w:sz w:val="24"/>
          <w:szCs w:val="24"/>
        </w:rPr>
        <w:t xml:space="preserve"> contracts signed before 1990 also roll</w:t>
      </w:r>
      <w:r>
        <w:rPr>
          <w:rFonts w:ascii="Times New Roman" w:hAnsi="Times New Roman" w:cs="Times New Roman"/>
          <w:color w:val="000000" w:themeColor="text1"/>
          <w:sz w:val="24"/>
          <w:szCs w:val="24"/>
        </w:rPr>
        <w:t>ed</w:t>
      </w:r>
      <w:r w:rsidR="004A32DE" w:rsidRPr="00F60A11">
        <w:rPr>
          <w:rFonts w:ascii="Times New Roman" w:hAnsi="Times New Roman" w:cs="Times New Roman"/>
          <w:color w:val="000000" w:themeColor="text1"/>
          <w:sz w:val="24"/>
          <w:szCs w:val="24"/>
        </w:rPr>
        <w:t xml:space="preserve"> over to </w:t>
      </w:r>
      <w:r>
        <w:rPr>
          <w:rFonts w:ascii="Times New Roman" w:hAnsi="Times New Roman" w:cs="Times New Roman"/>
          <w:color w:val="000000" w:themeColor="text1"/>
          <w:sz w:val="24"/>
          <w:szCs w:val="24"/>
        </w:rPr>
        <w:t xml:space="preserve">the </w:t>
      </w:r>
      <w:r w:rsidR="007A4777" w:rsidRPr="00F60A11">
        <w:rPr>
          <w:rFonts w:ascii="Times New Roman" w:hAnsi="Times New Roman" w:cs="Times New Roman"/>
          <w:color w:val="000000" w:themeColor="text1"/>
          <w:sz w:val="24"/>
          <w:szCs w:val="24"/>
        </w:rPr>
        <w:t>1991-2007 period</w:t>
      </w:r>
      <w:r>
        <w:rPr>
          <w:rFonts w:ascii="Times New Roman" w:hAnsi="Times New Roman" w:cs="Times New Roman"/>
          <w:color w:val="000000" w:themeColor="text1"/>
          <w:sz w:val="24"/>
          <w:szCs w:val="24"/>
        </w:rPr>
        <w:t>,</w:t>
      </w:r>
      <w:r w:rsidR="007A4777" w:rsidRPr="00F60A11">
        <w:rPr>
          <w:rFonts w:ascii="Times New Roman" w:hAnsi="Times New Roman" w:cs="Times New Roman"/>
          <w:color w:val="000000" w:themeColor="text1"/>
          <w:sz w:val="24"/>
          <w:szCs w:val="24"/>
        </w:rPr>
        <w:t xml:space="preserve"> meaning that LTCs might have covered almost </w:t>
      </w:r>
      <w:r>
        <w:rPr>
          <w:rFonts w:ascii="Times New Roman" w:hAnsi="Times New Roman" w:cs="Times New Roman"/>
          <w:color w:val="000000" w:themeColor="text1"/>
          <w:sz w:val="24"/>
          <w:szCs w:val="24"/>
        </w:rPr>
        <w:t xml:space="preserve">the </w:t>
      </w:r>
      <w:r w:rsidR="007A4777" w:rsidRPr="00F60A11">
        <w:rPr>
          <w:rFonts w:ascii="Times New Roman" w:hAnsi="Times New Roman" w:cs="Times New Roman"/>
          <w:color w:val="000000" w:themeColor="text1"/>
          <w:sz w:val="24"/>
          <w:szCs w:val="24"/>
        </w:rPr>
        <w:t>entire gas consumption in Europe.</w:t>
      </w:r>
      <w:r w:rsidR="009C3E2D" w:rsidRPr="00F60A11">
        <w:rPr>
          <w:rFonts w:ascii="Times New Roman" w:hAnsi="Times New Roman" w:cs="Times New Roman"/>
          <w:color w:val="000000" w:themeColor="text1"/>
          <w:sz w:val="24"/>
          <w:szCs w:val="24"/>
        </w:rPr>
        <w:t xml:space="preserve"> </w:t>
      </w:r>
      <w:r w:rsidR="00A906EA" w:rsidRPr="00F60A11">
        <w:rPr>
          <w:rFonts w:ascii="Times New Roman" w:hAnsi="Times New Roman" w:cs="Times New Roman"/>
          <w:color w:val="000000" w:themeColor="text1"/>
          <w:sz w:val="24"/>
          <w:szCs w:val="24"/>
        </w:rPr>
        <w:t>Also,</w:t>
      </w:r>
      <w:r w:rsidR="009C3E2D" w:rsidRPr="00F6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two other important trends are </w:t>
      </w:r>
      <w:r w:rsidR="009C3E2D" w:rsidRPr="00F60A11">
        <w:rPr>
          <w:rFonts w:ascii="Times New Roman" w:hAnsi="Times New Roman" w:cs="Times New Roman"/>
          <w:color w:val="000000" w:themeColor="text1"/>
          <w:sz w:val="24"/>
          <w:szCs w:val="24"/>
        </w:rPr>
        <w:t>worth noting in LTCs: (</w:t>
      </w:r>
      <w:proofErr w:type="spellStart"/>
      <w:r w:rsidR="009C3E2D" w:rsidRPr="00F60A11">
        <w:rPr>
          <w:rFonts w:ascii="Times New Roman" w:hAnsi="Times New Roman" w:cs="Times New Roman"/>
          <w:color w:val="000000" w:themeColor="text1"/>
          <w:sz w:val="24"/>
          <w:szCs w:val="24"/>
        </w:rPr>
        <w:t>i</w:t>
      </w:r>
      <w:proofErr w:type="spellEnd"/>
      <w:r w:rsidR="009C3E2D" w:rsidRPr="00F6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009C3E2D" w:rsidRPr="00F60A11">
        <w:rPr>
          <w:rFonts w:ascii="Times New Roman" w:hAnsi="Times New Roman" w:cs="Times New Roman"/>
          <w:color w:val="000000" w:themeColor="text1"/>
          <w:sz w:val="24"/>
          <w:szCs w:val="24"/>
        </w:rPr>
        <w:t>share of pipeline gas contracts dominated the first two periods (before 1990 and 1991-2007)</w:t>
      </w:r>
      <w:r w:rsidR="00C46FF5" w:rsidRPr="00F60A11">
        <w:rPr>
          <w:rFonts w:ascii="Times New Roman" w:hAnsi="Times New Roman" w:cs="Times New Roman"/>
          <w:color w:val="000000" w:themeColor="text1"/>
          <w:sz w:val="24"/>
          <w:szCs w:val="24"/>
        </w:rPr>
        <w:t xml:space="preserve"> while the last two periods saw uptake in LNG supply contracts</w:t>
      </w:r>
      <w:r w:rsidR="00DF2E51" w:rsidRPr="00F60A11">
        <w:rPr>
          <w:rFonts w:ascii="Times New Roman" w:hAnsi="Times New Roman" w:cs="Times New Roman"/>
          <w:color w:val="000000" w:themeColor="text1"/>
          <w:sz w:val="24"/>
          <w:szCs w:val="24"/>
        </w:rPr>
        <w:t xml:space="preserve">, and (ii) </w:t>
      </w:r>
      <w:r>
        <w:rPr>
          <w:rFonts w:ascii="Times New Roman" w:hAnsi="Times New Roman" w:cs="Times New Roman"/>
          <w:color w:val="000000" w:themeColor="text1"/>
          <w:sz w:val="24"/>
          <w:szCs w:val="24"/>
        </w:rPr>
        <w:t xml:space="preserve">the </w:t>
      </w:r>
      <w:r w:rsidR="00DF2E51" w:rsidRPr="00F60A11">
        <w:rPr>
          <w:rFonts w:ascii="Times New Roman" w:hAnsi="Times New Roman" w:cs="Times New Roman"/>
          <w:color w:val="000000" w:themeColor="text1"/>
          <w:sz w:val="24"/>
          <w:szCs w:val="24"/>
        </w:rPr>
        <w:t xml:space="preserve">number of contracts as well as </w:t>
      </w:r>
      <w:r w:rsidR="00684607" w:rsidRPr="00F60A11">
        <w:rPr>
          <w:rFonts w:ascii="Times New Roman" w:hAnsi="Times New Roman" w:cs="Times New Roman"/>
          <w:color w:val="000000" w:themeColor="text1"/>
          <w:sz w:val="24"/>
          <w:szCs w:val="24"/>
        </w:rPr>
        <w:t xml:space="preserve">the </w:t>
      </w:r>
      <w:r w:rsidR="00DF2E51" w:rsidRPr="00F60A11">
        <w:rPr>
          <w:rFonts w:ascii="Times New Roman" w:hAnsi="Times New Roman" w:cs="Times New Roman"/>
          <w:color w:val="000000" w:themeColor="text1"/>
          <w:sz w:val="24"/>
          <w:szCs w:val="24"/>
        </w:rPr>
        <w:t xml:space="preserve">average duration </w:t>
      </w:r>
      <w:r w:rsidR="00684607" w:rsidRPr="00F60A11">
        <w:rPr>
          <w:rFonts w:ascii="Times New Roman" w:hAnsi="Times New Roman" w:cs="Times New Roman"/>
          <w:color w:val="000000" w:themeColor="text1"/>
          <w:sz w:val="24"/>
          <w:szCs w:val="24"/>
        </w:rPr>
        <w:t xml:space="preserve">decreases over time. </w:t>
      </w:r>
      <w:r w:rsidR="001A6692">
        <w:rPr>
          <w:rFonts w:ascii="Times New Roman" w:hAnsi="Times New Roman" w:cs="Times New Roman"/>
          <w:color w:val="000000" w:themeColor="text1"/>
          <w:sz w:val="24"/>
          <w:szCs w:val="24"/>
        </w:rPr>
        <w:t>I</w:t>
      </w:r>
      <w:r w:rsidR="00684607" w:rsidRPr="00F60A11">
        <w:rPr>
          <w:rFonts w:ascii="Times New Roman" w:hAnsi="Times New Roman" w:cs="Times New Roman"/>
          <w:color w:val="000000" w:themeColor="text1"/>
          <w:sz w:val="24"/>
          <w:szCs w:val="24"/>
        </w:rPr>
        <w:t xml:space="preserve"> will </w:t>
      </w:r>
      <w:r w:rsidR="00646689" w:rsidRPr="00F60A11">
        <w:rPr>
          <w:rFonts w:ascii="Times New Roman" w:hAnsi="Times New Roman" w:cs="Times New Roman"/>
          <w:color w:val="000000" w:themeColor="text1"/>
          <w:sz w:val="24"/>
          <w:szCs w:val="24"/>
        </w:rPr>
        <w:t xml:space="preserve">discuss these trends </w:t>
      </w:r>
      <w:r>
        <w:rPr>
          <w:rFonts w:ascii="Times New Roman" w:hAnsi="Times New Roman" w:cs="Times New Roman"/>
          <w:color w:val="000000" w:themeColor="text1"/>
          <w:sz w:val="24"/>
          <w:szCs w:val="24"/>
        </w:rPr>
        <w:t>in detail</w:t>
      </w:r>
      <w:r w:rsidR="00646689" w:rsidRPr="00F60A11">
        <w:rPr>
          <w:rFonts w:ascii="Times New Roman" w:hAnsi="Times New Roman" w:cs="Times New Roman"/>
          <w:color w:val="000000" w:themeColor="text1"/>
          <w:sz w:val="24"/>
          <w:szCs w:val="24"/>
        </w:rPr>
        <w:t>.</w:t>
      </w:r>
    </w:p>
    <w:p w14:paraId="6452A2EB" w14:textId="7A6437F0" w:rsidR="00B729DE" w:rsidRPr="00F60A11" w:rsidRDefault="00B729DE" w:rsidP="00B729DE">
      <w:pPr>
        <w:pStyle w:val="Caption"/>
        <w:spacing w:line="360" w:lineRule="auto"/>
        <w:ind w:firstLine="567"/>
        <w:rPr>
          <w:rFonts w:ascii="Times New Roman" w:hAnsi="Times New Roman" w:cs="Times New Roman"/>
          <w:color w:val="000000" w:themeColor="text1"/>
          <w:sz w:val="24"/>
          <w:szCs w:val="24"/>
        </w:rPr>
      </w:pPr>
      <w:bookmarkStart w:id="0" w:name="_Ref520194554"/>
      <w:r w:rsidRPr="00F60A11">
        <w:rPr>
          <w:rFonts w:ascii="Times New Roman" w:hAnsi="Times New Roman" w:cs="Times New Roman"/>
          <w:color w:val="000000" w:themeColor="text1"/>
          <w:sz w:val="24"/>
          <w:szCs w:val="24"/>
        </w:rPr>
        <w:t xml:space="preserve">Table </w:t>
      </w:r>
      <w:r w:rsidRPr="00F60A11">
        <w:rPr>
          <w:rFonts w:ascii="Times New Roman" w:hAnsi="Times New Roman" w:cs="Times New Roman"/>
          <w:color w:val="000000" w:themeColor="text1"/>
          <w:sz w:val="24"/>
          <w:szCs w:val="24"/>
        </w:rPr>
        <w:fldChar w:fldCharType="begin"/>
      </w:r>
      <w:r w:rsidRPr="00F60A11">
        <w:rPr>
          <w:rFonts w:ascii="Times New Roman" w:hAnsi="Times New Roman" w:cs="Times New Roman"/>
          <w:color w:val="000000" w:themeColor="text1"/>
          <w:sz w:val="24"/>
          <w:szCs w:val="24"/>
        </w:rPr>
        <w:instrText xml:space="preserve"> SEQ Table \* ARABIC </w:instrText>
      </w:r>
      <w:r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noProof/>
          <w:color w:val="000000" w:themeColor="text1"/>
          <w:sz w:val="24"/>
          <w:szCs w:val="24"/>
        </w:rPr>
        <w:t>1</w:t>
      </w:r>
      <w:r w:rsidRPr="00F60A11">
        <w:rPr>
          <w:rFonts w:ascii="Times New Roman" w:hAnsi="Times New Roman" w:cs="Times New Roman"/>
          <w:color w:val="000000" w:themeColor="text1"/>
          <w:sz w:val="24"/>
          <w:szCs w:val="24"/>
        </w:rPr>
        <w:fldChar w:fldCharType="end"/>
      </w:r>
      <w:bookmarkEnd w:id="0"/>
      <w:r w:rsidRPr="00F60A11">
        <w:rPr>
          <w:rFonts w:ascii="Times New Roman" w:hAnsi="Times New Roman" w:cs="Times New Roman"/>
          <w:color w:val="000000" w:themeColor="text1"/>
          <w:sz w:val="24"/>
          <w:szCs w:val="24"/>
        </w:rPr>
        <w:t xml:space="preserve">: </w:t>
      </w:r>
      <w:r w:rsidR="009B6F04" w:rsidRPr="00F60A11">
        <w:rPr>
          <w:rFonts w:ascii="Times New Roman" w:hAnsi="Times New Roman" w:cs="Times New Roman"/>
          <w:color w:val="000000" w:themeColor="text1"/>
          <w:sz w:val="24"/>
          <w:szCs w:val="24"/>
        </w:rPr>
        <w:t xml:space="preserve">Long-term </w:t>
      </w:r>
      <w:r w:rsidR="00D633DA" w:rsidRPr="00F60A11">
        <w:rPr>
          <w:rFonts w:ascii="Times New Roman" w:hAnsi="Times New Roman" w:cs="Times New Roman"/>
          <w:color w:val="000000" w:themeColor="text1"/>
          <w:sz w:val="24"/>
          <w:szCs w:val="24"/>
        </w:rPr>
        <w:t xml:space="preserve">gas supply </w:t>
      </w:r>
      <w:r w:rsidR="009B6F04" w:rsidRPr="00F60A11">
        <w:rPr>
          <w:rFonts w:ascii="Times New Roman" w:hAnsi="Times New Roman" w:cs="Times New Roman"/>
          <w:color w:val="000000" w:themeColor="text1"/>
          <w:sz w:val="24"/>
          <w:szCs w:val="24"/>
        </w:rPr>
        <w:t>contracts in Europe</w:t>
      </w:r>
    </w:p>
    <w:tbl>
      <w:tblPr>
        <w:tblW w:w="9439" w:type="dxa"/>
        <w:tblLook w:val="04A0" w:firstRow="1" w:lastRow="0" w:firstColumn="1" w:lastColumn="0" w:noHBand="0" w:noVBand="1"/>
      </w:tblPr>
      <w:tblGrid>
        <w:gridCol w:w="3828"/>
        <w:gridCol w:w="1642"/>
        <w:gridCol w:w="1275"/>
        <w:gridCol w:w="1276"/>
        <w:gridCol w:w="1418"/>
      </w:tblGrid>
      <w:tr w:rsidR="004337C2" w:rsidRPr="00F60A11" w14:paraId="3CCE23F3" w14:textId="77777777" w:rsidTr="001D4E29">
        <w:trPr>
          <w:trHeight w:val="300"/>
        </w:trPr>
        <w:tc>
          <w:tcPr>
            <w:tcW w:w="3828" w:type="dxa"/>
            <w:tcBorders>
              <w:top w:val="single" w:sz="4" w:space="0" w:color="auto"/>
              <w:left w:val="nil"/>
              <w:bottom w:val="single" w:sz="4" w:space="0" w:color="auto"/>
              <w:right w:val="nil"/>
            </w:tcBorders>
            <w:shd w:val="clear" w:color="auto" w:fill="auto"/>
            <w:noWrap/>
            <w:vAlign w:val="bottom"/>
            <w:hideMark/>
          </w:tcPr>
          <w:p w14:paraId="27BEB067" w14:textId="77777777" w:rsidR="001D4E29" w:rsidRPr="00F60A11" w:rsidRDefault="001D4E29" w:rsidP="001D4E29">
            <w:pPr>
              <w:rPr>
                <w:rFonts w:ascii="Times New Roman" w:eastAsia="Times New Roman" w:hAnsi="Times New Roman" w:cs="Times New Roman"/>
                <w:color w:val="000000" w:themeColor="text1"/>
                <w:sz w:val="24"/>
                <w:szCs w:val="24"/>
                <w:lang w:eastAsia="en-GB"/>
              </w:rPr>
            </w:pPr>
          </w:p>
        </w:tc>
        <w:tc>
          <w:tcPr>
            <w:tcW w:w="1642" w:type="dxa"/>
            <w:tcBorders>
              <w:top w:val="single" w:sz="4" w:space="0" w:color="auto"/>
              <w:left w:val="nil"/>
              <w:bottom w:val="single" w:sz="4" w:space="0" w:color="auto"/>
              <w:right w:val="nil"/>
            </w:tcBorders>
            <w:shd w:val="clear" w:color="auto" w:fill="auto"/>
            <w:noWrap/>
            <w:vAlign w:val="bottom"/>
            <w:hideMark/>
          </w:tcPr>
          <w:p w14:paraId="59821703" w14:textId="77777777" w:rsidR="001D4E29" w:rsidRPr="00F60A11" w:rsidRDefault="001D4E29" w:rsidP="001D4E29">
            <w:pPr>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Before 1990</w:t>
            </w:r>
          </w:p>
        </w:tc>
        <w:tc>
          <w:tcPr>
            <w:tcW w:w="1275" w:type="dxa"/>
            <w:tcBorders>
              <w:top w:val="single" w:sz="4" w:space="0" w:color="auto"/>
              <w:left w:val="nil"/>
              <w:bottom w:val="single" w:sz="4" w:space="0" w:color="auto"/>
              <w:right w:val="nil"/>
            </w:tcBorders>
            <w:shd w:val="clear" w:color="auto" w:fill="auto"/>
            <w:noWrap/>
            <w:vAlign w:val="bottom"/>
            <w:hideMark/>
          </w:tcPr>
          <w:p w14:paraId="6EB9C5BF" w14:textId="77777777" w:rsidR="001D4E29" w:rsidRPr="00F60A11" w:rsidRDefault="001D4E29" w:rsidP="001D4E29">
            <w:pPr>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1991-2007</w:t>
            </w:r>
          </w:p>
        </w:tc>
        <w:tc>
          <w:tcPr>
            <w:tcW w:w="1276" w:type="dxa"/>
            <w:tcBorders>
              <w:top w:val="single" w:sz="4" w:space="0" w:color="auto"/>
              <w:left w:val="nil"/>
              <w:bottom w:val="single" w:sz="4" w:space="0" w:color="auto"/>
              <w:right w:val="nil"/>
            </w:tcBorders>
            <w:shd w:val="clear" w:color="auto" w:fill="auto"/>
            <w:noWrap/>
            <w:vAlign w:val="bottom"/>
            <w:hideMark/>
          </w:tcPr>
          <w:p w14:paraId="67E433A9" w14:textId="77777777" w:rsidR="001D4E29" w:rsidRPr="00F60A11" w:rsidRDefault="001D4E29" w:rsidP="001D4E29">
            <w:pPr>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2008-2014</w:t>
            </w:r>
          </w:p>
        </w:tc>
        <w:tc>
          <w:tcPr>
            <w:tcW w:w="1418" w:type="dxa"/>
            <w:tcBorders>
              <w:top w:val="single" w:sz="4" w:space="0" w:color="auto"/>
              <w:left w:val="nil"/>
              <w:bottom w:val="single" w:sz="4" w:space="0" w:color="auto"/>
              <w:right w:val="nil"/>
            </w:tcBorders>
            <w:shd w:val="clear" w:color="auto" w:fill="auto"/>
            <w:noWrap/>
            <w:vAlign w:val="bottom"/>
            <w:hideMark/>
          </w:tcPr>
          <w:p w14:paraId="389EBD3A" w14:textId="77777777" w:rsidR="001D4E29" w:rsidRPr="00F60A11" w:rsidRDefault="001D4E29" w:rsidP="001D4E29">
            <w:pPr>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2015-2018</w:t>
            </w:r>
          </w:p>
        </w:tc>
      </w:tr>
      <w:tr w:rsidR="004337C2" w:rsidRPr="00F60A11" w14:paraId="61EC8919" w14:textId="77777777" w:rsidTr="001D4E29">
        <w:trPr>
          <w:trHeight w:val="300"/>
        </w:trPr>
        <w:tc>
          <w:tcPr>
            <w:tcW w:w="3828" w:type="dxa"/>
            <w:tcBorders>
              <w:top w:val="single" w:sz="4" w:space="0" w:color="auto"/>
              <w:left w:val="nil"/>
              <w:bottom w:val="nil"/>
              <w:right w:val="nil"/>
            </w:tcBorders>
            <w:shd w:val="clear" w:color="auto" w:fill="auto"/>
            <w:noWrap/>
            <w:vAlign w:val="bottom"/>
            <w:hideMark/>
          </w:tcPr>
          <w:p w14:paraId="4B45FEDD" w14:textId="1F2FD814" w:rsidR="001D4E29" w:rsidRPr="00F60A11" w:rsidRDefault="001D4E29" w:rsidP="001D4E29">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N</w:t>
            </w:r>
            <w:r w:rsidR="00D633DA" w:rsidRPr="00F60A11">
              <w:rPr>
                <w:rFonts w:ascii="Times New Roman" w:eastAsia="Times New Roman" w:hAnsi="Times New Roman" w:cs="Times New Roman"/>
                <w:color w:val="000000" w:themeColor="text1"/>
                <w:sz w:val="24"/>
                <w:szCs w:val="24"/>
                <w:lang w:eastAsia="en-GB"/>
              </w:rPr>
              <w:t>umber</w:t>
            </w:r>
            <w:r w:rsidRPr="00F60A11">
              <w:rPr>
                <w:rFonts w:ascii="Times New Roman" w:eastAsia="Times New Roman" w:hAnsi="Times New Roman" w:cs="Times New Roman"/>
                <w:color w:val="000000" w:themeColor="text1"/>
                <w:sz w:val="24"/>
                <w:szCs w:val="24"/>
                <w:lang w:eastAsia="en-GB"/>
              </w:rPr>
              <w:t xml:space="preserve"> of </w:t>
            </w:r>
            <w:r w:rsidR="00D633DA" w:rsidRPr="00F60A11">
              <w:rPr>
                <w:rFonts w:ascii="Times New Roman" w:eastAsia="Times New Roman" w:hAnsi="Times New Roman" w:cs="Times New Roman"/>
                <w:color w:val="000000" w:themeColor="text1"/>
                <w:sz w:val="24"/>
                <w:szCs w:val="24"/>
                <w:lang w:eastAsia="en-GB"/>
              </w:rPr>
              <w:t>c</w:t>
            </w:r>
            <w:r w:rsidRPr="00F60A11">
              <w:rPr>
                <w:rFonts w:ascii="Times New Roman" w:eastAsia="Times New Roman" w:hAnsi="Times New Roman" w:cs="Times New Roman"/>
                <w:color w:val="000000" w:themeColor="text1"/>
                <w:sz w:val="24"/>
                <w:szCs w:val="24"/>
                <w:lang w:eastAsia="en-GB"/>
              </w:rPr>
              <w:t>ontracts</w:t>
            </w:r>
          </w:p>
        </w:tc>
        <w:tc>
          <w:tcPr>
            <w:tcW w:w="1642" w:type="dxa"/>
            <w:tcBorders>
              <w:top w:val="single" w:sz="4" w:space="0" w:color="auto"/>
              <w:left w:val="nil"/>
              <w:bottom w:val="nil"/>
              <w:right w:val="nil"/>
            </w:tcBorders>
            <w:shd w:val="clear" w:color="auto" w:fill="auto"/>
            <w:noWrap/>
            <w:vAlign w:val="bottom"/>
            <w:hideMark/>
          </w:tcPr>
          <w:p w14:paraId="574F391A"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31</w:t>
            </w:r>
          </w:p>
        </w:tc>
        <w:tc>
          <w:tcPr>
            <w:tcW w:w="1275" w:type="dxa"/>
            <w:tcBorders>
              <w:top w:val="single" w:sz="4" w:space="0" w:color="auto"/>
              <w:left w:val="nil"/>
              <w:bottom w:val="nil"/>
              <w:right w:val="nil"/>
            </w:tcBorders>
            <w:shd w:val="clear" w:color="auto" w:fill="auto"/>
            <w:noWrap/>
            <w:vAlign w:val="bottom"/>
            <w:hideMark/>
          </w:tcPr>
          <w:p w14:paraId="154E8BF7"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121</w:t>
            </w:r>
          </w:p>
        </w:tc>
        <w:tc>
          <w:tcPr>
            <w:tcW w:w="1276" w:type="dxa"/>
            <w:tcBorders>
              <w:top w:val="single" w:sz="4" w:space="0" w:color="auto"/>
              <w:left w:val="nil"/>
              <w:bottom w:val="nil"/>
              <w:right w:val="nil"/>
            </w:tcBorders>
            <w:shd w:val="clear" w:color="auto" w:fill="auto"/>
            <w:noWrap/>
            <w:vAlign w:val="bottom"/>
            <w:hideMark/>
          </w:tcPr>
          <w:p w14:paraId="015C3D54"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28</w:t>
            </w:r>
          </w:p>
        </w:tc>
        <w:tc>
          <w:tcPr>
            <w:tcW w:w="1418" w:type="dxa"/>
            <w:tcBorders>
              <w:top w:val="single" w:sz="4" w:space="0" w:color="auto"/>
              <w:left w:val="nil"/>
              <w:bottom w:val="nil"/>
              <w:right w:val="nil"/>
            </w:tcBorders>
            <w:shd w:val="clear" w:color="auto" w:fill="auto"/>
            <w:noWrap/>
            <w:vAlign w:val="bottom"/>
            <w:hideMark/>
          </w:tcPr>
          <w:p w14:paraId="4AA974A4"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18</w:t>
            </w:r>
          </w:p>
        </w:tc>
      </w:tr>
      <w:tr w:rsidR="004337C2" w:rsidRPr="00F60A11" w14:paraId="29C9D73D" w14:textId="77777777" w:rsidTr="001D4E29">
        <w:trPr>
          <w:trHeight w:val="300"/>
        </w:trPr>
        <w:tc>
          <w:tcPr>
            <w:tcW w:w="3828" w:type="dxa"/>
            <w:tcBorders>
              <w:top w:val="nil"/>
              <w:left w:val="nil"/>
              <w:bottom w:val="nil"/>
              <w:right w:val="nil"/>
            </w:tcBorders>
            <w:shd w:val="clear" w:color="auto" w:fill="auto"/>
            <w:noWrap/>
            <w:vAlign w:val="bottom"/>
            <w:hideMark/>
          </w:tcPr>
          <w:p w14:paraId="4A54815D" w14:textId="4A8ADBB8" w:rsidR="001D4E29" w:rsidRPr="00F60A11" w:rsidRDefault="001D4E29" w:rsidP="001D4E29">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Total ACQ*, bcm</w:t>
            </w:r>
            <w:r w:rsidR="00431ADC" w:rsidRPr="00F60A11">
              <w:rPr>
                <w:rFonts w:ascii="Times New Roman" w:eastAsia="Times New Roman" w:hAnsi="Times New Roman" w:cs="Times New Roman"/>
                <w:color w:val="000000" w:themeColor="text1"/>
                <w:sz w:val="24"/>
                <w:szCs w:val="24"/>
                <w:lang w:eastAsia="en-GB"/>
              </w:rPr>
              <w:t>/a</w:t>
            </w:r>
          </w:p>
        </w:tc>
        <w:tc>
          <w:tcPr>
            <w:tcW w:w="1642" w:type="dxa"/>
            <w:tcBorders>
              <w:top w:val="nil"/>
              <w:left w:val="nil"/>
              <w:bottom w:val="nil"/>
              <w:right w:val="nil"/>
            </w:tcBorders>
            <w:shd w:val="clear" w:color="auto" w:fill="auto"/>
            <w:noWrap/>
            <w:vAlign w:val="bottom"/>
            <w:hideMark/>
          </w:tcPr>
          <w:p w14:paraId="26F39B3D"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109</w:t>
            </w:r>
          </w:p>
        </w:tc>
        <w:tc>
          <w:tcPr>
            <w:tcW w:w="1275" w:type="dxa"/>
            <w:tcBorders>
              <w:top w:val="nil"/>
              <w:left w:val="nil"/>
              <w:bottom w:val="nil"/>
              <w:right w:val="nil"/>
            </w:tcBorders>
            <w:shd w:val="clear" w:color="auto" w:fill="auto"/>
            <w:noWrap/>
            <w:vAlign w:val="bottom"/>
            <w:hideMark/>
          </w:tcPr>
          <w:p w14:paraId="6A972D74"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292</w:t>
            </w:r>
          </w:p>
        </w:tc>
        <w:tc>
          <w:tcPr>
            <w:tcW w:w="1276" w:type="dxa"/>
            <w:tcBorders>
              <w:top w:val="nil"/>
              <w:left w:val="nil"/>
              <w:bottom w:val="nil"/>
              <w:right w:val="nil"/>
            </w:tcBorders>
            <w:shd w:val="clear" w:color="auto" w:fill="auto"/>
            <w:noWrap/>
            <w:vAlign w:val="bottom"/>
            <w:hideMark/>
          </w:tcPr>
          <w:p w14:paraId="44B7A11E"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98</w:t>
            </w:r>
          </w:p>
        </w:tc>
        <w:tc>
          <w:tcPr>
            <w:tcW w:w="1418" w:type="dxa"/>
            <w:tcBorders>
              <w:top w:val="nil"/>
              <w:left w:val="nil"/>
              <w:bottom w:val="nil"/>
              <w:right w:val="nil"/>
            </w:tcBorders>
            <w:shd w:val="clear" w:color="auto" w:fill="auto"/>
            <w:noWrap/>
            <w:vAlign w:val="bottom"/>
            <w:hideMark/>
          </w:tcPr>
          <w:p w14:paraId="53ACDDE7"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54</w:t>
            </w:r>
          </w:p>
        </w:tc>
      </w:tr>
      <w:tr w:rsidR="004337C2" w:rsidRPr="00F60A11" w14:paraId="263FA988" w14:textId="77777777" w:rsidTr="001D4E29">
        <w:trPr>
          <w:trHeight w:val="300"/>
        </w:trPr>
        <w:tc>
          <w:tcPr>
            <w:tcW w:w="3828" w:type="dxa"/>
            <w:tcBorders>
              <w:top w:val="nil"/>
              <w:left w:val="nil"/>
              <w:bottom w:val="nil"/>
              <w:right w:val="nil"/>
            </w:tcBorders>
            <w:shd w:val="clear" w:color="auto" w:fill="auto"/>
            <w:noWrap/>
            <w:vAlign w:val="bottom"/>
            <w:hideMark/>
          </w:tcPr>
          <w:p w14:paraId="3F52FD5A" w14:textId="06E5A5B1" w:rsidR="001D4E29" w:rsidRPr="00F60A11" w:rsidRDefault="001D4E29" w:rsidP="001D4E29">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Average contract duration</w:t>
            </w:r>
            <w:r w:rsidR="00D633DA" w:rsidRPr="00F60A11">
              <w:rPr>
                <w:rFonts w:ascii="Times New Roman" w:eastAsia="Times New Roman" w:hAnsi="Times New Roman" w:cs="Times New Roman"/>
                <w:color w:val="000000" w:themeColor="text1"/>
                <w:sz w:val="24"/>
                <w:szCs w:val="24"/>
                <w:lang w:eastAsia="en-GB"/>
              </w:rPr>
              <w:t>, years</w:t>
            </w:r>
          </w:p>
        </w:tc>
        <w:tc>
          <w:tcPr>
            <w:tcW w:w="1642" w:type="dxa"/>
            <w:tcBorders>
              <w:top w:val="nil"/>
              <w:left w:val="nil"/>
              <w:bottom w:val="nil"/>
              <w:right w:val="nil"/>
            </w:tcBorders>
            <w:shd w:val="clear" w:color="auto" w:fill="auto"/>
            <w:noWrap/>
            <w:vAlign w:val="bottom"/>
            <w:hideMark/>
          </w:tcPr>
          <w:p w14:paraId="6DCE3664"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23</w:t>
            </w:r>
          </w:p>
        </w:tc>
        <w:tc>
          <w:tcPr>
            <w:tcW w:w="1275" w:type="dxa"/>
            <w:tcBorders>
              <w:top w:val="nil"/>
              <w:left w:val="nil"/>
              <w:bottom w:val="nil"/>
              <w:right w:val="nil"/>
            </w:tcBorders>
            <w:shd w:val="clear" w:color="auto" w:fill="auto"/>
            <w:noWrap/>
            <w:vAlign w:val="bottom"/>
            <w:hideMark/>
          </w:tcPr>
          <w:p w14:paraId="1B098C39"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18</w:t>
            </w:r>
          </w:p>
        </w:tc>
        <w:tc>
          <w:tcPr>
            <w:tcW w:w="1276" w:type="dxa"/>
            <w:tcBorders>
              <w:top w:val="nil"/>
              <w:left w:val="nil"/>
              <w:bottom w:val="nil"/>
              <w:right w:val="nil"/>
            </w:tcBorders>
            <w:shd w:val="clear" w:color="auto" w:fill="auto"/>
            <w:noWrap/>
            <w:vAlign w:val="bottom"/>
            <w:hideMark/>
          </w:tcPr>
          <w:p w14:paraId="58551DC7"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15</w:t>
            </w:r>
          </w:p>
        </w:tc>
        <w:tc>
          <w:tcPr>
            <w:tcW w:w="1418" w:type="dxa"/>
            <w:tcBorders>
              <w:top w:val="nil"/>
              <w:left w:val="nil"/>
              <w:bottom w:val="nil"/>
              <w:right w:val="nil"/>
            </w:tcBorders>
            <w:shd w:val="clear" w:color="auto" w:fill="auto"/>
            <w:noWrap/>
            <w:vAlign w:val="bottom"/>
            <w:hideMark/>
          </w:tcPr>
          <w:p w14:paraId="5464488A"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14</w:t>
            </w:r>
          </w:p>
        </w:tc>
      </w:tr>
      <w:tr w:rsidR="004337C2" w:rsidRPr="00F60A11" w14:paraId="17FF943F" w14:textId="77777777" w:rsidTr="001D4E29">
        <w:trPr>
          <w:trHeight w:val="300"/>
        </w:trPr>
        <w:tc>
          <w:tcPr>
            <w:tcW w:w="3828" w:type="dxa"/>
            <w:tcBorders>
              <w:top w:val="nil"/>
              <w:left w:val="nil"/>
              <w:bottom w:val="nil"/>
              <w:right w:val="nil"/>
            </w:tcBorders>
            <w:shd w:val="clear" w:color="auto" w:fill="auto"/>
            <w:noWrap/>
            <w:vAlign w:val="bottom"/>
            <w:hideMark/>
          </w:tcPr>
          <w:p w14:paraId="73578040" w14:textId="0BE0B8FD" w:rsidR="001D4E29" w:rsidRPr="00F60A11" w:rsidRDefault="000801ED" w:rsidP="001D4E29">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S</w:t>
            </w:r>
            <w:r w:rsidR="00864BF9" w:rsidRPr="00F60A11">
              <w:rPr>
                <w:rFonts w:ascii="Times New Roman" w:eastAsia="Times New Roman" w:hAnsi="Times New Roman" w:cs="Times New Roman"/>
                <w:color w:val="000000" w:themeColor="text1"/>
                <w:sz w:val="24"/>
                <w:szCs w:val="24"/>
                <w:lang w:eastAsia="en-GB"/>
              </w:rPr>
              <w:t>hare</w:t>
            </w:r>
            <w:r w:rsidR="001D4E29" w:rsidRPr="00F60A11">
              <w:rPr>
                <w:rFonts w:ascii="Times New Roman" w:eastAsia="Times New Roman" w:hAnsi="Times New Roman" w:cs="Times New Roman"/>
                <w:color w:val="000000" w:themeColor="text1"/>
                <w:sz w:val="24"/>
                <w:szCs w:val="24"/>
                <w:lang w:eastAsia="en-GB"/>
              </w:rPr>
              <w:t xml:space="preserve"> of pipeline contracts</w:t>
            </w:r>
          </w:p>
        </w:tc>
        <w:tc>
          <w:tcPr>
            <w:tcW w:w="1642" w:type="dxa"/>
            <w:tcBorders>
              <w:top w:val="nil"/>
              <w:left w:val="nil"/>
              <w:bottom w:val="nil"/>
              <w:right w:val="nil"/>
            </w:tcBorders>
            <w:shd w:val="clear" w:color="auto" w:fill="auto"/>
            <w:noWrap/>
            <w:vAlign w:val="bottom"/>
            <w:hideMark/>
          </w:tcPr>
          <w:p w14:paraId="7EDFF9C7"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68%</w:t>
            </w:r>
          </w:p>
        </w:tc>
        <w:tc>
          <w:tcPr>
            <w:tcW w:w="1275" w:type="dxa"/>
            <w:tcBorders>
              <w:top w:val="nil"/>
              <w:left w:val="nil"/>
              <w:bottom w:val="nil"/>
              <w:right w:val="nil"/>
            </w:tcBorders>
            <w:shd w:val="clear" w:color="auto" w:fill="auto"/>
            <w:noWrap/>
            <w:vAlign w:val="bottom"/>
            <w:hideMark/>
          </w:tcPr>
          <w:p w14:paraId="717E4219"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53%</w:t>
            </w:r>
          </w:p>
        </w:tc>
        <w:tc>
          <w:tcPr>
            <w:tcW w:w="1276" w:type="dxa"/>
            <w:tcBorders>
              <w:top w:val="nil"/>
              <w:left w:val="nil"/>
              <w:bottom w:val="nil"/>
              <w:right w:val="nil"/>
            </w:tcBorders>
            <w:shd w:val="clear" w:color="auto" w:fill="auto"/>
            <w:noWrap/>
            <w:vAlign w:val="bottom"/>
            <w:hideMark/>
          </w:tcPr>
          <w:p w14:paraId="13BAAE33"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50%</w:t>
            </w:r>
          </w:p>
        </w:tc>
        <w:tc>
          <w:tcPr>
            <w:tcW w:w="1418" w:type="dxa"/>
            <w:tcBorders>
              <w:top w:val="nil"/>
              <w:left w:val="nil"/>
              <w:bottom w:val="nil"/>
              <w:right w:val="nil"/>
            </w:tcBorders>
            <w:shd w:val="clear" w:color="auto" w:fill="auto"/>
            <w:noWrap/>
            <w:vAlign w:val="bottom"/>
            <w:hideMark/>
          </w:tcPr>
          <w:p w14:paraId="7BB98A67"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22%</w:t>
            </w:r>
          </w:p>
        </w:tc>
      </w:tr>
      <w:tr w:rsidR="004337C2" w:rsidRPr="00F60A11" w14:paraId="6A573BFD" w14:textId="77777777" w:rsidTr="001D4E29">
        <w:trPr>
          <w:trHeight w:val="300"/>
        </w:trPr>
        <w:tc>
          <w:tcPr>
            <w:tcW w:w="3828" w:type="dxa"/>
            <w:tcBorders>
              <w:top w:val="nil"/>
              <w:left w:val="nil"/>
              <w:right w:val="nil"/>
            </w:tcBorders>
            <w:shd w:val="clear" w:color="auto" w:fill="auto"/>
            <w:noWrap/>
            <w:vAlign w:val="bottom"/>
            <w:hideMark/>
          </w:tcPr>
          <w:p w14:paraId="42E6EE0F" w14:textId="3237C6D3" w:rsidR="001D4E29" w:rsidRPr="00F60A11" w:rsidRDefault="001D4E29" w:rsidP="001D4E29">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 xml:space="preserve">EU </w:t>
            </w:r>
            <w:r w:rsidR="00456059" w:rsidRPr="00F60A11">
              <w:rPr>
                <w:rFonts w:ascii="Times New Roman" w:eastAsia="Times New Roman" w:hAnsi="Times New Roman" w:cs="Times New Roman"/>
                <w:color w:val="000000" w:themeColor="text1"/>
                <w:sz w:val="24"/>
                <w:szCs w:val="24"/>
                <w:lang w:eastAsia="en-GB"/>
              </w:rPr>
              <w:t>average g</w:t>
            </w:r>
            <w:r w:rsidRPr="00F60A11">
              <w:rPr>
                <w:rFonts w:ascii="Times New Roman" w:eastAsia="Times New Roman" w:hAnsi="Times New Roman" w:cs="Times New Roman"/>
                <w:color w:val="000000" w:themeColor="text1"/>
                <w:sz w:val="24"/>
                <w:szCs w:val="24"/>
                <w:lang w:eastAsia="en-GB"/>
              </w:rPr>
              <w:t>as consumption</w:t>
            </w:r>
            <w:r w:rsidR="006B7C75" w:rsidRPr="00F60A11">
              <w:rPr>
                <w:rFonts w:ascii="Times New Roman" w:eastAsia="Times New Roman" w:hAnsi="Times New Roman" w:cs="Times New Roman"/>
                <w:color w:val="000000" w:themeColor="text1"/>
                <w:sz w:val="24"/>
                <w:szCs w:val="24"/>
                <w:lang w:eastAsia="en-GB"/>
              </w:rPr>
              <w:t>, bcm/a</w:t>
            </w:r>
          </w:p>
        </w:tc>
        <w:tc>
          <w:tcPr>
            <w:tcW w:w="1642" w:type="dxa"/>
            <w:tcBorders>
              <w:top w:val="nil"/>
              <w:left w:val="nil"/>
              <w:right w:val="nil"/>
            </w:tcBorders>
            <w:shd w:val="clear" w:color="auto" w:fill="auto"/>
            <w:noWrap/>
            <w:vAlign w:val="bottom"/>
            <w:hideMark/>
          </w:tcPr>
          <w:p w14:paraId="30477FA1" w14:textId="5E30D9F4"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345**</w:t>
            </w:r>
          </w:p>
        </w:tc>
        <w:tc>
          <w:tcPr>
            <w:tcW w:w="1275" w:type="dxa"/>
            <w:tcBorders>
              <w:top w:val="nil"/>
              <w:left w:val="nil"/>
              <w:right w:val="nil"/>
            </w:tcBorders>
            <w:shd w:val="clear" w:color="auto" w:fill="auto"/>
            <w:noWrap/>
            <w:vAlign w:val="bottom"/>
            <w:hideMark/>
          </w:tcPr>
          <w:p w14:paraId="41F81695"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440</w:t>
            </w:r>
          </w:p>
        </w:tc>
        <w:tc>
          <w:tcPr>
            <w:tcW w:w="1276" w:type="dxa"/>
            <w:tcBorders>
              <w:top w:val="nil"/>
              <w:left w:val="nil"/>
              <w:right w:val="nil"/>
            </w:tcBorders>
            <w:shd w:val="clear" w:color="auto" w:fill="auto"/>
            <w:noWrap/>
            <w:vAlign w:val="bottom"/>
            <w:hideMark/>
          </w:tcPr>
          <w:p w14:paraId="65873CD3"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472</w:t>
            </w:r>
          </w:p>
        </w:tc>
        <w:tc>
          <w:tcPr>
            <w:tcW w:w="1418" w:type="dxa"/>
            <w:tcBorders>
              <w:top w:val="nil"/>
              <w:left w:val="nil"/>
              <w:right w:val="nil"/>
            </w:tcBorders>
            <w:shd w:val="clear" w:color="auto" w:fill="auto"/>
            <w:noWrap/>
            <w:vAlign w:val="bottom"/>
            <w:hideMark/>
          </w:tcPr>
          <w:p w14:paraId="10355DAC"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444</w:t>
            </w:r>
          </w:p>
        </w:tc>
      </w:tr>
      <w:tr w:rsidR="004337C2" w:rsidRPr="00F60A11" w14:paraId="7E4B0DCB" w14:textId="77777777" w:rsidTr="001D4E29">
        <w:trPr>
          <w:trHeight w:val="300"/>
        </w:trPr>
        <w:tc>
          <w:tcPr>
            <w:tcW w:w="3828" w:type="dxa"/>
            <w:tcBorders>
              <w:top w:val="nil"/>
              <w:left w:val="nil"/>
              <w:bottom w:val="single" w:sz="4" w:space="0" w:color="auto"/>
              <w:right w:val="nil"/>
            </w:tcBorders>
            <w:shd w:val="clear" w:color="auto" w:fill="auto"/>
            <w:noWrap/>
            <w:vAlign w:val="bottom"/>
            <w:hideMark/>
          </w:tcPr>
          <w:p w14:paraId="2FA55511" w14:textId="6CBAA29E" w:rsidR="001D4E29" w:rsidRPr="00F60A11" w:rsidRDefault="001D4E29" w:rsidP="001D4E29">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 xml:space="preserve">Share of </w:t>
            </w:r>
            <w:r w:rsidR="00864BF9" w:rsidRPr="00F60A11">
              <w:rPr>
                <w:rFonts w:ascii="Times New Roman" w:eastAsia="Times New Roman" w:hAnsi="Times New Roman" w:cs="Times New Roman"/>
                <w:color w:val="000000" w:themeColor="text1"/>
                <w:sz w:val="24"/>
                <w:szCs w:val="24"/>
                <w:lang w:eastAsia="en-GB"/>
              </w:rPr>
              <w:t>t</w:t>
            </w:r>
            <w:r w:rsidRPr="00F60A11">
              <w:rPr>
                <w:rFonts w:ascii="Times New Roman" w:eastAsia="Times New Roman" w:hAnsi="Times New Roman" w:cs="Times New Roman"/>
                <w:color w:val="000000" w:themeColor="text1"/>
                <w:sz w:val="24"/>
                <w:szCs w:val="24"/>
                <w:lang w:eastAsia="en-GB"/>
              </w:rPr>
              <w:t>otal ACQ in consumption</w:t>
            </w:r>
          </w:p>
        </w:tc>
        <w:tc>
          <w:tcPr>
            <w:tcW w:w="1642" w:type="dxa"/>
            <w:tcBorders>
              <w:top w:val="nil"/>
              <w:left w:val="nil"/>
              <w:bottom w:val="single" w:sz="4" w:space="0" w:color="auto"/>
              <w:right w:val="nil"/>
            </w:tcBorders>
            <w:shd w:val="clear" w:color="auto" w:fill="auto"/>
            <w:noWrap/>
            <w:vAlign w:val="bottom"/>
            <w:hideMark/>
          </w:tcPr>
          <w:p w14:paraId="74BD4630"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32%</w:t>
            </w:r>
          </w:p>
        </w:tc>
        <w:tc>
          <w:tcPr>
            <w:tcW w:w="1275" w:type="dxa"/>
            <w:tcBorders>
              <w:top w:val="nil"/>
              <w:left w:val="nil"/>
              <w:bottom w:val="single" w:sz="4" w:space="0" w:color="auto"/>
              <w:right w:val="nil"/>
            </w:tcBorders>
            <w:shd w:val="clear" w:color="auto" w:fill="auto"/>
            <w:noWrap/>
            <w:vAlign w:val="bottom"/>
            <w:hideMark/>
          </w:tcPr>
          <w:p w14:paraId="1C3A978D"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66%</w:t>
            </w:r>
          </w:p>
        </w:tc>
        <w:tc>
          <w:tcPr>
            <w:tcW w:w="1276" w:type="dxa"/>
            <w:tcBorders>
              <w:top w:val="nil"/>
              <w:left w:val="nil"/>
              <w:bottom w:val="single" w:sz="4" w:space="0" w:color="auto"/>
              <w:right w:val="nil"/>
            </w:tcBorders>
            <w:shd w:val="clear" w:color="auto" w:fill="auto"/>
            <w:noWrap/>
            <w:vAlign w:val="bottom"/>
            <w:hideMark/>
          </w:tcPr>
          <w:p w14:paraId="0ED4B64C"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21%</w:t>
            </w:r>
          </w:p>
        </w:tc>
        <w:tc>
          <w:tcPr>
            <w:tcW w:w="1418" w:type="dxa"/>
            <w:tcBorders>
              <w:top w:val="nil"/>
              <w:left w:val="nil"/>
              <w:bottom w:val="single" w:sz="4" w:space="0" w:color="auto"/>
              <w:right w:val="nil"/>
            </w:tcBorders>
            <w:shd w:val="clear" w:color="auto" w:fill="auto"/>
            <w:noWrap/>
            <w:vAlign w:val="bottom"/>
            <w:hideMark/>
          </w:tcPr>
          <w:p w14:paraId="11622C52" w14:textId="77777777" w:rsidR="001D4E29" w:rsidRPr="00F60A11" w:rsidRDefault="001D4E29" w:rsidP="001D4E29">
            <w:pPr>
              <w:jc w:val="cente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12%</w:t>
            </w:r>
          </w:p>
        </w:tc>
      </w:tr>
    </w:tbl>
    <w:p w14:paraId="42016BAF" w14:textId="2DA0678D" w:rsidR="001D4E29" w:rsidRPr="00F60A11" w:rsidRDefault="001D4E29" w:rsidP="00795DD1">
      <w:pPr>
        <w:rPr>
          <w:rFonts w:ascii="Times New Roman" w:eastAsia="Times New Roman" w:hAnsi="Times New Roman" w:cs="Times New Roman"/>
          <w:i/>
          <w:color w:val="000000" w:themeColor="text1"/>
          <w:sz w:val="20"/>
          <w:szCs w:val="20"/>
          <w:lang w:eastAsia="en-GB"/>
        </w:rPr>
      </w:pPr>
      <w:r w:rsidRPr="00F60A11">
        <w:rPr>
          <w:rFonts w:ascii="Times New Roman" w:eastAsia="Times New Roman" w:hAnsi="Times New Roman" w:cs="Times New Roman"/>
          <w:i/>
          <w:color w:val="000000" w:themeColor="text1"/>
          <w:sz w:val="20"/>
          <w:szCs w:val="20"/>
          <w:lang w:eastAsia="en-GB"/>
        </w:rPr>
        <w:t>Notes: * ACQ</w:t>
      </w:r>
      <w:r w:rsidR="0056677D">
        <w:rPr>
          <w:rFonts w:ascii="Times New Roman" w:eastAsia="Times New Roman" w:hAnsi="Times New Roman" w:cs="Times New Roman"/>
          <w:i/>
          <w:color w:val="000000" w:themeColor="text1"/>
          <w:sz w:val="20"/>
          <w:szCs w:val="20"/>
          <w:lang w:eastAsia="en-GB"/>
        </w:rPr>
        <w:t>—</w:t>
      </w:r>
      <w:r w:rsidRPr="00F60A11">
        <w:rPr>
          <w:rFonts w:ascii="Times New Roman" w:eastAsia="Times New Roman" w:hAnsi="Times New Roman" w:cs="Times New Roman"/>
          <w:i/>
          <w:color w:val="000000" w:themeColor="text1"/>
          <w:sz w:val="20"/>
          <w:szCs w:val="20"/>
          <w:lang w:eastAsia="en-GB"/>
        </w:rPr>
        <w:t>Annual Contract Quantity; ** 1990 consumption</w:t>
      </w:r>
    </w:p>
    <w:p w14:paraId="18B52E61" w14:textId="77777777" w:rsidR="005713DE" w:rsidRPr="00F60A11" w:rsidRDefault="005713DE" w:rsidP="005713DE">
      <w:pPr>
        <w:rPr>
          <w:rFonts w:ascii="Times New Roman" w:hAnsi="Times New Roman" w:cs="Times New Roman"/>
          <w:i/>
          <w:color w:val="000000" w:themeColor="text1"/>
          <w:sz w:val="20"/>
          <w:szCs w:val="20"/>
        </w:rPr>
      </w:pPr>
      <w:r w:rsidRPr="00F60A11">
        <w:rPr>
          <w:rFonts w:ascii="Times New Roman" w:hAnsi="Times New Roman" w:cs="Times New Roman"/>
          <w:i/>
          <w:color w:val="000000" w:themeColor="text1"/>
          <w:sz w:val="20"/>
          <w:szCs w:val="20"/>
        </w:rPr>
        <w:t>Source: Bloomberg Terminal &amp; Neumann et al. (2015)</w:t>
      </w:r>
    </w:p>
    <w:p w14:paraId="3BFB181D" w14:textId="77777777" w:rsidR="00480B29" w:rsidRPr="00F60A11" w:rsidRDefault="00480B29" w:rsidP="00660B3D">
      <w:pPr>
        <w:spacing w:line="360" w:lineRule="auto"/>
        <w:ind w:firstLine="567"/>
        <w:rPr>
          <w:rFonts w:ascii="Times New Roman" w:hAnsi="Times New Roman" w:cs="Times New Roman"/>
          <w:color w:val="000000" w:themeColor="text1"/>
          <w:sz w:val="24"/>
          <w:szCs w:val="24"/>
        </w:rPr>
      </w:pPr>
    </w:p>
    <w:p w14:paraId="684ADC69" w14:textId="494B7BC2"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Consistent with the transaction cost framework, the rationale for setting up LTCs is to protect buyers and sellers from </w:t>
      </w:r>
      <w:r w:rsidRPr="00E76616">
        <w:rPr>
          <w:rFonts w:ascii="Times New Roman" w:hAnsi="Times New Roman" w:cs="Times New Roman"/>
          <w:color w:val="000000" w:themeColor="text1"/>
          <w:sz w:val="24"/>
          <w:szCs w:val="24"/>
        </w:rPr>
        <w:t>ex post</w:t>
      </w:r>
      <w:r w:rsidRPr="00F60A11">
        <w:rPr>
          <w:rFonts w:ascii="Times New Roman" w:hAnsi="Times New Roman" w:cs="Times New Roman"/>
          <w:color w:val="000000" w:themeColor="text1"/>
          <w:sz w:val="24"/>
          <w:szCs w:val="24"/>
        </w:rPr>
        <w:t xml:space="preserve"> opportunism arising from the highly asset-specific, durable and capital-intense investments involved in (</w:t>
      </w:r>
      <w:proofErr w:type="spellStart"/>
      <w:r w:rsidRPr="00F60A11">
        <w:rPr>
          <w:rFonts w:ascii="Times New Roman" w:hAnsi="Times New Roman" w:cs="Times New Roman"/>
          <w:color w:val="000000" w:themeColor="text1"/>
          <w:sz w:val="24"/>
          <w:szCs w:val="24"/>
        </w:rPr>
        <w:t>i</w:t>
      </w:r>
      <w:proofErr w:type="spellEnd"/>
      <w:r w:rsidRPr="00F60A11">
        <w:rPr>
          <w:rFonts w:ascii="Times New Roman" w:hAnsi="Times New Roman" w:cs="Times New Roman"/>
          <w:color w:val="000000" w:themeColor="text1"/>
          <w:sz w:val="24"/>
          <w:szCs w:val="24"/>
        </w:rPr>
        <w:t>) the development of upstream production and gas treatment facilities, (ii) long-distance international pipelines and (iii) national transmission and distribution systems at the local level. This protection takes the form of agreed</w:t>
      </w:r>
      <w:r w:rsidR="00836D2F">
        <w:rPr>
          <w:rFonts w:ascii="Times New Roman" w:hAnsi="Times New Roman" w:cs="Times New Roman"/>
          <w:color w:val="000000" w:themeColor="text1"/>
          <w:sz w:val="24"/>
          <w:szCs w:val="24"/>
        </w:rPr>
        <w:t>-upon</w:t>
      </w:r>
      <w:r w:rsidRPr="00F60A11">
        <w:rPr>
          <w:rFonts w:ascii="Times New Roman" w:hAnsi="Times New Roman" w:cs="Times New Roman"/>
          <w:color w:val="000000" w:themeColor="text1"/>
          <w:sz w:val="24"/>
          <w:szCs w:val="24"/>
        </w:rPr>
        <w:t xml:space="preserve"> minimum payments to sellers irrespective of actual offtake by buyers</w:t>
      </w:r>
      <w:r w:rsidR="0056677D">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the so-called minimum take-or-pay</w:t>
      </w:r>
      <w:r w:rsidR="00D04E52" w:rsidRPr="00F60A11">
        <w:rPr>
          <w:rFonts w:ascii="Times New Roman" w:hAnsi="Times New Roman" w:cs="Times New Roman"/>
          <w:color w:val="000000" w:themeColor="text1"/>
          <w:sz w:val="24"/>
          <w:szCs w:val="24"/>
        </w:rPr>
        <w:t xml:space="preserve"> (ToP)</w:t>
      </w:r>
      <w:r w:rsidRPr="00F60A11">
        <w:rPr>
          <w:rFonts w:ascii="Times New Roman" w:hAnsi="Times New Roman" w:cs="Times New Roman"/>
          <w:color w:val="000000" w:themeColor="text1"/>
          <w:sz w:val="24"/>
          <w:szCs w:val="24"/>
        </w:rPr>
        <w:t xml:space="preserve"> level. Thus, the buyer takes volume risks, whereas the seller agrees to settle the transaction at a price that is (slightly) below the price of competing fuels, which are usually oil products. The subsequent change in contract price is pegged to a basket of oil products and other competing fuel prices at the ‘burner tip’ (final markets)</w:t>
      </w:r>
      <w:r w:rsidR="00964D66" w:rsidRPr="00F60A11">
        <w:rPr>
          <w:rStyle w:val="FootnoteReference"/>
          <w:rFonts w:ascii="Times New Roman" w:hAnsi="Times New Roman" w:cs="Times New Roman"/>
          <w:color w:val="000000" w:themeColor="text1"/>
          <w:sz w:val="24"/>
          <w:szCs w:val="24"/>
        </w:rPr>
        <w:footnoteReference w:id="2"/>
      </w:r>
      <w:r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lastRenderedPageBreak/>
        <w:t xml:space="preserve">therefore, the seller takes price risks since </w:t>
      </w:r>
      <w:r w:rsidR="009348DF" w:rsidRPr="00F60A11">
        <w:rPr>
          <w:rFonts w:ascii="Times New Roman" w:hAnsi="Times New Roman" w:cs="Times New Roman"/>
          <w:color w:val="000000" w:themeColor="text1"/>
          <w:sz w:val="24"/>
          <w:szCs w:val="24"/>
        </w:rPr>
        <w:t>s/</w:t>
      </w:r>
      <w:r w:rsidRPr="00F60A11">
        <w:rPr>
          <w:rFonts w:ascii="Times New Roman" w:hAnsi="Times New Roman" w:cs="Times New Roman"/>
          <w:color w:val="000000" w:themeColor="text1"/>
          <w:sz w:val="24"/>
          <w:szCs w:val="24"/>
        </w:rPr>
        <w:t xml:space="preserve">he does not control the pricing of gas and relies on the pricing dynamics of competing fuels. This arrangement ensures that gas stays competitive with other fuels in an environment </w:t>
      </w:r>
      <w:r w:rsidR="00836D2F">
        <w:rPr>
          <w:rFonts w:ascii="Times New Roman" w:hAnsi="Times New Roman" w:cs="Times New Roman"/>
          <w:color w:val="000000" w:themeColor="text1"/>
          <w:sz w:val="24"/>
          <w:szCs w:val="24"/>
        </w:rPr>
        <w:t>in which</w:t>
      </w:r>
      <w:r w:rsidR="00836D2F"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there is no gas-to-gas competition. Furthermore, the pricing in such agreements is used as a mechanism to divide the rent associated with producing, transporting and marketing gas between sellers and buyers</w:t>
      </w:r>
      <w:r w:rsidR="004F513A" w:rsidRPr="00F60A11">
        <w:rPr>
          <w:rFonts w:ascii="Times New Roman" w:hAnsi="Times New Roman" w:cs="Times New Roman"/>
          <w:color w:val="000000" w:themeColor="text1"/>
          <w:sz w:val="24"/>
          <w:szCs w:val="24"/>
        </w:rPr>
        <w:t xml:space="preserve"> (o</w:t>
      </w:r>
      <w:r w:rsidR="009348DF" w:rsidRPr="00F60A11">
        <w:rPr>
          <w:rFonts w:ascii="Times New Roman" w:hAnsi="Times New Roman" w:cs="Times New Roman"/>
          <w:color w:val="000000" w:themeColor="text1"/>
          <w:sz w:val="24"/>
          <w:szCs w:val="24"/>
        </w:rPr>
        <w:t>n using LTCs to distribute the gains from trade between contracting parties</w:t>
      </w:r>
      <w:r w:rsidR="00CE401B">
        <w:rPr>
          <w:rFonts w:ascii="Times New Roman" w:hAnsi="Times New Roman" w:cs="Times New Roman"/>
          <w:color w:val="000000" w:themeColor="text1"/>
          <w:sz w:val="24"/>
          <w:szCs w:val="24"/>
        </w:rPr>
        <w:t>,</w:t>
      </w:r>
      <w:r w:rsidR="009348DF" w:rsidRPr="00F60A11">
        <w:rPr>
          <w:rFonts w:ascii="Times New Roman" w:hAnsi="Times New Roman" w:cs="Times New Roman"/>
          <w:color w:val="000000" w:themeColor="text1"/>
          <w:sz w:val="24"/>
          <w:szCs w:val="24"/>
        </w:rPr>
        <w:t xml:space="preserve"> see </w:t>
      </w:r>
      <w:proofErr w:type="spellStart"/>
      <w:r w:rsidR="009348DF" w:rsidRPr="00F60A11">
        <w:rPr>
          <w:rFonts w:ascii="Times New Roman" w:hAnsi="Times New Roman" w:cs="Times New Roman"/>
          <w:color w:val="000000" w:themeColor="text1"/>
          <w:sz w:val="24"/>
          <w:szCs w:val="24"/>
        </w:rPr>
        <w:t>Masten</w:t>
      </w:r>
      <w:proofErr w:type="spellEnd"/>
      <w:r w:rsidR="009348DF" w:rsidRPr="00F60A11">
        <w:rPr>
          <w:rFonts w:ascii="Times New Roman" w:hAnsi="Times New Roman" w:cs="Times New Roman"/>
          <w:color w:val="000000" w:themeColor="text1"/>
          <w:sz w:val="24"/>
          <w:szCs w:val="24"/>
        </w:rPr>
        <w:t xml:space="preserve">, and Croker, 1985; Crocker and </w:t>
      </w:r>
      <w:proofErr w:type="spellStart"/>
      <w:r w:rsidR="009348DF" w:rsidRPr="00F60A11">
        <w:rPr>
          <w:rFonts w:ascii="Times New Roman" w:hAnsi="Times New Roman" w:cs="Times New Roman"/>
          <w:color w:val="000000" w:themeColor="text1"/>
          <w:sz w:val="24"/>
          <w:szCs w:val="24"/>
        </w:rPr>
        <w:t>Masten</w:t>
      </w:r>
      <w:proofErr w:type="spellEnd"/>
      <w:r w:rsidR="009348DF" w:rsidRPr="00F60A11">
        <w:rPr>
          <w:rFonts w:ascii="Times New Roman" w:hAnsi="Times New Roman" w:cs="Times New Roman"/>
          <w:color w:val="000000" w:themeColor="text1"/>
          <w:sz w:val="24"/>
          <w:szCs w:val="24"/>
        </w:rPr>
        <w:t xml:space="preserve">, 1988; </w:t>
      </w:r>
      <w:proofErr w:type="spellStart"/>
      <w:r w:rsidR="009348DF" w:rsidRPr="00F60A11">
        <w:rPr>
          <w:rFonts w:ascii="Times New Roman" w:hAnsi="Times New Roman" w:cs="Times New Roman"/>
          <w:color w:val="000000" w:themeColor="text1"/>
          <w:sz w:val="24"/>
          <w:szCs w:val="24"/>
        </w:rPr>
        <w:t>Mulherin</w:t>
      </w:r>
      <w:proofErr w:type="spellEnd"/>
      <w:r w:rsidR="009348DF" w:rsidRPr="00F60A11">
        <w:rPr>
          <w:rFonts w:ascii="Times New Roman" w:hAnsi="Times New Roman" w:cs="Times New Roman"/>
          <w:color w:val="000000" w:themeColor="text1"/>
          <w:sz w:val="24"/>
          <w:szCs w:val="24"/>
        </w:rPr>
        <w:t>, 1986.</w:t>
      </w:r>
      <w:r w:rsidR="004F513A" w:rsidRPr="00F60A11">
        <w:rPr>
          <w:rFonts w:ascii="Times New Roman" w:hAnsi="Times New Roman" w:cs="Times New Roman"/>
          <w:color w:val="000000" w:themeColor="text1"/>
          <w:sz w:val="24"/>
          <w:szCs w:val="24"/>
        </w:rPr>
        <w:t>)</w:t>
      </w:r>
      <w:r w:rsidR="00B41CAC" w:rsidRPr="00F60A11">
        <w:rPr>
          <w:rFonts w:ascii="Times New Roman" w:hAnsi="Times New Roman" w:cs="Times New Roman"/>
          <w:color w:val="000000" w:themeColor="text1"/>
          <w:sz w:val="24"/>
          <w:szCs w:val="24"/>
        </w:rPr>
        <w:t>.</w:t>
      </w:r>
    </w:p>
    <w:p w14:paraId="1AF68F2C" w14:textId="345D4782"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As such, the emergence and evolution of the natural gas trade in Europe fits neatly with the transaction cost economics framework. </w:t>
      </w:r>
      <w:r w:rsidRPr="00F60A11">
        <w:rPr>
          <w:rFonts w:ascii="Times New Roman" w:hAnsi="Times New Roman" w:cs="Times New Roman"/>
          <w:color w:val="000000" w:themeColor="text1"/>
          <w:sz w:val="24"/>
          <w:szCs w:val="24"/>
        </w:rPr>
        <w:fldChar w:fldCharType="begin"/>
      </w:r>
      <w:r w:rsidRPr="00F60A11">
        <w:rPr>
          <w:rFonts w:ascii="Times New Roman" w:hAnsi="Times New Roman" w:cs="Times New Roman"/>
          <w:color w:val="000000" w:themeColor="text1"/>
          <w:sz w:val="24"/>
          <w:szCs w:val="24"/>
        </w:rPr>
        <w:instrText xml:space="preserve"> REF _Ref432173269 \h  \* MERGEFORMAT </w:instrText>
      </w:r>
      <w:r w:rsidRPr="00F60A11">
        <w:rPr>
          <w:rFonts w:ascii="Times New Roman" w:hAnsi="Times New Roman" w:cs="Times New Roman"/>
          <w:color w:val="000000" w:themeColor="text1"/>
          <w:sz w:val="24"/>
          <w:szCs w:val="24"/>
        </w:rPr>
      </w:r>
      <w:r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Table 2</w:t>
      </w:r>
      <w:r w:rsidRPr="00F60A11">
        <w:rPr>
          <w:rFonts w:ascii="Times New Roman" w:hAnsi="Times New Roman" w:cs="Times New Roman"/>
          <w:color w:val="000000" w:themeColor="text1"/>
          <w:sz w:val="24"/>
          <w:szCs w:val="24"/>
        </w:rPr>
        <w:fldChar w:fldCharType="end"/>
      </w:r>
      <w:r w:rsidRPr="00F60A11">
        <w:rPr>
          <w:rFonts w:ascii="Times New Roman" w:hAnsi="Times New Roman" w:cs="Times New Roman"/>
          <w:color w:val="000000" w:themeColor="text1"/>
          <w:sz w:val="24"/>
          <w:szCs w:val="24"/>
        </w:rPr>
        <w:t xml:space="preserve"> outlines the main characteristics of the industry using transaction cost economics terminology. </w:t>
      </w:r>
      <w:r w:rsidR="00CE401B">
        <w:rPr>
          <w:rFonts w:ascii="Times New Roman" w:hAnsi="Times New Roman" w:cs="Times New Roman"/>
          <w:color w:val="000000" w:themeColor="text1"/>
          <w:sz w:val="24"/>
          <w:szCs w:val="24"/>
        </w:rPr>
        <w:t>W</w:t>
      </w:r>
      <w:r w:rsidRPr="00F60A11">
        <w:rPr>
          <w:rFonts w:ascii="Times New Roman" w:hAnsi="Times New Roman" w:cs="Times New Roman"/>
          <w:color w:val="000000" w:themeColor="text1"/>
          <w:sz w:val="24"/>
          <w:szCs w:val="24"/>
        </w:rPr>
        <w:t>e can see that the two most important factors that constitute the foundation of LTCs supporting gas trade and investment in Europe are (</w:t>
      </w:r>
      <w:proofErr w:type="spellStart"/>
      <w:r w:rsidRPr="00F60A11">
        <w:rPr>
          <w:rFonts w:ascii="Times New Roman" w:hAnsi="Times New Roman" w:cs="Times New Roman"/>
          <w:color w:val="000000" w:themeColor="text1"/>
          <w:sz w:val="24"/>
          <w:szCs w:val="24"/>
        </w:rPr>
        <w:t>i</w:t>
      </w:r>
      <w:proofErr w:type="spellEnd"/>
      <w:r w:rsidRPr="00F60A11">
        <w:rPr>
          <w:rFonts w:ascii="Times New Roman" w:hAnsi="Times New Roman" w:cs="Times New Roman"/>
          <w:color w:val="000000" w:themeColor="text1"/>
          <w:sz w:val="24"/>
          <w:szCs w:val="24"/>
        </w:rPr>
        <w:t xml:space="preserve">) industry structure (number of buyers and sellers) and (ii) asset characteristics. The latter have changed dramatically over the past 20 years, and the rationale for and role of LTCs in the European gas trade </w:t>
      </w:r>
      <w:r w:rsidR="00CE401B" w:rsidRPr="00F60A11">
        <w:rPr>
          <w:rFonts w:ascii="Times New Roman" w:hAnsi="Times New Roman" w:cs="Times New Roman"/>
          <w:color w:val="000000" w:themeColor="text1"/>
          <w:sz w:val="24"/>
          <w:szCs w:val="24"/>
        </w:rPr>
        <w:t>ha</w:t>
      </w:r>
      <w:r w:rsidR="00CE401B">
        <w:rPr>
          <w:rFonts w:ascii="Times New Roman" w:hAnsi="Times New Roman" w:cs="Times New Roman"/>
          <w:color w:val="000000" w:themeColor="text1"/>
          <w:sz w:val="24"/>
          <w:szCs w:val="24"/>
        </w:rPr>
        <w:t>ve</w:t>
      </w:r>
      <w:r w:rsidR="00CE401B"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diminished significantly. </w:t>
      </w:r>
      <w:r w:rsidR="001A6692">
        <w:rPr>
          <w:rFonts w:ascii="Times New Roman" w:hAnsi="Times New Roman" w:cs="Times New Roman"/>
          <w:color w:val="000000" w:themeColor="text1"/>
          <w:sz w:val="24"/>
          <w:szCs w:val="24"/>
        </w:rPr>
        <w:t>I</w:t>
      </w:r>
      <w:r w:rsidR="00CE401B">
        <w:rPr>
          <w:rFonts w:ascii="Times New Roman" w:hAnsi="Times New Roman" w:cs="Times New Roman"/>
          <w:color w:val="000000" w:themeColor="text1"/>
          <w:sz w:val="24"/>
          <w:szCs w:val="24"/>
        </w:rPr>
        <w:t xml:space="preserve"> will discuss t</w:t>
      </w:r>
      <w:r w:rsidRPr="00F60A11">
        <w:rPr>
          <w:rFonts w:ascii="Times New Roman" w:hAnsi="Times New Roman" w:cs="Times New Roman"/>
          <w:color w:val="000000" w:themeColor="text1"/>
          <w:sz w:val="24"/>
          <w:szCs w:val="24"/>
        </w:rPr>
        <w:t>he reasons for this decline.</w:t>
      </w:r>
    </w:p>
    <w:p w14:paraId="206C4CE1" w14:textId="77777777" w:rsidR="00C93677" w:rsidRPr="00F60A11" w:rsidRDefault="00C93677" w:rsidP="00660B3D">
      <w:pPr>
        <w:spacing w:line="360" w:lineRule="auto"/>
        <w:ind w:firstLine="567"/>
        <w:rPr>
          <w:rFonts w:ascii="Times New Roman" w:hAnsi="Times New Roman" w:cs="Times New Roman"/>
          <w:color w:val="000000" w:themeColor="text1"/>
          <w:sz w:val="24"/>
          <w:szCs w:val="24"/>
        </w:rPr>
      </w:pPr>
    </w:p>
    <w:p w14:paraId="7FDF5B74" w14:textId="716510F7" w:rsidR="00767FE8" w:rsidRPr="00F60A11" w:rsidRDefault="00767FE8" w:rsidP="00660B3D">
      <w:pPr>
        <w:pStyle w:val="Caption"/>
        <w:spacing w:line="360" w:lineRule="auto"/>
        <w:ind w:firstLine="567"/>
        <w:rPr>
          <w:rFonts w:ascii="Times New Roman" w:hAnsi="Times New Roman" w:cs="Times New Roman"/>
          <w:color w:val="000000" w:themeColor="text1"/>
          <w:sz w:val="24"/>
          <w:szCs w:val="24"/>
        </w:rPr>
      </w:pPr>
      <w:bookmarkStart w:id="1" w:name="_Ref432173269"/>
      <w:bookmarkStart w:id="2" w:name="_Toc438219837"/>
      <w:r w:rsidRPr="00F60A11">
        <w:rPr>
          <w:rFonts w:ascii="Times New Roman" w:hAnsi="Times New Roman" w:cs="Times New Roman"/>
          <w:color w:val="000000" w:themeColor="text1"/>
          <w:sz w:val="24"/>
          <w:szCs w:val="24"/>
        </w:rPr>
        <w:t xml:space="preserve">Table </w:t>
      </w:r>
      <w:r w:rsidRPr="00F60A11">
        <w:rPr>
          <w:rFonts w:ascii="Times New Roman" w:hAnsi="Times New Roman" w:cs="Times New Roman"/>
          <w:color w:val="000000" w:themeColor="text1"/>
          <w:sz w:val="24"/>
          <w:szCs w:val="24"/>
        </w:rPr>
        <w:fldChar w:fldCharType="begin"/>
      </w:r>
      <w:r w:rsidRPr="00F60A11">
        <w:rPr>
          <w:rFonts w:ascii="Times New Roman" w:hAnsi="Times New Roman" w:cs="Times New Roman"/>
          <w:color w:val="000000" w:themeColor="text1"/>
          <w:sz w:val="24"/>
          <w:szCs w:val="24"/>
        </w:rPr>
        <w:instrText xml:space="preserve"> SEQ Table \* ARABIC </w:instrText>
      </w:r>
      <w:r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noProof/>
          <w:color w:val="000000" w:themeColor="text1"/>
          <w:sz w:val="24"/>
          <w:szCs w:val="24"/>
        </w:rPr>
        <w:t>2</w:t>
      </w:r>
      <w:r w:rsidRPr="00F60A11">
        <w:rPr>
          <w:rFonts w:ascii="Times New Roman" w:hAnsi="Times New Roman" w:cs="Times New Roman"/>
          <w:color w:val="000000" w:themeColor="text1"/>
          <w:sz w:val="24"/>
          <w:szCs w:val="24"/>
        </w:rPr>
        <w:fldChar w:fldCharType="end"/>
      </w:r>
      <w:bookmarkEnd w:id="1"/>
      <w:r w:rsidRPr="00F60A11">
        <w:rPr>
          <w:rFonts w:ascii="Times New Roman" w:hAnsi="Times New Roman" w:cs="Times New Roman"/>
          <w:color w:val="000000" w:themeColor="text1"/>
          <w:sz w:val="24"/>
          <w:szCs w:val="24"/>
        </w:rPr>
        <w:t xml:space="preserve">: Evolution of international gas trade: From LTCs to </w:t>
      </w:r>
      <w:r w:rsidR="00A1085F" w:rsidRPr="00F60A11">
        <w:rPr>
          <w:rFonts w:ascii="Times New Roman" w:hAnsi="Times New Roman" w:cs="Times New Roman"/>
          <w:color w:val="000000" w:themeColor="text1"/>
          <w:sz w:val="24"/>
          <w:szCs w:val="24"/>
        </w:rPr>
        <w:t xml:space="preserve">short-term and spot </w:t>
      </w:r>
      <w:r w:rsidRPr="00F60A11">
        <w:rPr>
          <w:rFonts w:ascii="Times New Roman" w:hAnsi="Times New Roman" w:cs="Times New Roman"/>
          <w:color w:val="000000" w:themeColor="text1"/>
          <w:sz w:val="24"/>
          <w:szCs w:val="24"/>
        </w:rPr>
        <w:t>markets</w:t>
      </w:r>
      <w:bookmarkEnd w:id="2"/>
    </w:p>
    <w:tbl>
      <w:tblPr>
        <w:tblStyle w:val="TableGridLight1"/>
        <w:tblW w:w="96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9"/>
        <w:gridCol w:w="1134"/>
        <w:gridCol w:w="1985"/>
        <w:gridCol w:w="3405"/>
      </w:tblGrid>
      <w:tr w:rsidR="00A23AA4" w:rsidRPr="00F60A11" w14:paraId="10FEE53F" w14:textId="77777777" w:rsidTr="0095108A">
        <w:trPr>
          <w:trHeight w:val="60"/>
        </w:trPr>
        <w:tc>
          <w:tcPr>
            <w:tcW w:w="3119" w:type="dxa"/>
            <w:tcBorders>
              <w:top w:val="single" w:sz="4" w:space="0" w:color="auto"/>
              <w:bottom w:val="single" w:sz="4" w:space="0" w:color="auto"/>
            </w:tcBorders>
            <w:hideMark/>
          </w:tcPr>
          <w:p w14:paraId="36C4747E" w14:textId="77777777" w:rsidR="00767FE8" w:rsidRPr="00F60A11" w:rsidRDefault="00767FE8" w:rsidP="00971D79">
            <w:pPr>
              <w:ind w:firstLine="567"/>
              <w:rPr>
                <w:rFonts w:ascii="Times New Roman" w:hAnsi="Times New Roman" w:cs="Times New Roman"/>
                <w:b/>
                <w:color w:val="000000" w:themeColor="text1"/>
                <w:sz w:val="24"/>
                <w:szCs w:val="24"/>
              </w:rPr>
            </w:pPr>
          </w:p>
        </w:tc>
        <w:tc>
          <w:tcPr>
            <w:tcW w:w="1134" w:type="dxa"/>
            <w:tcBorders>
              <w:top w:val="single" w:sz="4" w:space="0" w:color="auto"/>
              <w:bottom w:val="single" w:sz="4" w:space="0" w:color="auto"/>
            </w:tcBorders>
            <w:hideMark/>
          </w:tcPr>
          <w:p w14:paraId="29B5C949" w14:textId="77777777" w:rsidR="00767FE8" w:rsidRPr="00F60A11" w:rsidRDefault="00767FE8" w:rsidP="00971D79">
            <w:pPr>
              <w:pStyle w:val="NoSpacing"/>
              <w:ind w:firstLine="35"/>
              <w:jc w:val="center"/>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1970s</w:t>
            </w:r>
          </w:p>
        </w:tc>
        <w:tc>
          <w:tcPr>
            <w:tcW w:w="1985" w:type="dxa"/>
            <w:tcBorders>
              <w:top w:val="single" w:sz="4" w:space="0" w:color="auto"/>
              <w:bottom w:val="single" w:sz="4" w:space="0" w:color="auto"/>
            </w:tcBorders>
            <w:hideMark/>
          </w:tcPr>
          <w:p w14:paraId="3DF7C23F" w14:textId="77777777" w:rsidR="00767FE8" w:rsidRPr="00F60A11" w:rsidRDefault="00767FE8" w:rsidP="00971D79">
            <w:pPr>
              <w:pStyle w:val="NoSpacing"/>
              <w:ind w:firstLine="39"/>
              <w:jc w:val="center"/>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2000</w:t>
            </w:r>
          </w:p>
        </w:tc>
        <w:tc>
          <w:tcPr>
            <w:tcW w:w="3405" w:type="dxa"/>
            <w:tcBorders>
              <w:top w:val="single" w:sz="4" w:space="0" w:color="auto"/>
              <w:bottom w:val="single" w:sz="4" w:space="0" w:color="auto"/>
            </w:tcBorders>
            <w:hideMark/>
          </w:tcPr>
          <w:p w14:paraId="64E3C4B9" w14:textId="1BADF2C2" w:rsidR="00767FE8" w:rsidRPr="00F60A11" w:rsidRDefault="00767FE8" w:rsidP="00971D79">
            <w:pPr>
              <w:pStyle w:val="NoSpacing"/>
              <w:ind w:firstLine="567"/>
              <w:jc w:val="center"/>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201</w:t>
            </w:r>
            <w:r w:rsidR="00800740" w:rsidRPr="00F60A11">
              <w:rPr>
                <w:rFonts w:ascii="Times New Roman" w:hAnsi="Times New Roman" w:cs="Times New Roman"/>
                <w:b/>
                <w:color w:val="000000" w:themeColor="text1"/>
                <w:sz w:val="24"/>
                <w:szCs w:val="24"/>
              </w:rPr>
              <w:t>6</w:t>
            </w:r>
          </w:p>
        </w:tc>
      </w:tr>
      <w:tr w:rsidR="00A23AA4" w:rsidRPr="00F60A11" w14:paraId="028A5E6A" w14:textId="77777777" w:rsidTr="0095108A">
        <w:trPr>
          <w:trHeight w:val="15"/>
        </w:trPr>
        <w:tc>
          <w:tcPr>
            <w:tcW w:w="3119" w:type="dxa"/>
            <w:tcBorders>
              <w:top w:val="single" w:sz="4" w:space="0" w:color="auto"/>
            </w:tcBorders>
            <w:hideMark/>
          </w:tcPr>
          <w:p w14:paraId="1DAD54EA" w14:textId="77777777" w:rsidR="00767FE8" w:rsidRPr="00F60A11" w:rsidRDefault="00767FE8" w:rsidP="00971D79">
            <w:pPr>
              <w:pStyle w:val="NoSpacing"/>
              <w:ind w:firstLine="38"/>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Number of sellers</w:t>
            </w:r>
          </w:p>
        </w:tc>
        <w:tc>
          <w:tcPr>
            <w:tcW w:w="1134" w:type="dxa"/>
            <w:tcBorders>
              <w:top w:val="single" w:sz="4" w:space="0" w:color="auto"/>
            </w:tcBorders>
            <w:hideMark/>
          </w:tcPr>
          <w:p w14:paraId="1D9F633C" w14:textId="77777777" w:rsidR="00767FE8" w:rsidRPr="00F60A11" w:rsidRDefault="00767FE8" w:rsidP="00971D79">
            <w:pPr>
              <w:pStyle w:val="NoSpacing"/>
              <w:ind w:firstLine="35"/>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16</w:t>
            </w:r>
          </w:p>
        </w:tc>
        <w:tc>
          <w:tcPr>
            <w:tcW w:w="1985" w:type="dxa"/>
            <w:tcBorders>
              <w:top w:val="single" w:sz="4" w:space="0" w:color="auto"/>
            </w:tcBorders>
            <w:hideMark/>
          </w:tcPr>
          <w:p w14:paraId="06AEC08E" w14:textId="77777777" w:rsidR="00767FE8" w:rsidRPr="00F60A11" w:rsidRDefault="00767FE8" w:rsidP="00971D79">
            <w:pPr>
              <w:pStyle w:val="NoSpacing"/>
              <w:ind w:firstLine="39"/>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34</w:t>
            </w:r>
          </w:p>
        </w:tc>
        <w:tc>
          <w:tcPr>
            <w:tcW w:w="3405" w:type="dxa"/>
            <w:tcBorders>
              <w:top w:val="single" w:sz="4" w:space="0" w:color="auto"/>
            </w:tcBorders>
            <w:hideMark/>
          </w:tcPr>
          <w:p w14:paraId="791DAD32" w14:textId="18771BDF" w:rsidR="00767FE8" w:rsidRPr="00F60A11" w:rsidRDefault="00800740" w:rsidP="00971D79">
            <w:pPr>
              <w:pStyle w:val="NoSpacing"/>
              <w:ind w:firstLine="567"/>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51</w:t>
            </w:r>
          </w:p>
        </w:tc>
      </w:tr>
      <w:tr w:rsidR="00A23AA4" w:rsidRPr="00F60A11" w14:paraId="6A2003C6" w14:textId="77777777" w:rsidTr="00086758">
        <w:trPr>
          <w:trHeight w:val="22"/>
        </w:trPr>
        <w:tc>
          <w:tcPr>
            <w:tcW w:w="3119" w:type="dxa"/>
            <w:hideMark/>
          </w:tcPr>
          <w:p w14:paraId="1154B6BE" w14:textId="77777777" w:rsidR="00767FE8" w:rsidRPr="00F60A11" w:rsidRDefault="00767FE8" w:rsidP="00971D79">
            <w:pPr>
              <w:pStyle w:val="NoSpacing"/>
              <w:ind w:firstLine="38"/>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Number of buyers</w:t>
            </w:r>
          </w:p>
        </w:tc>
        <w:tc>
          <w:tcPr>
            <w:tcW w:w="1134" w:type="dxa"/>
            <w:hideMark/>
          </w:tcPr>
          <w:p w14:paraId="79F34D45" w14:textId="77777777" w:rsidR="00767FE8" w:rsidRPr="00F60A11" w:rsidRDefault="00767FE8" w:rsidP="00971D79">
            <w:pPr>
              <w:pStyle w:val="NoSpacing"/>
              <w:ind w:firstLine="35"/>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18</w:t>
            </w:r>
          </w:p>
        </w:tc>
        <w:tc>
          <w:tcPr>
            <w:tcW w:w="1985" w:type="dxa"/>
            <w:hideMark/>
          </w:tcPr>
          <w:p w14:paraId="05E85465" w14:textId="77777777" w:rsidR="00767FE8" w:rsidRPr="00F60A11" w:rsidRDefault="00767FE8" w:rsidP="00971D79">
            <w:pPr>
              <w:pStyle w:val="NoSpacing"/>
              <w:ind w:firstLine="39"/>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56</w:t>
            </w:r>
          </w:p>
        </w:tc>
        <w:tc>
          <w:tcPr>
            <w:tcW w:w="3405" w:type="dxa"/>
            <w:hideMark/>
          </w:tcPr>
          <w:p w14:paraId="3CFA51C7" w14:textId="248FF197" w:rsidR="00767FE8" w:rsidRPr="00F60A11" w:rsidRDefault="00875FAB" w:rsidP="00971D79">
            <w:pPr>
              <w:pStyle w:val="NoSpacing"/>
              <w:ind w:firstLine="567"/>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8</w:t>
            </w:r>
            <w:r w:rsidR="00767FE8" w:rsidRPr="00F60A11">
              <w:rPr>
                <w:rFonts w:ascii="Times New Roman" w:hAnsi="Times New Roman" w:cs="Times New Roman"/>
                <w:color w:val="000000" w:themeColor="text1"/>
                <w:sz w:val="24"/>
                <w:szCs w:val="24"/>
              </w:rPr>
              <w:t>1</w:t>
            </w:r>
          </w:p>
        </w:tc>
      </w:tr>
      <w:tr w:rsidR="00A23AA4" w:rsidRPr="00F60A11" w14:paraId="01907FBC" w14:textId="77777777" w:rsidTr="00086758">
        <w:trPr>
          <w:trHeight w:val="22"/>
        </w:trPr>
        <w:tc>
          <w:tcPr>
            <w:tcW w:w="9643" w:type="dxa"/>
            <w:gridSpan w:val="4"/>
            <w:hideMark/>
          </w:tcPr>
          <w:p w14:paraId="693DC3E1" w14:textId="4D48CA57" w:rsidR="00767FE8" w:rsidRPr="00F60A11" w:rsidRDefault="00767FE8" w:rsidP="00CE401B">
            <w:pPr>
              <w:pStyle w:val="NoSpacing"/>
              <w:ind w:firstLine="39"/>
              <w:rPr>
                <w:rFonts w:ascii="Times New Roman" w:hAnsi="Times New Roman" w:cs="Times New Roman"/>
                <w:color w:val="000000" w:themeColor="text1"/>
                <w:sz w:val="24"/>
                <w:szCs w:val="24"/>
              </w:rPr>
            </w:pPr>
            <w:r w:rsidRPr="00F60A11">
              <w:rPr>
                <w:rFonts w:ascii="Times New Roman" w:hAnsi="Times New Roman" w:cs="Times New Roman"/>
                <w:b/>
                <w:color w:val="000000" w:themeColor="text1"/>
                <w:sz w:val="24"/>
                <w:szCs w:val="24"/>
              </w:rPr>
              <w:t>Asset characteristics</w:t>
            </w:r>
          </w:p>
        </w:tc>
      </w:tr>
      <w:tr w:rsidR="00A23AA4" w:rsidRPr="00F60A11" w14:paraId="0818B64B" w14:textId="77777777" w:rsidTr="00086758">
        <w:trPr>
          <w:trHeight w:val="22"/>
        </w:trPr>
        <w:tc>
          <w:tcPr>
            <w:tcW w:w="3119" w:type="dxa"/>
            <w:hideMark/>
          </w:tcPr>
          <w:p w14:paraId="1F80FF7A" w14:textId="77777777" w:rsidR="00767FE8" w:rsidRPr="00F60A11" w:rsidRDefault="00767FE8" w:rsidP="00971D79">
            <w:pPr>
              <w:pStyle w:val="NoSpacing"/>
              <w:tabs>
                <w:tab w:val="left" w:pos="426"/>
              </w:tabs>
              <w:ind w:left="567" w:firstLine="38"/>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Specificity</w:t>
            </w:r>
          </w:p>
        </w:tc>
        <w:tc>
          <w:tcPr>
            <w:tcW w:w="1134" w:type="dxa"/>
            <w:hideMark/>
          </w:tcPr>
          <w:p w14:paraId="32D5BD4B" w14:textId="77777777" w:rsidR="00767FE8" w:rsidRPr="00F60A11" w:rsidRDefault="00767FE8" w:rsidP="00971D79">
            <w:pPr>
              <w:pStyle w:val="NoSpacing"/>
              <w:ind w:firstLine="35"/>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High</w:t>
            </w:r>
          </w:p>
        </w:tc>
        <w:tc>
          <w:tcPr>
            <w:tcW w:w="1985" w:type="dxa"/>
            <w:hideMark/>
          </w:tcPr>
          <w:p w14:paraId="4CCBC0A6" w14:textId="77777777" w:rsidR="00767FE8" w:rsidRPr="00F60A11" w:rsidRDefault="00767FE8" w:rsidP="00971D79">
            <w:pPr>
              <w:pStyle w:val="NoSpacing"/>
              <w:ind w:firstLine="39"/>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High/moderate</w:t>
            </w:r>
          </w:p>
        </w:tc>
        <w:tc>
          <w:tcPr>
            <w:tcW w:w="3405" w:type="dxa"/>
            <w:hideMark/>
          </w:tcPr>
          <w:p w14:paraId="3FAA6CB2" w14:textId="77777777" w:rsidR="00767FE8" w:rsidRPr="00F60A11" w:rsidRDefault="00767FE8" w:rsidP="00971D79">
            <w:pPr>
              <w:pStyle w:val="NoSpacing"/>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Moderate/low</w:t>
            </w:r>
          </w:p>
        </w:tc>
      </w:tr>
      <w:tr w:rsidR="00A23AA4" w:rsidRPr="00F60A11" w14:paraId="7609B42B" w14:textId="77777777" w:rsidTr="00086758">
        <w:trPr>
          <w:trHeight w:val="631"/>
        </w:trPr>
        <w:tc>
          <w:tcPr>
            <w:tcW w:w="3119" w:type="dxa"/>
          </w:tcPr>
          <w:p w14:paraId="3716159E" w14:textId="77777777" w:rsidR="00767FE8" w:rsidRPr="00F60A11" w:rsidRDefault="00767FE8" w:rsidP="00971D79">
            <w:pPr>
              <w:pStyle w:val="NoSpacing"/>
              <w:ind w:left="567" w:firstLine="38"/>
              <w:rPr>
                <w:rFonts w:ascii="Times New Roman" w:hAnsi="Times New Roman" w:cs="Times New Roman"/>
                <w:color w:val="000000" w:themeColor="text1"/>
                <w:sz w:val="24"/>
                <w:szCs w:val="24"/>
              </w:rPr>
            </w:pPr>
          </w:p>
          <w:p w14:paraId="654814FB" w14:textId="77777777" w:rsidR="00767FE8" w:rsidRPr="00F60A11" w:rsidRDefault="00767FE8" w:rsidP="00971D79">
            <w:pPr>
              <w:pStyle w:val="NoSpacing"/>
              <w:ind w:left="567" w:firstLine="38"/>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Intensity</w:t>
            </w:r>
          </w:p>
        </w:tc>
        <w:tc>
          <w:tcPr>
            <w:tcW w:w="3119" w:type="dxa"/>
            <w:gridSpan w:val="2"/>
          </w:tcPr>
          <w:p w14:paraId="1959BF12" w14:textId="77777777" w:rsidR="00767FE8" w:rsidRPr="00F60A11" w:rsidRDefault="00767FE8" w:rsidP="00971D79">
            <w:pPr>
              <w:pStyle w:val="NoSpacing"/>
              <w:ind w:firstLine="39"/>
              <w:jc w:val="center"/>
              <w:rPr>
                <w:rFonts w:ascii="Times New Roman" w:hAnsi="Times New Roman" w:cs="Times New Roman"/>
                <w:color w:val="000000" w:themeColor="text1"/>
                <w:sz w:val="24"/>
                <w:szCs w:val="24"/>
              </w:rPr>
            </w:pPr>
          </w:p>
          <w:p w14:paraId="2303DFDF" w14:textId="77777777" w:rsidR="00767FE8" w:rsidRPr="00F60A11" w:rsidRDefault="00767FE8" w:rsidP="00971D79">
            <w:pPr>
              <w:pStyle w:val="NoSpacing"/>
              <w:ind w:firstLine="39"/>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Upstream: high</w:t>
            </w:r>
          </w:p>
          <w:p w14:paraId="66B028AE" w14:textId="7B0DE0C0" w:rsidR="00767FE8" w:rsidRPr="00F60A11" w:rsidRDefault="00767FE8" w:rsidP="000354E7">
            <w:pPr>
              <w:pStyle w:val="NoSpacing"/>
              <w:ind w:left="31"/>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Midstream and downstream:</w:t>
            </w:r>
            <w:r w:rsidR="00971D79"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high</w:t>
            </w:r>
          </w:p>
        </w:tc>
        <w:tc>
          <w:tcPr>
            <w:tcW w:w="3405" w:type="dxa"/>
          </w:tcPr>
          <w:p w14:paraId="0F157DAC" w14:textId="77777777" w:rsidR="00767FE8" w:rsidRPr="00F60A11" w:rsidRDefault="00767FE8" w:rsidP="00971D79">
            <w:pPr>
              <w:pStyle w:val="NoSpacing"/>
              <w:ind w:firstLine="567"/>
              <w:jc w:val="center"/>
              <w:rPr>
                <w:rFonts w:ascii="Times New Roman" w:hAnsi="Times New Roman" w:cs="Times New Roman"/>
                <w:color w:val="000000" w:themeColor="text1"/>
                <w:sz w:val="24"/>
                <w:szCs w:val="24"/>
              </w:rPr>
            </w:pPr>
          </w:p>
          <w:p w14:paraId="4682D686" w14:textId="77777777" w:rsidR="00767FE8" w:rsidRPr="00F60A11" w:rsidRDefault="00767FE8" w:rsidP="00971D79">
            <w:pPr>
              <w:pStyle w:val="NoSpacing"/>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Upstream: high/moderate</w:t>
            </w:r>
          </w:p>
          <w:p w14:paraId="246C9E82" w14:textId="77777777" w:rsidR="00767FE8" w:rsidRPr="00F60A11" w:rsidRDefault="00767FE8" w:rsidP="00971D79">
            <w:pPr>
              <w:pStyle w:val="NoSpacing"/>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Midstream and downstream: high/moderate</w:t>
            </w:r>
          </w:p>
        </w:tc>
      </w:tr>
      <w:tr w:rsidR="00A23AA4" w:rsidRPr="00F60A11" w14:paraId="306E7E85" w14:textId="77777777" w:rsidTr="00086758">
        <w:trPr>
          <w:trHeight w:val="22"/>
        </w:trPr>
        <w:tc>
          <w:tcPr>
            <w:tcW w:w="3119" w:type="dxa"/>
          </w:tcPr>
          <w:p w14:paraId="6D51D8BE" w14:textId="77777777" w:rsidR="00767FE8" w:rsidRPr="00F60A11" w:rsidRDefault="00767FE8" w:rsidP="00971D79">
            <w:pPr>
              <w:pStyle w:val="NoSpacing"/>
              <w:ind w:left="567" w:firstLine="38"/>
              <w:rPr>
                <w:rFonts w:ascii="Times New Roman" w:hAnsi="Times New Roman" w:cs="Times New Roman"/>
                <w:color w:val="000000" w:themeColor="text1"/>
                <w:sz w:val="24"/>
                <w:szCs w:val="24"/>
              </w:rPr>
            </w:pPr>
          </w:p>
          <w:p w14:paraId="77F4EC6D" w14:textId="77777777" w:rsidR="00767FE8" w:rsidRPr="00F60A11" w:rsidRDefault="00767FE8" w:rsidP="00971D79">
            <w:pPr>
              <w:pStyle w:val="NoSpacing"/>
              <w:ind w:left="567" w:firstLine="38"/>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Durability</w:t>
            </w:r>
          </w:p>
        </w:tc>
        <w:tc>
          <w:tcPr>
            <w:tcW w:w="6524" w:type="dxa"/>
            <w:gridSpan w:val="3"/>
          </w:tcPr>
          <w:p w14:paraId="0A1F1819" w14:textId="77777777" w:rsidR="00767FE8" w:rsidRPr="00F60A11" w:rsidRDefault="00767FE8" w:rsidP="00971D79">
            <w:pPr>
              <w:pStyle w:val="NoSpacing"/>
              <w:ind w:firstLine="39"/>
              <w:jc w:val="center"/>
              <w:rPr>
                <w:rFonts w:ascii="Times New Roman" w:hAnsi="Times New Roman" w:cs="Times New Roman"/>
                <w:color w:val="000000" w:themeColor="text1"/>
                <w:sz w:val="24"/>
                <w:szCs w:val="24"/>
              </w:rPr>
            </w:pPr>
          </w:p>
          <w:p w14:paraId="65EC2C5B" w14:textId="7C875A1F" w:rsidR="00767FE8" w:rsidRPr="00F60A11" w:rsidRDefault="00767FE8" w:rsidP="00CE401B">
            <w:pPr>
              <w:pStyle w:val="NoSpacing"/>
              <w:ind w:firstLine="39"/>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20</w:t>
            </w:r>
            <w:r w:rsidR="00CE401B">
              <w:rPr>
                <w:rFonts w:ascii="Times New Roman" w:hAnsi="Times New Roman" w:cs="Times New Roman"/>
                <w:color w:val="000000" w:themeColor="text1"/>
                <w:sz w:val="24"/>
                <w:szCs w:val="24"/>
              </w:rPr>
              <w:t>-plus</w:t>
            </w:r>
            <w:r w:rsidRPr="00F60A11">
              <w:rPr>
                <w:rFonts w:ascii="Times New Roman" w:hAnsi="Times New Roman" w:cs="Times New Roman"/>
                <w:color w:val="000000" w:themeColor="text1"/>
                <w:sz w:val="24"/>
                <w:szCs w:val="24"/>
              </w:rPr>
              <w:t xml:space="preserve"> years</w:t>
            </w:r>
          </w:p>
        </w:tc>
      </w:tr>
      <w:tr w:rsidR="00A23AA4" w:rsidRPr="00F60A11" w14:paraId="1CB743DE" w14:textId="77777777" w:rsidTr="00086758">
        <w:trPr>
          <w:trHeight w:val="41"/>
        </w:trPr>
        <w:tc>
          <w:tcPr>
            <w:tcW w:w="3119" w:type="dxa"/>
          </w:tcPr>
          <w:p w14:paraId="19F87788" w14:textId="77777777" w:rsidR="00767FE8" w:rsidRPr="00F60A11" w:rsidRDefault="00767FE8" w:rsidP="00971D79">
            <w:pPr>
              <w:pStyle w:val="NoSpacing"/>
              <w:ind w:firstLine="38"/>
              <w:rPr>
                <w:rFonts w:ascii="Times New Roman" w:hAnsi="Times New Roman" w:cs="Times New Roman"/>
                <w:b/>
                <w:color w:val="000000" w:themeColor="text1"/>
                <w:sz w:val="24"/>
                <w:szCs w:val="24"/>
              </w:rPr>
            </w:pPr>
          </w:p>
          <w:p w14:paraId="6C0E4D42" w14:textId="77777777" w:rsidR="00767FE8" w:rsidRPr="00F60A11" w:rsidRDefault="00767FE8" w:rsidP="00971D79">
            <w:pPr>
              <w:pStyle w:val="NoSpacing"/>
              <w:ind w:firstLine="38"/>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Transaction frequency</w:t>
            </w:r>
          </w:p>
        </w:tc>
        <w:tc>
          <w:tcPr>
            <w:tcW w:w="6524" w:type="dxa"/>
            <w:gridSpan w:val="3"/>
          </w:tcPr>
          <w:p w14:paraId="7BB6C74C" w14:textId="77777777" w:rsidR="00767FE8" w:rsidRPr="00F60A11" w:rsidRDefault="00767FE8" w:rsidP="00971D79">
            <w:pPr>
              <w:pStyle w:val="NoSpacing"/>
              <w:ind w:firstLine="39"/>
              <w:jc w:val="center"/>
              <w:rPr>
                <w:rFonts w:ascii="Times New Roman" w:hAnsi="Times New Roman" w:cs="Times New Roman"/>
                <w:color w:val="000000" w:themeColor="text1"/>
                <w:sz w:val="24"/>
                <w:szCs w:val="24"/>
              </w:rPr>
            </w:pPr>
          </w:p>
          <w:p w14:paraId="2E08A539" w14:textId="77777777" w:rsidR="00767FE8" w:rsidRPr="00F60A11" w:rsidRDefault="00767FE8" w:rsidP="00971D79">
            <w:pPr>
              <w:pStyle w:val="NoSpacing"/>
              <w:ind w:firstLine="39"/>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High</w:t>
            </w:r>
          </w:p>
        </w:tc>
      </w:tr>
      <w:tr w:rsidR="00A23AA4" w:rsidRPr="00F60A11" w14:paraId="28A1577C" w14:textId="77777777" w:rsidTr="0095108A">
        <w:trPr>
          <w:trHeight w:val="22"/>
        </w:trPr>
        <w:tc>
          <w:tcPr>
            <w:tcW w:w="3119" w:type="dxa"/>
            <w:hideMark/>
          </w:tcPr>
          <w:p w14:paraId="3DB34C0D" w14:textId="77777777" w:rsidR="00767FE8" w:rsidRPr="00F60A11" w:rsidRDefault="00767FE8" w:rsidP="00971D79">
            <w:pPr>
              <w:pStyle w:val="NoSpacing"/>
              <w:ind w:firstLine="38"/>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Uncertainty</w:t>
            </w:r>
          </w:p>
        </w:tc>
        <w:tc>
          <w:tcPr>
            <w:tcW w:w="6524" w:type="dxa"/>
            <w:gridSpan w:val="3"/>
            <w:hideMark/>
          </w:tcPr>
          <w:p w14:paraId="2279759A" w14:textId="77777777" w:rsidR="00767FE8" w:rsidRPr="00F60A11" w:rsidRDefault="00767FE8" w:rsidP="00971D79">
            <w:pPr>
              <w:pStyle w:val="NoSpacing"/>
              <w:ind w:firstLine="39"/>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High</w:t>
            </w:r>
          </w:p>
        </w:tc>
      </w:tr>
      <w:tr w:rsidR="00A23AA4" w:rsidRPr="00F60A11" w14:paraId="47ECFC0A" w14:textId="77777777" w:rsidTr="0095108A">
        <w:trPr>
          <w:trHeight w:val="22"/>
        </w:trPr>
        <w:tc>
          <w:tcPr>
            <w:tcW w:w="3119" w:type="dxa"/>
            <w:tcBorders>
              <w:bottom w:val="single" w:sz="4" w:space="0" w:color="auto"/>
            </w:tcBorders>
            <w:hideMark/>
          </w:tcPr>
          <w:p w14:paraId="50A5EEE9" w14:textId="77777777" w:rsidR="00767FE8" w:rsidRPr="00F60A11" w:rsidRDefault="00767FE8" w:rsidP="00971D79">
            <w:pPr>
              <w:pStyle w:val="NoSpacing"/>
              <w:ind w:firstLine="38"/>
              <w:rPr>
                <w:rFonts w:ascii="Times New Roman" w:hAnsi="Times New Roman" w:cs="Times New Roman"/>
                <w:b/>
                <w:color w:val="000000" w:themeColor="text1"/>
                <w:sz w:val="24"/>
                <w:szCs w:val="24"/>
              </w:rPr>
            </w:pPr>
            <w:r w:rsidRPr="00F60A11">
              <w:rPr>
                <w:rFonts w:ascii="Times New Roman" w:hAnsi="Times New Roman" w:cs="Times New Roman"/>
                <w:b/>
                <w:color w:val="000000" w:themeColor="text1"/>
                <w:sz w:val="24"/>
                <w:szCs w:val="24"/>
              </w:rPr>
              <w:t>Vertical coordination mechanism</w:t>
            </w:r>
          </w:p>
        </w:tc>
        <w:tc>
          <w:tcPr>
            <w:tcW w:w="3119" w:type="dxa"/>
            <w:gridSpan w:val="2"/>
            <w:tcBorders>
              <w:bottom w:val="single" w:sz="4" w:space="0" w:color="auto"/>
            </w:tcBorders>
            <w:hideMark/>
          </w:tcPr>
          <w:p w14:paraId="08CB49B3" w14:textId="77777777" w:rsidR="00767FE8" w:rsidRPr="00F60A11" w:rsidRDefault="00767FE8" w:rsidP="00971D79">
            <w:pPr>
              <w:pStyle w:val="NoSpacing"/>
              <w:ind w:firstLine="39"/>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Most transactions via vertical integration and LTCs</w:t>
            </w:r>
          </w:p>
        </w:tc>
        <w:tc>
          <w:tcPr>
            <w:tcW w:w="3405" w:type="dxa"/>
            <w:tcBorders>
              <w:bottom w:val="single" w:sz="4" w:space="0" w:color="auto"/>
            </w:tcBorders>
            <w:hideMark/>
          </w:tcPr>
          <w:p w14:paraId="79D6FE76" w14:textId="77777777" w:rsidR="00767FE8" w:rsidRPr="00F60A11" w:rsidRDefault="00767FE8" w:rsidP="00971D79">
            <w:pPr>
              <w:pStyle w:val="NoSpacing"/>
              <w:ind w:firstLine="567"/>
              <w:jc w:val="center"/>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Half of transactions conducted on spot markets</w:t>
            </w:r>
          </w:p>
        </w:tc>
      </w:tr>
    </w:tbl>
    <w:p w14:paraId="698DD92E" w14:textId="47707799" w:rsidR="00767FE8" w:rsidRPr="00F60A11" w:rsidRDefault="00767FE8" w:rsidP="008B48FE">
      <w:pPr>
        <w:pStyle w:val="NoSpacing"/>
        <w:rPr>
          <w:rFonts w:ascii="Times New Roman" w:hAnsi="Times New Roman" w:cs="Times New Roman"/>
          <w:i/>
          <w:color w:val="000000" w:themeColor="text1"/>
          <w:sz w:val="20"/>
          <w:szCs w:val="20"/>
        </w:rPr>
      </w:pPr>
      <w:r w:rsidRPr="00F60A11">
        <w:rPr>
          <w:rFonts w:ascii="Times New Roman" w:hAnsi="Times New Roman" w:cs="Times New Roman"/>
          <w:i/>
          <w:color w:val="000000" w:themeColor="text1"/>
          <w:sz w:val="20"/>
          <w:szCs w:val="20"/>
        </w:rPr>
        <w:t xml:space="preserve">Notes: Numbers of sellers and buyers (in brackets) are based on counts of gas-exporting and -importing countries provided by the International Energy Agency (IEA) in its </w:t>
      </w:r>
      <w:r w:rsidR="007F42A8" w:rsidRPr="00F60A11">
        <w:rPr>
          <w:rFonts w:ascii="Times New Roman" w:hAnsi="Times New Roman" w:cs="Times New Roman"/>
          <w:i/>
          <w:color w:val="000000" w:themeColor="text1"/>
          <w:sz w:val="20"/>
          <w:szCs w:val="20"/>
        </w:rPr>
        <w:t>2017</w:t>
      </w:r>
      <w:r w:rsidRPr="00F60A11">
        <w:rPr>
          <w:rFonts w:ascii="Times New Roman" w:hAnsi="Times New Roman" w:cs="Times New Roman"/>
          <w:i/>
          <w:color w:val="000000" w:themeColor="text1"/>
          <w:sz w:val="20"/>
          <w:szCs w:val="20"/>
        </w:rPr>
        <w:t xml:space="preserve"> Natural Gas Information report (IEA, </w:t>
      </w:r>
      <w:r w:rsidR="00B240C5" w:rsidRPr="00F60A11">
        <w:rPr>
          <w:rFonts w:ascii="Times New Roman" w:hAnsi="Times New Roman" w:cs="Times New Roman"/>
          <w:i/>
          <w:color w:val="000000" w:themeColor="text1"/>
          <w:sz w:val="20"/>
          <w:szCs w:val="20"/>
        </w:rPr>
        <w:t>2017</w:t>
      </w:r>
      <w:r w:rsidRPr="00F60A11">
        <w:rPr>
          <w:rFonts w:ascii="Times New Roman" w:hAnsi="Times New Roman" w:cs="Times New Roman"/>
          <w:i/>
          <w:color w:val="000000" w:themeColor="text1"/>
          <w:sz w:val="20"/>
          <w:szCs w:val="20"/>
        </w:rPr>
        <w:t>).</w:t>
      </w:r>
    </w:p>
    <w:p w14:paraId="01D1B9D8" w14:textId="38609539" w:rsidR="00767FE8" w:rsidRPr="00F60A11" w:rsidRDefault="00767FE8" w:rsidP="008B48FE">
      <w:pPr>
        <w:pStyle w:val="NoSpacing"/>
        <w:rPr>
          <w:rFonts w:ascii="Times New Roman" w:hAnsi="Times New Roman" w:cs="Times New Roman"/>
          <w:i/>
          <w:color w:val="000000" w:themeColor="text1"/>
          <w:sz w:val="20"/>
          <w:szCs w:val="20"/>
        </w:rPr>
      </w:pPr>
      <w:r w:rsidRPr="00F60A11">
        <w:rPr>
          <w:rFonts w:ascii="Times New Roman" w:hAnsi="Times New Roman" w:cs="Times New Roman"/>
          <w:i/>
          <w:color w:val="000000" w:themeColor="text1"/>
          <w:sz w:val="20"/>
          <w:szCs w:val="20"/>
        </w:rPr>
        <w:t xml:space="preserve">Source: Author’s </w:t>
      </w:r>
      <w:r w:rsidR="00273D7B" w:rsidRPr="00F60A11">
        <w:rPr>
          <w:rFonts w:ascii="Times New Roman" w:hAnsi="Times New Roman" w:cs="Times New Roman"/>
          <w:i/>
          <w:color w:val="000000" w:themeColor="text1"/>
          <w:sz w:val="20"/>
          <w:szCs w:val="20"/>
        </w:rPr>
        <w:t xml:space="preserve">own </w:t>
      </w:r>
      <w:r w:rsidRPr="00F60A11">
        <w:rPr>
          <w:rFonts w:ascii="Times New Roman" w:hAnsi="Times New Roman" w:cs="Times New Roman"/>
          <w:i/>
          <w:color w:val="000000" w:themeColor="text1"/>
          <w:sz w:val="20"/>
          <w:szCs w:val="20"/>
        </w:rPr>
        <w:t>assessment.</w:t>
      </w:r>
    </w:p>
    <w:p w14:paraId="03FC581C" w14:textId="44F1E7C1" w:rsidR="0091201A" w:rsidRPr="00F60A11" w:rsidRDefault="0091201A" w:rsidP="00660B3D">
      <w:pPr>
        <w:spacing w:line="360" w:lineRule="auto"/>
        <w:ind w:firstLine="567"/>
        <w:rPr>
          <w:rFonts w:ascii="Times New Roman" w:hAnsi="Times New Roman" w:cs="Times New Roman"/>
          <w:i/>
          <w:color w:val="000000" w:themeColor="text1"/>
          <w:sz w:val="24"/>
          <w:szCs w:val="24"/>
        </w:rPr>
      </w:pPr>
    </w:p>
    <w:p w14:paraId="7310DDB6" w14:textId="6C9C99F2"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lastRenderedPageBreak/>
        <w:t xml:space="preserve">The international gas trade has expanded dramatically since the early 1970s, when the industry structure was balanced with </w:t>
      </w:r>
      <w:r w:rsidR="00CE401B">
        <w:rPr>
          <w:rFonts w:ascii="Times New Roman" w:hAnsi="Times New Roman" w:cs="Times New Roman"/>
          <w:color w:val="000000" w:themeColor="text1"/>
          <w:sz w:val="24"/>
          <w:szCs w:val="24"/>
        </w:rPr>
        <w:t xml:space="preserve">a </w:t>
      </w:r>
      <w:r w:rsidR="005450EC">
        <w:rPr>
          <w:rFonts w:ascii="Times New Roman" w:hAnsi="Times New Roman" w:cs="Times New Roman"/>
          <w:color w:val="000000" w:themeColor="text1"/>
          <w:sz w:val="24"/>
          <w:szCs w:val="24"/>
        </w:rPr>
        <w:t>l</w:t>
      </w:r>
      <w:r w:rsidR="00CE401B" w:rsidRPr="00F60A11">
        <w:rPr>
          <w:rFonts w:ascii="Times New Roman" w:hAnsi="Times New Roman" w:cs="Times New Roman"/>
          <w:color w:val="000000" w:themeColor="text1"/>
          <w:sz w:val="24"/>
          <w:szCs w:val="24"/>
        </w:rPr>
        <w:t xml:space="preserve">ow </w:t>
      </w:r>
      <w:r w:rsidRPr="00F60A11">
        <w:rPr>
          <w:rFonts w:ascii="Times New Roman" w:hAnsi="Times New Roman" w:cs="Times New Roman"/>
          <w:color w:val="000000" w:themeColor="text1"/>
          <w:sz w:val="24"/>
          <w:szCs w:val="24"/>
        </w:rPr>
        <w:t>number of gas-exporting and -importing countries (</w:t>
      </w:r>
      <w:r w:rsidR="00CE401B">
        <w:rPr>
          <w:rFonts w:ascii="Times New Roman" w:hAnsi="Times New Roman" w:cs="Times New Roman"/>
          <w:color w:val="000000" w:themeColor="text1"/>
          <w:sz w:val="24"/>
          <w:szCs w:val="24"/>
        </w:rPr>
        <w:t xml:space="preserve">see </w:t>
      </w:r>
      <w:r w:rsidR="008242B1" w:rsidRPr="00F60A11">
        <w:rPr>
          <w:rFonts w:ascii="Times New Roman" w:hAnsi="Times New Roman" w:cs="Times New Roman"/>
          <w:color w:val="000000" w:themeColor="text1"/>
          <w:sz w:val="24"/>
          <w:szCs w:val="24"/>
        </w:rPr>
        <w:fldChar w:fldCharType="begin"/>
      </w:r>
      <w:r w:rsidR="008242B1" w:rsidRPr="00F60A11">
        <w:rPr>
          <w:rFonts w:ascii="Times New Roman" w:hAnsi="Times New Roman" w:cs="Times New Roman"/>
          <w:color w:val="000000" w:themeColor="text1"/>
          <w:sz w:val="24"/>
          <w:szCs w:val="24"/>
        </w:rPr>
        <w:instrText xml:space="preserve"> REF _Ref432173269 \h </w:instrText>
      </w:r>
      <w:r w:rsidR="008242B1" w:rsidRPr="00F60A11">
        <w:rPr>
          <w:rFonts w:ascii="Times New Roman" w:hAnsi="Times New Roman" w:cs="Times New Roman"/>
          <w:color w:val="000000" w:themeColor="text1"/>
          <w:sz w:val="24"/>
          <w:szCs w:val="24"/>
        </w:rPr>
      </w:r>
      <w:r w:rsidR="008242B1"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2</w:t>
      </w:r>
      <w:r w:rsidR="008242B1" w:rsidRPr="00F60A11">
        <w:rPr>
          <w:rFonts w:ascii="Times New Roman" w:hAnsi="Times New Roman" w:cs="Times New Roman"/>
          <w:color w:val="000000" w:themeColor="text1"/>
          <w:sz w:val="24"/>
          <w:szCs w:val="24"/>
        </w:rPr>
        <w:fldChar w:fldCharType="end"/>
      </w:r>
      <w:r w:rsidR="00BF46A1"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16 sellers and 18 buyers). By 2000, these numbers had more than doubled to 34 gas exporters and 56 gas importers. By 201</w:t>
      </w:r>
      <w:r w:rsidR="00636C7F" w:rsidRPr="00F60A11">
        <w:rPr>
          <w:rFonts w:ascii="Times New Roman" w:hAnsi="Times New Roman" w:cs="Times New Roman"/>
          <w:color w:val="000000" w:themeColor="text1"/>
          <w:sz w:val="24"/>
          <w:szCs w:val="24"/>
        </w:rPr>
        <w:t>6</w:t>
      </w:r>
      <w:r w:rsidRPr="00F60A11">
        <w:rPr>
          <w:rFonts w:ascii="Times New Roman" w:hAnsi="Times New Roman" w:cs="Times New Roman"/>
          <w:color w:val="000000" w:themeColor="text1"/>
          <w:sz w:val="24"/>
          <w:szCs w:val="24"/>
        </w:rPr>
        <w:t xml:space="preserve">, the market structure was dominated by </w:t>
      </w:r>
      <w:r w:rsidR="00574143" w:rsidRPr="00F60A11">
        <w:rPr>
          <w:rFonts w:ascii="Times New Roman" w:hAnsi="Times New Roman" w:cs="Times New Roman"/>
          <w:color w:val="000000" w:themeColor="text1"/>
          <w:sz w:val="24"/>
          <w:szCs w:val="24"/>
        </w:rPr>
        <w:t>buyers</w:t>
      </w:r>
      <w:r w:rsidRPr="00F60A11">
        <w:rPr>
          <w:rFonts w:ascii="Times New Roman" w:hAnsi="Times New Roman" w:cs="Times New Roman"/>
          <w:color w:val="000000" w:themeColor="text1"/>
          <w:sz w:val="24"/>
          <w:szCs w:val="24"/>
        </w:rPr>
        <w:t xml:space="preserve">; the number of exporters had reached </w:t>
      </w:r>
      <w:r w:rsidR="00C10DC0" w:rsidRPr="00F60A11">
        <w:rPr>
          <w:rFonts w:ascii="Times New Roman" w:hAnsi="Times New Roman" w:cs="Times New Roman"/>
          <w:color w:val="000000" w:themeColor="text1"/>
          <w:sz w:val="24"/>
          <w:szCs w:val="24"/>
        </w:rPr>
        <w:t>51</w:t>
      </w:r>
      <w:r w:rsidR="00CE401B">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while the number of buyers had increased to </w:t>
      </w:r>
      <w:r w:rsidR="00C10DC0" w:rsidRPr="00F60A11">
        <w:rPr>
          <w:rFonts w:ascii="Times New Roman" w:hAnsi="Times New Roman" w:cs="Times New Roman"/>
          <w:color w:val="000000" w:themeColor="text1"/>
          <w:sz w:val="24"/>
          <w:szCs w:val="24"/>
        </w:rPr>
        <w:t>8</w:t>
      </w:r>
      <w:r w:rsidRPr="00F60A11">
        <w:rPr>
          <w:rFonts w:ascii="Times New Roman" w:hAnsi="Times New Roman" w:cs="Times New Roman"/>
          <w:color w:val="000000" w:themeColor="text1"/>
          <w:sz w:val="24"/>
          <w:szCs w:val="24"/>
        </w:rPr>
        <w:t>1 (IEA, 20</w:t>
      </w:r>
      <w:r w:rsidR="00C10DC0" w:rsidRPr="00F60A11">
        <w:rPr>
          <w:rFonts w:ascii="Times New Roman" w:hAnsi="Times New Roman" w:cs="Times New Roman"/>
          <w:color w:val="000000" w:themeColor="text1"/>
          <w:sz w:val="24"/>
          <w:szCs w:val="24"/>
        </w:rPr>
        <w:t>17</w:t>
      </w:r>
      <w:r w:rsidRPr="00F60A11">
        <w:rPr>
          <w:rFonts w:ascii="Times New Roman" w:hAnsi="Times New Roman" w:cs="Times New Roman"/>
          <w:color w:val="000000" w:themeColor="text1"/>
          <w:sz w:val="24"/>
          <w:szCs w:val="24"/>
        </w:rPr>
        <w:t>).</w:t>
      </w:r>
    </w:p>
    <w:p w14:paraId="540C8EA8" w14:textId="352E0832" w:rsidR="008A3C6B"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We could argue that overall, the market has witnessed a dramatic increase in the total number of participants. Traditionally, the gas markets have been regional in nature, reflecting large-scale infrastructure investments along the whole value chain and the capital requirements to build transport pipeline networks to supply gas to end </w:t>
      </w:r>
      <w:r w:rsidR="00AC3FE4" w:rsidRPr="00F60A11">
        <w:rPr>
          <w:rFonts w:ascii="Times New Roman" w:hAnsi="Times New Roman" w:cs="Times New Roman"/>
          <w:color w:val="000000" w:themeColor="text1"/>
          <w:sz w:val="24"/>
          <w:szCs w:val="24"/>
        </w:rPr>
        <w:t>consumers</w:t>
      </w:r>
      <w:r w:rsidRPr="00F60A11">
        <w:rPr>
          <w:rFonts w:ascii="Times New Roman" w:hAnsi="Times New Roman" w:cs="Times New Roman"/>
          <w:color w:val="000000" w:themeColor="text1"/>
          <w:sz w:val="24"/>
          <w:szCs w:val="24"/>
        </w:rPr>
        <w:t>. This means that the effective number of trading partners in each of the regional markets</w:t>
      </w:r>
      <w:r w:rsidR="0056677D">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North America, Europe and Asia</w:t>
      </w:r>
      <w:r w:rsidR="0056677D">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is in fact substantially lower. However, these regional markets have become increasingly linked by gas trade via seaborne routes, using liquefied natural gas (LNG) vessels to trade gas over greater distances. From the late 1960s until the </w:t>
      </w:r>
      <w:r w:rsidR="00740652" w:rsidRPr="00F60A11">
        <w:rPr>
          <w:rFonts w:ascii="Times New Roman" w:hAnsi="Times New Roman" w:cs="Times New Roman"/>
          <w:color w:val="000000" w:themeColor="text1"/>
          <w:sz w:val="24"/>
          <w:szCs w:val="24"/>
        </w:rPr>
        <w:t>mid-2000s</w:t>
      </w:r>
      <w:r w:rsidRPr="00F60A11">
        <w:rPr>
          <w:rFonts w:ascii="Times New Roman" w:hAnsi="Times New Roman" w:cs="Times New Roman"/>
          <w:color w:val="000000" w:themeColor="text1"/>
          <w:sz w:val="24"/>
          <w:szCs w:val="24"/>
        </w:rPr>
        <w:t xml:space="preserve">, there was a general trend of cost reduction due to technological improvements across the whole LNG value chain (Stern, 2006; Greaker and Sagen, 2008). </w:t>
      </w:r>
      <w:r w:rsidR="004B5525">
        <w:rPr>
          <w:rFonts w:ascii="Times New Roman" w:hAnsi="Times New Roman" w:cs="Times New Roman"/>
          <w:color w:val="000000" w:themeColor="text1"/>
          <w:sz w:val="24"/>
          <w:szCs w:val="24"/>
        </w:rPr>
        <w:t>C</w:t>
      </w:r>
      <w:r w:rsidRPr="00F60A11">
        <w:rPr>
          <w:rFonts w:ascii="Times New Roman" w:hAnsi="Times New Roman" w:cs="Times New Roman"/>
          <w:color w:val="000000" w:themeColor="text1"/>
          <w:sz w:val="24"/>
          <w:szCs w:val="24"/>
        </w:rPr>
        <w:t xml:space="preserve">oupled with demand uptake in remote consumption centres relative to production locations, </w:t>
      </w:r>
      <w:r w:rsidR="004B5525">
        <w:rPr>
          <w:rFonts w:ascii="Times New Roman" w:hAnsi="Times New Roman" w:cs="Times New Roman"/>
          <w:color w:val="000000" w:themeColor="text1"/>
          <w:sz w:val="24"/>
          <w:szCs w:val="24"/>
        </w:rPr>
        <w:t xml:space="preserve">this </w:t>
      </w:r>
      <w:r w:rsidRPr="00F60A11">
        <w:rPr>
          <w:rFonts w:ascii="Times New Roman" w:hAnsi="Times New Roman" w:cs="Times New Roman"/>
          <w:color w:val="000000" w:themeColor="text1"/>
          <w:sz w:val="24"/>
          <w:szCs w:val="24"/>
        </w:rPr>
        <w:t>allowed LNG to emerge as one of the fastest-growing internationally traded commodities over 1960–201</w:t>
      </w:r>
      <w:r w:rsidR="000A6AB2" w:rsidRPr="00F60A11">
        <w:rPr>
          <w:rFonts w:ascii="Times New Roman" w:hAnsi="Times New Roman" w:cs="Times New Roman"/>
          <w:color w:val="000000" w:themeColor="text1"/>
          <w:sz w:val="24"/>
          <w:szCs w:val="24"/>
        </w:rPr>
        <w:t>6</w:t>
      </w:r>
      <w:r w:rsidRPr="00F60A11">
        <w:rPr>
          <w:rFonts w:ascii="Times New Roman" w:hAnsi="Times New Roman" w:cs="Times New Roman"/>
          <w:color w:val="000000" w:themeColor="text1"/>
          <w:sz w:val="24"/>
          <w:szCs w:val="24"/>
        </w:rPr>
        <w:t>, when annual growth in LNG exports averaged 14% pa</w:t>
      </w:r>
      <w:r w:rsidRPr="00F60A11">
        <w:rPr>
          <w:rStyle w:val="FootnoteReference"/>
          <w:rFonts w:ascii="Times New Roman" w:hAnsi="Times New Roman" w:cs="Times New Roman"/>
          <w:color w:val="000000" w:themeColor="text1"/>
          <w:sz w:val="24"/>
          <w:szCs w:val="24"/>
        </w:rPr>
        <w:footnoteReference w:id="3"/>
      </w:r>
      <w:r w:rsidR="004B5525">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Over this period, there was a proliferation of the number of LNG-exporting countries, starting with Algeria, the first LNG exporter: in 1975 there were only four exporters, whereas by 1995</w:t>
      </w:r>
      <w:r w:rsidR="004B5525">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this figure had reached eight, and by 2014</w:t>
      </w:r>
      <w:r w:rsidR="004B5525">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there were 20 LNG exporters (including re-exports from Europe</w:t>
      </w:r>
      <w:r w:rsidR="00A92ECE" w:rsidRPr="00F60A11">
        <w:rPr>
          <w:rFonts w:ascii="Times New Roman" w:hAnsi="Times New Roman" w:cs="Times New Roman"/>
          <w:color w:val="000000" w:themeColor="text1"/>
          <w:sz w:val="24"/>
          <w:szCs w:val="24"/>
        </w:rPr>
        <w:t>an countries to other markets</w:t>
      </w:r>
      <w:r w:rsidRPr="00F60A11">
        <w:rPr>
          <w:rFonts w:ascii="Times New Roman" w:hAnsi="Times New Roman" w:cs="Times New Roman"/>
          <w:color w:val="000000" w:themeColor="text1"/>
          <w:sz w:val="24"/>
          <w:szCs w:val="24"/>
        </w:rPr>
        <w:t>).</w:t>
      </w:r>
      <w:r w:rsidR="00DB1F5A"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Furthermore, and as </w:t>
      </w:r>
      <w:r w:rsidR="001A6692">
        <w:rPr>
          <w:rFonts w:ascii="Times New Roman" w:hAnsi="Times New Roman" w:cs="Times New Roman"/>
          <w:color w:val="000000" w:themeColor="text1"/>
          <w:sz w:val="24"/>
          <w:szCs w:val="24"/>
        </w:rPr>
        <w:t>I</w:t>
      </w:r>
      <w:r w:rsidRPr="00F60A11">
        <w:rPr>
          <w:rFonts w:ascii="Times New Roman" w:hAnsi="Times New Roman" w:cs="Times New Roman"/>
          <w:color w:val="000000" w:themeColor="text1"/>
          <w:sz w:val="24"/>
          <w:szCs w:val="24"/>
        </w:rPr>
        <w:t xml:space="preserve"> </w:t>
      </w:r>
      <w:r w:rsidR="004B5525">
        <w:rPr>
          <w:rFonts w:ascii="Times New Roman" w:hAnsi="Times New Roman" w:cs="Times New Roman"/>
          <w:color w:val="000000" w:themeColor="text1"/>
          <w:sz w:val="24"/>
          <w:szCs w:val="24"/>
        </w:rPr>
        <w:t>will</w:t>
      </w:r>
      <w:r w:rsidR="004B5525"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discuss below, LNG contracts are generally comparably smaller in terms of annual offtake quantity and shorter in duration than pipeline gas contracts. This suggests, among other things, that </w:t>
      </w:r>
      <w:r w:rsidR="004B5525">
        <w:rPr>
          <w:rFonts w:ascii="Times New Roman" w:hAnsi="Times New Roman" w:cs="Times New Roman"/>
          <w:color w:val="000000" w:themeColor="text1"/>
          <w:sz w:val="24"/>
          <w:szCs w:val="24"/>
        </w:rPr>
        <w:t>since</w:t>
      </w:r>
      <w:r w:rsidR="004B5525"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it is more flexible in terms of transport mode, LNG trade is less </w:t>
      </w:r>
      <w:r w:rsidR="004B5525" w:rsidRPr="00F60A11">
        <w:rPr>
          <w:rFonts w:ascii="Times New Roman" w:hAnsi="Times New Roman" w:cs="Times New Roman"/>
          <w:color w:val="000000" w:themeColor="text1"/>
          <w:sz w:val="24"/>
          <w:szCs w:val="24"/>
        </w:rPr>
        <w:t>asset</w:t>
      </w:r>
      <w:r w:rsidR="004B5525">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specific than trade via pipelines</w:t>
      </w:r>
      <w:r w:rsidR="007B285A" w:rsidRPr="00F60A11">
        <w:rPr>
          <w:rFonts w:ascii="Times New Roman" w:hAnsi="Times New Roman" w:cs="Times New Roman"/>
          <w:color w:val="000000" w:themeColor="text1"/>
          <w:sz w:val="24"/>
          <w:szCs w:val="24"/>
        </w:rPr>
        <w:t xml:space="preserve"> (see </w:t>
      </w:r>
      <w:r w:rsidR="007B285A" w:rsidRPr="00F60A11">
        <w:rPr>
          <w:rFonts w:ascii="Times New Roman" w:hAnsi="Times New Roman" w:cs="Times New Roman"/>
          <w:color w:val="000000" w:themeColor="text1"/>
          <w:sz w:val="24"/>
          <w:szCs w:val="24"/>
        </w:rPr>
        <w:fldChar w:fldCharType="begin"/>
      </w:r>
      <w:r w:rsidR="007B285A" w:rsidRPr="00F60A11">
        <w:rPr>
          <w:rFonts w:ascii="Times New Roman" w:hAnsi="Times New Roman" w:cs="Times New Roman"/>
          <w:color w:val="000000" w:themeColor="text1"/>
          <w:sz w:val="24"/>
          <w:szCs w:val="24"/>
        </w:rPr>
        <w:instrText xml:space="preserve"> REF _Ref520194554 \h </w:instrText>
      </w:r>
      <w:r w:rsidR="007B285A" w:rsidRPr="00F60A11">
        <w:rPr>
          <w:rFonts w:ascii="Times New Roman" w:hAnsi="Times New Roman" w:cs="Times New Roman"/>
          <w:color w:val="000000" w:themeColor="text1"/>
          <w:sz w:val="24"/>
          <w:szCs w:val="24"/>
        </w:rPr>
      </w:r>
      <w:r w:rsidR="007B285A"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1</w:t>
      </w:r>
      <w:r w:rsidR="007B285A" w:rsidRPr="00F60A11">
        <w:rPr>
          <w:rFonts w:ascii="Times New Roman" w:hAnsi="Times New Roman" w:cs="Times New Roman"/>
          <w:color w:val="000000" w:themeColor="text1"/>
          <w:sz w:val="24"/>
          <w:szCs w:val="24"/>
        </w:rPr>
        <w:fldChar w:fldCharType="end"/>
      </w:r>
      <w:r w:rsidR="007B285A" w:rsidRPr="00F60A11">
        <w:rPr>
          <w:rFonts w:ascii="Times New Roman" w:hAnsi="Times New Roman" w:cs="Times New Roman"/>
          <w:color w:val="000000" w:themeColor="text1"/>
          <w:sz w:val="24"/>
          <w:szCs w:val="24"/>
        </w:rPr>
        <w:t>, for example</w:t>
      </w:r>
      <w:r w:rsidR="004B5525">
        <w:rPr>
          <w:rFonts w:ascii="Times New Roman" w:hAnsi="Times New Roman" w:cs="Times New Roman"/>
          <w:color w:val="000000" w:themeColor="text1"/>
          <w:sz w:val="24"/>
          <w:szCs w:val="24"/>
        </w:rPr>
        <w:t>.</w:t>
      </w:r>
      <w:r w:rsidR="007B285A" w:rsidRPr="00F60A11">
        <w:rPr>
          <w:rFonts w:ascii="Times New Roman" w:hAnsi="Times New Roman" w:cs="Times New Roman"/>
          <w:color w:val="000000" w:themeColor="text1"/>
          <w:sz w:val="24"/>
          <w:szCs w:val="24"/>
        </w:rPr>
        <w:t xml:space="preserve"> </w:t>
      </w:r>
      <w:r w:rsidR="00A400E8" w:rsidRPr="00F60A11">
        <w:rPr>
          <w:rFonts w:ascii="Times New Roman" w:hAnsi="Times New Roman" w:cs="Times New Roman"/>
          <w:color w:val="000000" w:themeColor="text1"/>
          <w:sz w:val="24"/>
          <w:szCs w:val="24"/>
        </w:rPr>
        <w:t xml:space="preserve">the </w:t>
      </w:r>
      <w:r w:rsidR="007B285A" w:rsidRPr="00F60A11">
        <w:rPr>
          <w:rFonts w:ascii="Times New Roman" w:hAnsi="Times New Roman" w:cs="Times New Roman"/>
          <w:color w:val="000000" w:themeColor="text1"/>
          <w:sz w:val="24"/>
          <w:szCs w:val="24"/>
        </w:rPr>
        <w:t>average duration of LTCs and share of LNG/pipeline contracts in recent periods in Europe)</w:t>
      </w:r>
      <w:r w:rsidRPr="00F60A11">
        <w:rPr>
          <w:rFonts w:ascii="Times New Roman" w:hAnsi="Times New Roman" w:cs="Times New Roman"/>
          <w:color w:val="000000" w:themeColor="text1"/>
          <w:sz w:val="24"/>
          <w:szCs w:val="24"/>
        </w:rPr>
        <w:t>. Therefore, the uptake in LNG trade not only increased the effective number of trading partners but also introduced more flexibility to both sides of the market</w:t>
      </w:r>
      <w:r w:rsidR="002E529D" w:rsidRPr="00F60A11">
        <w:rPr>
          <w:rFonts w:ascii="Times New Roman" w:hAnsi="Times New Roman" w:cs="Times New Roman"/>
          <w:color w:val="000000" w:themeColor="text1"/>
          <w:sz w:val="24"/>
          <w:szCs w:val="24"/>
        </w:rPr>
        <w:t xml:space="preserve">, thereby reducing </w:t>
      </w:r>
      <w:r w:rsidR="004B5525">
        <w:rPr>
          <w:rFonts w:ascii="Times New Roman" w:hAnsi="Times New Roman" w:cs="Times New Roman"/>
          <w:color w:val="000000" w:themeColor="text1"/>
          <w:sz w:val="24"/>
          <w:szCs w:val="24"/>
        </w:rPr>
        <w:t xml:space="preserve">the </w:t>
      </w:r>
      <w:r w:rsidR="00BA5B74" w:rsidRPr="00F60A11">
        <w:rPr>
          <w:rFonts w:ascii="Times New Roman" w:hAnsi="Times New Roman" w:cs="Times New Roman"/>
          <w:color w:val="000000" w:themeColor="text1"/>
          <w:sz w:val="24"/>
          <w:szCs w:val="24"/>
        </w:rPr>
        <w:t>degree of specificity of international gas trade.</w:t>
      </w:r>
      <w:r w:rsidR="0018030E" w:rsidRPr="00F60A11">
        <w:rPr>
          <w:rFonts w:ascii="Times New Roman" w:hAnsi="Times New Roman" w:cs="Times New Roman"/>
          <w:color w:val="000000" w:themeColor="text1"/>
          <w:sz w:val="24"/>
          <w:szCs w:val="24"/>
        </w:rPr>
        <w:t xml:space="preserve"> Europe has fully taken advantage of this development in</w:t>
      </w:r>
      <w:r w:rsidR="008A3E02" w:rsidRPr="00F60A11">
        <w:rPr>
          <w:rFonts w:ascii="Times New Roman" w:hAnsi="Times New Roman" w:cs="Times New Roman"/>
          <w:color w:val="000000" w:themeColor="text1"/>
          <w:sz w:val="24"/>
          <w:szCs w:val="24"/>
        </w:rPr>
        <w:t xml:space="preserve"> the</w:t>
      </w:r>
      <w:r w:rsidR="0018030E" w:rsidRPr="00F60A11">
        <w:rPr>
          <w:rFonts w:ascii="Times New Roman" w:hAnsi="Times New Roman" w:cs="Times New Roman"/>
          <w:color w:val="000000" w:themeColor="text1"/>
          <w:sz w:val="24"/>
          <w:szCs w:val="24"/>
        </w:rPr>
        <w:t xml:space="preserve"> LNG trade</w:t>
      </w:r>
      <w:r w:rsidR="00C35E8A" w:rsidRPr="00F60A11">
        <w:rPr>
          <w:rFonts w:ascii="Times New Roman" w:hAnsi="Times New Roman" w:cs="Times New Roman"/>
          <w:color w:val="000000" w:themeColor="text1"/>
          <w:sz w:val="24"/>
          <w:szCs w:val="24"/>
        </w:rPr>
        <w:t xml:space="preserve">. </w:t>
      </w:r>
      <w:r w:rsidR="008A3C6B" w:rsidRPr="00F60A11">
        <w:rPr>
          <w:rFonts w:ascii="Times New Roman" w:hAnsi="Times New Roman" w:cs="Times New Roman"/>
          <w:color w:val="000000" w:themeColor="text1"/>
          <w:sz w:val="24"/>
          <w:szCs w:val="24"/>
        </w:rPr>
        <w:fldChar w:fldCharType="begin"/>
      </w:r>
      <w:r w:rsidR="008A3C6B" w:rsidRPr="00F60A11">
        <w:rPr>
          <w:rFonts w:ascii="Times New Roman" w:hAnsi="Times New Roman" w:cs="Times New Roman"/>
          <w:color w:val="000000" w:themeColor="text1"/>
          <w:sz w:val="24"/>
          <w:szCs w:val="24"/>
        </w:rPr>
        <w:instrText xml:space="preserve"> REF _Ref519941615 \h </w:instrText>
      </w:r>
      <w:r w:rsidR="008A3C6B" w:rsidRPr="00F60A11">
        <w:rPr>
          <w:rFonts w:ascii="Times New Roman" w:hAnsi="Times New Roman" w:cs="Times New Roman"/>
          <w:color w:val="000000" w:themeColor="text1"/>
          <w:sz w:val="24"/>
          <w:szCs w:val="24"/>
        </w:rPr>
      </w:r>
      <w:r w:rsidR="008A3C6B"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3</w:t>
      </w:r>
      <w:r w:rsidR="008A3C6B" w:rsidRPr="00F60A11">
        <w:rPr>
          <w:rFonts w:ascii="Times New Roman" w:hAnsi="Times New Roman" w:cs="Times New Roman"/>
          <w:color w:val="000000" w:themeColor="text1"/>
          <w:sz w:val="24"/>
          <w:szCs w:val="24"/>
        </w:rPr>
        <w:fldChar w:fldCharType="end"/>
      </w:r>
      <w:r w:rsidR="008A3C6B" w:rsidRPr="00F60A11">
        <w:rPr>
          <w:rFonts w:ascii="Times New Roman" w:hAnsi="Times New Roman" w:cs="Times New Roman"/>
          <w:color w:val="000000" w:themeColor="text1"/>
          <w:sz w:val="24"/>
          <w:szCs w:val="24"/>
        </w:rPr>
        <w:t xml:space="preserve"> outlines </w:t>
      </w:r>
      <w:r w:rsidR="004B5525">
        <w:rPr>
          <w:rFonts w:ascii="Times New Roman" w:hAnsi="Times New Roman" w:cs="Times New Roman"/>
          <w:color w:val="000000" w:themeColor="text1"/>
          <w:sz w:val="24"/>
          <w:szCs w:val="24"/>
        </w:rPr>
        <w:t xml:space="preserve">the </w:t>
      </w:r>
      <w:r w:rsidR="008A3C6B" w:rsidRPr="00F60A11">
        <w:rPr>
          <w:rFonts w:ascii="Times New Roman" w:hAnsi="Times New Roman" w:cs="Times New Roman"/>
          <w:color w:val="000000" w:themeColor="text1"/>
          <w:sz w:val="24"/>
          <w:szCs w:val="24"/>
        </w:rPr>
        <w:t xml:space="preserve">evolution of European gas import capacity by LNG and pipelines. </w:t>
      </w:r>
    </w:p>
    <w:p w14:paraId="36C988BB" w14:textId="6C8F3856" w:rsidR="00EE1AF6" w:rsidRPr="00F60A11" w:rsidRDefault="00EE1AF6" w:rsidP="00660B3D">
      <w:pPr>
        <w:spacing w:line="360" w:lineRule="auto"/>
        <w:ind w:firstLine="567"/>
        <w:rPr>
          <w:rFonts w:ascii="Times New Roman" w:hAnsi="Times New Roman" w:cs="Times New Roman"/>
          <w:color w:val="000000" w:themeColor="text1"/>
          <w:sz w:val="24"/>
          <w:szCs w:val="24"/>
        </w:rPr>
      </w:pPr>
    </w:p>
    <w:p w14:paraId="444338D3" w14:textId="2C2C436A" w:rsidR="000D3BB0" w:rsidRPr="00F60A11" w:rsidRDefault="000D3BB0" w:rsidP="000D3BB0">
      <w:pPr>
        <w:pStyle w:val="Caption"/>
        <w:spacing w:line="360" w:lineRule="auto"/>
        <w:ind w:firstLine="567"/>
        <w:rPr>
          <w:rFonts w:ascii="Times New Roman" w:hAnsi="Times New Roman" w:cs="Times New Roman"/>
          <w:color w:val="000000" w:themeColor="text1"/>
          <w:sz w:val="24"/>
          <w:szCs w:val="24"/>
        </w:rPr>
      </w:pPr>
      <w:bookmarkStart w:id="3" w:name="_Ref519941615"/>
      <w:r w:rsidRPr="00F60A11">
        <w:rPr>
          <w:rFonts w:ascii="Times New Roman" w:hAnsi="Times New Roman" w:cs="Times New Roman"/>
          <w:color w:val="000000" w:themeColor="text1"/>
          <w:sz w:val="24"/>
          <w:szCs w:val="24"/>
        </w:rPr>
        <w:t xml:space="preserve">Table </w:t>
      </w:r>
      <w:r w:rsidRPr="00F60A11">
        <w:rPr>
          <w:rFonts w:ascii="Times New Roman" w:hAnsi="Times New Roman" w:cs="Times New Roman"/>
          <w:color w:val="000000" w:themeColor="text1"/>
          <w:sz w:val="24"/>
          <w:szCs w:val="24"/>
        </w:rPr>
        <w:fldChar w:fldCharType="begin"/>
      </w:r>
      <w:r w:rsidRPr="00F60A11">
        <w:rPr>
          <w:rFonts w:ascii="Times New Roman" w:hAnsi="Times New Roman" w:cs="Times New Roman"/>
          <w:color w:val="000000" w:themeColor="text1"/>
          <w:sz w:val="24"/>
          <w:szCs w:val="24"/>
        </w:rPr>
        <w:instrText xml:space="preserve"> SEQ Table \* ARABIC </w:instrText>
      </w:r>
      <w:r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noProof/>
          <w:color w:val="000000" w:themeColor="text1"/>
          <w:sz w:val="24"/>
          <w:szCs w:val="24"/>
        </w:rPr>
        <w:t>3</w:t>
      </w:r>
      <w:r w:rsidRPr="00F60A11">
        <w:rPr>
          <w:rFonts w:ascii="Times New Roman" w:hAnsi="Times New Roman" w:cs="Times New Roman"/>
          <w:color w:val="000000" w:themeColor="text1"/>
          <w:sz w:val="24"/>
          <w:szCs w:val="24"/>
        </w:rPr>
        <w:fldChar w:fldCharType="end"/>
      </w:r>
      <w:bookmarkEnd w:id="3"/>
      <w:r w:rsidRPr="00F60A11">
        <w:rPr>
          <w:rFonts w:ascii="Times New Roman" w:hAnsi="Times New Roman" w:cs="Times New Roman"/>
          <w:color w:val="000000" w:themeColor="text1"/>
          <w:sz w:val="24"/>
          <w:szCs w:val="24"/>
        </w:rPr>
        <w:t xml:space="preserve">: </w:t>
      </w:r>
      <w:r w:rsidR="00FB767E" w:rsidRPr="00F60A11">
        <w:rPr>
          <w:rFonts w:ascii="Times New Roman" w:hAnsi="Times New Roman" w:cs="Times New Roman"/>
          <w:color w:val="000000" w:themeColor="text1"/>
          <w:sz w:val="24"/>
          <w:szCs w:val="24"/>
        </w:rPr>
        <w:t xml:space="preserve">Breaking up pipeline oligopoly in Europe: </w:t>
      </w:r>
      <w:r w:rsidR="004B5525">
        <w:rPr>
          <w:rFonts w:ascii="Times New Roman" w:hAnsi="Times New Roman" w:cs="Times New Roman"/>
          <w:color w:val="000000" w:themeColor="text1"/>
          <w:sz w:val="24"/>
          <w:szCs w:val="24"/>
        </w:rPr>
        <w:t>T</w:t>
      </w:r>
      <w:r w:rsidR="004B5525" w:rsidRPr="00F60A11">
        <w:rPr>
          <w:rFonts w:ascii="Times New Roman" w:hAnsi="Times New Roman" w:cs="Times New Roman"/>
          <w:color w:val="000000" w:themeColor="text1"/>
          <w:sz w:val="24"/>
          <w:szCs w:val="24"/>
        </w:rPr>
        <w:t xml:space="preserve">he </w:t>
      </w:r>
      <w:r w:rsidR="00FB767E" w:rsidRPr="00F60A11">
        <w:rPr>
          <w:rFonts w:ascii="Times New Roman" w:hAnsi="Times New Roman" w:cs="Times New Roman"/>
          <w:color w:val="000000" w:themeColor="text1"/>
          <w:sz w:val="24"/>
          <w:szCs w:val="24"/>
        </w:rPr>
        <w:t>r</w:t>
      </w:r>
      <w:r w:rsidR="001D6FA9" w:rsidRPr="00F60A11">
        <w:rPr>
          <w:rFonts w:ascii="Times New Roman" w:hAnsi="Times New Roman" w:cs="Times New Roman"/>
          <w:color w:val="000000" w:themeColor="text1"/>
          <w:sz w:val="24"/>
          <w:szCs w:val="24"/>
        </w:rPr>
        <w:t>ole of LNG</w:t>
      </w:r>
    </w:p>
    <w:tbl>
      <w:tblPr>
        <w:tblW w:w="9776" w:type="dxa"/>
        <w:jc w:val="center"/>
        <w:tblLook w:val="04A0" w:firstRow="1" w:lastRow="0" w:firstColumn="1" w:lastColumn="0" w:noHBand="0" w:noVBand="1"/>
      </w:tblPr>
      <w:tblGrid>
        <w:gridCol w:w="6096"/>
        <w:gridCol w:w="1249"/>
        <w:gridCol w:w="1297"/>
        <w:gridCol w:w="1134"/>
      </w:tblGrid>
      <w:tr w:rsidR="004337C2" w:rsidRPr="00F60A11" w14:paraId="701E9426" w14:textId="77777777" w:rsidTr="008C4C58">
        <w:trPr>
          <w:trHeight w:val="300"/>
          <w:jc w:val="center"/>
        </w:trPr>
        <w:tc>
          <w:tcPr>
            <w:tcW w:w="6096" w:type="dxa"/>
            <w:tcBorders>
              <w:top w:val="single" w:sz="4" w:space="0" w:color="auto"/>
              <w:bottom w:val="single" w:sz="4" w:space="0" w:color="auto"/>
            </w:tcBorders>
            <w:shd w:val="clear" w:color="auto" w:fill="auto"/>
            <w:noWrap/>
            <w:vAlign w:val="bottom"/>
            <w:hideMark/>
          </w:tcPr>
          <w:p w14:paraId="40337D41" w14:textId="77777777" w:rsidR="00F20682" w:rsidRPr="00F60A11" w:rsidRDefault="00F20682" w:rsidP="00F20682">
            <w:pPr>
              <w:rPr>
                <w:rFonts w:ascii="Times New Roman" w:eastAsia="Times New Roman" w:hAnsi="Times New Roman" w:cs="Times New Roman"/>
                <w:color w:val="000000" w:themeColor="text1"/>
                <w:sz w:val="24"/>
                <w:szCs w:val="24"/>
                <w:lang w:eastAsia="en-GB"/>
              </w:rPr>
            </w:pPr>
          </w:p>
        </w:tc>
        <w:tc>
          <w:tcPr>
            <w:tcW w:w="1249" w:type="dxa"/>
            <w:tcBorders>
              <w:top w:val="single" w:sz="4" w:space="0" w:color="auto"/>
              <w:bottom w:val="single" w:sz="4" w:space="0" w:color="auto"/>
            </w:tcBorders>
            <w:shd w:val="clear" w:color="auto" w:fill="auto"/>
            <w:noWrap/>
            <w:vAlign w:val="bottom"/>
            <w:hideMark/>
          </w:tcPr>
          <w:p w14:paraId="125902C7"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1999</w:t>
            </w:r>
          </w:p>
        </w:tc>
        <w:tc>
          <w:tcPr>
            <w:tcW w:w="1297" w:type="dxa"/>
            <w:tcBorders>
              <w:top w:val="single" w:sz="4" w:space="0" w:color="auto"/>
              <w:bottom w:val="single" w:sz="4" w:space="0" w:color="auto"/>
            </w:tcBorders>
            <w:shd w:val="clear" w:color="auto" w:fill="auto"/>
            <w:noWrap/>
            <w:vAlign w:val="bottom"/>
            <w:hideMark/>
          </w:tcPr>
          <w:p w14:paraId="7BCC4FCD"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2006</w:t>
            </w:r>
          </w:p>
        </w:tc>
        <w:tc>
          <w:tcPr>
            <w:tcW w:w="1134" w:type="dxa"/>
            <w:tcBorders>
              <w:top w:val="single" w:sz="4" w:space="0" w:color="auto"/>
              <w:bottom w:val="single" w:sz="4" w:space="0" w:color="auto"/>
            </w:tcBorders>
            <w:shd w:val="clear" w:color="auto" w:fill="auto"/>
            <w:noWrap/>
            <w:vAlign w:val="bottom"/>
            <w:hideMark/>
          </w:tcPr>
          <w:p w14:paraId="681E5E8F"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2016</w:t>
            </w:r>
          </w:p>
        </w:tc>
      </w:tr>
      <w:tr w:rsidR="004337C2" w:rsidRPr="00F60A11" w14:paraId="3E926184" w14:textId="77777777" w:rsidTr="008C4C58">
        <w:trPr>
          <w:trHeight w:val="300"/>
          <w:jc w:val="center"/>
        </w:trPr>
        <w:tc>
          <w:tcPr>
            <w:tcW w:w="6096" w:type="dxa"/>
            <w:tcBorders>
              <w:top w:val="single" w:sz="4" w:space="0" w:color="auto"/>
            </w:tcBorders>
            <w:shd w:val="clear" w:color="auto" w:fill="auto"/>
            <w:noWrap/>
            <w:vAlign w:val="bottom"/>
            <w:hideMark/>
          </w:tcPr>
          <w:p w14:paraId="60266DD7" w14:textId="4B8003A1" w:rsidR="00F20682" w:rsidRPr="00F60A11" w:rsidRDefault="00F20682" w:rsidP="00F20682">
            <w:pPr>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lastRenderedPageBreak/>
              <w:t>LNG import capacity: Total</w:t>
            </w:r>
            <w:r w:rsidR="00EA3BD8" w:rsidRPr="00F60A11">
              <w:rPr>
                <w:rFonts w:ascii="Times New Roman" w:eastAsia="Times New Roman" w:hAnsi="Times New Roman" w:cs="Times New Roman"/>
                <w:b/>
                <w:bCs/>
                <w:color w:val="000000" w:themeColor="text1"/>
                <w:sz w:val="24"/>
                <w:szCs w:val="24"/>
                <w:lang w:eastAsia="en-GB"/>
              </w:rPr>
              <w:t xml:space="preserve"> (bcm)</w:t>
            </w:r>
          </w:p>
        </w:tc>
        <w:tc>
          <w:tcPr>
            <w:tcW w:w="1249" w:type="dxa"/>
            <w:tcBorders>
              <w:top w:val="single" w:sz="4" w:space="0" w:color="auto"/>
            </w:tcBorders>
            <w:shd w:val="clear" w:color="auto" w:fill="auto"/>
            <w:noWrap/>
            <w:vAlign w:val="bottom"/>
            <w:hideMark/>
          </w:tcPr>
          <w:p w14:paraId="3D50AAA5"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64.3</w:t>
            </w:r>
          </w:p>
        </w:tc>
        <w:tc>
          <w:tcPr>
            <w:tcW w:w="1297" w:type="dxa"/>
            <w:tcBorders>
              <w:top w:val="single" w:sz="4" w:space="0" w:color="auto"/>
            </w:tcBorders>
            <w:shd w:val="clear" w:color="auto" w:fill="auto"/>
            <w:noWrap/>
            <w:vAlign w:val="bottom"/>
            <w:hideMark/>
          </w:tcPr>
          <w:p w14:paraId="5AAF581A"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90.9</w:t>
            </w:r>
          </w:p>
        </w:tc>
        <w:tc>
          <w:tcPr>
            <w:tcW w:w="1134" w:type="dxa"/>
            <w:tcBorders>
              <w:top w:val="single" w:sz="4" w:space="0" w:color="auto"/>
            </w:tcBorders>
            <w:shd w:val="clear" w:color="auto" w:fill="auto"/>
            <w:noWrap/>
            <w:vAlign w:val="bottom"/>
            <w:hideMark/>
          </w:tcPr>
          <w:p w14:paraId="13D3C752"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225.6</w:t>
            </w:r>
          </w:p>
        </w:tc>
      </w:tr>
      <w:tr w:rsidR="004337C2" w:rsidRPr="00F60A11" w14:paraId="68B0DF6D" w14:textId="77777777" w:rsidTr="008C4C58">
        <w:trPr>
          <w:trHeight w:val="300"/>
          <w:jc w:val="center"/>
        </w:trPr>
        <w:tc>
          <w:tcPr>
            <w:tcW w:w="6096" w:type="dxa"/>
            <w:shd w:val="clear" w:color="auto" w:fill="auto"/>
            <w:noWrap/>
            <w:vAlign w:val="bottom"/>
            <w:hideMark/>
          </w:tcPr>
          <w:p w14:paraId="10B3DECC"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Belgium</w:t>
            </w:r>
          </w:p>
        </w:tc>
        <w:tc>
          <w:tcPr>
            <w:tcW w:w="1249" w:type="dxa"/>
            <w:shd w:val="clear" w:color="auto" w:fill="auto"/>
            <w:noWrap/>
            <w:vAlign w:val="bottom"/>
            <w:hideMark/>
          </w:tcPr>
          <w:p w14:paraId="5F76E36B"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5.5</w:t>
            </w:r>
          </w:p>
        </w:tc>
        <w:tc>
          <w:tcPr>
            <w:tcW w:w="1297" w:type="dxa"/>
            <w:shd w:val="clear" w:color="auto" w:fill="auto"/>
            <w:noWrap/>
            <w:vAlign w:val="bottom"/>
            <w:hideMark/>
          </w:tcPr>
          <w:p w14:paraId="6EFF5942"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5.5</w:t>
            </w:r>
          </w:p>
        </w:tc>
        <w:tc>
          <w:tcPr>
            <w:tcW w:w="1134" w:type="dxa"/>
            <w:shd w:val="clear" w:color="auto" w:fill="auto"/>
            <w:noWrap/>
            <w:vAlign w:val="bottom"/>
            <w:hideMark/>
          </w:tcPr>
          <w:p w14:paraId="55102D90"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9.5</w:t>
            </w:r>
          </w:p>
        </w:tc>
      </w:tr>
      <w:tr w:rsidR="004337C2" w:rsidRPr="00F60A11" w14:paraId="0033A5CD" w14:textId="77777777" w:rsidTr="008C4C58">
        <w:trPr>
          <w:trHeight w:val="300"/>
          <w:jc w:val="center"/>
        </w:trPr>
        <w:tc>
          <w:tcPr>
            <w:tcW w:w="6096" w:type="dxa"/>
            <w:shd w:val="clear" w:color="auto" w:fill="auto"/>
            <w:noWrap/>
            <w:vAlign w:val="bottom"/>
            <w:hideMark/>
          </w:tcPr>
          <w:p w14:paraId="64784AF0"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France</w:t>
            </w:r>
          </w:p>
        </w:tc>
        <w:tc>
          <w:tcPr>
            <w:tcW w:w="1249" w:type="dxa"/>
            <w:shd w:val="clear" w:color="auto" w:fill="auto"/>
            <w:noWrap/>
            <w:vAlign w:val="bottom"/>
            <w:hideMark/>
          </w:tcPr>
          <w:p w14:paraId="75DFBA11"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17.9</w:t>
            </w:r>
          </w:p>
        </w:tc>
        <w:tc>
          <w:tcPr>
            <w:tcW w:w="1297" w:type="dxa"/>
            <w:shd w:val="clear" w:color="auto" w:fill="auto"/>
            <w:noWrap/>
            <w:vAlign w:val="bottom"/>
            <w:hideMark/>
          </w:tcPr>
          <w:p w14:paraId="22F2190F"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17.9</w:t>
            </w:r>
          </w:p>
        </w:tc>
        <w:tc>
          <w:tcPr>
            <w:tcW w:w="1134" w:type="dxa"/>
            <w:shd w:val="clear" w:color="auto" w:fill="auto"/>
            <w:noWrap/>
            <w:vAlign w:val="bottom"/>
            <w:hideMark/>
          </w:tcPr>
          <w:p w14:paraId="3CB82A18"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36.2</w:t>
            </w:r>
          </w:p>
        </w:tc>
      </w:tr>
      <w:tr w:rsidR="004337C2" w:rsidRPr="00F60A11" w14:paraId="0C230FD5" w14:textId="77777777" w:rsidTr="008C4C58">
        <w:trPr>
          <w:trHeight w:val="300"/>
          <w:jc w:val="center"/>
        </w:trPr>
        <w:tc>
          <w:tcPr>
            <w:tcW w:w="6096" w:type="dxa"/>
            <w:shd w:val="clear" w:color="auto" w:fill="auto"/>
            <w:noWrap/>
            <w:vAlign w:val="bottom"/>
            <w:hideMark/>
          </w:tcPr>
          <w:p w14:paraId="586C5D19"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Greece</w:t>
            </w:r>
          </w:p>
        </w:tc>
        <w:tc>
          <w:tcPr>
            <w:tcW w:w="1249" w:type="dxa"/>
            <w:shd w:val="clear" w:color="auto" w:fill="auto"/>
            <w:noWrap/>
            <w:vAlign w:val="bottom"/>
            <w:hideMark/>
          </w:tcPr>
          <w:p w14:paraId="503C67B1"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297" w:type="dxa"/>
            <w:shd w:val="clear" w:color="auto" w:fill="auto"/>
            <w:noWrap/>
            <w:vAlign w:val="bottom"/>
            <w:hideMark/>
          </w:tcPr>
          <w:p w14:paraId="3862D0D6"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1.4</w:t>
            </w:r>
          </w:p>
        </w:tc>
        <w:tc>
          <w:tcPr>
            <w:tcW w:w="1134" w:type="dxa"/>
            <w:shd w:val="clear" w:color="auto" w:fill="auto"/>
            <w:noWrap/>
            <w:vAlign w:val="bottom"/>
            <w:hideMark/>
          </w:tcPr>
          <w:p w14:paraId="41F26BEC"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5.2</w:t>
            </w:r>
          </w:p>
        </w:tc>
      </w:tr>
      <w:tr w:rsidR="004337C2" w:rsidRPr="00F60A11" w14:paraId="15624985" w14:textId="77777777" w:rsidTr="008C4C58">
        <w:trPr>
          <w:trHeight w:val="300"/>
          <w:jc w:val="center"/>
        </w:trPr>
        <w:tc>
          <w:tcPr>
            <w:tcW w:w="6096" w:type="dxa"/>
            <w:shd w:val="clear" w:color="auto" w:fill="auto"/>
            <w:noWrap/>
            <w:vAlign w:val="bottom"/>
            <w:hideMark/>
          </w:tcPr>
          <w:p w14:paraId="382322B7"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Italy</w:t>
            </w:r>
          </w:p>
        </w:tc>
        <w:tc>
          <w:tcPr>
            <w:tcW w:w="1249" w:type="dxa"/>
            <w:shd w:val="clear" w:color="auto" w:fill="auto"/>
            <w:noWrap/>
            <w:vAlign w:val="bottom"/>
            <w:hideMark/>
          </w:tcPr>
          <w:p w14:paraId="36F79322"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3.5</w:t>
            </w:r>
          </w:p>
        </w:tc>
        <w:tc>
          <w:tcPr>
            <w:tcW w:w="1297" w:type="dxa"/>
            <w:shd w:val="clear" w:color="auto" w:fill="auto"/>
            <w:noWrap/>
            <w:vAlign w:val="bottom"/>
            <w:hideMark/>
          </w:tcPr>
          <w:p w14:paraId="52D45239"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3.5</w:t>
            </w:r>
          </w:p>
        </w:tc>
        <w:tc>
          <w:tcPr>
            <w:tcW w:w="1134" w:type="dxa"/>
            <w:shd w:val="clear" w:color="auto" w:fill="auto"/>
            <w:noWrap/>
            <w:vAlign w:val="bottom"/>
            <w:hideMark/>
          </w:tcPr>
          <w:p w14:paraId="36632A80"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15.9</w:t>
            </w:r>
          </w:p>
        </w:tc>
      </w:tr>
      <w:tr w:rsidR="004337C2" w:rsidRPr="00F60A11" w14:paraId="363C9F5C" w14:textId="77777777" w:rsidTr="008C4C58">
        <w:trPr>
          <w:trHeight w:val="300"/>
          <w:jc w:val="center"/>
        </w:trPr>
        <w:tc>
          <w:tcPr>
            <w:tcW w:w="6096" w:type="dxa"/>
            <w:shd w:val="clear" w:color="auto" w:fill="auto"/>
            <w:noWrap/>
            <w:vAlign w:val="bottom"/>
            <w:hideMark/>
          </w:tcPr>
          <w:p w14:paraId="76AB1EB2"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Portugal</w:t>
            </w:r>
          </w:p>
        </w:tc>
        <w:tc>
          <w:tcPr>
            <w:tcW w:w="1249" w:type="dxa"/>
            <w:shd w:val="clear" w:color="auto" w:fill="auto"/>
            <w:noWrap/>
            <w:vAlign w:val="bottom"/>
            <w:hideMark/>
          </w:tcPr>
          <w:p w14:paraId="1DC59963"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297" w:type="dxa"/>
            <w:shd w:val="clear" w:color="auto" w:fill="auto"/>
            <w:noWrap/>
            <w:vAlign w:val="bottom"/>
            <w:hideMark/>
          </w:tcPr>
          <w:p w14:paraId="409A3538"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5.5</w:t>
            </w:r>
          </w:p>
        </w:tc>
        <w:tc>
          <w:tcPr>
            <w:tcW w:w="1134" w:type="dxa"/>
            <w:shd w:val="clear" w:color="auto" w:fill="auto"/>
            <w:noWrap/>
            <w:vAlign w:val="bottom"/>
            <w:hideMark/>
          </w:tcPr>
          <w:p w14:paraId="76F87F68"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8</w:t>
            </w:r>
          </w:p>
        </w:tc>
      </w:tr>
      <w:tr w:rsidR="004337C2" w:rsidRPr="00F60A11" w14:paraId="30B7BBAB" w14:textId="77777777" w:rsidTr="008C4C58">
        <w:trPr>
          <w:trHeight w:val="300"/>
          <w:jc w:val="center"/>
        </w:trPr>
        <w:tc>
          <w:tcPr>
            <w:tcW w:w="6096" w:type="dxa"/>
            <w:shd w:val="clear" w:color="auto" w:fill="auto"/>
            <w:noWrap/>
            <w:vAlign w:val="bottom"/>
            <w:hideMark/>
          </w:tcPr>
          <w:p w14:paraId="4EBA5986"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Spain</w:t>
            </w:r>
          </w:p>
        </w:tc>
        <w:tc>
          <w:tcPr>
            <w:tcW w:w="1249" w:type="dxa"/>
            <w:shd w:val="clear" w:color="auto" w:fill="auto"/>
            <w:noWrap/>
            <w:vAlign w:val="bottom"/>
            <w:hideMark/>
          </w:tcPr>
          <w:p w14:paraId="5E093FFF"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37.4</w:t>
            </w:r>
          </w:p>
        </w:tc>
        <w:tc>
          <w:tcPr>
            <w:tcW w:w="1297" w:type="dxa"/>
            <w:shd w:val="clear" w:color="auto" w:fill="auto"/>
            <w:noWrap/>
            <w:vAlign w:val="bottom"/>
            <w:hideMark/>
          </w:tcPr>
          <w:p w14:paraId="23E8FD12"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52.2</w:t>
            </w:r>
          </w:p>
        </w:tc>
        <w:tc>
          <w:tcPr>
            <w:tcW w:w="1134" w:type="dxa"/>
            <w:shd w:val="clear" w:color="auto" w:fill="auto"/>
            <w:noWrap/>
            <w:vAlign w:val="bottom"/>
            <w:hideMark/>
          </w:tcPr>
          <w:p w14:paraId="3C415070"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72.8</w:t>
            </w:r>
          </w:p>
        </w:tc>
      </w:tr>
      <w:tr w:rsidR="004337C2" w:rsidRPr="00F60A11" w14:paraId="7E054291" w14:textId="77777777" w:rsidTr="008C4C58">
        <w:trPr>
          <w:trHeight w:val="300"/>
          <w:jc w:val="center"/>
        </w:trPr>
        <w:tc>
          <w:tcPr>
            <w:tcW w:w="6096" w:type="dxa"/>
            <w:shd w:val="clear" w:color="auto" w:fill="auto"/>
            <w:noWrap/>
            <w:vAlign w:val="bottom"/>
            <w:hideMark/>
          </w:tcPr>
          <w:p w14:paraId="13A766F1"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UK</w:t>
            </w:r>
          </w:p>
        </w:tc>
        <w:tc>
          <w:tcPr>
            <w:tcW w:w="1249" w:type="dxa"/>
            <w:shd w:val="clear" w:color="auto" w:fill="auto"/>
            <w:noWrap/>
            <w:vAlign w:val="bottom"/>
            <w:hideMark/>
          </w:tcPr>
          <w:p w14:paraId="1824DA89"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297" w:type="dxa"/>
            <w:shd w:val="clear" w:color="auto" w:fill="auto"/>
            <w:noWrap/>
            <w:vAlign w:val="bottom"/>
            <w:hideMark/>
          </w:tcPr>
          <w:p w14:paraId="58E068F9"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4.9</w:t>
            </w:r>
          </w:p>
        </w:tc>
        <w:tc>
          <w:tcPr>
            <w:tcW w:w="1134" w:type="dxa"/>
            <w:shd w:val="clear" w:color="auto" w:fill="auto"/>
            <w:noWrap/>
            <w:vAlign w:val="bottom"/>
            <w:hideMark/>
          </w:tcPr>
          <w:p w14:paraId="342802EE"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55.2</w:t>
            </w:r>
          </w:p>
        </w:tc>
      </w:tr>
      <w:tr w:rsidR="004337C2" w:rsidRPr="00F60A11" w14:paraId="695E6428" w14:textId="77777777" w:rsidTr="008C4C58">
        <w:trPr>
          <w:trHeight w:val="300"/>
          <w:jc w:val="center"/>
        </w:trPr>
        <w:tc>
          <w:tcPr>
            <w:tcW w:w="6096" w:type="dxa"/>
            <w:shd w:val="clear" w:color="auto" w:fill="auto"/>
            <w:noWrap/>
            <w:vAlign w:val="bottom"/>
            <w:hideMark/>
          </w:tcPr>
          <w:p w14:paraId="2AD7BA46"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Lithuania</w:t>
            </w:r>
          </w:p>
        </w:tc>
        <w:tc>
          <w:tcPr>
            <w:tcW w:w="1249" w:type="dxa"/>
            <w:shd w:val="clear" w:color="auto" w:fill="auto"/>
            <w:noWrap/>
            <w:vAlign w:val="bottom"/>
            <w:hideMark/>
          </w:tcPr>
          <w:p w14:paraId="3111E42D"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297" w:type="dxa"/>
            <w:shd w:val="clear" w:color="auto" w:fill="auto"/>
            <w:noWrap/>
            <w:vAlign w:val="bottom"/>
            <w:hideMark/>
          </w:tcPr>
          <w:p w14:paraId="166B5689"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134" w:type="dxa"/>
            <w:shd w:val="clear" w:color="auto" w:fill="auto"/>
            <w:noWrap/>
            <w:vAlign w:val="bottom"/>
            <w:hideMark/>
          </w:tcPr>
          <w:p w14:paraId="2EE3847C"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4.2</w:t>
            </w:r>
          </w:p>
        </w:tc>
      </w:tr>
      <w:tr w:rsidR="004337C2" w:rsidRPr="00F60A11" w14:paraId="6270A691" w14:textId="77777777" w:rsidTr="008C4C58">
        <w:trPr>
          <w:trHeight w:val="300"/>
          <w:jc w:val="center"/>
        </w:trPr>
        <w:tc>
          <w:tcPr>
            <w:tcW w:w="6096" w:type="dxa"/>
            <w:shd w:val="clear" w:color="auto" w:fill="auto"/>
            <w:noWrap/>
            <w:vAlign w:val="bottom"/>
            <w:hideMark/>
          </w:tcPr>
          <w:p w14:paraId="65354DF0"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Netherlands</w:t>
            </w:r>
          </w:p>
        </w:tc>
        <w:tc>
          <w:tcPr>
            <w:tcW w:w="1249" w:type="dxa"/>
            <w:shd w:val="clear" w:color="auto" w:fill="auto"/>
            <w:noWrap/>
            <w:vAlign w:val="bottom"/>
            <w:hideMark/>
          </w:tcPr>
          <w:p w14:paraId="48FBD03F"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297" w:type="dxa"/>
            <w:shd w:val="clear" w:color="auto" w:fill="auto"/>
            <w:noWrap/>
            <w:vAlign w:val="bottom"/>
            <w:hideMark/>
          </w:tcPr>
          <w:p w14:paraId="7F70D57A"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134" w:type="dxa"/>
            <w:shd w:val="clear" w:color="auto" w:fill="auto"/>
            <w:noWrap/>
            <w:vAlign w:val="bottom"/>
            <w:hideMark/>
          </w:tcPr>
          <w:p w14:paraId="26BAAC4C"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12.7</w:t>
            </w:r>
          </w:p>
        </w:tc>
      </w:tr>
      <w:tr w:rsidR="004337C2" w:rsidRPr="00F60A11" w14:paraId="42683C0C" w14:textId="77777777" w:rsidTr="008C4C58">
        <w:trPr>
          <w:trHeight w:val="300"/>
          <w:jc w:val="center"/>
        </w:trPr>
        <w:tc>
          <w:tcPr>
            <w:tcW w:w="6096" w:type="dxa"/>
            <w:shd w:val="clear" w:color="auto" w:fill="auto"/>
            <w:noWrap/>
            <w:vAlign w:val="bottom"/>
            <w:hideMark/>
          </w:tcPr>
          <w:p w14:paraId="16B2E30B"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Poland</w:t>
            </w:r>
          </w:p>
        </w:tc>
        <w:tc>
          <w:tcPr>
            <w:tcW w:w="1249" w:type="dxa"/>
            <w:shd w:val="clear" w:color="auto" w:fill="auto"/>
            <w:noWrap/>
            <w:vAlign w:val="bottom"/>
            <w:hideMark/>
          </w:tcPr>
          <w:p w14:paraId="67BCD2B8"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297" w:type="dxa"/>
            <w:shd w:val="clear" w:color="auto" w:fill="auto"/>
            <w:noWrap/>
            <w:vAlign w:val="bottom"/>
            <w:hideMark/>
          </w:tcPr>
          <w:p w14:paraId="51ECBFC0"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134" w:type="dxa"/>
            <w:shd w:val="clear" w:color="auto" w:fill="auto"/>
            <w:noWrap/>
            <w:vAlign w:val="bottom"/>
            <w:hideMark/>
          </w:tcPr>
          <w:p w14:paraId="0284F99A"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5.3</w:t>
            </w:r>
          </w:p>
        </w:tc>
      </w:tr>
      <w:tr w:rsidR="004337C2" w:rsidRPr="00F60A11" w14:paraId="6C2DD472" w14:textId="77777777" w:rsidTr="008C4C58">
        <w:trPr>
          <w:trHeight w:val="300"/>
          <w:jc w:val="center"/>
        </w:trPr>
        <w:tc>
          <w:tcPr>
            <w:tcW w:w="6096" w:type="dxa"/>
            <w:tcBorders>
              <w:bottom w:val="single" w:sz="4" w:space="0" w:color="auto"/>
            </w:tcBorders>
            <w:shd w:val="clear" w:color="auto" w:fill="auto"/>
            <w:noWrap/>
            <w:vAlign w:val="bottom"/>
            <w:hideMark/>
          </w:tcPr>
          <w:p w14:paraId="33D46D8E"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Sweden</w:t>
            </w:r>
          </w:p>
        </w:tc>
        <w:tc>
          <w:tcPr>
            <w:tcW w:w="1249" w:type="dxa"/>
            <w:tcBorders>
              <w:bottom w:val="single" w:sz="4" w:space="0" w:color="auto"/>
            </w:tcBorders>
            <w:shd w:val="clear" w:color="auto" w:fill="auto"/>
            <w:noWrap/>
            <w:vAlign w:val="bottom"/>
            <w:hideMark/>
          </w:tcPr>
          <w:p w14:paraId="777BBF38"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297" w:type="dxa"/>
            <w:tcBorders>
              <w:bottom w:val="single" w:sz="4" w:space="0" w:color="auto"/>
            </w:tcBorders>
            <w:shd w:val="clear" w:color="auto" w:fill="auto"/>
            <w:noWrap/>
            <w:vAlign w:val="bottom"/>
            <w:hideMark/>
          </w:tcPr>
          <w:p w14:paraId="6163B0FE"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w:t>
            </w:r>
          </w:p>
        </w:tc>
        <w:tc>
          <w:tcPr>
            <w:tcW w:w="1134" w:type="dxa"/>
            <w:tcBorders>
              <w:bottom w:val="single" w:sz="4" w:space="0" w:color="auto"/>
            </w:tcBorders>
            <w:shd w:val="clear" w:color="auto" w:fill="auto"/>
            <w:noWrap/>
            <w:vAlign w:val="bottom"/>
            <w:hideMark/>
          </w:tcPr>
          <w:p w14:paraId="4889DE9C"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0.6</w:t>
            </w:r>
          </w:p>
        </w:tc>
      </w:tr>
      <w:tr w:rsidR="004337C2" w:rsidRPr="00F60A11" w14:paraId="2B6AA561" w14:textId="77777777" w:rsidTr="008C4C58">
        <w:trPr>
          <w:trHeight w:val="300"/>
          <w:jc w:val="center"/>
        </w:trPr>
        <w:tc>
          <w:tcPr>
            <w:tcW w:w="6096" w:type="dxa"/>
            <w:tcBorders>
              <w:top w:val="single" w:sz="4" w:space="0" w:color="auto"/>
            </w:tcBorders>
            <w:shd w:val="clear" w:color="auto" w:fill="auto"/>
            <w:noWrap/>
            <w:vAlign w:val="bottom"/>
            <w:hideMark/>
          </w:tcPr>
          <w:p w14:paraId="295B638B" w14:textId="0DDA7473" w:rsidR="00F20682" w:rsidRPr="00F60A11" w:rsidRDefault="00F20682" w:rsidP="00F20682">
            <w:pPr>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Pipeline import capacity: Total</w:t>
            </w:r>
            <w:r w:rsidR="00EA3BD8" w:rsidRPr="00F60A11">
              <w:rPr>
                <w:rFonts w:ascii="Times New Roman" w:eastAsia="Times New Roman" w:hAnsi="Times New Roman" w:cs="Times New Roman"/>
                <w:b/>
                <w:bCs/>
                <w:color w:val="000000" w:themeColor="text1"/>
                <w:sz w:val="24"/>
                <w:szCs w:val="24"/>
                <w:lang w:eastAsia="en-GB"/>
              </w:rPr>
              <w:t xml:space="preserve"> (bcm)</w:t>
            </w:r>
          </w:p>
        </w:tc>
        <w:tc>
          <w:tcPr>
            <w:tcW w:w="1249" w:type="dxa"/>
            <w:tcBorders>
              <w:top w:val="single" w:sz="4" w:space="0" w:color="auto"/>
            </w:tcBorders>
            <w:shd w:val="clear" w:color="auto" w:fill="auto"/>
            <w:noWrap/>
            <w:vAlign w:val="bottom"/>
            <w:hideMark/>
          </w:tcPr>
          <w:p w14:paraId="32068771"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321.2</w:t>
            </w:r>
          </w:p>
        </w:tc>
        <w:tc>
          <w:tcPr>
            <w:tcW w:w="1297" w:type="dxa"/>
            <w:tcBorders>
              <w:top w:val="single" w:sz="4" w:space="0" w:color="auto"/>
            </w:tcBorders>
            <w:shd w:val="clear" w:color="auto" w:fill="auto"/>
            <w:noWrap/>
            <w:vAlign w:val="bottom"/>
            <w:hideMark/>
          </w:tcPr>
          <w:p w14:paraId="3F86B984"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332.2</w:t>
            </w:r>
          </w:p>
        </w:tc>
        <w:tc>
          <w:tcPr>
            <w:tcW w:w="1134" w:type="dxa"/>
            <w:tcBorders>
              <w:top w:val="single" w:sz="4" w:space="0" w:color="auto"/>
            </w:tcBorders>
            <w:shd w:val="clear" w:color="auto" w:fill="auto"/>
            <w:noWrap/>
            <w:vAlign w:val="bottom"/>
            <w:hideMark/>
          </w:tcPr>
          <w:p w14:paraId="2E87D106"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421.2</w:t>
            </w:r>
          </w:p>
        </w:tc>
      </w:tr>
      <w:tr w:rsidR="004337C2" w:rsidRPr="00F60A11" w14:paraId="6BDAE5EA" w14:textId="77777777" w:rsidTr="008C4C58">
        <w:trPr>
          <w:trHeight w:val="300"/>
          <w:jc w:val="center"/>
        </w:trPr>
        <w:tc>
          <w:tcPr>
            <w:tcW w:w="6096" w:type="dxa"/>
            <w:shd w:val="clear" w:color="auto" w:fill="auto"/>
            <w:noWrap/>
            <w:vAlign w:val="bottom"/>
            <w:hideMark/>
          </w:tcPr>
          <w:p w14:paraId="355737AE"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Russia</w:t>
            </w:r>
          </w:p>
        </w:tc>
        <w:tc>
          <w:tcPr>
            <w:tcW w:w="1249" w:type="dxa"/>
            <w:shd w:val="clear" w:color="auto" w:fill="auto"/>
            <w:noWrap/>
            <w:vAlign w:val="bottom"/>
            <w:hideMark/>
          </w:tcPr>
          <w:p w14:paraId="6DFFE5F3"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175</w:t>
            </w:r>
          </w:p>
        </w:tc>
        <w:tc>
          <w:tcPr>
            <w:tcW w:w="1297" w:type="dxa"/>
            <w:shd w:val="clear" w:color="auto" w:fill="auto"/>
            <w:noWrap/>
            <w:vAlign w:val="bottom"/>
            <w:hideMark/>
          </w:tcPr>
          <w:p w14:paraId="0D259005"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175</w:t>
            </w:r>
          </w:p>
        </w:tc>
        <w:tc>
          <w:tcPr>
            <w:tcW w:w="1134" w:type="dxa"/>
            <w:shd w:val="clear" w:color="auto" w:fill="auto"/>
            <w:noWrap/>
            <w:vAlign w:val="bottom"/>
            <w:hideMark/>
          </w:tcPr>
          <w:p w14:paraId="7512C34A"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230</w:t>
            </w:r>
          </w:p>
        </w:tc>
      </w:tr>
      <w:tr w:rsidR="004337C2" w:rsidRPr="00F60A11" w14:paraId="23DA0983" w14:textId="77777777" w:rsidTr="008C4C58">
        <w:trPr>
          <w:trHeight w:val="300"/>
          <w:jc w:val="center"/>
        </w:trPr>
        <w:tc>
          <w:tcPr>
            <w:tcW w:w="6096" w:type="dxa"/>
            <w:shd w:val="clear" w:color="auto" w:fill="auto"/>
            <w:noWrap/>
            <w:vAlign w:val="bottom"/>
            <w:hideMark/>
          </w:tcPr>
          <w:p w14:paraId="47B341E9"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Norway</w:t>
            </w:r>
          </w:p>
        </w:tc>
        <w:tc>
          <w:tcPr>
            <w:tcW w:w="1249" w:type="dxa"/>
            <w:shd w:val="clear" w:color="auto" w:fill="auto"/>
            <w:noWrap/>
            <w:vAlign w:val="bottom"/>
            <w:hideMark/>
          </w:tcPr>
          <w:p w14:paraId="42F463E2"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104</w:t>
            </w:r>
          </w:p>
        </w:tc>
        <w:tc>
          <w:tcPr>
            <w:tcW w:w="1297" w:type="dxa"/>
            <w:shd w:val="clear" w:color="auto" w:fill="auto"/>
            <w:noWrap/>
            <w:vAlign w:val="bottom"/>
            <w:hideMark/>
          </w:tcPr>
          <w:p w14:paraId="34A89F95"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104</w:t>
            </w:r>
          </w:p>
        </w:tc>
        <w:tc>
          <w:tcPr>
            <w:tcW w:w="1134" w:type="dxa"/>
            <w:shd w:val="clear" w:color="auto" w:fill="auto"/>
            <w:noWrap/>
            <w:vAlign w:val="bottom"/>
            <w:hideMark/>
          </w:tcPr>
          <w:p w14:paraId="43FEDFBC"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130</w:t>
            </w:r>
          </w:p>
        </w:tc>
      </w:tr>
      <w:tr w:rsidR="004337C2" w:rsidRPr="00F60A11" w14:paraId="0C4240B9" w14:textId="77777777" w:rsidTr="008C4C58">
        <w:trPr>
          <w:trHeight w:val="300"/>
          <w:jc w:val="center"/>
        </w:trPr>
        <w:tc>
          <w:tcPr>
            <w:tcW w:w="6096" w:type="dxa"/>
            <w:shd w:val="clear" w:color="auto" w:fill="auto"/>
            <w:noWrap/>
            <w:vAlign w:val="bottom"/>
            <w:hideMark/>
          </w:tcPr>
          <w:p w14:paraId="7EABB4BD" w14:textId="77777777" w:rsidR="00F20682" w:rsidRPr="00F60A11" w:rsidRDefault="00F20682" w:rsidP="00510D36">
            <w:pPr>
              <w:ind w:firstLine="597"/>
              <w:rPr>
                <w:rFonts w:ascii="Times New Roman" w:eastAsia="Times New Roman" w:hAnsi="Times New Roman" w:cs="Times New Roman"/>
                <w:i/>
                <w:color w:val="000000" w:themeColor="text1"/>
                <w:sz w:val="24"/>
                <w:szCs w:val="24"/>
                <w:lang w:eastAsia="en-GB"/>
              </w:rPr>
            </w:pPr>
            <w:r w:rsidRPr="00F60A11">
              <w:rPr>
                <w:rFonts w:ascii="Times New Roman" w:eastAsia="Times New Roman" w:hAnsi="Times New Roman" w:cs="Times New Roman"/>
                <w:i/>
                <w:color w:val="000000" w:themeColor="text1"/>
                <w:sz w:val="24"/>
                <w:szCs w:val="24"/>
                <w:lang w:eastAsia="en-GB"/>
              </w:rPr>
              <w:t>North Africa</w:t>
            </w:r>
          </w:p>
        </w:tc>
        <w:tc>
          <w:tcPr>
            <w:tcW w:w="1249" w:type="dxa"/>
            <w:shd w:val="clear" w:color="auto" w:fill="auto"/>
            <w:noWrap/>
            <w:vAlign w:val="bottom"/>
            <w:hideMark/>
          </w:tcPr>
          <w:p w14:paraId="1C41A1CF"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42.2</w:t>
            </w:r>
          </w:p>
        </w:tc>
        <w:tc>
          <w:tcPr>
            <w:tcW w:w="1297" w:type="dxa"/>
            <w:shd w:val="clear" w:color="auto" w:fill="auto"/>
            <w:noWrap/>
            <w:vAlign w:val="bottom"/>
            <w:hideMark/>
          </w:tcPr>
          <w:p w14:paraId="1CE95273"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53.2</w:t>
            </w:r>
          </w:p>
        </w:tc>
        <w:tc>
          <w:tcPr>
            <w:tcW w:w="1134" w:type="dxa"/>
            <w:shd w:val="clear" w:color="auto" w:fill="auto"/>
            <w:noWrap/>
            <w:vAlign w:val="bottom"/>
            <w:hideMark/>
          </w:tcPr>
          <w:p w14:paraId="3E0CCDDC"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61.2</w:t>
            </w:r>
          </w:p>
        </w:tc>
      </w:tr>
      <w:tr w:rsidR="004337C2" w:rsidRPr="00F60A11" w14:paraId="53A55A11" w14:textId="77777777" w:rsidTr="008C4C58">
        <w:trPr>
          <w:trHeight w:val="300"/>
          <w:jc w:val="center"/>
        </w:trPr>
        <w:tc>
          <w:tcPr>
            <w:tcW w:w="6096" w:type="dxa"/>
            <w:tcBorders>
              <w:bottom w:val="single" w:sz="4" w:space="0" w:color="auto"/>
            </w:tcBorders>
            <w:shd w:val="clear" w:color="auto" w:fill="auto"/>
            <w:noWrap/>
            <w:vAlign w:val="bottom"/>
            <w:hideMark/>
          </w:tcPr>
          <w:p w14:paraId="64B9BDD7"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p>
        </w:tc>
        <w:tc>
          <w:tcPr>
            <w:tcW w:w="1249" w:type="dxa"/>
            <w:tcBorders>
              <w:bottom w:val="single" w:sz="4" w:space="0" w:color="auto"/>
            </w:tcBorders>
            <w:shd w:val="clear" w:color="auto" w:fill="auto"/>
            <w:noWrap/>
            <w:vAlign w:val="bottom"/>
            <w:hideMark/>
          </w:tcPr>
          <w:p w14:paraId="44B4C9A1" w14:textId="77777777" w:rsidR="00F20682" w:rsidRPr="00F60A11" w:rsidRDefault="00F20682" w:rsidP="00F20682">
            <w:pPr>
              <w:rPr>
                <w:rFonts w:ascii="Times New Roman" w:eastAsia="Times New Roman" w:hAnsi="Times New Roman" w:cs="Times New Roman"/>
                <w:color w:val="000000" w:themeColor="text1"/>
                <w:sz w:val="24"/>
                <w:szCs w:val="24"/>
                <w:lang w:eastAsia="en-GB"/>
              </w:rPr>
            </w:pPr>
          </w:p>
        </w:tc>
        <w:tc>
          <w:tcPr>
            <w:tcW w:w="1297" w:type="dxa"/>
            <w:tcBorders>
              <w:bottom w:val="single" w:sz="4" w:space="0" w:color="auto"/>
            </w:tcBorders>
            <w:shd w:val="clear" w:color="auto" w:fill="auto"/>
            <w:noWrap/>
            <w:vAlign w:val="bottom"/>
            <w:hideMark/>
          </w:tcPr>
          <w:p w14:paraId="66A80E3C" w14:textId="77777777" w:rsidR="00F20682" w:rsidRPr="00F60A11" w:rsidRDefault="00F20682" w:rsidP="00F20682">
            <w:pPr>
              <w:rPr>
                <w:rFonts w:ascii="Times New Roman" w:eastAsia="Times New Roman" w:hAnsi="Times New Roman" w:cs="Times New Roman"/>
                <w:color w:val="000000" w:themeColor="text1"/>
                <w:sz w:val="24"/>
                <w:szCs w:val="24"/>
                <w:lang w:eastAsia="en-GB"/>
              </w:rPr>
            </w:pPr>
          </w:p>
        </w:tc>
        <w:tc>
          <w:tcPr>
            <w:tcW w:w="1134" w:type="dxa"/>
            <w:tcBorders>
              <w:bottom w:val="single" w:sz="4" w:space="0" w:color="auto"/>
            </w:tcBorders>
            <w:shd w:val="clear" w:color="auto" w:fill="auto"/>
            <w:noWrap/>
            <w:vAlign w:val="bottom"/>
            <w:hideMark/>
          </w:tcPr>
          <w:p w14:paraId="58371173" w14:textId="77777777" w:rsidR="00F20682" w:rsidRPr="00F60A11" w:rsidRDefault="00F20682" w:rsidP="00F20682">
            <w:pPr>
              <w:rPr>
                <w:rFonts w:ascii="Times New Roman" w:eastAsia="Times New Roman" w:hAnsi="Times New Roman" w:cs="Times New Roman"/>
                <w:color w:val="000000" w:themeColor="text1"/>
                <w:sz w:val="24"/>
                <w:szCs w:val="24"/>
                <w:lang w:eastAsia="en-GB"/>
              </w:rPr>
            </w:pPr>
          </w:p>
        </w:tc>
      </w:tr>
      <w:tr w:rsidR="004337C2" w:rsidRPr="00F60A11" w14:paraId="14B276FF" w14:textId="77777777" w:rsidTr="008C4C58">
        <w:trPr>
          <w:trHeight w:val="300"/>
          <w:jc w:val="center"/>
        </w:trPr>
        <w:tc>
          <w:tcPr>
            <w:tcW w:w="6096" w:type="dxa"/>
            <w:tcBorders>
              <w:top w:val="single" w:sz="4" w:space="0" w:color="auto"/>
            </w:tcBorders>
            <w:shd w:val="clear" w:color="auto" w:fill="auto"/>
            <w:noWrap/>
            <w:vAlign w:val="bottom"/>
            <w:hideMark/>
          </w:tcPr>
          <w:p w14:paraId="097D3098" w14:textId="394BE49A" w:rsidR="00F20682" w:rsidRPr="00F60A11" w:rsidRDefault="00F20682" w:rsidP="00F20682">
            <w:pPr>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EU Consumption</w:t>
            </w:r>
            <w:r w:rsidR="00EA3BD8" w:rsidRPr="00F60A11">
              <w:rPr>
                <w:rFonts w:ascii="Times New Roman" w:eastAsia="Times New Roman" w:hAnsi="Times New Roman" w:cs="Times New Roman"/>
                <w:b/>
                <w:bCs/>
                <w:color w:val="000000" w:themeColor="text1"/>
                <w:sz w:val="24"/>
                <w:szCs w:val="24"/>
                <w:lang w:eastAsia="en-GB"/>
              </w:rPr>
              <w:t xml:space="preserve"> (bcm)</w:t>
            </w:r>
          </w:p>
        </w:tc>
        <w:tc>
          <w:tcPr>
            <w:tcW w:w="1249" w:type="dxa"/>
            <w:tcBorders>
              <w:top w:val="single" w:sz="4" w:space="0" w:color="auto"/>
            </w:tcBorders>
            <w:shd w:val="clear" w:color="auto" w:fill="auto"/>
            <w:noWrap/>
            <w:vAlign w:val="bottom"/>
            <w:hideMark/>
          </w:tcPr>
          <w:p w14:paraId="22BDF8B5"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460</w:t>
            </w:r>
          </w:p>
        </w:tc>
        <w:tc>
          <w:tcPr>
            <w:tcW w:w="1297" w:type="dxa"/>
            <w:tcBorders>
              <w:top w:val="single" w:sz="4" w:space="0" w:color="auto"/>
            </w:tcBorders>
            <w:shd w:val="clear" w:color="auto" w:fill="auto"/>
            <w:noWrap/>
            <w:vAlign w:val="bottom"/>
            <w:hideMark/>
          </w:tcPr>
          <w:p w14:paraId="6CFB0826"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512</w:t>
            </w:r>
          </w:p>
        </w:tc>
        <w:tc>
          <w:tcPr>
            <w:tcW w:w="1134" w:type="dxa"/>
            <w:tcBorders>
              <w:top w:val="single" w:sz="4" w:space="0" w:color="auto"/>
            </w:tcBorders>
            <w:shd w:val="clear" w:color="auto" w:fill="auto"/>
            <w:noWrap/>
            <w:vAlign w:val="bottom"/>
            <w:hideMark/>
          </w:tcPr>
          <w:p w14:paraId="7574962F"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r w:rsidRPr="00F60A11">
              <w:rPr>
                <w:rFonts w:ascii="Times New Roman" w:eastAsia="Times New Roman" w:hAnsi="Times New Roman" w:cs="Times New Roman"/>
                <w:b/>
                <w:bCs/>
                <w:color w:val="000000" w:themeColor="text1"/>
                <w:sz w:val="24"/>
                <w:szCs w:val="24"/>
                <w:lang w:eastAsia="en-GB"/>
              </w:rPr>
              <w:t>449</w:t>
            </w:r>
          </w:p>
        </w:tc>
      </w:tr>
      <w:tr w:rsidR="004337C2" w:rsidRPr="00F60A11" w14:paraId="7DE041EE" w14:textId="77777777" w:rsidTr="008C4C58">
        <w:trPr>
          <w:trHeight w:val="300"/>
          <w:jc w:val="center"/>
        </w:trPr>
        <w:tc>
          <w:tcPr>
            <w:tcW w:w="6096" w:type="dxa"/>
            <w:tcBorders>
              <w:bottom w:val="single" w:sz="4" w:space="0" w:color="auto"/>
            </w:tcBorders>
            <w:shd w:val="clear" w:color="auto" w:fill="auto"/>
            <w:noWrap/>
            <w:vAlign w:val="bottom"/>
            <w:hideMark/>
          </w:tcPr>
          <w:p w14:paraId="1D8BDA19" w14:textId="77777777" w:rsidR="00F20682" w:rsidRPr="00F60A11" w:rsidRDefault="00F20682" w:rsidP="00F20682">
            <w:pPr>
              <w:jc w:val="right"/>
              <w:rPr>
                <w:rFonts w:ascii="Times New Roman" w:eastAsia="Times New Roman" w:hAnsi="Times New Roman" w:cs="Times New Roman"/>
                <w:b/>
                <w:bCs/>
                <w:color w:val="000000" w:themeColor="text1"/>
                <w:sz w:val="24"/>
                <w:szCs w:val="24"/>
                <w:lang w:eastAsia="en-GB"/>
              </w:rPr>
            </w:pPr>
          </w:p>
        </w:tc>
        <w:tc>
          <w:tcPr>
            <w:tcW w:w="1249" w:type="dxa"/>
            <w:tcBorders>
              <w:bottom w:val="single" w:sz="4" w:space="0" w:color="auto"/>
            </w:tcBorders>
            <w:shd w:val="clear" w:color="auto" w:fill="auto"/>
            <w:noWrap/>
            <w:vAlign w:val="bottom"/>
            <w:hideMark/>
          </w:tcPr>
          <w:p w14:paraId="193AB32C" w14:textId="77777777" w:rsidR="00F20682" w:rsidRPr="00F60A11" w:rsidRDefault="00F20682" w:rsidP="00F20682">
            <w:pPr>
              <w:rPr>
                <w:rFonts w:ascii="Times New Roman" w:eastAsia="Times New Roman" w:hAnsi="Times New Roman" w:cs="Times New Roman"/>
                <w:color w:val="000000" w:themeColor="text1"/>
                <w:sz w:val="24"/>
                <w:szCs w:val="24"/>
                <w:lang w:eastAsia="en-GB"/>
              </w:rPr>
            </w:pPr>
          </w:p>
        </w:tc>
        <w:tc>
          <w:tcPr>
            <w:tcW w:w="1297" w:type="dxa"/>
            <w:tcBorders>
              <w:bottom w:val="single" w:sz="4" w:space="0" w:color="auto"/>
            </w:tcBorders>
            <w:shd w:val="clear" w:color="auto" w:fill="auto"/>
            <w:noWrap/>
            <w:vAlign w:val="bottom"/>
            <w:hideMark/>
          </w:tcPr>
          <w:p w14:paraId="7BF85A66" w14:textId="77777777" w:rsidR="00F20682" w:rsidRPr="00F60A11" w:rsidRDefault="00F20682" w:rsidP="00F20682">
            <w:pPr>
              <w:rPr>
                <w:rFonts w:ascii="Times New Roman" w:eastAsia="Times New Roman" w:hAnsi="Times New Roman" w:cs="Times New Roman"/>
                <w:color w:val="000000" w:themeColor="text1"/>
                <w:sz w:val="24"/>
                <w:szCs w:val="24"/>
                <w:lang w:eastAsia="en-GB"/>
              </w:rPr>
            </w:pPr>
          </w:p>
        </w:tc>
        <w:tc>
          <w:tcPr>
            <w:tcW w:w="1134" w:type="dxa"/>
            <w:tcBorders>
              <w:bottom w:val="single" w:sz="4" w:space="0" w:color="auto"/>
            </w:tcBorders>
            <w:shd w:val="clear" w:color="auto" w:fill="auto"/>
            <w:noWrap/>
            <w:vAlign w:val="bottom"/>
            <w:hideMark/>
          </w:tcPr>
          <w:p w14:paraId="01B0FCD6" w14:textId="77777777" w:rsidR="00F20682" w:rsidRPr="00F60A11" w:rsidRDefault="00F20682" w:rsidP="00F20682">
            <w:pPr>
              <w:rPr>
                <w:rFonts w:ascii="Times New Roman" w:eastAsia="Times New Roman" w:hAnsi="Times New Roman" w:cs="Times New Roman"/>
                <w:color w:val="000000" w:themeColor="text1"/>
                <w:sz w:val="24"/>
                <w:szCs w:val="24"/>
                <w:lang w:eastAsia="en-GB"/>
              </w:rPr>
            </w:pPr>
          </w:p>
        </w:tc>
      </w:tr>
      <w:tr w:rsidR="004337C2" w:rsidRPr="00F60A11" w14:paraId="540F7376" w14:textId="77777777" w:rsidTr="008C4C58">
        <w:trPr>
          <w:trHeight w:val="300"/>
          <w:jc w:val="center"/>
        </w:trPr>
        <w:tc>
          <w:tcPr>
            <w:tcW w:w="6096" w:type="dxa"/>
            <w:tcBorders>
              <w:top w:val="single" w:sz="4" w:space="0" w:color="auto"/>
            </w:tcBorders>
            <w:shd w:val="clear" w:color="auto" w:fill="auto"/>
            <w:noWrap/>
            <w:vAlign w:val="bottom"/>
            <w:hideMark/>
          </w:tcPr>
          <w:p w14:paraId="1F4E3D67" w14:textId="2807D66D" w:rsidR="00F20682" w:rsidRPr="00F60A11" w:rsidRDefault="00F20682" w:rsidP="00F20682">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 xml:space="preserve">Share of LNG capacity in </w:t>
            </w:r>
            <w:r w:rsidR="00AE3D1D" w:rsidRPr="00F60A11">
              <w:rPr>
                <w:rFonts w:ascii="Times New Roman" w:eastAsia="Times New Roman" w:hAnsi="Times New Roman" w:cs="Times New Roman"/>
                <w:color w:val="000000" w:themeColor="text1"/>
                <w:sz w:val="24"/>
                <w:szCs w:val="24"/>
                <w:lang w:eastAsia="en-GB"/>
              </w:rPr>
              <w:t xml:space="preserve">EU </w:t>
            </w:r>
            <w:r w:rsidRPr="00F60A11">
              <w:rPr>
                <w:rFonts w:ascii="Times New Roman" w:eastAsia="Times New Roman" w:hAnsi="Times New Roman" w:cs="Times New Roman"/>
                <w:color w:val="000000" w:themeColor="text1"/>
                <w:sz w:val="24"/>
                <w:szCs w:val="24"/>
                <w:lang w:eastAsia="en-GB"/>
              </w:rPr>
              <w:t>consumption</w:t>
            </w:r>
          </w:p>
        </w:tc>
        <w:tc>
          <w:tcPr>
            <w:tcW w:w="1249" w:type="dxa"/>
            <w:tcBorders>
              <w:top w:val="single" w:sz="4" w:space="0" w:color="auto"/>
            </w:tcBorders>
            <w:shd w:val="clear" w:color="auto" w:fill="auto"/>
            <w:noWrap/>
            <w:vAlign w:val="bottom"/>
            <w:hideMark/>
          </w:tcPr>
          <w:p w14:paraId="17965F3A"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14%</w:t>
            </w:r>
          </w:p>
        </w:tc>
        <w:tc>
          <w:tcPr>
            <w:tcW w:w="1297" w:type="dxa"/>
            <w:tcBorders>
              <w:top w:val="single" w:sz="4" w:space="0" w:color="auto"/>
            </w:tcBorders>
            <w:shd w:val="clear" w:color="auto" w:fill="auto"/>
            <w:noWrap/>
            <w:vAlign w:val="bottom"/>
            <w:hideMark/>
          </w:tcPr>
          <w:p w14:paraId="7ED0007E"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18%</w:t>
            </w:r>
          </w:p>
        </w:tc>
        <w:tc>
          <w:tcPr>
            <w:tcW w:w="1134" w:type="dxa"/>
            <w:tcBorders>
              <w:top w:val="single" w:sz="4" w:space="0" w:color="auto"/>
            </w:tcBorders>
            <w:shd w:val="clear" w:color="auto" w:fill="auto"/>
            <w:noWrap/>
            <w:vAlign w:val="bottom"/>
            <w:hideMark/>
          </w:tcPr>
          <w:p w14:paraId="0CAFEC78"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50%</w:t>
            </w:r>
          </w:p>
        </w:tc>
      </w:tr>
      <w:tr w:rsidR="004337C2" w:rsidRPr="00F60A11" w14:paraId="7582FC14" w14:textId="77777777" w:rsidTr="008C4C58">
        <w:trPr>
          <w:trHeight w:val="300"/>
          <w:jc w:val="center"/>
        </w:trPr>
        <w:tc>
          <w:tcPr>
            <w:tcW w:w="6096" w:type="dxa"/>
            <w:shd w:val="clear" w:color="auto" w:fill="auto"/>
            <w:noWrap/>
            <w:vAlign w:val="bottom"/>
            <w:hideMark/>
          </w:tcPr>
          <w:p w14:paraId="6FCD54B9" w14:textId="0FBDAD54" w:rsidR="00F20682" w:rsidRPr="00F60A11" w:rsidRDefault="00F20682" w:rsidP="00F20682">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 xml:space="preserve">Share of pipeline capacity in </w:t>
            </w:r>
            <w:r w:rsidR="00AE3D1D" w:rsidRPr="00F60A11">
              <w:rPr>
                <w:rFonts w:ascii="Times New Roman" w:eastAsia="Times New Roman" w:hAnsi="Times New Roman" w:cs="Times New Roman"/>
                <w:color w:val="000000" w:themeColor="text1"/>
                <w:sz w:val="24"/>
                <w:szCs w:val="24"/>
                <w:lang w:eastAsia="en-GB"/>
              </w:rPr>
              <w:t xml:space="preserve">EU </w:t>
            </w:r>
            <w:r w:rsidRPr="00F60A11">
              <w:rPr>
                <w:rFonts w:ascii="Times New Roman" w:eastAsia="Times New Roman" w:hAnsi="Times New Roman" w:cs="Times New Roman"/>
                <w:color w:val="000000" w:themeColor="text1"/>
                <w:sz w:val="24"/>
                <w:szCs w:val="24"/>
                <w:lang w:eastAsia="en-GB"/>
              </w:rPr>
              <w:t>consumption</w:t>
            </w:r>
          </w:p>
        </w:tc>
        <w:tc>
          <w:tcPr>
            <w:tcW w:w="1249" w:type="dxa"/>
            <w:shd w:val="clear" w:color="auto" w:fill="auto"/>
            <w:noWrap/>
            <w:vAlign w:val="bottom"/>
            <w:hideMark/>
          </w:tcPr>
          <w:p w14:paraId="33383BC3"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70%</w:t>
            </w:r>
          </w:p>
        </w:tc>
        <w:tc>
          <w:tcPr>
            <w:tcW w:w="1297" w:type="dxa"/>
            <w:shd w:val="clear" w:color="auto" w:fill="auto"/>
            <w:noWrap/>
            <w:vAlign w:val="bottom"/>
            <w:hideMark/>
          </w:tcPr>
          <w:p w14:paraId="0F5979BD"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65%</w:t>
            </w:r>
          </w:p>
        </w:tc>
        <w:tc>
          <w:tcPr>
            <w:tcW w:w="1134" w:type="dxa"/>
            <w:shd w:val="clear" w:color="auto" w:fill="auto"/>
            <w:noWrap/>
            <w:vAlign w:val="bottom"/>
            <w:hideMark/>
          </w:tcPr>
          <w:p w14:paraId="76A00F97"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94%</w:t>
            </w:r>
          </w:p>
        </w:tc>
      </w:tr>
      <w:tr w:rsidR="004337C2" w:rsidRPr="00F60A11" w14:paraId="35EF0614" w14:textId="77777777" w:rsidTr="008C4C58">
        <w:trPr>
          <w:trHeight w:val="300"/>
          <w:jc w:val="center"/>
        </w:trPr>
        <w:tc>
          <w:tcPr>
            <w:tcW w:w="6096" w:type="dxa"/>
            <w:shd w:val="clear" w:color="auto" w:fill="auto"/>
            <w:noWrap/>
            <w:vAlign w:val="bottom"/>
            <w:hideMark/>
          </w:tcPr>
          <w:p w14:paraId="7ACE168E" w14:textId="0131DD2B" w:rsidR="00F20682" w:rsidRPr="00F60A11" w:rsidRDefault="00F20682" w:rsidP="00F20682">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LNG import capacity (relative to 1999)</w:t>
            </w:r>
          </w:p>
        </w:tc>
        <w:tc>
          <w:tcPr>
            <w:tcW w:w="1249" w:type="dxa"/>
            <w:shd w:val="clear" w:color="auto" w:fill="auto"/>
            <w:noWrap/>
            <w:vAlign w:val="bottom"/>
            <w:hideMark/>
          </w:tcPr>
          <w:p w14:paraId="4F444F4E"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100%</w:t>
            </w:r>
          </w:p>
        </w:tc>
        <w:tc>
          <w:tcPr>
            <w:tcW w:w="1297" w:type="dxa"/>
            <w:shd w:val="clear" w:color="auto" w:fill="auto"/>
            <w:noWrap/>
            <w:vAlign w:val="bottom"/>
            <w:hideMark/>
          </w:tcPr>
          <w:p w14:paraId="0AA337C9"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141%</w:t>
            </w:r>
          </w:p>
        </w:tc>
        <w:tc>
          <w:tcPr>
            <w:tcW w:w="1134" w:type="dxa"/>
            <w:shd w:val="clear" w:color="auto" w:fill="auto"/>
            <w:noWrap/>
            <w:vAlign w:val="bottom"/>
            <w:hideMark/>
          </w:tcPr>
          <w:p w14:paraId="329FC255"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351%</w:t>
            </w:r>
          </w:p>
        </w:tc>
      </w:tr>
      <w:tr w:rsidR="004337C2" w:rsidRPr="00F60A11" w14:paraId="484C72A2" w14:textId="77777777" w:rsidTr="008C4C58">
        <w:trPr>
          <w:trHeight w:val="300"/>
          <w:jc w:val="center"/>
        </w:trPr>
        <w:tc>
          <w:tcPr>
            <w:tcW w:w="6096" w:type="dxa"/>
            <w:shd w:val="clear" w:color="auto" w:fill="auto"/>
            <w:noWrap/>
            <w:vAlign w:val="bottom"/>
            <w:hideMark/>
          </w:tcPr>
          <w:p w14:paraId="2DC906E2" w14:textId="1FA36F69" w:rsidR="00F20682" w:rsidRPr="00F60A11" w:rsidRDefault="00F20682" w:rsidP="00F20682">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Pipeline import capacity (relative to 1999)</w:t>
            </w:r>
          </w:p>
        </w:tc>
        <w:tc>
          <w:tcPr>
            <w:tcW w:w="1249" w:type="dxa"/>
            <w:shd w:val="clear" w:color="auto" w:fill="auto"/>
            <w:noWrap/>
            <w:vAlign w:val="bottom"/>
            <w:hideMark/>
          </w:tcPr>
          <w:p w14:paraId="1419C8DF"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100%</w:t>
            </w:r>
          </w:p>
        </w:tc>
        <w:tc>
          <w:tcPr>
            <w:tcW w:w="1297" w:type="dxa"/>
            <w:shd w:val="clear" w:color="auto" w:fill="auto"/>
            <w:noWrap/>
            <w:vAlign w:val="bottom"/>
            <w:hideMark/>
          </w:tcPr>
          <w:p w14:paraId="3C3BD267"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103%</w:t>
            </w:r>
          </w:p>
        </w:tc>
        <w:tc>
          <w:tcPr>
            <w:tcW w:w="1134" w:type="dxa"/>
            <w:shd w:val="clear" w:color="auto" w:fill="auto"/>
            <w:noWrap/>
            <w:vAlign w:val="bottom"/>
            <w:hideMark/>
          </w:tcPr>
          <w:p w14:paraId="5E038685" w14:textId="77777777" w:rsidR="00F20682" w:rsidRPr="00F60A11" w:rsidRDefault="00F20682"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131%</w:t>
            </w:r>
          </w:p>
        </w:tc>
      </w:tr>
      <w:tr w:rsidR="004337C2" w:rsidRPr="00F60A11" w14:paraId="6FA49085" w14:textId="77777777" w:rsidTr="008C4C58">
        <w:trPr>
          <w:trHeight w:val="300"/>
          <w:jc w:val="center"/>
        </w:trPr>
        <w:tc>
          <w:tcPr>
            <w:tcW w:w="6096" w:type="dxa"/>
            <w:tcBorders>
              <w:bottom w:val="single" w:sz="4" w:space="0" w:color="auto"/>
            </w:tcBorders>
            <w:shd w:val="clear" w:color="auto" w:fill="auto"/>
            <w:noWrap/>
            <w:vAlign w:val="bottom"/>
          </w:tcPr>
          <w:p w14:paraId="0FAD69A8" w14:textId="4AE78BDB" w:rsidR="00C964F8" w:rsidRPr="00F60A11" w:rsidRDefault="00C964F8" w:rsidP="00F20682">
            <w:pPr>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Number of LNG exporters</w:t>
            </w:r>
            <w:r w:rsidR="0087238E" w:rsidRPr="00F60A11">
              <w:rPr>
                <w:rFonts w:ascii="Times New Roman" w:eastAsia="Times New Roman" w:hAnsi="Times New Roman" w:cs="Times New Roman"/>
                <w:color w:val="000000" w:themeColor="text1"/>
                <w:sz w:val="24"/>
                <w:szCs w:val="24"/>
                <w:lang w:eastAsia="en-GB"/>
              </w:rPr>
              <w:t xml:space="preserve">: countries </w:t>
            </w:r>
            <w:r w:rsidR="0087238E" w:rsidRPr="00F60A11">
              <w:rPr>
                <w:rFonts w:ascii="Times New Roman" w:eastAsia="Times New Roman" w:hAnsi="Times New Roman" w:cs="Times New Roman"/>
                <w:i/>
                <w:color w:val="000000" w:themeColor="text1"/>
                <w:sz w:val="24"/>
                <w:szCs w:val="24"/>
                <w:lang w:eastAsia="en-GB"/>
              </w:rPr>
              <w:t>(export capacity, bcm)</w:t>
            </w:r>
          </w:p>
        </w:tc>
        <w:tc>
          <w:tcPr>
            <w:tcW w:w="1249" w:type="dxa"/>
            <w:tcBorders>
              <w:bottom w:val="single" w:sz="4" w:space="0" w:color="auto"/>
            </w:tcBorders>
            <w:shd w:val="clear" w:color="auto" w:fill="auto"/>
            <w:noWrap/>
            <w:vAlign w:val="bottom"/>
          </w:tcPr>
          <w:p w14:paraId="0ABB1AB7" w14:textId="79491657" w:rsidR="00C964F8" w:rsidRPr="00F60A11" w:rsidRDefault="00D147E3"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11</w:t>
            </w:r>
            <w:r w:rsidR="0087238E" w:rsidRPr="00F60A11">
              <w:rPr>
                <w:rFonts w:ascii="Times New Roman" w:eastAsia="Times New Roman" w:hAnsi="Times New Roman" w:cs="Times New Roman"/>
                <w:color w:val="000000" w:themeColor="text1"/>
                <w:sz w:val="24"/>
                <w:szCs w:val="24"/>
                <w:lang w:eastAsia="en-GB"/>
              </w:rPr>
              <w:t xml:space="preserve"> </w:t>
            </w:r>
            <w:r w:rsidR="0087238E" w:rsidRPr="00F60A11">
              <w:rPr>
                <w:rFonts w:ascii="Times New Roman" w:eastAsia="Times New Roman" w:hAnsi="Times New Roman" w:cs="Times New Roman"/>
                <w:i/>
                <w:color w:val="000000" w:themeColor="text1"/>
                <w:sz w:val="24"/>
                <w:szCs w:val="24"/>
                <w:lang w:eastAsia="en-GB"/>
              </w:rPr>
              <w:t>(14</w:t>
            </w:r>
            <w:r w:rsidR="007B16AB" w:rsidRPr="00F60A11">
              <w:rPr>
                <w:rFonts w:ascii="Times New Roman" w:eastAsia="Times New Roman" w:hAnsi="Times New Roman" w:cs="Times New Roman"/>
                <w:i/>
                <w:color w:val="000000" w:themeColor="text1"/>
                <w:sz w:val="24"/>
                <w:szCs w:val="24"/>
                <w:lang w:eastAsia="en-GB"/>
              </w:rPr>
              <w:t>5</w:t>
            </w:r>
            <w:r w:rsidR="0087238E" w:rsidRPr="00F60A11">
              <w:rPr>
                <w:rFonts w:ascii="Times New Roman" w:eastAsia="Times New Roman" w:hAnsi="Times New Roman" w:cs="Times New Roman"/>
                <w:i/>
                <w:color w:val="000000" w:themeColor="text1"/>
                <w:sz w:val="24"/>
                <w:szCs w:val="24"/>
                <w:lang w:eastAsia="en-GB"/>
              </w:rPr>
              <w:t>)</w:t>
            </w:r>
          </w:p>
        </w:tc>
        <w:tc>
          <w:tcPr>
            <w:tcW w:w="1297" w:type="dxa"/>
            <w:tcBorders>
              <w:bottom w:val="single" w:sz="4" w:space="0" w:color="auto"/>
            </w:tcBorders>
            <w:shd w:val="clear" w:color="auto" w:fill="auto"/>
            <w:noWrap/>
            <w:vAlign w:val="bottom"/>
          </w:tcPr>
          <w:p w14:paraId="46FC994D" w14:textId="303F610D" w:rsidR="00C964F8" w:rsidRPr="00F60A11" w:rsidRDefault="000C319F"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 xml:space="preserve">13 </w:t>
            </w:r>
            <w:r w:rsidRPr="00F60A11">
              <w:rPr>
                <w:rFonts w:ascii="Times New Roman" w:eastAsia="Times New Roman" w:hAnsi="Times New Roman" w:cs="Times New Roman"/>
                <w:i/>
                <w:color w:val="000000" w:themeColor="text1"/>
                <w:sz w:val="24"/>
                <w:szCs w:val="24"/>
                <w:lang w:eastAsia="en-GB"/>
              </w:rPr>
              <w:t>(</w:t>
            </w:r>
            <w:r w:rsidR="007B16AB" w:rsidRPr="00F60A11">
              <w:rPr>
                <w:rFonts w:ascii="Times New Roman" w:eastAsia="Times New Roman" w:hAnsi="Times New Roman" w:cs="Times New Roman"/>
                <w:i/>
                <w:color w:val="000000" w:themeColor="text1"/>
                <w:sz w:val="24"/>
                <w:szCs w:val="24"/>
                <w:lang w:eastAsia="en-GB"/>
              </w:rPr>
              <w:t>254)</w:t>
            </w:r>
          </w:p>
        </w:tc>
        <w:tc>
          <w:tcPr>
            <w:tcW w:w="1134" w:type="dxa"/>
            <w:tcBorders>
              <w:bottom w:val="single" w:sz="4" w:space="0" w:color="auto"/>
            </w:tcBorders>
            <w:shd w:val="clear" w:color="auto" w:fill="auto"/>
            <w:noWrap/>
            <w:vAlign w:val="bottom"/>
          </w:tcPr>
          <w:p w14:paraId="6391E900" w14:textId="087F6E35" w:rsidR="00C964F8" w:rsidRPr="00F60A11" w:rsidRDefault="001D23C9" w:rsidP="00F20682">
            <w:pPr>
              <w:jc w:val="right"/>
              <w:rPr>
                <w:rFonts w:ascii="Times New Roman" w:eastAsia="Times New Roman" w:hAnsi="Times New Roman" w:cs="Times New Roman"/>
                <w:color w:val="000000" w:themeColor="text1"/>
                <w:sz w:val="24"/>
                <w:szCs w:val="24"/>
                <w:lang w:eastAsia="en-GB"/>
              </w:rPr>
            </w:pPr>
            <w:r w:rsidRPr="00F60A11">
              <w:rPr>
                <w:rFonts w:ascii="Times New Roman" w:eastAsia="Times New Roman" w:hAnsi="Times New Roman" w:cs="Times New Roman"/>
                <w:color w:val="000000" w:themeColor="text1"/>
                <w:sz w:val="24"/>
                <w:szCs w:val="24"/>
                <w:lang w:eastAsia="en-GB"/>
              </w:rPr>
              <w:t xml:space="preserve">20 </w:t>
            </w:r>
            <w:r w:rsidRPr="00F60A11">
              <w:rPr>
                <w:rFonts w:ascii="Times New Roman" w:eastAsia="Times New Roman" w:hAnsi="Times New Roman" w:cs="Times New Roman"/>
                <w:i/>
                <w:color w:val="000000" w:themeColor="text1"/>
                <w:sz w:val="24"/>
                <w:szCs w:val="24"/>
                <w:lang w:eastAsia="en-GB"/>
              </w:rPr>
              <w:t>(</w:t>
            </w:r>
            <w:r w:rsidR="00BB3797" w:rsidRPr="00F60A11">
              <w:rPr>
                <w:rFonts w:ascii="Times New Roman" w:eastAsia="Times New Roman" w:hAnsi="Times New Roman" w:cs="Times New Roman"/>
                <w:i/>
                <w:color w:val="000000" w:themeColor="text1"/>
                <w:sz w:val="24"/>
                <w:szCs w:val="24"/>
                <w:lang w:eastAsia="en-GB"/>
              </w:rPr>
              <w:t>465</w:t>
            </w:r>
            <w:r w:rsidRPr="00F60A11">
              <w:rPr>
                <w:rFonts w:ascii="Times New Roman" w:eastAsia="Times New Roman" w:hAnsi="Times New Roman" w:cs="Times New Roman"/>
                <w:i/>
                <w:color w:val="000000" w:themeColor="text1"/>
                <w:sz w:val="24"/>
                <w:szCs w:val="24"/>
                <w:lang w:eastAsia="en-GB"/>
              </w:rPr>
              <w:t>)</w:t>
            </w:r>
          </w:p>
        </w:tc>
      </w:tr>
    </w:tbl>
    <w:p w14:paraId="1608D86A" w14:textId="392309FB" w:rsidR="008C4C58" w:rsidRPr="00F60A11" w:rsidRDefault="008C4C58" w:rsidP="008C4C58">
      <w:pPr>
        <w:pStyle w:val="NoSpacing"/>
        <w:rPr>
          <w:rFonts w:ascii="Times New Roman" w:hAnsi="Times New Roman" w:cs="Times New Roman"/>
          <w:i/>
          <w:color w:val="000000" w:themeColor="text1"/>
          <w:sz w:val="20"/>
          <w:szCs w:val="20"/>
        </w:rPr>
      </w:pPr>
      <w:r w:rsidRPr="00F60A11">
        <w:rPr>
          <w:rFonts w:ascii="Times New Roman" w:hAnsi="Times New Roman" w:cs="Times New Roman"/>
          <w:i/>
          <w:color w:val="000000" w:themeColor="text1"/>
          <w:sz w:val="20"/>
          <w:szCs w:val="20"/>
        </w:rPr>
        <w:t xml:space="preserve">Source: </w:t>
      </w:r>
      <w:r w:rsidR="003E042D" w:rsidRPr="00F60A11">
        <w:rPr>
          <w:rFonts w:ascii="Times New Roman" w:hAnsi="Times New Roman" w:cs="Times New Roman"/>
          <w:i/>
          <w:color w:val="000000" w:themeColor="text1"/>
          <w:sz w:val="20"/>
          <w:szCs w:val="20"/>
        </w:rPr>
        <w:t>BP (2018), IEA (</w:t>
      </w:r>
      <w:r w:rsidR="00CF4C67" w:rsidRPr="00F60A11">
        <w:rPr>
          <w:rFonts w:ascii="Times New Roman" w:hAnsi="Times New Roman" w:cs="Times New Roman"/>
          <w:i/>
          <w:color w:val="000000" w:themeColor="text1"/>
          <w:sz w:val="20"/>
          <w:szCs w:val="20"/>
        </w:rPr>
        <w:t>2000, 2007, 2017)</w:t>
      </w:r>
      <w:r w:rsidR="00AD6BB3" w:rsidRPr="00F60A11">
        <w:rPr>
          <w:rFonts w:ascii="Times New Roman" w:hAnsi="Times New Roman" w:cs="Times New Roman"/>
          <w:i/>
          <w:color w:val="000000" w:themeColor="text1"/>
          <w:sz w:val="20"/>
          <w:szCs w:val="20"/>
        </w:rPr>
        <w:t>; pipeline import capacity</w:t>
      </w:r>
      <w:r w:rsidR="0056677D">
        <w:rPr>
          <w:rFonts w:ascii="Times New Roman" w:hAnsi="Times New Roman" w:cs="Times New Roman"/>
          <w:i/>
          <w:color w:val="000000" w:themeColor="text1"/>
          <w:sz w:val="20"/>
          <w:szCs w:val="20"/>
        </w:rPr>
        <w:t>—</w:t>
      </w:r>
      <w:r w:rsidR="00AD6BB3" w:rsidRPr="00F60A11">
        <w:rPr>
          <w:rFonts w:ascii="Times New Roman" w:hAnsi="Times New Roman" w:cs="Times New Roman"/>
          <w:i/>
          <w:color w:val="000000" w:themeColor="text1"/>
          <w:sz w:val="20"/>
          <w:szCs w:val="20"/>
        </w:rPr>
        <w:t xml:space="preserve">author’s own assessment based on various websites </w:t>
      </w:r>
      <w:r w:rsidR="00711BF2" w:rsidRPr="00F60A11">
        <w:rPr>
          <w:rFonts w:ascii="Times New Roman" w:hAnsi="Times New Roman" w:cs="Times New Roman"/>
          <w:i/>
          <w:color w:val="000000" w:themeColor="text1"/>
          <w:sz w:val="20"/>
          <w:szCs w:val="20"/>
        </w:rPr>
        <w:t>of export pipelines</w:t>
      </w:r>
    </w:p>
    <w:p w14:paraId="2161BFF5" w14:textId="77777777" w:rsidR="00EE1AF6" w:rsidRPr="00F60A11" w:rsidRDefault="00EE1AF6" w:rsidP="00D14535">
      <w:pPr>
        <w:spacing w:line="360" w:lineRule="auto"/>
        <w:ind w:firstLine="567"/>
        <w:rPr>
          <w:rFonts w:ascii="Times New Roman" w:hAnsi="Times New Roman" w:cs="Times New Roman"/>
          <w:color w:val="000000" w:themeColor="text1"/>
          <w:sz w:val="24"/>
          <w:szCs w:val="24"/>
        </w:rPr>
      </w:pPr>
    </w:p>
    <w:p w14:paraId="42974AD1" w14:textId="5219DFCA" w:rsidR="00F20682" w:rsidRPr="00F60A11" w:rsidRDefault="00F62103" w:rsidP="00D14535">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fldChar w:fldCharType="begin"/>
      </w:r>
      <w:r w:rsidRPr="00F60A11">
        <w:rPr>
          <w:rFonts w:ascii="Times New Roman" w:hAnsi="Times New Roman" w:cs="Times New Roman"/>
          <w:color w:val="000000" w:themeColor="text1"/>
          <w:sz w:val="24"/>
          <w:szCs w:val="24"/>
        </w:rPr>
        <w:instrText xml:space="preserve"> REF _Ref519941615 \h </w:instrText>
      </w:r>
      <w:r w:rsidRPr="00F60A11">
        <w:rPr>
          <w:rFonts w:ascii="Times New Roman" w:hAnsi="Times New Roman" w:cs="Times New Roman"/>
          <w:color w:val="000000" w:themeColor="text1"/>
          <w:sz w:val="24"/>
          <w:szCs w:val="24"/>
        </w:rPr>
      </w:r>
      <w:r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3</w:t>
      </w:r>
      <w:r w:rsidRPr="00F60A11">
        <w:rPr>
          <w:rFonts w:ascii="Times New Roman" w:hAnsi="Times New Roman" w:cs="Times New Roman"/>
          <w:color w:val="000000" w:themeColor="text1"/>
          <w:sz w:val="24"/>
          <w:szCs w:val="24"/>
        </w:rPr>
        <w:fldChar w:fldCharType="end"/>
      </w:r>
      <w:r w:rsidR="00EC0001" w:rsidRPr="00F60A11">
        <w:rPr>
          <w:rFonts w:ascii="Times New Roman" w:hAnsi="Times New Roman" w:cs="Times New Roman"/>
          <w:color w:val="000000" w:themeColor="text1"/>
          <w:sz w:val="24"/>
          <w:szCs w:val="24"/>
        </w:rPr>
        <w:t xml:space="preserve"> shows that</w:t>
      </w:r>
      <w:r w:rsidR="004C5523" w:rsidRPr="00F60A11">
        <w:rPr>
          <w:rFonts w:ascii="Times New Roman" w:hAnsi="Times New Roman" w:cs="Times New Roman"/>
          <w:color w:val="000000" w:themeColor="text1"/>
          <w:sz w:val="24"/>
          <w:szCs w:val="24"/>
        </w:rPr>
        <w:t xml:space="preserve"> in 1999</w:t>
      </w:r>
      <w:r w:rsidR="004B5525">
        <w:rPr>
          <w:rFonts w:ascii="Times New Roman" w:hAnsi="Times New Roman" w:cs="Times New Roman"/>
          <w:color w:val="000000" w:themeColor="text1"/>
          <w:sz w:val="24"/>
          <w:szCs w:val="24"/>
        </w:rPr>
        <w:t>, the</w:t>
      </w:r>
      <w:r w:rsidR="00EC0001" w:rsidRPr="00F60A11">
        <w:rPr>
          <w:rFonts w:ascii="Times New Roman" w:hAnsi="Times New Roman" w:cs="Times New Roman"/>
          <w:color w:val="000000" w:themeColor="text1"/>
          <w:sz w:val="24"/>
          <w:szCs w:val="24"/>
        </w:rPr>
        <w:t xml:space="preserve"> Europe</w:t>
      </w:r>
      <w:r w:rsidR="00BD7963" w:rsidRPr="00F60A11">
        <w:rPr>
          <w:rFonts w:ascii="Times New Roman" w:hAnsi="Times New Roman" w:cs="Times New Roman"/>
          <w:color w:val="000000" w:themeColor="text1"/>
          <w:sz w:val="24"/>
          <w:szCs w:val="24"/>
        </w:rPr>
        <w:t>an gas industry was</w:t>
      </w:r>
      <w:r w:rsidR="00EC0001" w:rsidRPr="00F60A11">
        <w:rPr>
          <w:rFonts w:ascii="Times New Roman" w:hAnsi="Times New Roman" w:cs="Times New Roman"/>
          <w:color w:val="000000" w:themeColor="text1"/>
          <w:sz w:val="24"/>
          <w:szCs w:val="24"/>
        </w:rPr>
        <w:t xml:space="preserve"> dominated by a few </w:t>
      </w:r>
      <w:r w:rsidR="00122CFF" w:rsidRPr="00F60A11">
        <w:rPr>
          <w:rFonts w:ascii="Times New Roman" w:hAnsi="Times New Roman" w:cs="Times New Roman"/>
          <w:color w:val="000000" w:themeColor="text1"/>
          <w:sz w:val="24"/>
          <w:szCs w:val="24"/>
        </w:rPr>
        <w:t>extra-EU pipeline gas supplies</w:t>
      </w:r>
      <w:r w:rsidR="004B5525">
        <w:rPr>
          <w:rFonts w:ascii="Times New Roman" w:hAnsi="Times New Roman" w:cs="Times New Roman"/>
          <w:color w:val="000000" w:themeColor="text1"/>
          <w:sz w:val="24"/>
          <w:szCs w:val="24"/>
        </w:rPr>
        <w:t>,</w:t>
      </w:r>
      <w:r w:rsidR="00EB2592" w:rsidRPr="00F60A11">
        <w:rPr>
          <w:rFonts w:ascii="Times New Roman" w:hAnsi="Times New Roman" w:cs="Times New Roman"/>
          <w:color w:val="000000" w:themeColor="text1"/>
          <w:sz w:val="24"/>
          <w:szCs w:val="24"/>
        </w:rPr>
        <w:t xml:space="preserve"> with </w:t>
      </w:r>
      <w:r w:rsidR="00122CFF" w:rsidRPr="00F60A11">
        <w:rPr>
          <w:rFonts w:ascii="Times New Roman" w:hAnsi="Times New Roman" w:cs="Times New Roman"/>
          <w:color w:val="000000" w:themeColor="text1"/>
          <w:sz w:val="24"/>
          <w:szCs w:val="24"/>
        </w:rPr>
        <w:t xml:space="preserve">Russia </w:t>
      </w:r>
      <w:r w:rsidR="00EB2592" w:rsidRPr="00F60A11">
        <w:rPr>
          <w:rFonts w:ascii="Times New Roman" w:hAnsi="Times New Roman" w:cs="Times New Roman"/>
          <w:color w:val="000000" w:themeColor="text1"/>
          <w:sz w:val="24"/>
          <w:szCs w:val="24"/>
        </w:rPr>
        <w:t xml:space="preserve">being </w:t>
      </w:r>
      <w:r w:rsidR="00122CFF" w:rsidRPr="00F60A11">
        <w:rPr>
          <w:rFonts w:ascii="Times New Roman" w:hAnsi="Times New Roman" w:cs="Times New Roman"/>
          <w:color w:val="000000" w:themeColor="text1"/>
          <w:sz w:val="24"/>
          <w:szCs w:val="24"/>
        </w:rPr>
        <w:t xml:space="preserve">the largest both in terms of reserves (BP, 2018) </w:t>
      </w:r>
      <w:r w:rsidR="004B5525">
        <w:rPr>
          <w:rFonts w:ascii="Times New Roman" w:hAnsi="Times New Roman" w:cs="Times New Roman"/>
          <w:color w:val="000000" w:themeColor="text1"/>
          <w:sz w:val="24"/>
          <w:szCs w:val="24"/>
        </w:rPr>
        <w:t xml:space="preserve">and </w:t>
      </w:r>
      <w:r w:rsidR="00122CFF" w:rsidRPr="00F60A11">
        <w:rPr>
          <w:rFonts w:ascii="Times New Roman" w:hAnsi="Times New Roman" w:cs="Times New Roman"/>
          <w:color w:val="000000" w:themeColor="text1"/>
          <w:sz w:val="24"/>
          <w:szCs w:val="24"/>
        </w:rPr>
        <w:t xml:space="preserve">export capacity to Europe. </w:t>
      </w:r>
      <w:r w:rsidR="004B188C" w:rsidRPr="00F60A11">
        <w:rPr>
          <w:rFonts w:ascii="Times New Roman" w:hAnsi="Times New Roman" w:cs="Times New Roman"/>
          <w:color w:val="000000" w:themeColor="text1"/>
          <w:sz w:val="24"/>
          <w:szCs w:val="24"/>
        </w:rPr>
        <w:t xml:space="preserve">It was </w:t>
      </w:r>
      <w:r w:rsidR="004B5525">
        <w:rPr>
          <w:rFonts w:ascii="Times New Roman" w:hAnsi="Times New Roman" w:cs="Times New Roman"/>
          <w:color w:val="000000" w:themeColor="text1"/>
          <w:sz w:val="24"/>
          <w:szCs w:val="24"/>
        </w:rPr>
        <w:t>a</w:t>
      </w:r>
      <w:r w:rsidR="004B5525" w:rsidRPr="00F60A11">
        <w:rPr>
          <w:rFonts w:ascii="Times New Roman" w:hAnsi="Times New Roman" w:cs="Times New Roman"/>
          <w:color w:val="000000" w:themeColor="text1"/>
          <w:sz w:val="24"/>
          <w:szCs w:val="24"/>
        </w:rPr>
        <w:t xml:space="preserve">n </w:t>
      </w:r>
      <w:r w:rsidR="004B188C" w:rsidRPr="00F60A11">
        <w:rPr>
          <w:rFonts w:ascii="Times New Roman" w:hAnsi="Times New Roman" w:cs="Times New Roman"/>
          <w:color w:val="000000" w:themeColor="text1"/>
          <w:sz w:val="24"/>
          <w:szCs w:val="24"/>
        </w:rPr>
        <w:t xml:space="preserve">oligopolistic supply structure. </w:t>
      </w:r>
      <w:r w:rsidR="00F5149F" w:rsidRPr="00F60A11">
        <w:rPr>
          <w:rFonts w:ascii="Times New Roman" w:hAnsi="Times New Roman" w:cs="Times New Roman"/>
          <w:color w:val="000000" w:themeColor="text1"/>
          <w:sz w:val="24"/>
          <w:szCs w:val="24"/>
        </w:rPr>
        <w:t xml:space="preserve">However, </w:t>
      </w:r>
      <w:r w:rsidR="0050373F" w:rsidRPr="00F60A11">
        <w:rPr>
          <w:rFonts w:ascii="Times New Roman" w:hAnsi="Times New Roman" w:cs="Times New Roman"/>
          <w:color w:val="000000" w:themeColor="text1"/>
          <w:sz w:val="24"/>
          <w:szCs w:val="24"/>
        </w:rPr>
        <w:t xml:space="preserve">in the period </w:t>
      </w:r>
      <w:r w:rsidR="00F24B9C" w:rsidRPr="00F60A11">
        <w:rPr>
          <w:rFonts w:ascii="Times New Roman" w:hAnsi="Times New Roman" w:cs="Times New Roman"/>
          <w:color w:val="000000" w:themeColor="text1"/>
          <w:sz w:val="24"/>
          <w:szCs w:val="24"/>
        </w:rPr>
        <w:t>1999-2016</w:t>
      </w:r>
      <w:r w:rsidR="004B5525">
        <w:rPr>
          <w:rFonts w:ascii="Times New Roman" w:hAnsi="Times New Roman" w:cs="Times New Roman"/>
          <w:color w:val="000000" w:themeColor="text1"/>
          <w:sz w:val="24"/>
          <w:szCs w:val="24"/>
        </w:rPr>
        <w:t>,</w:t>
      </w:r>
      <w:r w:rsidR="00F24B9C" w:rsidRPr="00F60A11">
        <w:rPr>
          <w:rFonts w:ascii="Times New Roman" w:hAnsi="Times New Roman" w:cs="Times New Roman"/>
          <w:color w:val="000000" w:themeColor="text1"/>
          <w:sz w:val="24"/>
          <w:szCs w:val="24"/>
        </w:rPr>
        <w:t xml:space="preserve"> European LNG import capacity expanded by 2.5 times (relative to </w:t>
      </w:r>
      <w:r w:rsidR="004B5525">
        <w:rPr>
          <w:rFonts w:ascii="Times New Roman" w:hAnsi="Times New Roman" w:cs="Times New Roman"/>
          <w:color w:val="000000" w:themeColor="text1"/>
          <w:sz w:val="24"/>
          <w:szCs w:val="24"/>
        </w:rPr>
        <w:t xml:space="preserve">the </w:t>
      </w:r>
      <w:r w:rsidR="00F24B9C" w:rsidRPr="00F60A11">
        <w:rPr>
          <w:rFonts w:ascii="Times New Roman" w:hAnsi="Times New Roman" w:cs="Times New Roman"/>
          <w:color w:val="000000" w:themeColor="text1"/>
          <w:sz w:val="24"/>
          <w:szCs w:val="24"/>
        </w:rPr>
        <w:t>1999 level)</w:t>
      </w:r>
      <w:r w:rsidR="004B5525">
        <w:rPr>
          <w:rFonts w:ascii="Times New Roman" w:hAnsi="Times New Roman" w:cs="Times New Roman"/>
          <w:color w:val="000000" w:themeColor="text1"/>
          <w:sz w:val="24"/>
          <w:szCs w:val="24"/>
        </w:rPr>
        <w:t>,</w:t>
      </w:r>
      <w:r w:rsidR="00F24B9C" w:rsidRPr="00F60A11">
        <w:rPr>
          <w:rFonts w:ascii="Times New Roman" w:hAnsi="Times New Roman" w:cs="Times New Roman"/>
          <w:color w:val="000000" w:themeColor="text1"/>
          <w:sz w:val="24"/>
          <w:szCs w:val="24"/>
        </w:rPr>
        <w:t xml:space="preserve"> </w:t>
      </w:r>
      <w:r w:rsidR="008A2D37" w:rsidRPr="00F60A11">
        <w:rPr>
          <w:rFonts w:ascii="Times New Roman" w:hAnsi="Times New Roman" w:cs="Times New Roman"/>
          <w:color w:val="000000" w:themeColor="text1"/>
          <w:sz w:val="24"/>
          <w:szCs w:val="24"/>
        </w:rPr>
        <w:t xml:space="preserve">accounting </w:t>
      </w:r>
      <w:r w:rsidR="00DC201E" w:rsidRPr="00F60A11">
        <w:rPr>
          <w:rFonts w:ascii="Times New Roman" w:hAnsi="Times New Roman" w:cs="Times New Roman"/>
          <w:color w:val="000000" w:themeColor="text1"/>
          <w:sz w:val="24"/>
          <w:szCs w:val="24"/>
        </w:rPr>
        <w:t>for 50% of total consumption (2016)</w:t>
      </w:r>
      <w:r w:rsidR="004B5525">
        <w:rPr>
          <w:rFonts w:ascii="Times New Roman" w:hAnsi="Times New Roman" w:cs="Times New Roman"/>
          <w:color w:val="000000" w:themeColor="text1"/>
          <w:sz w:val="24"/>
          <w:szCs w:val="24"/>
        </w:rPr>
        <w:t>,</w:t>
      </w:r>
      <w:r w:rsidR="00DC201E" w:rsidRPr="00F60A11">
        <w:rPr>
          <w:rFonts w:ascii="Times New Roman" w:hAnsi="Times New Roman" w:cs="Times New Roman"/>
          <w:color w:val="000000" w:themeColor="text1"/>
          <w:sz w:val="24"/>
          <w:szCs w:val="24"/>
        </w:rPr>
        <w:t xml:space="preserve"> </w:t>
      </w:r>
      <w:r w:rsidR="00D14535" w:rsidRPr="00F60A11">
        <w:rPr>
          <w:rFonts w:ascii="Times New Roman" w:hAnsi="Times New Roman" w:cs="Times New Roman"/>
          <w:color w:val="000000" w:themeColor="text1"/>
          <w:sz w:val="24"/>
          <w:szCs w:val="24"/>
        </w:rPr>
        <w:t xml:space="preserve">while total pipeline import capacity grew only by 31% in the same </w:t>
      </w:r>
      <w:r w:rsidR="00544926" w:rsidRPr="00F60A11">
        <w:rPr>
          <w:rFonts w:ascii="Times New Roman" w:hAnsi="Times New Roman" w:cs="Times New Roman"/>
          <w:color w:val="000000" w:themeColor="text1"/>
          <w:sz w:val="24"/>
          <w:szCs w:val="24"/>
        </w:rPr>
        <w:t>time</w:t>
      </w:r>
      <w:r w:rsidR="00D14535" w:rsidRPr="00F60A11">
        <w:rPr>
          <w:rFonts w:ascii="Times New Roman" w:hAnsi="Times New Roman" w:cs="Times New Roman"/>
          <w:color w:val="000000" w:themeColor="text1"/>
          <w:sz w:val="24"/>
          <w:szCs w:val="24"/>
        </w:rPr>
        <w:t xml:space="preserve"> </w:t>
      </w:r>
      <w:r w:rsidR="00E42283" w:rsidRPr="00F60A11">
        <w:rPr>
          <w:rFonts w:ascii="Times New Roman" w:hAnsi="Times New Roman" w:cs="Times New Roman"/>
          <w:color w:val="000000" w:themeColor="text1"/>
          <w:sz w:val="24"/>
          <w:szCs w:val="24"/>
        </w:rPr>
        <w:t>(</w:t>
      </w:r>
      <w:r w:rsidR="005450EC">
        <w:rPr>
          <w:rFonts w:ascii="Times New Roman" w:hAnsi="Times New Roman" w:cs="Times New Roman"/>
          <w:color w:val="000000" w:themeColor="text1"/>
          <w:sz w:val="24"/>
          <w:szCs w:val="24"/>
        </w:rPr>
        <w:fldChar w:fldCharType="begin"/>
      </w:r>
      <w:r w:rsidR="005450EC">
        <w:rPr>
          <w:rFonts w:ascii="Times New Roman" w:hAnsi="Times New Roman" w:cs="Times New Roman"/>
          <w:color w:val="000000" w:themeColor="text1"/>
          <w:sz w:val="24"/>
          <w:szCs w:val="24"/>
        </w:rPr>
        <w:instrText xml:space="preserve"> REF _Ref519941615 \h </w:instrText>
      </w:r>
      <w:r w:rsidR="005450EC">
        <w:rPr>
          <w:rFonts w:ascii="Times New Roman" w:hAnsi="Times New Roman" w:cs="Times New Roman"/>
          <w:color w:val="000000" w:themeColor="text1"/>
          <w:sz w:val="24"/>
          <w:szCs w:val="24"/>
        </w:rPr>
      </w:r>
      <w:r w:rsidR="005450EC">
        <w:rPr>
          <w:rFonts w:ascii="Times New Roman" w:hAnsi="Times New Roman" w:cs="Times New Roman"/>
          <w:color w:val="000000" w:themeColor="text1"/>
          <w:sz w:val="24"/>
          <w:szCs w:val="24"/>
        </w:rPr>
        <w:fldChar w:fldCharType="separate"/>
      </w:r>
      <w:r w:rsidR="005450EC" w:rsidRPr="00F60A11">
        <w:rPr>
          <w:rFonts w:ascii="Times New Roman" w:hAnsi="Times New Roman" w:cs="Times New Roman"/>
          <w:color w:val="000000" w:themeColor="text1"/>
          <w:sz w:val="24"/>
          <w:szCs w:val="24"/>
        </w:rPr>
        <w:t xml:space="preserve">Table </w:t>
      </w:r>
      <w:r w:rsidR="005450EC" w:rsidRPr="00F60A11">
        <w:rPr>
          <w:rFonts w:ascii="Times New Roman" w:hAnsi="Times New Roman" w:cs="Times New Roman"/>
          <w:noProof/>
          <w:color w:val="000000" w:themeColor="text1"/>
          <w:sz w:val="24"/>
          <w:szCs w:val="24"/>
        </w:rPr>
        <w:t>3</w:t>
      </w:r>
      <w:r w:rsidR="005450EC">
        <w:rPr>
          <w:rFonts w:ascii="Times New Roman" w:hAnsi="Times New Roman" w:cs="Times New Roman"/>
          <w:color w:val="000000" w:themeColor="text1"/>
          <w:sz w:val="24"/>
          <w:szCs w:val="24"/>
        </w:rPr>
        <w:fldChar w:fldCharType="end"/>
      </w:r>
      <w:r w:rsidR="00E42283" w:rsidRPr="00F60A11">
        <w:rPr>
          <w:rFonts w:ascii="Times New Roman" w:hAnsi="Times New Roman" w:cs="Times New Roman"/>
          <w:color w:val="000000" w:themeColor="text1"/>
          <w:sz w:val="24"/>
          <w:szCs w:val="24"/>
        </w:rPr>
        <w:t>)</w:t>
      </w:r>
      <w:r w:rsidR="00D14535" w:rsidRPr="00F60A11">
        <w:rPr>
          <w:rFonts w:ascii="Times New Roman" w:hAnsi="Times New Roman" w:cs="Times New Roman"/>
          <w:color w:val="000000" w:themeColor="text1"/>
          <w:sz w:val="24"/>
          <w:szCs w:val="24"/>
        </w:rPr>
        <w:t>.</w:t>
      </w:r>
      <w:r w:rsidR="00EC0001" w:rsidRPr="00F60A11">
        <w:rPr>
          <w:rFonts w:ascii="Times New Roman" w:hAnsi="Times New Roman" w:cs="Times New Roman"/>
          <w:color w:val="000000" w:themeColor="text1"/>
          <w:sz w:val="24"/>
          <w:szCs w:val="24"/>
        </w:rPr>
        <w:t xml:space="preserve"> </w:t>
      </w:r>
      <w:r w:rsidR="00DC201E" w:rsidRPr="00F60A11">
        <w:rPr>
          <w:rFonts w:ascii="Times New Roman" w:hAnsi="Times New Roman" w:cs="Times New Roman"/>
          <w:color w:val="000000" w:themeColor="text1"/>
          <w:sz w:val="24"/>
          <w:szCs w:val="24"/>
        </w:rPr>
        <w:t xml:space="preserve">This dramatic increase in LNG import capacity, which coupled with an increase in </w:t>
      </w:r>
      <w:r w:rsidR="004B5525">
        <w:rPr>
          <w:rFonts w:ascii="Times New Roman" w:hAnsi="Times New Roman" w:cs="Times New Roman"/>
          <w:color w:val="000000" w:themeColor="text1"/>
          <w:sz w:val="24"/>
          <w:szCs w:val="24"/>
        </w:rPr>
        <w:t xml:space="preserve">the </w:t>
      </w:r>
      <w:r w:rsidR="00DC201E" w:rsidRPr="00F60A11">
        <w:rPr>
          <w:rFonts w:ascii="Times New Roman" w:hAnsi="Times New Roman" w:cs="Times New Roman"/>
          <w:color w:val="000000" w:themeColor="text1"/>
          <w:sz w:val="24"/>
          <w:szCs w:val="24"/>
        </w:rPr>
        <w:t xml:space="preserve">number of </w:t>
      </w:r>
      <w:r w:rsidR="004F353B" w:rsidRPr="00F60A11">
        <w:rPr>
          <w:rFonts w:ascii="Times New Roman" w:hAnsi="Times New Roman" w:cs="Times New Roman"/>
          <w:color w:val="000000" w:themeColor="text1"/>
          <w:sz w:val="24"/>
          <w:szCs w:val="24"/>
        </w:rPr>
        <w:t xml:space="preserve">LNG exporters (and total </w:t>
      </w:r>
      <w:r w:rsidR="009B7AB1" w:rsidRPr="00F60A11">
        <w:rPr>
          <w:rFonts w:ascii="Times New Roman" w:hAnsi="Times New Roman" w:cs="Times New Roman"/>
          <w:color w:val="000000" w:themeColor="text1"/>
          <w:sz w:val="24"/>
          <w:szCs w:val="24"/>
        </w:rPr>
        <w:t xml:space="preserve">export </w:t>
      </w:r>
      <w:r w:rsidR="004F353B" w:rsidRPr="00F60A11">
        <w:rPr>
          <w:rFonts w:ascii="Times New Roman" w:hAnsi="Times New Roman" w:cs="Times New Roman"/>
          <w:color w:val="000000" w:themeColor="text1"/>
          <w:sz w:val="24"/>
          <w:szCs w:val="24"/>
        </w:rPr>
        <w:t xml:space="preserve">capacity) globally, allowed Europe to limit </w:t>
      </w:r>
      <w:r w:rsidR="004B5525">
        <w:rPr>
          <w:rFonts w:ascii="Times New Roman" w:hAnsi="Times New Roman" w:cs="Times New Roman"/>
          <w:color w:val="000000" w:themeColor="text1"/>
          <w:sz w:val="24"/>
          <w:szCs w:val="24"/>
        </w:rPr>
        <w:t xml:space="preserve">the </w:t>
      </w:r>
      <w:r w:rsidR="008E471A" w:rsidRPr="00F60A11">
        <w:rPr>
          <w:rFonts w:ascii="Times New Roman" w:hAnsi="Times New Roman" w:cs="Times New Roman"/>
          <w:color w:val="000000" w:themeColor="text1"/>
          <w:sz w:val="24"/>
          <w:szCs w:val="24"/>
        </w:rPr>
        <w:t>potential market power of pipeline exporters</w:t>
      </w:r>
      <w:r w:rsidR="00C84C89" w:rsidRPr="00F60A11">
        <w:rPr>
          <w:rFonts w:ascii="Times New Roman" w:hAnsi="Times New Roman" w:cs="Times New Roman"/>
          <w:color w:val="000000" w:themeColor="text1"/>
          <w:sz w:val="24"/>
          <w:szCs w:val="24"/>
        </w:rPr>
        <w:t xml:space="preserve"> (</w:t>
      </w:r>
      <w:proofErr w:type="gramStart"/>
      <w:r w:rsidR="00C84C89" w:rsidRPr="00F60A11">
        <w:rPr>
          <w:rFonts w:ascii="Times New Roman" w:hAnsi="Times New Roman" w:cs="Times New Roman"/>
          <w:color w:val="000000" w:themeColor="text1"/>
          <w:sz w:val="24"/>
          <w:szCs w:val="24"/>
        </w:rPr>
        <w:t>in particular</w:t>
      </w:r>
      <w:r w:rsidR="004B5525">
        <w:rPr>
          <w:rFonts w:ascii="Times New Roman" w:hAnsi="Times New Roman" w:cs="Times New Roman"/>
          <w:color w:val="000000" w:themeColor="text1"/>
          <w:sz w:val="24"/>
          <w:szCs w:val="24"/>
        </w:rPr>
        <w:t>,</w:t>
      </w:r>
      <w:r w:rsidR="00C84C89" w:rsidRPr="00F60A11">
        <w:rPr>
          <w:rFonts w:ascii="Times New Roman" w:hAnsi="Times New Roman" w:cs="Times New Roman"/>
          <w:color w:val="000000" w:themeColor="text1"/>
          <w:sz w:val="24"/>
          <w:szCs w:val="24"/>
        </w:rPr>
        <w:t xml:space="preserve"> the</w:t>
      </w:r>
      <w:proofErr w:type="gramEnd"/>
      <w:r w:rsidR="00C84C89" w:rsidRPr="00F60A11">
        <w:rPr>
          <w:rFonts w:ascii="Times New Roman" w:hAnsi="Times New Roman" w:cs="Times New Roman"/>
          <w:color w:val="000000" w:themeColor="text1"/>
          <w:sz w:val="24"/>
          <w:szCs w:val="24"/>
        </w:rPr>
        <w:t xml:space="preserve"> potential market power of Russia/Gazprom)</w:t>
      </w:r>
      <w:r w:rsidR="008E471A" w:rsidRPr="00F60A11">
        <w:rPr>
          <w:rFonts w:ascii="Times New Roman" w:hAnsi="Times New Roman" w:cs="Times New Roman"/>
          <w:color w:val="000000" w:themeColor="text1"/>
          <w:sz w:val="24"/>
          <w:szCs w:val="24"/>
        </w:rPr>
        <w:t>. However, t</w:t>
      </w:r>
      <w:r w:rsidR="00924D98" w:rsidRPr="00F60A11">
        <w:rPr>
          <w:rFonts w:ascii="Times New Roman" w:hAnsi="Times New Roman" w:cs="Times New Roman"/>
          <w:color w:val="000000" w:themeColor="text1"/>
          <w:sz w:val="24"/>
          <w:szCs w:val="24"/>
        </w:rPr>
        <w:t xml:space="preserve">he increase in LNG import capacity alone might have </w:t>
      </w:r>
      <w:r w:rsidR="004B5525">
        <w:rPr>
          <w:rFonts w:ascii="Times New Roman" w:hAnsi="Times New Roman" w:cs="Times New Roman"/>
          <w:color w:val="000000" w:themeColor="text1"/>
          <w:sz w:val="24"/>
          <w:szCs w:val="24"/>
        </w:rPr>
        <w:t xml:space="preserve">had a </w:t>
      </w:r>
      <w:r w:rsidR="00924D98" w:rsidRPr="00F60A11">
        <w:rPr>
          <w:rFonts w:ascii="Times New Roman" w:hAnsi="Times New Roman" w:cs="Times New Roman"/>
          <w:color w:val="000000" w:themeColor="text1"/>
          <w:sz w:val="24"/>
          <w:szCs w:val="24"/>
        </w:rPr>
        <w:t xml:space="preserve">limited effect without </w:t>
      </w:r>
      <w:r w:rsidR="008D12C3" w:rsidRPr="00F60A11">
        <w:rPr>
          <w:rFonts w:ascii="Times New Roman" w:hAnsi="Times New Roman" w:cs="Times New Roman"/>
          <w:color w:val="000000" w:themeColor="text1"/>
          <w:sz w:val="24"/>
          <w:szCs w:val="24"/>
        </w:rPr>
        <w:t>the liberali</w:t>
      </w:r>
      <w:r w:rsidR="00AC205F">
        <w:rPr>
          <w:rFonts w:ascii="Times New Roman" w:hAnsi="Times New Roman" w:cs="Times New Roman"/>
          <w:color w:val="000000" w:themeColor="text1"/>
          <w:sz w:val="24"/>
          <w:szCs w:val="24"/>
        </w:rPr>
        <w:t>z</w:t>
      </w:r>
      <w:r w:rsidR="008D12C3" w:rsidRPr="00F60A11">
        <w:rPr>
          <w:rFonts w:ascii="Times New Roman" w:hAnsi="Times New Roman" w:cs="Times New Roman"/>
          <w:color w:val="000000" w:themeColor="text1"/>
          <w:sz w:val="24"/>
          <w:szCs w:val="24"/>
        </w:rPr>
        <w:t>ation process.</w:t>
      </w:r>
    </w:p>
    <w:p w14:paraId="4D2F9964" w14:textId="1790D978" w:rsidR="00E2434B" w:rsidRPr="00F60A11" w:rsidRDefault="00E2434B"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While the number of exporters and importers increased worldwide, market liberali</w:t>
      </w:r>
      <w:r w:rsidR="00AC205F">
        <w:rPr>
          <w:rFonts w:ascii="Times New Roman" w:hAnsi="Times New Roman" w:cs="Times New Roman"/>
          <w:color w:val="000000" w:themeColor="text1"/>
          <w:sz w:val="24"/>
          <w:szCs w:val="24"/>
        </w:rPr>
        <w:t>z</w:t>
      </w:r>
      <w:r w:rsidRPr="00F60A11">
        <w:rPr>
          <w:rFonts w:ascii="Times New Roman" w:hAnsi="Times New Roman" w:cs="Times New Roman"/>
          <w:color w:val="000000" w:themeColor="text1"/>
          <w:sz w:val="24"/>
          <w:szCs w:val="24"/>
        </w:rPr>
        <w:t xml:space="preserve">ation and the ability to tap into global LNG markets meant that the number of buyers and sellers also increased in European gas markets, reflecting trade in organised market exchanges (gas hubs or spot markets). The </w:t>
      </w:r>
      <w:r w:rsidRPr="00F60A11">
        <w:rPr>
          <w:rFonts w:ascii="Times New Roman" w:hAnsi="Times New Roman" w:cs="Times New Roman"/>
          <w:color w:val="000000" w:themeColor="text1"/>
          <w:sz w:val="24"/>
          <w:szCs w:val="24"/>
        </w:rPr>
        <w:lastRenderedPageBreak/>
        <w:t>liberali</w:t>
      </w:r>
      <w:r w:rsidR="00AC205F">
        <w:rPr>
          <w:rFonts w:ascii="Times New Roman" w:hAnsi="Times New Roman" w:cs="Times New Roman"/>
          <w:color w:val="000000" w:themeColor="text1"/>
          <w:sz w:val="24"/>
          <w:szCs w:val="24"/>
        </w:rPr>
        <w:t>z</w:t>
      </w:r>
      <w:r w:rsidRPr="00F60A11">
        <w:rPr>
          <w:rFonts w:ascii="Times New Roman" w:hAnsi="Times New Roman" w:cs="Times New Roman"/>
          <w:color w:val="000000" w:themeColor="text1"/>
          <w:sz w:val="24"/>
          <w:szCs w:val="24"/>
        </w:rPr>
        <w:t xml:space="preserve">ation process began with the </w:t>
      </w:r>
      <w:r w:rsidRPr="00F60A11">
        <w:rPr>
          <w:rFonts w:ascii="Times New Roman" w:hAnsi="Times New Roman" w:cs="Times New Roman"/>
          <w:i/>
          <w:color w:val="000000" w:themeColor="text1"/>
          <w:sz w:val="24"/>
          <w:szCs w:val="24"/>
        </w:rPr>
        <w:t>1991 Gas Transit Directive</w:t>
      </w:r>
      <w:r w:rsidRPr="00F60A11">
        <w:rPr>
          <w:rFonts w:ascii="Times New Roman" w:hAnsi="Times New Roman" w:cs="Times New Roman"/>
          <w:color w:val="000000" w:themeColor="text1"/>
          <w:sz w:val="24"/>
          <w:szCs w:val="24"/>
        </w:rPr>
        <w:t xml:space="preserve"> and the subsequent legal battle between European antitrust authorities and major exporters to remove destination clauses from long-term pipeline and LNG import contracts. This was followed by the first two energy packages (199</w:t>
      </w:r>
      <w:r w:rsidR="005F67A0" w:rsidRPr="00F60A11">
        <w:rPr>
          <w:rFonts w:ascii="Times New Roman" w:hAnsi="Times New Roman" w:cs="Times New Roman"/>
          <w:color w:val="000000" w:themeColor="text1"/>
          <w:sz w:val="24"/>
          <w:szCs w:val="24"/>
        </w:rPr>
        <w:t>8</w:t>
      </w:r>
      <w:r w:rsidRPr="00F60A11">
        <w:rPr>
          <w:rFonts w:ascii="Times New Roman" w:hAnsi="Times New Roman" w:cs="Times New Roman"/>
          <w:color w:val="000000" w:themeColor="text1"/>
          <w:sz w:val="24"/>
          <w:szCs w:val="24"/>
        </w:rPr>
        <w:t xml:space="preserve"> and 2003) and then by the </w:t>
      </w:r>
      <w:r w:rsidR="00AC205F">
        <w:rPr>
          <w:rFonts w:ascii="Times New Roman" w:hAnsi="Times New Roman" w:cs="Times New Roman"/>
          <w:color w:val="000000" w:themeColor="text1"/>
          <w:sz w:val="24"/>
          <w:szCs w:val="24"/>
        </w:rPr>
        <w:t>T</w:t>
      </w:r>
      <w:r w:rsidRPr="00F60A11">
        <w:rPr>
          <w:rFonts w:ascii="Times New Roman" w:hAnsi="Times New Roman" w:cs="Times New Roman"/>
          <w:color w:val="000000" w:themeColor="text1"/>
          <w:sz w:val="24"/>
          <w:szCs w:val="24"/>
        </w:rPr>
        <w:t xml:space="preserve">hird </w:t>
      </w:r>
      <w:r w:rsidR="00AC205F">
        <w:rPr>
          <w:rFonts w:ascii="Times New Roman" w:hAnsi="Times New Roman" w:cs="Times New Roman"/>
          <w:color w:val="000000" w:themeColor="text1"/>
          <w:sz w:val="24"/>
          <w:szCs w:val="24"/>
        </w:rPr>
        <w:t>E</w:t>
      </w:r>
      <w:r w:rsidRPr="00F60A11">
        <w:rPr>
          <w:rFonts w:ascii="Times New Roman" w:hAnsi="Times New Roman" w:cs="Times New Roman"/>
          <w:color w:val="000000" w:themeColor="text1"/>
          <w:sz w:val="24"/>
          <w:szCs w:val="24"/>
        </w:rPr>
        <w:t xml:space="preserve">nergy </w:t>
      </w:r>
      <w:r w:rsidR="00AC205F">
        <w:rPr>
          <w:rFonts w:ascii="Times New Roman" w:hAnsi="Times New Roman" w:cs="Times New Roman"/>
          <w:color w:val="000000" w:themeColor="text1"/>
          <w:sz w:val="24"/>
          <w:szCs w:val="24"/>
        </w:rPr>
        <w:t>P</w:t>
      </w:r>
      <w:r w:rsidRPr="00F60A11">
        <w:rPr>
          <w:rFonts w:ascii="Times New Roman" w:hAnsi="Times New Roman" w:cs="Times New Roman"/>
          <w:color w:val="000000" w:themeColor="text1"/>
          <w:sz w:val="24"/>
          <w:szCs w:val="24"/>
        </w:rPr>
        <w:t>ackage (2009).</w:t>
      </w:r>
    </w:p>
    <w:p w14:paraId="361C6AA5" w14:textId="0D09A676" w:rsidR="00E2434B" w:rsidRPr="00F60A11" w:rsidRDefault="00E2434B"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In the 1990s and early 2000s, the EU antitrust authorities were successful in negotiations with exporters to remove the destination clauses from long-term LNG and pipeline gas contracts. These clauses </w:t>
      </w:r>
      <w:proofErr w:type="gramStart"/>
      <w:r w:rsidRPr="00F60A11">
        <w:rPr>
          <w:rFonts w:ascii="Times New Roman" w:hAnsi="Times New Roman" w:cs="Times New Roman"/>
          <w:color w:val="000000" w:themeColor="text1"/>
          <w:sz w:val="24"/>
          <w:szCs w:val="24"/>
        </w:rPr>
        <w:t>were seen as</w:t>
      </w:r>
      <w:proofErr w:type="gramEnd"/>
      <w:r w:rsidRPr="00F60A11">
        <w:rPr>
          <w:rFonts w:ascii="Times New Roman" w:hAnsi="Times New Roman" w:cs="Times New Roman"/>
          <w:color w:val="000000" w:themeColor="text1"/>
          <w:sz w:val="24"/>
          <w:szCs w:val="24"/>
        </w:rPr>
        <w:t xml:space="preserve"> major impediments to market competition in Europe </w:t>
      </w:r>
      <w:r w:rsidR="004B5525">
        <w:rPr>
          <w:rFonts w:ascii="Times New Roman" w:hAnsi="Times New Roman" w:cs="Times New Roman"/>
          <w:color w:val="000000" w:themeColor="text1"/>
          <w:sz w:val="24"/>
          <w:szCs w:val="24"/>
        </w:rPr>
        <w:t>because</w:t>
      </w:r>
      <w:r w:rsidR="004B5525"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they prohibited importers from reselling gas to other market geographies and segments. The antitrust authorities then targeted the largest European gas importers, such as GDF Suez, ENI and </w:t>
      </w:r>
      <w:proofErr w:type="gramStart"/>
      <w:r w:rsidRPr="00F60A11">
        <w:rPr>
          <w:rFonts w:ascii="Times New Roman" w:hAnsi="Times New Roman" w:cs="Times New Roman"/>
          <w:color w:val="000000" w:themeColor="text1"/>
          <w:sz w:val="24"/>
          <w:szCs w:val="24"/>
        </w:rPr>
        <w:t>E.ON</w:t>
      </w:r>
      <w:proofErr w:type="gramEnd"/>
      <w:r w:rsidRPr="00F60A11">
        <w:rPr>
          <w:rFonts w:ascii="Times New Roman" w:hAnsi="Times New Roman" w:cs="Times New Roman"/>
          <w:color w:val="000000" w:themeColor="text1"/>
          <w:sz w:val="24"/>
          <w:szCs w:val="24"/>
        </w:rPr>
        <w:t xml:space="preserve">, expressing concern that these companies used exclusive access to gas transportation facilities to effectively limit competition in their market areas. As a result, these companies reached agreement with the competition authorities to reduce their long-term capacity reservations (capacity release programmes were agreed between GDF Suez, Eni and </w:t>
      </w:r>
      <w:proofErr w:type="gramStart"/>
      <w:r w:rsidRPr="00F60A11">
        <w:rPr>
          <w:rFonts w:ascii="Times New Roman" w:hAnsi="Times New Roman" w:cs="Times New Roman"/>
          <w:color w:val="000000" w:themeColor="text1"/>
          <w:sz w:val="24"/>
          <w:szCs w:val="24"/>
        </w:rPr>
        <w:t>E.ON</w:t>
      </w:r>
      <w:proofErr w:type="gramEnd"/>
      <w:r w:rsidRPr="00F60A11">
        <w:rPr>
          <w:rFonts w:ascii="Times New Roman" w:hAnsi="Times New Roman" w:cs="Times New Roman"/>
          <w:color w:val="000000" w:themeColor="text1"/>
          <w:sz w:val="24"/>
          <w:szCs w:val="24"/>
        </w:rPr>
        <w:t xml:space="preserve">) to allow new suppliers to enter the market (European Commission (EC), 2009a; EC 2009b; EC 2010). At the same time, national antitrust authorities also </w:t>
      </w:r>
      <w:r w:rsidR="00736BC6" w:rsidRPr="00F60A11">
        <w:rPr>
          <w:rFonts w:ascii="Times New Roman" w:hAnsi="Times New Roman" w:cs="Times New Roman"/>
          <w:color w:val="000000" w:themeColor="text1"/>
          <w:sz w:val="24"/>
          <w:szCs w:val="24"/>
        </w:rPr>
        <w:t>investigated</w:t>
      </w:r>
      <w:r w:rsidRPr="00F60A11">
        <w:rPr>
          <w:rFonts w:ascii="Times New Roman" w:hAnsi="Times New Roman" w:cs="Times New Roman"/>
          <w:color w:val="000000" w:themeColor="text1"/>
          <w:sz w:val="24"/>
          <w:szCs w:val="24"/>
        </w:rPr>
        <w:t xml:space="preserve"> the state of market competition further downstream, including LTCs between second-tier suppliers and larger importers. For example, Germany’s national antitrust authority (BKartA) introduced limitations on contract duration and supply quotas for a period of three years (2007</w:t>
      </w:r>
      <w:r w:rsidR="004B5525">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2010) to enable more downstream competition by allowing second-tier buyers to switch suppliers (European Competition Network, 2010). </w:t>
      </w:r>
      <w:proofErr w:type="gramStart"/>
      <w:r w:rsidRPr="00F60A11">
        <w:rPr>
          <w:rFonts w:ascii="Times New Roman" w:hAnsi="Times New Roman" w:cs="Times New Roman"/>
          <w:color w:val="000000" w:themeColor="text1"/>
          <w:sz w:val="24"/>
          <w:szCs w:val="24"/>
        </w:rPr>
        <w:t>As a result of</w:t>
      </w:r>
      <w:proofErr w:type="gramEnd"/>
      <w:r w:rsidRPr="00F60A11">
        <w:rPr>
          <w:rFonts w:ascii="Times New Roman" w:hAnsi="Times New Roman" w:cs="Times New Roman"/>
          <w:color w:val="000000" w:themeColor="text1"/>
          <w:sz w:val="24"/>
          <w:szCs w:val="24"/>
        </w:rPr>
        <w:t xml:space="preserve"> this regulatory intervention, many second-tier suppliers such as power generators and local distribution companies became part of the gas value chain. </w:t>
      </w:r>
    </w:p>
    <w:p w14:paraId="7B340332" w14:textId="42882BF0" w:rsidR="00E2434B" w:rsidRPr="00F60A11" w:rsidRDefault="00E2434B"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The pricing of gas in LTCs has also undergone substantial changes. The liberali</w:t>
      </w:r>
      <w:r w:rsidR="005450EC">
        <w:rPr>
          <w:rFonts w:ascii="Times New Roman" w:hAnsi="Times New Roman" w:cs="Times New Roman"/>
          <w:color w:val="000000" w:themeColor="text1"/>
          <w:sz w:val="24"/>
          <w:szCs w:val="24"/>
        </w:rPr>
        <w:t>s</w:t>
      </w:r>
      <w:r w:rsidRPr="00F60A11">
        <w:rPr>
          <w:rFonts w:ascii="Times New Roman" w:hAnsi="Times New Roman" w:cs="Times New Roman"/>
          <w:color w:val="000000" w:themeColor="text1"/>
          <w:sz w:val="24"/>
          <w:szCs w:val="24"/>
        </w:rPr>
        <w:t>ation of gas markets in Europe coupled with (i) increased investment in LNG import terminals to benefit from global LNG trade</w:t>
      </w:r>
      <w:r w:rsidR="00EA68BA" w:rsidRPr="00F60A11">
        <w:rPr>
          <w:rFonts w:ascii="Times New Roman" w:hAnsi="Times New Roman" w:cs="Times New Roman"/>
          <w:color w:val="000000" w:themeColor="text1"/>
          <w:sz w:val="24"/>
          <w:szCs w:val="24"/>
        </w:rPr>
        <w:t xml:space="preserve"> (</w:t>
      </w:r>
      <w:r w:rsidR="00B43520" w:rsidRPr="00F60A11">
        <w:rPr>
          <w:rFonts w:ascii="Times New Roman" w:hAnsi="Times New Roman" w:cs="Times New Roman"/>
          <w:color w:val="000000" w:themeColor="text1"/>
          <w:sz w:val="24"/>
          <w:szCs w:val="24"/>
        </w:rPr>
        <w:t xml:space="preserve">see </w:t>
      </w:r>
      <w:r w:rsidR="00B43520" w:rsidRPr="00F60A11">
        <w:rPr>
          <w:rFonts w:ascii="Times New Roman" w:hAnsi="Times New Roman" w:cs="Times New Roman"/>
          <w:color w:val="000000" w:themeColor="text1"/>
          <w:sz w:val="24"/>
          <w:szCs w:val="24"/>
        </w:rPr>
        <w:fldChar w:fldCharType="begin"/>
      </w:r>
      <w:r w:rsidR="00B43520" w:rsidRPr="00F60A11">
        <w:rPr>
          <w:rFonts w:ascii="Times New Roman" w:hAnsi="Times New Roman" w:cs="Times New Roman"/>
          <w:color w:val="000000" w:themeColor="text1"/>
          <w:sz w:val="24"/>
          <w:szCs w:val="24"/>
        </w:rPr>
        <w:instrText xml:space="preserve"> REF _Ref519941615 \h </w:instrText>
      </w:r>
      <w:r w:rsidR="00B43520" w:rsidRPr="00F60A11">
        <w:rPr>
          <w:rFonts w:ascii="Times New Roman" w:hAnsi="Times New Roman" w:cs="Times New Roman"/>
          <w:color w:val="000000" w:themeColor="text1"/>
          <w:sz w:val="24"/>
          <w:szCs w:val="24"/>
        </w:rPr>
      </w:r>
      <w:r w:rsidR="00B43520" w:rsidRPr="00F60A11">
        <w:rPr>
          <w:rFonts w:ascii="Times New Roman" w:hAnsi="Times New Roman" w:cs="Times New Roman"/>
          <w:color w:val="000000" w:themeColor="text1"/>
          <w:sz w:val="24"/>
          <w:szCs w:val="24"/>
        </w:rPr>
        <w:fldChar w:fldCharType="separate"/>
      </w:r>
      <w:r w:rsidR="005450EC" w:rsidRPr="00F60A11">
        <w:rPr>
          <w:rFonts w:ascii="Times New Roman" w:hAnsi="Times New Roman" w:cs="Times New Roman"/>
          <w:color w:val="000000" w:themeColor="text1"/>
          <w:sz w:val="24"/>
          <w:szCs w:val="24"/>
        </w:rPr>
        <w:t xml:space="preserve">Table </w:t>
      </w:r>
      <w:r w:rsidR="005450EC" w:rsidRPr="00F60A11">
        <w:rPr>
          <w:rFonts w:ascii="Times New Roman" w:hAnsi="Times New Roman" w:cs="Times New Roman"/>
          <w:noProof/>
          <w:color w:val="000000" w:themeColor="text1"/>
          <w:sz w:val="24"/>
          <w:szCs w:val="24"/>
        </w:rPr>
        <w:t>3</w:t>
      </w:r>
      <w:r w:rsidR="00B43520" w:rsidRPr="00F60A11">
        <w:rPr>
          <w:rFonts w:ascii="Times New Roman" w:hAnsi="Times New Roman" w:cs="Times New Roman"/>
          <w:color w:val="000000" w:themeColor="text1"/>
          <w:sz w:val="24"/>
          <w:szCs w:val="24"/>
        </w:rPr>
        <w:fldChar w:fldCharType="end"/>
      </w:r>
      <w:r w:rsidR="00EA68BA" w:rsidRPr="00F60A11">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and (ii) low gas demand following the economic crisis of 2008 and increased inter-fuel competition (e.g.</w:t>
      </w:r>
      <w:r w:rsidR="00AE78C0">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uptake of coal and renewables in European electricity generation) forced European buyers to renegotiate pricing mechanisms in their traditional contracts with pipeline suppliers. As such, since around 2010, a pricing system has emerged in Europe based on long-term oil-indexed contracts </w:t>
      </w:r>
      <w:r w:rsidR="004B5525">
        <w:rPr>
          <w:rFonts w:ascii="Times New Roman" w:hAnsi="Times New Roman" w:cs="Times New Roman"/>
          <w:color w:val="000000" w:themeColor="text1"/>
          <w:sz w:val="24"/>
          <w:szCs w:val="24"/>
        </w:rPr>
        <w:t>and</w:t>
      </w:r>
      <w:r w:rsidRPr="00F60A11">
        <w:rPr>
          <w:rFonts w:ascii="Times New Roman" w:hAnsi="Times New Roman" w:cs="Times New Roman"/>
          <w:color w:val="000000" w:themeColor="text1"/>
          <w:sz w:val="24"/>
          <w:szCs w:val="24"/>
        </w:rPr>
        <w:t xml:space="preserve"> market prices settled in trading hubs </w:t>
      </w:r>
      <w:r w:rsidR="00D23B85">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the National Balancing Point</w:t>
      </w:r>
      <w:r w:rsidR="004B5525">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NBP</w:t>
      </w:r>
      <w:r w:rsidR="004B5525">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in the UK and the</w:t>
      </w:r>
      <w:r w:rsidR="005450EC">
        <w:rPr>
          <w:rFonts w:ascii="Times New Roman" w:hAnsi="Times New Roman" w:cs="Times New Roman"/>
          <w:color w:val="000000" w:themeColor="text1"/>
          <w:sz w:val="24"/>
          <w:szCs w:val="24"/>
        </w:rPr>
        <w:t xml:space="preserve"> </w:t>
      </w:r>
      <w:r w:rsidR="005450EC" w:rsidRPr="005450EC">
        <w:rPr>
          <w:rFonts w:ascii="Times New Roman" w:hAnsi="Times New Roman" w:cs="Times New Roman"/>
          <w:color w:val="000000" w:themeColor="text1"/>
          <w:sz w:val="24"/>
          <w:szCs w:val="24"/>
        </w:rPr>
        <w:t>Title Transfer Facility (TTF) Virtual Trading Point</w:t>
      </w:r>
      <w:r w:rsidRPr="00F60A11">
        <w:rPr>
          <w:rFonts w:ascii="Times New Roman" w:hAnsi="Times New Roman" w:cs="Times New Roman"/>
          <w:color w:val="000000" w:themeColor="text1"/>
          <w:sz w:val="24"/>
          <w:szCs w:val="24"/>
        </w:rPr>
        <w:t xml:space="preserve"> in Continental Europe</w:t>
      </w:r>
      <w:r w:rsidR="00D23B85">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w:t>
      </w:r>
    </w:p>
    <w:p w14:paraId="156B8B67" w14:textId="45D85A59" w:rsidR="00E2434B" w:rsidRPr="00F60A11" w:rsidRDefault="009D42B9"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Because of</w:t>
      </w:r>
      <w:r w:rsidR="00E2434B" w:rsidRPr="00F60A11">
        <w:rPr>
          <w:rFonts w:ascii="Times New Roman" w:hAnsi="Times New Roman" w:cs="Times New Roman"/>
          <w:color w:val="000000" w:themeColor="text1"/>
          <w:sz w:val="24"/>
          <w:szCs w:val="24"/>
        </w:rPr>
        <w:t xml:space="preserve"> these regulatory interventions and changes in market dynamics, it is estimated that the overall volume of spot gas trade in Europe stood at 43% in 2013 (Société Générale, 2013), rising to 6</w:t>
      </w:r>
      <w:r w:rsidR="00864CCF" w:rsidRPr="00F60A11">
        <w:rPr>
          <w:rFonts w:ascii="Times New Roman" w:hAnsi="Times New Roman" w:cs="Times New Roman"/>
          <w:color w:val="000000" w:themeColor="text1"/>
          <w:sz w:val="24"/>
          <w:szCs w:val="24"/>
        </w:rPr>
        <w:t>6</w:t>
      </w:r>
      <w:r w:rsidR="00E2434B" w:rsidRPr="00F60A11">
        <w:rPr>
          <w:rFonts w:ascii="Times New Roman" w:hAnsi="Times New Roman" w:cs="Times New Roman"/>
          <w:color w:val="000000" w:themeColor="text1"/>
          <w:sz w:val="24"/>
          <w:szCs w:val="24"/>
        </w:rPr>
        <w:t>% in 201</w:t>
      </w:r>
      <w:r w:rsidR="00AF4F67" w:rsidRPr="00F60A11">
        <w:rPr>
          <w:rFonts w:ascii="Times New Roman" w:hAnsi="Times New Roman" w:cs="Times New Roman"/>
          <w:color w:val="000000" w:themeColor="text1"/>
          <w:sz w:val="24"/>
          <w:szCs w:val="24"/>
        </w:rPr>
        <w:t>6</w:t>
      </w:r>
      <w:r w:rsidR="00E2434B" w:rsidRPr="00F60A11">
        <w:rPr>
          <w:rFonts w:ascii="Times New Roman" w:hAnsi="Times New Roman" w:cs="Times New Roman"/>
          <w:color w:val="000000" w:themeColor="text1"/>
          <w:sz w:val="24"/>
          <w:szCs w:val="24"/>
        </w:rPr>
        <w:t xml:space="preserve"> (International Gas Union, 201</w:t>
      </w:r>
      <w:r w:rsidR="00AF4F67" w:rsidRPr="00F60A11">
        <w:rPr>
          <w:rFonts w:ascii="Times New Roman" w:hAnsi="Times New Roman" w:cs="Times New Roman"/>
          <w:color w:val="000000" w:themeColor="text1"/>
          <w:sz w:val="24"/>
          <w:szCs w:val="24"/>
        </w:rPr>
        <w:t>7</w:t>
      </w:r>
      <w:r w:rsidR="00E2434B" w:rsidRPr="00F60A11">
        <w:rPr>
          <w:rFonts w:ascii="Times New Roman" w:hAnsi="Times New Roman" w:cs="Times New Roman"/>
          <w:color w:val="000000" w:themeColor="text1"/>
          <w:sz w:val="24"/>
          <w:szCs w:val="24"/>
        </w:rPr>
        <w:t>), with the remainder being undertaken via traditional oil-indexed long-term bilateral contracts</w:t>
      </w:r>
      <w:r w:rsidR="00AF4F67" w:rsidRPr="00F60A11">
        <w:rPr>
          <w:rFonts w:ascii="Times New Roman" w:hAnsi="Times New Roman" w:cs="Times New Roman"/>
          <w:color w:val="000000" w:themeColor="text1"/>
          <w:sz w:val="24"/>
          <w:szCs w:val="24"/>
        </w:rPr>
        <w:t xml:space="preserve"> and other pricing mechanisms</w:t>
      </w:r>
      <w:r w:rsidR="00E2434B" w:rsidRPr="00F60A11">
        <w:rPr>
          <w:rFonts w:ascii="Times New Roman" w:hAnsi="Times New Roman" w:cs="Times New Roman"/>
          <w:color w:val="000000" w:themeColor="text1"/>
          <w:sz w:val="24"/>
          <w:szCs w:val="24"/>
        </w:rPr>
        <w:t>.</w:t>
      </w:r>
    </w:p>
    <w:p w14:paraId="59CFBA2B" w14:textId="248BBDFB" w:rsidR="00E2434B" w:rsidRPr="00F60A11" w:rsidRDefault="00E2434B"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lastRenderedPageBreak/>
        <w:t xml:space="preserve">Thus, the organisational form of gas trade in Europe has changed quite dramatically, with increasing trade volumes being transacted through organised markets rather than being dominated by bilateral contracts, as used to be the case. This point is also reinforced by the fact that the emergence of spot and futures markets for gas trade greatly reduces </w:t>
      </w:r>
      <w:r w:rsidR="004B5525">
        <w:rPr>
          <w:rFonts w:ascii="Times New Roman" w:hAnsi="Times New Roman" w:cs="Times New Roman"/>
          <w:color w:val="000000" w:themeColor="text1"/>
          <w:sz w:val="24"/>
          <w:szCs w:val="24"/>
        </w:rPr>
        <w:t xml:space="preserve">the </w:t>
      </w:r>
      <w:r w:rsidRPr="00F60A11">
        <w:rPr>
          <w:rFonts w:ascii="Times New Roman" w:hAnsi="Times New Roman" w:cs="Times New Roman"/>
          <w:color w:val="000000" w:themeColor="text1"/>
          <w:sz w:val="24"/>
          <w:szCs w:val="24"/>
        </w:rPr>
        <w:t>transaction costs of long-term contracting because (i) contracts are standardised and hence easily transferable (traded) and (ii) prices are set transparently via multiple trades rather than costly bilateral (re)negotiations (for a detailed discussion on this point</w:t>
      </w:r>
      <w:r w:rsidR="004B5525">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see Doane and Spulber, 1994.).</w:t>
      </w:r>
    </w:p>
    <w:p w14:paraId="1125F5F7" w14:textId="051388CE" w:rsidR="00E2434B" w:rsidRPr="00F60A11" w:rsidRDefault="00E2434B"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Furthermore, the industry structure in Europe developed in response to changes in regulatory developments</w:t>
      </w:r>
      <w:r w:rsidR="004560AF" w:rsidRPr="00F60A11">
        <w:rPr>
          <w:rFonts w:ascii="Times New Roman" w:hAnsi="Times New Roman" w:cs="Times New Roman"/>
          <w:color w:val="000000" w:themeColor="text1"/>
          <w:sz w:val="24"/>
          <w:szCs w:val="24"/>
        </w:rPr>
        <w:t xml:space="preserve"> aimed at </w:t>
      </w:r>
      <w:r w:rsidR="00D55F2C" w:rsidRPr="00F60A11">
        <w:rPr>
          <w:rFonts w:ascii="Times New Roman" w:hAnsi="Times New Roman" w:cs="Times New Roman"/>
          <w:color w:val="000000" w:themeColor="text1"/>
          <w:sz w:val="24"/>
          <w:szCs w:val="24"/>
        </w:rPr>
        <w:t>creating a single market for gas in Europe</w:t>
      </w:r>
      <w:r w:rsidRPr="00F60A11">
        <w:rPr>
          <w:rFonts w:ascii="Times New Roman" w:hAnsi="Times New Roman" w:cs="Times New Roman"/>
          <w:color w:val="000000" w:themeColor="text1"/>
          <w:sz w:val="24"/>
          <w:szCs w:val="24"/>
        </w:rPr>
        <w:t xml:space="preserve"> as well as to the degree of asset specificity involved in gas trade.</w:t>
      </w:r>
    </w:p>
    <w:p w14:paraId="5B9841C9" w14:textId="5973F763"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In the early days of the European gas industry, buyers and sellers relied on very large LTCs (in terms of offtake quantities)</w:t>
      </w:r>
      <w:r w:rsidR="007B2085" w:rsidRPr="00F60A11">
        <w:rPr>
          <w:rFonts w:ascii="Times New Roman" w:hAnsi="Times New Roman" w:cs="Times New Roman"/>
          <w:color w:val="000000" w:themeColor="text1"/>
          <w:sz w:val="24"/>
          <w:szCs w:val="24"/>
        </w:rPr>
        <w:t xml:space="preserve"> (see </w:t>
      </w:r>
      <w:r w:rsidR="006E5E05" w:rsidRPr="00F60A11">
        <w:rPr>
          <w:rFonts w:ascii="Times New Roman" w:hAnsi="Times New Roman" w:cs="Times New Roman"/>
          <w:color w:val="000000" w:themeColor="text1"/>
          <w:sz w:val="24"/>
          <w:szCs w:val="24"/>
        </w:rPr>
        <w:fldChar w:fldCharType="begin"/>
      </w:r>
      <w:r w:rsidR="006E5E05" w:rsidRPr="00F60A11">
        <w:rPr>
          <w:rFonts w:ascii="Times New Roman" w:hAnsi="Times New Roman" w:cs="Times New Roman"/>
          <w:color w:val="000000" w:themeColor="text1"/>
          <w:sz w:val="24"/>
          <w:szCs w:val="24"/>
        </w:rPr>
        <w:instrText xml:space="preserve"> REF _Ref520194554 \h </w:instrText>
      </w:r>
      <w:r w:rsidR="006E5E05" w:rsidRPr="00F60A11">
        <w:rPr>
          <w:rFonts w:ascii="Times New Roman" w:hAnsi="Times New Roman" w:cs="Times New Roman"/>
          <w:color w:val="000000" w:themeColor="text1"/>
          <w:sz w:val="24"/>
          <w:szCs w:val="24"/>
        </w:rPr>
      </w:r>
      <w:r w:rsidR="006E5E05"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1</w:t>
      </w:r>
      <w:r w:rsidR="006E5E05" w:rsidRPr="00F60A11">
        <w:rPr>
          <w:rFonts w:ascii="Times New Roman" w:hAnsi="Times New Roman" w:cs="Times New Roman"/>
          <w:color w:val="000000" w:themeColor="text1"/>
          <w:sz w:val="24"/>
          <w:szCs w:val="24"/>
        </w:rPr>
        <w:fldChar w:fldCharType="end"/>
      </w:r>
      <w:r w:rsidR="007B2085"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to develop gas fields and finance long-distance, cross-border pipelines and transmission and distribution systems. These LTCs essentially covered at least two </w:t>
      </w:r>
      <w:r w:rsidR="001A0A48" w:rsidRPr="00F60A11">
        <w:rPr>
          <w:rFonts w:ascii="Times New Roman" w:hAnsi="Times New Roman" w:cs="Times New Roman"/>
          <w:color w:val="000000" w:themeColor="text1"/>
          <w:sz w:val="24"/>
          <w:szCs w:val="24"/>
        </w:rPr>
        <w:t>parts</w:t>
      </w:r>
      <w:r w:rsidRPr="00F60A11">
        <w:rPr>
          <w:rFonts w:ascii="Times New Roman" w:hAnsi="Times New Roman" w:cs="Times New Roman"/>
          <w:color w:val="000000" w:themeColor="text1"/>
          <w:sz w:val="24"/>
          <w:szCs w:val="24"/>
        </w:rPr>
        <w:t xml:space="preserve"> of the gas value chain: (i) production and (ii) transportation. On the buying side, buyers were vertically integrated (usually state-owned) companies, which helped them develop and control national transmission and local distribution systems as well as gas sales and marketing. On the selling side, producers were responsible for developing gas fields and the associated infrastructure as well as large-scale, long-distance pipelines that usually crossed the borders of more than one country. This is particularly true for Russian gas supplies, </w:t>
      </w:r>
      <w:r w:rsidR="00CF247E">
        <w:rPr>
          <w:rFonts w:ascii="Times New Roman" w:hAnsi="Times New Roman" w:cs="Times New Roman"/>
          <w:color w:val="000000" w:themeColor="text1"/>
          <w:sz w:val="24"/>
          <w:szCs w:val="24"/>
        </w:rPr>
        <w:t>the</w:t>
      </w:r>
      <w:r w:rsidR="00CF247E"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pipelines </w:t>
      </w:r>
      <w:r w:rsidR="00CF247E">
        <w:rPr>
          <w:rFonts w:ascii="Times New Roman" w:hAnsi="Times New Roman" w:cs="Times New Roman"/>
          <w:color w:val="000000" w:themeColor="text1"/>
          <w:sz w:val="24"/>
          <w:szCs w:val="24"/>
        </w:rPr>
        <w:t xml:space="preserve">for which </w:t>
      </w:r>
      <w:r w:rsidRPr="00F60A11">
        <w:rPr>
          <w:rFonts w:ascii="Times New Roman" w:hAnsi="Times New Roman" w:cs="Times New Roman"/>
          <w:color w:val="000000" w:themeColor="text1"/>
          <w:sz w:val="24"/>
          <w:szCs w:val="24"/>
        </w:rPr>
        <w:t>sometimes crossed more than three countries before reaching delivery points in Europe.</w:t>
      </w:r>
    </w:p>
    <w:p w14:paraId="196CE558" w14:textId="404F6741" w:rsidR="00225907"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Thus, the traditional model</w:t>
      </w:r>
      <w:proofErr w:type="gramStart"/>
      <w:r w:rsidR="0056677D">
        <w:rPr>
          <w:rFonts w:ascii="Times New Roman" w:hAnsi="Times New Roman" w:cs="Times New Roman"/>
          <w:color w:val="000000" w:themeColor="text1"/>
          <w:sz w:val="24"/>
          <w:szCs w:val="24"/>
        </w:rPr>
        <w:t>—</w:t>
      </w:r>
      <w:r w:rsidRPr="0031631C">
        <w:rPr>
          <w:rFonts w:ascii="Times New Roman" w:hAnsi="Times New Roman" w:cs="Times New Roman"/>
          <w:color w:val="000000" w:themeColor="text1"/>
          <w:sz w:val="24"/>
          <w:szCs w:val="24"/>
        </w:rPr>
        <w:t>‘</w:t>
      </w:r>
      <w:proofErr w:type="gramEnd"/>
      <w:r w:rsidRPr="0031631C">
        <w:rPr>
          <w:rFonts w:ascii="Times New Roman" w:hAnsi="Times New Roman" w:cs="Times New Roman"/>
          <w:color w:val="000000" w:themeColor="text1"/>
          <w:sz w:val="24"/>
          <w:szCs w:val="24"/>
        </w:rPr>
        <w:t>from wellhead to burner tip’</w:t>
      </w:r>
      <w:r w:rsidR="0056677D">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was effectively broken by EU legislation introduced to increase competition </w:t>
      </w:r>
      <w:r w:rsidR="0004612B" w:rsidRPr="00F60A11">
        <w:rPr>
          <w:rFonts w:ascii="Times New Roman" w:hAnsi="Times New Roman" w:cs="Times New Roman"/>
          <w:color w:val="000000" w:themeColor="text1"/>
          <w:sz w:val="24"/>
          <w:szCs w:val="24"/>
        </w:rPr>
        <w:t xml:space="preserve">and market integration </w:t>
      </w:r>
      <w:r w:rsidRPr="00F60A11">
        <w:rPr>
          <w:rFonts w:ascii="Times New Roman" w:hAnsi="Times New Roman" w:cs="Times New Roman"/>
          <w:color w:val="000000" w:themeColor="text1"/>
          <w:sz w:val="24"/>
          <w:szCs w:val="24"/>
        </w:rPr>
        <w:t xml:space="preserve">at the midstream and downstream levels of the European gas markets. Among other fundamental changes brought about by this legislation, one </w:t>
      </w:r>
      <w:proofErr w:type="gramStart"/>
      <w:r w:rsidRPr="00F60A11">
        <w:rPr>
          <w:rFonts w:ascii="Times New Roman" w:hAnsi="Times New Roman" w:cs="Times New Roman"/>
          <w:color w:val="000000" w:themeColor="text1"/>
          <w:sz w:val="24"/>
          <w:szCs w:val="24"/>
        </w:rPr>
        <w:t>particular structural</w:t>
      </w:r>
      <w:proofErr w:type="gramEnd"/>
      <w:r w:rsidRPr="00F60A11">
        <w:rPr>
          <w:rFonts w:ascii="Times New Roman" w:hAnsi="Times New Roman" w:cs="Times New Roman"/>
          <w:color w:val="000000" w:themeColor="text1"/>
          <w:sz w:val="24"/>
          <w:szCs w:val="24"/>
        </w:rPr>
        <w:t xml:space="preserve"> shift was the so-called </w:t>
      </w:r>
      <w:r w:rsidRPr="00F60A11">
        <w:rPr>
          <w:rFonts w:ascii="Times New Roman" w:hAnsi="Times New Roman" w:cs="Times New Roman"/>
          <w:i/>
          <w:color w:val="000000" w:themeColor="text1"/>
          <w:sz w:val="24"/>
          <w:szCs w:val="24"/>
        </w:rPr>
        <w:t>‘</w:t>
      </w:r>
      <w:r w:rsidRPr="0031631C">
        <w:rPr>
          <w:rFonts w:ascii="Times New Roman" w:hAnsi="Times New Roman" w:cs="Times New Roman"/>
          <w:color w:val="000000" w:themeColor="text1"/>
          <w:sz w:val="24"/>
          <w:szCs w:val="24"/>
        </w:rPr>
        <w:t>unbundling’</w:t>
      </w:r>
      <w:r w:rsidRPr="00F60A11">
        <w:rPr>
          <w:rFonts w:ascii="Times New Roman" w:hAnsi="Times New Roman" w:cs="Times New Roman"/>
          <w:color w:val="000000" w:themeColor="text1"/>
          <w:sz w:val="24"/>
          <w:szCs w:val="24"/>
        </w:rPr>
        <w:t xml:space="preserve"> or breaking up of vertically integrated utility companies on the buy side, which could no longer control infrastructure components of the gas business. Transmission and distribution within Europe, previously seen as natural monopolies, are now managed by independent companies and are subject to regulation in terms of service quality and tariff setting.</w:t>
      </w:r>
    </w:p>
    <w:p w14:paraId="7B209B2D" w14:textId="2CB2E6B4"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Thus, on the buy side at least, the transportation component became a separate regulated business activity and was no longer part of the chain of traditional LTCs between producers and buyers. A second structural shift was the introduction of third-party access to transport infrastructure in Europe; i.e.</w:t>
      </w:r>
      <w:r w:rsidR="00CF247E">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should there be demand for access to transport capacity, the independent operator should grant </w:t>
      </w:r>
      <w:r w:rsidRPr="00F60A11">
        <w:rPr>
          <w:rFonts w:ascii="Times New Roman" w:hAnsi="Times New Roman" w:cs="Times New Roman"/>
          <w:color w:val="000000" w:themeColor="text1"/>
          <w:sz w:val="24"/>
          <w:szCs w:val="24"/>
        </w:rPr>
        <w:lastRenderedPageBreak/>
        <w:t>such access subject to technical and other requirements that are transparent to all market participants. Together</w:t>
      </w:r>
      <w:r w:rsidR="00CF247E">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these two changes meant that gas transportation infrastructure in Europe no longer posed a high risk for opportunism because these regulations essentially reduced the degree of asset specificity involved in gas transactions between buyers and sellers. Although investment in transmission and distribution is still durable and capital intensive, albeit less so than it used to be, it is now less risky due to these sectors being regulated monopolies</w:t>
      </w:r>
      <w:r w:rsidR="00F251CB" w:rsidRPr="00F60A11">
        <w:rPr>
          <w:rFonts w:ascii="Times New Roman" w:hAnsi="Times New Roman" w:cs="Times New Roman"/>
          <w:color w:val="000000" w:themeColor="text1"/>
          <w:sz w:val="24"/>
          <w:szCs w:val="24"/>
        </w:rPr>
        <w:t>.</w:t>
      </w:r>
    </w:p>
    <w:p w14:paraId="2CEE016A" w14:textId="4F5313C0"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In addition to changes in how gas transport infrastructure is governed in Europe, both pipelines and LNG, as a mode of transporting gas, have been subject to substantial cost reductions</w:t>
      </w:r>
      <w:r w:rsidR="0056677D">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or capital intensiveness</w:t>
      </w:r>
      <w:r w:rsidR="0056677D">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due to technological improvements. For a detailed discussion of cost reductions in pipeline and LNG transport see, for example, papers by Cornot-Gandolphe et al. (2003) and Jensen (2003). All else being equal, </w:t>
      </w:r>
      <w:r w:rsidR="00212718" w:rsidRPr="00F60A11">
        <w:rPr>
          <w:rFonts w:ascii="Times New Roman" w:hAnsi="Times New Roman" w:cs="Times New Roman"/>
          <w:color w:val="000000" w:themeColor="text1"/>
          <w:sz w:val="24"/>
          <w:szCs w:val="24"/>
        </w:rPr>
        <w:t>reduction</w:t>
      </w:r>
      <w:r w:rsidR="00913FA0" w:rsidRPr="00F60A11">
        <w:rPr>
          <w:rFonts w:ascii="Times New Roman" w:hAnsi="Times New Roman" w:cs="Times New Roman"/>
          <w:color w:val="000000" w:themeColor="text1"/>
          <w:sz w:val="24"/>
          <w:szCs w:val="24"/>
        </w:rPr>
        <w:t xml:space="preserve"> in</w:t>
      </w:r>
      <w:r w:rsidRPr="00F60A11">
        <w:rPr>
          <w:rFonts w:ascii="Times New Roman" w:hAnsi="Times New Roman" w:cs="Times New Roman"/>
          <w:color w:val="000000" w:themeColor="text1"/>
          <w:sz w:val="24"/>
          <w:szCs w:val="24"/>
        </w:rPr>
        <w:t xml:space="preserve"> capital intensiveness leads to lower risks and potential losses arising from the ex post hold-up problem. The reduced risk of hold-ups together with the changes in organisational form for the investment in and management of transport assets in Europe means that there is no longer a rationale for including these assets in traditional long-term purchase contracts between buyers and sellers, as was the case when the industry began to develop in the 1960s and 1970s. </w:t>
      </w:r>
    </w:p>
    <w:p w14:paraId="41B900EC" w14:textId="292BD374"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Turning now to the selling side, production facilities, such as gas wells and treatment facilities, are not highly </w:t>
      </w:r>
      <w:r w:rsidR="00F029BE" w:rsidRPr="00F60A11">
        <w:rPr>
          <w:rFonts w:ascii="Times New Roman" w:hAnsi="Times New Roman" w:cs="Times New Roman"/>
          <w:color w:val="000000" w:themeColor="text1"/>
          <w:sz w:val="24"/>
          <w:szCs w:val="24"/>
        </w:rPr>
        <w:t>asset</w:t>
      </w:r>
      <w:r w:rsidR="00F029BE">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specific</w:t>
      </w:r>
      <w:r w:rsidRPr="00DE0337">
        <w:rPr>
          <w:rFonts w:ascii="Times New Roman" w:hAnsi="Times New Roman" w:cs="Times New Roman"/>
          <w:color w:val="000000" w:themeColor="text1"/>
          <w:sz w:val="24"/>
          <w:szCs w:val="24"/>
        </w:rPr>
        <w:t xml:space="preserve"> </w:t>
      </w:r>
      <w:r w:rsidRPr="00467770">
        <w:rPr>
          <w:rFonts w:ascii="Times New Roman" w:hAnsi="Times New Roman" w:cs="Times New Roman"/>
          <w:color w:val="000000" w:themeColor="text1"/>
          <w:sz w:val="24"/>
          <w:szCs w:val="24"/>
        </w:rPr>
        <w:t>per se</w:t>
      </w:r>
      <w:r w:rsidRPr="00F60A11">
        <w:rPr>
          <w:rFonts w:ascii="Times New Roman" w:hAnsi="Times New Roman" w:cs="Times New Roman"/>
          <w:color w:val="000000" w:themeColor="text1"/>
          <w:sz w:val="24"/>
          <w:szCs w:val="24"/>
        </w:rPr>
        <w:t xml:space="preserve"> and can be used to produce gas for sales to any buyer or market provided transportation to these markets and buyers is already established. Thus, the high asset specificity in the gas industry lies simply in transportation assets</w:t>
      </w:r>
      <w:r w:rsidR="00BD5B2F" w:rsidRPr="00F60A11">
        <w:rPr>
          <w:rFonts w:ascii="Times New Roman" w:hAnsi="Times New Roman" w:cs="Times New Roman"/>
          <w:color w:val="000000" w:themeColor="text1"/>
          <w:sz w:val="24"/>
          <w:szCs w:val="24"/>
        </w:rPr>
        <w:t xml:space="preserve"> (for a detailed discussion of this point</w:t>
      </w:r>
      <w:r w:rsidR="00DE0337">
        <w:rPr>
          <w:rFonts w:ascii="Times New Roman" w:hAnsi="Times New Roman" w:cs="Times New Roman"/>
          <w:color w:val="000000" w:themeColor="text1"/>
          <w:sz w:val="24"/>
          <w:szCs w:val="24"/>
        </w:rPr>
        <w:t>,</w:t>
      </w:r>
      <w:r w:rsidR="00BD5B2F" w:rsidRPr="00F60A11">
        <w:rPr>
          <w:rFonts w:ascii="Times New Roman" w:hAnsi="Times New Roman" w:cs="Times New Roman"/>
          <w:color w:val="000000" w:themeColor="text1"/>
          <w:sz w:val="24"/>
          <w:szCs w:val="24"/>
        </w:rPr>
        <w:t xml:space="preserve"> see Doane and Spulber, 1994)</w:t>
      </w:r>
      <w:r w:rsidRPr="00F60A11">
        <w:rPr>
          <w:rFonts w:ascii="Times New Roman" w:hAnsi="Times New Roman" w:cs="Times New Roman"/>
          <w:color w:val="000000" w:themeColor="text1"/>
          <w:sz w:val="24"/>
          <w:szCs w:val="24"/>
        </w:rPr>
        <w:t xml:space="preserve">, and in Europe, a part of these assets is now under regulation and pose a low risk of hold-ups. The only remaining issue is the long-distance pipelines connecting producers to European border points, most of which have already been developed as part of the first wave of LTCs </w:t>
      </w:r>
      <w:r w:rsidR="004E7536" w:rsidRPr="00F60A11">
        <w:rPr>
          <w:rFonts w:ascii="Times New Roman" w:hAnsi="Times New Roman" w:cs="Times New Roman"/>
          <w:color w:val="000000" w:themeColor="text1"/>
          <w:sz w:val="24"/>
          <w:szCs w:val="24"/>
        </w:rPr>
        <w:t xml:space="preserve">(see </w:t>
      </w:r>
      <w:r w:rsidR="004E7536" w:rsidRPr="00F60A11">
        <w:rPr>
          <w:rFonts w:ascii="Times New Roman" w:hAnsi="Times New Roman" w:cs="Times New Roman"/>
          <w:color w:val="000000" w:themeColor="text1"/>
          <w:sz w:val="24"/>
          <w:szCs w:val="24"/>
        </w:rPr>
        <w:fldChar w:fldCharType="begin"/>
      </w:r>
      <w:r w:rsidR="004E7536" w:rsidRPr="00F60A11">
        <w:rPr>
          <w:rFonts w:ascii="Times New Roman" w:hAnsi="Times New Roman" w:cs="Times New Roman"/>
          <w:color w:val="000000" w:themeColor="text1"/>
          <w:sz w:val="24"/>
          <w:szCs w:val="24"/>
        </w:rPr>
        <w:instrText xml:space="preserve"> REF _Ref520194554 \h </w:instrText>
      </w:r>
      <w:r w:rsidR="004E7536" w:rsidRPr="00F60A11">
        <w:rPr>
          <w:rFonts w:ascii="Times New Roman" w:hAnsi="Times New Roman" w:cs="Times New Roman"/>
          <w:color w:val="000000" w:themeColor="text1"/>
          <w:sz w:val="24"/>
          <w:szCs w:val="24"/>
        </w:rPr>
      </w:r>
      <w:r w:rsidR="004E7536"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1</w:t>
      </w:r>
      <w:r w:rsidR="004E7536" w:rsidRPr="00F60A11">
        <w:rPr>
          <w:rFonts w:ascii="Times New Roman" w:hAnsi="Times New Roman" w:cs="Times New Roman"/>
          <w:color w:val="000000" w:themeColor="text1"/>
          <w:sz w:val="24"/>
          <w:szCs w:val="24"/>
        </w:rPr>
        <w:fldChar w:fldCharType="end"/>
      </w:r>
      <w:r w:rsidR="004E7536"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between major producers (Russia, Norway and Algeria) and European buyers and have since been fully or substantially depreciated. </w:t>
      </w:r>
      <w:r w:rsidR="001A6692">
        <w:rPr>
          <w:rFonts w:ascii="Times New Roman" w:hAnsi="Times New Roman" w:cs="Times New Roman"/>
          <w:color w:val="000000" w:themeColor="text1"/>
          <w:sz w:val="24"/>
          <w:szCs w:val="24"/>
        </w:rPr>
        <w:t>I</w:t>
      </w:r>
      <w:r w:rsidRPr="00F60A11">
        <w:rPr>
          <w:rFonts w:ascii="Times New Roman" w:hAnsi="Times New Roman" w:cs="Times New Roman"/>
          <w:color w:val="000000" w:themeColor="text1"/>
          <w:sz w:val="24"/>
          <w:szCs w:val="24"/>
        </w:rPr>
        <w:t xml:space="preserve"> exclude from this discussion the issue of the transit monopoly and associated risks of supplying Russian gas to Europe, which is beyond the scope of this paper. However, suffice </w:t>
      </w:r>
      <w:r w:rsidR="00DE0337">
        <w:rPr>
          <w:rFonts w:ascii="Times New Roman" w:hAnsi="Times New Roman" w:cs="Times New Roman"/>
          <w:color w:val="000000" w:themeColor="text1"/>
          <w:sz w:val="24"/>
          <w:szCs w:val="24"/>
        </w:rPr>
        <w:t xml:space="preserve">it </w:t>
      </w:r>
      <w:r w:rsidRPr="00F60A11">
        <w:rPr>
          <w:rFonts w:ascii="Times New Roman" w:hAnsi="Times New Roman" w:cs="Times New Roman"/>
          <w:color w:val="000000" w:themeColor="text1"/>
          <w:sz w:val="24"/>
          <w:szCs w:val="24"/>
        </w:rPr>
        <w:t>to say that the perceived high monopoly power of transit countries and associated risks of rent expropriation by such transit countries motivates producers, such as Russia, to seek new capacity that it can control via LTCs or some other form of vertical integration</w:t>
      </w:r>
      <w:r w:rsidRPr="00F60A11">
        <w:rPr>
          <w:rStyle w:val="FootnoteReference"/>
          <w:rFonts w:ascii="Times New Roman" w:hAnsi="Times New Roman" w:cs="Times New Roman"/>
          <w:color w:val="000000" w:themeColor="text1"/>
          <w:sz w:val="24"/>
          <w:szCs w:val="24"/>
        </w:rPr>
        <w:footnoteReference w:id="4"/>
      </w:r>
      <w:r w:rsidR="00DE0337">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Nonetheless, </w:t>
      </w:r>
      <w:r w:rsidRPr="00F60A11">
        <w:rPr>
          <w:rFonts w:ascii="Times New Roman" w:hAnsi="Times New Roman" w:cs="Times New Roman"/>
          <w:color w:val="000000" w:themeColor="text1"/>
          <w:sz w:val="24"/>
          <w:szCs w:val="24"/>
        </w:rPr>
        <w:lastRenderedPageBreak/>
        <w:t>going forward</w:t>
      </w:r>
      <w:r w:rsidR="00DE0337">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it is expected that the need for such </w:t>
      </w:r>
      <w:r w:rsidRPr="00467770">
        <w:rPr>
          <w:rFonts w:ascii="Times New Roman" w:hAnsi="Times New Roman" w:cs="Times New Roman"/>
          <w:color w:val="000000" w:themeColor="text1"/>
          <w:sz w:val="24"/>
          <w:szCs w:val="24"/>
        </w:rPr>
        <w:t>‘transit-bypass’</w:t>
      </w:r>
      <w:r w:rsidRPr="00F60A11">
        <w:rPr>
          <w:rFonts w:ascii="Times New Roman" w:hAnsi="Times New Roman" w:cs="Times New Roman"/>
          <w:color w:val="000000" w:themeColor="text1"/>
          <w:sz w:val="24"/>
          <w:szCs w:val="24"/>
        </w:rPr>
        <w:t xml:space="preserve"> transport capacity will be minimal relative to the overall potential trade volume between Russia and Europe</w:t>
      </w:r>
      <w:r w:rsidRPr="00F60A11">
        <w:rPr>
          <w:rStyle w:val="FootnoteReference"/>
          <w:rFonts w:ascii="Times New Roman" w:hAnsi="Times New Roman" w:cs="Times New Roman"/>
          <w:color w:val="000000" w:themeColor="text1"/>
          <w:sz w:val="24"/>
          <w:szCs w:val="24"/>
        </w:rPr>
        <w:footnoteReference w:id="5"/>
      </w:r>
      <w:r w:rsidR="00DE0337">
        <w:rPr>
          <w:rFonts w:ascii="Times New Roman" w:hAnsi="Times New Roman" w:cs="Times New Roman"/>
          <w:color w:val="000000" w:themeColor="text1"/>
          <w:sz w:val="24"/>
          <w:szCs w:val="24"/>
        </w:rPr>
        <w:t>.</w:t>
      </w:r>
    </w:p>
    <w:p w14:paraId="71652729" w14:textId="0BC0D8A3" w:rsidR="00767FE8" w:rsidRPr="00F60A11" w:rsidRDefault="00DE0337" w:rsidP="00660B3D">
      <w:pPr>
        <w:spacing w:line="36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w:t>
      </w:r>
      <w:r w:rsidR="00767FE8" w:rsidRPr="00F60A11">
        <w:rPr>
          <w:rFonts w:ascii="Times New Roman" w:hAnsi="Times New Roman" w:cs="Times New Roman"/>
          <w:color w:val="000000" w:themeColor="text1"/>
          <w:sz w:val="24"/>
          <w:szCs w:val="24"/>
        </w:rPr>
        <w:t xml:space="preserve"> suggests that the role of LTCs in European gas trading will diminish substantially in the coming decades due to a decrease in (i) capital intensiveness and (ii) the level of asset specificity associated with changes in the regulatory regime governing the investment in and management of transport assets in Europe in particular and </w:t>
      </w:r>
      <w:r w:rsidR="007D2561">
        <w:rPr>
          <w:rFonts w:ascii="Times New Roman" w:hAnsi="Times New Roman" w:cs="Times New Roman"/>
          <w:color w:val="000000" w:themeColor="text1"/>
          <w:sz w:val="24"/>
          <w:szCs w:val="24"/>
        </w:rPr>
        <w:t xml:space="preserve">the </w:t>
      </w:r>
      <w:r w:rsidR="00767FE8" w:rsidRPr="00F60A11">
        <w:rPr>
          <w:rFonts w:ascii="Times New Roman" w:hAnsi="Times New Roman" w:cs="Times New Roman"/>
          <w:color w:val="000000" w:themeColor="text1"/>
          <w:sz w:val="24"/>
          <w:szCs w:val="24"/>
        </w:rPr>
        <w:t>liberali</w:t>
      </w:r>
      <w:r w:rsidR="00AC205F">
        <w:rPr>
          <w:rFonts w:ascii="Times New Roman" w:hAnsi="Times New Roman" w:cs="Times New Roman"/>
          <w:color w:val="000000" w:themeColor="text1"/>
          <w:sz w:val="24"/>
          <w:szCs w:val="24"/>
        </w:rPr>
        <w:t>z</w:t>
      </w:r>
      <w:r w:rsidR="00767FE8" w:rsidRPr="00F60A11">
        <w:rPr>
          <w:rFonts w:ascii="Times New Roman" w:hAnsi="Times New Roman" w:cs="Times New Roman"/>
          <w:color w:val="000000" w:themeColor="text1"/>
          <w:sz w:val="24"/>
          <w:szCs w:val="24"/>
        </w:rPr>
        <w:t xml:space="preserve">ation process in general as well as higher volumes of LNG in overall gas trade (LNG is a more flexible mode of trade and is hence less </w:t>
      </w:r>
      <w:r w:rsidR="007D2561" w:rsidRPr="00F60A11">
        <w:rPr>
          <w:rFonts w:ascii="Times New Roman" w:hAnsi="Times New Roman" w:cs="Times New Roman"/>
          <w:color w:val="000000" w:themeColor="text1"/>
          <w:sz w:val="24"/>
          <w:szCs w:val="24"/>
        </w:rPr>
        <w:t>asset</w:t>
      </w:r>
      <w:r w:rsidR="007D2561">
        <w:rPr>
          <w:rFonts w:ascii="Times New Roman" w:hAnsi="Times New Roman" w:cs="Times New Roman"/>
          <w:color w:val="000000" w:themeColor="text1"/>
          <w:sz w:val="24"/>
          <w:szCs w:val="24"/>
        </w:rPr>
        <w:t>-</w:t>
      </w:r>
      <w:r w:rsidR="00767FE8" w:rsidRPr="00F60A11">
        <w:rPr>
          <w:rFonts w:ascii="Times New Roman" w:hAnsi="Times New Roman" w:cs="Times New Roman"/>
          <w:color w:val="000000" w:themeColor="text1"/>
          <w:sz w:val="24"/>
          <w:szCs w:val="24"/>
        </w:rPr>
        <w:t xml:space="preserve">specific). Next, </w:t>
      </w:r>
      <w:r w:rsidR="001A6692">
        <w:rPr>
          <w:rFonts w:ascii="Times New Roman" w:hAnsi="Times New Roman" w:cs="Times New Roman"/>
          <w:color w:val="000000" w:themeColor="text1"/>
          <w:sz w:val="24"/>
          <w:szCs w:val="24"/>
        </w:rPr>
        <w:t>I</w:t>
      </w:r>
      <w:r w:rsidR="00767FE8" w:rsidRPr="00F60A11">
        <w:rPr>
          <w:rFonts w:ascii="Times New Roman" w:hAnsi="Times New Roman" w:cs="Times New Roman"/>
          <w:color w:val="000000" w:themeColor="text1"/>
          <w:sz w:val="24"/>
          <w:szCs w:val="24"/>
        </w:rPr>
        <w:t xml:space="preserve"> discuss some empirical and theoretical studies on the changing nature of the gas trade in Europe and the implications for LTCs. </w:t>
      </w:r>
    </w:p>
    <w:p w14:paraId="509C5065" w14:textId="77777777" w:rsidR="00767FE8" w:rsidRPr="00F60A11" w:rsidRDefault="00767FE8" w:rsidP="00660B3D">
      <w:pPr>
        <w:spacing w:line="360" w:lineRule="auto"/>
        <w:ind w:firstLine="567"/>
        <w:rPr>
          <w:rFonts w:ascii="Times New Roman" w:hAnsi="Times New Roman" w:cs="Times New Roman"/>
          <w:color w:val="000000" w:themeColor="text1"/>
          <w:sz w:val="24"/>
          <w:szCs w:val="24"/>
        </w:rPr>
      </w:pPr>
    </w:p>
    <w:p w14:paraId="17C52050" w14:textId="3C31B765" w:rsidR="00767FE8" w:rsidRPr="00F60A11" w:rsidRDefault="00A81A72" w:rsidP="00BF2E24">
      <w:pPr>
        <w:pStyle w:val="Heading1"/>
        <w:numPr>
          <w:ilvl w:val="0"/>
          <w:numId w:val="1"/>
        </w:numPr>
        <w:ind w:left="0" w:firstLine="0"/>
        <w:rPr>
          <w:rFonts w:ascii="Times New Roman" w:hAnsi="Times New Roman" w:cs="Times New Roman"/>
          <w:b/>
          <w:color w:val="000000" w:themeColor="text1"/>
          <w:sz w:val="24"/>
          <w:szCs w:val="24"/>
        </w:rPr>
      </w:pPr>
      <w:bookmarkStart w:id="4" w:name="_Toc437939499"/>
      <w:r w:rsidRPr="00F60A11">
        <w:rPr>
          <w:rFonts w:ascii="Times New Roman" w:hAnsi="Times New Roman" w:cs="Times New Roman"/>
          <w:b/>
          <w:color w:val="000000" w:themeColor="text1"/>
          <w:sz w:val="24"/>
          <w:szCs w:val="24"/>
        </w:rPr>
        <w:t xml:space="preserve">Effects of </w:t>
      </w:r>
      <w:r w:rsidR="002C71F5" w:rsidRPr="00F60A11">
        <w:rPr>
          <w:rFonts w:ascii="Times New Roman" w:hAnsi="Times New Roman" w:cs="Times New Roman"/>
          <w:b/>
          <w:color w:val="000000" w:themeColor="text1"/>
          <w:sz w:val="24"/>
          <w:szCs w:val="24"/>
        </w:rPr>
        <w:t xml:space="preserve">industry </w:t>
      </w:r>
      <w:r w:rsidRPr="00F60A11">
        <w:rPr>
          <w:rFonts w:ascii="Times New Roman" w:hAnsi="Times New Roman" w:cs="Times New Roman"/>
          <w:b/>
          <w:color w:val="000000" w:themeColor="text1"/>
          <w:sz w:val="24"/>
          <w:szCs w:val="24"/>
        </w:rPr>
        <w:t>liberalization on gas trade</w:t>
      </w:r>
      <w:r w:rsidR="002C71F5" w:rsidRPr="00F60A11">
        <w:rPr>
          <w:rFonts w:ascii="Times New Roman" w:hAnsi="Times New Roman" w:cs="Times New Roman"/>
          <w:b/>
          <w:color w:val="000000" w:themeColor="text1"/>
          <w:sz w:val="24"/>
          <w:szCs w:val="24"/>
        </w:rPr>
        <w:t xml:space="preserve"> in Europe</w:t>
      </w:r>
      <w:bookmarkEnd w:id="4"/>
    </w:p>
    <w:p w14:paraId="00756CF1" w14:textId="23F2FFB8" w:rsidR="00767FE8" w:rsidRPr="00F60A11" w:rsidRDefault="00767FE8"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The theoretical literature on LTCs in the gas industry outlines the conditions under which markets or LTCs dominate. For example, Doane and Spulber (1994) showed that changes in the regulatory framework towards increased competition through unbundling, third-party access and the regulation of pipelines in the US gas industry decreased transaction costs between buyers and sellers, thereby enhancing spot trade. As discussed, </w:t>
      </w:r>
      <w:proofErr w:type="spellStart"/>
      <w:r w:rsidRPr="00F60A11">
        <w:rPr>
          <w:rFonts w:ascii="Times New Roman" w:hAnsi="Times New Roman" w:cs="Times New Roman"/>
          <w:color w:val="000000" w:themeColor="text1"/>
          <w:sz w:val="24"/>
          <w:szCs w:val="24"/>
        </w:rPr>
        <w:t>Doane</w:t>
      </w:r>
      <w:proofErr w:type="spellEnd"/>
      <w:r w:rsidRPr="00F60A11">
        <w:rPr>
          <w:rFonts w:ascii="Times New Roman" w:hAnsi="Times New Roman" w:cs="Times New Roman"/>
          <w:color w:val="000000" w:themeColor="text1"/>
          <w:sz w:val="24"/>
          <w:szCs w:val="24"/>
        </w:rPr>
        <w:t xml:space="preserve"> and </w:t>
      </w:r>
      <w:proofErr w:type="spellStart"/>
      <w:r w:rsidRPr="00F60A11">
        <w:rPr>
          <w:rFonts w:ascii="Times New Roman" w:hAnsi="Times New Roman" w:cs="Times New Roman"/>
          <w:color w:val="000000" w:themeColor="text1"/>
          <w:sz w:val="24"/>
          <w:szCs w:val="24"/>
        </w:rPr>
        <w:t>Spulber</w:t>
      </w:r>
      <w:proofErr w:type="spellEnd"/>
      <w:r w:rsidRPr="00F60A11">
        <w:rPr>
          <w:rFonts w:ascii="Times New Roman" w:hAnsi="Times New Roman" w:cs="Times New Roman"/>
          <w:color w:val="000000" w:themeColor="text1"/>
          <w:sz w:val="24"/>
          <w:szCs w:val="24"/>
        </w:rPr>
        <w:t xml:space="preserve"> also stressed that the reduction in transaction costs comes from the fact that third-party access and the regulation of pipelines means purchase contracts do not need to be tied to a specific pipeline and producer</w:t>
      </w:r>
      <w:r w:rsidR="007D2561">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buyer pair. Brito and Hartley (2002) applied a microeconomic (search) model and showed that the length of long-term LNG contracts was likely to diminish with (i) the decreasing capital intensiveness of the assets involved in LNG transactions, (ii) increasing cost of capital (discount rate) and (iii) a larger number of players in the market (suppliers and buyers). Brito and Hartley (2007) and Hartley (2015) also suggest that the role of long-term LNG contracts will diminish as spot market liquidity increases. </w:t>
      </w:r>
      <w:proofErr w:type="gramStart"/>
      <w:r w:rsidRPr="00F60A11">
        <w:rPr>
          <w:rFonts w:ascii="Times New Roman" w:hAnsi="Times New Roman" w:cs="Times New Roman"/>
          <w:color w:val="000000" w:themeColor="text1"/>
          <w:sz w:val="24"/>
          <w:szCs w:val="24"/>
        </w:rPr>
        <w:t>In particular, Hartley</w:t>
      </w:r>
      <w:proofErr w:type="gramEnd"/>
      <w:r w:rsidRPr="00F60A11">
        <w:rPr>
          <w:rFonts w:ascii="Times New Roman" w:hAnsi="Times New Roman" w:cs="Times New Roman"/>
          <w:color w:val="000000" w:themeColor="text1"/>
          <w:sz w:val="24"/>
          <w:szCs w:val="24"/>
        </w:rPr>
        <w:t xml:space="preserve"> (2015) uses a microeconomic model to show the link between increased LNG market liquidity, greater volumes, and destination flexibility in contracts and increased short-term and spot market trades, reinforcing increases in market liquidity</w:t>
      </w:r>
      <w:r w:rsidRPr="00F60A11">
        <w:rPr>
          <w:rStyle w:val="FootnoteReference"/>
          <w:rFonts w:ascii="Times New Roman" w:hAnsi="Times New Roman" w:cs="Times New Roman"/>
          <w:color w:val="000000" w:themeColor="text1"/>
          <w:sz w:val="24"/>
          <w:szCs w:val="24"/>
        </w:rPr>
        <w:footnoteReference w:id="6"/>
      </w:r>
      <w:r w:rsidR="007D2561">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Parsons (1989)</w:t>
      </w:r>
      <w:r w:rsidR="007D2561">
        <w:rPr>
          <w:rFonts w:ascii="Times New Roman" w:hAnsi="Times New Roman" w:cs="Times New Roman"/>
          <w:color w:val="000000" w:themeColor="text1"/>
          <w:sz w:val="24"/>
          <w:szCs w:val="24"/>
        </w:rPr>
        <w:t xml:space="preserve"> obtained similar findings by applying </w:t>
      </w:r>
      <w:r w:rsidRPr="00F60A11">
        <w:rPr>
          <w:rFonts w:ascii="Times New Roman" w:hAnsi="Times New Roman" w:cs="Times New Roman"/>
          <w:color w:val="000000" w:themeColor="text1"/>
          <w:sz w:val="24"/>
          <w:szCs w:val="24"/>
        </w:rPr>
        <w:t xml:space="preserve">an </w:t>
      </w:r>
      <w:r w:rsidRPr="00F60A11">
        <w:rPr>
          <w:rFonts w:ascii="Times New Roman" w:hAnsi="Times New Roman" w:cs="Times New Roman"/>
          <w:color w:val="000000" w:themeColor="text1"/>
          <w:sz w:val="24"/>
          <w:szCs w:val="24"/>
        </w:rPr>
        <w:lastRenderedPageBreak/>
        <w:t>auction model to find the ‘strategic’ value</w:t>
      </w:r>
      <w:r w:rsidRPr="00F60A11">
        <w:rPr>
          <w:rStyle w:val="FootnoteReference"/>
          <w:rFonts w:ascii="Times New Roman" w:hAnsi="Times New Roman" w:cs="Times New Roman"/>
          <w:color w:val="000000" w:themeColor="text1"/>
          <w:sz w:val="24"/>
          <w:szCs w:val="24"/>
        </w:rPr>
        <w:footnoteReference w:id="7"/>
      </w:r>
      <w:r w:rsidRPr="00F60A11">
        <w:rPr>
          <w:rFonts w:ascii="Times New Roman" w:hAnsi="Times New Roman" w:cs="Times New Roman"/>
          <w:color w:val="000000" w:themeColor="text1"/>
          <w:sz w:val="24"/>
          <w:szCs w:val="24"/>
        </w:rPr>
        <w:t xml:space="preserve"> of long-term gas contracts signed by producers such as Russia, Norway and Canada. Parsons found that the value of such contracts for the producer diminishes as (i) the number of wholesale buyers increases and (ii) the cost structure decreases prior to spot sales (capital intensiveness).</w:t>
      </w:r>
    </w:p>
    <w:p w14:paraId="33E0FECB" w14:textId="2483DB73" w:rsidR="00767FE8" w:rsidRPr="00F60A11" w:rsidRDefault="007D2561" w:rsidP="00660B3D">
      <w:pPr>
        <w:spacing w:line="36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w:t>
      </w:r>
      <w:r w:rsidR="00767FE8" w:rsidRPr="00F60A11">
        <w:rPr>
          <w:rFonts w:ascii="Times New Roman" w:hAnsi="Times New Roman" w:cs="Times New Roman"/>
          <w:color w:val="000000" w:themeColor="text1"/>
          <w:sz w:val="24"/>
          <w:szCs w:val="24"/>
        </w:rPr>
        <w:t xml:space="preserve"> empirical work analyses the impact of the changing structure and asset specificity of the European gas industry on LTCs and on contract </w:t>
      </w:r>
      <w:proofErr w:type="gramStart"/>
      <w:r w:rsidR="00767FE8" w:rsidRPr="00F60A11">
        <w:rPr>
          <w:rFonts w:ascii="Times New Roman" w:hAnsi="Times New Roman" w:cs="Times New Roman"/>
          <w:color w:val="000000" w:themeColor="text1"/>
          <w:sz w:val="24"/>
          <w:szCs w:val="24"/>
        </w:rPr>
        <w:t>duration in particular</w:t>
      </w:r>
      <w:proofErr w:type="gramEnd"/>
      <w:r w:rsidR="00767FE8" w:rsidRPr="00F60A11">
        <w:rPr>
          <w:rFonts w:ascii="Times New Roman" w:hAnsi="Times New Roman" w:cs="Times New Roman"/>
          <w:color w:val="000000" w:themeColor="text1"/>
          <w:sz w:val="24"/>
          <w:szCs w:val="24"/>
        </w:rPr>
        <w:t>. For example, von Hirschhausen and Neumann (2008) conducted an econometric analysis of over 300 LTCs and found an inverse relation</w:t>
      </w:r>
      <w:r>
        <w:rPr>
          <w:rFonts w:ascii="Times New Roman" w:hAnsi="Times New Roman" w:cs="Times New Roman"/>
          <w:color w:val="000000" w:themeColor="text1"/>
          <w:sz w:val="24"/>
          <w:szCs w:val="24"/>
        </w:rPr>
        <w:t>ship</w:t>
      </w:r>
      <w:r w:rsidR="00767FE8" w:rsidRPr="00F60A11">
        <w:rPr>
          <w:rFonts w:ascii="Times New Roman" w:hAnsi="Times New Roman" w:cs="Times New Roman"/>
          <w:color w:val="000000" w:themeColor="text1"/>
          <w:sz w:val="24"/>
          <w:szCs w:val="24"/>
        </w:rPr>
        <w:t xml:space="preserve"> between contract duration and (i) deliveries to the restructured markets of the US and UK </w:t>
      </w:r>
      <w:r w:rsidR="00FC47AF">
        <w:rPr>
          <w:rFonts w:ascii="Times New Roman" w:hAnsi="Times New Roman" w:cs="Times New Roman"/>
          <w:color w:val="000000" w:themeColor="text1"/>
          <w:sz w:val="24"/>
          <w:szCs w:val="24"/>
        </w:rPr>
        <w:t>and</w:t>
      </w:r>
      <w:r w:rsidR="00767FE8" w:rsidRPr="00F60A11">
        <w:rPr>
          <w:rFonts w:ascii="Times New Roman" w:hAnsi="Times New Roman" w:cs="Times New Roman"/>
          <w:color w:val="000000" w:themeColor="text1"/>
          <w:sz w:val="24"/>
          <w:szCs w:val="24"/>
        </w:rPr>
        <w:t xml:space="preserve"> to the post-1998 markets of Continental Europe (i.e. after the first energy package), (ii) contracts not linked to substantial new investment and (iii) those signed by new market entrants. All else being equal, these findings suggest that as gas markets in Europe are liberali</w:t>
      </w:r>
      <w:r w:rsidR="00AC205F">
        <w:rPr>
          <w:rFonts w:ascii="Times New Roman" w:hAnsi="Times New Roman" w:cs="Times New Roman"/>
          <w:color w:val="000000" w:themeColor="text1"/>
          <w:sz w:val="24"/>
          <w:szCs w:val="24"/>
        </w:rPr>
        <w:t>z</w:t>
      </w:r>
      <w:r w:rsidR="00767FE8" w:rsidRPr="00F60A11">
        <w:rPr>
          <w:rFonts w:ascii="Times New Roman" w:hAnsi="Times New Roman" w:cs="Times New Roman"/>
          <w:color w:val="000000" w:themeColor="text1"/>
          <w:sz w:val="24"/>
          <w:szCs w:val="24"/>
        </w:rPr>
        <w:t>ed and mature further (i.e. there is no need for substantial investment in infrastructure) and market entry increases, the duration of LTCs will decrease.</w:t>
      </w:r>
    </w:p>
    <w:p w14:paraId="53968165" w14:textId="3CD6CA25" w:rsidR="009B7B22" w:rsidRPr="00F60A11" w:rsidRDefault="00FC47AF"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Ruester (2009)</w:t>
      </w:r>
      <w:r>
        <w:rPr>
          <w:rFonts w:ascii="Times New Roman" w:hAnsi="Times New Roman" w:cs="Times New Roman"/>
          <w:color w:val="000000" w:themeColor="text1"/>
          <w:sz w:val="24"/>
          <w:szCs w:val="24"/>
        </w:rPr>
        <w:t xml:space="preserve"> conducted a</w:t>
      </w:r>
      <w:r w:rsidRPr="00F60A11">
        <w:rPr>
          <w:rFonts w:ascii="Times New Roman" w:hAnsi="Times New Roman" w:cs="Times New Roman"/>
          <w:color w:val="000000" w:themeColor="text1"/>
          <w:sz w:val="24"/>
          <w:szCs w:val="24"/>
        </w:rPr>
        <w:t xml:space="preserve"> </w:t>
      </w:r>
      <w:r w:rsidR="00767FE8" w:rsidRPr="00F60A11">
        <w:rPr>
          <w:rFonts w:ascii="Times New Roman" w:hAnsi="Times New Roman" w:cs="Times New Roman"/>
          <w:color w:val="000000" w:themeColor="text1"/>
          <w:sz w:val="24"/>
          <w:szCs w:val="24"/>
        </w:rPr>
        <w:t>similar econometric analysis of 224 LNG contracts,</w:t>
      </w:r>
      <w:r>
        <w:rPr>
          <w:rFonts w:ascii="Times New Roman" w:hAnsi="Times New Roman" w:cs="Times New Roman"/>
          <w:color w:val="000000" w:themeColor="text1"/>
          <w:sz w:val="24"/>
          <w:szCs w:val="24"/>
        </w:rPr>
        <w:t xml:space="preserve"> finding that</w:t>
      </w:r>
      <w:r w:rsidR="00767FE8" w:rsidRPr="00F60A11">
        <w:rPr>
          <w:rFonts w:ascii="Times New Roman" w:hAnsi="Times New Roman" w:cs="Times New Roman"/>
          <w:color w:val="000000" w:themeColor="text1"/>
          <w:sz w:val="24"/>
          <w:szCs w:val="24"/>
        </w:rPr>
        <w:t xml:space="preserve"> (</w:t>
      </w:r>
      <w:proofErr w:type="spellStart"/>
      <w:r w:rsidR="00767FE8" w:rsidRPr="00F60A11">
        <w:rPr>
          <w:rFonts w:ascii="Times New Roman" w:hAnsi="Times New Roman" w:cs="Times New Roman"/>
          <w:color w:val="000000" w:themeColor="text1"/>
          <w:sz w:val="24"/>
          <w:szCs w:val="24"/>
        </w:rPr>
        <w:t>i</w:t>
      </w:r>
      <w:proofErr w:type="spellEnd"/>
      <w:r w:rsidR="00767FE8" w:rsidRPr="00F60A11">
        <w:rPr>
          <w:rFonts w:ascii="Times New Roman" w:hAnsi="Times New Roman" w:cs="Times New Roman"/>
          <w:color w:val="000000" w:themeColor="text1"/>
          <w:sz w:val="24"/>
          <w:szCs w:val="24"/>
        </w:rPr>
        <w:t xml:space="preserve">) as asset specificity decreases, so does the duration of LNG contracts; (ii) post-2000 LNG contracts are generally shorter than those signed before that period; and (iii) in the presence of high price uncertainty, contract duration tends to be lower. The last two conclusions are important </w:t>
      </w:r>
      <w:r>
        <w:rPr>
          <w:rFonts w:ascii="Times New Roman" w:hAnsi="Times New Roman" w:cs="Times New Roman"/>
          <w:color w:val="000000" w:themeColor="text1"/>
          <w:sz w:val="24"/>
          <w:szCs w:val="24"/>
        </w:rPr>
        <w:t>because</w:t>
      </w:r>
      <w:r w:rsidR="00767FE8" w:rsidRPr="00F60A11">
        <w:rPr>
          <w:rFonts w:ascii="Times New Roman" w:hAnsi="Times New Roman" w:cs="Times New Roman"/>
          <w:color w:val="000000" w:themeColor="text1"/>
          <w:sz w:val="24"/>
          <w:szCs w:val="24"/>
        </w:rPr>
        <w:t xml:space="preserve"> (</w:t>
      </w:r>
      <w:proofErr w:type="spellStart"/>
      <w:r w:rsidR="00767FE8" w:rsidRPr="00F60A11">
        <w:rPr>
          <w:rFonts w:ascii="Times New Roman" w:hAnsi="Times New Roman" w:cs="Times New Roman"/>
          <w:color w:val="000000" w:themeColor="text1"/>
          <w:sz w:val="24"/>
          <w:szCs w:val="24"/>
        </w:rPr>
        <w:t>i</w:t>
      </w:r>
      <w:proofErr w:type="spellEnd"/>
      <w:r w:rsidR="00767FE8" w:rsidRPr="00F60A11">
        <w:rPr>
          <w:rFonts w:ascii="Times New Roman" w:hAnsi="Times New Roman" w:cs="Times New Roman"/>
          <w:color w:val="000000" w:themeColor="text1"/>
          <w:sz w:val="24"/>
          <w:szCs w:val="24"/>
        </w:rPr>
        <w:t>) post-2000 LNG contracts are shorter because of substantial cost reductions achieved across the whole LNG value chain and (ii) when prices are uncertain, the benefits of LTCs diminish due to potential profit from arbitrage, as prices tend to fluctuate more, while the cost of holding such contracts becomes higher in the sense of their ‘incompleteness’. This is especially true in the examples of contract renegotiations between European buyers and sellers post-2008.</w:t>
      </w:r>
      <w:r w:rsidR="005C370B" w:rsidRPr="00F60A11">
        <w:rPr>
          <w:rFonts w:ascii="Times New Roman" w:hAnsi="Times New Roman" w:cs="Times New Roman"/>
          <w:color w:val="000000" w:themeColor="text1"/>
          <w:sz w:val="24"/>
          <w:szCs w:val="24"/>
        </w:rPr>
        <w:t xml:space="preserve"> </w:t>
      </w:r>
      <w:r w:rsidR="009A5DB3" w:rsidRPr="00F60A11">
        <w:rPr>
          <w:rFonts w:ascii="Times New Roman" w:hAnsi="Times New Roman" w:cs="Times New Roman"/>
          <w:color w:val="000000" w:themeColor="text1"/>
          <w:sz w:val="24"/>
          <w:szCs w:val="24"/>
        </w:rPr>
        <w:t xml:space="preserve">Chyong (2015) </w:t>
      </w:r>
      <w:r>
        <w:rPr>
          <w:rFonts w:ascii="Times New Roman" w:hAnsi="Times New Roman" w:cs="Times New Roman"/>
          <w:color w:val="000000" w:themeColor="text1"/>
          <w:sz w:val="24"/>
          <w:szCs w:val="24"/>
        </w:rPr>
        <w:t>obtained similar results, showing</w:t>
      </w:r>
      <w:r w:rsidR="009A5DB3" w:rsidRPr="00F60A11">
        <w:rPr>
          <w:rFonts w:ascii="Times New Roman" w:hAnsi="Times New Roman" w:cs="Times New Roman"/>
          <w:color w:val="000000" w:themeColor="text1"/>
          <w:sz w:val="24"/>
          <w:szCs w:val="24"/>
        </w:rPr>
        <w:t xml:space="preserve"> that </w:t>
      </w:r>
      <w:r w:rsidR="009B7B22" w:rsidRPr="00F60A11">
        <w:rPr>
          <w:rFonts w:ascii="Times New Roman" w:hAnsi="Times New Roman" w:cs="Times New Roman"/>
          <w:color w:val="000000" w:themeColor="text1"/>
          <w:sz w:val="24"/>
          <w:szCs w:val="24"/>
        </w:rPr>
        <w:t>market liberali</w:t>
      </w:r>
      <w:r w:rsidR="00AC205F">
        <w:rPr>
          <w:rFonts w:ascii="Times New Roman" w:hAnsi="Times New Roman" w:cs="Times New Roman"/>
          <w:color w:val="000000" w:themeColor="text1"/>
          <w:sz w:val="24"/>
          <w:szCs w:val="24"/>
        </w:rPr>
        <w:t>z</w:t>
      </w:r>
      <w:r w:rsidR="009B7B22" w:rsidRPr="00F60A11">
        <w:rPr>
          <w:rFonts w:ascii="Times New Roman" w:hAnsi="Times New Roman" w:cs="Times New Roman"/>
          <w:color w:val="000000" w:themeColor="text1"/>
          <w:sz w:val="24"/>
          <w:szCs w:val="24"/>
        </w:rPr>
        <w:t>ation in Europe, together with a general reduction in the capital intensiveness of infrastructure assets, has indeed reduced the role of LTCs, specifically, by negatively affecting the duration of such contracts.</w:t>
      </w:r>
    </w:p>
    <w:p w14:paraId="56206245" w14:textId="21F26402" w:rsidR="00ED03D1" w:rsidRPr="00F60A11" w:rsidRDefault="00CF2FD3"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The literature </w:t>
      </w:r>
      <w:r w:rsidR="00AC109A" w:rsidRPr="00F60A11">
        <w:rPr>
          <w:rFonts w:ascii="Times New Roman" w:hAnsi="Times New Roman" w:cs="Times New Roman"/>
          <w:color w:val="000000" w:themeColor="text1"/>
          <w:sz w:val="24"/>
          <w:szCs w:val="24"/>
        </w:rPr>
        <w:t xml:space="preserve">points to the fact that European gas markets has been moving away from rigid bilateral long-term contracts to shorter term and spot market trading arrangements. </w:t>
      </w:r>
      <w:r w:rsidR="006853F4" w:rsidRPr="00F60A11">
        <w:rPr>
          <w:rFonts w:ascii="Times New Roman" w:hAnsi="Times New Roman" w:cs="Times New Roman"/>
          <w:color w:val="000000" w:themeColor="text1"/>
          <w:sz w:val="24"/>
          <w:szCs w:val="24"/>
        </w:rPr>
        <w:t>Indeed</w:t>
      </w:r>
      <w:r w:rsidR="006A3EE5" w:rsidRPr="00F60A11">
        <w:rPr>
          <w:rFonts w:ascii="Times New Roman" w:hAnsi="Times New Roman" w:cs="Times New Roman"/>
          <w:color w:val="000000" w:themeColor="text1"/>
          <w:sz w:val="24"/>
          <w:szCs w:val="24"/>
        </w:rPr>
        <w:t xml:space="preserve">, </w:t>
      </w:r>
      <w:r w:rsidR="0072090A" w:rsidRPr="00F60A11">
        <w:rPr>
          <w:rFonts w:ascii="Times New Roman" w:hAnsi="Times New Roman" w:cs="Times New Roman"/>
          <w:color w:val="000000" w:themeColor="text1"/>
          <w:sz w:val="24"/>
          <w:szCs w:val="24"/>
        </w:rPr>
        <w:t xml:space="preserve">Miriello </w:t>
      </w:r>
      <w:r w:rsidR="006A3EE5" w:rsidRPr="00F60A11">
        <w:rPr>
          <w:rFonts w:ascii="Times New Roman" w:hAnsi="Times New Roman" w:cs="Times New Roman"/>
          <w:color w:val="000000" w:themeColor="text1"/>
          <w:sz w:val="24"/>
          <w:szCs w:val="24"/>
        </w:rPr>
        <w:t xml:space="preserve">and </w:t>
      </w:r>
      <w:r w:rsidR="0072090A" w:rsidRPr="00F60A11">
        <w:rPr>
          <w:rFonts w:ascii="Times New Roman" w:hAnsi="Times New Roman" w:cs="Times New Roman"/>
          <w:color w:val="000000" w:themeColor="text1"/>
          <w:sz w:val="24"/>
          <w:szCs w:val="24"/>
        </w:rPr>
        <w:t>Polo</w:t>
      </w:r>
      <w:r w:rsidR="006A3EE5" w:rsidRPr="00F60A11">
        <w:rPr>
          <w:rFonts w:ascii="Times New Roman" w:hAnsi="Times New Roman" w:cs="Times New Roman"/>
          <w:color w:val="000000" w:themeColor="text1"/>
          <w:sz w:val="24"/>
          <w:szCs w:val="24"/>
        </w:rPr>
        <w:t xml:space="preserve"> (2015)</w:t>
      </w:r>
      <w:r w:rsidR="00C31073" w:rsidRPr="00F60A11">
        <w:rPr>
          <w:rFonts w:ascii="Times New Roman" w:hAnsi="Times New Roman" w:cs="Times New Roman"/>
          <w:color w:val="000000" w:themeColor="text1"/>
          <w:sz w:val="24"/>
          <w:szCs w:val="24"/>
        </w:rPr>
        <w:t xml:space="preserve"> argued that </w:t>
      </w:r>
      <w:r w:rsidR="00FC47AF">
        <w:rPr>
          <w:rFonts w:ascii="Times New Roman" w:hAnsi="Times New Roman" w:cs="Times New Roman"/>
          <w:color w:val="000000" w:themeColor="text1"/>
          <w:sz w:val="24"/>
          <w:szCs w:val="24"/>
        </w:rPr>
        <w:t xml:space="preserve">the </w:t>
      </w:r>
      <w:r w:rsidR="00925A48" w:rsidRPr="00F60A11">
        <w:rPr>
          <w:rFonts w:ascii="Times New Roman" w:hAnsi="Times New Roman" w:cs="Times New Roman"/>
          <w:color w:val="000000" w:themeColor="text1"/>
          <w:sz w:val="24"/>
          <w:szCs w:val="24"/>
        </w:rPr>
        <w:t xml:space="preserve">gas wholesale trade in Europe </w:t>
      </w:r>
      <w:r w:rsidR="000D1428" w:rsidRPr="00F60A11">
        <w:rPr>
          <w:rFonts w:ascii="Times New Roman" w:hAnsi="Times New Roman" w:cs="Times New Roman"/>
          <w:color w:val="000000" w:themeColor="text1"/>
          <w:sz w:val="24"/>
          <w:szCs w:val="24"/>
        </w:rPr>
        <w:t>was initially developed to cope with physical balancing needs of market participants</w:t>
      </w:r>
      <w:r w:rsidR="00FC47AF">
        <w:rPr>
          <w:rFonts w:ascii="Times New Roman" w:hAnsi="Times New Roman" w:cs="Times New Roman"/>
          <w:color w:val="000000" w:themeColor="text1"/>
          <w:sz w:val="24"/>
          <w:szCs w:val="24"/>
        </w:rPr>
        <w:t>,</w:t>
      </w:r>
      <w:r w:rsidR="000D1428" w:rsidRPr="00F60A11">
        <w:rPr>
          <w:rFonts w:ascii="Times New Roman" w:hAnsi="Times New Roman" w:cs="Times New Roman"/>
          <w:color w:val="000000" w:themeColor="text1"/>
          <w:sz w:val="24"/>
          <w:szCs w:val="24"/>
        </w:rPr>
        <w:t xml:space="preserve"> and as these become more liquid</w:t>
      </w:r>
      <w:r w:rsidR="00FC47AF">
        <w:rPr>
          <w:rFonts w:ascii="Times New Roman" w:hAnsi="Times New Roman" w:cs="Times New Roman"/>
          <w:color w:val="000000" w:themeColor="text1"/>
          <w:sz w:val="24"/>
          <w:szCs w:val="24"/>
        </w:rPr>
        <w:t>,</w:t>
      </w:r>
      <w:r w:rsidR="00DD6E1F" w:rsidRPr="00F60A11">
        <w:rPr>
          <w:rFonts w:ascii="Times New Roman" w:hAnsi="Times New Roman" w:cs="Times New Roman"/>
          <w:color w:val="000000" w:themeColor="text1"/>
          <w:sz w:val="24"/>
          <w:szCs w:val="24"/>
        </w:rPr>
        <w:t xml:space="preserve"> the balancing markets became a second source of gas procurement. Fina</w:t>
      </w:r>
      <w:r w:rsidR="00800399" w:rsidRPr="00F60A11">
        <w:rPr>
          <w:rFonts w:ascii="Times New Roman" w:hAnsi="Times New Roman" w:cs="Times New Roman"/>
          <w:color w:val="000000" w:themeColor="text1"/>
          <w:sz w:val="24"/>
          <w:szCs w:val="24"/>
        </w:rPr>
        <w:t>lly, to manage price risks</w:t>
      </w:r>
      <w:r w:rsidR="00FC47AF">
        <w:rPr>
          <w:rFonts w:ascii="Times New Roman" w:hAnsi="Times New Roman" w:cs="Times New Roman"/>
          <w:color w:val="000000" w:themeColor="text1"/>
          <w:sz w:val="24"/>
          <w:szCs w:val="24"/>
        </w:rPr>
        <w:t>,</w:t>
      </w:r>
      <w:r w:rsidR="00800399" w:rsidRPr="00F60A11">
        <w:rPr>
          <w:rFonts w:ascii="Times New Roman" w:hAnsi="Times New Roman" w:cs="Times New Roman"/>
          <w:color w:val="000000" w:themeColor="text1"/>
          <w:sz w:val="24"/>
          <w:szCs w:val="24"/>
        </w:rPr>
        <w:t xml:space="preserve"> Miriello and Polo (2015) </w:t>
      </w:r>
      <w:r w:rsidR="00800399" w:rsidRPr="00F60A11">
        <w:rPr>
          <w:rFonts w:ascii="Times New Roman" w:hAnsi="Times New Roman" w:cs="Times New Roman"/>
          <w:color w:val="000000" w:themeColor="text1"/>
          <w:sz w:val="24"/>
          <w:szCs w:val="24"/>
        </w:rPr>
        <w:lastRenderedPageBreak/>
        <w:t xml:space="preserve">noted that </w:t>
      </w:r>
      <w:r w:rsidR="00C752E4" w:rsidRPr="00F60A11">
        <w:rPr>
          <w:rFonts w:ascii="Times New Roman" w:hAnsi="Times New Roman" w:cs="Times New Roman"/>
          <w:color w:val="000000" w:themeColor="text1"/>
          <w:sz w:val="24"/>
          <w:szCs w:val="24"/>
        </w:rPr>
        <w:t xml:space="preserve">financial instruments and forward/futures markets also </w:t>
      </w:r>
      <w:r w:rsidR="0049322B" w:rsidRPr="00F60A11">
        <w:rPr>
          <w:rFonts w:ascii="Times New Roman" w:hAnsi="Times New Roman" w:cs="Times New Roman"/>
          <w:color w:val="000000" w:themeColor="text1"/>
          <w:sz w:val="24"/>
          <w:szCs w:val="24"/>
        </w:rPr>
        <w:t xml:space="preserve">gradually developed. In </w:t>
      </w:r>
      <w:r w:rsidR="00A97CA2" w:rsidRPr="00F60A11">
        <w:rPr>
          <w:rFonts w:ascii="Times New Roman" w:hAnsi="Times New Roman" w:cs="Times New Roman"/>
          <w:color w:val="000000" w:themeColor="text1"/>
          <w:sz w:val="24"/>
          <w:szCs w:val="24"/>
        </w:rPr>
        <w:t xml:space="preserve">line with findings from the </w:t>
      </w:r>
      <w:r w:rsidR="007C3F9B" w:rsidRPr="00F60A11">
        <w:rPr>
          <w:rFonts w:ascii="Times New Roman" w:hAnsi="Times New Roman" w:cs="Times New Roman"/>
          <w:color w:val="000000" w:themeColor="text1"/>
          <w:sz w:val="24"/>
          <w:szCs w:val="24"/>
        </w:rPr>
        <w:t xml:space="preserve">empirical </w:t>
      </w:r>
      <w:r w:rsidR="00A97CA2" w:rsidRPr="00F60A11">
        <w:rPr>
          <w:rFonts w:ascii="Times New Roman" w:hAnsi="Times New Roman" w:cs="Times New Roman"/>
          <w:color w:val="000000" w:themeColor="text1"/>
          <w:sz w:val="24"/>
          <w:szCs w:val="24"/>
        </w:rPr>
        <w:t xml:space="preserve">institutional economics </w:t>
      </w:r>
      <w:r w:rsidR="007C3F9B" w:rsidRPr="00F60A11">
        <w:rPr>
          <w:rFonts w:ascii="Times New Roman" w:hAnsi="Times New Roman" w:cs="Times New Roman"/>
          <w:color w:val="000000" w:themeColor="text1"/>
          <w:sz w:val="24"/>
          <w:szCs w:val="24"/>
        </w:rPr>
        <w:t xml:space="preserve">literature, </w:t>
      </w:r>
      <w:r w:rsidR="00074907" w:rsidRPr="00F60A11">
        <w:rPr>
          <w:rFonts w:ascii="Times New Roman" w:hAnsi="Times New Roman" w:cs="Times New Roman"/>
          <w:color w:val="000000" w:themeColor="text1"/>
          <w:sz w:val="24"/>
          <w:szCs w:val="24"/>
        </w:rPr>
        <w:t xml:space="preserve">in particular </w:t>
      </w:r>
      <w:r w:rsidR="00131190" w:rsidRPr="00F60A11">
        <w:rPr>
          <w:rFonts w:ascii="Times New Roman" w:hAnsi="Times New Roman" w:cs="Times New Roman"/>
          <w:color w:val="000000" w:themeColor="text1"/>
          <w:sz w:val="24"/>
          <w:szCs w:val="24"/>
        </w:rPr>
        <w:t>those</w:t>
      </w:r>
      <w:r w:rsidR="007C3F9B" w:rsidRPr="00F60A11">
        <w:rPr>
          <w:rFonts w:ascii="Times New Roman" w:hAnsi="Times New Roman" w:cs="Times New Roman"/>
          <w:color w:val="000000" w:themeColor="text1"/>
          <w:sz w:val="24"/>
          <w:szCs w:val="24"/>
        </w:rPr>
        <w:t xml:space="preserve"> by Hirschhausen and Neumann (2008), Miriello and Polo (2015)</w:t>
      </w:r>
      <w:r w:rsidR="003D2C40">
        <w:rPr>
          <w:rFonts w:ascii="Times New Roman" w:hAnsi="Times New Roman" w:cs="Times New Roman"/>
          <w:color w:val="000000" w:themeColor="text1"/>
          <w:sz w:val="24"/>
          <w:szCs w:val="24"/>
        </w:rPr>
        <w:t>,</w:t>
      </w:r>
      <w:r w:rsidR="002F128D" w:rsidRPr="00F60A11">
        <w:rPr>
          <w:rFonts w:ascii="Times New Roman" w:hAnsi="Times New Roman" w:cs="Times New Roman"/>
          <w:color w:val="000000" w:themeColor="text1"/>
          <w:sz w:val="24"/>
          <w:szCs w:val="24"/>
        </w:rPr>
        <w:t xml:space="preserve"> </w:t>
      </w:r>
      <w:r w:rsidR="003D2C40">
        <w:rPr>
          <w:rFonts w:ascii="Times New Roman" w:hAnsi="Times New Roman" w:cs="Times New Roman"/>
          <w:color w:val="000000" w:themeColor="text1"/>
          <w:sz w:val="24"/>
          <w:szCs w:val="24"/>
        </w:rPr>
        <w:t>in</w:t>
      </w:r>
      <w:r w:rsidR="00FC47AF" w:rsidRPr="00F60A11">
        <w:rPr>
          <w:rFonts w:ascii="Times New Roman" w:hAnsi="Times New Roman" w:cs="Times New Roman"/>
          <w:color w:val="000000" w:themeColor="text1"/>
          <w:sz w:val="24"/>
          <w:szCs w:val="24"/>
        </w:rPr>
        <w:t xml:space="preserve"> </w:t>
      </w:r>
      <w:r w:rsidR="00737DE0" w:rsidRPr="00F60A11">
        <w:rPr>
          <w:rFonts w:ascii="Times New Roman" w:hAnsi="Times New Roman" w:cs="Times New Roman"/>
          <w:color w:val="000000" w:themeColor="text1"/>
          <w:sz w:val="24"/>
          <w:szCs w:val="24"/>
        </w:rPr>
        <w:t>examining institutional arrangements of gas market regulation in selected European markets</w:t>
      </w:r>
      <w:r w:rsidR="003D2C40">
        <w:rPr>
          <w:rFonts w:ascii="Times New Roman" w:hAnsi="Times New Roman" w:cs="Times New Roman"/>
          <w:color w:val="000000" w:themeColor="text1"/>
          <w:sz w:val="24"/>
          <w:szCs w:val="24"/>
        </w:rPr>
        <w:t>,</w:t>
      </w:r>
      <w:r w:rsidR="00737DE0" w:rsidRPr="00F60A11">
        <w:rPr>
          <w:rFonts w:ascii="Times New Roman" w:hAnsi="Times New Roman" w:cs="Times New Roman"/>
          <w:color w:val="000000" w:themeColor="text1"/>
          <w:sz w:val="24"/>
          <w:szCs w:val="24"/>
        </w:rPr>
        <w:t xml:space="preserve"> </w:t>
      </w:r>
      <w:r w:rsidR="002F128D" w:rsidRPr="00F60A11">
        <w:rPr>
          <w:rFonts w:ascii="Times New Roman" w:hAnsi="Times New Roman" w:cs="Times New Roman"/>
          <w:color w:val="000000" w:themeColor="text1"/>
          <w:sz w:val="24"/>
          <w:szCs w:val="24"/>
        </w:rPr>
        <w:t xml:space="preserve">noted that </w:t>
      </w:r>
      <w:r w:rsidR="00737DE0" w:rsidRPr="00F60A11">
        <w:rPr>
          <w:rFonts w:ascii="Times New Roman" w:hAnsi="Times New Roman" w:cs="Times New Roman"/>
          <w:color w:val="000000" w:themeColor="text1"/>
          <w:sz w:val="24"/>
          <w:szCs w:val="24"/>
        </w:rPr>
        <w:t xml:space="preserve">the </w:t>
      </w:r>
      <w:r w:rsidR="002F128D" w:rsidRPr="00F60A11">
        <w:rPr>
          <w:rFonts w:ascii="Times New Roman" w:hAnsi="Times New Roman" w:cs="Times New Roman"/>
          <w:color w:val="000000" w:themeColor="text1"/>
          <w:sz w:val="24"/>
          <w:szCs w:val="24"/>
        </w:rPr>
        <w:t>UK and the Netherlands</w:t>
      </w:r>
      <w:r w:rsidR="00737DE0" w:rsidRPr="00F60A11">
        <w:rPr>
          <w:rFonts w:ascii="Times New Roman" w:hAnsi="Times New Roman" w:cs="Times New Roman"/>
          <w:color w:val="000000" w:themeColor="text1"/>
          <w:sz w:val="24"/>
          <w:szCs w:val="24"/>
        </w:rPr>
        <w:t xml:space="preserve"> have been</w:t>
      </w:r>
      <w:r w:rsidR="002F128D" w:rsidRPr="00F60A11">
        <w:rPr>
          <w:rFonts w:ascii="Times New Roman" w:hAnsi="Times New Roman" w:cs="Times New Roman"/>
          <w:color w:val="000000" w:themeColor="text1"/>
          <w:sz w:val="24"/>
          <w:szCs w:val="24"/>
        </w:rPr>
        <w:t xml:space="preserve"> leading the process</w:t>
      </w:r>
      <w:r w:rsidR="00887ED5" w:rsidRPr="00F60A11">
        <w:rPr>
          <w:rFonts w:ascii="Times New Roman" w:hAnsi="Times New Roman" w:cs="Times New Roman"/>
          <w:color w:val="000000" w:themeColor="text1"/>
          <w:sz w:val="24"/>
          <w:szCs w:val="24"/>
        </w:rPr>
        <w:t xml:space="preserve"> of market liberalization, while</w:t>
      </w:r>
      <w:r w:rsidR="002F128D" w:rsidRPr="00F60A11">
        <w:rPr>
          <w:rFonts w:ascii="Times New Roman" w:hAnsi="Times New Roman" w:cs="Times New Roman"/>
          <w:color w:val="000000" w:themeColor="text1"/>
          <w:sz w:val="24"/>
          <w:szCs w:val="24"/>
        </w:rPr>
        <w:t xml:space="preserve"> Germany and Italy </w:t>
      </w:r>
      <w:r w:rsidR="00887ED5" w:rsidRPr="00F60A11">
        <w:rPr>
          <w:rFonts w:ascii="Times New Roman" w:hAnsi="Times New Roman" w:cs="Times New Roman"/>
          <w:color w:val="000000" w:themeColor="text1"/>
          <w:sz w:val="24"/>
          <w:szCs w:val="24"/>
        </w:rPr>
        <w:t xml:space="preserve">are </w:t>
      </w:r>
      <w:r w:rsidR="002F128D" w:rsidRPr="00F60A11">
        <w:rPr>
          <w:rFonts w:ascii="Times New Roman" w:hAnsi="Times New Roman" w:cs="Times New Roman"/>
          <w:color w:val="000000" w:themeColor="text1"/>
          <w:sz w:val="24"/>
          <w:szCs w:val="24"/>
        </w:rPr>
        <w:t>constrained by limited supply</w:t>
      </w:r>
      <w:r w:rsidR="00887ED5" w:rsidRPr="00F60A11">
        <w:rPr>
          <w:rFonts w:ascii="Times New Roman" w:hAnsi="Times New Roman" w:cs="Times New Roman"/>
          <w:color w:val="000000" w:themeColor="text1"/>
          <w:sz w:val="24"/>
          <w:szCs w:val="24"/>
        </w:rPr>
        <w:t xml:space="preserve"> </w:t>
      </w:r>
      <w:r w:rsidR="00FC47AF">
        <w:rPr>
          <w:rFonts w:ascii="Times New Roman" w:hAnsi="Times New Roman" w:cs="Times New Roman"/>
          <w:color w:val="000000" w:themeColor="text1"/>
          <w:sz w:val="24"/>
          <w:szCs w:val="24"/>
        </w:rPr>
        <w:t xml:space="preserve">and </w:t>
      </w:r>
      <w:r w:rsidR="00887ED5" w:rsidRPr="00F60A11">
        <w:rPr>
          <w:rFonts w:ascii="Times New Roman" w:hAnsi="Times New Roman" w:cs="Times New Roman"/>
          <w:color w:val="000000" w:themeColor="text1"/>
          <w:sz w:val="24"/>
          <w:szCs w:val="24"/>
        </w:rPr>
        <w:t>hence l</w:t>
      </w:r>
      <w:r w:rsidR="00297A4E" w:rsidRPr="00F60A11">
        <w:rPr>
          <w:rFonts w:ascii="Times New Roman" w:hAnsi="Times New Roman" w:cs="Times New Roman"/>
          <w:color w:val="000000" w:themeColor="text1"/>
          <w:sz w:val="24"/>
          <w:szCs w:val="24"/>
        </w:rPr>
        <w:t>a</w:t>
      </w:r>
      <w:r w:rsidR="00887ED5" w:rsidRPr="00F60A11">
        <w:rPr>
          <w:rFonts w:ascii="Times New Roman" w:hAnsi="Times New Roman" w:cs="Times New Roman"/>
          <w:color w:val="000000" w:themeColor="text1"/>
          <w:sz w:val="24"/>
          <w:szCs w:val="24"/>
        </w:rPr>
        <w:t>g behind the former two markets in terms of developing competitive wholesale markets</w:t>
      </w:r>
      <w:r w:rsidR="002F128D" w:rsidRPr="00F60A11">
        <w:rPr>
          <w:rFonts w:ascii="Times New Roman" w:hAnsi="Times New Roman" w:cs="Times New Roman"/>
          <w:color w:val="000000" w:themeColor="text1"/>
          <w:sz w:val="24"/>
          <w:szCs w:val="24"/>
        </w:rPr>
        <w:t>.</w:t>
      </w:r>
      <w:r w:rsidR="00F54B09" w:rsidRPr="00F60A11">
        <w:rPr>
          <w:rFonts w:ascii="Times New Roman" w:hAnsi="Times New Roman" w:cs="Times New Roman"/>
          <w:color w:val="000000" w:themeColor="text1"/>
          <w:sz w:val="24"/>
          <w:szCs w:val="24"/>
        </w:rPr>
        <w:t xml:space="preserve"> </w:t>
      </w:r>
    </w:p>
    <w:p w14:paraId="5EDE8842" w14:textId="163CE86C" w:rsidR="00FE7275" w:rsidRPr="00F60A11" w:rsidRDefault="00ED03D1" w:rsidP="00660B3D">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A</w:t>
      </w:r>
      <w:r w:rsidR="00F54B09" w:rsidRPr="00F60A11">
        <w:rPr>
          <w:rFonts w:ascii="Times New Roman" w:hAnsi="Times New Roman" w:cs="Times New Roman"/>
          <w:color w:val="000000" w:themeColor="text1"/>
          <w:sz w:val="24"/>
          <w:szCs w:val="24"/>
        </w:rPr>
        <w:t>s North</w:t>
      </w:r>
      <w:r w:rsidR="00FC47AF">
        <w:rPr>
          <w:rFonts w:ascii="Times New Roman" w:hAnsi="Times New Roman" w:cs="Times New Roman"/>
          <w:color w:val="000000" w:themeColor="text1"/>
          <w:sz w:val="24"/>
          <w:szCs w:val="24"/>
        </w:rPr>
        <w:t>-w</w:t>
      </w:r>
      <w:r w:rsidR="00F54B09" w:rsidRPr="00F60A11">
        <w:rPr>
          <w:rFonts w:ascii="Times New Roman" w:hAnsi="Times New Roman" w:cs="Times New Roman"/>
          <w:color w:val="000000" w:themeColor="text1"/>
          <w:sz w:val="24"/>
          <w:szCs w:val="24"/>
        </w:rPr>
        <w:t>est European</w:t>
      </w:r>
      <w:r w:rsidR="00467770">
        <w:rPr>
          <w:rFonts w:ascii="Times New Roman" w:hAnsi="Times New Roman" w:cs="Times New Roman"/>
          <w:color w:val="000000" w:themeColor="text1"/>
          <w:sz w:val="24"/>
          <w:szCs w:val="24"/>
        </w:rPr>
        <w:t xml:space="preserve"> (NWE)</w:t>
      </w:r>
      <w:r w:rsidR="00F54B09" w:rsidRPr="00F60A11">
        <w:rPr>
          <w:rFonts w:ascii="Times New Roman" w:hAnsi="Times New Roman" w:cs="Times New Roman"/>
          <w:color w:val="000000" w:themeColor="text1"/>
          <w:sz w:val="24"/>
          <w:szCs w:val="24"/>
        </w:rPr>
        <w:t xml:space="preserve"> wholesale gas </w:t>
      </w:r>
      <w:r w:rsidRPr="00F60A11">
        <w:rPr>
          <w:rFonts w:ascii="Times New Roman" w:hAnsi="Times New Roman" w:cs="Times New Roman"/>
          <w:color w:val="000000" w:themeColor="text1"/>
          <w:sz w:val="24"/>
          <w:szCs w:val="24"/>
        </w:rPr>
        <w:t>trading picked up after the liberalization processes</w:t>
      </w:r>
      <w:r w:rsidR="00FC47AF">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w:t>
      </w:r>
      <w:r w:rsidR="00F54B09" w:rsidRPr="00F60A11">
        <w:rPr>
          <w:rFonts w:ascii="Times New Roman" w:hAnsi="Times New Roman" w:cs="Times New Roman"/>
          <w:color w:val="000000" w:themeColor="text1"/>
          <w:sz w:val="24"/>
          <w:szCs w:val="24"/>
        </w:rPr>
        <w:t>so</w:t>
      </w:r>
      <w:r w:rsidRPr="00F60A11">
        <w:rPr>
          <w:rFonts w:ascii="Times New Roman" w:hAnsi="Times New Roman" w:cs="Times New Roman"/>
          <w:color w:val="000000" w:themeColor="text1"/>
          <w:sz w:val="24"/>
          <w:szCs w:val="24"/>
        </w:rPr>
        <w:t xml:space="preserve"> </w:t>
      </w:r>
      <w:r w:rsidR="00FC47AF">
        <w:rPr>
          <w:rFonts w:ascii="Times New Roman" w:hAnsi="Times New Roman" w:cs="Times New Roman"/>
          <w:color w:val="000000" w:themeColor="text1"/>
          <w:sz w:val="24"/>
          <w:szCs w:val="24"/>
        </w:rPr>
        <w:t>did</w:t>
      </w:r>
      <w:r w:rsidR="00FC47AF" w:rsidRPr="00F60A11">
        <w:rPr>
          <w:rFonts w:ascii="Times New Roman" w:hAnsi="Times New Roman" w:cs="Times New Roman"/>
          <w:color w:val="000000" w:themeColor="text1"/>
          <w:sz w:val="24"/>
          <w:szCs w:val="24"/>
        </w:rPr>
        <w:t xml:space="preserve"> </w:t>
      </w:r>
      <w:r w:rsidRPr="00F60A11">
        <w:rPr>
          <w:rFonts w:ascii="Times New Roman" w:hAnsi="Times New Roman" w:cs="Times New Roman"/>
          <w:color w:val="000000" w:themeColor="text1"/>
          <w:sz w:val="24"/>
          <w:szCs w:val="24"/>
        </w:rPr>
        <w:t xml:space="preserve">the </w:t>
      </w:r>
      <w:r w:rsidR="002B263E" w:rsidRPr="00F60A11">
        <w:rPr>
          <w:rFonts w:ascii="Times New Roman" w:hAnsi="Times New Roman" w:cs="Times New Roman"/>
          <w:color w:val="000000" w:themeColor="text1"/>
          <w:sz w:val="24"/>
          <w:szCs w:val="24"/>
        </w:rPr>
        <w:t>ex</w:t>
      </w:r>
      <w:r w:rsidR="00AC205F">
        <w:rPr>
          <w:rFonts w:ascii="Times New Roman" w:hAnsi="Times New Roman" w:cs="Times New Roman"/>
          <w:color w:val="000000" w:themeColor="text1"/>
          <w:sz w:val="24"/>
          <w:szCs w:val="24"/>
        </w:rPr>
        <w:t xml:space="preserve"> </w:t>
      </w:r>
      <w:r w:rsidR="002B263E" w:rsidRPr="00F60A11">
        <w:rPr>
          <w:rFonts w:ascii="Times New Roman" w:hAnsi="Times New Roman" w:cs="Times New Roman"/>
          <w:color w:val="000000" w:themeColor="text1"/>
          <w:sz w:val="24"/>
          <w:szCs w:val="24"/>
        </w:rPr>
        <w:t xml:space="preserve">post </w:t>
      </w:r>
      <w:r w:rsidR="00D31567" w:rsidRPr="00F60A11">
        <w:rPr>
          <w:rFonts w:ascii="Times New Roman" w:hAnsi="Times New Roman" w:cs="Times New Roman"/>
          <w:color w:val="000000" w:themeColor="text1"/>
          <w:sz w:val="24"/>
          <w:szCs w:val="24"/>
        </w:rPr>
        <w:t>empirical</w:t>
      </w:r>
      <w:r w:rsidRPr="00F60A11">
        <w:rPr>
          <w:rFonts w:ascii="Times New Roman" w:hAnsi="Times New Roman" w:cs="Times New Roman"/>
          <w:color w:val="000000" w:themeColor="text1"/>
          <w:sz w:val="24"/>
          <w:szCs w:val="24"/>
        </w:rPr>
        <w:t xml:space="preserve"> </w:t>
      </w:r>
      <w:r w:rsidR="00DD5839" w:rsidRPr="00F60A11">
        <w:rPr>
          <w:rFonts w:ascii="Times New Roman" w:hAnsi="Times New Roman" w:cs="Times New Roman"/>
          <w:color w:val="000000" w:themeColor="text1"/>
          <w:sz w:val="24"/>
          <w:szCs w:val="24"/>
        </w:rPr>
        <w:t>analyses</w:t>
      </w:r>
      <w:r w:rsidRPr="00F60A11">
        <w:rPr>
          <w:rFonts w:ascii="Times New Roman" w:hAnsi="Times New Roman" w:cs="Times New Roman"/>
          <w:color w:val="000000" w:themeColor="text1"/>
          <w:sz w:val="24"/>
          <w:szCs w:val="24"/>
        </w:rPr>
        <w:t xml:space="preserve"> on gas price convergence. </w:t>
      </w:r>
      <w:r w:rsidR="00265A5A" w:rsidRPr="00F60A11">
        <w:rPr>
          <w:rFonts w:ascii="Times New Roman" w:hAnsi="Times New Roman" w:cs="Times New Roman"/>
          <w:color w:val="000000" w:themeColor="text1"/>
          <w:sz w:val="24"/>
          <w:szCs w:val="24"/>
        </w:rPr>
        <w:t xml:space="preserve">Siliverstovs et al. (2005) and Neumann (2009) confirm the importance of LNG trade in fostering global gas-on-gas competition and price integration, particularly the European and North American spot prices. </w:t>
      </w:r>
      <w:r w:rsidR="00DC0A58" w:rsidRPr="00F60A11">
        <w:rPr>
          <w:rFonts w:ascii="Times New Roman" w:hAnsi="Times New Roman" w:cs="Times New Roman"/>
          <w:color w:val="000000" w:themeColor="text1"/>
          <w:sz w:val="24"/>
          <w:szCs w:val="24"/>
        </w:rPr>
        <w:t>Neumann et al. (2006)</w:t>
      </w:r>
      <w:r w:rsidR="00643E68" w:rsidRPr="00F60A11">
        <w:rPr>
          <w:rFonts w:ascii="Times New Roman" w:hAnsi="Times New Roman" w:cs="Times New Roman"/>
          <w:color w:val="000000" w:themeColor="text1"/>
          <w:sz w:val="24"/>
          <w:szCs w:val="24"/>
        </w:rPr>
        <w:t xml:space="preserve"> analysed price convergence between two traded gas hubs in North</w:t>
      </w:r>
      <w:r w:rsidR="00FC47AF">
        <w:rPr>
          <w:rFonts w:ascii="Times New Roman" w:hAnsi="Times New Roman" w:cs="Times New Roman"/>
          <w:color w:val="000000" w:themeColor="text1"/>
          <w:sz w:val="24"/>
          <w:szCs w:val="24"/>
        </w:rPr>
        <w:t>-w</w:t>
      </w:r>
      <w:r w:rsidR="00643E68" w:rsidRPr="00F60A11">
        <w:rPr>
          <w:rFonts w:ascii="Times New Roman" w:hAnsi="Times New Roman" w:cs="Times New Roman"/>
          <w:color w:val="000000" w:themeColor="text1"/>
          <w:sz w:val="24"/>
          <w:szCs w:val="24"/>
        </w:rPr>
        <w:t>est Europe in 2005</w:t>
      </w:r>
      <w:r w:rsidR="00FC47AF">
        <w:rPr>
          <w:rFonts w:ascii="Times New Roman" w:hAnsi="Times New Roman" w:cs="Times New Roman"/>
          <w:color w:val="000000" w:themeColor="text1"/>
          <w:sz w:val="24"/>
          <w:szCs w:val="24"/>
        </w:rPr>
        <w:t xml:space="preserve"> and </w:t>
      </w:r>
      <w:r w:rsidR="00DC0A58" w:rsidRPr="00F60A11">
        <w:rPr>
          <w:rFonts w:ascii="Times New Roman" w:hAnsi="Times New Roman" w:cs="Times New Roman"/>
          <w:color w:val="000000" w:themeColor="text1"/>
          <w:sz w:val="24"/>
          <w:szCs w:val="24"/>
        </w:rPr>
        <w:t>found</w:t>
      </w:r>
      <w:r w:rsidR="00DC0A58" w:rsidRPr="00F60A11">
        <w:rPr>
          <w:rFonts w:ascii="Times New Roman" w:hAnsi="Times New Roman" w:cs="Times New Roman"/>
          <w:color w:val="000000" w:themeColor="text1"/>
          <w:sz w:val="24"/>
          <w:szCs w:val="24"/>
        </w:rPr>
        <w:t xml:space="preserve"> that after the construction of bi-directional pipeline connecting the UK and Belgium, the prices in those two markets converged</w:t>
      </w:r>
      <w:r w:rsidR="00FC47AF">
        <w:rPr>
          <w:rFonts w:ascii="Times New Roman" w:hAnsi="Times New Roman" w:cs="Times New Roman"/>
          <w:color w:val="000000" w:themeColor="text1"/>
          <w:sz w:val="24"/>
          <w:szCs w:val="24"/>
        </w:rPr>
        <w:t>. O</w:t>
      </w:r>
      <w:r w:rsidR="00DC0A58" w:rsidRPr="00F60A11">
        <w:rPr>
          <w:rFonts w:ascii="Times New Roman" w:hAnsi="Times New Roman" w:cs="Times New Roman"/>
          <w:color w:val="000000" w:themeColor="text1"/>
          <w:sz w:val="24"/>
          <w:szCs w:val="24"/>
        </w:rPr>
        <w:t xml:space="preserve">n the other hand, liberalization on the European continent does not seem to be working. Note that the end of their time series analysis was 2005, that is, before the </w:t>
      </w:r>
      <w:r w:rsidR="00AC205F">
        <w:rPr>
          <w:rFonts w:ascii="Times New Roman" w:hAnsi="Times New Roman" w:cs="Times New Roman"/>
          <w:color w:val="000000" w:themeColor="text1"/>
          <w:sz w:val="24"/>
          <w:szCs w:val="24"/>
        </w:rPr>
        <w:t>T</w:t>
      </w:r>
      <w:r w:rsidR="00DC0A58" w:rsidRPr="00F60A11">
        <w:rPr>
          <w:rFonts w:ascii="Times New Roman" w:hAnsi="Times New Roman" w:cs="Times New Roman"/>
          <w:color w:val="000000" w:themeColor="text1"/>
          <w:sz w:val="24"/>
          <w:szCs w:val="24"/>
        </w:rPr>
        <w:t xml:space="preserve">hird </w:t>
      </w:r>
      <w:r w:rsidR="00AC205F">
        <w:rPr>
          <w:rFonts w:ascii="Times New Roman" w:hAnsi="Times New Roman" w:cs="Times New Roman"/>
          <w:color w:val="000000" w:themeColor="text1"/>
          <w:sz w:val="24"/>
          <w:szCs w:val="24"/>
        </w:rPr>
        <w:t>E</w:t>
      </w:r>
      <w:r w:rsidR="00DC0A58" w:rsidRPr="00F60A11">
        <w:rPr>
          <w:rFonts w:ascii="Times New Roman" w:hAnsi="Times New Roman" w:cs="Times New Roman"/>
          <w:color w:val="000000" w:themeColor="text1"/>
          <w:sz w:val="24"/>
          <w:szCs w:val="24"/>
        </w:rPr>
        <w:t xml:space="preserve">nergy </w:t>
      </w:r>
      <w:r w:rsidR="00AC205F">
        <w:rPr>
          <w:rFonts w:ascii="Times New Roman" w:hAnsi="Times New Roman" w:cs="Times New Roman"/>
          <w:color w:val="000000" w:themeColor="text1"/>
          <w:sz w:val="24"/>
          <w:szCs w:val="24"/>
        </w:rPr>
        <w:t>P</w:t>
      </w:r>
      <w:r w:rsidR="00DC0A58" w:rsidRPr="00F60A11">
        <w:rPr>
          <w:rFonts w:ascii="Times New Roman" w:hAnsi="Times New Roman" w:cs="Times New Roman"/>
          <w:color w:val="000000" w:themeColor="text1"/>
          <w:sz w:val="24"/>
          <w:szCs w:val="24"/>
        </w:rPr>
        <w:t xml:space="preserve">ackage took place. </w:t>
      </w:r>
      <w:r w:rsidR="00F11E81" w:rsidRPr="00F60A11">
        <w:rPr>
          <w:rFonts w:ascii="Times New Roman" w:hAnsi="Times New Roman" w:cs="Times New Roman"/>
          <w:color w:val="000000" w:themeColor="text1"/>
          <w:sz w:val="24"/>
          <w:szCs w:val="24"/>
        </w:rPr>
        <w:t>More recent</w:t>
      </w:r>
      <w:r w:rsidR="00C548DC" w:rsidRPr="00F60A11">
        <w:rPr>
          <w:rFonts w:ascii="Times New Roman" w:hAnsi="Times New Roman" w:cs="Times New Roman"/>
          <w:color w:val="000000" w:themeColor="text1"/>
          <w:sz w:val="24"/>
          <w:szCs w:val="24"/>
        </w:rPr>
        <w:t xml:space="preserve"> empirical work </w:t>
      </w:r>
      <w:r w:rsidR="00FC47AF" w:rsidRPr="00F60A11">
        <w:rPr>
          <w:rFonts w:ascii="Times New Roman" w:hAnsi="Times New Roman" w:cs="Times New Roman"/>
          <w:color w:val="000000" w:themeColor="text1"/>
          <w:sz w:val="24"/>
          <w:szCs w:val="24"/>
        </w:rPr>
        <w:t>analy</w:t>
      </w:r>
      <w:r w:rsidR="00FC47AF">
        <w:rPr>
          <w:rFonts w:ascii="Times New Roman" w:hAnsi="Times New Roman" w:cs="Times New Roman"/>
          <w:color w:val="000000" w:themeColor="text1"/>
          <w:sz w:val="24"/>
          <w:szCs w:val="24"/>
        </w:rPr>
        <w:t>s</w:t>
      </w:r>
      <w:r w:rsidR="00FC47AF" w:rsidRPr="00F60A11">
        <w:rPr>
          <w:rFonts w:ascii="Times New Roman" w:hAnsi="Times New Roman" w:cs="Times New Roman"/>
          <w:color w:val="000000" w:themeColor="text1"/>
          <w:sz w:val="24"/>
          <w:szCs w:val="24"/>
        </w:rPr>
        <w:t xml:space="preserve">ing </w:t>
      </w:r>
      <w:r w:rsidR="00C548DC" w:rsidRPr="00F60A11">
        <w:rPr>
          <w:rFonts w:ascii="Times New Roman" w:hAnsi="Times New Roman" w:cs="Times New Roman"/>
          <w:color w:val="000000" w:themeColor="text1"/>
          <w:sz w:val="24"/>
          <w:szCs w:val="24"/>
        </w:rPr>
        <w:t xml:space="preserve">price correlation and convergence for different </w:t>
      </w:r>
      <w:r w:rsidR="00907BFD" w:rsidRPr="00F60A11">
        <w:rPr>
          <w:rFonts w:ascii="Times New Roman" w:hAnsi="Times New Roman" w:cs="Times New Roman"/>
          <w:color w:val="000000" w:themeColor="text1"/>
          <w:sz w:val="24"/>
          <w:szCs w:val="24"/>
        </w:rPr>
        <w:t>European markets all suggest that the</w:t>
      </w:r>
      <w:r w:rsidR="001E797C" w:rsidRPr="00F60A11">
        <w:rPr>
          <w:rFonts w:ascii="Times New Roman" w:hAnsi="Times New Roman" w:cs="Times New Roman"/>
          <w:color w:val="000000" w:themeColor="text1"/>
          <w:sz w:val="24"/>
          <w:szCs w:val="24"/>
        </w:rPr>
        <w:t xml:space="preserve"> EU integration policies have been successful</w:t>
      </w:r>
      <w:r w:rsidR="0056677D">
        <w:rPr>
          <w:rFonts w:ascii="Times New Roman" w:hAnsi="Times New Roman" w:cs="Times New Roman"/>
          <w:color w:val="000000" w:themeColor="text1"/>
          <w:sz w:val="24"/>
          <w:szCs w:val="24"/>
        </w:rPr>
        <w:t>—</w:t>
      </w:r>
      <w:r w:rsidR="001E797C" w:rsidRPr="00F60A11">
        <w:rPr>
          <w:rFonts w:ascii="Times New Roman" w:hAnsi="Times New Roman" w:cs="Times New Roman"/>
          <w:color w:val="000000" w:themeColor="text1"/>
          <w:sz w:val="24"/>
          <w:szCs w:val="24"/>
        </w:rPr>
        <w:t>major gas markets in Europe are fully integrated by 2013 (</w:t>
      </w:r>
      <w:r w:rsidR="00AE78C0">
        <w:rPr>
          <w:rFonts w:ascii="Times New Roman" w:hAnsi="Times New Roman" w:cs="Times New Roman"/>
          <w:color w:val="000000" w:themeColor="text1"/>
          <w:sz w:val="24"/>
          <w:szCs w:val="24"/>
        </w:rPr>
        <w:t>see, e.g.</w:t>
      </w:r>
      <w:r w:rsidR="00AE78C0">
        <w:rPr>
          <w:rFonts w:ascii="Times New Roman" w:hAnsi="Times New Roman" w:cs="Times New Roman"/>
          <w:color w:val="000000" w:themeColor="text1"/>
          <w:sz w:val="24"/>
          <w:szCs w:val="24"/>
        </w:rPr>
        <w:t>,</w:t>
      </w:r>
      <w:r w:rsidR="006728BD" w:rsidRPr="00F60A11">
        <w:rPr>
          <w:rFonts w:ascii="Times New Roman" w:hAnsi="Times New Roman" w:cs="Times New Roman"/>
          <w:color w:val="000000" w:themeColor="text1"/>
          <w:sz w:val="24"/>
          <w:szCs w:val="24"/>
        </w:rPr>
        <w:t xml:space="preserve"> Harmsen and Jepma (2011),</w:t>
      </w:r>
      <w:r w:rsidR="00BA41B0" w:rsidRPr="00F60A11">
        <w:rPr>
          <w:rFonts w:ascii="Times New Roman" w:hAnsi="Times New Roman" w:cs="Times New Roman"/>
          <w:color w:val="000000" w:themeColor="text1"/>
          <w:sz w:val="24"/>
          <w:szCs w:val="24"/>
        </w:rPr>
        <w:t xml:space="preserve"> Neumann and Cullmann (2012), Growitsch et al. (2013), Asche et al. (2013), Petrovich (2013)</w:t>
      </w:r>
      <w:r w:rsidR="00345309" w:rsidRPr="00F60A11">
        <w:rPr>
          <w:rFonts w:ascii="Times New Roman" w:hAnsi="Times New Roman" w:cs="Times New Roman"/>
          <w:color w:val="000000" w:themeColor="text1"/>
          <w:sz w:val="24"/>
          <w:szCs w:val="24"/>
        </w:rPr>
        <w:t>)</w:t>
      </w:r>
      <w:r w:rsidR="009138D9" w:rsidRPr="00F60A11">
        <w:rPr>
          <w:rFonts w:ascii="Times New Roman" w:hAnsi="Times New Roman" w:cs="Times New Roman"/>
          <w:color w:val="000000" w:themeColor="text1"/>
          <w:sz w:val="24"/>
          <w:szCs w:val="24"/>
        </w:rPr>
        <w:t>.</w:t>
      </w:r>
    </w:p>
    <w:p w14:paraId="734125C4" w14:textId="4CB4ACB9" w:rsidR="004B7EED" w:rsidRPr="00F60A11" w:rsidRDefault="00BB2FD9" w:rsidP="00CB36D8">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Indeed</w:t>
      </w:r>
      <w:r w:rsidR="00FC47AF">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w:t>
      </w:r>
      <w:r w:rsidR="00D05F39" w:rsidRPr="00F60A11">
        <w:rPr>
          <w:rFonts w:ascii="Times New Roman" w:hAnsi="Times New Roman" w:cs="Times New Roman"/>
          <w:color w:val="000000" w:themeColor="text1"/>
          <w:sz w:val="24"/>
          <w:szCs w:val="24"/>
        </w:rPr>
        <w:t>EC</w:t>
      </w:r>
      <w:r w:rsidR="005E53F3" w:rsidRPr="00F60A11">
        <w:rPr>
          <w:rFonts w:ascii="Times New Roman" w:hAnsi="Times New Roman" w:cs="Times New Roman"/>
          <w:color w:val="000000" w:themeColor="text1"/>
          <w:sz w:val="24"/>
          <w:szCs w:val="24"/>
        </w:rPr>
        <w:t xml:space="preserve"> (2011) concluded in its </w:t>
      </w:r>
      <w:r w:rsidR="00D05F39" w:rsidRPr="00F60A11">
        <w:rPr>
          <w:rFonts w:ascii="Times New Roman" w:hAnsi="Times New Roman" w:cs="Times New Roman"/>
          <w:color w:val="000000" w:themeColor="text1"/>
          <w:sz w:val="24"/>
          <w:szCs w:val="24"/>
        </w:rPr>
        <w:t>report on progress in creating the internal gas and electricity market for 2009-2010</w:t>
      </w:r>
      <w:r w:rsidR="005E53F3" w:rsidRPr="00F60A11">
        <w:rPr>
          <w:rFonts w:ascii="Times New Roman" w:hAnsi="Times New Roman" w:cs="Times New Roman"/>
          <w:color w:val="000000" w:themeColor="text1"/>
          <w:sz w:val="24"/>
          <w:szCs w:val="24"/>
        </w:rPr>
        <w:t xml:space="preserve"> that</w:t>
      </w:r>
      <w:r w:rsidR="00B71E16" w:rsidRPr="00F60A11">
        <w:rPr>
          <w:rFonts w:ascii="Times New Roman" w:hAnsi="Times New Roman" w:cs="Times New Roman"/>
          <w:color w:val="000000" w:themeColor="text1"/>
          <w:sz w:val="24"/>
          <w:szCs w:val="24"/>
        </w:rPr>
        <w:t xml:space="preserve"> significant ba</w:t>
      </w:r>
      <w:r w:rsidR="004108C5" w:rsidRPr="00F60A11">
        <w:rPr>
          <w:rFonts w:ascii="Times New Roman" w:hAnsi="Times New Roman" w:cs="Times New Roman"/>
          <w:color w:val="000000" w:themeColor="text1"/>
          <w:sz w:val="24"/>
          <w:szCs w:val="24"/>
        </w:rPr>
        <w:t xml:space="preserve">rriers to open integrated and competitive markets in electricity and gas remain. However, </w:t>
      </w:r>
      <w:r w:rsidR="004E4D82" w:rsidRPr="00F60A11">
        <w:rPr>
          <w:rFonts w:ascii="Times New Roman" w:hAnsi="Times New Roman" w:cs="Times New Roman"/>
          <w:color w:val="000000" w:themeColor="text1"/>
          <w:sz w:val="24"/>
          <w:szCs w:val="24"/>
        </w:rPr>
        <w:t xml:space="preserve">by 2013, </w:t>
      </w:r>
      <w:r w:rsidR="00242C81" w:rsidRPr="00F60A11">
        <w:rPr>
          <w:rFonts w:ascii="Times New Roman" w:hAnsi="Times New Roman" w:cs="Times New Roman"/>
          <w:color w:val="000000" w:themeColor="text1"/>
          <w:sz w:val="24"/>
          <w:szCs w:val="24"/>
        </w:rPr>
        <w:t>ACER (2014) reported increased gas wholesale price convergence</w:t>
      </w:r>
      <w:r w:rsidR="00030412" w:rsidRPr="00F60A11">
        <w:rPr>
          <w:rFonts w:ascii="Times New Roman" w:hAnsi="Times New Roman" w:cs="Times New Roman"/>
          <w:color w:val="000000" w:themeColor="text1"/>
          <w:sz w:val="24"/>
          <w:szCs w:val="24"/>
        </w:rPr>
        <w:t xml:space="preserve"> across the EU</w:t>
      </w:r>
      <w:r w:rsidR="00FC47AF">
        <w:rPr>
          <w:rFonts w:ascii="Times New Roman" w:hAnsi="Times New Roman" w:cs="Times New Roman"/>
          <w:color w:val="000000" w:themeColor="text1"/>
          <w:sz w:val="24"/>
          <w:szCs w:val="24"/>
        </w:rPr>
        <w:t>,</w:t>
      </w:r>
      <w:r w:rsidR="00030412" w:rsidRPr="00F60A11">
        <w:rPr>
          <w:rFonts w:ascii="Times New Roman" w:hAnsi="Times New Roman" w:cs="Times New Roman"/>
          <w:color w:val="000000" w:themeColor="text1"/>
          <w:sz w:val="24"/>
          <w:szCs w:val="24"/>
        </w:rPr>
        <w:t xml:space="preserve"> </w:t>
      </w:r>
      <w:r w:rsidR="000501C5" w:rsidRPr="00F60A11">
        <w:rPr>
          <w:rFonts w:ascii="Times New Roman" w:hAnsi="Times New Roman" w:cs="Times New Roman"/>
          <w:color w:val="000000" w:themeColor="text1"/>
          <w:sz w:val="24"/>
          <w:szCs w:val="24"/>
        </w:rPr>
        <w:t xml:space="preserve">and the trends towards price convergence </w:t>
      </w:r>
      <w:r w:rsidR="00FC47AF">
        <w:rPr>
          <w:rFonts w:ascii="Times New Roman" w:hAnsi="Times New Roman" w:cs="Times New Roman"/>
          <w:color w:val="000000" w:themeColor="text1"/>
          <w:sz w:val="24"/>
          <w:szCs w:val="24"/>
        </w:rPr>
        <w:t>were</w:t>
      </w:r>
      <w:r w:rsidR="00FC47AF" w:rsidRPr="00F60A11">
        <w:rPr>
          <w:rFonts w:ascii="Times New Roman" w:hAnsi="Times New Roman" w:cs="Times New Roman"/>
          <w:color w:val="000000" w:themeColor="text1"/>
          <w:sz w:val="24"/>
          <w:szCs w:val="24"/>
        </w:rPr>
        <w:t xml:space="preserve"> </w:t>
      </w:r>
      <w:r w:rsidR="000501C5" w:rsidRPr="00F60A11">
        <w:rPr>
          <w:rFonts w:ascii="Times New Roman" w:hAnsi="Times New Roman" w:cs="Times New Roman"/>
          <w:color w:val="000000" w:themeColor="text1"/>
          <w:sz w:val="24"/>
          <w:szCs w:val="24"/>
        </w:rPr>
        <w:t>observed further on in 2014-2016</w:t>
      </w:r>
      <w:r w:rsidR="00EE63CB" w:rsidRPr="00F60A11">
        <w:rPr>
          <w:rStyle w:val="FootnoteReference"/>
          <w:rFonts w:ascii="Times New Roman" w:hAnsi="Times New Roman" w:cs="Times New Roman"/>
          <w:color w:val="000000" w:themeColor="text1"/>
          <w:sz w:val="24"/>
          <w:szCs w:val="24"/>
        </w:rPr>
        <w:footnoteReference w:id="8"/>
      </w:r>
      <w:r w:rsidR="00383EF1" w:rsidRPr="00F60A11">
        <w:rPr>
          <w:rFonts w:ascii="Times New Roman" w:hAnsi="Times New Roman" w:cs="Times New Roman"/>
          <w:color w:val="000000" w:themeColor="text1"/>
          <w:sz w:val="24"/>
          <w:szCs w:val="24"/>
        </w:rPr>
        <w:t xml:space="preserve"> (</w:t>
      </w:r>
      <w:r w:rsidR="00625E0D" w:rsidRPr="00F60A11">
        <w:rPr>
          <w:rFonts w:ascii="Times New Roman" w:hAnsi="Times New Roman" w:cs="Times New Roman"/>
          <w:color w:val="000000" w:themeColor="text1"/>
          <w:sz w:val="24"/>
          <w:szCs w:val="24"/>
        </w:rPr>
        <w:fldChar w:fldCharType="begin"/>
      </w:r>
      <w:r w:rsidR="00625E0D" w:rsidRPr="00F60A11">
        <w:rPr>
          <w:rFonts w:ascii="Times New Roman" w:hAnsi="Times New Roman" w:cs="Times New Roman"/>
          <w:color w:val="000000" w:themeColor="text1"/>
          <w:sz w:val="24"/>
          <w:szCs w:val="24"/>
        </w:rPr>
        <w:instrText xml:space="preserve"> REF _Ref520385817 \h </w:instrText>
      </w:r>
      <w:r w:rsidR="00625E0D" w:rsidRPr="00F60A11">
        <w:rPr>
          <w:rFonts w:ascii="Times New Roman" w:hAnsi="Times New Roman" w:cs="Times New Roman"/>
          <w:color w:val="000000" w:themeColor="text1"/>
          <w:sz w:val="24"/>
          <w:szCs w:val="24"/>
        </w:rPr>
      </w:r>
      <w:r w:rsidR="00625E0D"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Table </w:t>
      </w:r>
      <w:r w:rsidR="00A66F72" w:rsidRPr="00F60A11">
        <w:rPr>
          <w:rFonts w:ascii="Times New Roman" w:hAnsi="Times New Roman" w:cs="Times New Roman"/>
          <w:noProof/>
          <w:color w:val="000000" w:themeColor="text1"/>
          <w:sz w:val="24"/>
          <w:szCs w:val="24"/>
        </w:rPr>
        <w:t>4</w:t>
      </w:r>
      <w:r w:rsidR="00625E0D" w:rsidRPr="00F60A11">
        <w:rPr>
          <w:rFonts w:ascii="Times New Roman" w:hAnsi="Times New Roman" w:cs="Times New Roman"/>
          <w:color w:val="000000" w:themeColor="text1"/>
          <w:sz w:val="24"/>
          <w:szCs w:val="24"/>
        </w:rPr>
        <w:fldChar w:fldCharType="end"/>
      </w:r>
      <w:r w:rsidR="00383EF1" w:rsidRPr="00F60A11">
        <w:rPr>
          <w:rFonts w:ascii="Times New Roman" w:hAnsi="Times New Roman" w:cs="Times New Roman"/>
          <w:color w:val="000000" w:themeColor="text1"/>
          <w:sz w:val="24"/>
          <w:szCs w:val="24"/>
        </w:rPr>
        <w:t>)</w:t>
      </w:r>
      <w:r w:rsidR="000501C5" w:rsidRPr="00F60A11">
        <w:rPr>
          <w:rFonts w:ascii="Times New Roman" w:hAnsi="Times New Roman" w:cs="Times New Roman"/>
          <w:color w:val="000000" w:themeColor="text1"/>
          <w:sz w:val="24"/>
          <w:szCs w:val="24"/>
        </w:rPr>
        <w:t>.</w:t>
      </w:r>
      <w:r w:rsidR="001B74B8" w:rsidRPr="00F60A11">
        <w:rPr>
          <w:rFonts w:ascii="Times New Roman" w:hAnsi="Times New Roman" w:cs="Times New Roman"/>
          <w:color w:val="000000" w:themeColor="text1"/>
          <w:sz w:val="24"/>
          <w:szCs w:val="24"/>
        </w:rPr>
        <w:t xml:space="preserve"> </w:t>
      </w:r>
      <w:r w:rsidR="00FC47AF">
        <w:rPr>
          <w:rFonts w:ascii="Times New Roman" w:hAnsi="Times New Roman" w:cs="Times New Roman"/>
          <w:color w:val="000000" w:themeColor="text1"/>
          <w:sz w:val="24"/>
          <w:szCs w:val="24"/>
        </w:rPr>
        <w:t>T</w:t>
      </w:r>
      <w:r w:rsidR="001B74B8" w:rsidRPr="00F60A11">
        <w:rPr>
          <w:rFonts w:ascii="Times New Roman" w:hAnsi="Times New Roman" w:cs="Times New Roman"/>
          <w:color w:val="000000" w:themeColor="text1"/>
          <w:sz w:val="24"/>
          <w:szCs w:val="24"/>
        </w:rPr>
        <w:t>his price convergence trend was observed not just for traded markets</w:t>
      </w:r>
      <w:r w:rsidR="00AE78C0">
        <w:rPr>
          <w:rFonts w:ascii="Times New Roman" w:hAnsi="Times New Roman" w:cs="Times New Roman"/>
          <w:color w:val="000000" w:themeColor="text1"/>
          <w:sz w:val="24"/>
          <w:szCs w:val="24"/>
        </w:rPr>
        <w:t>,</w:t>
      </w:r>
      <w:r w:rsidR="001B74B8" w:rsidRPr="00F60A11">
        <w:rPr>
          <w:rFonts w:ascii="Times New Roman" w:hAnsi="Times New Roman" w:cs="Times New Roman"/>
          <w:color w:val="000000" w:themeColor="text1"/>
          <w:sz w:val="24"/>
          <w:szCs w:val="24"/>
        </w:rPr>
        <w:t xml:space="preserve"> but also between different ‘immature’ traded markets </w:t>
      </w:r>
      <w:r w:rsidR="00FC47AF">
        <w:rPr>
          <w:rFonts w:ascii="Times New Roman" w:hAnsi="Times New Roman" w:cs="Times New Roman"/>
          <w:color w:val="000000" w:themeColor="text1"/>
          <w:sz w:val="24"/>
          <w:szCs w:val="24"/>
        </w:rPr>
        <w:t>in which</w:t>
      </w:r>
      <w:r w:rsidR="00FC47AF" w:rsidRPr="00F60A11">
        <w:rPr>
          <w:rFonts w:ascii="Times New Roman" w:hAnsi="Times New Roman" w:cs="Times New Roman"/>
          <w:color w:val="000000" w:themeColor="text1"/>
          <w:sz w:val="24"/>
          <w:szCs w:val="24"/>
        </w:rPr>
        <w:t xml:space="preserve"> </w:t>
      </w:r>
      <w:r w:rsidR="001B74B8" w:rsidRPr="00F60A11">
        <w:rPr>
          <w:rFonts w:ascii="Times New Roman" w:hAnsi="Times New Roman" w:cs="Times New Roman"/>
          <w:color w:val="000000" w:themeColor="text1"/>
          <w:sz w:val="24"/>
          <w:szCs w:val="24"/>
        </w:rPr>
        <w:t>gas prices are predominantly set by bilateral LTCs (for discussions of pricing in such LTCs</w:t>
      </w:r>
      <w:r w:rsidR="00FC47AF">
        <w:rPr>
          <w:rFonts w:ascii="Times New Roman" w:hAnsi="Times New Roman" w:cs="Times New Roman"/>
          <w:color w:val="000000" w:themeColor="text1"/>
          <w:sz w:val="24"/>
          <w:szCs w:val="24"/>
        </w:rPr>
        <w:t>,</w:t>
      </w:r>
      <w:r w:rsidR="001B74B8" w:rsidRPr="00F60A11">
        <w:rPr>
          <w:rFonts w:ascii="Times New Roman" w:hAnsi="Times New Roman" w:cs="Times New Roman"/>
          <w:color w:val="000000" w:themeColor="text1"/>
          <w:sz w:val="24"/>
          <w:szCs w:val="24"/>
        </w:rPr>
        <w:t xml:space="preserve"> see Section 2).</w:t>
      </w:r>
    </w:p>
    <w:p w14:paraId="75ED8D44" w14:textId="7215AFBC" w:rsidR="001B74B8" w:rsidRPr="00F60A11" w:rsidRDefault="001B74B8" w:rsidP="00CB36D8">
      <w:pPr>
        <w:spacing w:line="360" w:lineRule="auto"/>
        <w:ind w:firstLine="567"/>
        <w:rPr>
          <w:rFonts w:ascii="Times New Roman" w:hAnsi="Times New Roman" w:cs="Times New Roman"/>
          <w:color w:val="000000" w:themeColor="text1"/>
          <w:sz w:val="24"/>
          <w:szCs w:val="24"/>
        </w:rPr>
      </w:pPr>
    </w:p>
    <w:p w14:paraId="32279C9B" w14:textId="42C9A143" w:rsidR="00180F11" w:rsidRPr="00F60A11" w:rsidRDefault="00180F11" w:rsidP="00180F11">
      <w:pPr>
        <w:pStyle w:val="Caption"/>
        <w:spacing w:line="360" w:lineRule="auto"/>
        <w:ind w:firstLine="567"/>
        <w:rPr>
          <w:rFonts w:ascii="Times New Roman" w:hAnsi="Times New Roman" w:cs="Times New Roman"/>
          <w:color w:val="000000" w:themeColor="text1"/>
          <w:sz w:val="24"/>
          <w:szCs w:val="24"/>
        </w:rPr>
      </w:pPr>
      <w:bookmarkStart w:id="5" w:name="_Ref520385817"/>
      <w:r w:rsidRPr="00F60A11">
        <w:rPr>
          <w:rFonts w:ascii="Times New Roman" w:hAnsi="Times New Roman" w:cs="Times New Roman"/>
          <w:color w:val="000000" w:themeColor="text1"/>
          <w:sz w:val="24"/>
          <w:szCs w:val="24"/>
        </w:rPr>
        <w:t xml:space="preserve">Table </w:t>
      </w:r>
      <w:r w:rsidRPr="00F60A11">
        <w:rPr>
          <w:rFonts w:ascii="Times New Roman" w:hAnsi="Times New Roman" w:cs="Times New Roman"/>
          <w:color w:val="000000" w:themeColor="text1"/>
          <w:sz w:val="24"/>
          <w:szCs w:val="24"/>
        </w:rPr>
        <w:fldChar w:fldCharType="begin"/>
      </w:r>
      <w:r w:rsidRPr="00F60A11">
        <w:rPr>
          <w:rFonts w:ascii="Times New Roman" w:hAnsi="Times New Roman" w:cs="Times New Roman"/>
          <w:color w:val="000000" w:themeColor="text1"/>
          <w:sz w:val="24"/>
          <w:szCs w:val="24"/>
        </w:rPr>
        <w:instrText xml:space="preserve"> SEQ Table \* ARABIC </w:instrText>
      </w:r>
      <w:r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noProof/>
          <w:color w:val="000000" w:themeColor="text1"/>
          <w:sz w:val="24"/>
          <w:szCs w:val="24"/>
        </w:rPr>
        <w:t>4</w:t>
      </w:r>
      <w:r w:rsidRPr="00F60A11">
        <w:rPr>
          <w:rFonts w:ascii="Times New Roman" w:hAnsi="Times New Roman" w:cs="Times New Roman"/>
          <w:color w:val="000000" w:themeColor="text1"/>
          <w:sz w:val="24"/>
          <w:szCs w:val="24"/>
        </w:rPr>
        <w:fldChar w:fldCharType="end"/>
      </w:r>
      <w:bookmarkEnd w:id="5"/>
      <w:r w:rsidRPr="00F60A11">
        <w:rPr>
          <w:rFonts w:ascii="Times New Roman" w:hAnsi="Times New Roman" w:cs="Times New Roman"/>
          <w:color w:val="000000" w:themeColor="text1"/>
          <w:sz w:val="24"/>
          <w:szCs w:val="24"/>
        </w:rPr>
        <w:t xml:space="preserve">: </w:t>
      </w:r>
      <w:r w:rsidR="008E3BDE" w:rsidRPr="00F60A11">
        <w:rPr>
          <w:rFonts w:ascii="Times New Roman" w:hAnsi="Times New Roman" w:cs="Times New Roman"/>
          <w:color w:val="000000" w:themeColor="text1"/>
          <w:sz w:val="24"/>
          <w:szCs w:val="24"/>
        </w:rPr>
        <w:t>European gas prices: 2013-2016</w:t>
      </w:r>
      <w:r w:rsidR="005F67AC" w:rsidRPr="00F60A11">
        <w:rPr>
          <w:rFonts w:ascii="Times New Roman" w:hAnsi="Times New Roman" w:cs="Times New Roman"/>
          <w:color w:val="000000" w:themeColor="text1"/>
          <w:sz w:val="24"/>
          <w:szCs w:val="24"/>
        </w:rPr>
        <w:t xml:space="preserve"> (Eur/MWh)</w:t>
      </w:r>
    </w:p>
    <w:tbl>
      <w:tblPr>
        <w:tblW w:w="9510" w:type="dxa"/>
        <w:tblLook w:val="04A0" w:firstRow="1" w:lastRow="0" w:firstColumn="1" w:lastColumn="0" w:noHBand="0" w:noVBand="1"/>
      </w:tblPr>
      <w:tblGrid>
        <w:gridCol w:w="5670"/>
        <w:gridCol w:w="960"/>
        <w:gridCol w:w="960"/>
        <w:gridCol w:w="960"/>
        <w:gridCol w:w="960"/>
      </w:tblGrid>
      <w:tr w:rsidR="004B7EED" w:rsidRPr="00F60A11" w14:paraId="05862572" w14:textId="77777777" w:rsidTr="00836D2F">
        <w:trPr>
          <w:trHeight w:val="300"/>
        </w:trPr>
        <w:tc>
          <w:tcPr>
            <w:tcW w:w="5670" w:type="dxa"/>
            <w:tcBorders>
              <w:top w:val="single" w:sz="4" w:space="0" w:color="auto"/>
              <w:left w:val="nil"/>
              <w:bottom w:val="nil"/>
              <w:right w:val="nil"/>
            </w:tcBorders>
            <w:shd w:val="clear" w:color="auto" w:fill="auto"/>
            <w:noWrap/>
            <w:vAlign w:val="bottom"/>
            <w:hideMark/>
          </w:tcPr>
          <w:p w14:paraId="0E8382A6" w14:textId="1BC4C09E" w:rsidR="004B7EED" w:rsidRPr="00F60A11" w:rsidRDefault="00F20F7B" w:rsidP="00836D2F">
            <w:pPr>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Max price in the sample</w:t>
            </w:r>
          </w:p>
        </w:tc>
        <w:tc>
          <w:tcPr>
            <w:tcW w:w="960" w:type="dxa"/>
            <w:tcBorders>
              <w:top w:val="single" w:sz="4" w:space="0" w:color="auto"/>
              <w:left w:val="nil"/>
              <w:bottom w:val="nil"/>
              <w:right w:val="nil"/>
            </w:tcBorders>
            <w:shd w:val="clear" w:color="auto" w:fill="auto"/>
            <w:noWrap/>
            <w:vAlign w:val="bottom"/>
            <w:hideMark/>
          </w:tcPr>
          <w:p w14:paraId="6637E0F6"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37.5</w:t>
            </w:r>
          </w:p>
        </w:tc>
        <w:tc>
          <w:tcPr>
            <w:tcW w:w="960" w:type="dxa"/>
            <w:tcBorders>
              <w:top w:val="single" w:sz="4" w:space="0" w:color="auto"/>
              <w:left w:val="nil"/>
              <w:bottom w:val="nil"/>
              <w:right w:val="nil"/>
            </w:tcBorders>
            <w:shd w:val="clear" w:color="auto" w:fill="auto"/>
            <w:noWrap/>
            <w:vAlign w:val="bottom"/>
            <w:hideMark/>
          </w:tcPr>
          <w:p w14:paraId="08BE2239"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32.0</w:t>
            </w:r>
          </w:p>
        </w:tc>
        <w:tc>
          <w:tcPr>
            <w:tcW w:w="960" w:type="dxa"/>
            <w:tcBorders>
              <w:top w:val="single" w:sz="4" w:space="0" w:color="auto"/>
              <w:left w:val="nil"/>
              <w:bottom w:val="nil"/>
              <w:right w:val="nil"/>
            </w:tcBorders>
            <w:shd w:val="clear" w:color="auto" w:fill="auto"/>
            <w:noWrap/>
            <w:vAlign w:val="bottom"/>
            <w:hideMark/>
          </w:tcPr>
          <w:p w14:paraId="0133AAEB"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27.9</w:t>
            </w:r>
          </w:p>
        </w:tc>
        <w:tc>
          <w:tcPr>
            <w:tcW w:w="960" w:type="dxa"/>
            <w:tcBorders>
              <w:top w:val="single" w:sz="4" w:space="0" w:color="auto"/>
              <w:left w:val="nil"/>
              <w:bottom w:val="nil"/>
              <w:right w:val="nil"/>
            </w:tcBorders>
            <w:shd w:val="clear" w:color="auto" w:fill="auto"/>
            <w:noWrap/>
            <w:vAlign w:val="bottom"/>
            <w:hideMark/>
          </w:tcPr>
          <w:p w14:paraId="3630B46A"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19.5</w:t>
            </w:r>
          </w:p>
        </w:tc>
      </w:tr>
      <w:tr w:rsidR="004B7EED" w:rsidRPr="00F60A11" w14:paraId="61128820" w14:textId="77777777" w:rsidTr="00836D2F">
        <w:trPr>
          <w:trHeight w:val="300"/>
        </w:trPr>
        <w:tc>
          <w:tcPr>
            <w:tcW w:w="5670" w:type="dxa"/>
            <w:tcBorders>
              <w:top w:val="nil"/>
              <w:left w:val="nil"/>
              <w:bottom w:val="nil"/>
              <w:right w:val="nil"/>
            </w:tcBorders>
            <w:shd w:val="clear" w:color="auto" w:fill="auto"/>
            <w:noWrap/>
            <w:vAlign w:val="bottom"/>
            <w:hideMark/>
          </w:tcPr>
          <w:p w14:paraId="06574AAD" w14:textId="4594F2C5" w:rsidR="004B7EED" w:rsidRPr="00F60A11" w:rsidRDefault="00F20F7B" w:rsidP="00836D2F">
            <w:pPr>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Min</w:t>
            </w:r>
            <w:r w:rsidR="00625E0D" w:rsidRPr="00F60A11">
              <w:rPr>
                <w:rFonts w:ascii="Times New Roman" w:eastAsia="Times New Roman" w:hAnsi="Times New Roman" w:cs="Times New Roman"/>
                <w:color w:val="000000"/>
                <w:sz w:val="24"/>
                <w:szCs w:val="24"/>
                <w:lang w:eastAsia="en-GB"/>
              </w:rPr>
              <w:t xml:space="preserve"> </w:t>
            </w:r>
            <w:r w:rsidRPr="00F60A11">
              <w:rPr>
                <w:rFonts w:ascii="Times New Roman" w:eastAsia="Times New Roman" w:hAnsi="Times New Roman" w:cs="Times New Roman"/>
                <w:color w:val="000000"/>
                <w:sz w:val="24"/>
                <w:szCs w:val="24"/>
                <w:lang w:eastAsia="en-GB"/>
              </w:rPr>
              <w:t>price in the sample</w:t>
            </w:r>
          </w:p>
        </w:tc>
        <w:tc>
          <w:tcPr>
            <w:tcW w:w="960" w:type="dxa"/>
            <w:tcBorders>
              <w:top w:val="nil"/>
              <w:left w:val="nil"/>
              <w:bottom w:val="nil"/>
              <w:right w:val="nil"/>
            </w:tcBorders>
            <w:shd w:val="clear" w:color="auto" w:fill="auto"/>
            <w:noWrap/>
            <w:vAlign w:val="bottom"/>
            <w:hideMark/>
          </w:tcPr>
          <w:p w14:paraId="5DD89488"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27.0</w:t>
            </w:r>
          </w:p>
        </w:tc>
        <w:tc>
          <w:tcPr>
            <w:tcW w:w="960" w:type="dxa"/>
            <w:tcBorders>
              <w:top w:val="nil"/>
              <w:left w:val="nil"/>
              <w:bottom w:val="nil"/>
              <w:right w:val="nil"/>
            </w:tcBorders>
            <w:shd w:val="clear" w:color="auto" w:fill="auto"/>
            <w:noWrap/>
            <w:vAlign w:val="bottom"/>
            <w:hideMark/>
          </w:tcPr>
          <w:p w14:paraId="58C6FC66"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21.9</w:t>
            </w:r>
          </w:p>
        </w:tc>
        <w:tc>
          <w:tcPr>
            <w:tcW w:w="960" w:type="dxa"/>
            <w:tcBorders>
              <w:top w:val="nil"/>
              <w:left w:val="nil"/>
              <w:bottom w:val="nil"/>
              <w:right w:val="nil"/>
            </w:tcBorders>
            <w:shd w:val="clear" w:color="auto" w:fill="auto"/>
            <w:noWrap/>
            <w:vAlign w:val="bottom"/>
            <w:hideMark/>
          </w:tcPr>
          <w:p w14:paraId="64CDAA79"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21.0</w:t>
            </w:r>
          </w:p>
        </w:tc>
        <w:tc>
          <w:tcPr>
            <w:tcW w:w="960" w:type="dxa"/>
            <w:tcBorders>
              <w:top w:val="nil"/>
              <w:left w:val="nil"/>
              <w:bottom w:val="nil"/>
              <w:right w:val="nil"/>
            </w:tcBorders>
            <w:shd w:val="clear" w:color="auto" w:fill="auto"/>
            <w:noWrap/>
            <w:vAlign w:val="bottom"/>
            <w:hideMark/>
          </w:tcPr>
          <w:p w14:paraId="4111C07E"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14.1</w:t>
            </w:r>
          </w:p>
        </w:tc>
      </w:tr>
      <w:tr w:rsidR="004B7EED" w:rsidRPr="00F60A11" w14:paraId="38716E43" w14:textId="77777777" w:rsidTr="00836D2F">
        <w:trPr>
          <w:trHeight w:val="300"/>
        </w:trPr>
        <w:tc>
          <w:tcPr>
            <w:tcW w:w="5670" w:type="dxa"/>
            <w:tcBorders>
              <w:top w:val="nil"/>
              <w:left w:val="nil"/>
              <w:bottom w:val="nil"/>
              <w:right w:val="nil"/>
            </w:tcBorders>
            <w:shd w:val="clear" w:color="auto" w:fill="auto"/>
            <w:noWrap/>
            <w:vAlign w:val="bottom"/>
            <w:hideMark/>
          </w:tcPr>
          <w:p w14:paraId="1EFD121D" w14:textId="573CB59D" w:rsidR="004B7EED" w:rsidRPr="00F60A11" w:rsidRDefault="00F20F7B" w:rsidP="00836D2F">
            <w:pPr>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Mean</w:t>
            </w:r>
            <w:r w:rsidR="00625E0D" w:rsidRPr="00F60A11">
              <w:rPr>
                <w:rFonts w:ascii="Times New Roman" w:eastAsia="Times New Roman" w:hAnsi="Times New Roman" w:cs="Times New Roman"/>
                <w:color w:val="000000"/>
                <w:sz w:val="24"/>
                <w:szCs w:val="24"/>
                <w:lang w:eastAsia="en-GB"/>
              </w:rPr>
              <w:t xml:space="preserve"> </w:t>
            </w:r>
            <w:r w:rsidRPr="00F60A11">
              <w:rPr>
                <w:rFonts w:ascii="Times New Roman" w:eastAsia="Times New Roman" w:hAnsi="Times New Roman" w:cs="Times New Roman"/>
                <w:color w:val="000000"/>
                <w:sz w:val="24"/>
                <w:szCs w:val="24"/>
                <w:lang w:eastAsia="en-GB"/>
              </w:rPr>
              <w:t>price in the sample</w:t>
            </w:r>
          </w:p>
        </w:tc>
        <w:tc>
          <w:tcPr>
            <w:tcW w:w="960" w:type="dxa"/>
            <w:tcBorders>
              <w:top w:val="nil"/>
              <w:left w:val="nil"/>
              <w:bottom w:val="nil"/>
              <w:right w:val="nil"/>
            </w:tcBorders>
            <w:shd w:val="clear" w:color="auto" w:fill="auto"/>
            <w:noWrap/>
            <w:vAlign w:val="bottom"/>
            <w:hideMark/>
          </w:tcPr>
          <w:p w14:paraId="6DAC97E2"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114B9F88"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26.2</w:t>
            </w:r>
          </w:p>
        </w:tc>
        <w:tc>
          <w:tcPr>
            <w:tcW w:w="960" w:type="dxa"/>
            <w:tcBorders>
              <w:top w:val="nil"/>
              <w:left w:val="nil"/>
              <w:bottom w:val="nil"/>
              <w:right w:val="nil"/>
            </w:tcBorders>
            <w:shd w:val="clear" w:color="auto" w:fill="auto"/>
            <w:noWrap/>
            <w:vAlign w:val="bottom"/>
            <w:hideMark/>
          </w:tcPr>
          <w:p w14:paraId="1D33E393"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23.2</w:t>
            </w:r>
          </w:p>
        </w:tc>
        <w:tc>
          <w:tcPr>
            <w:tcW w:w="960" w:type="dxa"/>
            <w:tcBorders>
              <w:top w:val="nil"/>
              <w:left w:val="nil"/>
              <w:bottom w:val="nil"/>
              <w:right w:val="nil"/>
            </w:tcBorders>
            <w:shd w:val="clear" w:color="auto" w:fill="auto"/>
            <w:noWrap/>
            <w:vAlign w:val="bottom"/>
            <w:hideMark/>
          </w:tcPr>
          <w:p w14:paraId="6AAE3699"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16.6</w:t>
            </w:r>
          </w:p>
        </w:tc>
      </w:tr>
      <w:tr w:rsidR="004B7EED" w:rsidRPr="00F60A11" w14:paraId="3F8CFC1D" w14:textId="77777777" w:rsidTr="00836D2F">
        <w:trPr>
          <w:trHeight w:val="300"/>
        </w:trPr>
        <w:tc>
          <w:tcPr>
            <w:tcW w:w="5670" w:type="dxa"/>
            <w:tcBorders>
              <w:top w:val="nil"/>
              <w:left w:val="nil"/>
              <w:bottom w:val="nil"/>
              <w:right w:val="nil"/>
            </w:tcBorders>
            <w:shd w:val="clear" w:color="auto" w:fill="auto"/>
            <w:noWrap/>
            <w:vAlign w:val="bottom"/>
            <w:hideMark/>
          </w:tcPr>
          <w:p w14:paraId="729FE2A5" w14:textId="02DBE7D5" w:rsidR="004B7EED" w:rsidRPr="00F60A11" w:rsidRDefault="00F20F7B" w:rsidP="00FC47AF">
            <w:pPr>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Spread: TTF</w:t>
            </w:r>
            <w:r w:rsidR="00FC47AF">
              <w:rPr>
                <w:rFonts w:ascii="Times New Roman" w:eastAsia="Times New Roman" w:hAnsi="Times New Roman" w:cs="Times New Roman"/>
                <w:color w:val="000000"/>
                <w:sz w:val="24"/>
                <w:szCs w:val="24"/>
                <w:lang w:eastAsia="en-GB"/>
              </w:rPr>
              <w:t>—</w:t>
            </w:r>
            <w:r w:rsidRPr="00F60A11">
              <w:rPr>
                <w:rFonts w:ascii="Times New Roman" w:eastAsia="Times New Roman" w:hAnsi="Times New Roman" w:cs="Times New Roman"/>
                <w:color w:val="000000"/>
                <w:sz w:val="24"/>
                <w:szCs w:val="24"/>
                <w:lang w:eastAsia="en-GB"/>
              </w:rPr>
              <w:t>mean</w:t>
            </w:r>
          </w:p>
        </w:tc>
        <w:tc>
          <w:tcPr>
            <w:tcW w:w="960" w:type="dxa"/>
            <w:tcBorders>
              <w:top w:val="nil"/>
              <w:left w:val="nil"/>
              <w:bottom w:val="nil"/>
              <w:right w:val="nil"/>
            </w:tcBorders>
            <w:shd w:val="clear" w:color="auto" w:fill="auto"/>
            <w:noWrap/>
            <w:vAlign w:val="bottom"/>
            <w:hideMark/>
          </w:tcPr>
          <w:p w14:paraId="7AC6B9C4"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3.0</w:t>
            </w:r>
          </w:p>
        </w:tc>
        <w:tc>
          <w:tcPr>
            <w:tcW w:w="960" w:type="dxa"/>
            <w:tcBorders>
              <w:top w:val="nil"/>
              <w:left w:val="nil"/>
              <w:bottom w:val="nil"/>
              <w:right w:val="nil"/>
            </w:tcBorders>
            <w:shd w:val="clear" w:color="auto" w:fill="auto"/>
            <w:noWrap/>
            <w:vAlign w:val="bottom"/>
            <w:hideMark/>
          </w:tcPr>
          <w:p w14:paraId="34D18EB6"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2.5</w:t>
            </w:r>
          </w:p>
        </w:tc>
        <w:tc>
          <w:tcPr>
            <w:tcW w:w="960" w:type="dxa"/>
            <w:tcBorders>
              <w:top w:val="nil"/>
              <w:left w:val="nil"/>
              <w:bottom w:val="nil"/>
              <w:right w:val="nil"/>
            </w:tcBorders>
            <w:shd w:val="clear" w:color="auto" w:fill="auto"/>
            <w:noWrap/>
            <w:vAlign w:val="bottom"/>
            <w:hideMark/>
          </w:tcPr>
          <w:p w14:paraId="665CB55B"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2.2</w:t>
            </w:r>
          </w:p>
        </w:tc>
        <w:tc>
          <w:tcPr>
            <w:tcW w:w="960" w:type="dxa"/>
            <w:tcBorders>
              <w:top w:val="nil"/>
              <w:left w:val="nil"/>
              <w:bottom w:val="nil"/>
              <w:right w:val="nil"/>
            </w:tcBorders>
            <w:shd w:val="clear" w:color="auto" w:fill="auto"/>
            <w:noWrap/>
            <w:vAlign w:val="bottom"/>
            <w:hideMark/>
          </w:tcPr>
          <w:p w14:paraId="0DA64AB7"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1.1</w:t>
            </w:r>
          </w:p>
        </w:tc>
      </w:tr>
      <w:tr w:rsidR="004B7EED" w:rsidRPr="00F60A11" w14:paraId="0EB290E9" w14:textId="77777777" w:rsidTr="00836D2F">
        <w:trPr>
          <w:trHeight w:val="300"/>
        </w:trPr>
        <w:tc>
          <w:tcPr>
            <w:tcW w:w="5670" w:type="dxa"/>
            <w:tcBorders>
              <w:top w:val="nil"/>
              <w:left w:val="nil"/>
              <w:bottom w:val="nil"/>
              <w:right w:val="nil"/>
            </w:tcBorders>
            <w:shd w:val="clear" w:color="auto" w:fill="auto"/>
            <w:noWrap/>
            <w:vAlign w:val="bottom"/>
            <w:hideMark/>
          </w:tcPr>
          <w:p w14:paraId="1EB0AFC4" w14:textId="03B54555" w:rsidR="004B7EED" w:rsidRPr="00F60A11" w:rsidRDefault="00F20F7B" w:rsidP="00FC47AF">
            <w:pPr>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lastRenderedPageBreak/>
              <w:t>Spread: TTF</w:t>
            </w:r>
            <w:r w:rsidR="00FC47AF">
              <w:rPr>
                <w:rFonts w:ascii="Times New Roman" w:eastAsia="Times New Roman" w:hAnsi="Times New Roman" w:cs="Times New Roman"/>
                <w:color w:val="000000"/>
                <w:sz w:val="24"/>
                <w:szCs w:val="24"/>
                <w:lang w:eastAsia="en-GB"/>
              </w:rPr>
              <w:t>—</w:t>
            </w:r>
            <w:r w:rsidRPr="00F60A11">
              <w:rPr>
                <w:rFonts w:ascii="Times New Roman" w:eastAsia="Times New Roman" w:hAnsi="Times New Roman" w:cs="Times New Roman"/>
                <w:color w:val="000000"/>
                <w:sz w:val="24"/>
                <w:szCs w:val="24"/>
                <w:lang w:eastAsia="en-GB"/>
              </w:rPr>
              <w:t>min</w:t>
            </w:r>
          </w:p>
        </w:tc>
        <w:tc>
          <w:tcPr>
            <w:tcW w:w="960" w:type="dxa"/>
            <w:tcBorders>
              <w:top w:val="nil"/>
              <w:left w:val="nil"/>
              <w:bottom w:val="nil"/>
              <w:right w:val="nil"/>
            </w:tcBorders>
            <w:shd w:val="clear" w:color="auto" w:fill="auto"/>
            <w:noWrap/>
            <w:vAlign w:val="bottom"/>
            <w:hideMark/>
          </w:tcPr>
          <w:p w14:paraId="7B53B3C3"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0.2</w:t>
            </w:r>
          </w:p>
        </w:tc>
        <w:tc>
          <w:tcPr>
            <w:tcW w:w="960" w:type="dxa"/>
            <w:tcBorders>
              <w:top w:val="nil"/>
              <w:left w:val="nil"/>
              <w:bottom w:val="nil"/>
              <w:right w:val="nil"/>
            </w:tcBorders>
            <w:shd w:val="clear" w:color="auto" w:fill="auto"/>
            <w:noWrap/>
            <w:vAlign w:val="bottom"/>
            <w:hideMark/>
          </w:tcPr>
          <w:p w14:paraId="55243D92"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1.8</w:t>
            </w:r>
          </w:p>
        </w:tc>
        <w:tc>
          <w:tcPr>
            <w:tcW w:w="960" w:type="dxa"/>
            <w:tcBorders>
              <w:top w:val="nil"/>
              <w:left w:val="nil"/>
              <w:bottom w:val="nil"/>
              <w:right w:val="nil"/>
            </w:tcBorders>
            <w:shd w:val="clear" w:color="auto" w:fill="auto"/>
            <w:noWrap/>
            <w:vAlign w:val="bottom"/>
            <w:hideMark/>
          </w:tcPr>
          <w:p w14:paraId="6A5ADC15"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0.0</w:t>
            </w:r>
          </w:p>
        </w:tc>
        <w:tc>
          <w:tcPr>
            <w:tcW w:w="960" w:type="dxa"/>
            <w:tcBorders>
              <w:top w:val="nil"/>
              <w:left w:val="nil"/>
              <w:bottom w:val="nil"/>
              <w:right w:val="nil"/>
            </w:tcBorders>
            <w:shd w:val="clear" w:color="auto" w:fill="auto"/>
            <w:noWrap/>
            <w:vAlign w:val="bottom"/>
            <w:hideMark/>
          </w:tcPr>
          <w:p w14:paraId="3ABA0DDC"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1.4</w:t>
            </w:r>
          </w:p>
        </w:tc>
      </w:tr>
      <w:tr w:rsidR="004B7EED" w:rsidRPr="00F60A11" w14:paraId="1741E229" w14:textId="77777777" w:rsidTr="00836D2F">
        <w:trPr>
          <w:trHeight w:val="300"/>
        </w:trPr>
        <w:tc>
          <w:tcPr>
            <w:tcW w:w="5670" w:type="dxa"/>
            <w:tcBorders>
              <w:top w:val="nil"/>
              <w:left w:val="nil"/>
              <w:bottom w:val="nil"/>
              <w:right w:val="nil"/>
            </w:tcBorders>
            <w:shd w:val="clear" w:color="auto" w:fill="auto"/>
            <w:noWrap/>
            <w:vAlign w:val="bottom"/>
            <w:hideMark/>
          </w:tcPr>
          <w:p w14:paraId="736DE1E7" w14:textId="6F34AE04" w:rsidR="004B7EED" w:rsidRPr="00F60A11" w:rsidRDefault="00F20F7B" w:rsidP="00FC47AF">
            <w:pPr>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Spread: TTF</w:t>
            </w:r>
            <w:r w:rsidR="00FC47AF">
              <w:rPr>
                <w:rFonts w:ascii="Times New Roman" w:eastAsia="Times New Roman" w:hAnsi="Times New Roman" w:cs="Times New Roman"/>
                <w:color w:val="000000"/>
                <w:sz w:val="24"/>
                <w:szCs w:val="24"/>
                <w:lang w:eastAsia="en-GB"/>
              </w:rPr>
              <w:t>—</w:t>
            </w:r>
            <w:r w:rsidRPr="00F60A11">
              <w:rPr>
                <w:rFonts w:ascii="Times New Roman" w:eastAsia="Times New Roman" w:hAnsi="Times New Roman" w:cs="Times New Roman"/>
                <w:color w:val="000000"/>
                <w:sz w:val="24"/>
                <w:szCs w:val="24"/>
                <w:lang w:eastAsia="en-GB"/>
              </w:rPr>
              <w:t>max</w:t>
            </w:r>
          </w:p>
        </w:tc>
        <w:tc>
          <w:tcPr>
            <w:tcW w:w="960" w:type="dxa"/>
            <w:tcBorders>
              <w:top w:val="nil"/>
              <w:left w:val="nil"/>
              <w:bottom w:val="nil"/>
              <w:right w:val="nil"/>
            </w:tcBorders>
            <w:shd w:val="clear" w:color="auto" w:fill="auto"/>
            <w:noWrap/>
            <w:vAlign w:val="bottom"/>
            <w:hideMark/>
          </w:tcPr>
          <w:p w14:paraId="59806203"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10.3</w:t>
            </w:r>
          </w:p>
        </w:tc>
        <w:tc>
          <w:tcPr>
            <w:tcW w:w="960" w:type="dxa"/>
            <w:tcBorders>
              <w:top w:val="nil"/>
              <w:left w:val="nil"/>
              <w:bottom w:val="nil"/>
              <w:right w:val="nil"/>
            </w:tcBorders>
            <w:shd w:val="clear" w:color="auto" w:fill="auto"/>
            <w:noWrap/>
            <w:vAlign w:val="bottom"/>
            <w:hideMark/>
          </w:tcPr>
          <w:p w14:paraId="2D3CFA1D"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8.3</w:t>
            </w:r>
          </w:p>
        </w:tc>
        <w:tc>
          <w:tcPr>
            <w:tcW w:w="960" w:type="dxa"/>
            <w:tcBorders>
              <w:top w:val="nil"/>
              <w:left w:val="nil"/>
              <w:bottom w:val="nil"/>
              <w:right w:val="nil"/>
            </w:tcBorders>
            <w:shd w:val="clear" w:color="auto" w:fill="auto"/>
            <w:noWrap/>
            <w:vAlign w:val="bottom"/>
            <w:hideMark/>
          </w:tcPr>
          <w:p w14:paraId="1753E907"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6.9</w:t>
            </w:r>
          </w:p>
        </w:tc>
        <w:tc>
          <w:tcPr>
            <w:tcW w:w="960" w:type="dxa"/>
            <w:tcBorders>
              <w:top w:val="nil"/>
              <w:left w:val="nil"/>
              <w:bottom w:val="nil"/>
              <w:right w:val="nil"/>
            </w:tcBorders>
            <w:shd w:val="clear" w:color="auto" w:fill="auto"/>
            <w:noWrap/>
            <w:vAlign w:val="bottom"/>
            <w:hideMark/>
          </w:tcPr>
          <w:p w14:paraId="091F77C1"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4.0</w:t>
            </w:r>
          </w:p>
        </w:tc>
      </w:tr>
      <w:tr w:rsidR="004B7EED" w:rsidRPr="00F60A11" w14:paraId="667EE0AA" w14:textId="77777777" w:rsidTr="00836D2F">
        <w:trPr>
          <w:trHeight w:val="300"/>
        </w:trPr>
        <w:tc>
          <w:tcPr>
            <w:tcW w:w="5670" w:type="dxa"/>
            <w:tcBorders>
              <w:top w:val="nil"/>
              <w:left w:val="nil"/>
              <w:right w:val="nil"/>
            </w:tcBorders>
            <w:shd w:val="clear" w:color="auto" w:fill="auto"/>
            <w:noWrap/>
            <w:vAlign w:val="bottom"/>
            <w:hideMark/>
          </w:tcPr>
          <w:p w14:paraId="558DF777" w14:textId="38D024ED" w:rsidR="004B7EED" w:rsidRPr="00F60A11" w:rsidRDefault="00F20F7B" w:rsidP="00FC47AF">
            <w:pPr>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Spread: max</w:t>
            </w:r>
            <w:r w:rsidR="00FC47AF">
              <w:rPr>
                <w:rFonts w:ascii="Times New Roman" w:eastAsia="Times New Roman" w:hAnsi="Times New Roman" w:cs="Times New Roman"/>
                <w:color w:val="000000"/>
                <w:sz w:val="24"/>
                <w:szCs w:val="24"/>
                <w:lang w:eastAsia="en-GB"/>
              </w:rPr>
              <w:t>—</w:t>
            </w:r>
            <w:r w:rsidRPr="00F60A11">
              <w:rPr>
                <w:rFonts w:ascii="Times New Roman" w:eastAsia="Times New Roman" w:hAnsi="Times New Roman" w:cs="Times New Roman"/>
                <w:color w:val="000000"/>
                <w:sz w:val="24"/>
                <w:szCs w:val="24"/>
                <w:lang w:eastAsia="en-GB"/>
              </w:rPr>
              <w:t>min</w:t>
            </w:r>
          </w:p>
        </w:tc>
        <w:tc>
          <w:tcPr>
            <w:tcW w:w="960" w:type="dxa"/>
            <w:tcBorders>
              <w:top w:val="nil"/>
              <w:left w:val="nil"/>
              <w:right w:val="nil"/>
            </w:tcBorders>
            <w:shd w:val="clear" w:color="auto" w:fill="auto"/>
            <w:noWrap/>
            <w:vAlign w:val="bottom"/>
            <w:hideMark/>
          </w:tcPr>
          <w:p w14:paraId="425B6F64"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10.5</w:t>
            </w:r>
          </w:p>
        </w:tc>
        <w:tc>
          <w:tcPr>
            <w:tcW w:w="960" w:type="dxa"/>
            <w:tcBorders>
              <w:top w:val="nil"/>
              <w:left w:val="nil"/>
              <w:right w:val="nil"/>
            </w:tcBorders>
            <w:shd w:val="clear" w:color="auto" w:fill="auto"/>
            <w:noWrap/>
            <w:vAlign w:val="bottom"/>
            <w:hideMark/>
          </w:tcPr>
          <w:p w14:paraId="48CD1D07"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10.1</w:t>
            </w:r>
          </w:p>
        </w:tc>
        <w:tc>
          <w:tcPr>
            <w:tcW w:w="960" w:type="dxa"/>
            <w:tcBorders>
              <w:top w:val="nil"/>
              <w:left w:val="nil"/>
              <w:right w:val="nil"/>
            </w:tcBorders>
            <w:shd w:val="clear" w:color="auto" w:fill="auto"/>
            <w:noWrap/>
            <w:vAlign w:val="bottom"/>
            <w:hideMark/>
          </w:tcPr>
          <w:p w14:paraId="7FDF7D3D"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6.9</w:t>
            </w:r>
          </w:p>
        </w:tc>
        <w:tc>
          <w:tcPr>
            <w:tcW w:w="960" w:type="dxa"/>
            <w:tcBorders>
              <w:top w:val="nil"/>
              <w:left w:val="nil"/>
              <w:right w:val="nil"/>
            </w:tcBorders>
            <w:shd w:val="clear" w:color="auto" w:fill="auto"/>
            <w:noWrap/>
            <w:vAlign w:val="bottom"/>
            <w:hideMark/>
          </w:tcPr>
          <w:p w14:paraId="3BD49C59"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5.4</w:t>
            </w:r>
          </w:p>
        </w:tc>
      </w:tr>
      <w:tr w:rsidR="004B7EED" w:rsidRPr="00F60A11" w14:paraId="0CD351D0" w14:textId="77777777" w:rsidTr="00836D2F">
        <w:trPr>
          <w:trHeight w:val="300"/>
        </w:trPr>
        <w:tc>
          <w:tcPr>
            <w:tcW w:w="5670" w:type="dxa"/>
            <w:tcBorders>
              <w:top w:val="nil"/>
              <w:left w:val="nil"/>
              <w:bottom w:val="single" w:sz="4" w:space="0" w:color="auto"/>
              <w:right w:val="nil"/>
            </w:tcBorders>
            <w:shd w:val="clear" w:color="auto" w:fill="auto"/>
            <w:noWrap/>
            <w:vAlign w:val="bottom"/>
            <w:hideMark/>
          </w:tcPr>
          <w:p w14:paraId="2C7DCDE6" w14:textId="43E37A27" w:rsidR="004B7EED" w:rsidRPr="00F60A11" w:rsidRDefault="00F20F7B" w:rsidP="00FC47AF">
            <w:pPr>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Spread: TTF</w:t>
            </w:r>
            <w:r w:rsidR="00FC47AF">
              <w:rPr>
                <w:rFonts w:ascii="Times New Roman" w:eastAsia="Times New Roman" w:hAnsi="Times New Roman" w:cs="Times New Roman"/>
                <w:color w:val="000000"/>
                <w:sz w:val="24"/>
                <w:szCs w:val="24"/>
                <w:lang w:eastAsia="en-GB"/>
              </w:rPr>
              <w:t>—</w:t>
            </w:r>
            <w:r w:rsidRPr="00F60A11">
              <w:rPr>
                <w:rFonts w:ascii="Times New Roman" w:eastAsia="Times New Roman" w:hAnsi="Times New Roman" w:cs="Times New Roman"/>
                <w:color w:val="000000"/>
                <w:sz w:val="24"/>
                <w:szCs w:val="24"/>
                <w:lang w:eastAsia="en-GB"/>
              </w:rPr>
              <w:t>oil</w:t>
            </w:r>
            <w:r w:rsidR="00AC205F">
              <w:rPr>
                <w:rFonts w:ascii="Times New Roman" w:eastAsia="Times New Roman" w:hAnsi="Times New Roman" w:cs="Times New Roman"/>
                <w:color w:val="000000"/>
                <w:sz w:val="24"/>
                <w:szCs w:val="24"/>
                <w:lang w:eastAsia="en-GB"/>
              </w:rPr>
              <w:t>-indexed</w:t>
            </w:r>
            <w:r w:rsidRPr="00F60A11">
              <w:rPr>
                <w:rFonts w:ascii="Times New Roman" w:eastAsia="Times New Roman" w:hAnsi="Times New Roman" w:cs="Times New Roman"/>
                <w:color w:val="000000"/>
                <w:sz w:val="24"/>
                <w:szCs w:val="24"/>
                <w:lang w:eastAsia="en-GB"/>
              </w:rPr>
              <w:t xml:space="preserve"> contract prices</w:t>
            </w:r>
          </w:p>
        </w:tc>
        <w:tc>
          <w:tcPr>
            <w:tcW w:w="960" w:type="dxa"/>
            <w:tcBorders>
              <w:top w:val="nil"/>
              <w:left w:val="nil"/>
              <w:bottom w:val="single" w:sz="4" w:space="0" w:color="auto"/>
              <w:right w:val="nil"/>
            </w:tcBorders>
            <w:shd w:val="clear" w:color="auto" w:fill="auto"/>
            <w:noWrap/>
            <w:vAlign w:val="bottom"/>
            <w:hideMark/>
          </w:tcPr>
          <w:p w14:paraId="7150B8DC"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9.9</w:t>
            </w:r>
          </w:p>
        </w:tc>
        <w:tc>
          <w:tcPr>
            <w:tcW w:w="960" w:type="dxa"/>
            <w:tcBorders>
              <w:top w:val="nil"/>
              <w:left w:val="nil"/>
              <w:bottom w:val="single" w:sz="4" w:space="0" w:color="auto"/>
              <w:right w:val="nil"/>
            </w:tcBorders>
            <w:shd w:val="clear" w:color="auto" w:fill="auto"/>
            <w:noWrap/>
            <w:vAlign w:val="bottom"/>
            <w:hideMark/>
          </w:tcPr>
          <w:p w14:paraId="40D0B4A0"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10.8</w:t>
            </w:r>
          </w:p>
        </w:tc>
        <w:tc>
          <w:tcPr>
            <w:tcW w:w="960" w:type="dxa"/>
            <w:tcBorders>
              <w:top w:val="nil"/>
              <w:left w:val="nil"/>
              <w:bottom w:val="single" w:sz="4" w:space="0" w:color="auto"/>
              <w:right w:val="nil"/>
            </w:tcBorders>
            <w:shd w:val="clear" w:color="auto" w:fill="auto"/>
            <w:noWrap/>
            <w:vAlign w:val="bottom"/>
            <w:hideMark/>
          </w:tcPr>
          <w:p w14:paraId="21AE3CC3"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6.9</w:t>
            </w:r>
          </w:p>
        </w:tc>
        <w:tc>
          <w:tcPr>
            <w:tcW w:w="960" w:type="dxa"/>
            <w:tcBorders>
              <w:top w:val="nil"/>
              <w:left w:val="nil"/>
              <w:bottom w:val="single" w:sz="4" w:space="0" w:color="auto"/>
              <w:right w:val="nil"/>
            </w:tcBorders>
            <w:shd w:val="clear" w:color="auto" w:fill="auto"/>
            <w:noWrap/>
            <w:vAlign w:val="bottom"/>
            <w:hideMark/>
          </w:tcPr>
          <w:p w14:paraId="345DC820" w14:textId="77777777" w:rsidR="004B7EED" w:rsidRPr="00F60A11" w:rsidRDefault="004B7EED" w:rsidP="00836D2F">
            <w:pPr>
              <w:jc w:val="right"/>
              <w:rPr>
                <w:rFonts w:ascii="Times New Roman" w:eastAsia="Times New Roman" w:hAnsi="Times New Roman" w:cs="Times New Roman"/>
                <w:color w:val="000000"/>
                <w:sz w:val="24"/>
                <w:szCs w:val="24"/>
                <w:lang w:eastAsia="en-GB"/>
              </w:rPr>
            </w:pPr>
            <w:r w:rsidRPr="00F60A11">
              <w:rPr>
                <w:rFonts w:ascii="Times New Roman" w:eastAsia="Times New Roman" w:hAnsi="Times New Roman" w:cs="Times New Roman"/>
                <w:color w:val="000000"/>
                <w:sz w:val="24"/>
                <w:szCs w:val="24"/>
                <w:lang w:eastAsia="en-GB"/>
              </w:rPr>
              <w:t>4.6</w:t>
            </w:r>
          </w:p>
        </w:tc>
      </w:tr>
    </w:tbl>
    <w:p w14:paraId="4014D310" w14:textId="7E68F5F1" w:rsidR="00F45219" w:rsidRPr="00F60A11" w:rsidRDefault="00F45219" w:rsidP="005F67AC">
      <w:pPr>
        <w:rPr>
          <w:rFonts w:ascii="Times New Roman" w:hAnsi="Times New Roman" w:cs="Times New Roman"/>
          <w:i/>
          <w:color w:val="000000" w:themeColor="text1"/>
          <w:sz w:val="20"/>
          <w:szCs w:val="20"/>
        </w:rPr>
      </w:pPr>
      <w:r w:rsidRPr="00F60A11">
        <w:rPr>
          <w:rFonts w:ascii="Times New Roman" w:hAnsi="Times New Roman" w:cs="Times New Roman"/>
          <w:i/>
          <w:color w:val="000000" w:themeColor="text1"/>
          <w:sz w:val="20"/>
          <w:szCs w:val="20"/>
        </w:rPr>
        <w:t>Notes: MAX, MIN</w:t>
      </w:r>
      <w:r w:rsidR="00FC47AF" w:rsidRPr="00F60A11">
        <w:rPr>
          <w:rFonts w:ascii="Times New Roman" w:hAnsi="Times New Roman" w:cs="Times New Roman"/>
          <w:i/>
          <w:color w:val="000000" w:themeColor="text1"/>
          <w:sz w:val="20"/>
          <w:szCs w:val="20"/>
        </w:rPr>
        <w:t>,</w:t>
      </w:r>
      <w:r w:rsidR="00FC47AF">
        <w:rPr>
          <w:rFonts w:ascii="Times New Roman" w:hAnsi="Times New Roman" w:cs="Times New Roman"/>
          <w:i/>
          <w:color w:val="000000" w:themeColor="text1"/>
          <w:sz w:val="20"/>
          <w:szCs w:val="20"/>
        </w:rPr>
        <w:t xml:space="preserve"> </w:t>
      </w:r>
      <w:r w:rsidR="00FC47AF">
        <w:rPr>
          <w:rFonts w:ascii="Times New Roman" w:hAnsi="Times New Roman" w:cs="Times New Roman"/>
          <w:color w:val="000000" w:themeColor="text1"/>
          <w:sz w:val="20"/>
          <w:szCs w:val="20"/>
        </w:rPr>
        <w:t xml:space="preserve">and </w:t>
      </w:r>
      <w:r w:rsidRPr="00F60A11">
        <w:rPr>
          <w:rFonts w:ascii="Times New Roman" w:hAnsi="Times New Roman" w:cs="Times New Roman"/>
          <w:i/>
          <w:color w:val="000000" w:themeColor="text1"/>
          <w:sz w:val="20"/>
          <w:szCs w:val="20"/>
        </w:rPr>
        <w:t xml:space="preserve">MEAN are taken for a sample of annual prices for 26 EU countries; these prices were taken from the ACER gas market monitoring reports </w:t>
      </w:r>
      <w:hyperlink r:id="rId8" w:history="1">
        <w:r w:rsidRPr="00F60A11">
          <w:rPr>
            <w:rStyle w:val="Hyperlink"/>
            <w:rFonts w:ascii="Times New Roman" w:hAnsi="Times New Roman" w:cs="Times New Roman"/>
            <w:i/>
            <w:sz w:val="20"/>
            <w:szCs w:val="20"/>
          </w:rPr>
          <w:t>https://acer.europa.eu/en/Pages/default.aspx</w:t>
        </w:r>
      </w:hyperlink>
      <w:r w:rsidR="00FC47AF">
        <w:rPr>
          <w:rFonts w:ascii="Times New Roman" w:hAnsi="Times New Roman" w:cs="Times New Roman"/>
          <w:i/>
          <w:color w:val="000000" w:themeColor="text1"/>
          <w:sz w:val="20"/>
          <w:szCs w:val="20"/>
        </w:rPr>
        <w:t>.</w:t>
      </w:r>
      <w:r w:rsidR="00FC47AF" w:rsidRPr="00F60A11">
        <w:rPr>
          <w:rFonts w:ascii="Times New Roman" w:hAnsi="Times New Roman" w:cs="Times New Roman"/>
          <w:i/>
          <w:color w:val="000000" w:themeColor="text1"/>
          <w:sz w:val="20"/>
          <w:szCs w:val="20"/>
        </w:rPr>
        <w:t xml:space="preserve"> </w:t>
      </w:r>
      <w:r w:rsidRPr="00F60A11">
        <w:rPr>
          <w:rFonts w:ascii="Times New Roman" w:hAnsi="Times New Roman" w:cs="Times New Roman"/>
          <w:i/>
          <w:color w:val="000000" w:themeColor="text1"/>
          <w:sz w:val="20"/>
          <w:szCs w:val="20"/>
        </w:rPr>
        <w:t>Reported spreads are absolute values</w:t>
      </w:r>
      <w:r w:rsidR="005742EE" w:rsidRPr="00F60A11">
        <w:rPr>
          <w:rFonts w:ascii="Times New Roman" w:hAnsi="Times New Roman" w:cs="Times New Roman"/>
          <w:i/>
          <w:color w:val="000000" w:themeColor="text1"/>
          <w:sz w:val="20"/>
          <w:szCs w:val="20"/>
        </w:rPr>
        <w:t>.</w:t>
      </w:r>
    </w:p>
    <w:p w14:paraId="73D00602" w14:textId="208BD526" w:rsidR="004B7EED" w:rsidRPr="00F60A11" w:rsidRDefault="004B7EED" w:rsidP="005F67AC">
      <w:pPr>
        <w:rPr>
          <w:rFonts w:ascii="Times New Roman" w:hAnsi="Times New Roman" w:cs="Times New Roman"/>
          <w:i/>
          <w:color w:val="000000" w:themeColor="text1"/>
          <w:sz w:val="20"/>
          <w:szCs w:val="20"/>
        </w:rPr>
      </w:pPr>
      <w:r w:rsidRPr="00F60A11">
        <w:rPr>
          <w:rFonts w:ascii="Times New Roman" w:hAnsi="Times New Roman" w:cs="Times New Roman"/>
          <w:i/>
          <w:color w:val="000000" w:themeColor="text1"/>
          <w:sz w:val="20"/>
          <w:szCs w:val="20"/>
        </w:rPr>
        <w:t xml:space="preserve">Source: ACER’s Annual Report on the Results of Monitoring the Internal Electricity and Natural Gas Markets for 2013-2016 years. Available for download from ACER’s website: </w:t>
      </w:r>
      <w:hyperlink r:id="rId9" w:history="1">
        <w:r w:rsidR="000449BD" w:rsidRPr="00F60A11">
          <w:rPr>
            <w:rStyle w:val="Hyperlink"/>
            <w:rFonts w:ascii="Times New Roman" w:hAnsi="Times New Roman" w:cs="Times New Roman"/>
            <w:i/>
            <w:sz w:val="20"/>
            <w:szCs w:val="20"/>
          </w:rPr>
          <w:t>https://acer.europa.eu/en/Pages/default.aspx</w:t>
        </w:r>
      </w:hyperlink>
      <w:r w:rsidR="000449BD" w:rsidRPr="00F60A11">
        <w:rPr>
          <w:rFonts w:ascii="Times New Roman" w:hAnsi="Times New Roman" w:cs="Times New Roman"/>
          <w:i/>
          <w:color w:val="000000" w:themeColor="text1"/>
          <w:sz w:val="20"/>
          <w:szCs w:val="20"/>
        </w:rPr>
        <w:t xml:space="preserve"> &amp; Thomson Reuters for oil-indexed contract prices</w:t>
      </w:r>
      <w:r w:rsidR="00FC47AF">
        <w:rPr>
          <w:rFonts w:ascii="Times New Roman" w:hAnsi="Times New Roman" w:cs="Times New Roman"/>
          <w:i/>
          <w:color w:val="000000" w:themeColor="text1"/>
          <w:sz w:val="20"/>
          <w:szCs w:val="20"/>
        </w:rPr>
        <w:t>.</w:t>
      </w:r>
    </w:p>
    <w:p w14:paraId="5918847B" w14:textId="77777777" w:rsidR="000D1984" w:rsidRPr="00F60A11" w:rsidRDefault="000D1984" w:rsidP="00CB36D8">
      <w:pPr>
        <w:spacing w:line="360" w:lineRule="auto"/>
        <w:ind w:firstLine="567"/>
        <w:rPr>
          <w:rFonts w:ascii="Times New Roman" w:hAnsi="Times New Roman" w:cs="Times New Roman"/>
          <w:color w:val="000000" w:themeColor="text1"/>
          <w:sz w:val="24"/>
          <w:szCs w:val="24"/>
        </w:rPr>
      </w:pPr>
    </w:p>
    <w:p w14:paraId="1D562BCE" w14:textId="1EF4FFEF" w:rsidR="00CB36D8" w:rsidRPr="00F60A11" w:rsidRDefault="001C69F7" w:rsidP="00CB36D8">
      <w:pPr>
        <w:spacing w:line="360" w:lineRule="auto"/>
        <w:ind w:firstLine="567"/>
        <w:rPr>
          <w:rFonts w:ascii="Times New Roman" w:hAnsi="Times New Roman" w:cs="Times New Roman"/>
          <w:color w:val="000000" w:themeColor="text1"/>
          <w:sz w:val="24"/>
          <w:szCs w:val="24"/>
        </w:rPr>
      </w:pPr>
      <w:r w:rsidRPr="00F60A11">
        <w:rPr>
          <w:rFonts w:ascii="Times New Roman" w:hAnsi="Times New Roman" w:cs="Times New Roman"/>
          <w:color w:val="000000" w:themeColor="text1"/>
          <w:sz w:val="24"/>
          <w:szCs w:val="24"/>
        </w:rPr>
        <w:t xml:space="preserve">The single most important factor that allowed for such a price convergence (not just between traded hubs as </w:t>
      </w:r>
      <w:r w:rsidR="00834B08" w:rsidRPr="00F60A11">
        <w:rPr>
          <w:rFonts w:ascii="Times New Roman" w:hAnsi="Times New Roman" w:cs="Times New Roman"/>
          <w:color w:val="000000" w:themeColor="text1"/>
          <w:sz w:val="24"/>
          <w:szCs w:val="24"/>
        </w:rPr>
        <w:t xml:space="preserve">found by </w:t>
      </w:r>
      <w:r w:rsidR="00FC47AF">
        <w:rPr>
          <w:rFonts w:ascii="Times New Roman" w:hAnsi="Times New Roman" w:cs="Times New Roman"/>
          <w:color w:val="000000" w:themeColor="text1"/>
          <w:sz w:val="24"/>
          <w:szCs w:val="24"/>
        </w:rPr>
        <w:t xml:space="preserve">the cited </w:t>
      </w:r>
      <w:r w:rsidR="00834B08" w:rsidRPr="00F60A11">
        <w:rPr>
          <w:rFonts w:ascii="Times New Roman" w:hAnsi="Times New Roman" w:cs="Times New Roman"/>
          <w:color w:val="000000" w:themeColor="text1"/>
          <w:sz w:val="24"/>
          <w:szCs w:val="24"/>
        </w:rPr>
        <w:t>econometric analyses but</w:t>
      </w:r>
      <w:r w:rsidR="00FC47AF">
        <w:rPr>
          <w:rFonts w:ascii="Times New Roman" w:hAnsi="Times New Roman" w:cs="Times New Roman"/>
          <w:color w:val="000000" w:themeColor="text1"/>
          <w:sz w:val="24"/>
          <w:szCs w:val="24"/>
        </w:rPr>
        <w:t xml:space="preserve"> also</w:t>
      </w:r>
      <w:r w:rsidR="00834B08" w:rsidRPr="00F60A11">
        <w:rPr>
          <w:rFonts w:ascii="Times New Roman" w:hAnsi="Times New Roman" w:cs="Times New Roman"/>
          <w:color w:val="000000" w:themeColor="text1"/>
          <w:sz w:val="24"/>
          <w:szCs w:val="24"/>
        </w:rPr>
        <w:t xml:space="preserve"> between hubs and immature markets)</w:t>
      </w:r>
      <w:r w:rsidR="0056677D">
        <w:rPr>
          <w:rFonts w:ascii="Times New Roman" w:hAnsi="Times New Roman" w:cs="Times New Roman"/>
          <w:color w:val="000000" w:themeColor="text1"/>
          <w:sz w:val="24"/>
          <w:szCs w:val="24"/>
        </w:rPr>
        <w:t>—</w:t>
      </w:r>
      <w:r w:rsidR="00FC47AF">
        <w:rPr>
          <w:rFonts w:ascii="Times New Roman" w:hAnsi="Times New Roman" w:cs="Times New Roman"/>
          <w:color w:val="000000" w:themeColor="text1"/>
          <w:sz w:val="24"/>
          <w:szCs w:val="24"/>
        </w:rPr>
        <w:t xml:space="preserve">is the </w:t>
      </w:r>
      <w:r w:rsidR="00700094" w:rsidRPr="00F60A11">
        <w:rPr>
          <w:rFonts w:ascii="Times New Roman" w:hAnsi="Times New Roman" w:cs="Times New Roman"/>
          <w:color w:val="000000" w:themeColor="text1"/>
          <w:sz w:val="24"/>
          <w:szCs w:val="24"/>
        </w:rPr>
        <w:t xml:space="preserve">slump in gas demand in Europe relative </w:t>
      </w:r>
      <w:r w:rsidR="006D52CF" w:rsidRPr="00F60A11">
        <w:rPr>
          <w:rFonts w:ascii="Times New Roman" w:hAnsi="Times New Roman" w:cs="Times New Roman"/>
          <w:color w:val="000000" w:themeColor="text1"/>
          <w:sz w:val="24"/>
          <w:szCs w:val="24"/>
        </w:rPr>
        <w:t xml:space="preserve">to </w:t>
      </w:r>
      <w:r w:rsidR="00700094" w:rsidRPr="00F60A11">
        <w:rPr>
          <w:rFonts w:ascii="Times New Roman" w:hAnsi="Times New Roman" w:cs="Times New Roman"/>
          <w:color w:val="000000" w:themeColor="text1"/>
          <w:sz w:val="24"/>
          <w:szCs w:val="24"/>
        </w:rPr>
        <w:t>contracted volume between midstream and upstream companies</w:t>
      </w:r>
      <w:r w:rsidR="00B23C1B" w:rsidRPr="00F60A11">
        <w:rPr>
          <w:rFonts w:ascii="Times New Roman" w:hAnsi="Times New Roman" w:cs="Times New Roman"/>
          <w:color w:val="000000" w:themeColor="text1"/>
          <w:sz w:val="24"/>
          <w:szCs w:val="24"/>
        </w:rPr>
        <w:t xml:space="preserve"> and abundance of LNG volumes</w:t>
      </w:r>
      <w:r w:rsidR="00910D8F" w:rsidRPr="00F60A11">
        <w:rPr>
          <w:rFonts w:ascii="Times New Roman" w:hAnsi="Times New Roman" w:cs="Times New Roman"/>
          <w:color w:val="000000" w:themeColor="text1"/>
          <w:sz w:val="24"/>
          <w:szCs w:val="24"/>
        </w:rPr>
        <w:t xml:space="preserve"> in the period from 2009-2014</w:t>
      </w:r>
      <w:r w:rsidR="00B23C1B" w:rsidRPr="00F60A11">
        <w:rPr>
          <w:rFonts w:ascii="Times New Roman" w:hAnsi="Times New Roman" w:cs="Times New Roman"/>
          <w:color w:val="000000" w:themeColor="text1"/>
          <w:sz w:val="24"/>
          <w:szCs w:val="24"/>
        </w:rPr>
        <w:t>.</w:t>
      </w:r>
      <w:r w:rsidR="00910D8F" w:rsidRPr="00F60A11">
        <w:rPr>
          <w:rFonts w:ascii="Times New Roman" w:hAnsi="Times New Roman" w:cs="Times New Roman"/>
          <w:color w:val="000000" w:themeColor="text1"/>
          <w:sz w:val="24"/>
          <w:szCs w:val="24"/>
        </w:rPr>
        <w:t xml:space="preserve"> </w:t>
      </w:r>
      <w:r w:rsidR="004E6568" w:rsidRPr="00F60A11">
        <w:rPr>
          <w:rFonts w:ascii="Times New Roman" w:hAnsi="Times New Roman" w:cs="Times New Roman"/>
          <w:color w:val="000000" w:themeColor="text1"/>
          <w:sz w:val="24"/>
          <w:szCs w:val="24"/>
        </w:rPr>
        <w:t>These macro and upstream trends allowed</w:t>
      </w:r>
      <w:r w:rsidR="00656715" w:rsidRPr="00F60A11">
        <w:rPr>
          <w:rFonts w:ascii="Times New Roman" w:hAnsi="Times New Roman" w:cs="Times New Roman"/>
          <w:color w:val="000000" w:themeColor="text1"/>
          <w:sz w:val="24"/>
          <w:szCs w:val="24"/>
        </w:rPr>
        <w:t xml:space="preserve"> traditional oil-linked</w:t>
      </w:r>
      <w:r w:rsidR="004E6568" w:rsidRPr="00F60A11">
        <w:rPr>
          <w:rFonts w:ascii="Times New Roman" w:hAnsi="Times New Roman" w:cs="Times New Roman"/>
          <w:color w:val="000000" w:themeColor="text1"/>
          <w:sz w:val="24"/>
          <w:szCs w:val="24"/>
        </w:rPr>
        <w:t xml:space="preserve"> LTC</w:t>
      </w:r>
      <w:r w:rsidR="00656715" w:rsidRPr="00F60A11">
        <w:rPr>
          <w:rFonts w:ascii="Times New Roman" w:hAnsi="Times New Roman" w:cs="Times New Roman"/>
          <w:color w:val="000000" w:themeColor="text1"/>
          <w:sz w:val="24"/>
          <w:szCs w:val="24"/>
        </w:rPr>
        <w:t>s</w:t>
      </w:r>
      <w:r w:rsidR="004E4928" w:rsidRPr="00F60A11">
        <w:rPr>
          <w:rFonts w:ascii="Times New Roman" w:hAnsi="Times New Roman" w:cs="Times New Roman"/>
          <w:color w:val="000000" w:themeColor="text1"/>
          <w:sz w:val="24"/>
          <w:szCs w:val="24"/>
        </w:rPr>
        <w:t xml:space="preserve"> in Europe</w:t>
      </w:r>
      <w:r w:rsidR="00656715" w:rsidRPr="00F60A11">
        <w:rPr>
          <w:rFonts w:ascii="Times New Roman" w:hAnsi="Times New Roman" w:cs="Times New Roman"/>
          <w:color w:val="000000" w:themeColor="text1"/>
          <w:sz w:val="24"/>
          <w:szCs w:val="24"/>
        </w:rPr>
        <w:t xml:space="preserve"> to be renegotiated and brought in line with market traded prices of North</w:t>
      </w:r>
      <w:r w:rsidR="00FC47AF">
        <w:rPr>
          <w:rFonts w:ascii="Times New Roman" w:hAnsi="Times New Roman" w:cs="Times New Roman"/>
          <w:color w:val="000000" w:themeColor="text1"/>
          <w:sz w:val="24"/>
          <w:szCs w:val="24"/>
        </w:rPr>
        <w:t>-w</w:t>
      </w:r>
      <w:r w:rsidR="00656715" w:rsidRPr="00F60A11">
        <w:rPr>
          <w:rFonts w:ascii="Times New Roman" w:hAnsi="Times New Roman" w:cs="Times New Roman"/>
          <w:color w:val="000000" w:themeColor="text1"/>
          <w:sz w:val="24"/>
          <w:szCs w:val="24"/>
        </w:rPr>
        <w:t>estern Europe</w:t>
      </w:r>
      <w:r w:rsidR="00CB36D8" w:rsidRPr="00F60A11">
        <w:rPr>
          <w:rFonts w:ascii="Times New Roman" w:hAnsi="Times New Roman" w:cs="Times New Roman"/>
          <w:color w:val="000000" w:themeColor="text1"/>
          <w:sz w:val="24"/>
          <w:szCs w:val="24"/>
        </w:rPr>
        <w:t xml:space="preserve"> (see </w:t>
      </w:r>
      <w:r w:rsidR="00CB36D8" w:rsidRPr="00F60A11">
        <w:rPr>
          <w:rFonts w:ascii="Times New Roman" w:hAnsi="Times New Roman" w:cs="Times New Roman"/>
          <w:color w:val="000000" w:themeColor="text1"/>
          <w:sz w:val="24"/>
          <w:szCs w:val="24"/>
        </w:rPr>
        <w:fldChar w:fldCharType="begin"/>
      </w:r>
      <w:r w:rsidR="00CB36D8" w:rsidRPr="00F60A11">
        <w:rPr>
          <w:rFonts w:ascii="Times New Roman" w:hAnsi="Times New Roman" w:cs="Times New Roman"/>
          <w:color w:val="000000" w:themeColor="text1"/>
          <w:sz w:val="24"/>
          <w:szCs w:val="24"/>
        </w:rPr>
        <w:instrText xml:space="preserve"> REF _Ref520327330 \h </w:instrText>
      </w:r>
      <w:r w:rsidR="00CB36D8" w:rsidRPr="00F60A11">
        <w:rPr>
          <w:rFonts w:ascii="Times New Roman" w:hAnsi="Times New Roman" w:cs="Times New Roman"/>
          <w:color w:val="000000" w:themeColor="text1"/>
          <w:sz w:val="24"/>
          <w:szCs w:val="24"/>
        </w:rPr>
      </w:r>
      <w:r w:rsidR="00CB36D8"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Figure </w:t>
      </w:r>
      <w:r w:rsidR="00A66F72" w:rsidRPr="00F60A11">
        <w:rPr>
          <w:rFonts w:ascii="Times New Roman" w:hAnsi="Times New Roman" w:cs="Times New Roman"/>
          <w:noProof/>
          <w:color w:val="000000" w:themeColor="text1"/>
          <w:sz w:val="24"/>
          <w:szCs w:val="24"/>
        </w:rPr>
        <w:t>1</w:t>
      </w:r>
      <w:r w:rsidR="00CB36D8" w:rsidRPr="00F60A11">
        <w:rPr>
          <w:rFonts w:ascii="Times New Roman" w:hAnsi="Times New Roman" w:cs="Times New Roman"/>
          <w:color w:val="000000" w:themeColor="text1"/>
          <w:sz w:val="24"/>
          <w:szCs w:val="24"/>
        </w:rPr>
        <w:fldChar w:fldCharType="end"/>
      </w:r>
      <w:r w:rsidR="00CB36D8" w:rsidRPr="00F60A11">
        <w:rPr>
          <w:rFonts w:ascii="Times New Roman" w:hAnsi="Times New Roman" w:cs="Times New Roman"/>
          <w:color w:val="000000" w:themeColor="text1"/>
          <w:sz w:val="24"/>
          <w:szCs w:val="24"/>
        </w:rPr>
        <w:t>)</w:t>
      </w:r>
      <w:r w:rsidR="006F31C9" w:rsidRPr="00F60A11">
        <w:rPr>
          <w:rStyle w:val="FootnoteReference"/>
          <w:rFonts w:ascii="Times New Roman" w:hAnsi="Times New Roman" w:cs="Times New Roman"/>
          <w:color w:val="000000" w:themeColor="text1"/>
          <w:sz w:val="24"/>
          <w:szCs w:val="24"/>
        </w:rPr>
        <w:footnoteReference w:id="9"/>
      </w:r>
      <w:r w:rsidR="00FC47AF">
        <w:rPr>
          <w:rFonts w:ascii="Times New Roman" w:hAnsi="Times New Roman" w:cs="Times New Roman"/>
          <w:color w:val="000000" w:themeColor="text1"/>
          <w:sz w:val="24"/>
          <w:szCs w:val="24"/>
        </w:rPr>
        <w:t>.</w:t>
      </w:r>
      <w:r w:rsidR="002F009F" w:rsidRPr="00F60A11">
        <w:rPr>
          <w:rFonts w:ascii="Times New Roman" w:hAnsi="Times New Roman" w:cs="Times New Roman"/>
          <w:color w:val="000000" w:themeColor="text1"/>
          <w:sz w:val="24"/>
          <w:szCs w:val="24"/>
        </w:rPr>
        <w:t xml:space="preserve"> </w:t>
      </w:r>
      <w:r w:rsidR="005837F1" w:rsidRPr="00F60A11">
        <w:rPr>
          <w:rFonts w:ascii="Times New Roman" w:hAnsi="Times New Roman" w:cs="Times New Roman"/>
          <w:color w:val="000000" w:themeColor="text1"/>
          <w:sz w:val="24"/>
          <w:szCs w:val="24"/>
        </w:rPr>
        <w:t>Koenig (2012) and Chyong and Kazmin (2016)</w:t>
      </w:r>
      <w:r w:rsidR="00AE78C0">
        <w:rPr>
          <w:rFonts w:ascii="Times New Roman" w:hAnsi="Times New Roman" w:cs="Times New Roman"/>
          <w:color w:val="000000" w:themeColor="text1"/>
          <w:sz w:val="24"/>
          <w:szCs w:val="24"/>
        </w:rPr>
        <w:t xml:space="preserve"> have shown</w:t>
      </w:r>
      <w:r w:rsidR="005837F1" w:rsidRPr="00F60A11">
        <w:rPr>
          <w:rFonts w:ascii="Times New Roman" w:hAnsi="Times New Roman" w:cs="Times New Roman"/>
          <w:color w:val="000000" w:themeColor="text1"/>
          <w:sz w:val="24"/>
          <w:szCs w:val="24"/>
        </w:rPr>
        <w:t xml:space="preserve"> the importance of LNG imports in Europe in breaking up the structural linkages between gas spot and oil-linked gas prices. </w:t>
      </w:r>
      <w:r w:rsidR="00B065E4" w:rsidRPr="00F60A11">
        <w:rPr>
          <w:rFonts w:ascii="Times New Roman" w:hAnsi="Times New Roman" w:cs="Times New Roman"/>
          <w:color w:val="000000" w:themeColor="text1"/>
          <w:sz w:val="24"/>
          <w:szCs w:val="24"/>
        </w:rPr>
        <w:fldChar w:fldCharType="begin"/>
      </w:r>
      <w:r w:rsidR="00B065E4" w:rsidRPr="00F60A11">
        <w:rPr>
          <w:rFonts w:ascii="Times New Roman" w:hAnsi="Times New Roman" w:cs="Times New Roman"/>
          <w:color w:val="000000" w:themeColor="text1"/>
          <w:sz w:val="24"/>
          <w:szCs w:val="24"/>
        </w:rPr>
        <w:instrText xml:space="preserve"> REF _Ref520327330 \h </w:instrText>
      </w:r>
      <w:r w:rsidR="00B065E4" w:rsidRPr="00F60A11">
        <w:rPr>
          <w:rFonts w:ascii="Times New Roman" w:hAnsi="Times New Roman" w:cs="Times New Roman"/>
          <w:color w:val="000000" w:themeColor="text1"/>
          <w:sz w:val="24"/>
          <w:szCs w:val="24"/>
        </w:rPr>
      </w:r>
      <w:r w:rsidR="00B065E4"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Figure </w:t>
      </w:r>
      <w:r w:rsidR="00A66F72" w:rsidRPr="00F60A11">
        <w:rPr>
          <w:rFonts w:ascii="Times New Roman" w:hAnsi="Times New Roman" w:cs="Times New Roman"/>
          <w:noProof/>
          <w:color w:val="000000" w:themeColor="text1"/>
          <w:sz w:val="24"/>
          <w:szCs w:val="24"/>
        </w:rPr>
        <w:t>1</w:t>
      </w:r>
      <w:r w:rsidR="00B065E4" w:rsidRPr="00F60A11">
        <w:rPr>
          <w:rFonts w:ascii="Times New Roman" w:hAnsi="Times New Roman" w:cs="Times New Roman"/>
          <w:color w:val="000000" w:themeColor="text1"/>
          <w:sz w:val="24"/>
          <w:szCs w:val="24"/>
        </w:rPr>
        <w:fldChar w:fldCharType="end"/>
      </w:r>
      <w:r w:rsidR="00B065E4" w:rsidRPr="00F60A11">
        <w:rPr>
          <w:rFonts w:ascii="Times New Roman" w:hAnsi="Times New Roman" w:cs="Times New Roman"/>
          <w:color w:val="000000" w:themeColor="text1"/>
          <w:sz w:val="24"/>
          <w:szCs w:val="24"/>
        </w:rPr>
        <w:t xml:space="preserve"> suggests that since about mid-2009</w:t>
      </w:r>
      <w:r w:rsidR="00AE78C0">
        <w:rPr>
          <w:rFonts w:ascii="Times New Roman" w:hAnsi="Times New Roman" w:cs="Times New Roman"/>
          <w:color w:val="000000" w:themeColor="text1"/>
          <w:sz w:val="24"/>
          <w:szCs w:val="24"/>
        </w:rPr>
        <w:t>,</w:t>
      </w:r>
      <w:r w:rsidR="00B065E4" w:rsidRPr="00F60A11">
        <w:rPr>
          <w:rFonts w:ascii="Times New Roman" w:hAnsi="Times New Roman" w:cs="Times New Roman"/>
          <w:color w:val="000000" w:themeColor="text1"/>
          <w:sz w:val="24"/>
          <w:szCs w:val="24"/>
        </w:rPr>
        <w:t xml:space="preserve"> the oil-indexed contract price</w:t>
      </w:r>
      <w:r w:rsidR="00DB36AD" w:rsidRPr="00F60A11">
        <w:rPr>
          <w:rFonts w:ascii="Times New Roman" w:hAnsi="Times New Roman" w:cs="Times New Roman"/>
          <w:color w:val="000000" w:themeColor="text1"/>
          <w:sz w:val="24"/>
          <w:szCs w:val="24"/>
        </w:rPr>
        <w:t xml:space="preserve">s (BAFA and Russian average contract prices </w:t>
      </w:r>
      <w:r w:rsidR="00244538" w:rsidRPr="00F60A11">
        <w:rPr>
          <w:rFonts w:ascii="Times New Roman" w:hAnsi="Times New Roman" w:cs="Times New Roman"/>
          <w:color w:val="000000" w:themeColor="text1"/>
          <w:sz w:val="24"/>
          <w:szCs w:val="24"/>
        </w:rPr>
        <w:t>delivered to Germany)</w:t>
      </w:r>
      <w:r w:rsidR="00DB36AD" w:rsidRPr="00F60A11">
        <w:rPr>
          <w:rFonts w:ascii="Times New Roman" w:hAnsi="Times New Roman" w:cs="Times New Roman"/>
          <w:color w:val="000000" w:themeColor="text1"/>
          <w:sz w:val="24"/>
          <w:szCs w:val="24"/>
        </w:rPr>
        <w:t xml:space="preserve"> began to diverge</w:t>
      </w:r>
      <w:r w:rsidR="00244538" w:rsidRPr="00F60A11">
        <w:rPr>
          <w:rFonts w:ascii="Times New Roman" w:hAnsi="Times New Roman" w:cs="Times New Roman"/>
          <w:color w:val="000000" w:themeColor="text1"/>
          <w:sz w:val="24"/>
          <w:szCs w:val="24"/>
        </w:rPr>
        <w:t xml:space="preserve"> from </w:t>
      </w:r>
      <w:r w:rsidR="00AE78C0">
        <w:rPr>
          <w:rFonts w:ascii="Times New Roman" w:hAnsi="Times New Roman" w:cs="Times New Roman"/>
          <w:color w:val="000000" w:themeColor="text1"/>
          <w:sz w:val="24"/>
          <w:szCs w:val="24"/>
        </w:rPr>
        <w:t>their</w:t>
      </w:r>
      <w:r w:rsidR="00AE78C0" w:rsidRPr="00F60A11">
        <w:rPr>
          <w:rFonts w:ascii="Times New Roman" w:hAnsi="Times New Roman" w:cs="Times New Roman"/>
          <w:color w:val="000000" w:themeColor="text1"/>
          <w:sz w:val="24"/>
          <w:szCs w:val="24"/>
        </w:rPr>
        <w:t xml:space="preserve"> </w:t>
      </w:r>
      <w:r w:rsidR="00244538" w:rsidRPr="00F60A11">
        <w:rPr>
          <w:rFonts w:ascii="Times New Roman" w:hAnsi="Times New Roman" w:cs="Times New Roman"/>
          <w:color w:val="000000" w:themeColor="text1"/>
          <w:sz w:val="24"/>
          <w:szCs w:val="24"/>
        </w:rPr>
        <w:t xml:space="preserve">theoretical </w:t>
      </w:r>
      <w:r w:rsidR="007220EB" w:rsidRPr="00F60A11">
        <w:rPr>
          <w:rFonts w:ascii="Times New Roman" w:hAnsi="Times New Roman" w:cs="Times New Roman"/>
          <w:color w:val="000000" w:themeColor="text1"/>
          <w:sz w:val="24"/>
          <w:szCs w:val="24"/>
        </w:rPr>
        <w:t>value</w:t>
      </w:r>
      <w:r w:rsidR="00244538" w:rsidRPr="00F60A11">
        <w:rPr>
          <w:rFonts w:ascii="Times New Roman" w:hAnsi="Times New Roman" w:cs="Times New Roman"/>
          <w:color w:val="000000" w:themeColor="text1"/>
          <w:sz w:val="24"/>
          <w:szCs w:val="24"/>
        </w:rPr>
        <w:t xml:space="preserve"> (historic oil</w:t>
      </w:r>
      <w:r w:rsidR="00AC205F">
        <w:rPr>
          <w:rFonts w:ascii="Times New Roman" w:hAnsi="Times New Roman" w:cs="Times New Roman"/>
          <w:color w:val="000000" w:themeColor="text1"/>
          <w:sz w:val="24"/>
          <w:szCs w:val="24"/>
        </w:rPr>
        <w:t>-</w:t>
      </w:r>
      <w:r w:rsidR="00244538" w:rsidRPr="00F60A11">
        <w:rPr>
          <w:rFonts w:ascii="Times New Roman" w:hAnsi="Times New Roman" w:cs="Times New Roman"/>
          <w:color w:val="000000" w:themeColor="text1"/>
          <w:sz w:val="24"/>
          <w:szCs w:val="24"/>
        </w:rPr>
        <w:t xml:space="preserve">indexed price, </w:t>
      </w:r>
      <w:r w:rsidR="00244538" w:rsidRPr="00F60A11">
        <w:rPr>
          <w:rFonts w:ascii="Times New Roman" w:hAnsi="Times New Roman" w:cs="Times New Roman"/>
          <w:color w:val="000000" w:themeColor="text1"/>
          <w:sz w:val="24"/>
          <w:szCs w:val="24"/>
        </w:rPr>
        <w:fldChar w:fldCharType="begin"/>
      </w:r>
      <w:r w:rsidR="00244538" w:rsidRPr="00F60A11">
        <w:rPr>
          <w:rFonts w:ascii="Times New Roman" w:hAnsi="Times New Roman" w:cs="Times New Roman"/>
          <w:color w:val="000000" w:themeColor="text1"/>
          <w:sz w:val="24"/>
          <w:szCs w:val="24"/>
        </w:rPr>
        <w:instrText xml:space="preserve"> REF _Ref520327330 \h </w:instrText>
      </w:r>
      <w:r w:rsidR="00244538" w:rsidRPr="00F60A11">
        <w:rPr>
          <w:rFonts w:ascii="Times New Roman" w:hAnsi="Times New Roman" w:cs="Times New Roman"/>
          <w:color w:val="000000" w:themeColor="text1"/>
          <w:sz w:val="24"/>
          <w:szCs w:val="24"/>
        </w:rPr>
      </w:r>
      <w:r w:rsidR="00244538" w:rsidRPr="00F60A11">
        <w:rPr>
          <w:rFonts w:ascii="Times New Roman" w:hAnsi="Times New Roman" w:cs="Times New Roman"/>
          <w:color w:val="000000" w:themeColor="text1"/>
          <w:sz w:val="24"/>
          <w:szCs w:val="24"/>
        </w:rPr>
        <w:fldChar w:fldCharType="separate"/>
      </w:r>
      <w:r w:rsidR="00A66F72" w:rsidRPr="00F60A11">
        <w:rPr>
          <w:rFonts w:ascii="Times New Roman" w:hAnsi="Times New Roman" w:cs="Times New Roman"/>
          <w:color w:val="000000" w:themeColor="text1"/>
          <w:sz w:val="24"/>
          <w:szCs w:val="24"/>
        </w:rPr>
        <w:t xml:space="preserve">Figure </w:t>
      </w:r>
      <w:r w:rsidR="00A66F72" w:rsidRPr="00F60A11">
        <w:rPr>
          <w:rFonts w:ascii="Times New Roman" w:hAnsi="Times New Roman" w:cs="Times New Roman"/>
          <w:noProof/>
          <w:color w:val="000000" w:themeColor="text1"/>
          <w:sz w:val="24"/>
          <w:szCs w:val="24"/>
        </w:rPr>
        <w:t>1</w:t>
      </w:r>
      <w:r w:rsidR="00244538" w:rsidRPr="00F60A11">
        <w:rPr>
          <w:rFonts w:ascii="Times New Roman" w:hAnsi="Times New Roman" w:cs="Times New Roman"/>
          <w:color w:val="000000" w:themeColor="text1"/>
          <w:sz w:val="24"/>
          <w:szCs w:val="24"/>
        </w:rPr>
        <w:fldChar w:fldCharType="end"/>
      </w:r>
      <w:r w:rsidR="00244538" w:rsidRPr="00F60A11">
        <w:rPr>
          <w:rFonts w:ascii="Times New Roman" w:hAnsi="Times New Roman" w:cs="Times New Roman"/>
          <w:color w:val="000000" w:themeColor="text1"/>
          <w:sz w:val="24"/>
          <w:szCs w:val="24"/>
        </w:rPr>
        <w:t>)</w:t>
      </w:r>
      <w:r w:rsidR="00DF4E5A" w:rsidRPr="00F60A11">
        <w:rPr>
          <w:rFonts w:ascii="Times New Roman" w:hAnsi="Times New Roman" w:cs="Times New Roman"/>
          <w:color w:val="000000" w:themeColor="text1"/>
          <w:sz w:val="24"/>
          <w:szCs w:val="24"/>
        </w:rPr>
        <w:t>. Moreover, the</w:t>
      </w:r>
      <w:r w:rsidR="007849CB" w:rsidRPr="00F60A11">
        <w:rPr>
          <w:rFonts w:ascii="Times New Roman" w:hAnsi="Times New Roman" w:cs="Times New Roman"/>
          <w:color w:val="000000" w:themeColor="text1"/>
          <w:sz w:val="24"/>
          <w:szCs w:val="24"/>
        </w:rPr>
        <w:t xml:space="preserve"> oil-indexed contract prices closely </w:t>
      </w:r>
      <w:r w:rsidR="001E1698" w:rsidRPr="00F60A11">
        <w:rPr>
          <w:rFonts w:ascii="Times New Roman" w:hAnsi="Times New Roman" w:cs="Times New Roman"/>
          <w:color w:val="000000" w:themeColor="text1"/>
          <w:sz w:val="24"/>
          <w:szCs w:val="24"/>
        </w:rPr>
        <w:t>track</w:t>
      </w:r>
      <w:r w:rsidR="007849CB" w:rsidRPr="00F60A11">
        <w:rPr>
          <w:rFonts w:ascii="Times New Roman" w:hAnsi="Times New Roman" w:cs="Times New Roman"/>
          <w:color w:val="000000" w:themeColor="text1"/>
          <w:sz w:val="24"/>
          <w:szCs w:val="24"/>
        </w:rPr>
        <w:t xml:space="preserve"> the</w:t>
      </w:r>
      <w:r w:rsidR="00DF4E5A" w:rsidRPr="00F60A11">
        <w:rPr>
          <w:rFonts w:ascii="Times New Roman" w:hAnsi="Times New Roman" w:cs="Times New Roman"/>
          <w:color w:val="000000" w:themeColor="text1"/>
          <w:sz w:val="24"/>
          <w:szCs w:val="24"/>
        </w:rPr>
        <w:t xml:space="preserve"> spot </w:t>
      </w:r>
      <w:r w:rsidR="007911D1" w:rsidRPr="00F60A11">
        <w:rPr>
          <w:rFonts w:ascii="Times New Roman" w:hAnsi="Times New Roman" w:cs="Times New Roman"/>
          <w:color w:val="000000" w:themeColor="text1"/>
          <w:sz w:val="24"/>
          <w:szCs w:val="24"/>
        </w:rPr>
        <w:t xml:space="preserve">prices </w:t>
      </w:r>
      <w:r w:rsidR="00DF4E5A" w:rsidRPr="00F60A11">
        <w:rPr>
          <w:rFonts w:ascii="Times New Roman" w:hAnsi="Times New Roman" w:cs="Times New Roman"/>
          <w:color w:val="000000" w:themeColor="text1"/>
          <w:sz w:val="24"/>
          <w:szCs w:val="24"/>
        </w:rPr>
        <w:t>of NWE markets</w:t>
      </w:r>
      <w:r w:rsidR="0056677D">
        <w:rPr>
          <w:rFonts w:ascii="Times New Roman" w:hAnsi="Times New Roman" w:cs="Times New Roman"/>
          <w:color w:val="000000" w:themeColor="text1"/>
          <w:sz w:val="24"/>
          <w:szCs w:val="24"/>
        </w:rPr>
        <w:t>—</w:t>
      </w:r>
      <w:r w:rsidR="00DF4E5A" w:rsidRPr="00F60A11">
        <w:rPr>
          <w:rFonts w:ascii="Times New Roman" w:hAnsi="Times New Roman" w:cs="Times New Roman"/>
          <w:color w:val="000000" w:themeColor="text1"/>
          <w:sz w:val="24"/>
          <w:szCs w:val="24"/>
        </w:rPr>
        <w:t>TTF</w:t>
      </w:r>
      <w:r w:rsidR="007849CB" w:rsidRPr="00F60A11">
        <w:rPr>
          <w:rFonts w:ascii="Times New Roman" w:hAnsi="Times New Roman" w:cs="Times New Roman"/>
          <w:color w:val="000000" w:themeColor="text1"/>
          <w:sz w:val="24"/>
          <w:szCs w:val="24"/>
        </w:rPr>
        <w:t>.</w:t>
      </w:r>
    </w:p>
    <w:p w14:paraId="6DD41683" w14:textId="568E46C1" w:rsidR="00CB36D8" w:rsidRPr="00F60A11" w:rsidRDefault="00365D3F" w:rsidP="00CB36D8">
      <w:pPr>
        <w:spacing w:line="360" w:lineRule="auto"/>
        <w:ind w:firstLine="567"/>
        <w:rPr>
          <w:rFonts w:ascii="Times New Roman" w:hAnsi="Times New Roman" w:cs="Times New Roman"/>
          <w:color w:val="000000" w:themeColor="text1"/>
          <w:sz w:val="24"/>
          <w:szCs w:val="24"/>
        </w:rPr>
      </w:pPr>
      <w:r w:rsidRPr="001708A0">
        <w:rPr>
          <w:rFonts w:ascii="Times New Roman" w:hAnsi="Times New Roman" w:cs="Times New Roman"/>
          <w:noProof/>
          <w:color w:val="000000" w:themeColor="text1"/>
          <w:sz w:val="24"/>
          <w:szCs w:val="24"/>
          <w:lang w:val="en-AU" w:eastAsia="en-AU"/>
        </w:rPr>
        <w:lastRenderedPageBreak/>
        <w:drawing>
          <wp:inline distT="0" distB="0" distL="0" distR="0" wp14:anchorId="4163C7F8" wp14:editId="575E0688">
            <wp:extent cx="5400000" cy="348467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3484678"/>
                    </a:xfrm>
                    <a:prstGeom prst="rect">
                      <a:avLst/>
                    </a:prstGeom>
                    <a:noFill/>
                  </pic:spPr>
                </pic:pic>
              </a:graphicData>
            </a:graphic>
          </wp:inline>
        </w:drawing>
      </w:r>
    </w:p>
    <w:p w14:paraId="7C709F0A" w14:textId="6DEFA692" w:rsidR="00CB36D8" w:rsidRPr="00F029BE" w:rsidRDefault="00CB36D8" w:rsidP="00CB36D8">
      <w:pPr>
        <w:pStyle w:val="Caption"/>
        <w:rPr>
          <w:rFonts w:ascii="Times New Roman" w:hAnsi="Times New Roman" w:cs="Times New Roman"/>
          <w:color w:val="000000" w:themeColor="text1"/>
          <w:sz w:val="24"/>
          <w:szCs w:val="24"/>
        </w:rPr>
      </w:pPr>
      <w:bookmarkStart w:id="6" w:name="_Ref520327330"/>
      <w:r w:rsidRPr="0056677D">
        <w:rPr>
          <w:rFonts w:ascii="Times New Roman" w:hAnsi="Times New Roman" w:cs="Times New Roman"/>
          <w:color w:val="000000" w:themeColor="text1"/>
          <w:sz w:val="24"/>
          <w:szCs w:val="24"/>
        </w:rPr>
        <w:t xml:space="preserve">Figure </w:t>
      </w:r>
      <w:r w:rsidRPr="00F029BE">
        <w:rPr>
          <w:rFonts w:ascii="Times New Roman" w:hAnsi="Times New Roman" w:cs="Times New Roman"/>
          <w:color w:val="000000" w:themeColor="text1"/>
          <w:sz w:val="24"/>
          <w:szCs w:val="24"/>
        </w:rPr>
        <w:fldChar w:fldCharType="begin"/>
      </w:r>
      <w:r w:rsidRPr="00F029BE">
        <w:rPr>
          <w:rFonts w:ascii="Times New Roman" w:hAnsi="Times New Roman" w:cs="Times New Roman"/>
          <w:color w:val="000000" w:themeColor="text1"/>
          <w:sz w:val="24"/>
          <w:szCs w:val="24"/>
        </w:rPr>
        <w:instrText xml:space="preserve"> SEQ Figure \* ARABIC </w:instrText>
      </w:r>
      <w:r w:rsidRPr="00F029BE">
        <w:rPr>
          <w:rFonts w:ascii="Times New Roman" w:hAnsi="Times New Roman" w:cs="Times New Roman"/>
          <w:color w:val="000000" w:themeColor="text1"/>
          <w:sz w:val="24"/>
          <w:szCs w:val="24"/>
        </w:rPr>
        <w:fldChar w:fldCharType="separate"/>
      </w:r>
      <w:r w:rsidR="00A66F72" w:rsidRPr="00F029BE">
        <w:rPr>
          <w:rFonts w:ascii="Times New Roman" w:hAnsi="Times New Roman" w:cs="Times New Roman"/>
          <w:noProof/>
          <w:color w:val="000000" w:themeColor="text1"/>
          <w:sz w:val="24"/>
          <w:szCs w:val="24"/>
        </w:rPr>
        <w:t>1</w:t>
      </w:r>
      <w:r w:rsidRPr="00F029BE">
        <w:rPr>
          <w:rFonts w:ascii="Times New Roman" w:hAnsi="Times New Roman" w:cs="Times New Roman"/>
          <w:color w:val="000000" w:themeColor="text1"/>
          <w:sz w:val="24"/>
          <w:szCs w:val="24"/>
        </w:rPr>
        <w:fldChar w:fldCharType="end"/>
      </w:r>
      <w:bookmarkEnd w:id="6"/>
      <w:r w:rsidRPr="00F029BE">
        <w:rPr>
          <w:rFonts w:ascii="Times New Roman" w:hAnsi="Times New Roman" w:cs="Times New Roman"/>
          <w:color w:val="000000" w:themeColor="text1"/>
          <w:sz w:val="24"/>
          <w:szCs w:val="24"/>
        </w:rPr>
        <w:t>: Evolution of spot and oil-indexed gas prices in Europe</w:t>
      </w:r>
    </w:p>
    <w:p w14:paraId="0BB4071A" w14:textId="25D883C8" w:rsidR="00A23AA4" w:rsidRPr="00F029BE" w:rsidRDefault="00A23AA4" w:rsidP="00A23AA4">
      <w:pPr>
        <w:rPr>
          <w:rFonts w:ascii="Times New Roman" w:hAnsi="Times New Roman" w:cs="Times New Roman"/>
          <w:i/>
          <w:sz w:val="20"/>
          <w:szCs w:val="20"/>
        </w:rPr>
      </w:pPr>
      <w:r w:rsidRPr="00F029BE">
        <w:rPr>
          <w:rFonts w:ascii="Times New Roman" w:hAnsi="Times New Roman" w:cs="Times New Roman"/>
          <w:i/>
          <w:sz w:val="20"/>
          <w:szCs w:val="20"/>
        </w:rPr>
        <w:t>Source: own illustration based on data from Thomson Reuters</w:t>
      </w:r>
      <w:r w:rsidR="00673D1A" w:rsidRPr="00F029BE">
        <w:rPr>
          <w:rFonts w:ascii="Times New Roman" w:hAnsi="Times New Roman" w:cs="Times New Roman"/>
          <w:i/>
          <w:sz w:val="20"/>
          <w:szCs w:val="20"/>
        </w:rPr>
        <w:t xml:space="preserve"> accessed through</w:t>
      </w:r>
      <w:r w:rsidRPr="00F029BE">
        <w:rPr>
          <w:rFonts w:ascii="Times New Roman" w:hAnsi="Times New Roman" w:cs="Times New Roman"/>
          <w:i/>
          <w:sz w:val="20"/>
          <w:szCs w:val="20"/>
        </w:rPr>
        <w:t xml:space="preserve"> Eikon Terminal</w:t>
      </w:r>
    </w:p>
    <w:p w14:paraId="36193A05" w14:textId="34C430F4" w:rsidR="00D6766F" w:rsidRPr="00AE78C0" w:rsidRDefault="00A23AA4" w:rsidP="00D6766F">
      <w:pPr>
        <w:rPr>
          <w:rFonts w:ascii="Times New Roman" w:hAnsi="Times New Roman" w:cs="Times New Roman"/>
          <w:i/>
          <w:sz w:val="20"/>
          <w:szCs w:val="20"/>
        </w:rPr>
      </w:pPr>
      <w:r w:rsidRPr="00F029BE">
        <w:rPr>
          <w:rFonts w:ascii="Times New Roman" w:hAnsi="Times New Roman" w:cs="Times New Roman"/>
          <w:i/>
          <w:sz w:val="20"/>
          <w:szCs w:val="20"/>
        </w:rPr>
        <w:t>Note</w:t>
      </w:r>
      <w:r w:rsidR="008B5AC0" w:rsidRPr="00F029BE">
        <w:rPr>
          <w:rFonts w:ascii="Times New Roman" w:hAnsi="Times New Roman" w:cs="Times New Roman"/>
          <w:i/>
          <w:sz w:val="20"/>
          <w:szCs w:val="20"/>
        </w:rPr>
        <w:t>s</w:t>
      </w:r>
      <w:r w:rsidRPr="00F029BE">
        <w:rPr>
          <w:rFonts w:ascii="Times New Roman" w:hAnsi="Times New Roman" w:cs="Times New Roman"/>
          <w:i/>
          <w:sz w:val="20"/>
          <w:szCs w:val="20"/>
        </w:rPr>
        <w:t>:</w:t>
      </w:r>
      <w:r w:rsidR="00E808A1" w:rsidRPr="00F029BE">
        <w:rPr>
          <w:rFonts w:ascii="Times New Roman" w:hAnsi="Times New Roman" w:cs="Times New Roman"/>
          <w:i/>
          <w:sz w:val="20"/>
          <w:szCs w:val="20"/>
        </w:rPr>
        <w:t xml:space="preserve"> </w:t>
      </w:r>
      <w:r w:rsidR="008B5AC0" w:rsidRPr="00F029BE">
        <w:rPr>
          <w:rFonts w:ascii="Times New Roman" w:hAnsi="Times New Roman" w:cs="Times New Roman"/>
          <w:i/>
          <w:sz w:val="20"/>
          <w:szCs w:val="20"/>
        </w:rPr>
        <w:t xml:space="preserve">TTF DA: TTF Day-ahead price assessment reported by Thomson Reuters (access via Eikon Terminal); </w:t>
      </w:r>
      <w:r w:rsidR="00E808A1" w:rsidRPr="00F029BE">
        <w:rPr>
          <w:rFonts w:ascii="Times New Roman" w:hAnsi="Times New Roman" w:cs="Times New Roman"/>
          <w:i/>
          <w:sz w:val="20"/>
          <w:szCs w:val="20"/>
        </w:rPr>
        <w:t xml:space="preserve">RU avg LTC </w:t>
      </w:r>
      <w:r w:rsidR="00A429CB" w:rsidRPr="00F029BE">
        <w:rPr>
          <w:rFonts w:ascii="Times New Roman" w:hAnsi="Times New Roman" w:cs="Times New Roman"/>
          <w:i/>
          <w:sz w:val="20"/>
          <w:szCs w:val="20"/>
        </w:rPr>
        <w:t>is</w:t>
      </w:r>
      <w:r w:rsidR="00E808A1" w:rsidRPr="00F029BE">
        <w:rPr>
          <w:rFonts w:ascii="Times New Roman" w:hAnsi="Times New Roman" w:cs="Times New Roman"/>
          <w:i/>
          <w:sz w:val="20"/>
          <w:szCs w:val="20"/>
        </w:rPr>
        <w:t xml:space="preserve"> an </w:t>
      </w:r>
      <w:r w:rsidR="00EF506E" w:rsidRPr="00F029BE">
        <w:rPr>
          <w:rFonts w:ascii="Times New Roman" w:hAnsi="Times New Roman" w:cs="Times New Roman"/>
          <w:i/>
          <w:sz w:val="20"/>
          <w:szCs w:val="20"/>
        </w:rPr>
        <w:t>average actual</w:t>
      </w:r>
      <w:r w:rsidR="00E808A1" w:rsidRPr="00F029BE">
        <w:rPr>
          <w:rFonts w:ascii="Times New Roman" w:hAnsi="Times New Roman" w:cs="Times New Roman"/>
          <w:i/>
          <w:sz w:val="20"/>
          <w:szCs w:val="20"/>
        </w:rPr>
        <w:t xml:space="preserve"> monthly price of Russian LTC gas sold at </w:t>
      </w:r>
      <w:r w:rsidR="00AE78C0">
        <w:rPr>
          <w:rFonts w:ascii="Times New Roman" w:hAnsi="Times New Roman" w:cs="Times New Roman"/>
          <w:i/>
          <w:sz w:val="20"/>
          <w:szCs w:val="20"/>
        </w:rPr>
        <w:t xml:space="preserve">the </w:t>
      </w:r>
      <w:r w:rsidR="00E808A1" w:rsidRPr="00AE78C0">
        <w:rPr>
          <w:rFonts w:ascii="Times New Roman" w:hAnsi="Times New Roman" w:cs="Times New Roman"/>
          <w:i/>
          <w:sz w:val="20"/>
          <w:szCs w:val="20"/>
        </w:rPr>
        <w:t>German border as reported by Ministry of Economic Development of Russian Federation. From October 2016</w:t>
      </w:r>
      <w:r w:rsidR="00AE78C0">
        <w:rPr>
          <w:rFonts w:ascii="Times New Roman" w:hAnsi="Times New Roman" w:cs="Times New Roman"/>
          <w:i/>
          <w:sz w:val="20"/>
          <w:szCs w:val="20"/>
        </w:rPr>
        <w:t>,</w:t>
      </w:r>
      <w:r w:rsidR="00E808A1" w:rsidRPr="00AE78C0">
        <w:rPr>
          <w:rFonts w:ascii="Times New Roman" w:hAnsi="Times New Roman" w:cs="Times New Roman"/>
          <w:i/>
          <w:sz w:val="20"/>
          <w:szCs w:val="20"/>
        </w:rPr>
        <w:t xml:space="preserve"> the source stopped updating this price</w:t>
      </w:r>
      <w:r w:rsidR="00AE78C0">
        <w:rPr>
          <w:rFonts w:ascii="Times New Roman" w:hAnsi="Times New Roman" w:cs="Times New Roman"/>
          <w:i/>
          <w:sz w:val="20"/>
          <w:szCs w:val="20"/>
        </w:rPr>
        <w:t>.</w:t>
      </w:r>
      <w:r w:rsidR="00AE78C0" w:rsidRPr="00AE78C0">
        <w:rPr>
          <w:rFonts w:ascii="Times New Roman" w:hAnsi="Times New Roman" w:cs="Times New Roman"/>
          <w:i/>
          <w:sz w:val="20"/>
          <w:szCs w:val="20"/>
        </w:rPr>
        <w:t xml:space="preserve"> </w:t>
      </w:r>
      <w:r w:rsidR="00EF506E" w:rsidRPr="00AE78C0">
        <w:rPr>
          <w:rFonts w:ascii="Times New Roman" w:hAnsi="Times New Roman" w:cs="Times New Roman"/>
          <w:i/>
          <w:sz w:val="20"/>
          <w:szCs w:val="20"/>
        </w:rPr>
        <w:t>The 'RU best view' give</w:t>
      </w:r>
      <w:r w:rsidR="00673D1A" w:rsidRPr="00AE78C0">
        <w:rPr>
          <w:rFonts w:ascii="Times New Roman" w:hAnsi="Times New Roman" w:cs="Times New Roman"/>
          <w:i/>
          <w:sz w:val="20"/>
          <w:szCs w:val="20"/>
        </w:rPr>
        <w:t>s</w:t>
      </w:r>
      <w:r w:rsidR="00EF506E" w:rsidRPr="00AE78C0">
        <w:rPr>
          <w:rFonts w:ascii="Times New Roman" w:hAnsi="Times New Roman" w:cs="Times New Roman"/>
          <w:i/>
          <w:sz w:val="20"/>
          <w:szCs w:val="20"/>
        </w:rPr>
        <w:t xml:space="preserve"> a view of what prices on these contracts would have looked like a</w:t>
      </w:r>
      <w:r w:rsidR="00EF506E" w:rsidRPr="000539C0">
        <w:rPr>
          <w:rFonts w:ascii="Times New Roman" w:hAnsi="Times New Roman" w:cs="Times New Roman"/>
          <w:i/>
          <w:sz w:val="20"/>
          <w:szCs w:val="20"/>
        </w:rPr>
        <w:t xml:space="preserve">gainst current prices. The 'RU best view' is </w:t>
      </w:r>
      <w:r w:rsidR="00673D1A" w:rsidRPr="000539C0">
        <w:rPr>
          <w:rFonts w:ascii="Times New Roman" w:hAnsi="Times New Roman" w:cs="Times New Roman"/>
          <w:i/>
          <w:sz w:val="20"/>
          <w:szCs w:val="20"/>
        </w:rPr>
        <w:t xml:space="preserve">Thomson Reuters’ </w:t>
      </w:r>
      <w:r w:rsidR="00EF506E" w:rsidRPr="00CD286E">
        <w:rPr>
          <w:rFonts w:ascii="Times New Roman" w:hAnsi="Times New Roman" w:cs="Times New Roman"/>
          <w:i/>
          <w:sz w:val="20"/>
          <w:szCs w:val="20"/>
        </w:rPr>
        <w:t xml:space="preserve">view of </w:t>
      </w:r>
      <w:r w:rsidR="00AE78C0">
        <w:rPr>
          <w:rFonts w:ascii="Times New Roman" w:hAnsi="Times New Roman" w:cs="Times New Roman"/>
          <w:i/>
          <w:sz w:val="20"/>
          <w:szCs w:val="20"/>
        </w:rPr>
        <w:t>the level of</w:t>
      </w:r>
      <w:r w:rsidR="00AE78C0" w:rsidRPr="00AE78C0">
        <w:rPr>
          <w:rFonts w:ascii="Times New Roman" w:hAnsi="Times New Roman" w:cs="Times New Roman"/>
          <w:i/>
          <w:sz w:val="20"/>
          <w:szCs w:val="20"/>
        </w:rPr>
        <w:t xml:space="preserve"> </w:t>
      </w:r>
      <w:r w:rsidR="00EF506E" w:rsidRPr="00AE78C0">
        <w:rPr>
          <w:rFonts w:ascii="Times New Roman" w:hAnsi="Times New Roman" w:cs="Times New Roman"/>
          <w:i/>
          <w:sz w:val="20"/>
          <w:szCs w:val="20"/>
        </w:rPr>
        <w:t>contractual prices between Gazprom and the large western European buyers in the general period 2013-16. This combines an element of hub indexation (15%) with a further discount applied to improve competitiveness against hub prices</w:t>
      </w:r>
      <w:r w:rsidR="00AE78C0">
        <w:rPr>
          <w:rFonts w:ascii="Times New Roman" w:hAnsi="Times New Roman" w:cs="Times New Roman"/>
          <w:i/>
          <w:sz w:val="20"/>
          <w:szCs w:val="20"/>
        </w:rPr>
        <w:t>.</w:t>
      </w:r>
      <w:r w:rsidR="00AE78C0" w:rsidRPr="00AE78C0">
        <w:rPr>
          <w:rFonts w:ascii="Times New Roman" w:hAnsi="Times New Roman" w:cs="Times New Roman"/>
          <w:i/>
          <w:sz w:val="20"/>
          <w:szCs w:val="20"/>
        </w:rPr>
        <w:t xml:space="preserve"> </w:t>
      </w:r>
      <w:r w:rsidR="00D6766F" w:rsidRPr="00AE78C0">
        <w:rPr>
          <w:rFonts w:ascii="Times New Roman" w:hAnsi="Times New Roman" w:cs="Times New Roman"/>
          <w:i/>
          <w:sz w:val="20"/>
          <w:szCs w:val="20"/>
        </w:rPr>
        <w:t>The historic oil</w:t>
      </w:r>
      <w:r w:rsidR="00AC205F">
        <w:rPr>
          <w:rFonts w:ascii="Times New Roman" w:hAnsi="Times New Roman" w:cs="Times New Roman"/>
          <w:i/>
          <w:sz w:val="20"/>
          <w:szCs w:val="20"/>
        </w:rPr>
        <w:t>-</w:t>
      </w:r>
      <w:r w:rsidR="00D6766F" w:rsidRPr="00AE78C0">
        <w:rPr>
          <w:rFonts w:ascii="Times New Roman" w:hAnsi="Times New Roman" w:cs="Times New Roman"/>
          <w:i/>
          <w:sz w:val="20"/>
          <w:szCs w:val="20"/>
        </w:rPr>
        <w:t>indexed price is calibrated using historic BAFA</w:t>
      </w:r>
      <w:r w:rsidR="002D571C" w:rsidRPr="00AE78C0">
        <w:rPr>
          <w:rFonts w:ascii="Times New Roman" w:hAnsi="Times New Roman" w:cs="Times New Roman"/>
          <w:i/>
          <w:sz w:val="20"/>
          <w:szCs w:val="20"/>
        </w:rPr>
        <w:t xml:space="preserve"> (average gas import)</w:t>
      </w:r>
      <w:r w:rsidR="00D6766F" w:rsidRPr="00AE78C0">
        <w:rPr>
          <w:rFonts w:ascii="Times New Roman" w:hAnsi="Times New Roman" w:cs="Times New Roman"/>
          <w:i/>
          <w:sz w:val="20"/>
          <w:szCs w:val="20"/>
        </w:rPr>
        <w:t xml:space="preserve"> prices at the German border over a period when all gas coming into Germany was oil</w:t>
      </w:r>
      <w:r w:rsidR="00AC205F">
        <w:rPr>
          <w:rFonts w:ascii="Times New Roman" w:hAnsi="Times New Roman" w:cs="Times New Roman"/>
          <w:i/>
          <w:sz w:val="20"/>
          <w:szCs w:val="20"/>
        </w:rPr>
        <w:t>-</w:t>
      </w:r>
      <w:r w:rsidR="00D6766F" w:rsidRPr="00AE78C0">
        <w:rPr>
          <w:rFonts w:ascii="Times New Roman" w:hAnsi="Times New Roman" w:cs="Times New Roman"/>
          <w:i/>
          <w:sz w:val="20"/>
          <w:szCs w:val="20"/>
        </w:rPr>
        <w:t>indexed (</w:t>
      </w:r>
      <w:r w:rsidR="00137482" w:rsidRPr="000539C0">
        <w:rPr>
          <w:rFonts w:ascii="Times New Roman" w:hAnsi="Times New Roman" w:cs="Times New Roman"/>
          <w:i/>
          <w:sz w:val="20"/>
          <w:szCs w:val="20"/>
        </w:rPr>
        <w:t>pre-2008</w:t>
      </w:r>
      <w:r w:rsidR="00D6766F" w:rsidRPr="000539C0">
        <w:rPr>
          <w:rFonts w:ascii="Times New Roman" w:hAnsi="Times New Roman" w:cs="Times New Roman"/>
          <w:i/>
          <w:sz w:val="20"/>
          <w:szCs w:val="20"/>
        </w:rPr>
        <w:t>). It is</w:t>
      </w:r>
      <w:r w:rsidR="00D6766F" w:rsidRPr="00CD286E">
        <w:rPr>
          <w:rFonts w:ascii="Times New Roman" w:hAnsi="Times New Roman" w:cs="Times New Roman"/>
          <w:i/>
          <w:sz w:val="20"/>
          <w:szCs w:val="20"/>
        </w:rPr>
        <w:t xml:space="preserve"> used in this chart to </w:t>
      </w:r>
      <w:r w:rsidR="00AE78C0">
        <w:rPr>
          <w:rFonts w:ascii="Times New Roman" w:hAnsi="Times New Roman" w:cs="Times New Roman"/>
          <w:i/>
          <w:sz w:val="20"/>
          <w:szCs w:val="20"/>
        </w:rPr>
        <w:t>predict the level at which</w:t>
      </w:r>
      <w:r w:rsidR="00AE78C0" w:rsidRPr="00AE78C0">
        <w:rPr>
          <w:rFonts w:ascii="Times New Roman" w:hAnsi="Times New Roman" w:cs="Times New Roman"/>
          <w:i/>
          <w:sz w:val="20"/>
          <w:szCs w:val="20"/>
        </w:rPr>
        <w:t xml:space="preserve"> </w:t>
      </w:r>
      <w:r w:rsidR="00D6766F" w:rsidRPr="00AE78C0">
        <w:rPr>
          <w:rFonts w:ascii="Times New Roman" w:hAnsi="Times New Roman" w:cs="Times New Roman"/>
          <w:i/>
          <w:sz w:val="20"/>
          <w:szCs w:val="20"/>
        </w:rPr>
        <w:t xml:space="preserve">these contracts would be now against hub prices, even though </w:t>
      </w:r>
      <w:r w:rsidR="007A0644" w:rsidRPr="00AE78C0">
        <w:rPr>
          <w:rFonts w:ascii="Times New Roman" w:hAnsi="Times New Roman" w:cs="Times New Roman"/>
          <w:i/>
          <w:sz w:val="20"/>
          <w:szCs w:val="20"/>
        </w:rPr>
        <w:t>an accepted</w:t>
      </w:r>
      <w:r w:rsidR="00D6766F" w:rsidRPr="00AE78C0">
        <w:rPr>
          <w:rFonts w:ascii="Times New Roman" w:hAnsi="Times New Roman" w:cs="Times New Roman"/>
          <w:i/>
          <w:sz w:val="20"/>
          <w:szCs w:val="20"/>
        </w:rPr>
        <w:t xml:space="preserve"> view</w:t>
      </w:r>
      <w:r w:rsidR="007A0644" w:rsidRPr="00AE78C0">
        <w:rPr>
          <w:rFonts w:ascii="Times New Roman" w:hAnsi="Times New Roman" w:cs="Times New Roman"/>
          <w:i/>
          <w:sz w:val="20"/>
          <w:szCs w:val="20"/>
        </w:rPr>
        <w:t xml:space="preserve"> by the European gas industry</w:t>
      </w:r>
      <w:r w:rsidR="00D6766F" w:rsidRPr="00AE78C0">
        <w:rPr>
          <w:rFonts w:ascii="Times New Roman" w:hAnsi="Times New Roman" w:cs="Times New Roman"/>
          <w:i/>
          <w:sz w:val="20"/>
          <w:szCs w:val="20"/>
        </w:rPr>
        <w:t xml:space="preserve"> is that oil indexation is no longer relevant for pricing gas in western Europe.</w:t>
      </w:r>
      <w:r w:rsidR="007A0644" w:rsidRPr="00AE78C0">
        <w:rPr>
          <w:rFonts w:ascii="Times New Roman" w:hAnsi="Times New Roman" w:cs="Times New Roman"/>
          <w:i/>
          <w:sz w:val="20"/>
          <w:szCs w:val="20"/>
        </w:rPr>
        <w:t xml:space="preserve"> </w:t>
      </w:r>
      <w:r w:rsidR="00D6766F" w:rsidRPr="00AE78C0">
        <w:rPr>
          <w:rFonts w:ascii="Times New Roman" w:hAnsi="Times New Roman" w:cs="Times New Roman"/>
          <w:i/>
          <w:sz w:val="20"/>
          <w:szCs w:val="20"/>
        </w:rPr>
        <w:t xml:space="preserve">The formula of the </w:t>
      </w:r>
      <w:r w:rsidR="00E1236F" w:rsidRPr="00AE78C0">
        <w:rPr>
          <w:rFonts w:ascii="Times New Roman" w:hAnsi="Times New Roman" w:cs="Times New Roman"/>
          <w:i/>
          <w:sz w:val="20"/>
          <w:szCs w:val="20"/>
        </w:rPr>
        <w:t>o</w:t>
      </w:r>
      <w:r w:rsidR="00D6766F" w:rsidRPr="00AE78C0">
        <w:rPr>
          <w:rFonts w:ascii="Times New Roman" w:hAnsi="Times New Roman" w:cs="Times New Roman"/>
          <w:i/>
          <w:sz w:val="20"/>
          <w:szCs w:val="20"/>
        </w:rPr>
        <w:t>il-indexed price is given as:</w:t>
      </w:r>
      <w:r w:rsidR="007A0644" w:rsidRPr="00AE78C0">
        <w:rPr>
          <w:rFonts w:ascii="Times New Roman" w:hAnsi="Times New Roman" w:cs="Times New Roman"/>
          <w:i/>
          <w:sz w:val="20"/>
          <w:szCs w:val="20"/>
        </w:rPr>
        <w:t xml:space="preserve"> </w:t>
      </w:r>
      <w:r w:rsidR="00E1236F" w:rsidRPr="00AE78C0">
        <w:rPr>
          <w:rFonts w:ascii="Times New Roman" w:hAnsi="Times New Roman" w:cs="Times New Roman"/>
          <w:i/>
          <w:sz w:val="20"/>
          <w:szCs w:val="20"/>
        </w:rPr>
        <w:t>o</w:t>
      </w:r>
      <w:r w:rsidR="00D6766F" w:rsidRPr="00AE78C0">
        <w:rPr>
          <w:rFonts w:ascii="Times New Roman" w:hAnsi="Times New Roman" w:cs="Times New Roman"/>
          <w:i/>
          <w:sz w:val="20"/>
          <w:szCs w:val="20"/>
        </w:rPr>
        <w:t>il-indexed = B0 + B1 * Average oil price where Average oil price is the average of gas</w:t>
      </w:r>
      <w:r w:rsidR="00AE78C0">
        <w:rPr>
          <w:rFonts w:ascii="Times New Roman" w:hAnsi="Times New Roman" w:cs="Times New Roman"/>
          <w:i/>
          <w:sz w:val="20"/>
          <w:szCs w:val="20"/>
        </w:rPr>
        <w:t xml:space="preserve"> </w:t>
      </w:r>
      <w:r w:rsidR="00D6766F" w:rsidRPr="00AE78C0">
        <w:rPr>
          <w:rFonts w:ascii="Times New Roman" w:hAnsi="Times New Roman" w:cs="Times New Roman"/>
          <w:i/>
          <w:sz w:val="20"/>
          <w:szCs w:val="20"/>
        </w:rPr>
        <w:t>oil and fuel oil prices. The oil prices are averaged for between</w:t>
      </w:r>
      <w:r w:rsidR="00AE78C0">
        <w:rPr>
          <w:rFonts w:ascii="Times New Roman" w:hAnsi="Times New Roman" w:cs="Times New Roman"/>
          <w:i/>
          <w:sz w:val="20"/>
          <w:szCs w:val="20"/>
        </w:rPr>
        <w:t xml:space="preserve"> three</w:t>
      </w:r>
      <w:r w:rsidR="00D6766F" w:rsidRPr="00AE78C0">
        <w:rPr>
          <w:rFonts w:ascii="Times New Roman" w:hAnsi="Times New Roman" w:cs="Times New Roman"/>
          <w:i/>
          <w:sz w:val="20"/>
          <w:szCs w:val="20"/>
        </w:rPr>
        <w:t xml:space="preserve"> and </w:t>
      </w:r>
      <w:r w:rsidR="00AE78C0">
        <w:rPr>
          <w:rFonts w:ascii="Times New Roman" w:hAnsi="Times New Roman" w:cs="Times New Roman"/>
          <w:i/>
          <w:sz w:val="20"/>
          <w:szCs w:val="20"/>
        </w:rPr>
        <w:t>nine</w:t>
      </w:r>
      <w:r w:rsidR="00D6766F" w:rsidRPr="00AE78C0">
        <w:rPr>
          <w:rFonts w:ascii="Times New Roman" w:hAnsi="Times New Roman" w:cs="Times New Roman"/>
          <w:i/>
          <w:sz w:val="20"/>
          <w:szCs w:val="20"/>
        </w:rPr>
        <w:t xml:space="preserve"> months and lagged by </w:t>
      </w:r>
      <w:r w:rsidR="00AE78C0">
        <w:rPr>
          <w:rFonts w:ascii="Times New Roman" w:hAnsi="Times New Roman" w:cs="Times New Roman"/>
          <w:i/>
          <w:sz w:val="20"/>
          <w:szCs w:val="20"/>
        </w:rPr>
        <w:t>zero to three</w:t>
      </w:r>
      <w:r w:rsidR="00D6766F" w:rsidRPr="00AE78C0">
        <w:rPr>
          <w:rFonts w:ascii="Times New Roman" w:hAnsi="Times New Roman" w:cs="Times New Roman"/>
          <w:i/>
          <w:sz w:val="20"/>
          <w:szCs w:val="20"/>
        </w:rPr>
        <w:t xml:space="preserve"> months to optimise the model fit.</w:t>
      </w:r>
    </w:p>
    <w:p w14:paraId="1BEF3C57" w14:textId="77777777" w:rsidR="003545C9" w:rsidRPr="000539C0" w:rsidRDefault="003545C9" w:rsidP="00D6766F">
      <w:pPr>
        <w:rPr>
          <w:rFonts w:ascii="Times New Roman" w:hAnsi="Times New Roman" w:cs="Times New Roman"/>
          <w:i/>
          <w:sz w:val="20"/>
          <w:szCs w:val="20"/>
        </w:rPr>
      </w:pPr>
    </w:p>
    <w:p w14:paraId="7062EA31" w14:textId="35BE3743" w:rsidR="00880B42" w:rsidRPr="007D2561" w:rsidRDefault="00492B02" w:rsidP="00660B3D">
      <w:pPr>
        <w:spacing w:line="360" w:lineRule="auto"/>
        <w:ind w:firstLine="567"/>
        <w:rPr>
          <w:rFonts w:ascii="Times New Roman" w:hAnsi="Times New Roman" w:cs="Times New Roman"/>
          <w:color w:val="000000" w:themeColor="text1"/>
          <w:sz w:val="24"/>
          <w:szCs w:val="24"/>
        </w:rPr>
      </w:pPr>
      <w:r w:rsidRPr="000539C0">
        <w:rPr>
          <w:rFonts w:ascii="Times New Roman" w:hAnsi="Times New Roman" w:cs="Times New Roman"/>
          <w:color w:val="000000" w:themeColor="text1"/>
          <w:sz w:val="24"/>
          <w:szCs w:val="24"/>
        </w:rPr>
        <w:t xml:space="preserve">On the </w:t>
      </w:r>
      <w:r w:rsidR="00BB4618" w:rsidRPr="00CD286E">
        <w:rPr>
          <w:rFonts w:ascii="Times New Roman" w:hAnsi="Times New Roman" w:cs="Times New Roman"/>
          <w:color w:val="000000" w:themeColor="text1"/>
          <w:sz w:val="24"/>
          <w:szCs w:val="24"/>
        </w:rPr>
        <w:t xml:space="preserve">welfare </w:t>
      </w:r>
      <w:r w:rsidR="00BB4618" w:rsidRPr="003D2C40">
        <w:rPr>
          <w:rFonts w:ascii="Times New Roman" w:hAnsi="Times New Roman" w:cs="Times New Roman"/>
          <w:color w:val="000000" w:themeColor="text1"/>
          <w:sz w:val="24"/>
          <w:szCs w:val="24"/>
        </w:rPr>
        <w:t>benefits of having a single market for gas</w:t>
      </w:r>
      <w:r w:rsidR="00AE78C0">
        <w:rPr>
          <w:rFonts w:ascii="Times New Roman" w:hAnsi="Times New Roman" w:cs="Times New Roman"/>
          <w:color w:val="000000" w:themeColor="text1"/>
          <w:sz w:val="24"/>
          <w:szCs w:val="24"/>
        </w:rPr>
        <w:t xml:space="preserve">, </w:t>
      </w:r>
      <w:r w:rsidR="00BB4618" w:rsidRPr="0056677D">
        <w:rPr>
          <w:rFonts w:ascii="Times New Roman" w:hAnsi="Times New Roman" w:cs="Times New Roman"/>
          <w:color w:val="000000" w:themeColor="text1"/>
          <w:sz w:val="24"/>
          <w:szCs w:val="24"/>
        </w:rPr>
        <w:t xml:space="preserve">the same report by ACER (2014) estimated that due to lack of </w:t>
      </w:r>
      <w:r w:rsidR="001F125E" w:rsidRPr="0056677D">
        <w:rPr>
          <w:rFonts w:ascii="Times New Roman" w:hAnsi="Times New Roman" w:cs="Times New Roman"/>
          <w:color w:val="000000" w:themeColor="text1"/>
          <w:sz w:val="24"/>
          <w:szCs w:val="24"/>
        </w:rPr>
        <w:t xml:space="preserve">gas </w:t>
      </w:r>
      <w:r w:rsidR="00BB4618" w:rsidRPr="0056677D">
        <w:rPr>
          <w:rFonts w:ascii="Times New Roman" w:hAnsi="Times New Roman" w:cs="Times New Roman"/>
          <w:color w:val="000000" w:themeColor="text1"/>
          <w:sz w:val="24"/>
          <w:szCs w:val="24"/>
        </w:rPr>
        <w:t>market integration</w:t>
      </w:r>
      <w:r w:rsidR="00AE78C0">
        <w:rPr>
          <w:rFonts w:ascii="Times New Roman" w:hAnsi="Times New Roman" w:cs="Times New Roman"/>
          <w:color w:val="000000" w:themeColor="text1"/>
          <w:sz w:val="24"/>
          <w:szCs w:val="24"/>
        </w:rPr>
        <w:t>,</w:t>
      </w:r>
      <w:r w:rsidR="00BB4618" w:rsidRPr="0056677D">
        <w:rPr>
          <w:rFonts w:ascii="Times New Roman" w:hAnsi="Times New Roman" w:cs="Times New Roman"/>
          <w:color w:val="000000" w:themeColor="text1"/>
          <w:sz w:val="24"/>
          <w:szCs w:val="24"/>
        </w:rPr>
        <w:t xml:space="preserve"> </w:t>
      </w:r>
      <w:r w:rsidR="001F125E" w:rsidRPr="00836D2F">
        <w:rPr>
          <w:rFonts w:ascii="Times New Roman" w:hAnsi="Times New Roman" w:cs="Times New Roman"/>
          <w:color w:val="000000" w:themeColor="text1"/>
          <w:sz w:val="24"/>
          <w:szCs w:val="24"/>
        </w:rPr>
        <w:t>potential annual gas wholesale gross welfare losses amounted to 7 bn euros</w:t>
      </w:r>
      <w:r w:rsidR="00E91148" w:rsidRPr="00836D2F">
        <w:rPr>
          <w:rFonts w:ascii="Times New Roman" w:hAnsi="Times New Roman" w:cs="Times New Roman"/>
          <w:color w:val="000000" w:themeColor="text1"/>
          <w:sz w:val="24"/>
          <w:szCs w:val="24"/>
        </w:rPr>
        <w:t xml:space="preserve"> (</w:t>
      </w:r>
      <w:r w:rsidR="000B787C" w:rsidRPr="00836D2F">
        <w:rPr>
          <w:rFonts w:ascii="Times New Roman" w:hAnsi="Times New Roman" w:cs="Times New Roman"/>
          <w:color w:val="000000" w:themeColor="text1"/>
          <w:sz w:val="24"/>
          <w:szCs w:val="24"/>
        </w:rPr>
        <w:t xml:space="preserve">ACER put this figure at </w:t>
      </w:r>
      <w:r w:rsidR="00E91148" w:rsidRPr="00836D2F">
        <w:rPr>
          <w:rFonts w:ascii="Times New Roman" w:hAnsi="Times New Roman" w:cs="Times New Roman"/>
          <w:color w:val="000000" w:themeColor="text1"/>
          <w:sz w:val="24"/>
          <w:szCs w:val="24"/>
        </w:rPr>
        <w:t>11 bn euros for 2012)</w:t>
      </w:r>
      <w:r w:rsidR="00B91F8B" w:rsidRPr="00836D2F">
        <w:rPr>
          <w:rFonts w:ascii="Times New Roman" w:hAnsi="Times New Roman" w:cs="Times New Roman"/>
          <w:color w:val="000000" w:themeColor="text1"/>
          <w:sz w:val="24"/>
          <w:szCs w:val="24"/>
        </w:rPr>
        <w:t xml:space="preserve">. The decrease in welfare losses </w:t>
      </w:r>
      <w:r w:rsidR="00A6551F" w:rsidRPr="00CE401B">
        <w:rPr>
          <w:rFonts w:ascii="Times New Roman" w:hAnsi="Times New Roman" w:cs="Times New Roman"/>
          <w:color w:val="000000" w:themeColor="text1"/>
          <w:sz w:val="24"/>
          <w:szCs w:val="24"/>
        </w:rPr>
        <w:t xml:space="preserve">between these two years </w:t>
      </w:r>
      <w:r w:rsidR="003D2C40">
        <w:rPr>
          <w:rFonts w:ascii="Times New Roman" w:hAnsi="Times New Roman" w:cs="Times New Roman"/>
          <w:color w:val="000000" w:themeColor="text1"/>
          <w:sz w:val="24"/>
          <w:szCs w:val="24"/>
        </w:rPr>
        <w:t>was</w:t>
      </w:r>
      <w:r w:rsidR="003D2C40" w:rsidRPr="00CE401B">
        <w:rPr>
          <w:rFonts w:ascii="Times New Roman" w:hAnsi="Times New Roman" w:cs="Times New Roman"/>
          <w:color w:val="000000" w:themeColor="text1"/>
          <w:sz w:val="24"/>
          <w:szCs w:val="24"/>
        </w:rPr>
        <w:t xml:space="preserve"> </w:t>
      </w:r>
      <w:r w:rsidR="00A6551F" w:rsidRPr="00CE401B">
        <w:rPr>
          <w:rFonts w:ascii="Times New Roman" w:hAnsi="Times New Roman" w:cs="Times New Roman"/>
          <w:color w:val="000000" w:themeColor="text1"/>
          <w:sz w:val="24"/>
          <w:szCs w:val="24"/>
        </w:rPr>
        <w:t xml:space="preserve">mainly due to </w:t>
      </w:r>
      <w:r w:rsidR="008A517D" w:rsidRPr="00CE401B">
        <w:rPr>
          <w:rFonts w:ascii="Times New Roman" w:hAnsi="Times New Roman" w:cs="Times New Roman"/>
          <w:color w:val="000000" w:themeColor="text1"/>
          <w:sz w:val="24"/>
          <w:szCs w:val="24"/>
        </w:rPr>
        <w:t>LTC renegotiations.</w:t>
      </w:r>
      <w:r w:rsidR="004E5FDA" w:rsidRPr="00CE401B">
        <w:rPr>
          <w:rFonts w:ascii="Times New Roman" w:hAnsi="Times New Roman" w:cs="Times New Roman"/>
          <w:color w:val="000000" w:themeColor="text1"/>
          <w:sz w:val="24"/>
          <w:szCs w:val="24"/>
        </w:rPr>
        <w:t xml:space="preserve"> A</w:t>
      </w:r>
      <w:r w:rsidR="00CA6AAB" w:rsidRPr="004B5525">
        <w:rPr>
          <w:rFonts w:ascii="Times New Roman" w:hAnsi="Times New Roman" w:cs="Times New Roman"/>
          <w:color w:val="000000" w:themeColor="text1"/>
          <w:sz w:val="24"/>
          <w:szCs w:val="24"/>
        </w:rPr>
        <w:t xml:space="preserve"> more</w:t>
      </w:r>
      <w:r w:rsidR="004E5FDA" w:rsidRPr="004B5525">
        <w:rPr>
          <w:rFonts w:ascii="Times New Roman" w:hAnsi="Times New Roman" w:cs="Times New Roman"/>
          <w:color w:val="000000" w:themeColor="text1"/>
          <w:sz w:val="24"/>
          <w:szCs w:val="24"/>
        </w:rPr>
        <w:t xml:space="preserve"> important </w:t>
      </w:r>
      <w:r w:rsidR="00CA6AAB" w:rsidRPr="004B5525">
        <w:rPr>
          <w:rFonts w:ascii="Times New Roman" w:hAnsi="Times New Roman" w:cs="Times New Roman"/>
          <w:color w:val="000000" w:themeColor="text1"/>
          <w:sz w:val="24"/>
          <w:szCs w:val="24"/>
        </w:rPr>
        <w:t xml:space="preserve">benefit </w:t>
      </w:r>
      <w:r w:rsidR="004E5FDA" w:rsidRPr="004B5525">
        <w:rPr>
          <w:rFonts w:ascii="Times New Roman" w:hAnsi="Times New Roman" w:cs="Times New Roman"/>
          <w:color w:val="000000" w:themeColor="text1"/>
          <w:sz w:val="24"/>
          <w:szCs w:val="24"/>
        </w:rPr>
        <w:t>(</w:t>
      </w:r>
      <w:r w:rsidR="00AE78C0">
        <w:rPr>
          <w:rFonts w:ascii="Times New Roman" w:hAnsi="Times New Roman" w:cs="Times New Roman"/>
          <w:color w:val="000000" w:themeColor="text1"/>
          <w:sz w:val="24"/>
          <w:szCs w:val="24"/>
        </w:rPr>
        <w:t>that is</w:t>
      </w:r>
      <w:r w:rsidR="00AE78C0" w:rsidRPr="004B5525">
        <w:rPr>
          <w:rFonts w:ascii="Times New Roman" w:hAnsi="Times New Roman" w:cs="Times New Roman"/>
          <w:color w:val="000000" w:themeColor="text1"/>
          <w:sz w:val="24"/>
          <w:szCs w:val="24"/>
        </w:rPr>
        <w:t xml:space="preserve"> </w:t>
      </w:r>
      <w:r w:rsidR="004E5FDA" w:rsidRPr="004B5525">
        <w:rPr>
          <w:rFonts w:ascii="Times New Roman" w:hAnsi="Times New Roman" w:cs="Times New Roman"/>
          <w:color w:val="000000" w:themeColor="text1"/>
          <w:sz w:val="24"/>
          <w:szCs w:val="24"/>
        </w:rPr>
        <w:t>perhaps</w:t>
      </w:r>
      <w:r w:rsidR="00CA6AAB" w:rsidRPr="004B5525">
        <w:rPr>
          <w:rFonts w:ascii="Times New Roman" w:hAnsi="Times New Roman" w:cs="Times New Roman"/>
          <w:color w:val="000000" w:themeColor="text1"/>
          <w:sz w:val="24"/>
          <w:szCs w:val="24"/>
        </w:rPr>
        <w:t xml:space="preserve"> less </w:t>
      </w:r>
      <w:r w:rsidR="00186AA8" w:rsidRPr="004B5525">
        <w:rPr>
          <w:rFonts w:ascii="Times New Roman" w:hAnsi="Times New Roman" w:cs="Times New Roman"/>
          <w:color w:val="000000" w:themeColor="text1"/>
          <w:sz w:val="24"/>
          <w:szCs w:val="24"/>
        </w:rPr>
        <w:t>amenable</w:t>
      </w:r>
      <w:r w:rsidR="00CA6AAB" w:rsidRPr="004B5525">
        <w:rPr>
          <w:rFonts w:ascii="Times New Roman" w:hAnsi="Times New Roman" w:cs="Times New Roman"/>
          <w:color w:val="000000" w:themeColor="text1"/>
          <w:sz w:val="24"/>
          <w:szCs w:val="24"/>
        </w:rPr>
        <w:t xml:space="preserve"> to quantification) that a single gas market may bring to Europe is minimi</w:t>
      </w:r>
      <w:r w:rsidR="00AC205F">
        <w:rPr>
          <w:rFonts w:ascii="Times New Roman" w:hAnsi="Times New Roman" w:cs="Times New Roman"/>
          <w:color w:val="000000" w:themeColor="text1"/>
          <w:sz w:val="24"/>
          <w:szCs w:val="24"/>
        </w:rPr>
        <w:t>s</w:t>
      </w:r>
      <w:r w:rsidR="00CA6AAB" w:rsidRPr="004B5525">
        <w:rPr>
          <w:rFonts w:ascii="Times New Roman" w:hAnsi="Times New Roman" w:cs="Times New Roman"/>
          <w:color w:val="000000" w:themeColor="text1"/>
          <w:sz w:val="24"/>
          <w:szCs w:val="24"/>
        </w:rPr>
        <w:t>ation of politica</w:t>
      </w:r>
      <w:r w:rsidR="00CA6AAB" w:rsidRPr="00CF247E">
        <w:rPr>
          <w:rFonts w:ascii="Times New Roman" w:hAnsi="Times New Roman" w:cs="Times New Roman"/>
          <w:color w:val="000000" w:themeColor="text1"/>
          <w:sz w:val="24"/>
          <w:szCs w:val="24"/>
        </w:rPr>
        <w:t xml:space="preserve">l consequences of price differences observed between </w:t>
      </w:r>
      <w:r w:rsidR="005819AB" w:rsidRPr="00CF247E">
        <w:rPr>
          <w:rFonts w:ascii="Times New Roman" w:hAnsi="Times New Roman" w:cs="Times New Roman"/>
          <w:color w:val="000000" w:themeColor="text1"/>
          <w:sz w:val="24"/>
          <w:szCs w:val="24"/>
        </w:rPr>
        <w:t xml:space="preserve">different member states </w:t>
      </w:r>
      <w:r w:rsidR="00537CF4" w:rsidRPr="00DE0337">
        <w:rPr>
          <w:rFonts w:ascii="Times New Roman" w:hAnsi="Times New Roman" w:cs="Times New Roman"/>
          <w:color w:val="000000" w:themeColor="text1"/>
          <w:sz w:val="24"/>
          <w:szCs w:val="24"/>
        </w:rPr>
        <w:t>(</w:t>
      </w:r>
      <w:r w:rsidR="00AE78C0">
        <w:rPr>
          <w:rFonts w:ascii="Times New Roman" w:hAnsi="Times New Roman" w:cs="Times New Roman"/>
          <w:color w:val="000000" w:themeColor="text1"/>
          <w:sz w:val="24"/>
          <w:szCs w:val="24"/>
        </w:rPr>
        <w:t>see, e.g.</w:t>
      </w:r>
      <w:r w:rsidR="00537CF4" w:rsidRPr="007D2561">
        <w:rPr>
          <w:rFonts w:ascii="Times New Roman" w:hAnsi="Times New Roman" w:cs="Times New Roman"/>
          <w:color w:val="000000" w:themeColor="text1"/>
          <w:sz w:val="24"/>
          <w:szCs w:val="24"/>
        </w:rPr>
        <w:t>,</w:t>
      </w:r>
      <w:r w:rsidR="005819AB" w:rsidRPr="007D2561">
        <w:rPr>
          <w:rFonts w:ascii="Times New Roman" w:hAnsi="Times New Roman" w:cs="Times New Roman"/>
          <w:color w:val="000000" w:themeColor="text1"/>
          <w:sz w:val="24"/>
          <w:szCs w:val="24"/>
        </w:rPr>
        <w:t xml:space="preserve"> Noel</w:t>
      </w:r>
      <w:r w:rsidR="00537CF4" w:rsidRPr="007D2561">
        <w:rPr>
          <w:rFonts w:ascii="Times New Roman" w:hAnsi="Times New Roman" w:cs="Times New Roman"/>
          <w:color w:val="000000" w:themeColor="text1"/>
          <w:sz w:val="24"/>
          <w:szCs w:val="24"/>
        </w:rPr>
        <w:t xml:space="preserve"> 2009)</w:t>
      </w:r>
      <w:r w:rsidR="00A00B94" w:rsidRPr="007D2561">
        <w:rPr>
          <w:rFonts w:ascii="Times New Roman" w:hAnsi="Times New Roman" w:cs="Times New Roman"/>
          <w:color w:val="000000" w:themeColor="text1"/>
          <w:sz w:val="24"/>
          <w:szCs w:val="24"/>
        </w:rPr>
        <w:t>.</w:t>
      </w:r>
    </w:p>
    <w:p w14:paraId="0FCA7999" w14:textId="3CCF89C4" w:rsidR="00C51469" w:rsidRPr="00DE0337" w:rsidRDefault="00C51469" w:rsidP="00660B3D">
      <w:pPr>
        <w:spacing w:line="360" w:lineRule="auto"/>
        <w:ind w:firstLine="567"/>
        <w:rPr>
          <w:rFonts w:ascii="Times New Roman" w:hAnsi="Times New Roman" w:cs="Times New Roman"/>
          <w:color w:val="000000" w:themeColor="text1"/>
          <w:sz w:val="24"/>
          <w:szCs w:val="24"/>
        </w:rPr>
      </w:pPr>
      <w:r w:rsidRPr="007D2561">
        <w:rPr>
          <w:rFonts w:ascii="Times New Roman" w:hAnsi="Times New Roman" w:cs="Times New Roman"/>
          <w:color w:val="000000" w:themeColor="text1"/>
          <w:sz w:val="24"/>
          <w:szCs w:val="24"/>
        </w:rPr>
        <w:t>Finally, it is worth noting that although price convergence between European gas markets</w:t>
      </w:r>
      <w:r w:rsidR="00BC15A3" w:rsidRPr="00FC47AF">
        <w:rPr>
          <w:rFonts w:ascii="Times New Roman" w:hAnsi="Times New Roman" w:cs="Times New Roman"/>
          <w:color w:val="000000" w:themeColor="text1"/>
          <w:sz w:val="24"/>
          <w:szCs w:val="24"/>
        </w:rPr>
        <w:t xml:space="preserve"> </w:t>
      </w:r>
      <w:r w:rsidR="004D371B" w:rsidRPr="00FC47AF">
        <w:rPr>
          <w:rFonts w:ascii="Times New Roman" w:hAnsi="Times New Roman" w:cs="Times New Roman"/>
          <w:color w:val="000000" w:themeColor="text1"/>
          <w:sz w:val="24"/>
          <w:szCs w:val="24"/>
        </w:rPr>
        <w:t xml:space="preserve">is a sign of </w:t>
      </w:r>
      <w:r w:rsidR="00EF1151" w:rsidRPr="00FC47AF">
        <w:rPr>
          <w:rFonts w:ascii="Times New Roman" w:hAnsi="Times New Roman" w:cs="Times New Roman"/>
          <w:color w:val="000000" w:themeColor="text1"/>
          <w:sz w:val="24"/>
          <w:szCs w:val="24"/>
        </w:rPr>
        <w:t xml:space="preserve">a </w:t>
      </w:r>
      <w:r w:rsidR="004D371B" w:rsidRPr="00FC47AF">
        <w:rPr>
          <w:rFonts w:ascii="Times New Roman" w:hAnsi="Times New Roman" w:cs="Times New Roman"/>
          <w:color w:val="000000" w:themeColor="text1"/>
          <w:sz w:val="24"/>
          <w:szCs w:val="24"/>
        </w:rPr>
        <w:t>well-integrated pan-European wholesale market for ga</w:t>
      </w:r>
      <w:r w:rsidR="004D371B" w:rsidRPr="00AE78C0">
        <w:rPr>
          <w:rFonts w:ascii="Times New Roman" w:hAnsi="Times New Roman" w:cs="Times New Roman"/>
          <w:color w:val="000000" w:themeColor="text1"/>
          <w:sz w:val="24"/>
          <w:szCs w:val="24"/>
        </w:rPr>
        <w:t>s</w:t>
      </w:r>
      <w:r w:rsidR="00BC15A3" w:rsidRPr="00AE78C0">
        <w:rPr>
          <w:rFonts w:ascii="Times New Roman" w:hAnsi="Times New Roman" w:cs="Times New Roman"/>
          <w:color w:val="000000" w:themeColor="text1"/>
          <w:sz w:val="24"/>
          <w:szCs w:val="24"/>
        </w:rPr>
        <w:t xml:space="preserve">, </w:t>
      </w:r>
      <w:r w:rsidR="00116EA4" w:rsidRPr="00AE78C0">
        <w:rPr>
          <w:rFonts w:ascii="Times New Roman" w:hAnsi="Times New Roman" w:cs="Times New Roman"/>
          <w:color w:val="000000" w:themeColor="text1"/>
          <w:sz w:val="24"/>
          <w:szCs w:val="24"/>
        </w:rPr>
        <w:t xml:space="preserve">there </w:t>
      </w:r>
      <w:r w:rsidR="00411C56" w:rsidRPr="00AE78C0">
        <w:rPr>
          <w:rFonts w:ascii="Times New Roman" w:hAnsi="Times New Roman" w:cs="Times New Roman"/>
          <w:color w:val="000000" w:themeColor="text1"/>
          <w:sz w:val="24"/>
          <w:szCs w:val="24"/>
        </w:rPr>
        <w:t>are</w:t>
      </w:r>
      <w:r w:rsidR="00116EA4" w:rsidRPr="00AE78C0">
        <w:rPr>
          <w:rFonts w:ascii="Times New Roman" w:hAnsi="Times New Roman" w:cs="Times New Roman"/>
          <w:color w:val="000000" w:themeColor="text1"/>
          <w:sz w:val="24"/>
          <w:szCs w:val="24"/>
        </w:rPr>
        <w:t xml:space="preserve"> great price </w:t>
      </w:r>
      <w:r w:rsidR="008565B9" w:rsidRPr="00AE78C0">
        <w:rPr>
          <w:rFonts w:ascii="Times New Roman" w:hAnsi="Times New Roman" w:cs="Times New Roman"/>
          <w:color w:val="000000" w:themeColor="text1"/>
          <w:sz w:val="24"/>
          <w:szCs w:val="24"/>
        </w:rPr>
        <w:t>difference</w:t>
      </w:r>
      <w:r w:rsidR="00116EA4" w:rsidRPr="00AE78C0">
        <w:rPr>
          <w:rFonts w:ascii="Times New Roman" w:hAnsi="Times New Roman" w:cs="Times New Roman"/>
          <w:color w:val="000000" w:themeColor="text1"/>
          <w:sz w:val="24"/>
          <w:szCs w:val="24"/>
        </w:rPr>
        <w:t xml:space="preserve">s </w:t>
      </w:r>
      <w:r w:rsidR="008565B9" w:rsidRPr="00AE78C0">
        <w:rPr>
          <w:rFonts w:ascii="Times New Roman" w:hAnsi="Times New Roman" w:cs="Times New Roman"/>
          <w:color w:val="000000" w:themeColor="text1"/>
          <w:sz w:val="24"/>
          <w:szCs w:val="24"/>
        </w:rPr>
        <w:lastRenderedPageBreak/>
        <w:t xml:space="preserve">between </w:t>
      </w:r>
      <w:r w:rsidR="00116EA4" w:rsidRPr="00AE78C0">
        <w:rPr>
          <w:rFonts w:ascii="Times New Roman" w:hAnsi="Times New Roman" w:cs="Times New Roman"/>
          <w:color w:val="000000" w:themeColor="text1"/>
          <w:sz w:val="24"/>
          <w:szCs w:val="24"/>
        </w:rPr>
        <w:t xml:space="preserve">Europe and </w:t>
      </w:r>
      <w:r w:rsidR="008565B9" w:rsidRPr="00AE78C0">
        <w:rPr>
          <w:rFonts w:ascii="Times New Roman" w:hAnsi="Times New Roman" w:cs="Times New Roman"/>
          <w:color w:val="000000" w:themeColor="text1"/>
          <w:sz w:val="24"/>
          <w:szCs w:val="24"/>
        </w:rPr>
        <w:t>another large and</w:t>
      </w:r>
      <w:r w:rsidR="00411C56" w:rsidRPr="00AE78C0">
        <w:rPr>
          <w:rFonts w:ascii="Times New Roman" w:hAnsi="Times New Roman" w:cs="Times New Roman"/>
          <w:color w:val="000000" w:themeColor="text1"/>
          <w:sz w:val="24"/>
          <w:szCs w:val="24"/>
        </w:rPr>
        <w:t xml:space="preserve"> the most</w:t>
      </w:r>
      <w:r w:rsidR="008565B9" w:rsidRPr="00AE78C0">
        <w:rPr>
          <w:rFonts w:ascii="Times New Roman" w:hAnsi="Times New Roman" w:cs="Times New Roman"/>
          <w:color w:val="000000" w:themeColor="text1"/>
          <w:sz w:val="24"/>
          <w:szCs w:val="24"/>
        </w:rPr>
        <w:t xml:space="preserve"> competitive </w:t>
      </w:r>
      <w:r w:rsidR="00411C56" w:rsidRPr="00AE78C0">
        <w:rPr>
          <w:rFonts w:ascii="Times New Roman" w:hAnsi="Times New Roman" w:cs="Times New Roman"/>
          <w:color w:val="000000" w:themeColor="text1"/>
          <w:sz w:val="24"/>
          <w:szCs w:val="24"/>
        </w:rPr>
        <w:t xml:space="preserve">gas </w:t>
      </w:r>
      <w:r w:rsidR="008565B9" w:rsidRPr="00AE78C0">
        <w:rPr>
          <w:rFonts w:ascii="Times New Roman" w:hAnsi="Times New Roman" w:cs="Times New Roman"/>
          <w:color w:val="000000" w:themeColor="text1"/>
          <w:sz w:val="24"/>
          <w:szCs w:val="24"/>
        </w:rPr>
        <w:t>market</w:t>
      </w:r>
      <w:r w:rsidR="0056677D">
        <w:rPr>
          <w:rFonts w:ascii="Times New Roman" w:hAnsi="Times New Roman" w:cs="Times New Roman"/>
          <w:color w:val="000000" w:themeColor="text1"/>
          <w:sz w:val="24"/>
          <w:szCs w:val="24"/>
        </w:rPr>
        <w:t>—</w:t>
      </w:r>
      <w:r w:rsidR="00AE78C0">
        <w:rPr>
          <w:rFonts w:ascii="Times New Roman" w:hAnsi="Times New Roman" w:cs="Times New Roman"/>
          <w:color w:val="000000" w:themeColor="text1"/>
          <w:sz w:val="24"/>
          <w:szCs w:val="24"/>
        </w:rPr>
        <w:t>the United States</w:t>
      </w:r>
      <w:r w:rsidR="00AE78C0" w:rsidRPr="0056677D">
        <w:rPr>
          <w:rFonts w:ascii="Times New Roman" w:hAnsi="Times New Roman" w:cs="Times New Roman"/>
          <w:color w:val="000000" w:themeColor="text1"/>
          <w:sz w:val="24"/>
          <w:szCs w:val="24"/>
        </w:rPr>
        <w:t xml:space="preserve"> </w:t>
      </w:r>
      <w:r w:rsidR="00F15A0C" w:rsidRPr="00836D2F">
        <w:rPr>
          <w:rFonts w:ascii="Times New Roman" w:hAnsi="Times New Roman" w:cs="Times New Roman"/>
          <w:color w:val="000000" w:themeColor="text1"/>
          <w:sz w:val="24"/>
          <w:szCs w:val="24"/>
        </w:rPr>
        <w:t>(</w:t>
      </w:r>
      <w:r w:rsidR="00AE78C0">
        <w:rPr>
          <w:rFonts w:ascii="Times New Roman" w:hAnsi="Times New Roman" w:cs="Times New Roman"/>
          <w:color w:val="000000" w:themeColor="text1"/>
          <w:sz w:val="24"/>
          <w:szCs w:val="24"/>
        </w:rPr>
        <w:t>see, e.g.</w:t>
      </w:r>
      <w:r w:rsidR="00F15A0C" w:rsidRPr="00836D2F">
        <w:rPr>
          <w:rFonts w:ascii="Times New Roman" w:hAnsi="Times New Roman" w:cs="Times New Roman"/>
          <w:color w:val="000000" w:themeColor="text1"/>
          <w:sz w:val="24"/>
          <w:szCs w:val="24"/>
        </w:rPr>
        <w:t>, Makholm 2015)</w:t>
      </w:r>
      <w:r w:rsidR="0050270B" w:rsidRPr="00836D2F">
        <w:rPr>
          <w:rFonts w:ascii="Times New Roman" w:hAnsi="Times New Roman" w:cs="Times New Roman"/>
          <w:color w:val="000000" w:themeColor="text1"/>
          <w:sz w:val="24"/>
          <w:szCs w:val="24"/>
        </w:rPr>
        <w:t>.</w:t>
      </w:r>
      <w:r w:rsidR="007C7F8C" w:rsidRPr="00836D2F">
        <w:rPr>
          <w:rFonts w:ascii="Times New Roman" w:hAnsi="Times New Roman" w:cs="Times New Roman"/>
          <w:color w:val="000000" w:themeColor="text1"/>
          <w:sz w:val="24"/>
          <w:szCs w:val="24"/>
        </w:rPr>
        <w:t xml:space="preserve"> </w:t>
      </w:r>
      <w:r w:rsidR="00045C1D" w:rsidRPr="00836D2F">
        <w:rPr>
          <w:rFonts w:ascii="Times New Roman" w:hAnsi="Times New Roman" w:cs="Times New Roman"/>
          <w:color w:val="000000" w:themeColor="text1"/>
          <w:sz w:val="24"/>
          <w:szCs w:val="24"/>
        </w:rPr>
        <w:t xml:space="preserve">Makholm (2012, 2015) </w:t>
      </w:r>
      <w:r w:rsidR="00184ECB" w:rsidRPr="00836D2F">
        <w:rPr>
          <w:rFonts w:ascii="Times New Roman" w:hAnsi="Times New Roman" w:cs="Times New Roman"/>
          <w:color w:val="000000" w:themeColor="text1"/>
          <w:sz w:val="24"/>
          <w:szCs w:val="24"/>
        </w:rPr>
        <w:t>outline</w:t>
      </w:r>
      <w:r w:rsidR="00AB0D1C" w:rsidRPr="00836D2F">
        <w:rPr>
          <w:rFonts w:ascii="Times New Roman" w:hAnsi="Times New Roman" w:cs="Times New Roman"/>
          <w:color w:val="000000" w:themeColor="text1"/>
          <w:sz w:val="24"/>
          <w:szCs w:val="24"/>
        </w:rPr>
        <w:t>d</w:t>
      </w:r>
      <w:r w:rsidR="00184ECB" w:rsidRPr="00CE401B">
        <w:rPr>
          <w:rFonts w:ascii="Times New Roman" w:hAnsi="Times New Roman" w:cs="Times New Roman"/>
          <w:color w:val="000000" w:themeColor="text1"/>
          <w:sz w:val="24"/>
          <w:szCs w:val="24"/>
        </w:rPr>
        <w:t xml:space="preserve"> in </w:t>
      </w:r>
      <w:proofErr w:type="gramStart"/>
      <w:r w:rsidR="00184ECB" w:rsidRPr="00CE401B">
        <w:rPr>
          <w:rFonts w:ascii="Times New Roman" w:hAnsi="Times New Roman" w:cs="Times New Roman"/>
          <w:color w:val="000000" w:themeColor="text1"/>
          <w:sz w:val="24"/>
          <w:szCs w:val="24"/>
        </w:rPr>
        <w:t>great detail</w:t>
      </w:r>
      <w:proofErr w:type="gramEnd"/>
      <w:r w:rsidR="00184ECB" w:rsidRPr="00CE401B">
        <w:rPr>
          <w:rFonts w:ascii="Times New Roman" w:hAnsi="Times New Roman" w:cs="Times New Roman"/>
          <w:color w:val="000000" w:themeColor="text1"/>
          <w:sz w:val="24"/>
          <w:szCs w:val="24"/>
        </w:rPr>
        <w:t xml:space="preserve"> the differences in institutional arrangements</w:t>
      </w:r>
      <w:r w:rsidR="00AB0D1C" w:rsidRPr="00CE401B">
        <w:rPr>
          <w:rFonts w:ascii="Times New Roman" w:hAnsi="Times New Roman" w:cs="Times New Roman"/>
          <w:color w:val="000000" w:themeColor="text1"/>
          <w:sz w:val="24"/>
          <w:szCs w:val="24"/>
        </w:rPr>
        <w:t xml:space="preserve"> of gas markets both in Europe and the US (and</w:t>
      </w:r>
      <w:r w:rsidR="00435E46" w:rsidRPr="004B5525">
        <w:rPr>
          <w:rFonts w:ascii="Times New Roman" w:hAnsi="Times New Roman" w:cs="Times New Roman"/>
          <w:color w:val="000000" w:themeColor="text1"/>
          <w:sz w:val="24"/>
          <w:szCs w:val="24"/>
        </w:rPr>
        <w:t xml:space="preserve"> in</w:t>
      </w:r>
      <w:r w:rsidR="00AB0D1C" w:rsidRPr="004B5525">
        <w:rPr>
          <w:rFonts w:ascii="Times New Roman" w:hAnsi="Times New Roman" w:cs="Times New Roman"/>
          <w:color w:val="000000" w:themeColor="text1"/>
          <w:sz w:val="24"/>
          <w:szCs w:val="24"/>
        </w:rPr>
        <w:t xml:space="preserve"> other jurisdictions)</w:t>
      </w:r>
      <w:r w:rsidR="001F58A4" w:rsidRPr="004B5525">
        <w:rPr>
          <w:rFonts w:ascii="Times New Roman" w:hAnsi="Times New Roman" w:cs="Times New Roman"/>
          <w:color w:val="000000" w:themeColor="text1"/>
          <w:sz w:val="24"/>
          <w:szCs w:val="24"/>
        </w:rPr>
        <w:t xml:space="preserve">. He concluded that Europe’s chosen market design for gas </w:t>
      </w:r>
      <w:r w:rsidR="00942882" w:rsidRPr="004B5525">
        <w:rPr>
          <w:rFonts w:ascii="Times New Roman" w:hAnsi="Times New Roman" w:cs="Times New Roman"/>
          <w:color w:val="000000" w:themeColor="text1"/>
          <w:sz w:val="24"/>
          <w:szCs w:val="24"/>
        </w:rPr>
        <w:t xml:space="preserve">(which </w:t>
      </w:r>
      <w:r w:rsidR="00075BCB" w:rsidRPr="004B5525">
        <w:rPr>
          <w:rFonts w:ascii="Times New Roman" w:hAnsi="Times New Roman" w:cs="Times New Roman"/>
          <w:color w:val="000000" w:themeColor="text1"/>
          <w:sz w:val="24"/>
          <w:szCs w:val="24"/>
        </w:rPr>
        <w:t>follows market design for its electricity sector)</w:t>
      </w:r>
      <w:r w:rsidR="001F58A4" w:rsidRPr="004B5525">
        <w:rPr>
          <w:rFonts w:ascii="Times New Roman" w:hAnsi="Times New Roman" w:cs="Times New Roman"/>
          <w:color w:val="000000" w:themeColor="text1"/>
          <w:sz w:val="24"/>
          <w:szCs w:val="24"/>
        </w:rPr>
        <w:t xml:space="preserve"> </w:t>
      </w:r>
      <w:r w:rsidR="00AE78C0" w:rsidRPr="004B5525">
        <w:rPr>
          <w:rFonts w:ascii="Times New Roman" w:hAnsi="Times New Roman" w:cs="Times New Roman"/>
          <w:color w:val="000000" w:themeColor="text1"/>
          <w:sz w:val="24"/>
          <w:szCs w:val="24"/>
        </w:rPr>
        <w:t>ha</w:t>
      </w:r>
      <w:r w:rsidR="00AE78C0">
        <w:rPr>
          <w:rFonts w:ascii="Times New Roman" w:hAnsi="Times New Roman" w:cs="Times New Roman"/>
          <w:color w:val="000000" w:themeColor="text1"/>
          <w:sz w:val="24"/>
          <w:szCs w:val="24"/>
        </w:rPr>
        <w:t>s</w:t>
      </w:r>
      <w:r w:rsidR="00AE78C0" w:rsidRPr="004B5525">
        <w:rPr>
          <w:rFonts w:ascii="Times New Roman" w:hAnsi="Times New Roman" w:cs="Times New Roman"/>
          <w:color w:val="000000" w:themeColor="text1"/>
          <w:sz w:val="24"/>
          <w:szCs w:val="24"/>
        </w:rPr>
        <w:t xml:space="preserve"> </w:t>
      </w:r>
      <w:r w:rsidR="00596CAD" w:rsidRPr="004B5525">
        <w:rPr>
          <w:rFonts w:ascii="Times New Roman" w:hAnsi="Times New Roman" w:cs="Times New Roman"/>
          <w:color w:val="000000" w:themeColor="text1"/>
          <w:sz w:val="24"/>
          <w:szCs w:val="24"/>
        </w:rPr>
        <w:t>impeded the development of competitively</w:t>
      </w:r>
      <w:r w:rsidR="00AE78C0">
        <w:rPr>
          <w:rFonts w:ascii="Times New Roman" w:hAnsi="Times New Roman" w:cs="Times New Roman"/>
          <w:color w:val="000000" w:themeColor="text1"/>
          <w:sz w:val="24"/>
          <w:szCs w:val="24"/>
        </w:rPr>
        <w:t xml:space="preserve"> </w:t>
      </w:r>
      <w:r w:rsidR="00596CAD" w:rsidRPr="004B5525">
        <w:rPr>
          <w:rFonts w:ascii="Times New Roman" w:hAnsi="Times New Roman" w:cs="Times New Roman"/>
          <w:color w:val="000000" w:themeColor="text1"/>
          <w:sz w:val="24"/>
          <w:szCs w:val="24"/>
        </w:rPr>
        <w:t xml:space="preserve">priced gas. </w:t>
      </w:r>
      <w:r w:rsidR="001A6692">
        <w:rPr>
          <w:rFonts w:ascii="Times New Roman" w:hAnsi="Times New Roman" w:cs="Times New Roman"/>
          <w:color w:val="000000" w:themeColor="text1"/>
          <w:sz w:val="24"/>
          <w:szCs w:val="24"/>
        </w:rPr>
        <w:t>I</w:t>
      </w:r>
      <w:r w:rsidR="00596CAD" w:rsidRPr="004B5525">
        <w:rPr>
          <w:rFonts w:ascii="Times New Roman" w:hAnsi="Times New Roman" w:cs="Times New Roman"/>
          <w:color w:val="000000" w:themeColor="text1"/>
          <w:sz w:val="24"/>
          <w:szCs w:val="24"/>
        </w:rPr>
        <w:t xml:space="preserve"> turn to thi</w:t>
      </w:r>
      <w:r w:rsidR="00D40927" w:rsidRPr="00CF247E">
        <w:rPr>
          <w:rFonts w:ascii="Times New Roman" w:hAnsi="Times New Roman" w:cs="Times New Roman"/>
          <w:color w:val="000000" w:themeColor="text1"/>
          <w:sz w:val="24"/>
          <w:szCs w:val="24"/>
        </w:rPr>
        <w:t>s question in Section 4.</w:t>
      </w:r>
    </w:p>
    <w:p w14:paraId="14EB471C" w14:textId="6AFB972D" w:rsidR="00767FE8" w:rsidRPr="00FC47AF" w:rsidRDefault="00767FE8" w:rsidP="00660B3D">
      <w:pPr>
        <w:spacing w:line="360" w:lineRule="auto"/>
        <w:ind w:firstLine="567"/>
        <w:rPr>
          <w:rFonts w:ascii="Times New Roman" w:hAnsi="Times New Roman" w:cs="Times New Roman"/>
          <w:color w:val="000000" w:themeColor="text1"/>
          <w:sz w:val="24"/>
          <w:szCs w:val="24"/>
        </w:rPr>
      </w:pPr>
      <w:r w:rsidRPr="00DE0337">
        <w:rPr>
          <w:rFonts w:ascii="Times New Roman" w:hAnsi="Times New Roman" w:cs="Times New Roman"/>
          <w:color w:val="000000" w:themeColor="text1"/>
          <w:sz w:val="24"/>
          <w:szCs w:val="24"/>
        </w:rPr>
        <w:t>To summarise, the theoretical literature and empirical evidence suggest that the European gas industry has changed dramatically in the last 20 years in response to regulatory, technological and industrial dynamics. The industry has gradually transformed from domination by state-owned monopolies and rigid bilateral contracts to a more competitive market.</w:t>
      </w:r>
      <w:r w:rsidR="00E1505B" w:rsidRPr="007D2561">
        <w:rPr>
          <w:rFonts w:ascii="Times New Roman" w:hAnsi="Times New Roman" w:cs="Times New Roman"/>
          <w:color w:val="000000" w:themeColor="text1"/>
          <w:sz w:val="24"/>
          <w:szCs w:val="24"/>
        </w:rPr>
        <w:t xml:space="preserve"> However, there are still </w:t>
      </w:r>
      <w:r w:rsidR="00852387" w:rsidRPr="007D2561">
        <w:rPr>
          <w:rFonts w:ascii="Times New Roman" w:hAnsi="Times New Roman" w:cs="Times New Roman"/>
          <w:color w:val="000000" w:themeColor="text1"/>
          <w:sz w:val="24"/>
          <w:szCs w:val="24"/>
        </w:rPr>
        <w:t xml:space="preserve">impediments to complete the </w:t>
      </w:r>
      <w:r w:rsidR="003D0928" w:rsidRPr="007D2561">
        <w:rPr>
          <w:rFonts w:ascii="Times New Roman" w:hAnsi="Times New Roman" w:cs="Times New Roman"/>
          <w:color w:val="000000" w:themeColor="text1"/>
          <w:sz w:val="24"/>
          <w:szCs w:val="24"/>
        </w:rPr>
        <w:t xml:space="preserve">project of creating a </w:t>
      </w:r>
      <w:r w:rsidR="00852387" w:rsidRPr="007D2561">
        <w:rPr>
          <w:rFonts w:ascii="Times New Roman" w:hAnsi="Times New Roman" w:cs="Times New Roman"/>
          <w:color w:val="000000" w:themeColor="text1"/>
          <w:sz w:val="24"/>
          <w:szCs w:val="24"/>
        </w:rPr>
        <w:t>single market for gas</w:t>
      </w:r>
      <w:r w:rsidR="003D0928" w:rsidRPr="00FC47AF">
        <w:rPr>
          <w:rFonts w:ascii="Times New Roman" w:hAnsi="Times New Roman" w:cs="Times New Roman"/>
          <w:color w:val="000000" w:themeColor="text1"/>
          <w:sz w:val="24"/>
          <w:szCs w:val="24"/>
        </w:rPr>
        <w:t xml:space="preserve"> in Europe </w:t>
      </w:r>
      <w:r w:rsidR="00AE78C0">
        <w:rPr>
          <w:rFonts w:ascii="Times New Roman" w:hAnsi="Times New Roman" w:cs="Times New Roman"/>
          <w:color w:val="000000" w:themeColor="text1"/>
          <w:sz w:val="24"/>
          <w:szCs w:val="24"/>
        </w:rPr>
        <w:t>that</w:t>
      </w:r>
      <w:r w:rsidR="00AE78C0" w:rsidRPr="00FC47AF">
        <w:rPr>
          <w:rFonts w:ascii="Times New Roman" w:hAnsi="Times New Roman" w:cs="Times New Roman"/>
          <w:color w:val="000000" w:themeColor="text1"/>
          <w:sz w:val="24"/>
          <w:szCs w:val="24"/>
        </w:rPr>
        <w:t xml:space="preserve"> </w:t>
      </w:r>
      <w:r w:rsidR="001A6692">
        <w:rPr>
          <w:rFonts w:ascii="Times New Roman" w:hAnsi="Times New Roman" w:cs="Times New Roman"/>
          <w:color w:val="000000" w:themeColor="text1"/>
          <w:sz w:val="24"/>
          <w:szCs w:val="24"/>
        </w:rPr>
        <w:t>I</w:t>
      </w:r>
      <w:r w:rsidR="003D0928" w:rsidRPr="00FC47AF">
        <w:rPr>
          <w:rFonts w:ascii="Times New Roman" w:hAnsi="Times New Roman" w:cs="Times New Roman"/>
          <w:color w:val="000000" w:themeColor="text1"/>
          <w:sz w:val="24"/>
          <w:szCs w:val="24"/>
        </w:rPr>
        <w:t xml:space="preserve"> summarise in our next section.</w:t>
      </w:r>
    </w:p>
    <w:p w14:paraId="7BBD348F" w14:textId="77777777" w:rsidR="00506619" w:rsidRPr="00FC47AF" w:rsidRDefault="00506619" w:rsidP="00660B3D">
      <w:pPr>
        <w:spacing w:line="360" w:lineRule="auto"/>
        <w:ind w:firstLine="567"/>
        <w:rPr>
          <w:rFonts w:ascii="Times New Roman" w:hAnsi="Times New Roman" w:cs="Times New Roman"/>
          <w:color w:val="000000" w:themeColor="text1"/>
          <w:sz w:val="24"/>
          <w:szCs w:val="24"/>
        </w:rPr>
      </w:pPr>
    </w:p>
    <w:p w14:paraId="5C764BC4" w14:textId="321CB7B6" w:rsidR="00963D76" w:rsidRPr="00AE78C0" w:rsidRDefault="00963D76" w:rsidP="00660B3D">
      <w:pPr>
        <w:pStyle w:val="Heading1"/>
        <w:numPr>
          <w:ilvl w:val="0"/>
          <w:numId w:val="1"/>
        </w:numPr>
        <w:spacing w:line="360" w:lineRule="auto"/>
        <w:ind w:firstLine="567"/>
        <w:rPr>
          <w:rFonts w:ascii="Times New Roman" w:hAnsi="Times New Roman" w:cs="Times New Roman"/>
          <w:b/>
          <w:color w:val="000000" w:themeColor="text1"/>
          <w:sz w:val="24"/>
          <w:szCs w:val="24"/>
        </w:rPr>
      </w:pPr>
      <w:r w:rsidRPr="00AE78C0">
        <w:rPr>
          <w:rFonts w:ascii="Times New Roman" w:hAnsi="Times New Roman" w:cs="Times New Roman"/>
          <w:b/>
          <w:color w:val="000000" w:themeColor="text1"/>
          <w:sz w:val="24"/>
          <w:szCs w:val="24"/>
        </w:rPr>
        <w:t>European gas markets: looking forward</w:t>
      </w:r>
    </w:p>
    <w:p w14:paraId="7105CD51" w14:textId="5F72DE16" w:rsidR="00CC3A7C" w:rsidRPr="0056677D" w:rsidRDefault="0058282F" w:rsidP="00660B3D">
      <w:pPr>
        <w:spacing w:line="360" w:lineRule="auto"/>
        <w:ind w:firstLine="567"/>
        <w:rPr>
          <w:rFonts w:ascii="Times New Roman" w:hAnsi="Times New Roman" w:cs="Times New Roman"/>
          <w:color w:val="000000" w:themeColor="text1"/>
          <w:sz w:val="24"/>
          <w:szCs w:val="24"/>
        </w:rPr>
      </w:pPr>
      <w:r w:rsidRPr="00AE78C0">
        <w:rPr>
          <w:rFonts w:ascii="Times New Roman" w:hAnsi="Times New Roman" w:cs="Times New Roman"/>
          <w:color w:val="000000" w:themeColor="text1"/>
          <w:sz w:val="24"/>
          <w:szCs w:val="24"/>
        </w:rPr>
        <w:t xml:space="preserve">In </w:t>
      </w:r>
      <w:r w:rsidR="00DF0478" w:rsidRPr="00AE78C0">
        <w:rPr>
          <w:rFonts w:ascii="Times New Roman" w:hAnsi="Times New Roman" w:cs="Times New Roman"/>
          <w:color w:val="000000" w:themeColor="text1"/>
          <w:sz w:val="24"/>
          <w:szCs w:val="24"/>
        </w:rPr>
        <w:t xml:space="preserve">a </w:t>
      </w:r>
      <w:r w:rsidRPr="00AE78C0">
        <w:rPr>
          <w:rFonts w:ascii="Times New Roman" w:hAnsi="Times New Roman" w:cs="Times New Roman"/>
          <w:color w:val="000000" w:themeColor="text1"/>
          <w:sz w:val="24"/>
          <w:szCs w:val="24"/>
        </w:rPr>
        <w:t>perfectly competitive and integrated market</w:t>
      </w:r>
      <w:r w:rsidR="00AE78C0">
        <w:rPr>
          <w:rFonts w:ascii="Times New Roman" w:hAnsi="Times New Roman" w:cs="Times New Roman"/>
          <w:color w:val="000000" w:themeColor="text1"/>
          <w:sz w:val="24"/>
          <w:szCs w:val="24"/>
        </w:rPr>
        <w:t>,</w:t>
      </w:r>
      <w:r w:rsidRPr="00AE78C0">
        <w:rPr>
          <w:rFonts w:ascii="Times New Roman" w:hAnsi="Times New Roman" w:cs="Times New Roman"/>
          <w:color w:val="000000" w:themeColor="text1"/>
          <w:sz w:val="24"/>
          <w:szCs w:val="24"/>
        </w:rPr>
        <w:t xml:space="preserve"> </w:t>
      </w:r>
      <w:r w:rsidR="00151A59" w:rsidRPr="00AE78C0">
        <w:rPr>
          <w:rFonts w:ascii="Times New Roman" w:hAnsi="Times New Roman" w:cs="Times New Roman"/>
          <w:color w:val="000000" w:themeColor="text1"/>
          <w:sz w:val="24"/>
          <w:szCs w:val="24"/>
        </w:rPr>
        <w:t xml:space="preserve">the </w:t>
      </w:r>
      <w:r w:rsidR="00151A59" w:rsidRPr="00AE78C0">
        <w:rPr>
          <w:rFonts w:ascii="Times New Roman" w:hAnsi="Times New Roman" w:cs="Times New Roman"/>
          <w:i/>
          <w:color w:val="000000" w:themeColor="text1"/>
          <w:sz w:val="24"/>
          <w:szCs w:val="24"/>
        </w:rPr>
        <w:t>‘</w:t>
      </w:r>
      <w:r w:rsidR="00151A59" w:rsidRPr="005E1AA3">
        <w:rPr>
          <w:rFonts w:ascii="Times New Roman" w:hAnsi="Times New Roman" w:cs="Times New Roman"/>
          <w:color w:val="000000" w:themeColor="text1"/>
          <w:sz w:val="24"/>
          <w:szCs w:val="24"/>
        </w:rPr>
        <w:t>relative law of one price’</w:t>
      </w:r>
      <w:r w:rsidR="00151A59" w:rsidRPr="00AE78C0">
        <w:rPr>
          <w:rFonts w:ascii="Times New Roman" w:hAnsi="Times New Roman" w:cs="Times New Roman"/>
          <w:color w:val="000000" w:themeColor="text1"/>
          <w:sz w:val="24"/>
          <w:szCs w:val="24"/>
        </w:rPr>
        <w:t xml:space="preserve"> </w:t>
      </w:r>
      <w:r w:rsidR="00904D31" w:rsidRPr="00AE78C0">
        <w:rPr>
          <w:rFonts w:ascii="Times New Roman" w:hAnsi="Times New Roman" w:cs="Times New Roman"/>
          <w:color w:val="000000" w:themeColor="text1"/>
          <w:sz w:val="24"/>
          <w:szCs w:val="24"/>
        </w:rPr>
        <w:t xml:space="preserve">should be observed, that is, </w:t>
      </w:r>
      <w:r w:rsidR="006F0382" w:rsidRPr="000539C0">
        <w:rPr>
          <w:rFonts w:ascii="Times New Roman" w:hAnsi="Times New Roman" w:cs="Times New Roman"/>
          <w:color w:val="000000" w:themeColor="text1"/>
          <w:sz w:val="24"/>
          <w:szCs w:val="24"/>
        </w:rPr>
        <w:t xml:space="preserve">prices for a homogenous </w:t>
      </w:r>
      <w:r w:rsidR="00524730" w:rsidRPr="000539C0">
        <w:rPr>
          <w:rFonts w:ascii="Times New Roman" w:hAnsi="Times New Roman" w:cs="Times New Roman"/>
          <w:color w:val="000000" w:themeColor="text1"/>
          <w:sz w:val="24"/>
          <w:szCs w:val="24"/>
        </w:rPr>
        <w:t>commodity</w:t>
      </w:r>
      <w:r w:rsidR="006F0382" w:rsidRPr="00CD286E">
        <w:rPr>
          <w:rFonts w:ascii="Times New Roman" w:hAnsi="Times New Roman" w:cs="Times New Roman"/>
          <w:color w:val="000000" w:themeColor="text1"/>
          <w:sz w:val="24"/>
          <w:szCs w:val="24"/>
        </w:rPr>
        <w:t xml:space="preserve">, such as </w:t>
      </w:r>
      <w:r w:rsidR="00524730" w:rsidRPr="00CD286E">
        <w:rPr>
          <w:rFonts w:ascii="Times New Roman" w:hAnsi="Times New Roman" w:cs="Times New Roman"/>
          <w:color w:val="000000" w:themeColor="text1"/>
          <w:sz w:val="24"/>
          <w:szCs w:val="24"/>
        </w:rPr>
        <w:t xml:space="preserve">natural </w:t>
      </w:r>
      <w:r w:rsidR="006F0382" w:rsidRPr="00CD286E">
        <w:rPr>
          <w:rFonts w:ascii="Times New Roman" w:hAnsi="Times New Roman" w:cs="Times New Roman"/>
          <w:color w:val="000000" w:themeColor="text1"/>
          <w:sz w:val="24"/>
          <w:szCs w:val="24"/>
        </w:rPr>
        <w:t xml:space="preserve">gas, </w:t>
      </w:r>
      <w:r w:rsidR="003259ED" w:rsidRPr="003D2C40">
        <w:rPr>
          <w:rFonts w:ascii="Times New Roman" w:hAnsi="Times New Roman" w:cs="Times New Roman"/>
          <w:color w:val="000000" w:themeColor="text1"/>
          <w:sz w:val="24"/>
          <w:szCs w:val="24"/>
        </w:rPr>
        <w:t xml:space="preserve">across different locations should </w:t>
      </w:r>
      <w:r w:rsidR="0004120E" w:rsidRPr="00F029BE">
        <w:rPr>
          <w:rFonts w:ascii="Times New Roman" w:hAnsi="Times New Roman" w:cs="Times New Roman"/>
          <w:color w:val="000000" w:themeColor="text1"/>
          <w:sz w:val="24"/>
          <w:szCs w:val="24"/>
        </w:rPr>
        <w:t>only differ by transaction costs (e.g., transport costs of moving gas from one location to another)</w:t>
      </w:r>
      <w:r w:rsidR="00904D31" w:rsidRPr="00F029BE">
        <w:rPr>
          <w:rFonts w:ascii="Times New Roman" w:hAnsi="Times New Roman" w:cs="Times New Roman"/>
          <w:color w:val="000000" w:themeColor="text1"/>
          <w:sz w:val="24"/>
          <w:szCs w:val="24"/>
        </w:rPr>
        <w:t>.</w:t>
      </w:r>
      <w:r w:rsidR="002501F2" w:rsidRPr="00F029BE">
        <w:rPr>
          <w:rFonts w:ascii="Times New Roman" w:hAnsi="Times New Roman" w:cs="Times New Roman"/>
          <w:color w:val="000000" w:themeColor="text1"/>
          <w:sz w:val="24"/>
          <w:szCs w:val="24"/>
        </w:rPr>
        <w:t xml:space="preserve"> </w:t>
      </w:r>
      <w:r w:rsidR="00AE78C0">
        <w:rPr>
          <w:rFonts w:ascii="Times New Roman" w:hAnsi="Times New Roman" w:cs="Times New Roman"/>
          <w:color w:val="000000" w:themeColor="text1"/>
          <w:sz w:val="24"/>
          <w:szCs w:val="24"/>
        </w:rPr>
        <w:t>The m</w:t>
      </w:r>
      <w:r w:rsidR="00205427" w:rsidRPr="00AE78C0">
        <w:rPr>
          <w:rFonts w:ascii="Times New Roman" w:hAnsi="Times New Roman" w:cs="Times New Roman"/>
          <w:color w:val="000000" w:themeColor="text1"/>
          <w:sz w:val="24"/>
          <w:szCs w:val="24"/>
        </w:rPr>
        <w:t xml:space="preserve">ost recent gas trade data </w:t>
      </w:r>
      <w:r w:rsidR="00B6254F" w:rsidRPr="00AE78C0">
        <w:rPr>
          <w:rFonts w:ascii="Times New Roman" w:hAnsi="Times New Roman" w:cs="Times New Roman"/>
          <w:color w:val="000000" w:themeColor="text1"/>
          <w:sz w:val="24"/>
          <w:szCs w:val="24"/>
        </w:rPr>
        <w:t xml:space="preserve">reported by ACER (ACER, 2017) suggest that </w:t>
      </w:r>
      <w:r w:rsidR="0081373E" w:rsidRPr="00AE78C0">
        <w:rPr>
          <w:rFonts w:ascii="Times New Roman" w:hAnsi="Times New Roman" w:cs="Times New Roman"/>
          <w:color w:val="000000" w:themeColor="text1"/>
          <w:sz w:val="24"/>
          <w:szCs w:val="24"/>
        </w:rPr>
        <w:t xml:space="preserve">price differentials between most traded hubs in Europe was </w:t>
      </w:r>
      <w:r w:rsidR="00A43E1F" w:rsidRPr="000539C0">
        <w:rPr>
          <w:rFonts w:ascii="Times New Roman" w:hAnsi="Times New Roman" w:cs="Times New Roman"/>
          <w:color w:val="000000" w:themeColor="text1"/>
          <w:sz w:val="24"/>
          <w:szCs w:val="24"/>
        </w:rPr>
        <w:t xml:space="preserve">even </w:t>
      </w:r>
      <w:r w:rsidR="0081373E" w:rsidRPr="000539C0">
        <w:rPr>
          <w:rFonts w:ascii="Times New Roman" w:hAnsi="Times New Roman" w:cs="Times New Roman"/>
          <w:color w:val="000000" w:themeColor="text1"/>
          <w:sz w:val="24"/>
          <w:szCs w:val="24"/>
        </w:rPr>
        <w:t xml:space="preserve">below transport </w:t>
      </w:r>
      <w:r w:rsidR="00A43E1F" w:rsidRPr="00CD286E">
        <w:rPr>
          <w:rFonts w:ascii="Times New Roman" w:hAnsi="Times New Roman" w:cs="Times New Roman"/>
          <w:color w:val="000000" w:themeColor="text1"/>
          <w:sz w:val="24"/>
          <w:szCs w:val="24"/>
        </w:rPr>
        <w:t>tariffs</w:t>
      </w:r>
      <w:r w:rsidR="0081373E" w:rsidRPr="00CD286E">
        <w:rPr>
          <w:rFonts w:ascii="Times New Roman" w:hAnsi="Times New Roman" w:cs="Times New Roman"/>
          <w:color w:val="000000" w:themeColor="text1"/>
          <w:sz w:val="24"/>
          <w:szCs w:val="24"/>
        </w:rPr>
        <w:t xml:space="preserve">. </w:t>
      </w:r>
      <w:r w:rsidR="00285D26" w:rsidRPr="00CD286E">
        <w:rPr>
          <w:rFonts w:ascii="Times New Roman" w:hAnsi="Times New Roman" w:cs="Times New Roman"/>
          <w:color w:val="000000" w:themeColor="text1"/>
          <w:sz w:val="24"/>
          <w:szCs w:val="24"/>
        </w:rPr>
        <w:t xml:space="preserve">Given that </w:t>
      </w:r>
      <w:r w:rsidR="00285D26" w:rsidRPr="003D2C40">
        <w:rPr>
          <w:rFonts w:ascii="Times New Roman" w:hAnsi="Times New Roman" w:cs="Times New Roman"/>
          <w:color w:val="000000" w:themeColor="text1"/>
          <w:sz w:val="24"/>
          <w:szCs w:val="24"/>
        </w:rPr>
        <w:t xml:space="preserve">price differences between traded and non-traded hubs </w:t>
      </w:r>
      <w:r w:rsidR="00F72073" w:rsidRPr="00F029BE">
        <w:rPr>
          <w:rFonts w:ascii="Times New Roman" w:hAnsi="Times New Roman" w:cs="Times New Roman"/>
          <w:color w:val="000000" w:themeColor="text1"/>
          <w:sz w:val="24"/>
          <w:szCs w:val="24"/>
        </w:rPr>
        <w:t>have been</w:t>
      </w:r>
      <w:r w:rsidR="00285D26" w:rsidRPr="00F029BE">
        <w:rPr>
          <w:rFonts w:ascii="Times New Roman" w:hAnsi="Times New Roman" w:cs="Times New Roman"/>
          <w:color w:val="000000" w:themeColor="text1"/>
          <w:sz w:val="24"/>
          <w:szCs w:val="24"/>
        </w:rPr>
        <w:t xml:space="preserve"> moving closer due to</w:t>
      </w:r>
      <w:r w:rsidR="009730B6" w:rsidRPr="00F029BE">
        <w:rPr>
          <w:rFonts w:ascii="Times New Roman" w:hAnsi="Times New Roman" w:cs="Times New Roman"/>
          <w:color w:val="000000" w:themeColor="text1"/>
          <w:sz w:val="24"/>
          <w:szCs w:val="24"/>
        </w:rPr>
        <w:t xml:space="preserve"> the</w:t>
      </w:r>
      <w:r w:rsidR="00285D26" w:rsidRPr="00F029BE">
        <w:rPr>
          <w:rFonts w:ascii="Times New Roman" w:hAnsi="Times New Roman" w:cs="Times New Roman"/>
          <w:color w:val="000000" w:themeColor="text1"/>
          <w:sz w:val="24"/>
          <w:szCs w:val="24"/>
        </w:rPr>
        <w:t xml:space="preserve"> elimination of oil-linkages in the traditional LTCs (</w:t>
      </w:r>
      <w:r w:rsidR="00AE78C0">
        <w:rPr>
          <w:rFonts w:ascii="Times New Roman" w:hAnsi="Times New Roman" w:cs="Times New Roman"/>
          <w:color w:val="000000" w:themeColor="text1"/>
          <w:sz w:val="24"/>
          <w:szCs w:val="24"/>
        </w:rPr>
        <w:t>s</w:t>
      </w:r>
      <w:r w:rsidR="00AE78C0" w:rsidRPr="00AE78C0">
        <w:rPr>
          <w:rFonts w:ascii="Times New Roman" w:hAnsi="Times New Roman" w:cs="Times New Roman"/>
          <w:color w:val="000000" w:themeColor="text1"/>
          <w:sz w:val="24"/>
          <w:szCs w:val="24"/>
        </w:rPr>
        <w:t xml:space="preserve">ee </w:t>
      </w:r>
      <w:r w:rsidR="00AE78C0">
        <w:rPr>
          <w:rFonts w:ascii="Times New Roman" w:hAnsi="Times New Roman" w:cs="Times New Roman"/>
          <w:color w:val="000000" w:themeColor="text1"/>
          <w:sz w:val="24"/>
          <w:szCs w:val="24"/>
        </w:rPr>
        <w:t>S</w:t>
      </w:r>
      <w:r w:rsidR="00AE78C0" w:rsidRPr="00AE78C0">
        <w:rPr>
          <w:rFonts w:ascii="Times New Roman" w:hAnsi="Times New Roman" w:cs="Times New Roman"/>
          <w:color w:val="000000" w:themeColor="text1"/>
          <w:sz w:val="24"/>
          <w:szCs w:val="24"/>
        </w:rPr>
        <w:t xml:space="preserve">ection </w:t>
      </w:r>
      <w:r w:rsidR="00285D26" w:rsidRPr="00AE78C0">
        <w:rPr>
          <w:rFonts w:ascii="Times New Roman" w:hAnsi="Times New Roman" w:cs="Times New Roman"/>
          <w:color w:val="000000" w:themeColor="text1"/>
          <w:sz w:val="24"/>
          <w:szCs w:val="24"/>
        </w:rPr>
        <w:t>3)</w:t>
      </w:r>
      <w:r w:rsidR="009730B6" w:rsidRPr="00AE78C0">
        <w:rPr>
          <w:rFonts w:ascii="Times New Roman" w:hAnsi="Times New Roman" w:cs="Times New Roman"/>
          <w:color w:val="000000" w:themeColor="text1"/>
          <w:sz w:val="24"/>
          <w:szCs w:val="24"/>
        </w:rPr>
        <w:t>, the</w:t>
      </w:r>
      <w:r w:rsidR="00285D26" w:rsidRPr="00AE78C0">
        <w:rPr>
          <w:rFonts w:ascii="Times New Roman" w:hAnsi="Times New Roman" w:cs="Times New Roman"/>
          <w:color w:val="000000" w:themeColor="text1"/>
          <w:sz w:val="24"/>
          <w:szCs w:val="24"/>
        </w:rPr>
        <w:t xml:space="preserve"> </w:t>
      </w:r>
      <w:r w:rsidR="006F7B02" w:rsidRPr="00AE78C0">
        <w:rPr>
          <w:rFonts w:ascii="Times New Roman" w:hAnsi="Times New Roman" w:cs="Times New Roman"/>
          <w:color w:val="000000" w:themeColor="text1"/>
          <w:sz w:val="24"/>
          <w:szCs w:val="24"/>
        </w:rPr>
        <w:t xml:space="preserve">divergence of prices </w:t>
      </w:r>
      <w:r w:rsidR="00801965" w:rsidRPr="00AE78C0">
        <w:rPr>
          <w:rFonts w:ascii="Times New Roman" w:hAnsi="Times New Roman" w:cs="Times New Roman"/>
          <w:color w:val="000000" w:themeColor="text1"/>
          <w:sz w:val="24"/>
          <w:szCs w:val="24"/>
        </w:rPr>
        <w:t>between</w:t>
      </w:r>
      <w:r w:rsidR="006F7B02" w:rsidRPr="00AE78C0">
        <w:rPr>
          <w:rFonts w:ascii="Times New Roman" w:hAnsi="Times New Roman" w:cs="Times New Roman"/>
          <w:color w:val="000000" w:themeColor="text1"/>
          <w:sz w:val="24"/>
          <w:szCs w:val="24"/>
        </w:rPr>
        <w:t xml:space="preserve"> different locations could be dictated largely either by tran</w:t>
      </w:r>
      <w:r w:rsidR="006F7B02" w:rsidRPr="000539C0">
        <w:rPr>
          <w:rFonts w:ascii="Times New Roman" w:hAnsi="Times New Roman" w:cs="Times New Roman"/>
          <w:color w:val="000000" w:themeColor="text1"/>
          <w:sz w:val="24"/>
          <w:szCs w:val="24"/>
        </w:rPr>
        <w:t xml:space="preserve">sport </w:t>
      </w:r>
      <w:r w:rsidR="00A43E1F" w:rsidRPr="000539C0">
        <w:rPr>
          <w:rFonts w:ascii="Times New Roman" w:hAnsi="Times New Roman" w:cs="Times New Roman"/>
          <w:color w:val="000000" w:themeColor="text1"/>
          <w:sz w:val="24"/>
          <w:szCs w:val="24"/>
        </w:rPr>
        <w:t>tariffs</w:t>
      </w:r>
      <w:r w:rsidR="006F7B02" w:rsidRPr="00CD286E">
        <w:rPr>
          <w:rFonts w:ascii="Times New Roman" w:hAnsi="Times New Roman" w:cs="Times New Roman"/>
          <w:color w:val="000000" w:themeColor="text1"/>
          <w:sz w:val="24"/>
          <w:szCs w:val="24"/>
        </w:rPr>
        <w:t xml:space="preserve"> </w:t>
      </w:r>
      <w:r w:rsidR="00801965" w:rsidRPr="00CD286E">
        <w:rPr>
          <w:rFonts w:ascii="Times New Roman" w:hAnsi="Times New Roman" w:cs="Times New Roman"/>
          <w:color w:val="000000" w:themeColor="text1"/>
          <w:sz w:val="24"/>
          <w:szCs w:val="24"/>
        </w:rPr>
        <w:t>and/</w:t>
      </w:r>
      <w:r w:rsidR="006F7B02" w:rsidRPr="00CD286E">
        <w:rPr>
          <w:rFonts w:ascii="Times New Roman" w:hAnsi="Times New Roman" w:cs="Times New Roman"/>
          <w:color w:val="000000" w:themeColor="text1"/>
          <w:sz w:val="24"/>
          <w:szCs w:val="24"/>
        </w:rPr>
        <w:t xml:space="preserve">or non-trade barriers (lack of implementation </w:t>
      </w:r>
      <w:r w:rsidR="00136346" w:rsidRPr="00F029BE">
        <w:rPr>
          <w:rFonts w:ascii="Times New Roman" w:hAnsi="Times New Roman" w:cs="Times New Roman"/>
          <w:color w:val="000000" w:themeColor="text1"/>
          <w:sz w:val="24"/>
          <w:szCs w:val="24"/>
        </w:rPr>
        <w:t xml:space="preserve">and/or derogation from </w:t>
      </w:r>
      <w:r w:rsidR="003E5F8C" w:rsidRPr="00F029BE">
        <w:rPr>
          <w:rFonts w:ascii="Times New Roman" w:hAnsi="Times New Roman" w:cs="Times New Roman"/>
          <w:color w:val="000000" w:themeColor="text1"/>
          <w:sz w:val="24"/>
          <w:szCs w:val="24"/>
        </w:rPr>
        <w:t xml:space="preserve">certain rules of </w:t>
      </w:r>
      <w:r w:rsidR="00136346" w:rsidRPr="00F029BE">
        <w:rPr>
          <w:rFonts w:ascii="Times New Roman" w:hAnsi="Times New Roman" w:cs="Times New Roman"/>
          <w:color w:val="000000" w:themeColor="text1"/>
          <w:sz w:val="24"/>
          <w:szCs w:val="24"/>
        </w:rPr>
        <w:t>the Third Energy package, for example</w:t>
      </w:r>
      <w:r w:rsidR="006F7B02" w:rsidRPr="00F029BE">
        <w:rPr>
          <w:rFonts w:ascii="Times New Roman" w:hAnsi="Times New Roman" w:cs="Times New Roman"/>
          <w:color w:val="000000" w:themeColor="text1"/>
          <w:sz w:val="24"/>
          <w:szCs w:val="24"/>
        </w:rPr>
        <w:t>)</w:t>
      </w:r>
      <w:r w:rsidR="00136346" w:rsidRPr="00F029BE">
        <w:rPr>
          <w:rFonts w:ascii="Times New Roman" w:hAnsi="Times New Roman" w:cs="Times New Roman"/>
          <w:color w:val="000000" w:themeColor="text1"/>
          <w:sz w:val="24"/>
          <w:szCs w:val="24"/>
        </w:rPr>
        <w:t>.</w:t>
      </w:r>
      <w:r w:rsidR="006F7B02" w:rsidRPr="00F029BE">
        <w:rPr>
          <w:rFonts w:ascii="Times New Roman" w:hAnsi="Times New Roman" w:cs="Times New Roman"/>
          <w:color w:val="000000" w:themeColor="text1"/>
          <w:sz w:val="24"/>
          <w:szCs w:val="24"/>
        </w:rPr>
        <w:t xml:space="preserve"> </w:t>
      </w:r>
      <w:r w:rsidR="00465254" w:rsidRPr="00F029BE">
        <w:rPr>
          <w:rFonts w:ascii="Times New Roman" w:hAnsi="Times New Roman" w:cs="Times New Roman"/>
          <w:color w:val="000000" w:themeColor="text1"/>
          <w:sz w:val="24"/>
          <w:szCs w:val="24"/>
        </w:rPr>
        <w:t xml:space="preserve">The latter is monitored by the European authorities and </w:t>
      </w:r>
      <w:r w:rsidR="00DA6DFF" w:rsidRPr="00F029BE">
        <w:rPr>
          <w:rFonts w:ascii="Times New Roman" w:hAnsi="Times New Roman" w:cs="Times New Roman"/>
          <w:color w:val="000000" w:themeColor="text1"/>
          <w:sz w:val="24"/>
          <w:szCs w:val="24"/>
        </w:rPr>
        <w:t xml:space="preserve">subject to negotiations between the </w:t>
      </w:r>
      <w:r w:rsidR="00AE78C0">
        <w:rPr>
          <w:rFonts w:ascii="Times New Roman" w:hAnsi="Times New Roman" w:cs="Times New Roman"/>
          <w:color w:val="000000" w:themeColor="text1"/>
          <w:sz w:val="24"/>
          <w:szCs w:val="24"/>
        </w:rPr>
        <w:t>c</w:t>
      </w:r>
      <w:r w:rsidR="00AE78C0" w:rsidRPr="00AE78C0">
        <w:rPr>
          <w:rFonts w:ascii="Times New Roman" w:hAnsi="Times New Roman" w:cs="Times New Roman"/>
          <w:color w:val="000000" w:themeColor="text1"/>
          <w:sz w:val="24"/>
          <w:szCs w:val="24"/>
        </w:rPr>
        <w:t xml:space="preserve">ommission </w:t>
      </w:r>
      <w:r w:rsidR="00DA6DFF" w:rsidRPr="00AE78C0">
        <w:rPr>
          <w:rFonts w:ascii="Times New Roman" w:hAnsi="Times New Roman" w:cs="Times New Roman"/>
          <w:color w:val="000000" w:themeColor="text1"/>
          <w:sz w:val="24"/>
          <w:szCs w:val="24"/>
        </w:rPr>
        <w:t xml:space="preserve">and national authorities of each member states. </w:t>
      </w:r>
      <w:r w:rsidR="00AE78C0">
        <w:rPr>
          <w:rFonts w:ascii="Times New Roman" w:hAnsi="Times New Roman" w:cs="Times New Roman"/>
          <w:color w:val="000000" w:themeColor="text1"/>
          <w:sz w:val="24"/>
          <w:szCs w:val="24"/>
        </w:rPr>
        <w:t>T</w:t>
      </w:r>
      <w:r w:rsidR="00DA6DFF" w:rsidRPr="0056677D">
        <w:rPr>
          <w:rFonts w:ascii="Times New Roman" w:hAnsi="Times New Roman" w:cs="Times New Roman"/>
          <w:color w:val="000000" w:themeColor="text1"/>
          <w:sz w:val="24"/>
          <w:szCs w:val="24"/>
        </w:rPr>
        <w:t xml:space="preserve">ransport </w:t>
      </w:r>
      <w:r w:rsidR="008C44D5" w:rsidRPr="0056677D">
        <w:rPr>
          <w:rFonts w:ascii="Times New Roman" w:hAnsi="Times New Roman" w:cs="Times New Roman"/>
          <w:color w:val="000000" w:themeColor="text1"/>
          <w:sz w:val="24"/>
          <w:szCs w:val="24"/>
        </w:rPr>
        <w:t>tariffs</w:t>
      </w:r>
      <w:r w:rsidR="00AE78C0">
        <w:rPr>
          <w:rFonts w:ascii="Times New Roman" w:hAnsi="Times New Roman" w:cs="Times New Roman"/>
          <w:color w:val="000000" w:themeColor="text1"/>
          <w:sz w:val="24"/>
          <w:szCs w:val="24"/>
        </w:rPr>
        <w:t xml:space="preserve"> </w:t>
      </w:r>
      <w:r w:rsidR="00AE78C0" w:rsidRPr="0056677D">
        <w:rPr>
          <w:rFonts w:ascii="Times New Roman" w:hAnsi="Times New Roman" w:cs="Times New Roman"/>
          <w:color w:val="000000" w:themeColor="text1"/>
          <w:sz w:val="24"/>
          <w:szCs w:val="24"/>
        </w:rPr>
        <w:t>ha</w:t>
      </w:r>
      <w:r w:rsidR="00AE78C0">
        <w:rPr>
          <w:rFonts w:ascii="Times New Roman" w:hAnsi="Times New Roman" w:cs="Times New Roman"/>
          <w:color w:val="000000" w:themeColor="text1"/>
          <w:sz w:val="24"/>
          <w:szCs w:val="24"/>
        </w:rPr>
        <w:t>ve</w:t>
      </w:r>
      <w:r w:rsidR="00AE78C0" w:rsidRPr="0056677D">
        <w:rPr>
          <w:rFonts w:ascii="Times New Roman" w:hAnsi="Times New Roman" w:cs="Times New Roman"/>
          <w:color w:val="000000" w:themeColor="text1"/>
          <w:sz w:val="24"/>
          <w:szCs w:val="24"/>
        </w:rPr>
        <w:t xml:space="preserve"> </w:t>
      </w:r>
      <w:r w:rsidR="00A264DA" w:rsidRPr="0056677D">
        <w:rPr>
          <w:rFonts w:ascii="Times New Roman" w:hAnsi="Times New Roman" w:cs="Times New Roman"/>
          <w:color w:val="000000" w:themeColor="text1"/>
          <w:sz w:val="24"/>
          <w:szCs w:val="24"/>
        </w:rPr>
        <w:t>gained much of the attention in the recent debate about the future of gas market</w:t>
      </w:r>
      <w:r w:rsidR="00767436" w:rsidRPr="0056677D">
        <w:rPr>
          <w:rFonts w:ascii="Times New Roman" w:hAnsi="Times New Roman" w:cs="Times New Roman"/>
          <w:color w:val="000000" w:themeColor="text1"/>
          <w:sz w:val="24"/>
          <w:szCs w:val="24"/>
        </w:rPr>
        <w:t xml:space="preserve"> design</w:t>
      </w:r>
      <w:r w:rsidR="00A264DA" w:rsidRPr="00836D2F">
        <w:rPr>
          <w:rFonts w:ascii="Times New Roman" w:hAnsi="Times New Roman" w:cs="Times New Roman"/>
          <w:color w:val="000000" w:themeColor="text1"/>
          <w:sz w:val="24"/>
          <w:szCs w:val="24"/>
        </w:rPr>
        <w:t xml:space="preserve"> in Europe (</w:t>
      </w:r>
      <w:r w:rsidR="00AE78C0">
        <w:rPr>
          <w:rFonts w:ascii="Times New Roman" w:hAnsi="Times New Roman" w:cs="Times New Roman"/>
          <w:color w:val="000000" w:themeColor="text1"/>
          <w:sz w:val="24"/>
          <w:szCs w:val="24"/>
        </w:rPr>
        <w:t>see, e.g.</w:t>
      </w:r>
      <w:r w:rsidR="00A264DA" w:rsidRPr="00836D2F">
        <w:rPr>
          <w:rFonts w:ascii="Times New Roman" w:hAnsi="Times New Roman" w:cs="Times New Roman"/>
          <w:color w:val="000000" w:themeColor="text1"/>
          <w:sz w:val="24"/>
          <w:szCs w:val="24"/>
        </w:rPr>
        <w:t xml:space="preserve">, EC’s commissioned work </w:t>
      </w:r>
      <w:r w:rsidR="00D91178" w:rsidRPr="00836D2F">
        <w:rPr>
          <w:rFonts w:ascii="Times New Roman" w:hAnsi="Times New Roman" w:cs="Times New Roman"/>
          <w:i/>
          <w:color w:val="000000" w:themeColor="text1"/>
          <w:sz w:val="24"/>
          <w:szCs w:val="24"/>
        </w:rPr>
        <w:t xml:space="preserve">Study on Quo </w:t>
      </w:r>
      <w:proofErr w:type="spellStart"/>
      <w:r w:rsidR="00D91178" w:rsidRPr="00836D2F">
        <w:rPr>
          <w:rFonts w:ascii="Times New Roman" w:hAnsi="Times New Roman" w:cs="Times New Roman"/>
          <w:i/>
          <w:color w:val="000000" w:themeColor="text1"/>
          <w:sz w:val="24"/>
          <w:szCs w:val="24"/>
        </w:rPr>
        <w:t>vadis</w:t>
      </w:r>
      <w:proofErr w:type="spellEnd"/>
      <w:r w:rsidR="00D91178" w:rsidRPr="00836D2F">
        <w:rPr>
          <w:rFonts w:ascii="Times New Roman" w:hAnsi="Times New Roman" w:cs="Times New Roman"/>
          <w:i/>
          <w:color w:val="000000" w:themeColor="text1"/>
          <w:sz w:val="24"/>
          <w:szCs w:val="24"/>
        </w:rPr>
        <w:t xml:space="preserve"> gas market regulatory framework</w:t>
      </w:r>
      <w:r w:rsidR="00D91178" w:rsidRPr="00F60A11">
        <w:rPr>
          <w:rStyle w:val="FootnoteReference"/>
          <w:rFonts w:ascii="Times New Roman" w:hAnsi="Times New Roman" w:cs="Times New Roman"/>
          <w:color w:val="000000" w:themeColor="text1"/>
          <w:sz w:val="24"/>
          <w:szCs w:val="24"/>
        </w:rPr>
        <w:footnoteReference w:id="10"/>
      </w:r>
      <w:r w:rsidR="00A264DA" w:rsidRPr="00F60A11">
        <w:rPr>
          <w:rFonts w:ascii="Times New Roman" w:hAnsi="Times New Roman" w:cs="Times New Roman"/>
          <w:color w:val="000000" w:themeColor="text1"/>
          <w:sz w:val="24"/>
          <w:szCs w:val="24"/>
        </w:rPr>
        <w:t>)</w:t>
      </w:r>
      <w:r w:rsidR="002101B9" w:rsidRPr="0056677D">
        <w:rPr>
          <w:rFonts w:ascii="Times New Roman" w:hAnsi="Times New Roman" w:cs="Times New Roman"/>
          <w:color w:val="000000" w:themeColor="text1"/>
          <w:sz w:val="24"/>
          <w:szCs w:val="24"/>
        </w:rPr>
        <w:t>.</w:t>
      </w:r>
    </w:p>
    <w:p w14:paraId="30841175" w14:textId="301D7E81" w:rsidR="00CC3A7C" w:rsidRPr="000539C0" w:rsidRDefault="008A7BC3" w:rsidP="00660B3D">
      <w:pPr>
        <w:spacing w:line="360" w:lineRule="auto"/>
        <w:ind w:firstLine="567"/>
        <w:rPr>
          <w:rFonts w:ascii="Times New Roman" w:hAnsi="Times New Roman" w:cs="Times New Roman"/>
          <w:color w:val="000000" w:themeColor="text1"/>
          <w:sz w:val="24"/>
          <w:szCs w:val="24"/>
        </w:rPr>
      </w:pPr>
      <w:r w:rsidRPr="0056677D">
        <w:rPr>
          <w:rFonts w:ascii="Times New Roman" w:hAnsi="Times New Roman" w:cs="Times New Roman"/>
          <w:color w:val="000000" w:themeColor="text1"/>
          <w:sz w:val="24"/>
          <w:szCs w:val="24"/>
        </w:rPr>
        <w:t>The Third Energy Package</w:t>
      </w:r>
      <w:r w:rsidR="003C142C" w:rsidRPr="00836D2F">
        <w:rPr>
          <w:rFonts w:ascii="Times New Roman" w:hAnsi="Times New Roman" w:cs="Times New Roman"/>
          <w:color w:val="000000" w:themeColor="text1"/>
          <w:sz w:val="24"/>
          <w:szCs w:val="24"/>
        </w:rPr>
        <w:t xml:space="preserve"> stipulates, among other things, </w:t>
      </w:r>
      <w:r w:rsidR="00437F29" w:rsidRPr="00836D2F">
        <w:rPr>
          <w:rFonts w:ascii="Times New Roman" w:hAnsi="Times New Roman" w:cs="Times New Roman"/>
          <w:color w:val="000000" w:themeColor="text1"/>
          <w:sz w:val="24"/>
          <w:szCs w:val="24"/>
        </w:rPr>
        <w:t xml:space="preserve">the </w:t>
      </w:r>
      <w:r w:rsidR="003C142C" w:rsidRPr="00836D2F">
        <w:rPr>
          <w:rFonts w:ascii="Times New Roman" w:hAnsi="Times New Roman" w:cs="Times New Roman"/>
          <w:color w:val="000000" w:themeColor="text1"/>
          <w:sz w:val="24"/>
          <w:szCs w:val="24"/>
        </w:rPr>
        <w:t>creation of entry-exit (E/E) zones</w:t>
      </w:r>
      <w:r w:rsidR="004A7D89" w:rsidRPr="00836D2F">
        <w:rPr>
          <w:rFonts w:ascii="Times New Roman" w:hAnsi="Times New Roman" w:cs="Times New Roman"/>
          <w:color w:val="000000" w:themeColor="text1"/>
          <w:sz w:val="24"/>
          <w:szCs w:val="24"/>
        </w:rPr>
        <w:t xml:space="preserve"> managed by an independent transmission </w:t>
      </w:r>
      <w:r w:rsidR="004347C4" w:rsidRPr="00836D2F">
        <w:rPr>
          <w:rFonts w:ascii="Times New Roman" w:hAnsi="Times New Roman" w:cs="Times New Roman"/>
          <w:color w:val="000000" w:themeColor="text1"/>
          <w:sz w:val="24"/>
          <w:szCs w:val="24"/>
        </w:rPr>
        <w:t xml:space="preserve">system </w:t>
      </w:r>
      <w:r w:rsidR="004A7D89" w:rsidRPr="00836D2F">
        <w:rPr>
          <w:rFonts w:ascii="Times New Roman" w:hAnsi="Times New Roman" w:cs="Times New Roman"/>
          <w:color w:val="000000" w:themeColor="text1"/>
          <w:sz w:val="24"/>
          <w:szCs w:val="24"/>
        </w:rPr>
        <w:t>operator</w:t>
      </w:r>
      <w:r w:rsidR="002D674D" w:rsidRPr="00CE401B">
        <w:rPr>
          <w:rFonts w:ascii="Times New Roman" w:hAnsi="Times New Roman" w:cs="Times New Roman"/>
          <w:color w:val="000000" w:themeColor="text1"/>
          <w:sz w:val="24"/>
          <w:szCs w:val="24"/>
        </w:rPr>
        <w:t xml:space="preserve"> (TSO)</w:t>
      </w:r>
      <w:r w:rsidR="004A7D89" w:rsidRPr="00CE401B">
        <w:rPr>
          <w:rFonts w:ascii="Times New Roman" w:hAnsi="Times New Roman" w:cs="Times New Roman"/>
          <w:color w:val="000000" w:themeColor="text1"/>
          <w:sz w:val="24"/>
          <w:szCs w:val="24"/>
        </w:rPr>
        <w:t xml:space="preserve"> </w:t>
      </w:r>
      <w:r w:rsidR="000D3388" w:rsidRPr="00CE401B">
        <w:rPr>
          <w:rFonts w:ascii="Times New Roman" w:hAnsi="Times New Roman" w:cs="Times New Roman"/>
          <w:color w:val="000000" w:themeColor="text1"/>
          <w:sz w:val="24"/>
          <w:szCs w:val="24"/>
        </w:rPr>
        <w:t xml:space="preserve">and that </w:t>
      </w:r>
      <w:r w:rsidR="00745259" w:rsidRPr="004B5525">
        <w:rPr>
          <w:rFonts w:ascii="Times New Roman" w:hAnsi="Times New Roman" w:cs="Times New Roman"/>
          <w:color w:val="000000" w:themeColor="text1"/>
          <w:sz w:val="24"/>
          <w:szCs w:val="24"/>
        </w:rPr>
        <w:t>shippers can book entry and exit capacity rights independently</w:t>
      </w:r>
      <w:r w:rsidR="007A3E16" w:rsidRPr="004B5525">
        <w:rPr>
          <w:rFonts w:ascii="Times New Roman" w:hAnsi="Times New Roman" w:cs="Times New Roman"/>
          <w:color w:val="000000" w:themeColor="text1"/>
          <w:sz w:val="24"/>
          <w:szCs w:val="24"/>
        </w:rPr>
        <w:t xml:space="preserve">, effectively creating gas transport through zones instead of </w:t>
      </w:r>
      <w:r w:rsidR="00CE1757" w:rsidRPr="004B5525">
        <w:rPr>
          <w:rFonts w:ascii="Times New Roman" w:hAnsi="Times New Roman" w:cs="Times New Roman"/>
          <w:color w:val="000000" w:themeColor="text1"/>
          <w:sz w:val="24"/>
          <w:szCs w:val="24"/>
        </w:rPr>
        <w:t xml:space="preserve">contractual paths. </w:t>
      </w:r>
      <w:r w:rsidR="00143786" w:rsidRPr="004B5525">
        <w:rPr>
          <w:rFonts w:ascii="Times New Roman" w:hAnsi="Times New Roman" w:cs="Times New Roman"/>
          <w:color w:val="000000" w:themeColor="text1"/>
          <w:sz w:val="24"/>
          <w:szCs w:val="24"/>
        </w:rPr>
        <w:t>Each of t</w:t>
      </w:r>
      <w:r w:rsidR="00CE1757" w:rsidRPr="004B5525">
        <w:rPr>
          <w:rFonts w:ascii="Times New Roman" w:hAnsi="Times New Roman" w:cs="Times New Roman"/>
          <w:color w:val="000000" w:themeColor="text1"/>
          <w:sz w:val="24"/>
          <w:szCs w:val="24"/>
        </w:rPr>
        <w:t xml:space="preserve">hese transport zones </w:t>
      </w:r>
      <w:r w:rsidR="007466A9" w:rsidRPr="004B5525">
        <w:rPr>
          <w:rFonts w:ascii="Times New Roman" w:hAnsi="Times New Roman" w:cs="Times New Roman"/>
          <w:color w:val="000000" w:themeColor="text1"/>
          <w:sz w:val="24"/>
          <w:szCs w:val="24"/>
        </w:rPr>
        <w:t xml:space="preserve">are further supported by </w:t>
      </w:r>
      <w:r w:rsidR="00143786" w:rsidRPr="00CF247E">
        <w:rPr>
          <w:rFonts w:ascii="Times New Roman" w:hAnsi="Times New Roman" w:cs="Times New Roman"/>
          <w:color w:val="000000" w:themeColor="text1"/>
          <w:sz w:val="24"/>
          <w:szCs w:val="24"/>
        </w:rPr>
        <w:t>a virtual trading point</w:t>
      </w:r>
      <w:r w:rsidR="00143786" w:rsidRPr="00DE0337">
        <w:rPr>
          <w:rFonts w:ascii="Times New Roman" w:hAnsi="Times New Roman" w:cs="Times New Roman"/>
          <w:color w:val="000000" w:themeColor="text1"/>
          <w:sz w:val="24"/>
          <w:szCs w:val="24"/>
        </w:rPr>
        <w:t xml:space="preserve"> (hub</w:t>
      </w:r>
      <w:r w:rsidR="00B6496E" w:rsidRPr="00DE0337">
        <w:rPr>
          <w:rFonts w:ascii="Times New Roman" w:hAnsi="Times New Roman" w:cs="Times New Roman"/>
          <w:color w:val="000000" w:themeColor="text1"/>
          <w:sz w:val="24"/>
          <w:szCs w:val="24"/>
        </w:rPr>
        <w:t>s</w:t>
      </w:r>
      <w:r w:rsidR="00143786" w:rsidRPr="00DE0337">
        <w:rPr>
          <w:rFonts w:ascii="Times New Roman" w:hAnsi="Times New Roman" w:cs="Times New Roman"/>
          <w:color w:val="000000" w:themeColor="text1"/>
          <w:sz w:val="24"/>
          <w:szCs w:val="24"/>
        </w:rPr>
        <w:t>)</w:t>
      </w:r>
      <w:r w:rsidR="00D55778" w:rsidRPr="00DE0337">
        <w:rPr>
          <w:rFonts w:ascii="Times New Roman" w:hAnsi="Times New Roman" w:cs="Times New Roman"/>
          <w:color w:val="000000" w:themeColor="text1"/>
          <w:sz w:val="24"/>
          <w:szCs w:val="24"/>
        </w:rPr>
        <w:t xml:space="preserve"> </w:t>
      </w:r>
      <w:r w:rsidR="00D55778" w:rsidRPr="00DE0337">
        <w:rPr>
          <w:rFonts w:ascii="Times New Roman" w:hAnsi="Times New Roman" w:cs="Times New Roman"/>
          <w:color w:val="000000" w:themeColor="text1"/>
          <w:sz w:val="24"/>
          <w:szCs w:val="24"/>
        </w:rPr>
        <w:lastRenderedPageBreak/>
        <w:t>where gas can be freely traded among shippers who have entry and/or exit rights.</w:t>
      </w:r>
      <w:r w:rsidR="00917F4D" w:rsidRPr="007D2561">
        <w:rPr>
          <w:rFonts w:ascii="Times New Roman" w:hAnsi="Times New Roman" w:cs="Times New Roman"/>
          <w:color w:val="000000" w:themeColor="text1"/>
          <w:sz w:val="24"/>
          <w:szCs w:val="24"/>
        </w:rPr>
        <w:t xml:space="preserve"> </w:t>
      </w:r>
      <w:r w:rsidR="006A18FB" w:rsidRPr="007D2561">
        <w:rPr>
          <w:rFonts w:ascii="Times New Roman" w:hAnsi="Times New Roman" w:cs="Times New Roman"/>
          <w:color w:val="000000" w:themeColor="text1"/>
          <w:sz w:val="24"/>
          <w:szCs w:val="24"/>
        </w:rPr>
        <w:t xml:space="preserve">Geographically, </w:t>
      </w:r>
      <w:r w:rsidR="004F5C35" w:rsidRPr="007D2561">
        <w:rPr>
          <w:rFonts w:ascii="Times New Roman" w:hAnsi="Times New Roman" w:cs="Times New Roman"/>
          <w:color w:val="000000" w:themeColor="text1"/>
          <w:sz w:val="24"/>
          <w:szCs w:val="24"/>
        </w:rPr>
        <w:t>each of these</w:t>
      </w:r>
      <w:r w:rsidR="006A18FB" w:rsidRPr="007D2561">
        <w:rPr>
          <w:rFonts w:ascii="Times New Roman" w:hAnsi="Times New Roman" w:cs="Times New Roman"/>
          <w:color w:val="000000" w:themeColor="text1"/>
          <w:sz w:val="24"/>
          <w:szCs w:val="24"/>
        </w:rPr>
        <w:t xml:space="preserve"> zones roughly corresponds to </w:t>
      </w:r>
      <w:r w:rsidR="004F5C35" w:rsidRPr="00FC47AF">
        <w:rPr>
          <w:rFonts w:ascii="Times New Roman" w:hAnsi="Times New Roman" w:cs="Times New Roman"/>
          <w:color w:val="000000" w:themeColor="text1"/>
          <w:sz w:val="24"/>
          <w:szCs w:val="24"/>
        </w:rPr>
        <w:t>a</w:t>
      </w:r>
      <w:r w:rsidR="006A18FB" w:rsidRPr="00FC47AF">
        <w:rPr>
          <w:rFonts w:ascii="Times New Roman" w:hAnsi="Times New Roman" w:cs="Times New Roman"/>
          <w:color w:val="000000" w:themeColor="text1"/>
          <w:sz w:val="24"/>
          <w:szCs w:val="24"/>
        </w:rPr>
        <w:t xml:space="preserve"> national </w:t>
      </w:r>
      <w:r w:rsidR="002A24C7" w:rsidRPr="00FC47AF">
        <w:rPr>
          <w:rFonts w:ascii="Times New Roman" w:hAnsi="Times New Roman" w:cs="Times New Roman"/>
          <w:color w:val="000000" w:themeColor="text1"/>
          <w:sz w:val="24"/>
          <w:szCs w:val="24"/>
        </w:rPr>
        <w:t>market</w:t>
      </w:r>
      <w:r w:rsidR="00A72521" w:rsidRPr="00FC47AF">
        <w:rPr>
          <w:rFonts w:ascii="Times New Roman" w:hAnsi="Times New Roman" w:cs="Times New Roman"/>
          <w:color w:val="000000" w:themeColor="text1"/>
          <w:sz w:val="24"/>
          <w:szCs w:val="24"/>
        </w:rPr>
        <w:t xml:space="preserve"> of</w:t>
      </w:r>
      <w:r w:rsidR="008C16C6" w:rsidRPr="00AE78C0">
        <w:rPr>
          <w:rFonts w:ascii="Times New Roman" w:hAnsi="Times New Roman" w:cs="Times New Roman"/>
          <w:color w:val="000000" w:themeColor="text1"/>
          <w:sz w:val="24"/>
          <w:szCs w:val="24"/>
        </w:rPr>
        <w:t xml:space="preserve"> </w:t>
      </w:r>
      <w:proofErr w:type="gramStart"/>
      <w:r w:rsidR="008C16C6" w:rsidRPr="00AE78C0">
        <w:rPr>
          <w:rFonts w:ascii="Times New Roman" w:hAnsi="Times New Roman" w:cs="Times New Roman"/>
          <w:color w:val="000000" w:themeColor="text1"/>
          <w:sz w:val="24"/>
          <w:szCs w:val="24"/>
        </w:rPr>
        <w:t>a</w:t>
      </w:r>
      <w:proofErr w:type="gramEnd"/>
      <w:r w:rsidR="00A72521" w:rsidRPr="00AE78C0">
        <w:rPr>
          <w:rFonts w:ascii="Times New Roman" w:hAnsi="Times New Roman" w:cs="Times New Roman"/>
          <w:color w:val="000000" w:themeColor="text1"/>
          <w:sz w:val="24"/>
          <w:szCs w:val="24"/>
        </w:rPr>
        <w:t xml:space="preserve"> EU member state.</w:t>
      </w:r>
      <w:r w:rsidR="00603578" w:rsidRPr="00AE78C0">
        <w:rPr>
          <w:rFonts w:ascii="Times New Roman" w:hAnsi="Times New Roman" w:cs="Times New Roman"/>
          <w:color w:val="000000" w:themeColor="text1"/>
          <w:sz w:val="24"/>
          <w:szCs w:val="24"/>
        </w:rPr>
        <w:t xml:space="preserve"> Transmission tariffs </w:t>
      </w:r>
      <w:r w:rsidR="008A22E5" w:rsidRPr="00AE78C0">
        <w:rPr>
          <w:rFonts w:ascii="Times New Roman" w:hAnsi="Times New Roman" w:cs="Times New Roman"/>
          <w:color w:val="000000" w:themeColor="text1"/>
          <w:sz w:val="24"/>
          <w:szCs w:val="24"/>
        </w:rPr>
        <w:t>for the entry and exit capacities are designed for full (sunk) cost recovery</w:t>
      </w:r>
      <w:r w:rsidR="003614AE" w:rsidRPr="00AE78C0">
        <w:rPr>
          <w:rFonts w:ascii="Times New Roman" w:hAnsi="Times New Roman" w:cs="Times New Roman"/>
          <w:color w:val="000000" w:themeColor="text1"/>
          <w:sz w:val="24"/>
          <w:szCs w:val="24"/>
        </w:rPr>
        <w:t>: t</w:t>
      </w:r>
      <w:r w:rsidR="004C77E2" w:rsidRPr="00AE78C0">
        <w:rPr>
          <w:rFonts w:ascii="Times New Roman" w:hAnsi="Times New Roman" w:cs="Times New Roman"/>
          <w:color w:val="000000" w:themeColor="text1"/>
          <w:sz w:val="24"/>
          <w:szCs w:val="24"/>
        </w:rPr>
        <w:t>he tariffs depend on utili</w:t>
      </w:r>
      <w:r w:rsidR="00AC205F">
        <w:rPr>
          <w:rFonts w:ascii="Times New Roman" w:hAnsi="Times New Roman" w:cs="Times New Roman"/>
          <w:color w:val="000000" w:themeColor="text1"/>
          <w:sz w:val="24"/>
          <w:szCs w:val="24"/>
        </w:rPr>
        <w:t>s</w:t>
      </w:r>
      <w:r w:rsidR="004C77E2" w:rsidRPr="00AE78C0">
        <w:rPr>
          <w:rFonts w:ascii="Times New Roman" w:hAnsi="Times New Roman" w:cs="Times New Roman"/>
          <w:color w:val="000000" w:themeColor="text1"/>
          <w:sz w:val="24"/>
          <w:szCs w:val="24"/>
        </w:rPr>
        <w:t xml:space="preserve">ation of </w:t>
      </w:r>
      <w:r w:rsidR="00A47792" w:rsidRPr="000539C0">
        <w:rPr>
          <w:rFonts w:ascii="Times New Roman" w:hAnsi="Times New Roman" w:cs="Times New Roman"/>
          <w:color w:val="000000" w:themeColor="text1"/>
          <w:sz w:val="24"/>
          <w:szCs w:val="24"/>
        </w:rPr>
        <w:t xml:space="preserve">the entire gas network of each transport zone. </w:t>
      </w:r>
    </w:p>
    <w:p w14:paraId="0371E582" w14:textId="020B4CCA" w:rsidR="00E91C33" w:rsidRPr="00836D2F" w:rsidRDefault="00E91C33" w:rsidP="00660B3D">
      <w:pPr>
        <w:spacing w:line="360" w:lineRule="auto"/>
        <w:ind w:firstLine="567"/>
        <w:rPr>
          <w:rFonts w:ascii="Times New Roman" w:hAnsi="Times New Roman" w:cs="Times New Roman"/>
          <w:color w:val="000000" w:themeColor="text1"/>
          <w:sz w:val="24"/>
          <w:szCs w:val="24"/>
        </w:rPr>
      </w:pPr>
      <w:r w:rsidRPr="000539C0">
        <w:rPr>
          <w:rFonts w:ascii="Times New Roman" w:hAnsi="Times New Roman" w:cs="Times New Roman"/>
          <w:color w:val="000000" w:themeColor="text1"/>
          <w:sz w:val="24"/>
          <w:szCs w:val="24"/>
        </w:rPr>
        <w:t xml:space="preserve">Thus, </w:t>
      </w:r>
      <w:r w:rsidR="00B01F99" w:rsidRPr="000539C0">
        <w:rPr>
          <w:rFonts w:ascii="Times New Roman" w:hAnsi="Times New Roman" w:cs="Times New Roman"/>
          <w:color w:val="000000" w:themeColor="text1"/>
          <w:sz w:val="24"/>
          <w:szCs w:val="24"/>
        </w:rPr>
        <w:t>a principal reason</w:t>
      </w:r>
      <w:r w:rsidRPr="00CD286E">
        <w:rPr>
          <w:rFonts w:ascii="Times New Roman" w:hAnsi="Times New Roman" w:cs="Times New Roman"/>
          <w:color w:val="000000" w:themeColor="text1"/>
          <w:sz w:val="24"/>
          <w:szCs w:val="24"/>
        </w:rPr>
        <w:t xml:space="preserve"> that location price spreads between different European gas hubs </w:t>
      </w:r>
      <w:r w:rsidR="00B01F99" w:rsidRPr="00CD286E">
        <w:rPr>
          <w:rFonts w:ascii="Times New Roman" w:hAnsi="Times New Roman" w:cs="Times New Roman"/>
          <w:color w:val="000000" w:themeColor="text1"/>
          <w:sz w:val="24"/>
          <w:szCs w:val="24"/>
        </w:rPr>
        <w:t>are</w:t>
      </w:r>
      <w:r w:rsidRPr="00CD286E">
        <w:rPr>
          <w:rFonts w:ascii="Times New Roman" w:hAnsi="Times New Roman" w:cs="Times New Roman"/>
          <w:color w:val="000000" w:themeColor="text1"/>
          <w:sz w:val="24"/>
          <w:szCs w:val="24"/>
        </w:rPr>
        <w:t xml:space="preserve"> below </w:t>
      </w:r>
      <w:r w:rsidR="00B01F99" w:rsidRPr="00F029BE">
        <w:rPr>
          <w:rFonts w:ascii="Times New Roman" w:hAnsi="Times New Roman" w:cs="Times New Roman"/>
          <w:color w:val="000000" w:themeColor="text1"/>
          <w:sz w:val="24"/>
          <w:szCs w:val="24"/>
        </w:rPr>
        <w:t xml:space="preserve">cross-border </w:t>
      </w:r>
      <w:r w:rsidRPr="00F029BE">
        <w:rPr>
          <w:rFonts w:ascii="Times New Roman" w:hAnsi="Times New Roman" w:cs="Times New Roman"/>
          <w:color w:val="000000" w:themeColor="text1"/>
          <w:sz w:val="24"/>
          <w:szCs w:val="24"/>
        </w:rPr>
        <w:t>transport tariff</w:t>
      </w:r>
      <w:r w:rsidR="00B01F99" w:rsidRPr="00F029BE">
        <w:rPr>
          <w:rFonts w:ascii="Times New Roman" w:hAnsi="Times New Roman" w:cs="Times New Roman"/>
          <w:color w:val="000000" w:themeColor="text1"/>
          <w:sz w:val="24"/>
          <w:szCs w:val="24"/>
        </w:rPr>
        <w:t>s</w:t>
      </w:r>
      <w:r w:rsidRPr="00F029BE">
        <w:rPr>
          <w:rFonts w:ascii="Times New Roman" w:hAnsi="Times New Roman" w:cs="Times New Roman"/>
          <w:color w:val="000000" w:themeColor="text1"/>
          <w:sz w:val="24"/>
          <w:szCs w:val="24"/>
        </w:rPr>
        <w:t xml:space="preserve"> is </w:t>
      </w:r>
      <w:r w:rsidR="00B01F99" w:rsidRPr="00F029BE">
        <w:rPr>
          <w:rFonts w:ascii="Times New Roman" w:hAnsi="Times New Roman" w:cs="Times New Roman"/>
          <w:color w:val="000000" w:themeColor="text1"/>
          <w:sz w:val="24"/>
          <w:szCs w:val="24"/>
        </w:rPr>
        <w:t>because suppliers and shippers hold long-term capacity bookings and regard them as sunk costs. Therefore, existing cross-border gas trade</w:t>
      </w:r>
      <w:r w:rsidR="001637B7" w:rsidRPr="00F029BE">
        <w:rPr>
          <w:rFonts w:ascii="Times New Roman" w:hAnsi="Times New Roman" w:cs="Times New Roman"/>
          <w:color w:val="000000" w:themeColor="text1"/>
          <w:sz w:val="24"/>
          <w:szCs w:val="24"/>
        </w:rPr>
        <w:t xml:space="preserve"> in Europe</w:t>
      </w:r>
      <w:r w:rsidR="00B01F99" w:rsidRPr="00F029BE">
        <w:rPr>
          <w:rFonts w:ascii="Times New Roman" w:hAnsi="Times New Roman" w:cs="Times New Roman"/>
          <w:color w:val="000000" w:themeColor="text1"/>
          <w:sz w:val="24"/>
          <w:szCs w:val="24"/>
        </w:rPr>
        <w:t xml:space="preserve"> is largely influenced by short-run marginal cost of moving gas between hubs. In the process of liberalization and unbundling network activities from competitive activities, national authorities and incumbent gas suppliers have </w:t>
      </w:r>
      <w:r w:rsidR="00595C30" w:rsidRPr="00F029BE">
        <w:rPr>
          <w:rFonts w:ascii="Times New Roman" w:hAnsi="Times New Roman" w:cs="Times New Roman"/>
          <w:color w:val="000000" w:themeColor="text1"/>
          <w:sz w:val="24"/>
          <w:szCs w:val="24"/>
        </w:rPr>
        <w:t>agreed</w:t>
      </w:r>
      <w:r w:rsidR="00B01F99" w:rsidRPr="00F029BE">
        <w:rPr>
          <w:rFonts w:ascii="Times New Roman" w:hAnsi="Times New Roman" w:cs="Times New Roman"/>
          <w:color w:val="000000" w:themeColor="text1"/>
          <w:sz w:val="24"/>
          <w:szCs w:val="24"/>
        </w:rPr>
        <w:t xml:space="preserve"> to book </w:t>
      </w:r>
      <w:r w:rsidR="00595C30" w:rsidRPr="00F029BE">
        <w:rPr>
          <w:rFonts w:ascii="Times New Roman" w:hAnsi="Times New Roman" w:cs="Times New Roman"/>
          <w:color w:val="000000" w:themeColor="text1"/>
          <w:sz w:val="24"/>
          <w:szCs w:val="24"/>
        </w:rPr>
        <w:t xml:space="preserve">on a long-term basis </w:t>
      </w:r>
      <w:proofErr w:type="gramStart"/>
      <w:r w:rsidR="000539C0">
        <w:rPr>
          <w:rFonts w:ascii="Times New Roman" w:hAnsi="Times New Roman" w:cs="Times New Roman"/>
          <w:color w:val="000000" w:themeColor="text1"/>
          <w:sz w:val="24"/>
          <w:szCs w:val="24"/>
        </w:rPr>
        <w:t xml:space="preserve">the </w:t>
      </w:r>
      <w:r w:rsidR="00B01F99" w:rsidRPr="000539C0">
        <w:rPr>
          <w:rFonts w:ascii="Times New Roman" w:hAnsi="Times New Roman" w:cs="Times New Roman"/>
          <w:color w:val="000000" w:themeColor="text1"/>
          <w:sz w:val="24"/>
          <w:szCs w:val="24"/>
        </w:rPr>
        <w:t>majority of</w:t>
      </w:r>
      <w:proofErr w:type="gramEnd"/>
      <w:r w:rsidR="00B01F99" w:rsidRPr="000539C0">
        <w:rPr>
          <w:rFonts w:ascii="Times New Roman" w:hAnsi="Times New Roman" w:cs="Times New Roman"/>
          <w:color w:val="000000" w:themeColor="text1"/>
          <w:sz w:val="24"/>
          <w:szCs w:val="24"/>
        </w:rPr>
        <w:t xml:space="preserve"> entry and exit capacities in their respective transport zones to underwrite the utili</w:t>
      </w:r>
      <w:r w:rsidR="00AC205F">
        <w:rPr>
          <w:rFonts w:ascii="Times New Roman" w:hAnsi="Times New Roman" w:cs="Times New Roman"/>
          <w:color w:val="000000" w:themeColor="text1"/>
          <w:sz w:val="24"/>
          <w:szCs w:val="24"/>
        </w:rPr>
        <w:t>s</w:t>
      </w:r>
      <w:r w:rsidR="00B01F99" w:rsidRPr="000539C0">
        <w:rPr>
          <w:rFonts w:ascii="Times New Roman" w:hAnsi="Times New Roman" w:cs="Times New Roman"/>
          <w:color w:val="000000" w:themeColor="text1"/>
          <w:sz w:val="24"/>
          <w:szCs w:val="24"/>
        </w:rPr>
        <w:t>ation of their respective gas</w:t>
      </w:r>
      <w:r w:rsidR="00863EC8" w:rsidRPr="000539C0">
        <w:rPr>
          <w:rFonts w:ascii="Times New Roman" w:hAnsi="Times New Roman" w:cs="Times New Roman"/>
          <w:color w:val="000000" w:themeColor="text1"/>
          <w:sz w:val="24"/>
          <w:szCs w:val="24"/>
        </w:rPr>
        <w:t xml:space="preserve"> transmission</w:t>
      </w:r>
      <w:r w:rsidR="00B01F99" w:rsidRPr="000539C0">
        <w:rPr>
          <w:rFonts w:ascii="Times New Roman" w:hAnsi="Times New Roman" w:cs="Times New Roman"/>
          <w:color w:val="000000" w:themeColor="text1"/>
          <w:sz w:val="24"/>
          <w:szCs w:val="24"/>
        </w:rPr>
        <w:t xml:space="preserve"> network</w:t>
      </w:r>
      <w:r w:rsidR="004437F4" w:rsidRPr="00CD286E">
        <w:rPr>
          <w:rFonts w:ascii="Times New Roman" w:hAnsi="Times New Roman" w:cs="Times New Roman"/>
          <w:color w:val="000000" w:themeColor="text1"/>
          <w:sz w:val="24"/>
          <w:szCs w:val="24"/>
        </w:rPr>
        <w:t>s</w:t>
      </w:r>
      <w:r w:rsidR="00B01F99" w:rsidRPr="00CD286E">
        <w:rPr>
          <w:rFonts w:ascii="Times New Roman" w:hAnsi="Times New Roman" w:cs="Times New Roman"/>
          <w:color w:val="000000" w:themeColor="text1"/>
          <w:sz w:val="24"/>
          <w:szCs w:val="24"/>
        </w:rPr>
        <w:t xml:space="preserve">. </w:t>
      </w:r>
      <w:r w:rsidR="004437F4" w:rsidRPr="00CD286E">
        <w:rPr>
          <w:rFonts w:ascii="Times New Roman" w:hAnsi="Times New Roman" w:cs="Times New Roman"/>
          <w:color w:val="000000" w:themeColor="text1"/>
          <w:sz w:val="24"/>
          <w:szCs w:val="24"/>
        </w:rPr>
        <w:t>However, given that European gas</w:t>
      </w:r>
      <w:r w:rsidR="00B01F99" w:rsidRPr="00CD286E">
        <w:rPr>
          <w:rFonts w:ascii="Times New Roman" w:hAnsi="Times New Roman" w:cs="Times New Roman"/>
          <w:color w:val="000000" w:themeColor="text1"/>
          <w:sz w:val="24"/>
          <w:szCs w:val="24"/>
        </w:rPr>
        <w:t xml:space="preserve"> network </w:t>
      </w:r>
      <w:r w:rsidR="00B14789" w:rsidRPr="003D2C40">
        <w:rPr>
          <w:rFonts w:ascii="Times New Roman" w:hAnsi="Times New Roman" w:cs="Times New Roman"/>
          <w:color w:val="000000" w:themeColor="text1"/>
          <w:sz w:val="24"/>
          <w:szCs w:val="24"/>
        </w:rPr>
        <w:t xml:space="preserve">and supply structure </w:t>
      </w:r>
      <w:r w:rsidR="000539C0">
        <w:rPr>
          <w:rFonts w:ascii="Times New Roman" w:hAnsi="Times New Roman" w:cs="Times New Roman"/>
          <w:color w:val="000000" w:themeColor="text1"/>
          <w:sz w:val="24"/>
          <w:szCs w:val="24"/>
        </w:rPr>
        <w:t>were</w:t>
      </w:r>
      <w:r w:rsidR="000539C0" w:rsidRPr="000539C0">
        <w:rPr>
          <w:rFonts w:ascii="Times New Roman" w:hAnsi="Times New Roman" w:cs="Times New Roman"/>
          <w:color w:val="000000" w:themeColor="text1"/>
          <w:sz w:val="24"/>
          <w:szCs w:val="24"/>
        </w:rPr>
        <w:t xml:space="preserve"> </w:t>
      </w:r>
      <w:r w:rsidR="00B01F99" w:rsidRPr="000539C0">
        <w:rPr>
          <w:rFonts w:ascii="Times New Roman" w:hAnsi="Times New Roman" w:cs="Times New Roman"/>
          <w:color w:val="000000" w:themeColor="text1"/>
          <w:sz w:val="24"/>
          <w:szCs w:val="24"/>
        </w:rPr>
        <w:t>built largely based on the view of expanding gas demand in Europe</w:t>
      </w:r>
      <w:r w:rsidR="004437F4" w:rsidRPr="000539C0">
        <w:rPr>
          <w:rFonts w:ascii="Times New Roman" w:hAnsi="Times New Roman" w:cs="Times New Roman"/>
          <w:color w:val="000000" w:themeColor="text1"/>
          <w:sz w:val="24"/>
          <w:szCs w:val="24"/>
        </w:rPr>
        <w:t xml:space="preserve"> (see </w:t>
      </w:r>
      <w:r w:rsidR="00AE301D" w:rsidRPr="0056677D">
        <w:rPr>
          <w:rFonts w:ascii="Times New Roman" w:hAnsi="Times New Roman" w:cs="Times New Roman"/>
          <w:color w:val="000000" w:themeColor="text1"/>
          <w:sz w:val="24"/>
          <w:szCs w:val="24"/>
        </w:rPr>
        <w:fldChar w:fldCharType="begin"/>
      </w:r>
      <w:r w:rsidR="00AE301D" w:rsidRPr="00F029BE">
        <w:rPr>
          <w:rFonts w:ascii="Times New Roman" w:hAnsi="Times New Roman" w:cs="Times New Roman"/>
          <w:color w:val="000000" w:themeColor="text1"/>
          <w:sz w:val="24"/>
          <w:szCs w:val="24"/>
        </w:rPr>
        <w:instrText xml:space="preserve"> REF _Ref520280473 \h </w:instrText>
      </w:r>
      <w:r w:rsidR="00AE301D" w:rsidRPr="0056677D">
        <w:rPr>
          <w:rFonts w:ascii="Times New Roman" w:hAnsi="Times New Roman" w:cs="Times New Roman"/>
          <w:color w:val="000000" w:themeColor="text1"/>
          <w:sz w:val="24"/>
          <w:szCs w:val="24"/>
        </w:rPr>
      </w:r>
      <w:r w:rsidR="00AE301D" w:rsidRPr="0056677D">
        <w:rPr>
          <w:rFonts w:ascii="Times New Roman" w:hAnsi="Times New Roman" w:cs="Times New Roman"/>
          <w:color w:val="000000" w:themeColor="text1"/>
          <w:sz w:val="24"/>
          <w:szCs w:val="24"/>
        </w:rPr>
        <w:fldChar w:fldCharType="separate"/>
      </w:r>
      <w:r w:rsidR="00A66F72" w:rsidRPr="0056677D">
        <w:rPr>
          <w:rFonts w:ascii="Times New Roman" w:hAnsi="Times New Roman" w:cs="Times New Roman"/>
          <w:color w:val="000000" w:themeColor="text1"/>
          <w:sz w:val="24"/>
          <w:szCs w:val="24"/>
        </w:rPr>
        <w:t xml:space="preserve">Figure </w:t>
      </w:r>
      <w:r w:rsidR="00A66F72" w:rsidRPr="0056677D">
        <w:rPr>
          <w:rFonts w:ascii="Times New Roman" w:hAnsi="Times New Roman" w:cs="Times New Roman"/>
          <w:noProof/>
          <w:color w:val="000000" w:themeColor="text1"/>
          <w:sz w:val="24"/>
          <w:szCs w:val="24"/>
        </w:rPr>
        <w:t>2</w:t>
      </w:r>
      <w:r w:rsidR="00AE301D" w:rsidRPr="0056677D">
        <w:rPr>
          <w:rFonts w:ascii="Times New Roman" w:hAnsi="Times New Roman" w:cs="Times New Roman"/>
          <w:color w:val="000000" w:themeColor="text1"/>
          <w:sz w:val="24"/>
          <w:szCs w:val="24"/>
        </w:rPr>
        <w:fldChar w:fldCharType="end"/>
      </w:r>
      <w:r w:rsidR="00AE301D" w:rsidRPr="00F60A11">
        <w:rPr>
          <w:rFonts w:ascii="Times New Roman" w:hAnsi="Times New Roman" w:cs="Times New Roman"/>
          <w:color w:val="000000" w:themeColor="text1"/>
          <w:sz w:val="24"/>
          <w:szCs w:val="24"/>
        </w:rPr>
        <w:t xml:space="preserve"> </w:t>
      </w:r>
      <w:r w:rsidR="00AE301D" w:rsidRPr="0056677D">
        <w:rPr>
          <w:rFonts w:ascii="Times New Roman" w:hAnsi="Times New Roman" w:cs="Times New Roman"/>
          <w:color w:val="000000" w:themeColor="text1"/>
          <w:sz w:val="24"/>
          <w:szCs w:val="24"/>
        </w:rPr>
        <w:t xml:space="preserve">and </w:t>
      </w:r>
      <w:r w:rsidR="00AE301D" w:rsidRPr="0056677D">
        <w:rPr>
          <w:rFonts w:ascii="Times New Roman" w:hAnsi="Times New Roman" w:cs="Times New Roman"/>
          <w:color w:val="000000" w:themeColor="text1"/>
          <w:sz w:val="24"/>
          <w:szCs w:val="24"/>
        </w:rPr>
        <w:fldChar w:fldCharType="begin"/>
      </w:r>
      <w:r w:rsidR="00AE301D" w:rsidRPr="00F029BE">
        <w:rPr>
          <w:rFonts w:ascii="Times New Roman" w:hAnsi="Times New Roman" w:cs="Times New Roman"/>
          <w:color w:val="000000" w:themeColor="text1"/>
          <w:sz w:val="24"/>
          <w:szCs w:val="24"/>
        </w:rPr>
        <w:instrText xml:space="preserve"> REF _Ref520194554 \h </w:instrText>
      </w:r>
      <w:r w:rsidR="00AE301D" w:rsidRPr="0056677D">
        <w:rPr>
          <w:rFonts w:ascii="Times New Roman" w:hAnsi="Times New Roman" w:cs="Times New Roman"/>
          <w:color w:val="000000" w:themeColor="text1"/>
          <w:sz w:val="24"/>
          <w:szCs w:val="24"/>
        </w:rPr>
      </w:r>
      <w:r w:rsidR="00AE301D" w:rsidRPr="0056677D">
        <w:rPr>
          <w:rFonts w:ascii="Times New Roman" w:hAnsi="Times New Roman" w:cs="Times New Roman"/>
          <w:color w:val="000000" w:themeColor="text1"/>
          <w:sz w:val="24"/>
          <w:szCs w:val="24"/>
        </w:rPr>
        <w:fldChar w:fldCharType="separate"/>
      </w:r>
      <w:r w:rsidR="00A66F72" w:rsidRPr="0056677D">
        <w:rPr>
          <w:rFonts w:ascii="Times New Roman" w:hAnsi="Times New Roman" w:cs="Times New Roman"/>
          <w:color w:val="000000" w:themeColor="text1"/>
          <w:sz w:val="24"/>
          <w:szCs w:val="24"/>
        </w:rPr>
        <w:t xml:space="preserve">Table </w:t>
      </w:r>
      <w:r w:rsidR="00A66F72" w:rsidRPr="0056677D">
        <w:rPr>
          <w:rFonts w:ascii="Times New Roman" w:hAnsi="Times New Roman" w:cs="Times New Roman"/>
          <w:noProof/>
          <w:color w:val="000000" w:themeColor="text1"/>
          <w:sz w:val="24"/>
          <w:szCs w:val="24"/>
        </w:rPr>
        <w:t>1</w:t>
      </w:r>
      <w:r w:rsidR="00AE301D" w:rsidRPr="0056677D">
        <w:rPr>
          <w:rFonts w:ascii="Times New Roman" w:hAnsi="Times New Roman" w:cs="Times New Roman"/>
          <w:color w:val="000000" w:themeColor="text1"/>
          <w:sz w:val="24"/>
          <w:szCs w:val="24"/>
        </w:rPr>
        <w:fldChar w:fldCharType="end"/>
      </w:r>
      <w:r w:rsidR="004437F4" w:rsidRPr="00F60A11">
        <w:rPr>
          <w:rFonts w:ascii="Times New Roman" w:hAnsi="Times New Roman" w:cs="Times New Roman"/>
          <w:color w:val="000000" w:themeColor="text1"/>
          <w:sz w:val="24"/>
          <w:szCs w:val="24"/>
        </w:rPr>
        <w:t>)</w:t>
      </w:r>
      <w:r w:rsidR="00595C30" w:rsidRPr="0056677D">
        <w:rPr>
          <w:rFonts w:ascii="Times New Roman" w:hAnsi="Times New Roman" w:cs="Times New Roman"/>
          <w:color w:val="000000" w:themeColor="text1"/>
          <w:sz w:val="24"/>
          <w:szCs w:val="24"/>
        </w:rPr>
        <w:t>,</w:t>
      </w:r>
      <w:r w:rsidR="00B14789" w:rsidRPr="0056677D">
        <w:rPr>
          <w:rFonts w:ascii="Times New Roman" w:hAnsi="Times New Roman" w:cs="Times New Roman"/>
          <w:color w:val="000000" w:themeColor="text1"/>
          <w:sz w:val="24"/>
          <w:szCs w:val="24"/>
        </w:rPr>
        <w:t xml:space="preserve"> once these long-term transport capacity bookings expire (</w:t>
      </w:r>
      <w:r w:rsidR="00AC205F" w:rsidRPr="0056677D">
        <w:rPr>
          <w:rFonts w:ascii="Times New Roman" w:hAnsi="Times New Roman" w:cs="Times New Roman"/>
          <w:color w:val="000000" w:themeColor="text1"/>
          <w:sz w:val="24"/>
          <w:szCs w:val="24"/>
        </w:rPr>
        <w:t>mid</w:t>
      </w:r>
      <w:r w:rsidR="00AC205F">
        <w:rPr>
          <w:rFonts w:ascii="Times New Roman" w:hAnsi="Times New Roman" w:cs="Times New Roman"/>
          <w:color w:val="000000" w:themeColor="text1"/>
          <w:sz w:val="24"/>
          <w:szCs w:val="24"/>
        </w:rPr>
        <w:t>-</w:t>
      </w:r>
      <w:r w:rsidR="00B14789" w:rsidRPr="0056677D">
        <w:rPr>
          <w:rFonts w:ascii="Times New Roman" w:hAnsi="Times New Roman" w:cs="Times New Roman"/>
          <w:color w:val="000000" w:themeColor="text1"/>
          <w:sz w:val="24"/>
          <w:szCs w:val="24"/>
        </w:rPr>
        <w:t>2020s)</w:t>
      </w:r>
      <w:r w:rsidR="000539C0">
        <w:rPr>
          <w:rFonts w:ascii="Times New Roman" w:hAnsi="Times New Roman" w:cs="Times New Roman"/>
          <w:color w:val="000000" w:themeColor="text1"/>
          <w:sz w:val="24"/>
          <w:szCs w:val="24"/>
        </w:rPr>
        <w:t>,</w:t>
      </w:r>
      <w:r w:rsidR="00B14789" w:rsidRPr="0056677D">
        <w:rPr>
          <w:rFonts w:ascii="Times New Roman" w:hAnsi="Times New Roman" w:cs="Times New Roman"/>
          <w:color w:val="000000" w:themeColor="text1"/>
          <w:sz w:val="24"/>
          <w:szCs w:val="24"/>
        </w:rPr>
        <w:t xml:space="preserve"> locational </w:t>
      </w:r>
      <w:r w:rsidR="006B649C" w:rsidRPr="0056677D">
        <w:rPr>
          <w:rFonts w:ascii="Times New Roman" w:hAnsi="Times New Roman" w:cs="Times New Roman"/>
          <w:color w:val="000000" w:themeColor="text1"/>
          <w:sz w:val="24"/>
          <w:szCs w:val="24"/>
        </w:rPr>
        <w:t xml:space="preserve">price spreads could diverge to </w:t>
      </w:r>
      <w:r w:rsidR="00B14789" w:rsidRPr="00836D2F">
        <w:rPr>
          <w:rFonts w:ascii="Times New Roman" w:hAnsi="Times New Roman" w:cs="Times New Roman"/>
          <w:color w:val="000000" w:themeColor="text1"/>
          <w:sz w:val="24"/>
          <w:szCs w:val="24"/>
        </w:rPr>
        <w:t>reflect full cost-recovery transport tariffs</w:t>
      </w:r>
      <w:r w:rsidR="00595C30" w:rsidRPr="00836D2F">
        <w:rPr>
          <w:rFonts w:ascii="Times New Roman" w:hAnsi="Times New Roman" w:cs="Times New Roman"/>
          <w:color w:val="000000" w:themeColor="text1"/>
          <w:sz w:val="24"/>
          <w:szCs w:val="24"/>
        </w:rPr>
        <w:t xml:space="preserve"> between transport zones.</w:t>
      </w:r>
    </w:p>
    <w:p w14:paraId="63E4FA25" w14:textId="72D23E0E" w:rsidR="00E91C33" w:rsidRPr="00F60A11" w:rsidRDefault="005E1AA3" w:rsidP="00A165DB">
      <w:pPr>
        <w:pStyle w:val="NoSpacing"/>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F40B1F3" wp14:editId="48E76FD6">
            <wp:extent cx="5040000" cy="302958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3029584"/>
                    </a:xfrm>
                    <a:prstGeom prst="rect">
                      <a:avLst/>
                    </a:prstGeom>
                    <a:noFill/>
                  </pic:spPr>
                </pic:pic>
              </a:graphicData>
            </a:graphic>
          </wp:inline>
        </w:drawing>
      </w:r>
    </w:p>
    <w:p w14:paraId="5C2894E8" w14:textId="757E91B3" w:rsidR="00C338FE" w:rsidRPr="000539C0" w:rsidRDefault="00AE301D" w:rsidP="00AF51DB">
      <w:pPr>
        <w:pStyle w:val="Caption"/>
        <w:rPr>
          <w:rFonts w:ascii="Times New Roman" w:hAnsi="Times New Roman" w:cs="Times New Roman"/>
          <w:b w:val="0"/>
          <w:color w:val="000000" w:themeColor="text1"/>
          <w:sz w:val="24"/>
          <w:szCs w:val="24"/>
        </w:rPr>
      </w:pPr>
      <w:bookmarkStart w:id="7" w:name="_Ref520280473"/>
      <w:r w:rsidRPr="0056677D">
        <w:rPr>
          <w:rFonts w:ascii="Times New Roman" w:hAnsi="Times New Roman" w:cs="Times New Roman"/>
          <w:color w:val="000000" w:themeColor="text1"/>
          <w:sz w:val="24"/>
          <w:szCs w:val="24"/>
        </w:rPr>
        <w:t xml:space="preserve">Figure </w:t>
      </w:r>
      <w:r w:rsidRPr="00F029BE">
        <w:rPr>
          <w:rFonts w:ascii="Times New Roman" w:hAnsi="Times New Roman" w:cs="Times New Roman"/>
          <w:color w:val="000000" w:themeColor="text1"/>
          <w:sz w:val="24"/>
          <w:szCs w:val="24"/>
        </w:rPr>
        <w:fldChar w:fldCharType="begin"/>
      </w:r>
      <w:r w:rsidRPr="00F029BE">
        <w:rPr>
          <w:rFonts w:ascii="Times New Roman" w:hAnsi="Times New Roman" w:cs="Times New Roman"/>
          <w:color w:val="000000" w:themeColor="text1"/>
          <w:sz w:val="24"/>
          <w:szCs w:val="24"/>
        </w:rPr>
        <w:instrText xml:space="preserve"> SEQ Figure \* ARABIC </w:instrText>
      </w:r>
      <w:r w:rsidRPr="00F029BE">
        <w:rPr>
          <w:rFonts w:ascii="Times New Roman" w:hAnsi="Times New Roman" w:cs="Times New Roman"/>
          <w:color w:val="000000" w:themeColor="text1"/>
          <w:sz w:val="24"/>
          <w:szCs w:val="24"/>
        </w:rPr>
        <w:fldChar w:fldCharType="separate"/>
      </w:r>
      <w:r w:rsidR="00A66F72" w:rsidRPr="00F029BE">
        <w:rPr>
          <w:rFonts w:ascii="Times New Roman" w:hAnsi="Times New Roman" w:cs="Times New Roman"/>
          <w:noProof/>
          <w:color w:val="000000" w:themeColor="text1"/>
          <w:sz w:val="24"/>
          <w:szCs w:val="24"/>
        </w:rPr>
        <w:t>2</w:t>
      </w:r>
      <w:r w:rsidRPr="00F029BE">
        <w:rPr>
          <w:rFonts w:ascii="Times New Roman" w:hAnsi="Times New Roman" w:cs="Times New Roman"/>
          <w:color w:val="000000" w:themeColor="text1"/>
          <w:sz w:val="24"/>
          <w:szCs w:val="24"/>
        </w:rPr>
        <w:fldChar w:fldCharType="end"/>
      </w:r>
      <w:bookmarkEnd w:id="7"/>
      <w:r w:rsidRPr="00F029BE">
        <w:rPr>
          <w:rFonts w:ascii="Times New Roman" w:hAnsi="Times New Roman" w:cs="Times New Roman"/>
          <w:color w:val="000000" w:themeColor="text1"/>
          <w:sz w:val="24"/>
          <w:szCs w:val="24"/>
        </w:rPr>
        <w:t>: Realised</w:t>
      </w:r>
      <w:r w:rsidRPr="000539C0">
        <w:rPr>
          <w:rFonts w:ascii="Times New Roman" w:hAnsi="Times New Roman" w:cs="Times New Roman"/>
          <w:color w:val="000000" w:themeColor="text1"/>
          <w:sz w:val="24"/>
          <w:szCs w:val="24"/>
        </w:rPr>
        <w:t xml:space="preserve"> and </w:t>
      </w:r>
      <w:r w:rsidR="00EB7DD7" w:rsidRPr="000539C0">
        <w:rPr>
          <w:rFonts w:ascii="Times New Roman" w:hAnsi="Times New Roman" w:cs="Times New Roman"/>
          <w:color w:val="000000" w:themeColor="text1"/>
          <w:sz w:val="24"/>
          <w:szCs w:val="24"/>
        </w:rPr>
        <w:t>f</w:t>
      </w:r>
      <w:r w:rsidRPr="000539C0">
        <w:rPr>
          <w:rFonts w:ascii="Times New Roman" w:hAnsi="Times New Roman" w:cs="Times New Roman"/>
          <w:color w:val="000000" w:themeColor="text1"/>
          <w:sz w:val="24"/>
          <w:szCs w:val="24"/>
        </w:rPr>
        <w:t>orecasted gas demand in Europe</w:t>
      </w:r>
    </w:p>
    <w:p w14:paraId="4BA74C93" w14:textId="77777777" w:rsidR="00AF51DB" w:rsidRPr="000539C0" w:rsidRDefault="00AF51DB" w:rsidP="00AF51DB">
      <w:pPr>
        <w:pStyle w:val="NoSpacing"/>
        <w:rPr>
          <w:rFonts w:ascii="Times New Roman" w:hAnsi="Times New Roman" w:cs="Times New Roman"/>
          <w:i/>
          <w:color w:val="000000" w:themeColor="text1"/>
          <w:sz w:val="20"/>
          <w:szCs w:val="20"/>
        </w:rPr>
      </w:pPr>
      <w:r w:rsidRPr="000539C0">
        <w:rPr>
          <w:rFonts w:ascii="Times New Roman" w:hAnsi="Times New Roman" w:cs="Times New Roman"/>
          <w:i/>
          <w:color w:val="000000" w:themeColor="text1"/>
          <w:sz w:val="20"/>
          <w:szCs w:val="20"/>
        </w:rPr>
        <w:t>Note: P&amp;G means Purvin and Gerts 1998 gas demand forecast for the year of 2015</w:t>
      </w:r>
    </w:p>
    <w:p w14:paraId="52ADA59A" w14:textId="292E25C7" w:rsidR="00C338FE" w:rsidRPr="004B5525" w:rsidRDefault="00C338FE" w:rsidP="00AF51DB">
      <w:pPr>
        <w:pStyle w:val="NoSpacing"/>
        <w:rPr>
          <w:rFonts w:ascii="Times New Roman" w:hAnsi="Times New Roman" w:cs="Times New Roman"/>
          <w:i/>
          <w:color w:val="000000" w:themeColor="text1"/>
          <w:sz w:val="20"/>
          <w:szCs w:val="20"/>
        </w:rPr>
      </w:pPr>
      <w:r w:rsidRPr="000539C0">
        <w:rPr>
          <w:rFonts w:ascii="Times New Roman" w:hAnsi="Times New Roman" w:cs="Times New Roman"/>
          <w:i/>
          <w:color w:val="000000" w:themeColor="text1"/>
          <w:sz w:val="20"/>
          <w:szCs w:val="20"/>
        </w:rPr>
        <w:t xml:space="preserve">Source: </w:t>
      </w:r>
      <w:r w:rsidR="0007321B" w:rsidRPr="00CD286E">
        <w:rPr>
          <w:rFonts w:ascii="Times New Roman" w:hAnsi="Times New Roman" w:cs="Times New Roman"/>
          <w:i/>
          <w:color w:val="000000" w:themeColor="text1"/>
          <w:sz w:val="20"/>
          <w:szCs w:val="20"/>
        </w:rPr>
        <w:t xml:space="preserve">1995-2015 </w:t>
      </w:r>
      <w:r w:rsidR="00C30C79" w:rsidRPr="00CD286E">
        <w:rPr>
          <w:rFonts w:ascii="Times New Roman" w:hAnsi="Times New Roman" w:cs="Times New Roman"/>
          <w:i/>
          <w:color w:val="000000" w:themeColor="text1"/>
          <w:sz w:val="20"/>
          <w:szCs w:val="20"/>
        </w:rPr>
        <w:t xml:space="preserve">period was </w:t>
      </w:r>
      <w:r w:rsidRPr="00CD286E">
        <w:rPr>
          <w:rFonts w:ascii="Times New Roman" w:hAnsi="Times New Roman" w:cs="Times New Roman"/>
          <w:i/>
          <w:color w:val="000000" w:themeColor="text1"/>
          <w:sz w:val="20"/>
          <w:szCs w:val="20"/>
        </w:rPr>
        <w:t>reproduced based on Gazprom Export</w:t>
      </w:r>
      <w:r w:rsidR="0001497A" w:rsidRPr="003D2C40">
        <w:rPr>
          <w:rFonts w:ascii="Times New Roman" w:hAnsi="Times New Roman" w:cs="Times New Roman"/>
          <w:i/>
          <w:color w:val="000000" w:themeColor="text1"/>
          <w:sz w:val="20"/>
          <w:szCs w:val="20"/>
        </w:rPr>
        <w:t>:</w:t>
      </w:r>
      <w:r w:rsidR="00AE1821" w:rsidRPr="003D2C40">
        <w:rPr>
          <w:rFonts w:ascii="Times New Roman" w:hAnsi="Times New Roman" w:cs="Times New Roman"/>
          <w:i/>
          <w:color w:val="000000" w:themeColor="text1"/>
          <w:sz w:val="20"/>
          <w:szCs w:val="20"/>
        </w:rPr>
        <w:t xml:space="preserve"> </w:t>
      </w:r>
      <w:hyperlink r:id="rId12" w:history="1">
        <w:r w:rsidR="00C30C79" w:rsidRPr="004B5525">
          <w:rPr>
            <w:rStyle w:val="Hyperlink"/>
            <w:rFonts w:ascii="Times New Roman" w:hAnsi="Times New Roman" w:cs="Times New Roman"/>
            <w:i/>
            <w:color w:val="000000" w:themeColor="text1"/>
            <w:sz w:val="20"/>
            <w:szCs w:val="20"/>
          </w:rPr>
          <w:t>http://www.gazpromexport.ru/en/presscenter/speech/</w:t>
        </w:r>
      </w:hyperlink>
      <w:r w:rsidR="00C30C79" w:rsidRPr="00CE401B">
        <w:rPr>
          <w:rFonts w:ascii="Times New Roman" w:hAnsi="Times New Roman" w:cs="Times New Roman"/>
          <w:i/>
          <w:color w:val="000000" w:themeColor="text1"/>
          <w:sz w:val="20"/>
          <w:szCs w:val="20"/>
        </w:rPr>
        <w:t>; 2016 data from Eurostat.</w:t>
      </w:r>
    </w:p>
    <w:p w14:paraId="4AD164E4" w14:textId="5E18621B" w:rsidR="00C338FE" w:rsidRPr="004B5525" w:rsidRDefault="00C338FE" w:rsidP="00660B3D">
      <w:pPr>
        <w:spacing w:line="360" w:lineRule="auto"/>
        <w:ind w:firstLine="567"/>
        <w:rPr>
          <w:rFonts w:ascii="Times New Roman" w:hAnsi="Times New Roman" w:cs="Times New Roman"/>
          <w:b/>
          <w:color w:val="000000" w:themeColor="text1"/>
          <w:sz w:val="24"/>
          <w:szCs w:val="24"/>
        </w:rPr>
      </w:pPr>
    </w:p>
    <w:p w14:paraId="26CCAC08" w14:textId="34BBFFCB" w:rsidR="00C52CED" w:rsidRPr="000539C0" w:rsidRDefault="00B14789" w:rsidP="00660B3D">
      <w:pPr>
        <w:spacing w:line="360" w:lineRule="auto"/>
        <w:ind w:firstLine="567"/>
        <w:rPr>
          <w:rFonts w:ascii="Times New Roman" w:hAnsi="Times New Roman" w:cs="Times New Roman"/>
          <w:color w:val="000000" w:themeColor="text1"/>
          <w:sz w:val="24"/>
          <w:szCs w:val="24"/>
        </w:rPr>
      </w:pPr>
      <w:r w:rsidRPr="004B5525">
        <w:rPr>
          <w:rFonts w:ascii="Times New Roman" w:hAnsi="Times New Roman" w:cs="Times New Roman"/>
          <w:color w:val="000000" w:themeColor="text1"/>
          <w:sz w:val="24"/>
          <w:szCs w:val="24"/>
        </w:rPr>
        <w:t>Thus, g</w:t>
      </w:r>
      <w:r w:rsidR="00780AC3" w:rsidRPr="004B5525">
        <w:rPr>
          <w:rFonts w:ascii="Times New Roman" w:hAnsi="Times New Roman" w:cs="Times New Roman"/>
          <w:color w:val="000000" w:themeColor="text1"/>
          <w:sz w:val="24"/>
          <w:szCs w:val="24"/>
        </w:rPr>
        <w:t xml:space="preserve">iven that gas demand in Europe is likely to stay flat (or even fall) relative to the overall size of the transmission network, </w:t>
      </w:r>
      <w:r w:rsidR="00415C9A" w:rsidRPr="004B5525">
        <w:rPr>
          <w:rFonts w:ascii="Times New Roman" w:hAnsi="Times New Roman" w:cs="Times New Roman"/>
          <w:color w:val="000000" w:themeColor="text1"/>
          <w:sz w:val="24"/>
          <w:szCs w:val="24"/>
        </w:rPr>
        <w:t xml:space="preserve">the tariffs for using the transport network will increase. This trend </w:t>
      </w:r>
      <w:r w:rsidR="000539C0">
        <w:rPr>
          <w:rFonts w:ascii="Times New Roman" w:hAnsi="Times New Roman" w:cs="Times New Roman"/>
          <w:color w:val="000000" w:themeColor="text1"/>
          <w:sz w:val="24"/>
          <w:szCs w:val="24"/>
        </w:rPr>
        <w:lastRenderedPageBreak/>
        <w:t>will be</w:t>
      </w:r>
      <w:r w:rsidR="000539C0" w:rsidRPr="004B5525">
        <w:rPr>
          <w:rFonts w:ascii="Times New Roman" w:hAnsi="Times New Roman" w:cs="Times New Roman"/>
          <w:color w:val="000000" w:themeColor="text1"/>
          <w:sz w:val="24"/>
          <w:szCs w:val="24"/>
        </w:rPr>
        <w:t xml:space="preserve"> </w:t>
      </w:r>
      <w:r w:rsidR="00415C9A" w:rsidRPr="004B5525">
        <w:rPr>
          <w:rFonts w:ascii="Times New Roman" w:hAnsi="Times New Roman" w:cs="Times New Roman"/>
          <w:color w:val="000000" w:themeColor="text1"/>
          <w:sz w:val="24"/>
          <w:szCs w:val="24"/>
        </w:rPr>
        <w:t xml:space="preserve">exacerbated </w:t>
      </w:r>
      <w:r w:rsidR="002D674D" w:rsidRPr="004B5525">
        <w:rPr>
          <w:rFonts w:ascii="Times New Roman" w:hAnsi="Times New Roman" w:cs="Times New Roman"/>
          <w:color w:val="000000" w:themeColor="text1"/>
          <w:sz w:val="24"/>
          <w:szCs w:val="24"/>
        </w:rPr>
        <w:t xml:space="preserve">should TSOs implement their </w:t>
      </w:r>
      <w:r w:rsidR="00CC3A7C" w:rsidRPr="00CF247E">
        <w:rPr>
          <w:rFonts w:ascii="Times New Roman" w:hAnsi="Times New Roman" w:cs="Times New Roman"/>
          <w:color w:val="000000" w:themeColor="text1"/>
          <w:sz w:val="24"/>
          <w:szCs w:val="24"/>
        </w:rPr>
        <w:t xml:space="preserve">announced </w:t>
      </w:r>
      <w:r w:rsidR="002D674D" w:rsidRPr="00CF247E">
        <w:rPr>
          <w:rFonts w:ascii="Times New Roman" w:hAnsi="Times New Roman" w:cs="Times New Roman"/>
          <w:color w:val="000000" w:themeColor="text1"/>
          <w:sz w:val="24"/>
          <w:szCs w:val="24"/>
        </w:rPr>
        <w:t>investment plan</w:t>
      </w:r>
      <w:r w:rsidR="00CC3A7C" w:rsidRPr="00DE0337">
        <w:rPr>
          <w:rFonts w:ascii="Times New Roman" w:hAnsi="Times New Roman" w:cs="Times New Roman"/>
          <w:color w:val="000000" w:themeColor="text1"/>
          <w:sz w:val="24"/>
          <w:szCs w:val="24"/>
        </w:rPr>
        <w:t xml:space="preserve">s for the period </w:t>
      </w:r>
      <w:r w:rsidR="002D674D" w:rsidRPr="00DE0337">
        <w:rPr>
          <w:rFonts w:ascii="Times New Roman" w:hAnsi="Times New Roman" w:cs="Times New Roman"/>
          <w:color w:val="000000" w:themeColor="text1"/>
          <w:sz w:val="24"/>
          <w:szCs w:val="24"/>
        </w:rPr>
        <w:t>2015-2025</w:t>
      </w:r>
      <w:r w:rsidR="00CC3A7C" w:rsidRPr="00DE0337">
        <w:rPr>
          <w:rFonts w:ascii="Times New Roman" w:hAnsi="Times New Roman" w:cs="Times New Roman"/>
          <w:color w:val="000000" w:themeColor="text1"/>
          <w:sz w:val="24"/>
          <w:szCs w:val="24"/>
        </w:rPr>
        <w:t>.</w:t>
      </w:r>
      <w:r w:rsidR="00614EBD" w:rsidRPr="00DE0337">
        <w:rPr>
          <w:rFonts w:ascii="Times New Roman" w:hAnsi="Times New Roman" w:cs="Times New Roman"/>
          <w:color w:val="000000" w:themeColor="text1"/>
          <w:sz w:val="24"/>
          <w:szCs w:val="24"/>
        </w:rPr>
        <w:t xml:space="preserve"> It is expected that t</w:t>
      </w:r>
      <w:r w:rsidR="00614EBD" w:rsidRPr="007D2561">
        <w:rPr>
          <w:rFonts w:ascii="Times New Roman" w:hAnsi="Times New Roman" w:cs="Times New Roman"/>
          <w:color w:val="000000" w:themeColor="text1"/>
          <w:sz w:val="24"/>
          <w:szCs w:val="24"/>
        </w:rPr>
        <w:t>he annual tariff increase should be +0.8% in the gas sector in Europe (</w:t>
      </w:r>
      <w:r w:rsidR="009B4FFA" w:rsidRPr="007D2561">
        <w:rPr>
          <w:rFonts w:ascii="Times New Roman" w:hAnsi="Times New Roman" w:cs="Times New Roman"/>
          <w:color w:val="000000" w:themeColor="text1"/>
          <w:sz w:val="24"/>
          <w:szCs w:val="24"/>
        </w:rPr>
        <w:t xml:space="preserve">BearingPoint &amp; Microeconomix, </w:t>
      </w:r>
      <w:r w:rsidR="00E0113C" w:rsidRPr="007D2561">
        <w:rPr>
          <w:rFonts w:ascii="Times New Roman" w:hAnsi="Times New Roman" w:cs="Times New Roman"/>
          <w:color w:val="000000" w:themeColor="text1"/>
          <w:sz w:val="24"/>
          <w:szCs w:val="24"/>
        </w:rPr>
        <w:t>2015</w:t>
      </w:r>
      <w:r w:rsidR="00614EBD" w:rsidRPr="007D2561">
        <w:rPr>
          <w:rFonts w:ascii="Times New Roman" w:hAnsi="Times New Roman" w:cs="Times New Roman"/>
          <w:color w:val="000000" w:themeColor="text1"/>
          <w:sz w:val="24"/>
          <w:szCs w:val="24"/>
        </w:rPr>
        <w:t>)</w:t>
      </w:r>
      <w:r w:rsidR="00B9764E" w:rsidRPr="007D2561">
        <w:rPr>
          <w:rFonts w:ascii="Times New Roman" w:hAnsi="Times New Roman" w:cs="Times New Roman"/>
          <w:color w:val="000000" w:themeColor="text1"/>
          <w:sz w:val="24"/>
          <w:szCs w:val="24"/>
        </w:rPr>
        <w:t xml:space="preserve">. Cumulative increase in </w:t>
      </w:r>
      <w:r w:rsidR="00283F30" w:rsidRPr="00FC47AF">
        <w:rPr>
          <w:rFonts w:ascii="Times New Roman" w:hAnsi="Times New Roman" w:cs="Times New Roman"/>
          <w:color w:val="000000" w:themeColor="text1"/>
          <w:sz w:val="24"/>
          <w:szCs w:val="24"/>
        </w:rPr>
        <w:t>some member states could b</w:t>
      </w:r>
      <w:r w:rsidR="00330D65" w:rsidRPr="00FC47AF">
        <w:rPr>
          <w:rFonts w:ascii="Times New Roman" w:hAnsi="Times New Roman" w:cs="Times New Roman"/>
          <w:color w:val="000000" w:themeColor="text1"/>
          <w:sz w:val="24"/>
          <w:szCs w:val="24"/>
        </w:rPr>
        <w:t xml:space="preserve">e as high as 39% for the period 2015-2025. </w:t>
      </w:r>
      <w:proofErr w:type="gramStart"/>
      <w:r w:rsidR="000539C0">
        <w:rPr>
          <w:rFonts w:ascii="Times New Roman" w:hAnsi="Times New Roman" w:cs="Times New Roman"/>
          <w:color w:val="000000" w:themeColor="text1"/>
          <w:sz w:val="24"/>
          <w:szCs w:val="24"/>
        </w:rPr>
        <w:t>The m</w:t>
      </w:r>
      <w:r w:rsidR="004E0142" w:rsidRPr="00FC47AF">
        <w:rPr>
          <w:rFonts w:ascii="Times New Roman" w:hAnsi="Times New Roman" w:cs="Times New Roman"/>
          <w:color w:val="000000" w:themeColor="text1"/>
          <w:sz w:val="24"/>
          <w:szCs w:val="24"/>
        </w:rPr>
        <w:t>ajority of</w:t>
      </w:r>
      <w:proofErr w:type="gramEnd"/>
      <w:r w:rsidR="004E0142" w:rsidRPr="00FC47AF">
        <w:rPr>
          <w:rFonts w:ascii="Times New Roman" w:hAnsi="Times New Roman" w:cs="Times New Roman"/>
          <w:color w:val="000000" w:themeColor="text1"/>
          <w:sz w:val="24"/>
          <w:szCs w:val="24"/>
        </w:rPr>
        <w:t xml:space="preserve"> expected investment </w:t>
      </w:r>
      <w:r w:rsidR="00330D65" w:rsidRPr="00FC47AF">
        <w:rPr>
          <w:rFonts w:ascii="Times New Roman" w:hAnsi="Times New Roman" w:cs="Times New Roman"/>
          <w:color w:val="000000" w:themeColor="text1"/>
          <w:sz w:val="24"/>
          <w:szCs w:val="24"/>
        </w:rPr>
        <w:t xml:space="preserve">in gas network </w:t>
      </w:r>
      <w:r w:rsidR="004E0142" w:rsidRPr="00AE78C0">
        <w:rPr>
          <w:rFonts w:ascii="Times New Roman" w:hAnsi="Times New Roman" w:cs="Times New Roman"/>
          <w:color w:val="000000" w:themeColor="text1"/>
          <w:sz w:val="24"/>
          <w:szCs w:val="24"/>
        </w:rPr>
        <w:t>is driven by</w:t>
      </w:r>
      <w:r w:rsidR="000539C0">
        <w:rPr>
          <w:rFonts w:ascii="Times New Roman" w:hAnsi="Times New Roman" w:cs="Times New Roman"/>
          <w:color w:val="000000" w:themeColor="text1"/>
          <w:sz w:val="24"/>
          <w:szCs w:val="24"/>
        </w:rPr>
        <w:t xml:space="preserve"> the</w:t>
      </w:r>
      <w:r w:rsidR="004E0142" w:rsidRPr="00AE78C0">
        <w:rPr>
          <w:rFonts w:ascii="Times New Roman" w:hAnsi="Times New Roman" w:cs="Times New Roman"/>
          <w:color w:val="000000" w:themeColor="text1"/>
          <w:sz w:val="24"/>
          <w:szCs w:val="24"/>
        </w:rPr>
        <w:t xml:space="preserve"> security of supply concerns in C</w:t>
      </w:r>
      <w:r w:rsidR="00330D65" w:rsidRPr="00AE78C0">
        <w:rPr>
          <w:rFonts w:ascii="Times New Roman" w:hAnsi="Times New Roman" w:cs="Times New Roman"/>
          <w:color w:val="000000" w:themeColor="text1"/>
          <w:sz w:val="24"/>
          <w:szCs w:val="24"/>
        </w:rPr>
        <w:t>entral</w:t>
      </w:r>
      <w:r w:rsidR="00C052C5" w:rsidRPr="00AE78C0">
        <w:rPr>
          <w:rFonts w:ascii="Times New Roman" w:hAnsi="Times New Roman" w:cs="Times New Roman"/>
          <w:color w:val="000000" w:themeColor="text1"/>
          <w:sz w:val="24"/>
          <w:szCs w:val="24"/>
        </w:rPr>
        <w:t>, Eastern and Southern Europe.</w:t>
      </w:r>
      <w:r w:rsidR="00A16156" w:rsidRPr="000539C0">
        <w:rPr>
          <w:rFonts w:ascii="Times New Roman" w:hAnsi="Times New Roman" w:cs="Times New Roman"/>
          <w:color w:val="000000" w:themeColor="text1"/>
          <w:sz w:val="24"/>
          <w:szCs w:val="24"/>
        </w:rPr>
        <w:t xml:space="preserve"> </w:t>
      </w:r>
      <w:r w:rsidR="00637B3D" w:rsidRPr="000539C0">
        <w:rPr>
          <w:rFonts w:ascii="Times New Roman" w:hAnsi="Times New Roman" w:cs="Times New Roman"/>
          <w:color w:val="000000" w:themeColor="text1"/>
          <w:sz w:val="24"/>
          <w:szCs w:val="24"/>
        </w:rPr>
        <w:t>T</w:t>
      </w:r>
      <w:r w:rsidR="00A16156" w:rsidRPr="000539C0">
        <w:rPr>
          <w:rFonts w:ascii="Times New Roman" w:hAnsi="Times New Roman" w:cs="Times New Roman"/>
          <w:color w:val="000000" w:themeColor="text1"/>
          <w:sz w:val="24"/>
          <w:szCs w:val="24"/>
        </w:rPr>
        <w:t xml:space="preserve">herefore, </w:t>
      </w:r>
      <w:r w:rsidR="000E0AE4" w:rsidRPr="000539C0">
        <w:rPr>
          <w:rFonts w:ascii="Times New Roman" w:hAnsi="Times New Roman" w:cs="Times New Roman"/>
          <w:color w:val="000000" w:themeColor="text1"/>
          <w:sz w:val="24"/>
          <w:szCs w:val="24"/>
        </w:rPr>
        <w:t xml:space="preserve">the future of the </w:t>
      </w:r>
      <w:r w:rsidR="00637B3D" w:rsidRPr="000539C0">
        <w:rPr>
          <w:rFonts w:ascii="Times New Roman" w:hAnsi="Times New Roman" w:cs="Times New Roman"/>
          <w:color w:val="000000" w:themeColor="text1"/>
          <w:sz w:val="24"/>
          <w:szCs w:val="24"/>
        </w:rPr>
        <w:t xml:space="preserve">European gas market integration to a large extent (if measured by </w:t>
      </w:r>
      <w:r w:rsidR="00466DAC" w:rsidRPr="000539C0">
        <w:rPr>
          <w:rFonts w:ascii="Times New Roman" w:hAnsi="Times New Roman" w:cs="Times New Roman"/>
          <w:color w:val="000000" w:themeColor="text1"/>
          <w:sz w:val="24"/>
          <w:szCs w:val="24"/>
        </w:rPr>
        <w:t xml:space="preserve">price differentials between market/transport zones) depends on the effectiveness of the current regulatory regime </w:t>
      </w:r>
      <w:r w:rsidR="00AE044C" w:rsidRPr="000539C0">
        <w:rPr>
          <w:rFonts w:ascii="Times New Roman" w:hAnsi="Times New Roman" w:cs="Times New Roman"/>
          <w:color w:val="000000" w:themeColor="text1"/>
          <w:sz w:val="24"/>
          <w:szCs w:val="24"/>
        </w:rPr>
        <w:t>in ensuring cost</w:t>
      </w:r>
      <w:r w:rsidR="00F029BE">
        <w:rPr>
          <w:rFonts w:ascii="Times New Roman" w:hAnsi="Times New Roman" w:cs="Times New Roman"/>
          <w:color w:val="000000" w:themeColor="text1"/>
          <w:sz w:val="24"/>
          <w:szCs w:val="24"/>
        </w:rPr>
        <w:t>-</w:t>
      </w:r>
      <w:r w:rsidR="00AE044C" w:rsidRPr="000539C0">
        <w:rPr>
          <w:rFonts w:ascii="Times New Roman" w:hAnsi="Times New Roman" w:cs="Times New Roman"/>
          <w:color w:val="000000" w:themeColor="text1"/>
          <w:sz w:val="24"/>
          <w:szCs w:val="24"/>
        </w:rPr>
        <w:t>reflective tariff setting</w:t>
      </w:r>
      <w:r w:rsidR="005234CE" w:rsidRPr="00CD286E">
        <w:rPr>
          <w:rFonts w:ascii="Times New Roman" w:hAnsi="Times New Roman" w:cs="Times New Roman"/>
          <w:color w:val="000000" w:themeColor="text1"/>
          <w:sz w:val="24"/>
          <w:szCs w:val="24"/>
        </w:rPr>
        <w:t xml:space="preserve"> </w:t>
      </w:r>
      <w:r w:rsidR="000539C0">
        <w:rPr>
          <w:rFonts w:ascii="Times New Roman" w:hAnsi="Times New Roman" w:cs="Times New Roman"/>
          <w:color w:val="000000" w:themeColor="text1"/>
          <w:sz w:val="24"/>
          <w:szCs w:val="24"/>
        </w:rPr>
        <w:t>that considers</w:t>
      </w:r>
      <w:r w:rsidR="000539C0" w:rsidRPr="000539C0">
        <w:rPr>
          <w:rFonts w:ascii="Times New Roman" w:hAnsi="Times New Roman" w:cs="Times New Roman"/>
          <w:color w:val="000000" w:themeColor="text1"/>
          <w:sz w:val="24"/>
          <w:szCs w:val="24"/>
        </w:rPr>
        <w:t xml:space="preserve"> </w:t>
      </w:r>
      <w:r w:rsidR="005234CE" w:rsidRPr="000539C0">
        <w:rPr>
          <w:rFonts w:ascii="Times New Roman" w:hAnsi="Times New Roman" w:cs="Times New Roman"/>
          <w:color w:val="000000" w:themeColor="text1"/>
          <w:sz w:val="24"/>
          <w:szCs w:val="24"/>
        </w:rPr>
        <w:t xml:space="preserve">falling gas demand and </w:t>
      </w:r>
      <w:r w:rsidR="00397C46" w:rsidRPr="000539C0">
        <w:rPr>
          <w:rFonts w:ascii="Times New Roman" w:hAnsi="Times New Roman" w:cs="Times New Roman"/>
          <w:color w:val="000000" w:themeColor="text1"/>
          <w:sz w:val="24"/>
          <w:szCs w:val="24"/>
        </w:rPr>
        <w:t>inherited large gas transport networks.</w:t>
      </w:r>
    </w:p>
    <w:p w14:paraId="2937304F" w14:textId="7C382504" w:rsidR="00D30190" w:rsidRPr="000539C0" w:rsidRDefault="00550C36" w:rsidP="00660B3D">
      <w:pPr>
        <w:spacing w:line="360" w:lineRule="auto"/>
        <w:ind w:firstLine="567"/>
        <w:rPr>
          <w:rFonts w:ascii="Times New Roman" w:hAnsi="Times New Roman" w:cs="Times New Roman"/>
          <w:color w:val="000000" w:themeColor="text1"/>
          <w:sz w:val="24"/>
          <w:szCs w:val="24"/>
        </w:rPr>
      </w:pPr>
      <w:r w:rsidRPr="000539C0">
        <w:rPr>
          <w:rFonts w:ascii="Times New Roman" w:hAnsi="Times New Roman" w:cs="Times New Roman"/>
          <w:color w:val="000000" w:themeColor="text1"/>
          <w:sz w:val="24"/>
          <w:szCs w:val="24"/>
        </w:rPr>
        <w:t xml:space="preserve">Possible high locational price differences may motivate </w:t>
      </w:r>
      <w:r w:rsidR="004E0142" w:rsidRPr="000539C0">
        <w:rPr>
          <w:rFonts w:ascii="Times New Roman" w:hAnsi="Times New Roman" w:cs="Times New Roman"/>
          <w:color w:val="000000" w:themeColor="text1"/>
          <w:sz w:val="24"/>
          <w:szCs w:val="24"/>
        </w:rPr>
        <w:t>‘tailored’ national policy responses</w:t>
      </w:r>
      <w:r w:rsidR="00F10AB0" w:rsidRPr="000539C0">
        <w:rPr>
          <w:rFonts w:ascii="Times New Roman" w:hAnsi="Times New Roman" w:cs="Times New Roman"/>
          <w:color w:val="000000" w:themeColor="text1"/>
          <w:sz w:val="24"/>
          <w:szCs w:val="24"/>
        </w:rPr>
        <w:t xml:space="preserve"> when the European authorities try to ‘harmonise’ national policies (which </w:t>
      </w:r>
      <w:r w:rsidR="00DB1A1D" w:rsidRPr="000539C0">
        <w:rPr>
          <w:rFonts w:ascii="Times New Roman" w:hAnsi="Times New Roman" w:cs="Times New Roman"/>
          <w:color w:val="000000" w:themeColor="text1"/>
          <w:sz w:val="24"/>
          <w:szCs w:val="24"/>
        </w:rPr>
        <w:t>has been</w:t>
      </w:r>
      <w:r w:rsidR="002A1DC2" w:rsidRPr="000539C0">
        <w:rPr>
          <w:rFonts w:ascii="Times New Roman" w:hAnsi="Times New Roman" w:cs="Times New Roman"/>
          <w:color w:val="000000" w:themeColor="text1"/>
          <w:sz w:val="24"/>
          <w:szCs w:val="24"/>
        </w:rPr>
        <w:t xml:space="preserve"> </w:t>
      </w:r>
      <w:r w:rsidR="000539C0">
        <w:rPr>
          <w:rFonts w:ascii="Times New Roman" w:hAnsi="Times New Roman" w:cs="Times New Roman"/>
          <w:color w:val="000000" w:themeColor="text1"/>
          <w:sz w:val="24"/>
          <w:szCs w:val="24"/>
        </w:rPr>
        <w:t>a substantial</w:t>
      </w:r>
      <w:r w:rsidR="000539C0" w:rsidRPr="000539C0">
        <w:rPr>
          <w:rFonts w:ascii="Times New Roman" w:hAnsi="Times New Roman" w:cs="Times New Roman"/>
          <w:color w:val="000000" w:themeColor="text1"/>
          <w:sz w:val="24"/>
          <w:szCs w:val="24"/>
        </w:rPr>
        <w:t xml:space="preserve"> </w:t>
      </w:r>
      <w:r w:rsidR="00F10AB0" w:rsidRPr="000539C0">
        <w:rPr>
          <w:rFonts w:ascii="Times New Roman" w:hAnsi="Times New Roman" w:cs="Times New Roman"/>
          <w:color w:val="000000" w:themeColor="text1"/>
          <w:sz w:val="24"/>
          <w:szCs w:val="24"/>
        </w:rPr>
        <w:t xml:space="preserve">effort </w:t>
      </w:r>
      <w:r w:rsidR="00DB1A1D" w:rsidRPr="000539C0">
        <w:rPr>
          <w:rFonts w:ascii="Times New Roman" w:hAnsi="Times New Roman" w:cs="Times New Roman"/>
          <w:color w:val="000000" w:themeColor="text1"/>
          <w:sz w:val="24"/>
          <w:szCs w:val="24"/>
        </w:rPr>
        <w:t xml:space="preserve">by the authorities since the enactment of the </w:t>
      </w:r>
      <w:r w:rsidR="00AC205F">
        <w:rPr>
          <w:rFonts w:ascii="Times New Roman" w:hAnsi="Times New Roman" w:cs="Times New Roman"/>
          <w:color w:val="000000" w:themeColor="text1"/>
          <w:sz w:val="24"/>
          <w:szCs w:val="24"/>
        </w:rPr>
        <w:t>T</w:t>
      </w:r>
      <w:r w:rsidR="00F10AB0" w:rsidRPr="000539C0">
        <w:rPr>
          <w:rFonts w:ascii="Times New Roman" w:hAnsi="Times New Roman" w:cs="Times New Roman"/>
          <w:color w:val="000000" w:themeColor="text1"/>
          <w:sz w:val="24"/>
          <w:szCs w:val="24"/>
        </w:rPr>
        <w:t xml:space="preserve">hird </w:t>
      </w:r>
      <w:r w:rsidR="00AC205F">
        <w:rPr>
          <w:rFonts w:ascii="Times New Roman" w:hAnsi="Times New Roman" w:cs="Times New Roman"/>
          <w:color w:val="000000" w:themeColor="text1"/>
          <w:sz w:val="24"/>
          <w:szCs w:val="24"/>
        </w:rPr>
        <w:t>E</w:t>
      </w:r>
      <w:r w:rsidR="00F10AB0" w:rsidRPr="000539C0">
        <w:rPr>
          <w:rFonts w:ascii="Times New Roman" w:hAnsi="Times New Roman" w:cs="Times New Roman"/>
          <w:color w:val="000000" w:themeColor="text1"/>
          <w:sz w:val="24"/>
          <w:szCs w:val="24"/>
        </w:rPr>
        <w:t xml:space="preserve">nergy </w:t>
      </w:r>
      <w:r w:rsidR="00AC205F">
        <w:rPr>
          <w:rFonts w:ascii="Times New Roman" w:hAnsi="Times New Roman" w:cs="Times New Roman"/>
          <w:color w:val="000000" w:themeColor="text1"/>
          <w:sz w:val="24"/>
          <w:szCs w:val="24"/>
        </w:rPr>
        <w:t>P</w:t>
      </w:r>
      <w:r w:rsidR="00F10AB0" w:rsidRPr="000539C0">
        <w:rPr>
          <w:rFonts w:ascii="Times New Roman" w:hAnsi="Times New Roman" w:cs="Times New Roman"/>
          <w:color w:val="000000" w:themeColor="text1"/>
          <w:sz w:val="24"/>
          <w:szCs w:val="24"/>
        </w:rPr>
        <w:t>ackage)</w:t>
      </w:r>
      <w:r w:rsidR="004E0142" w:rsidRPr="000539C0">
        <w:rPr>
          <w:rFonts w:ascii="Times New Roman" w:hAnsi="Times New Roman" w:cs="Times New Roman"/>
          <w:color w:val="000000" w:themeColor="text1"/>
          <w:sz w:val="24"/>
          <w:szCs w:val="24"/>
        </w:rPr>
        <w:t xml:space="preserve">. </w:t>
      </w:r>
      <w:r w:rsidRPr="00CD286E">
        <w:rPr>
          <w:rFonts w:ascii="Times New Roman" w:hAnsi="Times New Roman" w:cs="Times New Roman"/>
          <w:color w:val="000000" w:themeColor="text1"/>
          <w:sz w:val="24"/>
          <w:szCs w:val="24"/>
        </w:rPr>
        <w:t xml:space="preserve">The following example will highlight the importance of transport tariffs and shed lights </w:t>
      </w:r>
      <w:r w:rsidR="000539C0">
        <w:rPr>
          <w:rFonts w:ascii="Times New Roman" w:hAnsi="Times New Roman" w:cs="Times New Roman"/>
          <w:color w:val="000000" w:themeColor="text1"/>
          <w:sz w:val="24"/>
          <w:szCs w:val="24"/>
        </w:rPr>
        <w:t>on</w:t>
      </w:r>
      <w:r w:rsidR="000539C0" w:rsidRPr="000539C0">
        <w:rPr>
          <w:rFonts w:ascii="Times New Roman" w:hAnsi="Times New Roman" w:cs="Times New Roman"/>
          <w:color w:val="000000" w:themeColor="text1"/>
          <w:sz w:val="24"/>
          <w:szCs w:val="24"/>
        </w:rPr>
        <w:t xml:space="preserve"> </w:t>
      </w:r>
      <w:r w:rsidRPr="000539C0">
        <w:rPr>
          <w:rFonts w:ascii="Times New Roman" w:hAnsi="Times New Roman" w:cs="Times New Roman"/>
          <w:color w:val="000000" w:themeColor="text1"/>
          <w:sz w:val="24"/>
          <w:szCs w:val="24"/>
        </w:rPr>
        <w:t xml:space="preserve">a general problem of defining gas transport market using entry-exit zones. </w:t>
      </w:r>
    </w:p>
    <w:p w14:paraId="66C4D2AF" w14:textId="0836E9E7" w:rsidR="000341CC" w:rsidRPr="00FC47AF" w:rsidRDefault="00550C36" w:rsidP="00660B3D">
      <w:pPr>
        <w:spacing w:line="360" w:lineRule="auto"/>
        <w:ind w:firstLine="567"/>
        <w:rPr>
          <w:rFonts w:ascii="Times New Roman" w:hAnsi="Times New Roman" w:cs="Times New Roman"/>
          <w:color w:val="000000" w:themeColor="text1"/>
          <w:sz w:val="24"/>
          <w:szCs w:val="24"/>
        </w:rPr>
      </w:pPr>
      <w:r w:rsidRPr="000539C0">
        <w:rPr>
          <w:rFonts w:ascii="Times New Roman" w:hAnsi="Times New Roman" w:cs="Times New Roman"/>
          <w:color w:val="000000" w:themeColor="text1"/>
          <w:sz w:val="24"/>
          <w:szCs w:val="24"/>
        </w:rPr>
        <w:t>There has been a persistently high locational price spread between North</w:t>
      </w:r>
      <w:r w:rsidR="000539C0">
        <w:rPr>
          <w:rFonts w:ascii="Times New Roman" w:hAnsi="Times New Roman" w:cs="Times New Roman"/>
          <w:color w:val="000000" w:themeColor="text1"/>
          <w:sz w:val="24"/>
          <w:szCs w:val="24"/>
        </w:rPr>
        <w:t>-w</w:t>
      </w:r>
      <w:r w:rsidRPr="000539C0">
        <w:rPr>
          <w:rFonts w:ascii="Times New Roman" w:hAnsi="Times New Roman" w:cs="Times New Roman"/>
          <w:color w:val="000000" w:themeColor="text1"/>
          <w:sz w:val="24"/>
          <w:szCs w:val="24"/>
        </w:rPr>
        <w:t>est European hubs and Italy</w:t>
      </w:r>
      <w:r w:rsidR="000539C0">
        <w:rPr>
          <w:rFonts w:ascii="Times New Roman" w:hAnsi="Times New Roman" w:cs="Times New Roman"/>
          <w:color w:val="000000" w:themeColor="text1"/>
          <w:sz w:val="24"/>
          <w:szCs w:val="24"/>
        </w:rPr>
        <w:t>,</w:t>
      </w:r>
      <w:r w:rsidRPr="000539C0">
        <w:rPr>
          <w:rFonts w:ascii="Times New Roman" w:hAnsi="Times New Roman" w:cs="Times New Roman"/>
          <w:color w:val="000000" w:themeColor="text1"/>
          <w:sz w:val="24"/>
          <w:szCs w:val="24"/>
        </w:rPr>
        <w:t xml:space="preserve"> which reflect</w:t>
      </w:r>
      <w:r w:rsidR="000539C0">
        <w:rPr>
          <w:rFonts w:ascii="Times New Roman" w:hAnsi="Times New Roman" w:cs="Times New Roman"/>
          <w:color w:val="000000" w:themeColor="text1"/>
          <w:sz w:val="24"/>
          <w:szCs w:val="24"/>
        </w:rPr>
        <w:t>s</w:t>
      </w:r>
      <w:r w:rsidRPr="000539C0">
        <w:rPr>
          <w:rFonts w:ascii="Times New Roman" w:hAnsi="Times New Roman" w:cs="Times New Roman"/>
          <w:color w:val="000000" w:themeColor="text1"/>
          <w:sz w:val="24"/>
          <w:szCs w:val="24"/>
        </w:rPr>
        <w:t xml:space="preserve"> high transport </w:t>
      </w:r>
      <w:r w:rsidR="00491069" w:rsidRPr="000539C0">
        <w:rPr>
          <w:rFonts w:ascii="Times New Roman" w:hAnsi="Times New Roman" w:cs="Times New Roman"/>
          <w:color w:val="000000" w:themeColor="text1"/>
          <w:sz w:val="24"/>
          <w:szCs w:val="24"/>
        </w:rPr>
        <w:t>tariffs</w:t>
      </w:r>
      <w:r w:rsidRPr="000539C0">
        <w:rPr>
          <w:rFonts w:ascii="Times New Roman" w:hAnsi="Times New Roman" w:cs="Times New Roman"/>
          <w:color w:val="000000" w:themeColor="text1"/>
          <w:sz w:val="24"/>
          <w:szCs w:val="24"/>
        </w:rPr>
        <w:t xml:space="preserve"> between the two market regions</w:t>
      </w:r>
      <w:r w:rsidR="000539C0">
        <w:rPr>
          <w:rFonts w:ascii="Times New Roman" w:hAnsi="Times New Roman" w:cs="Times New Roman"/>
          <w:color w:val="000000" w:themeColor="text1"/>
          <w:sz w:val="24"/>
          <w:szCs w:val="24"/>
        </w:rPr>
        <w:t>. A</w:t>
      </w:r>
      <w:r w:rsidRPr="0056677D">
        <w:rPr>
          <w:rFonts w:ascii="Times New Roman" w:hAnsi="Times New Roman" w:cs="Times New Roman"/>
          <w:color w:val="000000" w:themeColor="text1"/>
          <w:sz w:val="24"/>
          <w:szCs w:val="24"/>
        </w:rPr>
        <w:t>ccording to the recent ACER (2017) report, the locational price spread between PSV (Italian hub price) and TTF (North</w:t>
      </w:r>
      <w:r w:rsidR="000539C0">
        <w:rPr>
          <w:rFonts w:ascii="Times New Roman" w:hAnsi="Times New Roman" w:cs="Times New Roman"/>
          <w:color w:val="000000" w:themeColor="text1"/>
          <w:sz w:val="24"/>
          <w:szCs w:val="24"/>
        </w:rPr>
        <w:t>-w</w:t>
      </w:r>
      <w:r w:rsidRPr="0056677D">
        <w:rPr>
          <w:rFonts w:ascii="Times New Roman" w:hAnsi="Times New Roman" w:cs="Times New Roman"/>
          <w:color w:val="000000" w:themeColor="text1"/>
          <w:sz w:val="24"/>
          <w:szCs w:val="24"/>
        </w:rPr>
        <w:t>est European hub price) is ca. €2/MWh, or €1.4bn in loss of welfare for Italy given its current demand level</w:t>
      </w:r>
      <w:r w:rsidRPr="00F60A11">
        <w:rPr>
          <w:rStyle w:val="FootnoteReference"/>
          <w:rFonts w:ascii="Times New Roman" w:hAnsi="Times New Roman" w:cs="Times New Roman"/>
          <w:color w:val="000000" w:themeColor="text1"/>
          <w:sz w:val="24"/>
          <w:szCs w:val="24"/>
        </w:rPr>
        <w:footnoteReference w:id="11"/>
      </w:r>
      <w:r w:rsidR="000539C0">
        <w:rPr>
          <w:rFonts w:ascii="Times New Roman" w:hAnsi="Times New Roman" w:cs="Times New Roman"/>
          <w:color w:val="000000" w:themeColor="text1"/>
          <w:sz w:val="24"/>
          <w:szCs w:val="24"/>
        </w:rPr>
        <w:t>.</w:t>
      </w:r>
      <w:r w:rsidRPr="00F60A11">
        <w:rPr>
          <w:rFonts w:ascii="Times New Roman" w:hAnsi="Times New Roman" w:cs="Times New Roman"/>
          <w:color w:val="000000" w:themeColor="text1"/>
          <w:sz w:val="24"/>
          <w:szCs w:val="24"/>
        </w:rPr>
        <w:t xml:space="preserve"> A solution to reduce this high price spread has been put forth by the Italian Ministry of Economic Development in its new energy strategy (June 2017</w:t>
      </w:r>
      <w:r w:rsidRPr="00F60A11">
        <w:rPr>
          <w:rStyle w:val="FootnoteReference"/>
          <w:rFonts w:ascii="Times New Roman" w:hAnsi="Times New Roman" w:cs="Times New Roman"/>
          <w:color w:val="000000" w:themeColor="text1"/>
          <w:sz w:val="24"/>
          <w:szCs w:val="24"/>
        </w:rPr>
        <w:footnoteReference w:id="12"/>
      </w:r>
      <w:r w:rsidRPr="00F60A11">
        <w:rPr>
          <w:rFonts w:ascii="Times New Roman" w:hAnsi="Times New Roman" w:cs="Times New Roman"/>
          <w:color w:val="000000" w:themeColor="text1"/>
          <w:sz w:val="24"/>
          <w:szCs w:val="24"/>
        </w:rPr>
        <w:t>)</w:t>
      </w:r>
      <w:r w:rsidR="00477EFF" w:rsidRPr="0056677D">
        <w:rPr>
          <w:rFonts w:ascii="Times New Roman" w:hAnsi="Times New Roman" w:cs="Times New Roman"/>
          <w:color w:val="000000" w:themeColor="text1"/>
          <w:sz w:val="24"/>
          <w:szCs w:val="24"/>
        </w:rPr>
        <w:t>. I</w:t>
      </w:r>
      <w:r w:rsidRPr="0056677D">
        <w:rPr>
          <w:rFonts w:ascii="Times New Roman" w:hAnsi="Times New Roman" w:cs="Times New Roman"/>
          <w:color w:val="000000" w:themeColor="text1"/>
          <w:sz w:val="24"/>
          <w:szCs w:val="24"/>
        </w:rPr>
        <w:t xml:space="preserve">t boils down </w:t>
      </w:r>
      <w:r w:rsidR="00477EFF" w:rsidRPr="0056677D">
        <w:rPr>
          <w:rFonts w:ascii="Times New Roman" w:hAnsi="Times New Roman" w:cs="Times New Roman"/>
          <w:color w:val="000000" w:themeColor="text1"/>
          <w:sz w:val="24"/>
          <w:szCs w:val="24"/>
        </w:rPr>
        <w:t>to purchasing</w:t>
      </w:r>
      <w:r w:rsidRPr="00836D2F">
        <w:rPr>
          <w:rFonts w:ascii="Times New Roman" w:hAnsi="Times New Roman" w:cs="Times New Roman"/>
          <w:color w:val="000000" w:themeColor="text1"/>
          <w:sz w:val="24"/>
          <w:szCs w:val="24"/>
        </w:rPr>
        <w:t xml:space="preserve"> by the Italian TSO all transport capacity from TTF to PSV on </w:t>
      </w:r>
      <w:r w:rsidR="000539C0">
        <w:rPr>
          <w:rFonts w:ascii="Times New Roman" w:hAnsi="Times New Roman" w:cs="Times New Roman"/>
          <w:color w:val="000000" w:themeColor="text1"/>
          <w:sz w:val="24"/>
          <w:szCs w:val="24"/>
        </w:rPr>
        <w:t xml:space="preserve">a </w:t>
      </w:r>
      <w:r w:rsidRPr="00836D2F">
        <w:rPr>
          <w:rFonts w:ascii="Times New Roman" w:hAnsi="Times New Roman" w:cs="Times New Roman"/>
          <w:color w:val="000000" w:themeColor="text1"/>
          <w:sz w:val="24"/>
          <w:szCs w:val="24"/>
        </w:rPr>
        <w:t>long-term basis and re</w:t>
      </w:r>
      <w:r w:rsidR="00AC205F">
        <w:rPr>
          <w:rFonts w:ascii="Times New Roman" w:hAnsi="Times New Roman" w:cs="Times New Roman"/>
          <w:color w:val="000000" w:themeColor="text1"/>
          <w:sz w:val="24"/>
          <w:szCs w:val="24"/>
        </w:rPr>
        <w:t>selling</w:t>
      </w:r>
      <w:r w:rsidRPr="00836D2F">
        <w:rPr>
          <w:rFonts w:ascii="Times New Roman" w:hAnsi="Times New Roman" w:cs="Times New Roman"/>
          <w:color w:val="000000" w:themeColor="text1"/>
          <w:sz w:val="24"/>
          <w:szCs w:val="24"/>
        </w:rPr>
        <w:t xml:space="preserve"> these capacities to market participants at </w:t>
      </w:r>
      <w:r w:rsidR="000539C0">
        <w:rPr>
          <w:rFonts w:ascii="Times New Roman" w:hAnsi="Times New Roman" w:cs="Times New Roman"/>
          <w:color w:val="000000" w:themeColor="text1"/>
          <w:sz w:val="24"/>
          <w:szCs w:val="24"/>
        </w:rPr>
        <w:t xml:space="preserve">a </w:t>
      </w:r>
      <w:r w:rsidRPr="00836D2F">
        <w:rPr>
          <w:rFonts w:ascii="Times New Roman" w:hAnsi="Times New Roman" w:cs="Times New Roman"/>
          <w:color w:val="000000" w:themeColor="text1"/>
          <w:sz w:val="24"/>
          <w:szCs w:val="24"/>
        </w:rPr>
        <w:t xml:space="preserve">short-run marginal cost (any gap between cost of buying all this capacity and the revenue received will be socialised across Italian gas consumers). </w:t>
      </w:r>
      <w:r w:rsidR="00B95C3D" w:rsidRPr="00836D2F">
        <w:rPr>
          <w:rFonts w:ascii="Times New Roman" w:hAnsi="Times New Roman" w:cs="Times New Roman"/>
          <w:color w:val="000000" w:themeColor="text1"/>
          <w:sz w:val="24"/>
          <w:szCs w:val="24"/>
        </w:rPr>
        <w:t xml:space="preserve">The primary reason </w:t>
      </w:r>
      <w:r w:rsidR="00BA2E21" w:rsidRPr="00836D2F">
        <w:rPr>
          <w:rFonts w:ascii="Times New Roman" w:hAnsi="Times New Roman" w:cs="Times New Roman"/>
          <w:color w:val="000000" w:themeColor="text1"/>
          <w:sz w:val="24"/>
          <w:szCs w:val="24"/>
        </w:rPr>
        <w:t xml:space="preserve">for this solution is to avoid </w:t>
      </w:r>
      <w:r w:rsidR="00BA2E21" w:rsidRPr="005E1AA3">
        <w:rPr>
          <w:rFonts w:ascii="Times New Roman" w:hAnsi="Times New Roman" w:cs="Times New Roman"/>
          <w:color w:val="000000" w:themeColor="text1"/>
          <w:sz w:val="24"/>
          <w:szCs w:val="24"/>
        </w:rPr>
        <w:t xml:space="preserve">‘tariff </w:t>
      </w:r>
      <w:r w:rsidR="001F5936" w:rsidRPr="005E1AA3">
        <w:rPr>
          <w:rFonts w:ascii="Times New Roman" w:hAnsi="Times New Roman" w:cs="Times New Roman"/>
          <w:color w:val="000000" w:themeColor="text1"/>
          <w:sz w:val="24"/>
          <w:szCs w:val="24"/>
        </w:rPr>
        <w:t>pancaking</w:t>
      </w:r>
      <w:r w:rsidR="00BA2E21" w:rsidRPr="005E1AA3">
        <w:rPr>
          <w:rFonts w:ascii="Times New Roman" w:hAnsi="Times New Roman" w:cs="Times New Roman"/>
          <w:color w:val="000000" w:themeColor="text1"/>
          <w:sz w:val="24"/>
          <w:szCs w:val="24"/>
        </w:rPr>
        <w:t>’</w:t>
      </w:r>
      <w:r w:rsidR="00BA2E21" w:rsidRPr="00CE401B">
        <w:rPr>
          <w:rFonts w:ascii="Times New Roman" w:hAnsi="Times New Roman" w:cs="Times New Roman"/>
          <w:i/>
          <w:color w:val="000000" w:themeColor="text1"/>
          <w:sz w:val="24"/>
          <w:szCs w:val="24"/>
        </w:rPr>
        <w:t xml:space="preserve"> </w:t>
      </w:r>
      <w:r w:rsidR="00BA2E21" w:rsidRPr="00CE401B">
        <w:rPr>
          <w:rFonts w:ascii="Times New Roman" w:hAnsi="Times New Roman" w:cs="Times New Roman"/>
          <w:color w:val="000000" w:themeColor="text1"/>
          <w:sz w:val="24"/>
          <w:szCs w:val="24"/>
        </w:rPr>
        <w:t>and to facilitate cross-border gas trade between the marginal source of gas for Italy, which is TTF,</w:t>
      </w:r>
      <w:r w:rsidR="0051467C" w:rsidRPr="004B5525">
        <w:rPr>
          <w:rFonts w:ascii="Times New Roman" w:hAnsi="Times New Roman" w:cs="Times New Roman"/>
          <w:color w:val="000000" w:themeColor="text1"/>
          <w:sz w:val="24"/>
          <w:szCs w:val="24"/>
        </w:rPr>
        <w:t xml:space="preserve"> and its wholesale market. </w:t>
      </w:r>
      <w:r w:rsidR="002F060E" w:rsidRPr="004B5525">
        <w:rPr>
          <w:rFonts w:ascii="Times New Roman" w:hAnsi="Times New Roman" w:cs="Times New Roman"/>
          <w:color w:val="000000" w:themeColor="text1"/>
          <w:sz w:val="24"/>
          <w:szCs w:val="24"/>
        </w:rPr>
        <w:t xml:space="preserve">There are other examples </w:t>
      </w:r>
      <w:r w:rsidR="000539C0">
        <w:rPr>
          <w:rFonts w:ascii="Times New Roman" w:hAnsi="Times New Roman" w:cs="Times New Roman"/>
          <w:color w:val="000000" w:themeColor="text1"/>
          <w:sz w:val="24"/>
          <w:szCs w:val="24"/>
        </w:rPr>
        <w:t>in which</w:t>
      </w:r>
      <w:r w:rsidR="000539C0" w:rsidRPr="004B5525">
        <w:rPr>
          <w:rFonts w:ascii="Times New Roman" w:hAnsi="Times New Roman" w:cs="Times New Roman"/>
          <w:color w:val="000000" w:themeColor="text1"/>
          <w:sz w:val="24"/>
          <w:szCs w:val="24"/>
        </w:rPr>
        <w:t xml:space="preserve"> </w:t>
      </w:r>
      <w:r w:rsidR="002F060E" w:rsidRPr="004B5525">
        <w:rPr>
          <w:rFonts w:ascii="Times New Roman" w:hAnsi="Times New Roman" w:cs="Times New Roman"/>
          <w:color w:val="000000" w:themeColor="text1"/>
          <w:sz w:val="24"/>
          <w:szCs w:val="24"/>
        </w:rPr>
        <w:t>cross-border transport tariffs reaches as high as 50% of wholesale gas commodity prices (</w:t>
      </w:r>
      <w:r w:rsidR="00AE78C0">
        <w:rPr>
          <w:rFonts w:ascii="Times New Roman" w:hAnsi="Times New Roman" w:cs="Times New Roman"/>
          <w:color w:val="000000" w:themeColor="text1"/>
          <w:sz w:val="24"/>
          <w:szCs w:val="24"/>
        </w:rPr>
        <w:t>see, e.g.</w:t>
      </w:r>
      <w:r w:rsidR="002F060E" w:rsidRPr="004B5525">
        <w:rPr>
          <w:rFonts w:ascii="Times New Roman" w:hAnsi="Times New Roman" w:cs="Times New Roman"/>
          <w:color w:val="000000" w:themeColor="text1"/>
          <w:sz w:val="24"/>
          <w:szCs w:val="24"/>
        </w:rPr>
        <w:t xml:space="preserve">, </w:t>
      </w:r>
      <w:r w:rsidR="004A3C0B" w:rsidRPr="004B5525">
        <w:rPr>
          <w:rFonts w:ascii="Times New Roman" w:hAnsi="Times New Roman" w:cs="Times New Roman"/>
          <w:color w:val="000000" w:themeColor="text1"/>
          <w:sz w:val="24"/>
          <w:szCs w:val="24"/>
        </w:rPr>
        <w:t>REKK</w:t>
      </w:r>
      <w:r w:rsidR="00C82968" w:rsidRPr="004B5525">
        <w:rPr>
          <w:rFonts w:ascii="Times New Roman" w:hAnsi="Times New Roman" w:cs="Times New Roman"/>
          <w:color w:val="000000" w:themeColor="text1"/>
          <w:sz w:val="24"/>
          <w:szCs w:val="24"/>
        </w:rPr>
        <w:t xml:space="preserve"> 201</w:t>
      </w:r>
      <w:r w:rsidR="004A3C0B" w:rsidRPr="004B5525">
        <w:rPr>
          <w:rFonts w:ascii="Times New Roman" w:hAnsi="Times New Roman" w:cs="Times New Roman"/>
          <w:color w:val="000000" w:themeColor="text1"/>
          <w:sz w:val="24"/>
          <w:szCs w:val="24"/>
        </w:rPr>
        <w:t>6</w:t>
      </w:r>
      <w:r w:rsidR="002F060E" w:rsidRPr="004B5525">
        <w:rPr>
          <w:rFonts w:ascii="Times New Roman" w:hAnsi="Times New Roman" w:cs="Times New Roman"/>
          <w:color w:val="000000" w:themeColor="text1"/>
          <w:sz w:val="24"/>
          <w:szCs w:val="24"/>
        </w:rPr>
        <w:t>)</w:t>
      </w:r>
      <w:r w:rsidR="004A3C0B" w:rsidRPr="00CF247E">
        <w:rPr>
          <w:rFonts w:ascii="Times New Roman" w:hAnsi="Times New Roman" w:cs="Times New Roman"/>
          <w:color w:val="000000" w:themeColor="text1"/>
          <w:sz w:val="24"/>
          <w:szCs w:val="24"/>
        </w:rPr>
        <w:t xml:space="preserve">. </w:t>
      </w:r>
      <w:r w:rsidR="008D6FE9" w:rsidRPr="00CF247E">
        <w:rPr>
          <w:rFonts w:ascii="Times New Roman" w:hAnsi="Times New Roman" w:cs="Times New Roman"/>
          <w:color w:val="000000" w:themeColor="text1"/>
          <w:sz w:val="24"/>
          <w:szCs w:val="24"/>
        </w:rPr>
        <w:t xml:space="preserve">These high cross-border tariffs </w:t>
      </w:r>
      <w:r w:rsidR="000539C0">
        <w:rPr>
          <w:rFonts w:ascii="Times New Roman" w:hAnsi="Times New Roman" w:cs="Times New Roman"/>
          <w:color w:val="000000" w:themeColor="text1"/>
          <w:sz w:val="24"/>
          <w:szCs w:val="24"/>
        </w:rPr>
        <w:t>are</w:t>
      </w:r>
      <w:r w:rsidR="008D6FE9" w:rsidRPr="00CF247E">
        <w:rPr>
          <w:rFonts w:ascii="Times New Roman" w:hAnsi="Times New Roman" w:cs="Times New Roman"/>
          <w:color w:val="000000" w:themeColor="text1"/>
          <w:sz w:val="24"/>
          <w:szCs w:val="24"/>
        </w:rPr>
        <w:t xml:space="preserve"> predominantly </w:t>
      </w:r>
      <w:r w:rsidR="00D4001B" w:rsidRPr="00DE0337">
        <w:rPr>
          <w:rFonts w:ascii="Times New Roman" w:hAnsi="Times New Roman" w:cs="Times New Roman"/>
          <w:color w:val="000000" w:themeColor="text1"/>
          <w:sz w:val="24"/>
          <w:szCs w:val="24"/>
        </w:rPr>
        <w:t>in</w:t>
      </w:r>
      <w:r w:rsidR="00B851E4" w:rsidRPr="00DE0337">
        <w:rPr>
          <w:rFonts w:ascii="Times New Roman" w:hAnsi="Times New Roman" w:cs="Times New Roman"/>
          <w:color w:val="000000" w:themeColor="text1"/>
          <w:sz w:val="24"/>
          <w:szCs w:val="24"/>
        </w:rPr>
        <w:t xml:space="preserve"> </w:t>
      </w:r>
      <w:r w:rsidR="005E1AA3">
        <w:rPr>
          <w:rFonts w:ascii="Times New Roman" w:hAnsi="Times New Roman" w:cs="Times New Roman"/>
          <w:color w:val="000000" w:themeColor="text1"/>
          <w:sz w:val="24"/>
          <w:szCs w:val="24"/>
        </w:rPr>
        <w:t>Central, Eastern and South-eastern European (CEE/SEE)</w:t>
      </w:r>
      <w:r w:rsidR="008D6FE9" w:rsidRPr="00DE0337">
        <w:rPr>
          <w:rFonts w:ascii="Times New Roman" w:hAnsi="Times New Roman" w:cs="Times New Roman"/>
          <w:color w:val="000000" w:themeColor="text1"/>
          <w:sz w:val="24"/>
          <w:szCs w:val="24"/>
        </w:rPr>
        <w:t xml:space="preserve"> countries</w:t>
      </w:r>
      <w:r w:rsidR="00B851E4" w:rsidRPr="00DE0337">
        <w:rPr>
          <w:rFonts w:ascii="Times New Roman" w:hAnsi="Times New Roman" w:cs="Times New Roman"/>
          <w:color w:val="000000" w:themeColor="text1"/>
          <w:sz w:val="24"/>
          <w:szCs w:val="24"/>
        </w:rPr>
        <w:t xml:space="preserve"> </w:t>
      </w:r>
      <w:r w:rsidR="00D61E9F" w:rsidRPr="007D2561">
        <w:rPr>
          <w:rFonts w:ascii="Times New Roman" w:hAnsi="Times New Roman" w:cs="Times New Roman"/>
          <w:color w:val="000000" w:themeColor="text1"/>
          <w:sz w:val="24"/>
          <w:szCs w:val="24"/>
        </w:rPr>
        <w:t>(</w:t>
      </w:r>
      <w:r w:rsidR="00AE78C0">
        <w:rPr>
          <w:rFonts w:ascii="Times New Roman" w:hAnsi="Times New Roman" w:cs="Times New Roman"/>
          <w:color w:val="000000" w:themeColor="text1"/>
          <w:sz w:val="24"/>
          <w:szCs w:val="24"/>
        </w:rPr>
        <w:t>see, e.g.</w:t>
      </w:r>
      <w:r w:rsidR="00D4001B" w:rsidRPr="007D2561">
        <w:rPr>
          <w:rFonts w:ascii="Times New Roman" w:hAnsi="Times New Roman" w:cs="Times New Roman"/>
          <w:color w:val="000000" w:themeColor="text1"/>
          <w:sz w:val="24"/>
          <w:szCs w:val="24"/>
        </w:rPr>
        <w:t xml:space="preserve">, </w:t>
      </w:r>
      <w:r w:rsidR="00D61E9F" w:rsidRPr="007D2561">
        <w:rPr>
          <w:rFonts w:ascii="Times New Roman" w:hAnsi="Times New Roman" w:cs="Times New Roman"/>
          <w:color w:val="000000" w:themeColor="text1"/>
          <w:sz w:val="24"/>
          <w:szCs w:val="24"/>
        </w:rPr>
        <w:t>REKK, 2016 and ACER, 2017)</w:t>
      </w:r>
      <w:r w:rsidR="005D6FBD" w:rsidRPr="00FC47AF">
        <w:rPr>
          <w:rFonts w:ascii="Times New Roman" w:hAnsi="Times New Roman" w:cs="Times New Roman"/>
          <w:color w:val="000000" w:themeColor="text1"/>
          <w:sz w:val="24"/>
          <w:szCs w:val="24"/>
        </w:rPr>
        <w:t xml:space="preserve"> where </w:t>
      </w:r>
      <w:r w:rsidR="000539C0">
        <w:rPr>
          <w:rFonts w:ascii="Times New Roman" w:hAnsi="Times New Roman" w:cs="Times New Roman"/>
          <w:color w:val="000000" w:themeColor="text1"/>
          <w:sz w:val="24"/>
          <w:szCs w:val="24"/>
        </w:rPr>
        <w:t xml:space="preserve">concern about </w:t>
      </w:r>
      <w:r w:rsidR="005D6FBD" w:rsidRPr="00FC47AF">
        <w:rPr>
          <w:rFonts w:ascii="Times New Roman" w:hAnsi="Times New Roman" w:cs="Times New Roman"/>
          <w:color w:val="000000" w:themeColor="text1"/>
          <w:sz w:val="24"/>
          <w:szCs w:val="24"/>
        </w:rPr>
        <w:t>security of supply is high on the political agenda and if any investment in gas infrastructure is taking place</w:t>
      </w:r>
      <w:r w:rsidR="000539C0">
        <w:rPr>
          <w:rFonts w:ascii="Times New Roman" w:hAnsi="Times New Roman" w:cs="Times New Roman"/>
          <w:color w:val="000000" w:themeColor="text1"/>
          <w:sz w:val="24"/>
          <w:szCs w:val="24"/>
        </w:rPr>
        <w:t>,</w:t>
      </w:r>
      <w:r w:rsidR="005D6FBD" w:rsidRPr="00FC47AF">
        <w:rPr>
          <w:rFonts w:ascii="Times New Roman" w:hAnsi="Times New Roman" w:cs="Times New Roman"/>
          <w:color w:val="000000" w:themeColor="text1"/>
          <w:sz w:val="24"/>
          <w:szCs w:val="24"/>
        </w:rPr>
        <w:t xml:space="preserve"> it will be based on security</w:t>
      </w:r>
      <w:r w:rsidR="00957179" w:rsidRPr="00FC47AF">
        <w:rPr>
          <w:rFonts w:ascii="Times New Roman" w:hAnsi="Times New Roman" w:cs="Times New Roman"/>
          <w:color w:val="000000" w:themeColor="text1"/>
          <w:sz w:val="24"/>
          <w:szCs w:val="24"/>
        </w:rPr>
        <w:t xml:space="preserve"> of supply</w:t>
      </w:r>
      <w:r w:rsidR="005D6FBD" w:rsidRPr="00FC47AF">
        <w:rPr>
          <w:rFonts w:ascii="Times New Roman" w:hAnsi="Times New Roman" w:cs="Times New Roman"/>
          <w:color w:val="000000" w:themeColor="text1"/>
          <w:sz w:val="24"/>
          <w:szCs w:val="24"/>
        </w:rPr>
        <w:t xml:space="preserve"> concerns. </w:t>
      </w:r>
    </w:p>
    <w:p w14:paraId="2FEA4184" w14:textId="7374EDE5" w:rsidR="00136270" w:rsidRPr="004B5525" w:rsidRDefault="00693C42" w:rsidP="00660B3D">
      <w:pPr>
        <w:spacing w:line="360" w:lineRule="auto"/>
        <w:ind w:firstLine="567"/>
        <w:rPr>
          <w:rFonts w:ascii="Times New Roman" w:hAnsi="Times New Roman" w:cs="Times New Roman"/>
          <w:color w:val="000000" w:themeColor="text1"/>
          <w:sz w:val="24"/>
          <w:szCs w:val="24"/>
        </w:rPr>
      </w:pPr>
      <w:r w:rsidRPr="00AE78C0">
        <w:rPr>
          <w:rFonts w:ascii="Times New Roman" w:hAnsi="Times New Roman" w:cs="Times New Roman"/>
          <w:color w:val="000000" w:themeColor="text1"/>
          <w:sz w:val="24"/>
          <w:szCs w:val="24"/>
        </w:rPr>
        <w:lastRenderedPageBreak/>
        <w:t xml:space="preserve">Thus, </w:t>
      </w:r>
      <w:r w:rsidR="004920CA" w:rsidRPr="00AE78C0">
        <w:rPr>
          <w:rFonts w:ascii="Times New Roman" w:hAnsi="Times New Roman" w:cs="Times New Roman"/>
          <w:color w:val="000000" w:themeColor="text1"/>
          <w:sz w:val="24"/>
          <w:szCs w:val="24"/>
        </w:rPr>
        <w:t>the risk of divergence of prices between NWE and CEE/SEE markets in the future</w:t>
      </w:r>
      <w:r w:rsidR="0066089D" w:rsidRPr="00AE78C0">
        <w:rPr>
          <w:rFonts w:ascii="Times New Roman" w:hAnsi="Times New Roman" w:cs="Times New Roman"/>
          <w:color w:val="000000" w:themeColor="text1"/>
          <w:sz w:val="24"/>
          <w:szCs w:val="24"/>
        </w:rPr>
        <w:t xml:space="preserve"> is real with all the political consequences</w:t>
      </w:r>
      <w:r w:rsidR="00CD286E">
        <w:rPr>
          <w:rFonts w:ascii="Times New Roman" w:hAnsi="Times New Roman" w:cs="Times New Roman"/>
          <w:color w:val="000000" w:themeColor="text1"/>
          <w:sz w:val="24"/>
          <w:szCs w:val="24"/>
        </w:rPr>
        <w:t>,</w:t>
      </w:r>
      <w:r w:rsidR="0066089D" w:rsidRPr="00AE78C0">
        <w:rPr>
          <w:rFonts w:ascii="Times New Roman" w:hAnsi="Times New Roman" w:cs="Times New Roman"/>
          <w:color w:val="000000" w:themeColor="text1"/>
          <w:sz w:val="24"/>
          <w:szCs w:val="24"/>
        </w:rPr>
        <w:t xml:space="preserve"> as</w:t>
      </w:r>
      <w:r w:rsidR="00CD286E">
        <w:rPr>
          <w:rFonts w:ascii="Times New Roman" w:hAnsi="Times New Roman" w:cs="Times New Roman"/>
          <w:color w:val="000000" w:themeColor="text1"/>
          <w:sz w:val="24"/>
          <w:szCs w:val="24"/>
        </w:rPr>
        <w:t xml:space="preserve"> </w:t>
      </w:r>
      <w:r w:rsidR="0066089D" w:rsidRPr="00AE78C0">
        <w:rPr>
          <w:rFonts w:ascii="Times New Roman" w:hAnsi="Times New Roman" w:cs="Times New Roman"/>
          <w:color w:val="000000" w:themeColor="text1"/>
          <w:sz w:val="24"/>
          <w:szCs w:val="24"/>
        </w:rPr>
        <w:t>Noel</w:t>
      </w:r>
      <w:r w:rsidR="00CD286E">
        <w:rPr>
          <w:rFonts w:ascii="Times New Roman" w:hAnsi="Times New Roman" w:cs="Times New Roman"/>
          <w:color w:val="000000" w:themeColor="text1"/>
          <w:sz w:val="24"/>
          <w:szCs w:val="24"/>
        </w:rPr>
        <w:t xml:space="preserve"> (</w:t>
      </w:r>
      <w:r w:rsidR="0066089D" w:rsidRPr="00AE78C0">
        <w:rPr>
          <w:rFonts w:ascii="Times New Roman" w:hAnsi="Times New Roman" w:cs="Times New Roman"/>
          <w:color w:val="000000" w:themeColor="text1"/>
          <w:sz w:val="24"/>
          <w:szCs w:val="24"/>
        </w:rPr>
        <w:t>2009)</w:t>
      </w:r>
      <w:r w:rsidR="00CD286E">
        <w:rPr>
          <w:rFonts w:ascii="Times New Roman" w:hAnsi="Times New Roman" w:cs="Times New Roman"/>
          <w:color w:val="000000" w:themeColor="text1"/>
          <w:sz w:val="24"/>
          <w:szCs w:val="24"/>
        </w:rPr>
        <w:t xml:space="preserve"> pointed out</w:t>
      </w:r>
      <w:r w:rsidR="0066089D" w:rsidRPr="00AE78C0">
        <w:rPr>
          <w:rFonts w:ascii="Times New Roman" w:hAnsi="Times New Roman" w:cs="Times New Roman"/>
          <w:color w:val="000000" w:themeColor="text1"/>
          <w:sz w:val="24"/>
          <w:szCs w:val="24"/>
        </w:rPr>
        <w:t>.</w:t>
      </w:r>
      <w:r w:rsidR="008A1F8C" w:rsidRPr="00AE78C0">
        <w:rPr>
          <w:rFonts w:ascii="Times New Roman" w:hAnsi="Times New Roman" w:cs="Times New Roman"/>
          <w:color w:val="000000" w:themeColor="text1"/>
          <w:sz w:val="24"/>
          <w:szCs w:val="24"/>
        </w:rPr>
        <w:t xml:space="preserve"> </w:t>
      </w:r>
      <w:r w:rsidR="009A0703" w:rsidRPr="00AE78C0">
        <w:rPr>
          <w:rFonts w:ascii="Times New Roman" w:hAnsi="Times New Roman" w:cs="Times New Roman"/>
          <w:color w:val="000000" w:themeColor="text1"/>
          <w:sz w:val="24"/>
          <w:szCs w:val="24"/>
        </w:rPr>
        <w:t>Chyong (2017)</w:t>
      </w:r>
      <w:r w:rsidR="00FC2EC4" w:rsidRPr="00F60A11">
        <w:rPr>
          <w:rStyle w:val="FootnoteReference"/>
          <w:rFonts w:ascii="Times New Roman" w:hAnsi="Times New Roman" w:cs="Times New Roman"/>
          <w:color w:val="000000" w:themeColor="text1"/>
          <w:sz w:val="24"/>
          <w:szCs w:val="24"/>
        </w:rPr>
        <w:footnoteReference w:id="13"/>
      </w:r>
      <w:r w:rsidR="009A0703" w:rsidRPr="00F60A11">
        <w:rPr>
          <w:rFonts w:ascii="Times New Roman" w:hAnsi="Times New Roman" w:cs="Times New Roman"/>
          <w:color w:val="000000" w:themeColor="text1"/>
          <w:sz w:val="24"/>
          <w:szCs w:val="24"/>
        </w:rPr>
        <w:t xml:space="preserve"> </w:t>
      </w:r>
      <w:r w:rsidR="00CD3F2B" w:rsidRPr="0056677D">
        <w:rPr>
          <w:rFonts w:ascii="Times New Roman" w:hAnsi="Times New Roman" w:cs="Times New Roman"/>
          <w:color w:val="000000" w:themeColor="text1"/>
          <w:sz w:val="24"/>
          <w:szCs w:val="24"/>
        </w:rPr>
        <w:t xml:space="preserve">demonstrated this issue with </w:t>
      </w:r>
      <w:r w:rsidR="001E5B86" w:rsidRPr="0056677D">
        <w:rPr>
          <w:rFonts w:ascii="Times New Roman" w:hAnsi="Times New Roman" w:cs="Times New Roman"/>
          <w:color w:val="000000" w:themeColor="text1"/>
          <w:sz w:val="24"/>
          <w:szCs w:val="24"/>
        </w:rPr>
        <w:t xml:space="preserve">some </w:t>
      </w:r>
      <w:r w:rsidR="00CD3F2B" w:rsidRPr="0056677D">
        <w:rPr>
          <w:rFonts w:ascii="Times New Roman" w:hAnsi="Times New Roman" w:cs="Times New Roman"/>
          <w:color w:val="000000" w:themeColor="text1"/>
          <w:sz w:val="24"/>
          <w:szCs w:val="24"/>
        </w:rPr>
        <w:t>quantitative results</w:t>
      </w:r>
      <w:r w:rsidR="00CD286E">
        <w:rPr>
          <w:rFonts w:ascii="Times New Roman" w:hAnsi="Times New Roman" w:cs="Times New Roman"/>
          <w:color w:val="000000" w:themeColor="text1"/>
          <w:sz w:val="24"/>
          <w:szCs w:val="24"/>
        </w:rPr>
        <w:t>, showing</w:t>
      </w:r>
      <w:r w:rsidR="00CD3F2B" w:rsidRPr="0056677D">
        <w:rPr>
          <w:rFonts w:ascii="Times New Roman" w:hAnsi="Times New Roman" w:cs="Times New Roman"/>
          <w:color w:val="000000" w:themeColor="text1"/>
          <w:sz w:val="24"/>
          <w:szCs w:val="24"/>
        </w:rPr>
        <w:t xml:space="preserve"> that in the CEE/SEE </w:t>
      </w:r>
      <w:r w:rsidR="00C33C76" w:rsidRPr="0056677D">
        <w:rPr>
          <w:rFonts w:ascii="Times New Roman" w:hAnsi="Times New Roman" w:cs="Times New Roman"/>
          <w:color w:val="000000" w:themeColor="text1"/>
          <w:sz w:val="24"/>
          <w:szCs w:val="24"/>
        </w:rPr>
        <w:t>and the Baltic gas markets</w:t>
      </w:r>
      <w:r w:rsidR="00CD286E">
        <w:rPr>
          <w:rFonts w:ascii="Times New Roman" w:hAnsi="Times New Roman" w:cs="Times New Roman"/>
          <w:color w:val="000000" w:themeColor="text1"/>
          <w:sz w:val="24"/>
          <w:szCs w:val="24"/>
        </w:rPr>
        <w:t>,</w:t>
      </w:r>
      <w:r w:rsidR="00C33C76" w:rsidRPr="0056677D">
        <w:rPr>
          <w:rFonts w:ascii="Times New Roman" w:hAnsi="Times New Roman" w:cs="Times New Roman"/>
          <w:color w:val="000000" w:themeColor="text1"/>
          <w:sz w:val="24"/>
          <w:szCs w:val="24"/>
        </w:rPr>
        <w:t xml:space="preserve"> should Gazprom (a dominant supplier) change its pricing strategy to </w:t>
      </w:r>
      <w:r w:rsidR="00FB23BD" w:rsidRPr="0056677D">
        <w:rPr>
          <w:rFonts w:ascii="Times New Roman" w:hAnsi="Times New Roman" w:cs="Times New Roman"/>
          <w:color w:val="000000" w:themeColor="text1"/>
          <w:sz w:val="24"/>
          <w:szCs w:val="24"/>
        </w:rPr>
        <w:t>lock out competition from LNG</w:t>
      </w:r>
      <w:r w:rsidR="00CD286E">
        <w:rPr>
          <w:rFonts w:ascii="Times New Roman" w:hAnsi="Times New Roman" w:cs="Times New Roman"/>
          <w:color w:val="000000" w:themeColor="text1"/>
          <w:sz w:val="24"/>
          <w:szCs w:val="24"/>
        </w:rPr>
        <w:t>,</w:t>
      </w:r>
      <w:r w:rsidR="00FB23BD" w:rsidRPr="0056677D">
        <w:rPr>
          <w:rFonts w:ascii="Times New Roman" w:hAnsi="Times New Roman" w:cs="Times New Roman"/>
          <w:color w:val="000000" w:themeColor="text1"/>
          <w:sz w:val="24"/>
          <w:szCs w:val="24"/>
        </w:rPr>
        <w:t xml:space="preserve"> then the gas infrastructure that was </w:t>
      </w:r>
      <w:r w:rsidR="000B675C" w:rsidRPr="00836D2F">
        <w:rPr>
          <w:rFonts w:ascii="Times New Roman" w:hAnsi="Times New Roman" w:cs="Times New Roman"/>
          <w:color w:val="000000" w:themeColor="text1"/>
          <w:sz w:val="24"/>
          <w:szCs w:val="24"/>
        </w:rPr>
        <w:t>initially</w:t>
      </w:r>
      <w:r w:rsidR="00FB23BD" w:rsidRPr="00836D2F">
        <w:rPr>
          <w:rFonts w:ascii="Times New Roman" w:hAnsi="Times New Roman" w:cs="Times New Roman"/>
          <w:color w:val="000000" w:themeColor="text1"/>
          <w:sz w:val="24"/>
          <w:szCs w:val="24"/>
        </w:rPr>
        <w:t xml:space="preserve"> built with security of supply in mind will </w:t>
      </w:r>
      <w:r w:rsidR="000B675C" w:rsidRPr="00836D2F">
        <w:rPr>
          <w:rFonts w:ascii="Times New Roman" w:hAnsi="Times New Roman" w:cs="Times New Roman"/>
          <w:color w:val="000000" w:themeColor="text1"/>
          <w:sz w:val="24"/>
          <w:szCs w:val="24"/>
        </w:rPr>
        <w:t xml:space="preserve">see </w:t>
      </w:r>
      <w:r w:rsidR="007B3D07" w:rsidRPr="00836D2F">
        <w:rPr>
          <w:rFonts w:ascii="Times New Roman" w:hAnsi="Times New Roman" w:cs="Times New Roman"/>
          <w:color w:val="000000" w:themeColor="text1"/>
          <w:sz w:val="24"/>
          <w:szCs w:val="24"/>
        </w:rPr>
        <w:t xml:space="preserve">a substantial </w:t>
      </w:r>
      <w:r w:rsidR="000B675C" w:rsidRPr="00836D2F">
        <w:rPr>
          <w:rFonts w:ascii="Times New Roman" w:hAnsi="Times New Roman" w:cs="Times New Roman"/>
          <w:color w:val="000000" w:themeColor="text1"/>
          <w:sz w:val="24"/>
          <w:szCs w:val="24"/>
        </w:rPr>
        <w:t>reduction in their utili</w:t>
      </w:r>
      <w:r w:rsidR="00AC205F">
        <w:rPr>
          <w:rFonts w:ascii="Times New Roman" w:hAnsi="Times New Roman" w:cs="Times New Roman"/>
          <w:color w:val="000000" w:themeColor="text1"/>
          <w:sz w:val="24"/>
          <w:szCs w:val="24"/>
        </w:rPr>
        <w:t>s</w:t>
      </w:r>
      <w:r w:rsidR="000B675C" w:rsidRPr="00836D2F">
        <w:rPr>
          <w:rFonts w:ascii="Times New Roman" w:hAnsi="Times New Roman" w:cs="Times New Roman"/>
          <w:color w:val="000000" w:themeColor="text1"/>
          <w:sz w:val="24"/>
          <w:szCs w:val="24"/>
        </w:rPr>
        <w:t xml:space="preserve">ation. </w:t>
      </w:r>
      <w:r w:rsidR="006F024D" w:rsidRPr="00836D2F">
        <w:rPr>
          <w:rFonts w:ascii="Times New Roman" w:hAnsi="Times New Roman" w:cs="Times New Roman"/>
          <w:color w:val="000000" w:themeColor="text1"/>
          <w:sz w:val="24"/>
          <w:szCs w:val="24"/>
        </w:rPr>
        <w:t xml:space="preserve">This implies greater cross-border transport tariffs and hence </w:t>
      </w:r>
      <w:r w:rsidR="00D96B9F" w:rsidRPr="00CE401B">
        <w:rPr>
          <w:rFonts w:ascii="Times New Roman" w:hAnsi="Times New Roman" w:cs="Times New Roman"/>
          <w:color w:val="000000" w:themeColor="text1"/>
          <w:sz w:val="24"/>
          <w:szCs w:val="24"/>
        </w:rPr>
        <w:t>possible disintegration of these markets from the rest of Europe</w:t>
      </w:r>
      <w:r w:rsidR="007B3D07" w:rsidRPr="00CE401B">
        <w:rPr>
          <w:rFonts w:ascii="Times New Roman" w:hAnsi="Times New Roman" w:cs="Times New Roman"/>
          <w:color w:val="000000" w:themeColor="text1"/>
          <w:sz w:val="24"/>
          <w:szCs w:val="24"/>
        </w:rPr>
        <w:t xml:space="preserve"> (Chyong, 2017)</w:t>
      </w:r>
      <w:r w:rsidR="00D96B9F" w:rsidRPr="00CE401B">
        <w:rPr>
          <w:rFonts w:ascii="Times New Roman" w:hAnsi="Times New Roman" w:cs="Times New Roman"/>
          <w:color w:val="000000" w:themeColor="text1"/>
          <w:sz w:val="24"/>
          <w:szCs w:val="24"/>
        </w:rPr>
        <w:t xml:space="preserve">. </w:t>
      </w:r>
    </w:p>
    <w:p w14:paraId="46375474" w14:textId="450083C4" w:rsidR="005D6FBD" w:rsidRPr="004B5525" w:rsidRDefault="00CE3938" w:rsidP="00660B3D">
      <w:pPr>
        <w:spacing w:line="360" w:lineRule="auto"/>
        <w:ind w:firstLine="567"/>
        <w:rPr>
          <w:rFonts w:ascii="Times New Roman" w:hAnsi="Times New Roman" w:cs="Times New Roman"/>
          <w:color w:val="000000" w:themeColor="text1"/>
          <w:sz w:val="24"/>
          <w:szCs w:val="24"/>
        </w:rPr>
      </w:pPr>
      <w:r w:rsidRPr="004B5525">
        <w:rPr>
          <w:rFonts w:ascii="Times New Roman" w:hAnsi="Times New Roman" w:cs="Times New Roman"/>
          <w:color w:val="000000" w:themeColor="text1"/>
          <w:sz w:val="24"/>
          <w:szCs w:val="24"/>
        </w:rPr>
        <w:t>The issue of transport tariff</w:t>
      </w:r>
      <w:r w:rsidR="00136270" w:rsidRPr="004B5525">
        <w:rPr>
          <w:rFonts w:ascii="Times New Roman" w:hAnsi="Times New Roman" w:cs="Times New Roman"/>
          <w:color w:val="000000" w:themeColor="text1"/>
          <w:sz w:val="24"/>
          <w:szCs w:val="24"/>
        </w:rPr>
        <w:t xml:space="preserve"> and</w:t>
      </w:r>
      <w:r w:rsidRPr="004B5525">
        <w:rPr>
          <w:rFonts w:ascii="Times New Roman" w:hAnsi="Times New Roman" w:cs="Times New Roman"/>
          <w:color w:val="000000" w:themeColor="text1"/>
          <w:sz w:val="24"/>
          <w:szCs w:val="24"/>
        </w:rPr>
        <w:t xml:space="preserve"> the way infrastructure cost should be recovered </w:t>
      </w:r>
      <w:r w:rsidR="00CD286E">
        <w:rPr>
          <w:rFonts w:ascii="Times New Roman" w:hAnsi="Times New Roman" w:cs="Times New Roman"/>
          <w:color w:val="000000" w:themeColor="text1"/>
          <w:sz w:val="24"/>
          <w:szCs w:val="24"/>
        </w:rPr>
        <w:t>are</w:t>
      </w:r>
      <w:r w:rsidR="00CD286E" w:rsidRPr="004B5525">
        <w:rPr>
          <w:rFonts w:ascii="Times New Roman" w:hAnsi="Times New Roman" w:cs="Times New Roman"/>
          <w:color w:val="000000" w:themeColor="text1"/>
          <w:sz w:val="24"/>
          <w:szCs w:val="24"/>
        </w:rPr>
        <w:t xml:space="preserve"> </w:t>
      </w:r>
      <w:r w:rsidRPr="004B5525">
        <w:rPr>
          <w:rFonts w:ascii="Times New Roman" w:hAnsi="Times New Roman" w:cs="Times New Roman"/>
          <w:color w:val="000000" w:themeColor="text1"/>
          <w:sz w:val="24"/>
          <w:szCs w:val="24"/>
        </w:rPr>
        <w:t xml:space="preserve">going to play </w:t>
      </w:r>
      <w:r w:rsidR="00CD286E" w:rsidRPr="004B5525">
        <w:rPr>
          <w:rFonts w:ascii="Times New Roman" w:hAnsi="Times New Roman" w:cs="Times New Roman"/>
          <w:color w:val="000000" w:themeColor="text1"/>
          <w:sz w:val="24"/>
          <w:szCs w:val="24"/>
        </w:rPr>
        <w:t>ever</w:t>
      </w:r>
      <w:r w:rsidR="00CD286E">
        <w:rPr>
          <w:rFonts w:ascii="Times New Roman" w:hAnsi="Times New Roman" w:cs="Times New Roman"/>
          <w:color w:val="000000" w:themeColor="text1"/>
          <w:sz w:val="24"/>
          <w:szCs w:val="24"/>
        </w:rPr>
        <w:t>-</w:t>
      </w:r>
      <w:r w:rsidR="00C5491C" w:rsidRPr="004B5525">
        <w:rPr>
          <w:rFonts w:ascii="Times New Roman" w:hAnsi="Times New Roman" w:cs="Times New Roman"/>
          <w:color w:val="000000" w:themeColor="text1"/>
          <w:sz w:val="24"/>
          <w:szCs w:val="24"/>
        </w:rPr>
        <w:t>more important role</w:t>
      </w:r>
      <w:r w:rsidR="00CD286E">
        <w:rPr>
          <w:rFonts w:ascii="Times New Roman" w:hAnsi="Times New Roman" w:cs="Times New Roman"/>
          <w:color w:val="000000" w:themeColor="text1"/>
          <w:sz w:val="24"/>
          <w:szCs w:val="24"/>
        </w:rPr>
        <w:t>s,</w:t>
      </w:r>
      <w:r w:rsidR="00C5491C" w:rsidRPr="004B5525">
        <w:rPr>
          <w:rFonts w:ascii="Times New Roman" w:hAnsi="Times New Roman" w:cs="Times New Roman"/>
          <w:color w:val="000000" w:themeColor="text1"/>
          <w:sz w:val="24"/>
          <w:szCs w:val="24"/>
        </w:rPr>
        <w:t xml:space="preserve"> not least because of price divergence</w:t>
      </w:r>
      <w:r w:rsidR="00CD286E">
        <w:rPr>
          <w:rFonts w:ascii="Times New Roman" w:hAnsi="Times New Roman" w:cs="Times New Roman"/>
          <w:color w:val="000000" w:themeColor="text1"/>
          <w:sz w:val="24"/>
          <w:szCs w:val="24"/>
        </w:rPr>
        <w:t>,</w:t>
      </w:r>
      <w:r w:rsidR="00C5491C" w:rsidRPr="004B5525">
        <w:rPr>
          <w:rFonts w:ascii="Times New Roman" w:hAnsi="Times New Roman" w:cs="Times New Roman"/>
          <w:color w:val="000000" w:themeColor="text1"/>
          <w:sz w:val="24"/>
          <w:szCs w:val="24"/>
        </w:rPr>
        <w:t xml:space="preserve"> but also because this will dictate pricing strategy of dominant suppliers in those market</w:t>
      </w:r>
      <w:r w:rsidR="001E681A" w:rsidRPr="004B5525">
        <w:rPr>
          <w:rFonts w:ascii="Times New Roman" w:hAnsi="Times New Roman" w:cs="Times New Roman"/>
          <w:color w:val="000000" w:themeColor="text1"/>
          <w:sz w:val="24"/>
          <w:szCs w:val="24"/>
        </w:rPr>
        <w:t>s.</w:t>
      </w:r>
      <w:r w:rsidR="00136270" w:rsidRPr="00CF247E">
        <w:rPr>
          <w:rFonts w:ascii="Times New Roman" w:hAnsi="Times New Roman" w:cs="Times New Roman"/>
          <w:color w:val="000000" w:themeColor="text1"/>
          <w:sz w:val="24"/>
          <w:szCs w:val="24"/>
        </w:rPr>
        <w:t xml:space="preserve"> This is because, f</w:t>
      </w:r>
      <w:r w:rsidR="00B650BE" w:rsidRPr="00CF247E">
        <w:rPr>
          <w:rFonts w:ascii="Times New Roman" w:hAnsi="Times New Roman" w:cs="Times New Roman"/>
          <w:color w:val="000000" w:themeColor="text1"/>
          <w:sz w:val="24"/>
          <w:szCs w:val="24"/>
        </w:rPr>
        <w:t xml:space="preserve">rom </w:t>
      </w:r>
      <w:r w:rsidR="00FB24BC" w:rsidRPr="00DE0337">
        <w:rPr>
          <w:rFonts w:ascii="Times New Roman" w:hAnsi="Times New Roman" w:cs="Times New Roman"/>
          <w:color w:val="000000" w:themeColor="text1"/>
          <w:sz w:val="24"/>
          <w:szCs w:val="24"/>
        </w:rPr>
        <w:t xml:space="preserve">the </w:t>
      </w:r>
      <w:r w:rsidR="00B650BE" w:rsidRPr="00DE0337">
        <w:rPr>
          <w:rFonts w:ascii="Times New Roman" w:hAnsi="Times New Roman" w:cs="Times New Roman"/>
          <w:color w:val="000000" w:themeColor="text1"/>
          <w:sz w:val="24"/>
          <w:szCs w:val="24"/>
        </w:rPr>
        <w:t>economic point of view</w:t>
      </w:r>
      <w:r w:rsidR="00CD286E">
        <w:rPr>
          <w:rFonts w:ascii="Times New Roman" w:hAnsi="Times New Roman" w:cs="Times New Roman"/>
          <w:color w:val="000000" w:themeColor="text1"/>
          <w:sz w:val="24"/>
          <w:szCs w:val="24"/>
        </w:rPr>
        <w:t>,</w:t>
      </w:r>
      <w:r w:rsidR="00B650BE" w:rsidRPr="00DE0337">
        <w:rPr>
          <w:rFonts w:ascii="Times New Roman" w:hAnsi="Times New Roman" w:cs="Times New Roman"/>
          <w:color w:val="000000" w:themeColor="text1"/>
          <w:sz w:val="24"/>
          <w:szCs w:val="24"/>
        </w:rPr>
        <w:t xml:space="preserve"> </w:t>
      </w:r>
      <w:r w:rsidR="00B650BE" w:rsidRPr="005E1AA3">
        <w:rPr>
          <w:rFonts w:ascii="Times New Roman" w:hAnsi="Times New Roman" w:cs="Times New Roman"/>
          <w:color w:val="000000" w:themeColor="text1"/>
          <w:sz w:val="24"/>
          <w:szCs w:val="24"/>
        </w:rPr>
        <w:t xml:space="preserve">‘tariff </w:t>
      </w:r>
      <w:r w:rsidR="001F5936" w:rsidRPr="005E1AA3">
        <w:rPr>
          <w:rFonts w:ascii="Times New Roman" w:hAnsi="Times New Roman" w:cs="Times New Roman"/>
          <w:color w:val="000000" w:themeColor="text1"/>
          <w:sz w:val="24"/>
          <w:szCs w:val="24"/>
        </w:rPr>
        <w:t>pancaking</w:t>
      </w:r>
      <w:r w:rsidR="00B650BE" w:rsidRPr="005E1AA3">
        <w:rPr>
          <w:rFonts w:ascii="Times New Roman" w:hAnsi="Times New Roman" w:cs="Times New Roman"/>
          <w:color w:val="000000" w:themeColor="text1"/>
          <w:sz w:val="24"/>
          <w:szCs w:val="24"/>
        </w:rPr>
        <w:t>’</w:t>
      </w:r>
      <w:r w:rsidR="00B650BE" w:rsidRPr="00CD286E">
        <w:rPr>
          <w:rFonts w:ascii="Times New Roman" w:hAnsi="Times New Roman" w:cs="Times New Roman"/>
          <w:color w:val="000000" w:themeColor="text1"/>
          <w:sz w:val="24"/>
          <w:szCs w:val="24"/>
        </w:rPr>
        <w:t xml:space="preserve"> </w:t>
      </w:r>
      <w:r w:rsidR="00B650BE" w:rsidRPr="007D2561">
        <w:rPr>
          <w:rFonts w:ascii="Times New Roman" w:hAnsi="Times New Roman" w:cs="Times New Roman"/>
          <w:color w:val="000000" w:themeColor="text1"/>
          <w:sz w:val="24"/>
          <w:szCs w:val="24"/>
        </w:rPr>
        <w:t xml:space="preserve">distorts competition </w:t>
      </w:r>
      <w:r w:rsidR="00B576BE" w:rsidRPr="007D2561">
        <w:rPr>
          <w:rFonts w:ascii="Times New Roman" w:hAnsi="Times New Roman" w:cs="Times New Roman"/>
          <w:color w:val="000000" w:themeColor="text1"/>
          <w:sz w:val="24"/>
          <w:szCs w:val="24"/>
        </w:rPr>
        <w:t>and cross-border trade by increasing wholesale price differentials</w:t>
      </w:r>
      <w:r w:rsidR="00CD286E">
        <w:rPr>
          <w:rFonts w:ascii="Times New Roman" w:hAnsi="Times New Roman" w:cs="Times New Roman"/>
          <w:color w:val="000000" w:themeColor="text1"/>
          <w:sz w:val="24"/>
          <w:szCs w:val="24"/>
        </w:rPr>
        <w:t>,</w:t>
      </w:r>
      <w:r w:rsidR="00B576BE" w:rsidRPr="007D2561">
        <w:rPr>
          <w:rFonts w:ascii="Times New Roman" w:hAnsi="Times New Roman" w:cs="Times New Roman"/>
          <w:color w:val="000000" w:themeColor="text1"/>
          <w:sz w:val="24"/>
          <w:szCs w:val="24"/>
        </w:rPr>
        <w:t xml:space="preserve"> allowing a </w:t>
      </w:r>
      <w:r w:rsidR="00A75FA5" w:rsidRPr="00FC47AF">
        <w:rPr>
          <w:rFonts w:ascii="Times New Roman" w:hAnsi="Times New Roman" w:cs="Times New Roman"/>
          <w:color w:val="000000" w:themeColor="text1"/>
          <w:sz w:val="24"/>
          <w:szCs w:val="24"/>
        </w:rPr>
        <w:t>costlier</w:t>
      </w:r>
      <w:r w:rsidR="00B576BE" w:rsidRPr="00FC47AF">
        <w:rPr>
          <w:rFonts w:ascii="Times New Roman" w:hAnsi="Times New Roman" w:cs="Times New Roman"/>
          <w:color w:val="000000" w:themeColor="text1"/>
          <w:sz w:val="24"/>
          <w:szCs w:val="24"/>
        </w:rPr>
        <w:t xml:space="preserve"> marginal source to meet demand</w:t>
      </w:r>
      <w:r w:rsidR="00A75FA5" w:rsidRPr="00FC47AF">
        <w:rPr>
          <w:rFonts w:ascii="Times New Roman" w:hAnsi="Times New Roman" w:cs="Times New Roman"/>
          <w:color w:val="000000" w:themeColor="text1"/>
          <w:sz w:val="24"/>
          <w:szCs w:val="24"/>
        </w:rPr>
        <w:t xml:space="preserve">. </w:t>
      </w:r>
      <w:r w:rsidR="00B66FC6" w:rsidRPr="00FC47AF">
        <w:rPr>
          <w:rFonts w:ascii="Times New Roman" w:hAnsi="Times New Roman" w:cs="Times New Roman"/>
          <w:color w:val="000000" w:themeColor="text1"/>
          <w:sz w:val="24"/>
          <w:szCs w:val="24"/>
        </w:rPr>
        <w:t xml:space="preserve">Put this differently, a </w:t>
      </w:r>
      <w:r w:rsidR="009E1A7F" w:rsidRPr="00AE78C0">
        <w:rPr>
          <w:rFonts w:ascii="Times New Roman" w:hAnsi="Times New Roman" w:cs="Times New Roman"/>
          <w:color w:val="000000" w:themeColor="text1"/>
          <w:sz w:val="24"/>
          <w:szCs w:val="24"/>
        </w:rPr>
        <w:t xml:space="preserve">‘clever’ </w:t>
      </w:r>
      <w:r w:rsidR="009E1A7F" w:rsidRPr="00AE78C0">
        <w:rPr>
          <w:rFonts w:ascii="Times New Roman" w:hAnsi="Times New Roman" w:cs="Times New Roman"/>
          <w:i/>
          <w:color w:val="000000" w:themeColor="text1"/>
          <w:sz w:val="24"/>
          <w:szCs w:val="24"/>
        </w:rPr>
        <w:t>Stackelberg</w:t>
      </w:r>
      <w:r w:rsidR="009E1A7F" w:rsidRPr="00AE78C0">
        <w:rPr>
          <w:rFonts w:ascii="Times New Roman" w:hAnsi="Times New Roman" w:cs="Times New Roman"/>
          <w:color w:val="000000" w:themeColor="text1"/>
          <w:sz w:val="24"/>
          <w:szCs w:val="24"/>
        </w:rPr>
        <w:t xml:space="preserve"> supplier will price its gas </w:t>
      </w:r>
      <w:r w:rsidR="00117F7B" w:rsidRPr="000539C0">
        <w:rPr>
          <w:rFonts w:ascii="Times New Roman" w:hAnsi="Times New Roman" w:cs="Times New Roman"/>
          <w:color w:val="000000" w:themeColor="text1"/>
          <w:sz w:val="24"/>
          <w:szCs w:val="24"/>
        </w:rPr>
        <w:t xml:space="preserve">just slightly cheaper than the </w:t>
      </w:r>
      <w:r w:rsidR="00ED00DE" w:rsidRPr="000539C0">
        <w:rPr>
          <w:rFonts w:ascii="Times New Roman" w:hAnsi="Times New Roman" w:cs="Times New Roman"/>
          <w:color w:val="000000" w:themeColor="text1"/>
          <w:sz w:val="24"/>
          <w:szCs w:val="24"/>
        </w:rPr>
        <w:t xml:space="preserve">most expensive supply source </w:t>
      </w:r>
      <w:r w:rsidR="00ED00DE" w:rsidRPr="000539C0">
        <w:rPr>
          <w:rFonts w:ascii="Times New Roman" w:hAnsi="Times New Roman" w:cs="Times New Roman"/>
          <w:i/>
          <w:color w:val="000000" w:themeColor="text1"/>
          <w:sz w:val="24"/>
          <w:szCs w:val="24"/>
        </w:rPr>
        <w:t>plus</w:t>
      </w:r>
      <w:r w:rsidR="00ED00DE" w:rsidRPr="000539C0">
        <w:rPr>
          <w:rFonts w:ascii="Times New Roman" w:hAnsi="Times New Roman" w:cs="Times New Roman"/>
          <w:color w:val="000000" w:themeColor="text1"/>
          <w:sz w:val="24"/>
          <w:szCs w:val="24"/>
        </w:rPr>
        <w:t xml:space="preserve"> the transport tariff into that market</w:t>
      </w:r>
      <w:r w:rsidR="004A21BB" w:rsidRPr="00F60A11">
        <w:rPr>
          <w:rStyle w:val="FootnoteReference"/>
          <w:rFonts w:ascii="Times New Roman" w:hAnsi="Times New Roman" w:cs="Times New Roman"/>
          <w:color w:val="000000" w:themeColor="text1"/>
          <w:sz w:val="24"/>
          <w:szCs w:val="24"/>
        </w:rPr>
        <w:footnoteReference w:id="14"/>
      </w:r>
      <w:r w:rsidR="00E966AA">
        <w:rPr>
          <w:rFonts w:ascii="Times New Roman" w:hAnsi="Times New Roman" w:cs="Times New Roman"/>
          <w:color w:val="000000" w:themeColor="text1"/>
          <w:sz w:val="24"/>
          <w:szCs w:val="24"/>
        </w:rPr>
        <w:t>.</w:t>
      </w:r>
      <w:r w:rsidR="00ED00DE" w:rsidRPr="00F60A11">
        <w:rPr>
          <w:rFonts w:ascii="Times New Roman" w:hAnsi="Times New Roman" w:cs="Times New Roman"/>
          <w:color w:val="000000" w:themeColor="text1"/>
          <w:sz w:val="24"/>
          <w:szCs w:val="24"/>
        </w:rPr>
        <w:t xml:space="preserve"> </w:t>
      </w:r>
      <w:r w:rsidR="005A480E" w:rsidRPr="005E1AA3">
        <w:rPr>
          <w:rFonts w:ascii="Times New Roman" w:hAnsi="Times New Roman" w:cs="Times New Roman"/>
          <w:color w:val="000000" w:themeColor="text1"/>
          <w:sz w:val="24"/>
          <w:szCs w:val="24"/>
        </w:rPr>
        <w:t>‘Tariff pancaking’</w:t>
      </w:r>
      <w:r w:rsidR="005A480E" w:rsidRPr="0056677D">
        <w:rPr>
          <w:rFonts w:ascii="Times New Roman" w:hAnsi="Times New Roman" w:cs="Times New Roman"/>
          <w:color w:val="000000" w:themeColor="text1"/>
          <w:sz w:val="24"/>
          <w:szCs w:val="24"/>
        </w:rPr>
        <w:t xml:space="preserve"> </w:t>
      </w:r>
      <w:r w:rsidR="00A75FA5" w:rsidRPr="0056677D">
        <w:rPr>
          <w:rFonts w:ascii="Times New Roman" w:hAnsi="Times New Roman" w:cs="Times New Roman"/>
          <w:color w:val="000000" w:themeColor="text1"/>
          <w:sz w:val="24"/>
          <w:szCs w:val="24"/>
        </w:rPr>
        <w:t>also reduces the utili</w:t>
      </w:r>
      <w:r w:rsidR="00AC205F">
        <w:rPr>
          <w:rFonts w:ascii="Times New Roman" w:hAnsi="Times New Roman" w:cs="Times New Roman"/>
          <w:color w:val="000000" w:themeColor="text1"/>
          <w:sz w:val="24"/>
          <w:szCs w:val="24"/>
        </w:rPr>
        <w:t>s</w:t>
      </w:r>
      <w:r w:rsidR="00A75FA5" w:rsidRPr="0056677D">
        <w:rPr>
          <w:rFonts w:ascii="Times New Roman" w:hAnsi="Times New Roman" w:cs="Times New Roman"/>
          <w:color w:val="000000" w:themeColor="text1"/>
          <w:sz w:val="24"/>
          <w:szCs w:val="24"/>
        </w:rPr>
        <w:t xml:space="preserve">ation of existing infrastructure </w:t>
      </w:r>
      <w:r w:rsidR="00AD7B95" w:rsidRPr="00836D2F">
        <w:rPr>
          <w:rFonts w:ascii="Times New Roman" w:hAnsi="Times New Roman" w:cs="Times New Roman"/>
          <w:color w:val="000000" w:themeColor="text1"/>
          <w:sz w:val="24"/>
          <w:szCs w:val="24"/>
        </w:rPr>
        <w:t xml:space="preserve">and could lead to </w:t>
      </w:r>
      <w:r w:rsidR="006E1834" w:rsidRPr="00836D2F">
        <w:rPr>
          <w:rFonts w:ascii="Times New Roman" w:hAnsi="Times New Roman" w:cs="Times New Roman"/>
          <w:color w:val="000000" w:themeColor="text1"/>
          <w:sz w:val="24"/>
          <w:szCs w:val="24"/>
        </w:rPr>
        <w:t>a death spiral in that</w:t>
      </w:r>
      <w:r w:rsidR="0006414D" w:rsidRPr="00836D2F">
        <w:rPr>
          <w:rFonts w:ascii="Times New Roman" w:hAnsi="Times New Roman" w:cs="Times New Roman"/>
          <w:color w:val="000000" w:themeColor="text1"/>
          <w:sz w:val="24"/>
          <w:szCs w:val="24"/>
        </w:rPr>
        <w:t xml:space="preserve"> </w:t>
      </w:r>
      <w:r w:rsidR="00E966AA">
        <w:rPr>
          <w:rFonts w:ascii="Times New Roman" w:hAnsi="Times New Roman" w:cs="Times New Roman"/>
          <w:color w:val="000000" w:themeColor="text1"/>
          <w:sz w:val="24"/>
          <w:szCs w:val="24"/>
        </w:rPr>
        <w:t xml:space="preserve">a </w:t>
      </w:r>
      <w:r w:rsidR="0006414D" w:rsidRPr="00836D2F">
        <w:rPr>
          <w:rFonts w:ascii="Times New Roman" w:hAnsi="Times New Roman" w:cs="Times New Roman"/>
          <w:color w:val="000000" w:themeColor="text1"/>
          <w:sz w:val="24"/>
          <w:szCs w:val="24"/>
        </w:rPr>
        <w:t>lower utili</w:t>
      </w:r>
      <w:r w:rsidR="00AC205F">
        <w:rPr>
          <w:rFonts w:ascii="Times New Roman" w:hAnsi="Times New Roman" w:cs="Times New Roman"/>
          <w:color w:val="000000" w:themeColor="text1"/>
          <w:sz w:val="24"/>
          <w:szCs w:val="24"/>
        </w:rPr>
        <w:t>s</w:t>
      </w:r>
      <w:r w:rsidR="0006414D" w:rsidRPr="00836D2F">
        <w:rPr>
          <w:rFonts w:ascii="Times New Roman" w:hAnsi="Times New Roman" w:cs="Times New Roman"/>
          <w:color w:val="000000" w:themeColor="text1"/>
          <w:sz w:val="24"/>
          <w:szCs w:val="24"/>
        </w:rPr>
        <w:t>ation rate will increase tariffs (average cost) further</w:t>
      </w:r>
      <w:r w:rsidR="00E966AA">
        <w:rPr>
          <w:rFonts w:ascii="Times New Roman" w:hAnsi="Times New Roman" w:cs="Times New Roman"/>
          <w:color w:val="000000" w:themeColor="text1"/>
          <w:sz w:val="24"/>
          <w:szCs w:val="24"/>
        </w:rPr>
        <w:t>. T</w:t>
      </w:r>
      <w:r w:rsidR="0006414D" w:rsidRPr="00836D2F">
        <w:rPr>
          <w:rFonts w:ascii="Times New Roman" w:hAnsi="Times New Roman" w:cs="Times New Roman"/>
          <w:color w:val="000000" w:themeColor="text1"/>
          <w:sz w:val="24"/>
          <w:szCs w:val="24"/>
        </w:rPr>
        <w:t xml:space="preserve">his is </w:t>
      </w:r>
      <w:r w:rsidR="00C629B6" w:rsidRPr="00836D2F">
        <w:rPr>
          <w:rFonts w:ascii="Times New Roman" w:hAnsi="Times New Roman" w:cs="Times New Roman"/>
          <w:color w:val="000000" w:themeColor="text1"/>
          <w:sz w:val="24"/>
          <w:szCs w:val="24"/>
        </w:rPr>
        <w:t xml:space="preserve">inefficient when </w:t>
      </w:r>
      <w:r w:rsidR="00E966AA">
        <w:rPr>
          <w:rFonts w:ascii="Times New Roman" w:hAnsi="Times New Roman" w:cs="Times New Roman"/>
          <w:color w:val="000000" w:themeColor="text1"/>
          <w:sz w:val="24"/>
          <w:szCs w:val="24"/>
        </w:rPr>
        <w:t xml:space="preserve">the </w:t>
      </w:r>
      <w:r w:rsidR="00C629B6" w:rsidRPr="00836D2F">
        <w:rPr>
          <w:rFonts w:ascii="Times New Roman" w:hAnsi="Times New Roman" w:cs="Times New Roman"/>
          <w:color w:val="000000" w:themeColor="text1"/>
          <w:sz w:val="24"/>
          <w:szCs w:val="24"/>
        </w:rPr>
        <w:t xml:space="preserve">average cost is </w:t>
      </w:r>
      <w:r w:rsidR="00FB24BC" w:rsidRPr="00CE401B">
        <w:rPr>
          <w:rFonts w:ascii="Times New Roman" w:hAnsi="Times New Roman" w:cs="Times New Roman"/>
          <w:color w:val="000000" w:themeColor="text1"/>
          <w:sz w:val="24"/>
          <w:szCs w:val="24"/>
        </w:rPr>
        <w:t xml:space="preserve">increasing relative to </w:t>
      </w:r>
      <w:r w:rsidR="00C629B6" w:rsidRPr="00CE401B">
        <w:rPr>
          <w:rFonts w:ascii="Times New Roman" w:hAnsi="Times New Roman" w:cs="Times New Roman"/>
          <w:color w:val="000000" w:themeColor="text1"/>
          <w:sz w:val="24"/>
          <w:szCs w:val="24"/>
        </w:rPr>
        <w:t>short-run marginal cost</w:t>
      </w:r>
      <w:r w:rsidR="00E966AA">
        <w:rPr>
          <w:rFonts w:ascii="Times New Roman" w:hAnsi="Times New Roman" w:cs="Times New Roman"/>
          <w:color w:val="000000" w:themeColor="text1"/>
          <w:sz w:val="24"/>
          <w:szCs w:val="24"/>
        </w:rPr>
        <w:t>s</w:t>
      </w:r>
      <w:r w:rsidR="00C629B6" w:rsidRPr="00CE401B">
        <w:rPr>
          <w:rFonts w:ascii="Times New Roman" w:hAnsi="Times New Roman" w:cs="Times New Roman"/>
          <w:color w:val="000000" w:themeColor="text1"/>
          <w:sz w:val="24"/>
          <w:szCs w:val="24"/>
        </w:rPr>
        <w:t>.</w:t>
      </w:r>
    </w:p>
    <w:p w14:paraId="15A16E12" w14:textId="452F7CA6" w:rsidR="00B951BB" w:rsidRPr="007D2561" w:rsidRDefault="00136270" w:rsidP="00660B3D">
      <w:pPr>
        <w:spacing w:line="360" w:lineRule="auto"/>
        <w:ind w:firstLine="567"/>
        <w:rPr>
          <w:rFonts w:ascii="Times New Roman" w:hAnsi="Times New Roman" w:cs="Times New Roman"/>
          <w:color w:val="000000" w:themeColor="text1"/>
          <w:sz w:val="24"/>
          <w:szCs w:val="24"/>
        </w:rPr>
      </w:pPr>
      <w:r w:rsidRPr="004B5525">
        <w:rPr>
          <w:rFonts w:ascii="Times New Roman" w:hAnsi="Times New Roman" w:cs="Times New Roman"/>
          <w:color w:val="000000" w:themeColor="text1"/>
          <w:sz w:val="24"/>
          <w:szCs w:val="24"/>
        </w:rPr>
        <w:t>Furthermore, t</w:t>
      </w:r>
      <w:r w:rsidR="001673E9" w:rsidRPr="004B5525">
        <w:rPr>
          <w:rFonts w:ascii="Times New Roman" w:hAnsi="Times New Roman" w:cs="Times New Roman"/>
          <w:color w:val="000000" w:themeColor="text1"/>
          <w:sz w:val="24"/>
          <w:szCs w:val="24"/>
        </w:rPr>
        <w:t xml:space="preserve">he nature of transport </w:t>
      </w:r>
      <w:r w:rsidR="00E52419" w:rsidRPr="004B5525">
        <w:rPr>
          <w:rFonts w:ascii="Times New Roman" w:hAnsi="Times New Roman" w:cs="Times New Roman"/>
          <w:color w:val="000000" w:themeColor="text1"/>
          <w:sz w:val="24"/>
          <w:szCs w:val="24"/>
        </w:rPr>
        <w:t xml:space="preserve">tariff </w:t>
      </w:r>
      <w:r w:rsidR="009E1CA6" w:rsidRPr="004B5525">
        <w:rPr>
          <w:rFonts w:ascii="Times New Roman" w:hAnsi="Times New Roman" w:cs="Times New Roman"/>
          <w:color w:val="000000" w:themeColor="text1"/>
          <w:sz w:val="24"/>
          <w:szCs w:val="24"/>
        </w:rPr>
        <w:t>setting</w:t>
      </w:r>
      <w:r w:rsidR="001673E9" w:rsidRPr="004B5525">
        <w:rPr>
          <w:rFonts w:ascii="Times New Roman" w:hAnsi="Times New Roman" w:cs="Times New Roman"/>
          <w:color w:val="000000" w:themeColor="text1"/>
          <w:sz w:val="24"/>
          <w:szCs w:val="24"/>
        </w:rPr>
        <w:t xml:space="preserve"> in </w:t>
      </w:r>
      <w:r w:rsidR="00AD63EC" w:rsidRPr="004B5525">
        <w:rPr>
          <w:rFonts w:ascii="Times New Roman" w:hAnsi="Times New Roman" w:cs="Times New Roman"/>
          <w:color w:val="000000" w:themeColor="text1"/>
          <w:sz w:val="24"/>
          <w:szCs w:val="24"/>
        </w:rPr>
        <w:t xml:space="preserve">the existing entry-exit system is such that it may be influenced by </w:t>
      </w:r>
      <w:r w:rsidR="00E966AA">
        <w:rPr>
          <w:rFonts w:ascii="Times New Roman" w:hAnsi="Times New Roman" w:cs="Times New Roman"/>
          <w:color w:val="000000" w:themeColor="text1"/>
          <w:sz w:val="24"/>
          <w:szCs w:val="24"/>
        </w:rPr>
        <w:t xml:space="preserve">the </w:t>
      </w:r>
      <w:r w:rsidR="00AD63EC" w:rsidRPr="004B5525">
        <w:rPr>
          <w:rFonts w:ascii="Times New Roman" w:hAnsi="Times New Roman" w:cs="Times New Roman"/>
          <w:color w:val="000000" w:themeColor="text1"/>
          <w:sz w:val="24"/>
          <w:szCs w:val="24"/>
        </w:rPr>
        <w:t>political economy consid</w:t>
      </w:r>
      <w:r w:rsidR="0065223F" w:rsidRPr="00CF247E">
        <w:rPr>
          <w:rFonts w:ascii="Times New Roman" w:hAnsi="Times New Roman" w:cs="Times New Roman"/>
          <w:color w:val="000000" w:themeColor="text1"/>
          <w:sz w:val="24"/>
          <w:szCs w:val="24"/>
        </w:rPr>
        <w:t>erations of each member states and</w:t>
      </w:r>
      <w:r w:rsidR="00AD63EC" w:rsidRPr="00CF247E">
        <w:rPr>
          <w:rFonts w:ascii="Times New Roman" w:hAnsi="Times New Roman" w:cs="Times New Roman"/>
          <w:color w:val="000000" w:themeColor="text1"/>
          <w:sz w:val="24"/>
          <w:szCs w:val="24"/>
        </w:rPr>
        <w:t xml:space="preserve"> </w:t>
      </w:r>
      <w:r w:rsidR="003D2C40">
        <w:rPr>
          <w:rFonts w:ascii="Times New Roman" w:hAnsi="Times New Roman" w:cs="Times New Roman"/>
          <w:color w:val="000000" w:themeColor="text1"/>
          <w:sz w:val="24"/>
          <w:szCs w:val="24"/>
        </w:rPr>
        <w:t>the</w:t>
      </w:r>
      <w:r w:rsidR="003D2C40" w:rsidRPr="00CF247E">
        <w:rPr>
          <w:rFonts w:ascii="Times New Roman" w:hAnsi="Times New Roman" w:cs="Times New Roman"/>
          <w:color w:val="000000" w:themeColor="text1"/>
          <w:sz w:val="24"/>
          <w:szCs w:val="24"/>
        </w:rPr>
        <w:t xml:space="preserve"> </w:t>
      </w:r>
      <w:r w:rsidR="00AD63EC" w:rsidRPr="00CF247E">
        <w:rPr>
          <w:rFonts w:ascii="Times New Roman" w:hAnsi="Times New Roman" w:cs="Times New Roman"/>
          <w:color w:val="000000" w:themeColor="text1"/>
          <w:sz w:val="24"/>
          <w:szCs w:val="24"/>
        </w:rPr>
        <w:t>TSOs managing</w:t>
      </w:r>
      <w:r w:rsidR="00F41E8F" w:rsidRPr="00DE0337">
        <w:rPr>
          <w:rFonts w:ascii="Times New Roman" w:hAnsi="Times New Roman" w:cs="Times New Roman"/>
          <w:color w:val="000000" w:themeColor="text1"/>
          <w:sz w:val="24"/>
          <w:szCs w:val="24"/>
        </w:rPr>
        <w:t xml:space="preserve"> their</w:t>
      </w:r>
      <w:r w:rsidR="00AD63EC" w:rsidRPr="00DE0337">
        <w:rPr>
          <w:rFonts w:ascii="Times New Roman" w:hAnsi="Times New Roman" w:cs="Times New Roman"/>
          <w:color w:val="000000" w:themeColor="text1"/>
          <w:sz w:val="24"/>
          <w:szCs w:val="24"/>
        </w:rPr>
        <w:t xml:space="preserve"> </w:t>
      </w:r>
      <w:r w:rsidR="00673600" w:rsidRPr="00DE0337">
        <w:rPr>
          <w:rFonts w:ascii="Times New Roman" w:hAnsi="Times New Roman" w:cs="Times New Roman"/>
          <w:color w:val="000000" w:themeColor="text1"/>
          <w:sz w:val="24"/>
          <w:szCs w:val="24"/>
        </w:rPr>
        <w:t>respective transport zones</w:t>
      </w:r>
      <w:r w:rsidR="00E966AA">
        <w:rPr>
          <w:rFonts w:ascii="Times New Roman" w:hAnsi="Times New Roman" w:cs="Times New Roman"/>
          <w:color w:val="000000" w:themeColor="text1"/>
          <w:sz w:val="24"/>
          <w:szCs w:val="24"/>
        </w:rPr>
        <w:t>. T</w:t>
      </w:r>
      <w:r w:rsidR="009E1CA6" w:rsidRPr="0056677D">
        <w:rPr>
          <w:rFonts w:ascii="Times New Roman" w:hAnsi="Times New Roman" w:cs="Times New Roman"/>
          <w:color w:val="000000" w:themeColor="text1"/>
          <w:sz w:val="24"/>
          <w:szCs w:val="24"/>
        </w:rPr>
        <w:t xml:space="preserve">his is especially pronounced in an oversized gas system and/or in </w:t>
      </w:r>
      <w:r w:rsidR="009D095B" w:rsidRPr="0056677D">
        <w:rPr>
          <w:rFonts w:ascii="Times New Roman" w:hAnsi="Times New Roman" w:cs="Times New Roman"/>
          <w:color w:val="000000" w:themeColor="text1"/>
          <w:sz w:val="24"/>
          <w:szCs w:val="24"/>
        </w:rPr>
        <w:t>the</w:t>
      </w:r>
      <w:r w:rsidR="009E1CA6" w:rsidRPr="0056677D">
        <w:rPr>
          <w:rFonts w:ascii="Times New Roman" w:hAnsi="Times New Roman" w:cs="Times New Roman"/>
          <w:color w:val="000000" w:themeColor="text1"/>
          <w:sz w:val="24"/>
          <w:szCs w:val="24"/>
        </w:rPr>
        <w:t xml:space="preserve"> context of a need to invest </w:t>
      </w:r>
      <w:r w:rsidR="00624545" w:rsidRPr="00836D2F">
        <w:rPr>
          <w:rFonts w:ascii="Times New Roman" w:hAnsi="Times New Roman" w:cs="Times New Roman"/>
          <w:color w:val="000000" w:themeColor="text1"/>
          <w:sz w:val="24"/>
          <w:szCs w:val="24"/>
        </w:rPr>
        <w:t xml:space="preserve">in security of supply infrastructure. </w:t>
      </w:r>
      <w:r w:rsidR="003210A0" w:rsidRPr="00836D2F">
        <w:rPr>
          <w:rFonts w:ascii="Times New Roman" w:hAnsi="Times New Roman" w:cs="Times New Roman"/>
          <w:color w:val="000000" w:themeColor="text1"/>
          <w:sz w:val="24"/>
          <w:szCs w:val="24"/>
        </w:rPr>
        <w:t xml:space="preserve">The current network codes allow </w:t>
      </w:r>
      <w:r w:rsidR="00E34F2B" w:rsidRPr="00836D2F">
        <w:rPr>
          <w:rFonts w:ascii="Times New Roman" w:hAnsi="Times New Roman" w:cs="Times New Roman"/>
          <w:color w:val="000000" w:themeColor="text1"/>
          <w:sz w:val="24"/>
          <w:szCs w:val="24"/>
        </w:rPr>
        <w:t xml:space="preserve">much flexibility for each member states and their </w:t>
      </w:r>
      <w:r w:rsidR="00794DEE" w:rsidRPr="00836D2F">
        <w:rPr>
          <w:rFonts w:ascii="Times New Roman" w:hAnsi="Times New Roman" w:cs="Times New Roman"/>
          <w:color w:val="000000" w:themeColor="text1"/>
          <w:sz w:val="24"/>
          <w:szCs w:val="24"/>
        </w:rPr>
        <w:t>respective</w:t>
      </w:r>
      <w:r w:rsidR="00E34F2B" w:rsidRPr="00836D2F">
        <w:rPr>
          <w:rFonts w:ascii="Times New Roman" w:hAnsi="Times New Roman" w:cs="Times New Roman"/>
          <w:color w:val="000000" w:themeColor="text1"/>
          <w:sz w:val="24"/>
          <w:szCs w:val="24"/>
        </w:rPr>
        <w:t xml:space="preserve"> TSO</w:t>
      </w:r>
      <w:r w:rsidR="009D095B" w:rsidRPr="00836D2F">
        <w:rPr>
          <w:rFonts w:ascii="Times New Roman" w:hAnsi="Times New Roman" w:cs="Times New Roman"/>
          <w:color w:val="000000" w:themeColor="text1"/>
          <w:sz w:val="24"/>
          <w:szCs w:val="24"/>
        </w:rPr>
        <w:t>s</w:t>
      </w:r>
      <w:r w:rsidR="00E34F2B" w:rsidRPr="00CE401B">
        <w:rPr>
          <w:rFonts w:ascii="Times New Roman" w:hAnsi="Times New Roman" w:cs="Times New Roman"/>
          <w:color w:val="000000" w:themeColor="text1"/>
          <w:sz w:val="24"/>
          <w:szCs w:val="24"/>
        </w:rPr>
        <w:t xml:space="preserve"> to set transport tariffs</w:t>
      </w:r>
      <w:r w:rsidR="0085120A">
        <w:rPr>
          <w:rFonts w:ascii="Times New Roman" w:hAnsi="Times New Roman" w:cs="Times New Roman"/>
          <w:color w:val="000000" w:themeColor="text1"/>
          <w:sz w:val="24"/>
          <w:szCs w:val="24"/>
        </w:rPr>
        <w:t>. W</w:t>
      </w:r>
      <w:r w:rsidR="00E34F2B" w:rsidRPr="00CE401B">
        <w:rPr>
          <w:rFonts w:ascii="Times New Roman" w:hAnsi="Times New Roman" w:cs="Times New Roman"/>
          <w:color w:val="000000" w:themeColor="text1"/>
          <w:sz w:val="24"/>
          <w:szCs w:val="24"/>
        </w:rPr>
        <w:t>ith a large entry-exit system</w:t>
      </w:r>
      <w:r w:rsidR="0085120A">
        <w:rPr>
          <w:rFonts w:ascii="Times New Roman" w:hAnsi="Times New Roman" w:cs="Times New Roman"/>
          <w:color w:val="000000" w:themeColor="text1"/>
          <w:sz w:val="24"/>
          <w:szCs w:val="24"/>
        </w:rPr>
        <w:t>,</w:t>
      </w:r>
      <w:r w:rsidR="00E34F2B" w:rsidRPr="00CE401B">
        <w:rPr>
          <w:rFonts w:ascii="Times New Roman" w:hAnsi="Times New Roman" w:cs="Times New Roman"/>
          <w:color w:val="000000" w:themeColor="text1"/>
          <w:sz w:val="24"/>
          <w:szCs w:val="24"/>
        </w:rPr>
        <w:t xml:space="preserve"> </w:t>
      </w:r>
      <w:r w:rsidR="004F701F" w:rsidRPr="00CE401B">
        <w:rPr>
          <w:rFonts w:ascii="Times New Roman" w:hAnsi="Times New Roman" w:cs="Times New Roman"/>
          <w:color w:val="000000" w:themeColor="text1"/>
          <w:sz w:val="24"/>
          <w:szCs w:val="24"/>
        </w:rPr>
        <w:t xml:space="preserve">there are </w:t>
      </w:r>
      <w:r w:rsidR="00F275B7" w:rsidRPr="004B5525">
        <w:rPr>
          <w:rFonts w:ascii="Times New Roman" w:hAnsi="Times New Roman" w:cs="Times New Roman"/>
          <w:color w:val="000000" w:themeColor="text1"/>
          <w:sz w:val="24"/>
          <w:szCs w:val="24"/>
        </w:rPr>
        <w:t>far too many degrees of freedom</w:t>
      </w:r>
      <w:r w:rsidR="004F701F" w:rsidRPr="004B5525">
        <w:rPr>
          <w:rFonts w:ascii="Times New Roman" w:hAnsi="Times New Roman" w:cs="Times New Roman"/>
          <w:color w:val="000000" w:themeColor="text1"/>
          <w:sz w:val="24"/>
          <w:szCs w:val="24"/>
        </w:rPr>
        <w:t xml:space="preserve"> </w:t>
      </w:r>
      <w:r w:rsidR="003E157C" w:rsidRPr="004B5525">
        <w:rPr>
          <w:rFonts w:ascii="Times New Roman" w:hAnsi="Times New Roman" w:cs="Times New Roman"/>
          <w:color w:val="000000" w:themeColor="text1"/>
          <w:sz w:val="24"/>
          <w:szCs w:val="24"/>
        </w:rPr>
        <w:t>in</w:t>
      </w:r>
      <w:r w:rsidR="004F701F" w:rsidRPr="004B5525">
        <w:rPr>
          <w:rFonts w:ascii="Times New Roman" w:hAnsi="Times New Roman" w:cs="Times New Roman"/>
          <w:color w:val="000000" w:themeColor="text1"/>
          <w:sz w:val="24"/>
          <w:szCs w:val="24"/>
        </w:rPr>
        <w:t xml:space="preserve"> set</w:t>
      </w:r>
      <w:r w:rsidR="003E157C" w:rsidRPr="004B5525">
        <w:rPr>
          <w:rFonts w:ascii="Times New Roman" w:hAnsi="Times New Roman" w:cs="Times New Roman"/>
          <w:color w:val="000000" w:themeColor="text1"/>
          <w:sz w:val="24"/>
          <w:szCs w:val="24"/>
        </w:rPr>
        <w:t>ting</w:t>
      </w:r>
      <w:r w:rsidR="004F701F" w:rsidRPr="00CF247E">
        <w:rPr>
          <w:rFonts w:ascii="Times New Roman" w:hAnsi="Times New Roman" w:cs="Times New Roman"/>
          <w:color w:val="000000" w:themeColor="text1"/>
          <w:sz w:val="24"/>
          <w:szCs w:val="24"/>
        </w:rPr>
        <w:t xml:space="preserve"> </w:t>
      </w:r>
      <w:r w:rsidR="000E07EF" w:rsidRPr="00CF247E">
        <w:rPr>
          <w:rFonts w:ascii="Times New Roman" w:hAnsi="Times New Roman" w:cs="Times New Roman"/>
          <w:color w:val="000000" w:themeColor="text1"/>
          <w:sz w:val="24"/>
          <w:szCs w:val="24"/>
        </w:rPr>
        <w:t>cost-reflective</w:t>
      </w:r>
      <w:r w:rsidR="000E07EF" w:rsidRPr="00DE0337">
        <w:rPr>
          <w:rFonts w:ascii="Times New Roman" w:hAnsi="Times New Roman" w:cs="Times New Roman"/>
          <w:color w:val="000000" w:themeColor="text1"/>
          <w:sz w:val="24"/>
          <w:szCs w:val="24"/>
        </w:rPr>
        <w:t xml:space="preserve"> tariffs</w:t>
      </w:r>
      <w:r w:rsidR="004F701F" w:rsidRPr="00DE0337">
        <w:rPr>
          <w:rFonts w:ascii="Times New Roman" w:hAnsi="Times New Roman" w:cs="Times New Roman"/>
          <w:color w:val="000000" w:themeColor="text1"/>
          <w:sz w:val="24"/>
          <w:szCs w:val="24"/>
        </w:rPr>
        <w:t>.</w:t>
      </w:r>
      <w:r w:rsidR="000E07EF" w:rsidRPr="00DE0337">
        <w:rPr>
          <w:rFonts w:ascii="Times New Roman" w:hAnsi="Times New Roman" w:cs="Times New Roman"/>
          <w:color w:val="000000" w:themeColor="text1"/>
          <w:sz w:val="24"/>
          <w:szCs w:val="24"/>
        </w:rPr>
        <w:t xml:space="preserve"> </w:t>
      </w:r>
      <w:r w:rsidR="00E34F2B" w:rsidRPr="007D2561">
        <w:rPr>
          <w:rFonts w:ascii="Times New Roman" w:hAnsi="Times New Roman" w:cs="Times New Roman"/>
          <w:color w:val="000000" w:themeColor="text1"/>
          <w:sz w:val="24"/>
          <w:szCs w:val="24"/>
        </w:rPr>
        <w:t xml:space="preserve"> </w:t>
      </w:r>
    </w:p>
    <w:p w14:paraId="6ACCA5EA" w14:textId="7B5AE51C" w:rsidR="00D41906" w:rsidRPr="0085120A" w:rsidRDefault="00676609" w:rsidP="00660B3D">
      <w:pPr>
        <w:spacing w:line="360" w:lineRule="auto"/>
        <w:ind w:firstLine="567"/>
        <w:rPr>
          <w:rFonts w:ascii="Times New Roman" w:hAnsi="Times New Roman" w:cs="Times New Roman"/>
          <w:color w:val="000000" w:themeColor="text1"/>
          <w:sz w:val="24"/>
          <w:szCs w:val="24"/>
        </w:rPr>
      </w:pPr>
      <w:r w:rsidRPr="007D2561">
        <w:rPr>
          <w:rFonts w:ascii="Times New Roman" w:hAnsi="Times New Roman" w:cs="Times New Roman"/>
          <w:color w:val="000000" w:themeColor="text1"/>
          <w:sz w:val="24"/>
          <w:szCs w:val="24"/>
        </w:rPr>
        <w:t xml:space="preserve">Thus, although the price differentials between traded hubs and between </w:t>
      </w:r>
      <w:r w:rsidR="00960A93" w:rsidRPr="007D2561">
        <w:rPr>
          <w:rFonts w:ascii="Times New Roman" w:hAnsi="Times New Roman" w:cs="Times New Roman"/>
          <w:color w:val="000000" w:themeColor="text1"/>
          <w:sz w:val="24"/>
          <w:szCs w:val="24"/>
        </w:rPr>
        <w:t>traded hubs and other markets (such as markets of Central, Eastern a</w:t>
      </w:r>
      <w:r w:rsidR="00960A93" w:rsidRPr="00FC47AF">
        <w:rPr>
          <w:rFonts w:ascii="Times New Roman" w:hAnsi="Times New Roman" w:cs="Times New Roman"/>
          <w:color w:val="000000" w:themeColor="text1"/>
          <w:sz w:val="24"/>
          <w:szCs w:val="24"/>
        </w:rPr>
        <w:t>nd South</w:t>
      </w:r>
      <w:r w:rsidR="005E1AA3">
        <w:rPr>
          <w:rFonts w:ascii="Times New Roman" w:hAnsi="Times New Roman" w:cs="Times New Roman"/>
          <w:color w:val="000000" w:themeColor="text1"/>
          <w:sz w:val="24"/>
          <w:szCs w:val="24"/>
        </w:rPr>
        <w:t>-east</w:t>
      </w:r>
      <w:r w:rsidR="00960A93" w:rsidRPr="00FC47AF">
        <w:rPr>
          <w:rFonts w:ascii="Times New Roman" w:hAnsi="Times New Roman" w:cs="Times New Roman"/>
          <w:color w:val="000000" w:themeColor="text1"/>
          <w:sz w:val="24"/>
          <w:szCs w:val="24"/>
        </w:rPr>
        <w:t>ern Europe)</w:t>
      </w:r>
      <w:r w:rsidR="00701A09" w:rsidRPr="00FC47AF">
        <w:rPr>
          <w:rFonts w:ascii="Times New Roman" w:hAnsi="Times New Roman" w:cs="Times New Roman"/>
          <w:color w:val="000000" w:themeColor="text1"/>
          <w:sz w:val="24"/>
          <w:szCs w:val="24"/>
        </w:rPr>
        <w:t xml:space="preserve"> has narrowed dramatically in the last five years (see Section 3)</w:t>
      </w:r>
      <w:r w:rsidR="0085120A">
        <w:rPr>
          <w:rFonts w:ascii="Times New Roman" w:hAnsi="Times New Roman" w:cs="Times New Roman"/>
          <w:color w:val="000000" w:themeColor="text1"/>
          <w:sz w:val="24"/>
          <w:szCs w:val="24"/>
        </w:rPr>
        <w:t>,</w:t>
      </w:r>
      <w:r w:rsidR="00D33CDA" w:rsidRPr="00AE78C0">
        <w:rPr>
          <w:rFonts w:ascii="Times New Roman" w:hAnsi="Times New Roman" w:cs="Times New Roman"/>
          <w:color w:val="000000" w:themeColor="text1"/>
          <w:sz w:val="24"/>
          <w:szCs w:val="24"/>
        </w:rPr>
        <w:t xml:space="preserve"> location price spread </w:t>
      </w:r>
      <w:r w:rsidR="00D61E64" w:rsidRPr="00AE78C0">
        <w:rPr>
          <w:rFonts w:ascii="Times New Roman" w:hAnsi="Times New Roman" w:cs="Times New Roman"/>
          <w:color w:val="000000" w:themeColor="text1"/>
          <w:sz w:val="24"/>
          <w:szCs w:val="24"/>
        </w:rPr>
        <w:t>might</w:t>
      </w:r>
      <w:r w:rsidR="00D33CDA" w:rsidRPr="00AE78C0">
        <w:rPr>
          <w:rFonts w:ascii="Times New Roman" w:hAnsi="Times New Roman" w:cs="Times New Roman"/>
          <w:color w:val="000000" w:themeColor="text1"/>
          <w:sz w:val="24"/>
          <w:szCs w:val="24"/>
        </w:rPr>
        <w:t xml:space="preserve"> widen again in the future. </w:t>
      </w:r>
      <w:r w:rsidR="00561B76" w:rsidRPr="00AE78C0">
        <w:rPr>
          <w:rFonts w:ascii="Times New Roman" w:hAnsi="Times New Roman" w:cs="Times New Roman"/>
          <w:color w:val="000000" w:themeColor="text1"/>
          <w:sz w:val="24"/>
          <w:szCs w:val="24"/>
        </w:rPr>
        <w:t>In the past</w:t>
      </w:r>
      <w:r w:rsidR="0085120A">
        <w:rPr>
          <w:rFonts w:ascii="Times New Roman" w:hAnsi="Times New Roman" w:cs="Times New Roman"/>
          <w:color w:val="000000" w:themeColor="text1"/>
          <w:sz w:val="24"/>
          <w:szCs w:val="24"/>
        </w:rPr>
        <w:t>,</w:t>
      </w:r>
      <w:r w:rsidR="00561B76" w:rsidRPr="00AE78C0">
        <w:rPr>
          <w:rFonts w:ascii="Times New Roman" w:hAnsi="Times New Roman" w:cs="Times New Roman"/>
          <w:color w:val="000000" w:themeColor="text1"/>
          <w:sz w:val="24"/>
          <w:szCs w:val="24"/>
        </w:rPr>
        <w:t xml:space="preserve"> such high location price differences between NWE and CEE</w:t>
      </w:r>
      <w:r w:rsidR="005E1AA3">
        <w:rPr>
          <w:rFonts w:ascii="Times New Roman" w:hAnsi="Times New Roman" w:cs="Times New Roman"/>
          <w:color w:val="000000" w:themeColor="text1"/>
          <w:sz w:val="24"/>
          <w:szCs w:val="24"/>
        </w:rPr>
        <w:t>/SEE</w:t>
      </w:r>
      <w:r w:rsidR="00561B76" w:rsidRPr="00AE78C0">
        <w:rPr>
          <w:rFonts w:ascii="Times New Roman" w:hAnsi="Times New Roman" w:cs="Times New Roman"/>
          <w:color w:val="000000" w:themeColor="text1"/>
          <w:sz w:val="24"/>
          <w:szCs w:val="24"/>
        </w:rPr>
        <w:t xml:space="preserve"> </w:t>
      </w:r>
      <w:r w:rsidR="0085120A">
        <w:rPr>
          <w:rFonts w:ascii="Times New Roman" w:hAnsi="Times New Roman" w:cs="Times New Roman"/>
          <w:color w:val="000000" w:themeColor="text1"/>
          <w:sz w:val="24"/>
          <w:szCs w:val="24"/>
        </w:rPr>
        <w:t>were</w:t>
      </w:r>
      <w:r w:rsidR="0085120A" w:rsidRPr="00AE78C0">
        <w:rPr>
          <w:rFonts w:ascii="Times New Roman" w:hAnsi="Times New Roman" w:cs="Times New Roman"/>
          <w:color w:val="000000" w:themeColor="text1"/>
          <w:sz w:val="24"/>
          <w:szCs w:val="24"/>
        </w:rPr>
        <w:t xml:space="preserve"> </w:t>
      </w:r>
      <w:r w:rsidR="00561B76" w:rsidRPr="00AE78C0">
        <w:rPr>
          <w:rFonts w:ascii="Times New Roman" w:hAnsi="Times New Roman" w:cs="Times New Roman"/>
          <w:color w:val="000000" w:themeColor="text1"/>
          <w:sz w:val="24"/>
          <w:szCs w:val="24"/>
        </w:rPr>
        <w:t>pr</w:t>
      </w:r>
      <w:r w:rsidR="00E648CF" w:rsidRPr="00AE78C0">
        <w:rPr>
          <w:rFonts w:ascii="Times New Roman" w:hAnsi="Times New Roman" w:cs="Times New Roman"/>
          <w:color w:val="000000" w:themeColor="text1"/>
          <w:sz w:val="24"/>
          <w:szCs w:val="24"/>
        </w:rPr>
        <w:t xml:space="preserve">edominantly due to </w:t>
      </w:r>
      <w:r w:rsidR="005A6018" w:rsidRPr="000539C0">
        <w:rPr>
          <w:rFonts w:ascii="Times New Roman" w:hAnsi="Times New Roman" w:cs="Times New Roman"/>
          <w:color w:val="000000" w:themeColor="text1"/>
          <w:sz w:val="24"/>
          <w:szCs w:val="24"/>
        </w:rPr>
        <w:t>discrepancies between hub</w:t>
      </w:r>
      <w:r w:rsidR="00B437FB" w:rsidRPr="000539C0">
        <w:rPr>
          <w:rFonts w:ascii="Times New Roman" w:hAnsi="Times New Roman" w:cs="Times New Roman"/>
          <w:color w:val="000000" w:themeColor="text1"/>
          <w:sz w:val="24"/>
          <w:szCs w:val="24"/>
        </w:rPr>
        <w:t>-based (NWE) and high oil-linked (CEE</w:t>
      </w:r>
      <w:r w:rsidR="005E1AA3">
        <w:rPr>
          <w:rFonts w:ascii="Times New Roman" w:hAnsi="Times New Roman" w:cs="Times New Roman"/>
          <w:color w:val="000000" w:themeColor="text1"/>
          <w:sz w:val="24"/>
          <w:szCs w:val="24"/>
        </w:rPr>
        <w:t>/SEE</w:t>
      </w:r>
      <w:r w:rsidR="00B437FB" w:rsidRPr="000539C0">
        <w:rPr>
          <w:rFonts w:ascii="Times New Roman" w:hAnsi="Times New Roman" w:cs="Times New Roman"/>
          <w:color w:val="000000" w:themeColor="text1"/>
          <w:sz w:val="24"/>
          <w:szCs w:val="24"/>
        </w:rPr>
        <w:t>) prices</w:t>
      </w:r>
      <w:r w:rsidR="00553F63" w:rsidRPr="000539C0">
        <w:rPr>
          <w:rFonts w:ascii="Times New Roman" w:hAnsi="Times New Roman" w:cs="Times New Roman"/>
          <w:color w:val="000000" w:themeColor="text1"/>
          <w:sz w:val="24"/>
          <w:szCs w:val="24"/>
        </w:rPr>
        <w:t xml:space="preserve"> as well as supply structure (see ACER</w:t>
      </w:r>
      <w:r w:rsidR="0085120A">
        <w:rPr>
          <w:rFonts w:ascii="Times New Roman" w:hAnsi="Times New Roman" w:cs="Times New Roman"/>
          <w:color w:val="000000" w:themeColor="text1"/>
          <w:sz w:val="24"/>
          <w:szCs w:val="24"/>
        </w:rPr>
        <w:t>,</w:t>
      </w:r>
      <w:r w:rsidR="00553F63" w:rsidRPr="000539C0">
        <w:rPr>
          <w:rFonts w:ascii="Times New Roman" w:hAnsi="Times New Roman" w:cs="Times New Roman"/>
          <w:color w:val="000000" w:themeColor="text1"/>
          <w:sz w:val="24"/>
          <w:szCs w:val="24"/>
        </w:rPr>
        <w:t xml:space="preserve"> 2014)</w:t>
      </w:r>
      <w:r w:rsidR="00953105" w:rsidRPr="000539C0">
        <w:rPr>
          <w:rFonts w:ascii="Times New Roman" w:hAnsi="Times New Roman" w:cs="Times New Roman"/>
          <w:color w:val="000000" w:themeColor="text1"/>
          <w:sz w:val="24"/>
          <w:szCs w:val="24"/>
        </w:rPr>
        <w:t xml:space="preserve">. </w:t>
      </w:r>
      <w:r w:rsidR="00C71CF9" w:rsidRPr="000539C0">
        <w:rPr>
          <w:rFonts w:ascii="Times New Roman" w:hAnsi="Times New Roman" w:cs="Times New Roman"/>
          <w:color w:val="000000" w:themeColor="text1"/>
          <w:sz w:val="24"/>
          <w:szCs w:val="24"/>
        </w:rPr>
        <w:t xml:space="preserve">Going forward, </w:t>
      </w:r>
      <w:r w:rsidR="00EF7D2B" w:rsidRPr="00CD286E">
        <w:rPr>
          <w:rFonts w:ascii="Times New Roman" w:hAnsi="Times New Roman" w:cs="Times New Roman"/>
          <w:color w:val="000000" w:themeColor="text1"/>
          <w:sz w:val="24"/>
          <w:szCs w:val="24"/>
        </w:rPr>
        <w:t xml:space="preserve">locational </w:t>
      </w:r>
      <w:r w:rsidR="00C71CF9" w:rsidRPr="00CD286E">
        <w:rPr>
          <w:rFonts w:ascii="Times New Roman" w:hAnsi="Times New Roman" w:cs="Times New Roman"/>
          <w:color w:val="000000" w:themeColor="text1"/>
          <w:sz w:val="24"/>
          <w:szCs w:val="24"/>
        </w:rPr>
        <w:t xml:space="preserve">price spread could to a large extent </w:t>
      </w:r>
      <w:r w:rsidR="00EF7D2B" w:rsidRPr="00CD286E">
        <w:rPr>
          <w:rFonts w:ascii="Times New Roman" w:hAnsi="Times New Roman" w:cs="Times New Roman"/>
          <w:color w:val="000000" w:themeColor="text1"/>
          <w:sz w:val="24"/>
          <w:szCs w:val="24"/>
        </w:rPr>
        <w:t xml:space="preserve">be </w:t>
      </w:r>
      <w:r w:rsidR="00A50E0B" w:rsidRPr="00CD286E">
        <w:rPr>
          <w:rFonts w:ascii="Times New Roman" w:hAnsi="Times New Roman" w:cs="Times New Roman"/>
          <w:color w:val="000000" w:themeColor="text1"/>
          <w:sz w:val="24"/>
          <w:szCs w:val="24"/>
        </w:rPr>
        <w:t>dictated</w:t>
      </w:r>
      <w:r w:rsidR="00EF7D2B" w:rsidRPr="00CD286E">
        <w:rPr>
          <w:rFonts w:ascii="Times New Roman" w:hAnsi="Times New Roman" w:cs="Times New Roman"/>
          <w:color w:val="000000" w:themeColor="text1"/>
          <w:sz w:val="24"/>
          <w:szCs w:val="24"/>
        </w:rPr>
        <w:t xml:space="preserve"> </w:t>
      </w:r>
      <w:r w:rsidR="00EF7D2B" w:rsidRPr="00CD286E">
        <w:rPr>
          <w:rFonts w:ascii="Times New Roman" w:hAnsi="Times New Roman" w:cs="Times New Roman"/>
          <w:color w:val="000000" w:themeColor="text1"/>
          <w:sz w:val="24"/>
          <w:szCs w:val="24"/>
        </w:rPr>
        <w:lastRenderedPageBreak/>
        <w:t xml:space="preserve">by </w:t>
      </w:r>
      <w:r w:rsidR="00966C75" w:rsidRPr="00CD286E">
        <w:rPr>
          <w:rFonts w:ascii="Times New Roman" w:hAnsi="Times New Roman" w:cs="Times New Roman"/>
          <w:color w:val="000000" w:themeColor="text1"/>
          <w:sz w:val="24"/>
          <w:szCs w:val="24"/>
        </w:rPr>
        <w:t>regulatory measures</w:t>
      </w:r>
      <w:r w:rsidR="00845C37" w:rsidRPr="0085120A">
        <w:rPr>
          <w:rFonts w:ascii="Times New Roman" w:hAnsi="Times New Roman" w:cs="Times New Roman"/>
          <w:color w:val="000000" w:themeColor="text1"/>
          <w:sz w:val="24"/>
          <w:szCs w:val="24"/>
        </w:rPr>
        <w:t xml:space="preserve">, </w:t>
      </w:r>
      <w:r w:rsidR="00966C75" w:rsidRPr="0085120A">
        <w:rPr>
          <w:rFonts w:ascii="Times New Roman" w:hAnsi="Times New Roman" w:cs="Times New Roman"/>
          <w:color w:val="000000" w:themeColor="text1"/>
          <w:sz w:val="24"/>
          <w:szCs w:val="24"/>
        </w:rPr>
        <w:t xml:space="preserve">policies around security of supply, cost recovery and </w:t>
      </w:r>
      <w:r w:rsidR="00845C37" w:rsidRPr="0085120A">
        <w:rPr>
          <w:rFonts w:ascii="Times New Roman" w:hAnsi="Times New Roman" w:cs="Times New Roman"/>
          <w:color w:val="000000" w:themeColor="text1"/>
          <w:sz w:val="24"/>
          <w:szCs w:val="24"/>
        </w:rPr>
        <w:t>reflectivity of tariff structures for each of transport zones in Europe</w:t>
      </w:r>
      <w:r w:rsidR="00DC4261" w:rsidRPr="0085120A">
        <w:rPr>
          <w:rFonts w:ascii="Times New Roman" w:hAnsi="Times New Roman" w:cs="Times New Roman"/>
          <w:color w:val="000000" w:themeColor="text1"/>
          <w:sz w:val="24"/>
          <w:szCs w:val="24"/>
        </w:rPr>
        <w:t>.</w:t>
      </w:r>
    </w:p>
    <w:p w14:paraId="26736744" w14:textId="77777777" w:rsidR="00D41906" w:rsidRPr="003D2C40" w:rsidRDefault="00D41906" w:rsidP="00660B3D">
      <w:pPr>
        <w:ind w:firstLine="567"/>
        <w:rPr>
          <w:rFonts w:ascii="Times New Roman" w:hAnsi="Times New Roman" w:cs="Times New Roman"/>
          <w:color w:val="000000" w:themeColor="text1"/>
          <w:sz w:val="24"/>
          <w:szCs w:val="24"/>
        </w:rPr>
      </w:pPr>
    </w:p>
    <w:p w14:paraId="66F3B1F8" w14:textId="2A09C324" w:rsidR="00963D76" w:rsidRPr="003D2C40" w:rsidRDefault="00963D76" w:rsidP="00660B3D">
      <w:pPr>
        <w:pStyle w:val="Heading1"/>
        <w:numPr>
          <w:ilvl w:val="0"/>
          <w:numId w:val="1"/>
        </w:numPr>
        <w:spacing w:line="360" w:lineRule="auto"/>
        <w:ind w:firstLine="567"/>
        <w:rPr>
          <w:rFonts w:ascii="Times New Roman" w:hAnsi="Times New Roman" w:cs="Times New Roman"/>
          <w:b/>
          <w:color w:val="000000" w:themeColor="text1"/>
          <w:sz w:val="24"/>
          <w:szCs w:val="24"/>
        </w:rPr>
      </w:pPr>
      <w:r w:rsidRPr="003D2C40">
        <w:rPr>
          <w:rFonts w:ascii="Times New Roman" w:hAnsi="Times New Roman" w:cs="Times New Roman"/>
          <w:b/>
          <w:color w:val="000000" w:themeColor="text1"/>
          <w:sz w:val="24"/>
          <w:szCs w:val="24"/>
        </w:rPr>
        <w:t>Conclusions</w:t>
      </w:r>
    </w:p>
    <w:p w14:paraId="6B8AB878" w14:textId="56E326F2" w:rsidR="00D44B3B" w:rsidRPr="003D2C40" w:rsidRDefault="00EC616A" w:rsidP="00660B3D">
      <w:pPr>
        <w:spacing w:line="360" w:lineRule="auto"/>
        <w:ind w:firstLine="567"/>
        <w:rPr>
          <w:rFonts w:ascii="Times New Roman" w:hAnsi="Times New Roman" w:cs="Times New Roman"/>
          <w:color w:val="000000" w:themeColor="text1"/>
          <w:sz w:val="24"/>
          <w:szCs w:val="24"/>
        </w:rPr>
      </w:pPr>
      <w:r w:rsidRPr="00F029BE">
        <w:rPr>
          <w:rFonts w:ascii="Times New Roman" w:hAnsi="Times New Roman" w:cs="Times New Roman"/>
          <w:color w:val="000000" w:themeColor="text1"/>
          <w:sz w:val="24"/>
          <w:szCs w:val="24"/>
        </w:rPr>
        <w:t xml:space="preserve">Since the enactment of the </w:t>
      </w:r>
      <w:r w:rsidR="00B8799C" w:rsidRPr="00F029BE">
        <w:rPr>
          <w:rFonts w:ascii="Times New Roman" w:hAnsi="Times New Roman" w:cs="Times New Roman"/>
          <w:color w:val="000000" w:themeColor="text1"/>
          <w:sz w:val="24"/>
          <w:szCs w:val="24"/>
        </w:rPr>
        <w:t>1991 gas</w:t>
      </w:r>
      <w:r w:rsidRPr="00F029BE">
        <w:rPr>
          <w:rFonts w:ascii="Times New Roman" w:hAnsi="Times New Roman" w:cs="Times New Roman"/>
          <w:color w:val="000000" w:themeColor="text1"/>
          <w:sz w:val="24"/>
          <w:szCs w:val="24"/>
        </w:rPr>
        <w:t xml:space="preserve"> transit</w:t>
      </w:r>
      <w:r w:rsidR="00B8799C" w:rsidRPr="00F029BE">
        <w:rPr>
          <w:rFonts w:ascii="Times New Roman" w:hAnsi="Times New Roman" w:cs="Times New Roman"/>
          <w:color w:val="000000" w:themeColor="text1"/>
          <w:sz w:val="24"/>
          <w:szCs w:val="24"/>
        </w:rPr>
        <w:t xml:space="preserve"> directive and subsequent </w:t>
      </w:r>
      <w:r w:rsidR="00BA4D49" w:rsidRPr="00F029BE">
        <w:rPr>
          <w:rFonts w:ascii="Times New Roman" w:hAnsi="Times New Roman" w:cs="Times New Roman"/>
          <w:color w:val="000000" w:themeColor="text1"/>
          <w:sz w:val="24"/>
          <w:szCs w:val="24"/>
        </w:rPr>
        <w:t>energy directives and packages</w:t>
      </w:r>
      <w:r w:rsidR="003D2C40">
        <w:rPr>
          <w:rFonts w:ascii="Times New Roman" w:hAnsi="Times New Roman" w:cs="Times New Roman"/>
          <w:color w:val="000000" w:themeColor="text1"/>
          <w:sz w:val="24"/>
          <w:szCs w:val="24"/>
        </w:rPr>
        <w:t>,</w:t>
      </w:r>
      <w:r w:rsidR="00BA4D49" w:rsidRPr="003D2C40">
        <w:rPr>
          <w:rFonts w:ascii="Times New Roman" w:hAnsi="Times New Roman" w:cs="Times New Roman"/>
          <w:color w:val="000000" w:themeColor="text1"/>
          <w:sz w:val="24"/>
          <w:szCs w:val="24"/>
        </w:rPr>
        <w:t xml:space="preserve"> the wholesale gas market in Europe </w:t>
      </w:r>
      <w:r w:rsidR="00F51B1C" w:rsidRPr="003D2C40">
        <w:rPr>
          <w:rFonts w:ascii="Times New Roman" w:hAnsi="Times New Roman" w:cs="Times New Roman"/>
          <w:color w:val="000000" w:themeColor="text1"/>
          <w:sz w:val="24"/>
          <w:szCs w:val="24"/>
        </w:rPr>
        <w:t xml:space="preserve">is functioning as one would expect from a competitive and transparent commodity market. </w:t>
      </w:r>
      <w:r w:rsidR="000E02B2" w:rsidRPr="003D2C40">
        <w:rPr>
          <w:rFonts w:ascii="Times New Roman" w:hAnsi="Times New Roman" w:cs="Times New Roman"/>
          <w:color w:val="000000" w:themeColor="text1"/>
          <w:sz w:val="24"/>
          <w:szCs w:val="24"/>
        </w:rPr>
        <w:t>T</w:t>
      </w:r>
      <w:r w:rsidR="00F51B1C" w:rsidRPr="003D2C40">
        <w:rPr>
          <w:rFonts w:ascii="Times New Roman" w:hAnsi="Times New Roman" w:cs="Times New Roman"/>
          <w:color w:val="000000" w:themeColor="text1"/>
          <w:sz w:val="24"/>
          <w:szCs w:val="24"/>
        </w:rPr>
        <w:t xml:space="preserve">he </w:t>
      </w:r>
      <w:r w:rsidR="00147B21" w:rsidRPr="003D2C40">
        <w:rPr>
          <w:rFonts w:ascii="Times New Roman" w:hAnsi="Times New Roman" w:cs="Times New Roman"/>
          <w:color w:val="000000" w:themeColor="text1"/>
          <w:sz w:val="24"/>
          <w:szCs w:val="24"/>
        </w:rPr>
        <w:t>move (which is still ongoing) towards a</w:t>
      </w:r>
      <w:r w:rsidR="00F51B1C" w:rsidRPr="003D2C40">
        <w:rPr>
          <w:rFonts w:ascii="Times New Roman" w:hAnsi="Times New Roman" w:cs="Times New Roman"/>
          <w:color w:val="000000" w:themeColor="text1"/>
          <w:sz w:val="24"/>
          <w:szCs w:val="24"/>
        </w:rPr>
        <w:t xml:space="preserve"> single market for gas has allowed European gas consumers to benefit from</w:t>
      </w:r>
      <w:r w:rsidR="0013326A" w:rsidRPr="00F029BE">
        <w:rPr>
          <w:rFonts w:ascii="Times New Roman" w:hAnsi="Times New Roman" w:cs="Times New Roman"/>
          <w:color w:val="000000" w:themeColor="text1"/>
          <w:sz w:val="24"/>
          <w:szCs w:val="24"/>
        </w:rPr>
        <w:t xml:space="preserve"> transparently set</w:t>
      </w:r>
      <w:r w:rsidR="00ED4F0E" w:rsidRPr="00F029BE">
        <w:rPr>
          <w:rFonts w:ascii="Times New Roman" w:hAnsi="Times New Roman" w:cs="Times New Roman"/>
          <w:color w:val="000000" w:themeColor="text1"/>
          <w:sz w:val="24"/>
          <w:szCs w:val="24"/>
        </w:rPr>
        <w:t xml:space="preserve"> </w:t>
      </w:r>
      <w:r w:rsidR="00317BCC" w:rsidRPr="00F029BE">
        <w:rPr>
          <w:rFonts w:ascii="Times New Roman" w:hAnsi="Times New Roman" w:cs="Times New Roman"/>
          <w:color w:val="000000" w:themeColor="text1"/>
          <w:sz w:val="24"/>
          <w:szCs w:val="24"/>
        </w:rPr>
        <w:t>market-based wholesale</w:t>
      </w:r>
      <w:r w:rsidR="0013326A" w:rsidRPr="00F029BE">
        <w:rPr>
          <w:rFonts w:ascii="Times New Roman" w:hAnsi="Times New Roman" w:cs="Times New Roman"/>
          <w:color w:val="000000" w:themeColor="text1"/>
          <w:sz w:val="24"/>
          <w:szCs w:val="24"/>
        </w:rPr>
        <w:t xml:space="preserve"> prices as well as from </w:t>
      </w:r>
      <w:r w:rsidR="00ED4F0E" w:rsidRPr="00F029BE">
        <w:rPr>
          <w:rFonts w:ascii="Times New Roman" w:hAnsi="Times New Roman" w:cs="Times New Roman"/>
          <w:color w:val="000000" w:themeColor="text1"/>
          <w:sz w:val="24"/>
          <w:szCs w:val="24"/>
        </w:rPr>
        <w:t>competitive pressures from all suppliers in Europe mitigating potential market power in captive</w:t>
      </w:r>
      <w:r w:rsidR="0013326A" w:rsidRPr="00F029BE">
        <w:rPr>
          <w:rFonts w:ascii="Times New Roman" w:hAnsi="Times New Roman" w:cs="Times New Roman"/>
          <w:color w:val="000000" w:themeColor="text1"/>
          <w:sz w:val="24"/>
          <w:szCs w:val="24"/>
        </w:rPr>
        <w:t xml:space="preserve"> gas</w:t>
      </w:r>
      <w:r w:rsidR="00ED4F0E" w:rsidRPr="00F029BE">
        <w:rPr>
          <w:rFonts w:ascii="Times New Roman" w:hAnsi="Times New Roman" w:cs="Times New Roman"/>
          <w:color w:val="000000" w:themeColor="text1"/>
          <w:sz w:val="24"/>
          <w:szCs w:val="24"/>
        </w:rPr>
        <w:t xml:space="preserve"> markets</w:t>
      </w:r>
      <w:r w:rsidR="0013326A" w:rsidRPr="00F029BE">
        <w:rPr>
          <w:rFonts w:ascii="Times New Roman" w:hAnsi="Times New Roman" w:cs="Times New Roman"/>
          <w:color w:val="000000" w:themeColor="text1"/>
          <w:sz w:val="24"/>
          <w:szCs w:val="24"/>
        </w:rPr>
        <w:t>, especially those in Central, Eastern and Southern Europe</w:t>
      </w:r>
      <w:r w:rsidR="00ED4F0E" w:rsidRPr="00F029BE">
        <w:rPr>
          <w:rFonts w:ascii="Times New Roman" w:hAnsi="Times New Roman" w:cs="Times New Roman"/>
          <w:color w:val="000000" w:themeColor="text1"/>
          <w:sz w:val="24"/>
          <w:szCs w:val="24"/>
        </w:rPr>
        <w:t xml:space="preserve">. </w:t>
      </w:r>
      <w:r w:rsidR="00DD43F2" w:rsidRPr="00F029BE">
        <w:rPr>
          <w:rFonts w:ascii="Times New Roman" w:hAnsi="Times New Roman" w:cs="Times New Roman"/>
          <w:color w:val="000000" w:themeColor="text1"/>
          <w:sz w:val="24"/>
          <w:szCs w:val="24"/>
        </w:rPr>
        <w:t xml:space="preserve">Structural changes in both the upstream and the downstream side of the European gas markets coupled with regulatory changes </w:t>
      </w:r>
      <w:r w:rsidR="001C6047" w:rsidRPr="00F029BE">
        <w:rPr>
          <w:rFonts w:ascii="Times New Roman" w:hAnsi="Times New Roman" w:cs="Times New Roman"/>
          <w:color w:val="000000" w:themeColor="text1"/>
          <w:sz w:val="24"/>
          <w:szCs w:val="24"/>
        </w:rPr>
        <w:t>allowed a smooth transition from a gas system relying on rigid bilateral LTCs to a healthy and competitive</w:t>
      </w:r>
      <w:r w:rsidR="00550758" w:rsidRPr="00F029BE">
        <w:rPr>
          <w:rFonts w:ascii="Times New Roman" w:hAnsi="Times New Roman" w:cs="Times New Roman"/>
          <w:color w:val="000000" w:themeColor="text1"/>
          <w:sz w:val="24"/>
          <w:szCs w:val="24"/>
        </w:rPr>
        <w:t xml:space="preserve"> wholesale gas market in Europe.</w:t>
      </w:r>
      <w:r w:rsidR="00D44B3B" w:rsidRPr="00F029BE">
        <w:rPr>
          <w:rFonts w:ascii="Times New Roman" w:hAnsi="Times New Roman" w:cs="Times New Roman"/>
          <w:color w:val="000000" w:themeColor="text1"/>
          <w:sz w:val="24"/>
          <w:szCs w:val="24"/>
        </w:rPr>
        <w:t xml:space="preserve"> However, as the gas market in Europe matures</w:t>
      </w:r>
      <w:r w:rsidR="00F710EA" w:rsidRPr="00F029BE">
        <w:rPr>
          <w:rFonts w:ascii="Times New Roman" w:hAnsi="Times New Roman" w:cs="Times New Roman"/>
          <w:color w:val="000000" w:themeColor="text1"/>
          <w:sz w:val="24"/>
          <w:szCs w:val="24"/>
        </w:rPr>
        <w:t xml:space="preserve"> and with the advent of renewable energy generation in the electricity sector </w:t>
      </w:r>
      <w:r w:rsidR="003D2C40">
        <w:rPr>
          <w:rFonts w:ascii="Times New Roman" w:hAnsi="Times New Roman" w:cs="Times New Roman"/>
          <w:color w:val="000000" w:themeColor="text1"/>
          <w:sz w:val="24"/>
          <w:szCs w:val="24"/>
        </w:rPr>
        <w:t>and</w:t>
      </w:r>
      <w:r w:rsidR="009B17B0" w:rsidRPr="003D2C40">
        <w:rPr>
          <w:rFonts w:ascii="Times New Roman" w:hAnsi="Times New Roman" w:cs="Times New Roman"/>
          <w:color w:val="000000" w:themeColor="text1"/>
          <w:sz w:val="24"/>
          <w:szCs w:val="24"/>
        </w:rPr>
        <w:t xml:space="preserve"> overall</w:t>
      </w:r>
      <w:r w:rsidR="00F710EA" w:rsidRPr="003D2C40">
        <w:rPr>
          <w:rFonts w:ascii="Times New Roman" w:hAnsi="Times New Roman" w:cs="Times New Roman"/>
          <w:color w:val="000000" w:themeColor="text1"/>
          <w:sz w:val="24"/>
          <w:szCs w:val="24"/>
        </w:rPr>
        <w:t xml:space="preserve"> </w:t>
      </w:r>
      <w:r w:rsidR="003D2C40" w:rsidRPr="003D2C40">
        <w:rPr>
          <w:rFonts w:ascii="Times New Roman" w:hAnsi="Times New Roman" w:cs="Times New Roman"/>
          <w:color w:val="000000" w:themeColor="text1"/>
          <w:sz w:val="24"/>
          <w:szCs w:val="24"/>
        </w:rPr>
        <w:t>decarbonisation</w:t>
      </w:r>
      <w:r w:rsidR="00F710EA" w:rsidRPr="003D2C40">
        <w:rPr>
          <w:rFonts w:ascii="Times New Roman" w:hAnsi="Times New Roman" w:cs="Times New Roman"/>
          <w:color w:val="000000" w:themeColor="text1"/>
          <w:sz w:val="24"/>
          <w:szCs w:val="24"/>
        </w:rPr>
        <w:t xml:space="preserve"> of the energy sector in Europe</w:t>
      </w:r>
      <w:r w:rsidR="00876C3C" w:rsidRPr="003D2C40">
        <w:rPr>
          <w:rFonts w:ascii="Times New Roman" w:hAnsi="Times New Roman" w:cs="Times New Roman"/>
          <w:color w:val="000000" w:themeColor="text1"/>
          <w:sz w:val="24"/>
          <w:szCs w:val="24"/>
        </w:rPr>
        <w:t xml:space="preserve">, </w:t>
      </w:r>
      <w:r w:rsidR="003D2C40">
        <w:rPr>
          <w:rFonts w:ascii="Times New Roman" w:hAnsi="Times New Roman" w:cs="Times New Roman"/>
          <w:color w:val="000000" w:themeColor="text1"/>
          <w:sz w:val="24"/>
          <w:szCs w:val="24"/>
        </w:rPr>
        <w:t xml:space="preserve">the </w:t>
      </w:r>
      <w:r w:rsidR="00876C3C" w:rsidRPr="003D2C40">
        <w:rPr>
          <w:rFonts w:ascii="Times New Roman" w:hAnsi="Times New Roman" w:cs="Times New Roman"/>
          <w:color w:val="000000" w:themeColor="text1"/>
          <w:sz w:val="24"/>
          <w:szCs w:val="24"/>
        </w:rPr>
        <w:t xml:space="preserve">gas market and </w:t>
      </w:r>
      <w:r w:rsidR="00737722" w:rsidRPr="003D2C40">
        <w:rPr>
          <w:rFonts w:ascii="Times New Roman" w:hAnsi="Times New Roman" w:cs="Times New Roman"/>
          <w:color w:val="000000" w:themeColor="text1"/>
          <w:sz w:val="24"/>
          <w:szCs w:val="24"/>
        </w:rPr>
        <w:t>its</w:t>
      </w:r>
      <w:r w:rsidR="00876C3C" w:rsidRPr="003D2C40">
        <w:rPr>
          <w:rFonts w:ascii="Times New Roman" w:hAnsi="Times New Roman" w:cs="Times New Roman"/>
          <w:color w:val="000000" w:themeColor="text1"/>
          <w:sz w:val="24"/>
          <w:szCs w:val="24"/>
        </w:rPr>
        <w:t xml:space="preserve"> current regulatory regime face </w:t>
      </w:r>
      <w:proofErr w:type="gramStart"/>
      <w:r w:rsidR="00876C3C" w:rsidRPr="003D2C40">
        <w:rPr>
          <w:rFonts w:ascii="Times New Roman" w:hAnsi="Times New Roman" w:cs="Times New Roman"/>
          <w:color w:val="000000" w:themeColor="text1"/>
          <w:sz w:val="24"/>
          <w:szCs w:val="24"/>
        </w:rPr>
        <w:t>a number of</w:t>
      </w:r>
      <w:proofErr w:type="gramEnd"/>
      <w:r w:rsidR="00876C3C" w:rsidRPr="003D2C40">
        <w:rPr>
          <w:rFonts w:ascii="Times New Roman" w:hAnsi="Times New Roman" w:cs="Times New Roman"/>
          <w:color w:val="000000" w:themeColor="text1"/>
          <w:sz w:val="24"/>
          <w:szCs w:val="24"/>
        </w:rPr>
        <w:t xml:space="preserve"> challenges. </w:t>
      </w:r>
      <w:r w:rsidR="00CA725A" w:rsidRPr="003D2C40">
        <w:rPr>
          <w:rFonts w:ascii="Times New Roman" w:hAnsi="Times New Roman" w:cs="Times New Roman"/>
          <w:color w:val="000000" w:themeColor="text1"/>
          <w:sz w:val="24"/>
          <w:szCs w:val="24"/>
        </w:rPr>
        <w:t xml:space="preserve">Addressing these challenges may require </w:t>
      </w:r>
      <w:r w:rsidR="003D2C40">
        <w:rPr>
          <w:rFonts w:ascii="Times New Roman" w:hAnsi="Times New Roman" w:cs="Times New Roman"/>
          <w:color w:val="000000" w:themeColor="text1"/>
          <w:sz w:val="24"/>
          <w:szCs w:val="24"/>
        </w:rPr>
        <w:t>updating</w:t>
      </w:r>
      <w:r w:rsidR="00CA725A" w:rsidRPr="003D2C40">
        <w:rPr>
          <w:rFonts w:ascii="Times New Roman" w:hAnsi="Times New Roman" w:cs="Times New Roman"/>
          <w:color w:val="000000" w:themeColor="text1"/>
          <w:sz w:val="24"/>
          <w:szCs w:val="24"/>
        </w:rPr>
        <w:t xml:space="preserve"> the </w:t>
      </w:r>
      <w:r w:rsidR="00FB47C2" w:rsidRPr="003D2C40">
        <w:rPr>
          <w:rFonts w:ascii="Times New Roman" w:hAnsi="Times New Roman" w:cs="Times New Roman"/>
          <w:color w:val="000000" w:themeColor="text1"/>
          <w:sz w:val="24"/>
          <w:szCs w:val="24"/>
        </w:rPr>
        <w:t xml:space="preserve">current </w:t>
      </w:r>
      <w:r w:rsidR="00CA725A" w:rsidRPr="003D2C40">
        <w:rPr>
          <w:rFonts w:ascii="Times New Roman" w:hAnsi="Times New Roman" w:cs="Times New Roman"/>
          <w:color w:val="000000" w:themeColor="text1"/>
          <w:sz w:val="24"/>
          <w:szCs w:val="24"/>
        </w:rPr>
        <w:t xml:space="preserve">market design and possibly </w:t>
      </w:r>
      <w:r w:rsidR="00525772" w:rsidRPr="003D2C40">
        <w:rPr>
          <w:rFonts w:ascii="Times New Roman" w:hAnsi="Times New Roman" w:cs="Times New Roman"/>
          <w:color w:val="000000" w:themeColor="text1"/>
          <w:sz w:val="24"/>
          <w:szCs w:val="24"/>
        </w:rPr>
        <w:t xml:space="preserve">drastic reforms </w:t>
      </w:r>
      <w:r w:rsidR="005C43C1" w:rsidRPr="003D2C40">
        <w:rPr>
          <w:rFonts w:ascii="Times New Roman" w:hAnsi="Times New Roman" w:cs="Times New Roman"/>
          <w:color w:val="000000" w:themeColor="text1"/>
          <w:sz w:val="24"/>
          <w:szCs w:val="24"/>
        </w:rPr>
        <w:t>of</w:t>
      </w:r>
      <w:r w:rsidR="00525772" w:rsidRPr="003D2C40">
        <w:rPr>
          <w:rFonts w:ascii="Times New Roman" w:hAnsi="Times New Roman" w:cs="Times New Roman"/>
          <w:color w:val="000000" w:themeColor="text1"/>
          <w:sz w:val="24"/>
          <w:szCs w:val="24"/>
        </w:rPr>
        <w:t xml:space="preserve"> tariffs setting for </w:t>
      </w:r>
      <w:r w:rsidR="003D2C40">
        <w:rPr>
          <w:rFonts w:ascii="Times New Roman" w:hAnsi="Times New Roman" w:cs="Times New Roman"/>
          <w:color w:val="000000" w:themeColor="text1"/>
          <w:sz w:val="24"/>
          <w:szCs w:val="24"/>
        </w:rPr>
        <w:t xml:space="preserve">the </w:t>
      </w:r>
      <w:r w:rsidR="00525772" w:rsidRPr="003D2C40">
        <w:rPr>
          <w:rFonts w:ascii="Times New Roman" w:hAnsi="Times New Roman" w:cs="Times New Roman"/>
          <w:color w:val="000000" w:themeColor="text1"/>
          <w:sz w:val="24"/>
          <w:szCs w:val="24"/>
        </w:rPr>
        <w:t>gas transport market</w:t>
      </w:r>
      <w:r w:rsidR="00FB47C2" w:rsidRPr="003D2C40">
        <w:rPr>
          <w:rFonts w:ascii="Times New Roman" w:hAnsi="Times New Roman" w:cs="Times New Roman"/>
          <w:color w:val="000000" w:themeColor="text1"/>
          <w:sz w:val="24"/>
          <w:szCs w:val="24"/>
        </w:rPr>
        <w:t>. A more general question</w:t>
      </w:r>
      <w:r w:rsidR="003E7155" w:rsidRPr="003D2C40">
        <w:rPr>
          <w:rFonts w:ascii="Times New Roman" w:hAnsi="Times New Roman" w:cs="Times New Roman"/>
          <w:color w:val="000000" w:themeColor="text1"/>
          <w:sz w:val="24"/>
          <w:szCs w:val="24"/>
        </w:rPr>
        <w:t xml:space="preserve"> that European authorities may wish to consider is </w:t>
      </w:r>
      <w:r w:rsidR="00135184" w:rsidRPr="003D2C40">
        <w:rPr>
          <w:rFonts w:ascii="Times New Roman" w:hAnsi="Times New Roman" w:cs="Times New Roman"/>
          <w:color w:val="000000" w:themeColor="text1"/>
          <w:sz w:val="24"/>
          <w:szCs w:val="24"/>
        </w:rPr>
        <w:t xml:space="preserve">whether </w:t>
      </w:r>
      <w:r w:rsidR="00750C81" w:rsidRPr="003D2C40">
        <w:rPr>
          <w:rFonts w:ascii="Times New Roman" w:hAnsi="Times New Roman" w:cs="Times New Roman"/>
          <w:color w:val="000000" w:themeColor="text1"/>
          <w:sz w:val="24"/>
          <w:szCs w:val="24"/>
        </w:rPr>
        <w:t xml:space="preserve">the </w:t>
      </w:r>
      <w:r w:rsidR="005A139E" w:rsidRPr="003D2C40">
        <w:rPr>
          <w:rFonts w:ascii="Times New Roman" w:hAnsi="Times New Roman" w:cs="Times New Roman"/>
          <w:color w:val="000000" w:themeColor="text1"/>
          <w:sz w:val="24"/>
          <w:szCs w:val="24"/>
        </w:rPr>
        <w:t xml:space="preserve">existing </w:t>
      </w:r>
      <w:r w:rsidR="00855C7E" w:rsidRPr="003D2C40">
        <w:rPr>
          <w:rFonts w:ascii="Times New Roman" w:hAnsi="Times New Roman" w:cs="Times New Roman"/>
          <w:color w:val="000000" w:themeColor="text1"/>
          <w:sz w:val="24"/>
          <w:szCs w:val="24"/>
        </w:rPr>
        <w:t xml:space="preserve">market </w:t>
      </w:r>
      <w:r w:rsidR="005A139E" w:rsidRPr="003D2C40">
        <w:rPr>
          <w:rFonts w:ascii="Times New Roman" w:hAnsi="Times New Roman" w:cs="Times New Roman"/>
          <w:color w:val="000000" w:themeColor="text1"/>
          <w:sz w:val="24"/>
          <w:szCs w:val="24"/>
        </w:rPr>
        <w:t xml:space="preserve">institutions </w:t>
      </w:r>
      <w:r w:rsidR="0095361D" w:rsidRPr="003D2C40">
        <w:rPr>
          <w:rFonts w:ascii="Times New Roman" w:hAnsi="Times New Roman" w:cs="Times New Roman"/>
          <w:color w:val="000000" w:themeColor="text1"/>
          <w:sz w:val="24"/>
          <w:szCs w:val="24"/>
        </w:rPr>
        <w:t xml:space="preserve">can </w:t>
      </w:r>
      <w:r w:rsidR="005333AA" w:rsidRPr="003D2C40">
        <w:rPr>
          <w:rFonts w:ascii="Times New Roman" w:hAnsi="Times New Roman" w:cs="Times New Roman"/>
          <w:color w:val="000000" w:themeColor="text1"/>
          <w:sz w:val="24"/>
          <w:szCs w:val="24"/>
        </w:rPr>
        <w:t>ensure</w:t>
      </w:r>
      <w:r w:rsidR="005A139E" w:rsidRPr="003D2C40">
        <w:rPr>
          <w:rFonts w:ascii="Times New Roman" w:hAnsi="Times New Roman" w:cs="Times New Roman"/>
          <w:color w:val="000000" w:themeColor="text1"/>
          <w:sz w:val="24"/>
          <w:szCs w:val="24"/>
        </w:rPr>
        <w:t xml:space="preserve"> competitive entry of new sources of gas supplies deep into land-locked markets of Central, Eastern and Southern Europe</w:t>
      </w:r>
      <w:r w:rsidR="0095361D" w:rsidRPr="003D2C40">
        <w:rPr>
          <w:rFonts w:ascii="Times New Roman" w:hAnsi="Times New Roman" w:cs="Times New Roman"/>
          <w:color w:val="000000" w:themeColor="text1"/>
          <w:sz w:val="24"/>
          <w:szCs w:val="24"/>
        </w:rPr>
        <w:t>.</w:t>
      </w:r>
      <w:r w:rsidR="005A139E" w:rsidRPr="003D2C40">
        <w:rPr>
          <w:rFonts w:ascii="Times New Roman" w:hAnsi="Times New Roman" w:cs="Times New Roman"/>
          <w:color w:val="000000" w:themeColor="text1"/>
          <w:sz w:val="24"/>
          <w:szCs w:val="24"/>
        </w:rPr>
        <w:t xml:space="preserve"> </w:t>
      </w:r>
    </w:p>
    <w:p w14:paraId="68028DB9" w14:textId="0D9E4649" w:rsidR="001525C6" w:rsidRDefault="006D73C2" w:rsidP="00D431D7">
      <w:pPr>
        <w:spacing w:line="360" w:lineRule="auto"/>
        <w:ind w:firstLine="567"/>
        <w:rPr>
          <w:rFonts w:ascii="Times New Roman" w:hAnsi="Times New Roman" w:cs="Times New Roman"/>
          <w:color w:val="000000" w:themeColor="text1"/>
          <w:sz w:val="24"/>
          <w:szCs w:val="24"/>
        </w:rPr>
      </w:pPr>
      <w:r w:rsidRPr="003D2C40">
        <w:rPr>
          <w:rFonts w:ascii="Times New Roman" w:hAnsi="Times New Roman" w:cs="Times New Roman"/>
          <w:color w:val="000000" w:themeColor="text1"/>
          <w:sz w:val="24"/>
          <w:szCs w:val="24"/>
        </w:rPr>
        <w:t xml:space="preserve">Despite </w:t>
      </w:r>
      <w:r w:rsidR="003D2C40">
        <w:rPr>
          <w:rFonts w:ascii="Times New Roman" w:hAnsi="Times New Roman" w:cs="Times New Roman"/>
          <w:color w:val="000000" w:themeColor="text1"/>
          <w:sz w:val="24"/>
          <w:szCs w:val="24"/>
        </w:rPr>
        <w:t xml:space="preserve">the </w:t>
      </w:r>
      <w:r w:rsidRPr="003D2C40">
        <w:rPr>
          <w:rFonts w:ascii="Times New Roman" w:hAnsi="Times New Roman" w:cs="Times New Roman"/>
          <w:color w:val="000000" w:themeColor="text1"/>
          <w:sz w:val="24"/>
          <w:szCs w:val="24"/>
        </w:rPr>
        <w:t>challenges ahead</w:t>
      </w:r>
      <w:r w:rsidR="003D2C40">
        <w:rPr>
          <w:rFonts w:ascii="Times New Roman" w:hAnsi="Times New Roman" w:cs="Times New Roman"/>
          <w:color w:val="000000" w:themeColor="text1"/>
          <w:sz w:val="24"/>
          <w:szCs w:val="24"/>
        </w:rPr>
        <w:t>,</w:t>
      </w:r>
      <w:r w:rsidRPr="003D2C40">
        <w:rPr>
          <w:rFonts w:ascii="Times New Roman" w:hAnsi="Times New Roman" w:cs="Times New Roman"/>
          <w:color w:val="000000" w:themeColor="text1"/>
          <w:sz w:val="24"/>
          <w:szCs w:val="24"/>
        </w:rPr>
        <w:t xml:space="preserve"> the overall lesson to be learned from Europe is that</w:t>
      </w:r>
      <w:r w:rsidR="00545101" w:rsidRPr="003D2C40">
        <w:rPr>
          <w:rFonts w:ascii="Times New Roman" w:hAnsi="Times New Roman" w:cs="Times New Roman"/>
          <w:color w:val="000000" w:themeColor="text1"/>
          <w:sz w:val="24"/>
          <w:szCs w:val="24"/>
        </w:rPr>
        <w:t xml:space="preserve"> the process of creati</w:t>
      </w:r>
      <w:r w:rsidR="003D2C40">
        <w:rPr>
          <w:rFonts w:ascii="Times New Roman" w:hAnsi="Times New Roman" w:cs="Times New Roman"/>
          <w:color w:val="000000" w:themeColor="text1"/>
          <w:sz w:val="24"/>
          <w:szCs w:val="24"/>
        </w:rPr>
        <w:t>ng</w:t>
      </w:r>
      <w:r w:rsidR="00545101" w:rsidRPr="003D2C40">
        <w:rPr>
          <w:rFonts w:ascii="Times New Roman" w:hAnsi="Times New Roman" w:cs="Times New Roman"/>
          <w:color w:val="000000" w:themeColor="text1"/>
          <w:sz w:val="24"/>
          <w:szCs w:val="24"/>
        </w:rPr>
        <w:t xml:space="preserve"> a single market for gas was</w:t>
      </w:r>
      <w:r w:rsidR="004D7C18" w:rsidRPr="003D2C40">
        <w:rPr>
          <w:rFonts w:ascii="Times New Roman" w:hAnsi="Times New Roman" w:cs="Times New Roman"/>
          <w:color w:val="000000" w:themeColor="text1"/>
          <w:sz w:val="24"/>
          <w:szCs w:val="24"/>
        </w:rPr>
        <w:t xml:space="preserve"> </w:t>
      </w:r>
      <w:r w:rsidR="00545101" w:rsidRPr="003D2C40">
        <w:rPr>
          <w:rFonts w:ascii="Times New Roman" w:hAnsi="Times New Roman" w:cs="Times New Roman"/>
          <w:color w:val="000000" w:themeColor="text1"/>
          <w:sz w:val="24"/>
          <w:szCs w:val="24"/>
        </w:rPr>
        <w:t>positive</w:t>
      </w:r>
      <w:r w:rsidR="00421F5C" w:rsidRPr="003D2C40">
        <w:rPr>
          <w:rFonts w:ascii="Times New Roman" w:hAnsi="Times New Roman" w:cs="Times New Roman"/>
          <w:color w:val="000000" w:themeColor="text1"/>
          <w:sz w:val="24"/>
          <w:szCs w:val="24"/>
        </w:rPr>
        <w:t xml:space="preserve">; it has </w:t>
      </w:r>
      <w:r w:rsidR="004D7C18" w:rsidRPr="003D2C40">
        <w:rPr>
          <w:rFonts w:ascii="Times New Roman" w:hAnsi="Times New Roman" w:cs="Times New Roman"/>
          <w:color w:val="000000" w:themeColor="text1"/>
          <w:sz w:val="24"/>
          <w:szCs w:val="24"/>
        </w:rPr>
        <w:t xml:space="preserve">created net benefits to Europe in the form of price convergence, transparency and </w:t>
      </w:r>
      <w:r w:rsidR="00421F5C" w:rsidRPr="003D2C40">
        <w:rPr>
          <w:rFonts w:ascii="Times New Roman" w:hAnsi="Times New Roman" w:cs="Times New Roman"/>
          <w:color w:val="000000" w:themeColor="text1"/>
          <w:sz w:val="24"/>
          <w:szCs w:val="24"/>
        </w:rPr>
        <w:t>minimi</w:t>
      </w:r>
      <w:r w:rsidR="00AC205F">
        <w:rPr>
          <w:rFonts w:ascii="Times New Roman" w:hAnsi="Times New Roman" w:cs="Times New Roman"/>
          <w:color w:val="000000" w:themeColor="text1"/>
          <w:sz w:val="24"/>
          <w:szCs w:val="24"/>
        </w:rPr>
        <w:t>s</w:t>
      </w:r>
      <w:r w:rsidR="00421F5C" w:rsidRPr="003D2C40">
        <w:rPr>
          <w:rFonts w:ascii="Times New Roman" w:hAnsi="Times New Roman" w:cs="Times New Roman"/>
          <w:color w:val="000000" w:themeColor="text1"/>
          <w:sz w:val="24"/>
          <w:szCs w:val="24"/>
        </w:rPr>
        <w:t>ation</w:t>
      </w:r>
      <w:r w:rsidR="004D7C18" w:rsidRPr="003D2C40">
        <w:rPr>
          <w:rFonts w:ascii="Times New Roman" w:hAnsi="Times New Roman" w:cs="Times New Roman"/>
          <w:color w:val="000000" w:themeColor="text1"/>
          <w:sz w:val="24"/>
          <w:szCs w:val="24"/>
        </w:rPr>
        <w:t xml:space="preserve"> of political consequences of </w:t>
      </w:r>
      <w:r w:rsidR="00362A18" w:rsidRPr="003D2C40">
        <w:rPr>
          <w:rFonts w:ascii="Times New Roman" w:hAnsi="Times New Roman" w:cs="Times New Roman"/>
          <w:color w:val="000000" w:themeColor="text1"/>
          <w:sz w:val="24"/>
          <w:szCs w:val="24"/>
        </w:rPr>
        <w:t>possible market segmentation and disintegration. B</w:t>
      </w:r>
      <w:r w:rsidR="00545101" w:rsidRPr="003D2C40">
        <w:rPr>
          <w:rFonts w:ascii="Times New Roman" w:hAnsi="Times New Roman" w:cs="Times New Roman"/>
          <w:color w:val="000000" w:themeColor="text1"/>
          <w:sz w:val="24"/>
          <w:szCs w:val="24"/>
        </w:rPr>
        <w:t>ut the ‘devil is the detail</w:t>
      </w:r>
      <w:r w:rsidR="003D2C40">
        <w:rPr>
          <w:rFonts w:ascii="Times New Roman" w:hAnsi="Times New Roman" w:cs="Times New Roman"/>
          <w:color w:val="000000" w:themeColor="text1"/>
          <w:sz w:val="24"/>
          <w:szCs w:val="24"/>
        </w:rPr>
        <w:t>s</w:t>
      </w:r>
      <w:r w:rsidR="00545101" w:rsidRPr="003D2C40">
        <w:rPr>
          <w:rFonts w:ascii="Times New Roman" w:hAnsi="Times New Roman" w:cs="Times New Roman"/>
          <w:color w:val="000000" w:themeColor="text1"/>
          <w:sz w:val="24"/>
          <w:szCs w:val="24"/>
        </w:rPr>
        <w:t>’</w:t>
      </w:r>
      <w:r w:rsidR="003D2C40">
        <w:rPr>
          <w:rFonts w:ascii="Times New Roman" w:hAnsi="Times New Roman" w:cs="Times New Roman"/>
          <w:color w:val="000000" w:themeColor="text1"/>
          <w:sz w:val="24"/>
          <w:szCs w:val="24"/>
        </w:rPr>
        <w:t>,</w:t>
      </w:r>
      <w:r w:rsidR="00C15A11" w:rsidRPr="003D2C40">
        <w:rPr>
          <w:rFonts w:ascii="Times New Roman" w:hAnsi="Times New Roman" w:cs="Times New Roman"/>
          <w:color w:val="000000" w:themeColor="text1"/>
          <w:sz w:val="24"/>
          <w:szCs w:val="24"/>
        </w:rPr>
        <w:t xml:space="preserve"> and hence</w:t>
      </w:r>
      <w:r w:rsidR="003D2C40">
        <w:rPr>
          <w:rFonts w:ascii="Times New Roman" w:hAnsi="Times New Roman" w:cs="Times New Roman"/>
          <w:color w:val="000000" w:themeColor="text1"/>
          <w:sz w:val="24"/>
          <w:szCs w:val="24"/>
        </w:rPr>
        <w:t>,</w:t>
      </w:r>
      <w:r w:rsidR="00C15A11" w:rsidRPr="003D2C40">
        <w:rPr>
          <w:rFonts w:ascii="Times New Roman" w:hAnsi="Times New Roman" w:cs="Times New Roman"/>
          <w:color w:val="000000" w:themeColor="text1"/>
          <w:sz w:val="24"/>
          <w:szCs w:val="24"/>
        </w:rPr>
        <w:t xml:space="preserve"> applying </w:t>
      </w:r>
      <w:r w:rsidR="003D2C40">
        <w:rPr>
          <w:rFonts w:ascii="Times New Roman" w:hAnsi="Times New Roman" w:cs="Times New Roman"/>
          <w:color w:val="000000" w:themeColor="text1"/>
          <w:sz w:val="24"/>
          <w:szCs w:val="24"/>
        </w:rPr>
        <w:t xml:space="preserve">the </w:t>
      </w:r>
      <w:r w:rsidR="00C15A11" w:rsidRPr="003D2C40">
        <w:rPr>
          <w:rFonts w:ascii="Times New Roman" w:hAnsi="Times New Roman" w:cs="Times New Roman"/>
          <w:color w:val="000000" w:themeColor="text1"/>
          <w:sz w:val="24"/>
          <w:szCs w:val="24"/>
        </w:rPr>
        <w:t>European gas market liberalization</w:t>
      </w:r>
      <w:r w:rsidR="002B1CC9" w:rsidRPr="003D2C40">
        <w:rPr>
          <w:rFonts w:ascii="Times New Roman" w:hAnsi="Times New Roman" w:cs="Times New Roman"/>
          <w:color w:val="000000" w:themeColor="text1"/>
          <w:sz w:val="24"/>
          <w:szCs w:val="24"/>
        </w:rPr>
        <w:t xml:space="preserve"> experience</w:t>
      </w:r>
      <w:r w:rsidR="00C15A11" w:rsidRPr="003D2C40">
        <w:rPr>
          <w:rFonts w:ascii="Times New Roman" w:hAnsi="Times New Roman" w:cs="Times New Roman"/>
          <w:color w:val="000000" w:themeColor="text1"/>
          <w:sz w:val="24"/>
          <w:szCs w:val="24"/>
        </w:rPr>
        <w:t xml:space="preserve"> to another context requires a deep understanding of socio-political </w:t>
      </w:r>
      <w:r w:rsidR="002B1CC9" w:rsidRPr="003D2C40">
        <w:rPr>
          <w:rFonts w:ascii="Times New Roman" w:hAnsi="Times New Roman" w:cs="Times New Roman"/>
          <w:color w:val="000000" w:themeColor="text1"/>
          <w:sz w:val="24"/>
          <w:szCs w:val="24"/>
        </w:rPr>
        <w:t xml:space="preserve">and local market </w:t>
      </w:r>
      <w:r w:rsidR="006E58E4" w:rsidRPr="003D2C40">
        <w:rPr>
          <w:rFonts w:ascii="Times New Roman" w:hAnsi="Times New Roman" w:cs="Times New Roman"/>
          <w:color w:val="000000" w:themeColor="text1"/>
          <w:sz w:val="24"/>
          <w:szCs w:val="24"/>
        </w:rPr>
        <w:t>conditions</w:t>
      </w:r>
      <w:r w:rsidR="002B1CC9" w:rsidRPr="003D2C40">
        <w:rPr>
          <w:rFonts w:ascii="Times New Roman" w:hAnsi="Times New Roman" w:cs="Times New Roman"/>
          <w:color w:val="000000" w:themeColor="text1"/>
          <w:sz w:val="24"/>
          <w:szCs w:val="24"/>
        </w:rPr>
        <w:t>.</w:t>
      </w:r>
    </w:p>
    <w:p w14:paraId="0BFB1AFD" w14:textId="3B4725CA" w:rsidR="009D3B7E" w:rsidRDefault="009D3B7E">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bookmarkStart w:id="8" w:name="_GoBack"/>
      <w:bookmarkEnd w:id="8"/>
    </w:p>
    <w:p w14:paraId="0D1665EA" w14:textId="77777777" w:rsidR="009D3B7E" w:rsidRPr="004337C2" w:rsidRDefault="009D3B7E" w:rsidP="009D3B7E">
      <w:pPr>
        <w:pStyle w:val="Heading1"/>
        <w:spacing w:line="360" w:lineRule="auto"/>
        <w:ind w:firstLine="567"/>
        <w:rPr>
          <w:rFonts w:ascii="Times New Roman" w:hAnsi="Times New Roman" w:cs="Times New Roman"/>
          <w:b/>
          <w:color w:val="000000" w:themeColor="text1"/>
          <w:sz w:val="24"/>
          <w:szCs w:val="24"/>
        </w:rPr>
      </w:pPr>
      <w:r w:rsidRPr="004337C2">
        <w:rPr>
          <w:rFonts w:ascii="Times New Roman" w:hAnsi="Times New Roman" w:cs="Times New Roman"/>
          <w:b/>
          <w:color w:val="000000" w:themeColor="text1"/>
          <w:sz w:val="24"/>
          <w:szCs w:val="24"/>
        </w:rPr>
        <w:lastRenderedPageBreak/>
        <w:t>References</w:t>
      </w:r>
    </w:p>
    <w:p w14:paraId="2F508D2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Agency for the Cooperation of Energy Regulators (ACER). (2015). “Annual Report on the Results of Monitoring the Internal Electricity and Natural Gas Markets in 2013”. Available at: https://acer.europa.eu/Official_documents/Publications/Pages/Publication.aspx</w:t>
      </w:r>
    </w:p>
    <w:p w14:paraId="40443ED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ACER. (2017). “Annual Report on the Results of Monitoring the Internal Electricity and Natural Gas Markets in 2016”. Available at: https://acer.europa.eu/Official_documents/Publications/Pages/Publication.aspx</w:t>
      </w:r>
    </w:p>
    <w:p w14:paraId="152C0CB0"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Asche</w:t>
      </w:r>
      <w:proofErr w:type="spellEnd"/>
      <w:r w:rsidRPr="004337C2">
        <w:rPr>
          <w:rFonts w:ascii="Times New Roman" w:hAnsi="Times New Roman" w:cs="Times New Roman"/>
          <w:color w:val="000000" w:themeColor="text1"/>
          <w:sz w:val="24"/>
          <w:szCs w:val="24"/>
        </w:rPr>
        <w:t xml:space="preserve">, F., </w:t>
      </w:r>
      <w:proofErr w:type="spellStart"/>
      <w:r w:rsidRPr="004337C2">
        <w:rPr>
          <w:rFonts w:ascii="Times New Roman" w:hAnsi="Times New Roman" w:cs="Times New Roman"/>
          <w:color w:val="000000" w:themeColor="text1"/>
          <w:sz w:val="24"/>
          <w:szCs w:val="24"/>
        </w:rPr>
        <w:t>Osmundsen</w:t>
      </w:r>
      <w:proofErr w:type="spellEnd"/>
      <w:r w:rsidRPr="004337C2">
        <w:rPr>
          <w:rFonts w:ascii="Times New Roman" w:hAnsi="Times New Roman" w:cs="Times New Roman"/>
          <w:color w:val="000000" w:themeColor="text1"/>
          <w:sz w:val="24"/>
          <w:szCs w:val="24"/>
        </w:rPr>
        <w:t xml:space="preserve">, P., </w:t>
      </w:r>
      <w:proofErr w:type="spellStart"/>
      <w:r w:rsidRPr="004337C2">
        <w:rPr>
          <w:rFonts w:ascii="Times New Roman" w:hAnsi="Times New Roman" w:cs="Times New Roman"/>
          <w:color w:val="000000" w:themeColor="text1"/>
          <w:sz w:val="24"/>
          <w:szCs w:val="24"/>
        </w:rPr>
        <w:t>Tveteras</w:t>
      </w:r>
      <w:proofErr w:type="spellEnd"/>
      <w:r w:rsidRPr="004337C2">
        <w:rPr>
          <w:rFonts w:ascii="Times New Roman" w:hAnsi="Times New Roman" w:cs="Times New Roman"/>
          <w:color w:val="000000" w:themeColor="text1"/>
          <w:sz w:val="24"/>
          <w:szCs w:val="24"/>
        </w:rPr>
        <w:t xml:space="preserve">, R. (2002). “European market integration for gas? Volume flexibility and political risk.” Energy Economics 24, 249–265. </w:t>
      </w:r>
    </w:p>
    <w:p w14:paraId="55EF6718"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Asche</w:t>
      </w:r>
      <w:proofErr w:type="spellEnd"/>
      <w:r w:rsidRPr="004337C2">
        <w:rPr>
          <w:rFonts w:ascii="Times New Roman" w:hAnsi="Times New Roman" w:cs="Times New Roman"/>
          <w:color w:val="000000" w:themeColor="text1"/>
          <w:sz w:val="24"/>
          <w:szCs w:val="24"/>
        </w:rPr>
        <w:t xml:space="preserve">, F., </w:t>
      </w:r>
      <w:proofErr w:type="spellStart"/>
      <w:r w:rsidRPr="004337C2">
        <w:rPr>
          <w:rFonts w:ascii="Times New Roman" w:hAnsi="Times New Roman" w:cs="Times New Roman"/>
          <w:color w:val="000000" w:themeColor="text1"/>
          <w:sz w:val="24"/>
          <w:szCs w:val="24"/>
        </w:rPr>
        <w:t>Misund</w:t>
      </w:r>
      <w:proofErr w:type="spellEnd"/>
      <w:r w:rsidRPr="004337C2">
        <w:rPr>
          <w:rFonts w:ascii="Times New Roman" w:hAnsi="Times New Roman" w:cs="Times New Roman"/>
          <w:color w:val="000000" w:themeColor="text1"/>
          <w:sz w:val="24"/>
          <w:szCs w:val="24"/>
        </w:rPr>
        <w:t xml:space="preserve">, B., and </w:t>
      </w:r>
      <w:proofErr w:type="spellStart"/>
      <w:r w:rsidRPr="004337C2">
        <w:rPr>
          <w:rFonts w:ascii="Times New Roman" w:hAnsi="Times New Roman" w:cs="Times New Roman"/>
          <w:color w:val="000000" w:themeColor="text1"/>
          <w:sz w:val="24"/>
          <w:szCs w:val="24"/>
        </w:rPr>
        <w:t>Sikveland</w:t>
      </w:r>
      <w:proofErr w:type="spellEnd"/>
      <w:r w:rsidRPr="004337C2">
        <w:rPr>
          <w:rFonts w:ascii="Times New Roman" w:hAnsi="Times New Roman" w:cs="Times New Roman"/>
          <w:color w:val="000000" w:themeColor="text1"/>
          <w:sz w:val="24"/>
          <w:szCs w:val="24"/>
        </w:rPr>
        <w:t>, M. (2013). “The relationship between spot and contract gas prices in Europe.” Energy Economics 38(2013): 212-217. http://dx.doi.org/10.1016/j.eneco.2013.02.010</w:t>
      </w:r>
    </w:p>
    <w:p w14:paraId="5C52F589"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BearingPoint &amp; </w:t>
      </w:r>
      <w:proofErr w:type="spellStart"/>
      <w:r w:rsidRPr="004337C2">
        <w:rPr>
          <w:rFonts w:ascii="Times New Roman" w:hAnsi="Times New Roman" w:cs="Times New Roman"/>
          <w:color w:val="000000" w:themeColor="text1"/>
          <w:sz w:val="24"/>
          <w:szCs w:val="24"/>
        </w:rPr>
        <w:t>Microeconomix</w:t>
      </w:r>
      <w:proofErr w:type="spellEnd"/>
      <w:r w:rsidRPr="004337C2">
        <w:rPr>
          <w:rFonts w:ascii="Times New Roman" w:hAnsi="Times New Roman" w:cs="Times New Roman"/>
          <w:color w:val="000000" w:themeColor="text1"/>
          <w:sz w:val="24"/>
          <w:szCs w:val="24"/>
        </w:rPr>
        <w:t xml:space="preserve"> (2015) “Study on comparative review of investment conditions for electricity and gas Transmission System Operators (TSOs) in the EU” for DG ENER</w:t>
      </w:r>
    </w:p>
    <w:p w14:paraId="75A25F3C"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Brito, D. and P. Hartley (2002). “Evolution of the International LNG Market,” </w:t>
      </w:r>
      <w:proofErr w:type="spellStart"/>
      <w:r w:rsidRPr="004337C2">
        <w:rPr>
          <w:rFonts w:ascii="Times New Roman" w:hAnsi="Times New Roman" w:cs="Times New Roman"/>
          <w:color w:val="000000" w:themeColor="text1"/>
          <w:sz w:val="24"/>
          <w:szCs w:val="24"/>
        </w:rPr>
        <w:t>Center</w:t>
      </w:r>
      <w:proofErr w:type="spellEnd"/>
      <w:r w:rsidRPr="004337C2">
        <w:rPr>
          <w:rFonts w:ascii="Times New Roman" w:hAnsi="Times New Roman" w:cs="Times New Roman"/>
          <w:color w:val="000000" w:themeColor="text1"/>
          <w:sz w:val="24"/>
          <w:szCs w:val="24"/>
        </w:rPr>
        <w:t xml:space="preserve"> for Energy Studies (published online 23 June 2002). http://bakerinstitute.org/files/2675/, accessed 7 May 2015.</w:t>
      </w:r>
    </w:p>
    <w:p w14:paraId="712C7229"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Brito, D.L. and P.R. Hartley (2007). “Expectations and the evolving world gas market,” The Energy Journal, 28(1), pp. 1–24.</w:t>
      </w:r>
    </w:p>
    <w:p w14:paraId="5124885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BP (2018). “Statistical Review of World Energy - 2018”. Available at: </w:t>
      </w:r>
      <w:hyperlink r:id="rId13" w:history="1">
        <w:r w:rsidRPr="004337C2">
          <w:rPr>
            <w:rStyle w:val="Hyperlink"/>
            <w:rFonts w:ascii="Times New Roman" w:hAnsi="Times New Roman" w:cs="Times New Roman"/>
            <w:color w:val="000000" w:themeColor="text1"/>
            <w:sz w:val="24"/>
            <w:szCs w:val="24"/>
          </w:rPr>
          <w:t>https://www.bp.com/en/global/corporate/energy-economics/statistical-review-of-world-energy.html</w:t>
        </w:r>
      </w:hyperlink>
      <w:r w:rsidRPr="004337C2">
        <w:rPr>
          <w:rFonts w:ascii="Times New Roman" w:hAnsi="Times New Roman" w:cs="Times New Roman"/>
          <w:color w:val="000000" w:themeColor="text1"/>
          <w:sz w:val="24"/>
          <w:szCs w:val="24"/>
        </w:rPr>
        <w:t xml:space="preserve"> </w:t>
      </w:r>
    </w:p>
    <w:p w14:paraId="018FCF79"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Chyong, C.K. (2015) “Market and long-term contracts: The case of Russian gas suppliers to Europe”, EPRG Working Paper Series N1524</w:t>
      </w:r>
    </w:p>
    <w:p w14:paraId="05170238"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Chyong, C.K., and Kazmin, R. (2016) “The economics of global LNG trade: the case of Atlantic and Pacific inter-basin arbitrage in 2010-2014”, EPRG Working Paper Series N1602</w:t>
      </w:r>
    </w:p>
    <w:p w14:paraId="5EBCC6BB"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Chyong, C.K. (2017). “An Assessment of Gazprom’s Proposed Commitments Concerning Central and Eastern European Gas Markets Using a Global Gas Market Simulation Model”. EPRG Research Comment. Available at: http://www.eprg.group.cam.ac.uk/wp-content/uploads/2017/05/An-Assessment-of-Gazproms-commitments_CHYONG.pdf</w:t>
      </w:r>
    </w:p>
    <w:p w14:paraId="0B20D59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Coase, R. H. (1937). “The nature of the firm,” </w:t>
      </w:r>
      <w:proofErr w:type="spellStart"/>
      <w:r w:rsidRPr="004337C2">
        <w:rPr>
          <w:rFonts w:ascii="Times New Roman" w:hAnsi="Times New Roman" w:cs="Times New Roman"/>
          <w:color w:val="000000" w:themeColor="text1"/>
          <w:sz w:val="24"/>
          <w:szCs w:val="24"/>
        </w:rPr>
        <w:t>Economica</w:t>
      </w:r>
      <w:proofErr w:type="spellEnd"/>
      <w:r w:rsidRPr="004337C2">
        <w:rPr>
          <w:rFonts w:ascii="Times New Roman" w:hAnsi="Times New Roman" w:cs="Times New Roman"/>
          <w:color w:val="000000" w:themeColor="text1"/>
          <w:sz w:val="24"/>
          <w:szCs w:val="24"/>
        </w:rPr>
        <w:t>, 4(16), pp. 386–405. http://www.jstor.org/stable/2626876.</w:t>
      </w:r>
    </w:p>
    <w:p w14:paraId="05AF2B1F"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lastRenderedPageBreak/>
        <w:t>Coase, R. (1972). “Industrial organization: A proposal for research,” in Victor R. Fuchs, ed., Economic Research: Retrospect and Prospect, Volume 3, Policy Issues and Research Opportunities in Industrial Organization, National Bureau of Economic Research, pp. 59–73. http://www.nber.org/chapters/c7618.pdf.</w:t>
      </w:r>
    </w:p>
    <w:p w14:paraId="2C160441"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Cornot-Gandolphe</w:t>
      </w:r>
      <w:proofErr w:type="spellEnd"/>
      <w:r w:rsidRPr="004337C2">
        <w:rPr>
          <w:rFonts w:ascii="Times New Roman" w:hAnsi="Times New Roman" w:cs="Times New Roman"/>
          <w:color w:val="000000" w:themeColor="text1"/>
          <w:sz w:val="24"/>
          <w:szCs w:val="24"/>
        </w:rPr>
        <w:t xml:space="preserve">, S., O. </w:t>
      </w:r>
      <w:proofErr w:type="spellStart"/>
      <w:r w:rsidRPr="004337C2">
        <w:rPr>
          <w:rFonts w:ascii="Times New Roman" w:hAnsi="Times New Roman" w:cs="Times New Roman"/>
          <w:color w:val="000000" w:themeColor="text1"/>
          <w:sz w:val="24"/>
          <w:szCs w:val="24"/>
        </w:rPr>
        <w:t>Appert</w:t>
      </w:r>
      <w:proofErr w:type="spellEnd"/>
      <w:r w:rsidRPr="004337C2">
        <w:rPr>
          <w:rFonts w:ascii="Times New Roman" w:hAnsi="Times New Roman" w:cs="Times New Roman"/>
          <w:color w:val="000000" w:themeColor="text1"/>
          <w:sz w:val="24"/>
          <w:szCs w:val="24"/>
        </w:rPr>
        <w:t xml:space="preserve">, R. Dickel, M.-F. </w:t>
      </w:r>
      <w:proofErr w:type="spellStart"/>
      <w:r w:rsidRPr="004337C2">
        <w:rPr>
          <w:rFonts w:ascii="Times New Roman" w:hAnsi="Times New Roman" w:cs="Times New Roman"/>
          <w:color w:val="000000" w:themeColor="text1"/>
          <w:sz w:val="24"/>
          <w:szCs w:val="24"/>
        </w:rPr>
        <w:t>Chabrelie</w:t>
      </w:r>
      <w:proofErr w:type="spellEnd"/>
      <w:r w:rsidRPr="004337C2">
        <w:rPr>
          <w:rFonts w:ascii="Times New Roman" w:hAnsi="Times New Roman" w:cs="Times New Roman"/>
          <w:color w:val="000000" w:themeColor="text1"/>
          <w:sz w:val="24"/>
          <w:szCs w:val="24"/>
        </w:rPr>
        <w:t xml:space="preserve"> and A. </w:t>
      </w:r>
      <w:proofErr w:type="spellStart"/>
      <w:r w:rsidRPr="004337C2">
        <w:rPr>
          <w:rFonts w:ascii="Times New Roman" w:hAnsi="Times New Roman" w:cs="Times New Roman"/>
          <w:color w:val="000000" w:themeColor="text1"/>
          <w:sz w:val="24"/>
          <w:szCs w:val="24"/>
        </w:rPr>
        <w:t>Rojey</w:t>
      </w:r>
      <w:proofErr w:type="spellEnd"/>
      <w:r w:rsidRPr="004337C2">
        <w:rPr>
          <w:rFonts w:ascii="Times New Roman" w:hAnsi="Times New Roman" w:cs="Times New Roman"/>
          <w:color w:val="000000" w:themeColor="text1"/>
          <w:sz w:val="24"/>
          <w:szCs w:val="24"/>
        </w:rPr>
        <w:t xml:space="preserve"> (2003). “The challenges of further cost reductions for new supply options (pipeline, LNG, GTL),” paper presented at 22nd World Gas Conference 1–5 June 2003, Tokyo, Japan. http://www.dma.dk/themes/LNGinfrastructureproject/Documents/Infrastructure/IEA-The%20challenges%20of%20further%20cost%20red%20new%20supply%20options.pdf, accessed 7 June 2015.</w:t>
      </w:r>
    </w:p>
    <w:p w14:paraId="63ADE9BC"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Crocker, K. J. and S.E. </w:t>
      </w:r>
      <w:proofErr w:type="spellStart"/>
      <w:r w:rsidRPr="004337C2">
        <w:rPr>
          <w:rFonts w:ascii="Times New Roman" w:hAnsi="Times New Roman" w:cs="Times New Roman"/>
          <w:color w:val="000000" w:themeColor="text1"/>
          <w:sz w:val="24"/>
          <w:szCs w:val="24"/>
        </w:rPr>
        <w:t>Masten</w:t>
      </w:r>
      <w:proofErr w:type="spellEnd"/>
      <w:r w:rsidRPr="004337C2">
        <w:rPr>
          <w:rFonts w:ascii="Times New Roman" w:hAnsi="Times New Roman" w:cs="Times New Roman"/>
          <w:color w:val="000000" w:themeColor="text1"/>
          <w:sz w:val="24"/>
          <w:szCs w:val="24"/>
        </w:rPr>
        <w:t xml:space="preserve"> (1988). “Mitigating contractual hazards: Unilateral options and contract length,” Rand Journal of Economics, 19(3), 327–43. </w:t>
      </w:r>
    </w:p>
    <w:p w14:paraId="21ECAD03"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Doane</w:t>
      </w:r>
      <w:proofErr w:type="spellEnd"/>
      <w:r w:rsidRPr="004337C2">
        <w:rPr>
          <w:rFonts w:ascii="Times New Roman" w:hAnsi="Times New Roman" w:cs="Times New Roman"/>
          <w:color w:val="000000" w:themeColor="text1"/>
          <w:sz w:val="24"/>
          <w:szCs w:val="24"/>
        </w:rPr>
        <w:t xml:space="preserve"> M. and D. </w:t>
      </w:r>
      <w:proofErr w:type="spellStart"/>
      <w:r w:rsidRPr="004337C2">
        <w:rPr>
          <w:rFonts w:ascii="Times New Roman" w:hAnsi="Times New Roman" w:cs="Times New Roman"/>
          <w:color w:val="000000" w:themeColor="text1"/>
          <w:sz w:val="24"/>
          <w:szCs w:val="24"/>
        </w:rPr>
        <w:t>Spulber</w:t>
      </w:r>
      <w:proofErr w:type="spellEnd"/>
      <w:r w:rsidRPr="004337C2">
        <w:rPr>
          <w:rFonts w:ascii="Times New Roman" w:hAnsi="Times New Roman" w:cs="Times New Roman"/>
          <w:color w:val="000000" w:themeColor="text1"/>
          <w:sz w:val="24"/>
          <w:szCs w:val="24"/>
        </w:rPr>
        <w:t xml:space="preserve"> (1994). “Open access and the evolution of the U.S. spot market for natural gas,” Journal of Law and Economics, 37(2), pp. 477–517. http://dx.doi.org/10.1086/467321.</w:t>
      </w:r>
    </w:p>
    <w:p w14:paraId="0FB60C28"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European Commission (EC) (2009a). “Antitrust: Commission accepts commitments by GDF Suez to boost competition in French gas market,” Brussels (published online 3 December 2009). http://europa.eu/rapid/press-release_IP-09-1872_en.htm, accessed 10 July 2010.</w:t>
      </w:r>
    </w:p>
    <w:p w14:paraId="55FD199F"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EC (2009b). “Antitrust: Commission welcomes </w:t>
      </w:r>
      <w:proofErr w:type="gramStart"/>
      <w:r w:rsidRPr="004337C2">
        <w:rPr>
          <w:rFonts w:ascii="Times New Roman" w:hAnsi="Times New Roman" w:cs="Times New Roman"/>
          <w:color w:val="000000" w:themeColor="text1"/>
          <w:sz w:val="24"/>
          <w:szCs w:val="24"/>
        </w:rPr>
        <w:t>E.ON</w:t>
      </w:r>
      <w:proofErr w:type="gramEnd"/>
      <w:r w:rsidRPr="004337C2">
        <w:rPr>
          <w:rFonts w:ascii="Times New Roman" w:hAnsi="Times New Roman" w:cs="Times New Roman"/>
          <w:color w:val="000000" w:themeColor="text1"/>
          <w:sz w:val="24"/>
          <w:szCs w:val="24"/>
        </w:rPr>
        <w:t xml:space="preserve"> proposals to increase competition in German gas market,” Brussels (published online 17 December 2009). http://europa.eu/rapid/press-release_MEMO-09-567_en.htm?locale=en, accessed 10 July 2010.</w:t>
      </w:r>
    </w:p>
    <w:p w14:paraId="69CCC05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EC (2010). “Commission welcomes ENI's structural remedies proposal to increase competition in the Italian gas market,” Brussels (published online 4 February 2010). http://europa.eu/rapid/press-release_MEMO-10-29_en.htm?locale=en, accessed 10 July 2010.</w:t>
      </w:r>
    </w:p>
    <w:p w14:paraId="6EFC237F"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EC (2011). “2009-2010 Report on progress in creating the internal gas and electricity market”, Commission Staff Working Document, available at: https://ec.europa.eu/energy/sites/ener/files/documents/20100609_internal_market_report_2009_2010.pdf</w:t>
      </w:r>
    </w:p>
    <w:p w14:paraId="59EAA111"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Energy Charter Secretariat (2007). “Putting a price on energy: International pricing mechanisms for oil and gas,” Energy Charter Secretariat report. http://www.energycharter.org/fileadmin/DocumentsMedia/Thematic/Oil_and_Gas_Pricing_2007_en.pdf, accessed 10 February 2009.</w:t>
      </w:r>
    </w:p>
    <w:p w14:paraId="1931F29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lastRenderedPageBreak/>
        <w:t xml:space="preserve">European Competition Network (ECN) (2010). “Germany: Positive development in the gas distribution sector: No need to prohibit long-term gas supply contracts in Germany </w:t>
      </w:r>
      <w:proofErr w:type="spellStart"/>
      <w:r w:rsidRPr="004337C2">
        <w:rPr>
          <w:rFonts w:ascii="Times New Roman" w:hAnsi="Times New Roman" w:cs="Times New Roman"/>
          <w:color w:val="000000" w:themeColor="text1"/>
          <w:sz w:val="24"/>
          <w:szCs w:val="24"/>
        </w:rPr>
        <w:t>any more</w:t>
      </w:r>
      <w:proofErr w:type="spellEnd"/>
      <w:r w:rsidRPr="004337C2">
        <w:rPr>
          <w:rFonts w:ascii="Times New Roman" w:hAnsi="Times New Roman" w:cs="Times New Roman"/>
          <w:color w:val="000000" w:themeColor="text1"/>
          <w:sz w:val="24"/>
          <w:szCs w:val="24"/>
        </w:rPr>
        <w:t>,” in ECN Brief 04/2010. http://ec.europa.eu/competition/ecn/brief/04_2010/brief_04_2010.pdf.</w:t>
      </w:r>
    </w:p>
    <w:p w14:paraId="2C34C73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Goldberg, V. P. (1976). “Regulation and administered contracts,” Bell Journal of Economics, 7(2), pp. 426-448. http://www.jstor.org/stable/3003265.</w:t>
      </w:r>
    </w:p>
    <w:p w14:paraId="7FCBC845"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Goldberg, V. P. and J. R. Erickson (1987). “Quantity and price adjustment in long-term contracts: A case study of petroleum coke,” Journal of Law and Economics, 30(2), pp. 369–398. http://dx.doi.org/10.1086/467141.</w:t>
      </w:r>
    </w:p>
    <w:p w14:paraId="47CEF4DB"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Greaker</w:t>
      </w:r>
      <w:proofErr w:type="spellEnd"/>
      <w:r w:rsidRPr="004337C2">
        <w:rPr>
          <w:rFonts w:ascii="Times New Roman" w:hAnsi="Times New Roman" w:cs="Times New Roman"/>
          <w:color w:val="000000" w:themeColor="text1"/>
          <w:sz w:val="24"/>
          <w:szCs w:val="24"/>
        </w:rPr>
        <w:t xml:space="preserve">, M. and E. </w:t>
      </w:r>
      <w:proofErr w:type="spellStart"/>
      <w:r w:rsidRPr="004337C2">
        <w:rPr>
          <w:rFonts w:ascii="Times New Roman" w:hAnsi="Times New Roman" w:cs="Times New Roman"/>
          <w:color w:val="000000" w:themeColor="text1"/>
          <w:sz w:val="24"/>
          <w:szCs w:val="24"/>
        </w:rPr>
        <w:t>Sagen</w:t>
      </w:r>
      <w:proofErr w:type="spellEnd"/>
      <w:r w:rsidRPr="004337C2">
        <w:rPr>
          <w:rFonts w:ascii="Times New Roman" w:hAnsi="Times New Roman" w:cs="Times New Roman"/>
          <w:color w:val="000000" w:themeColor="text1"/>
          <w:sz w:val="24"/>
          <w:szCs w:val="24"/>
        </w:rPr>
        <w:t xml:space="preserve"> (2008). “Explaining experience curves for new energy technologies: A case study of liquefied natural gas,” Energy Economics, 30(6), pp. 2899–2911. http://www.sciencedirect.com/science/article/pii/S0140988308000546.</w:t>
      </w:r>
    </w:p>
    <w:p w14:paraId="69943DB6"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Growitsch, C., </w:t>
      </w:r>
      <w:proofErr w:type="spellStart"/>
      <w:r w:rsidRPr="004337C2">
        <w:rPr>
          <w:rFonts w:ascii="Times New Roman" w:hAnsi="Times New Roman" w:cs="Times New Roman"/>
          <w:color w:val="000000" w:themeColor="text1"/>
          <w:sz w:val="24"/>
          <w:szCs w:val="24"/>
        </w:rPr>
        <w:t>Stronzik</w:t>
      </w:r>
      <w:proofErr w:type="spellEnd"/>
      <w:r w:rsidRPr="004337C2">
        <w:rPr>
          <w:rFonts w:ascii="Times New Roman" w:hAnsi="Times New Roman" w:cs="Times New Roman"/>
          <w:color w:val="000000" w:themeColor="text1"/>
          <w:sz w:val="24"/>
          <w:szCs w:val="24"/>
        </w:rPr>
        <w:t>, M. and Nepal, R. (2015), Price Convergence and Information Efficiency in German Natural Gas Markets. German Econ Rev, 16: 87–103. doi:10.1111/geer.12034</w:t>
      </w:r>
    </w:p>
    <w:p w14:paraId="77106C3F"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Harmsen</w:t>
      </w:r>
      <w:proofErr w:type="spellEnd"/>
      <w:r w:rsidRPr="004337C2">
        <w:rPr>
          <w:rFonts w:ascii="Times New Roman" w:hAnsi="Times New Roman" w:cs="Times New Roman"/>
          <w:color w:val="000000" w:themeColor="text1"/>
          <w:sz w:val="24"/>
          <w:szCs w:val="24"/>
        </w:rPr>
        <w:t xml:space="preserve"> and </w:t>
      </w:r>
      <w:proofErr w:type="spellStart"/>
      <w:r w:rsidRPr="004337C2">
        <w:rPr>
          <w:rFonts w:ascii="Times New Roman" w:hAnsi="Times New Roman" w:cs="Times New Roman"/>
          <w:color w:val="000000" w:themeColor="text1"/>
          <w:sz w:val="24"/>
          <w:szCs w:val="24"/>
        </w:rPr>
        <w:t>Jepma</w:t>
      </w:r>
      <w:proofErr w:type="spellEnd"/>
      <w:r w:rsidRPr="004337C2">
        <w:rPr>
          <w:rFonts w:ascii="Times New Roman" w:hAnsi="Times New Roman" w:cs="Times New Roman"/>
          <w:color w:val="000000" w:themeColor="text1"/>
          <w:sz w:val="24"/>
          <w:szCs w:val="24"/>
        </w:rPr>
        <w:t xml:space="preserve"> (2011). North West European gas market: integrated already’, European Energy Review, 27 January 2011</w:t>
      </w:r>
    </w:p>
    <w:p w14:paraId="4C1593C3"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Hartley, P.R. (2015). “The future of long-term LNG contracts,” The Energy Journal, in press</w:t>
      </w:r>
    </w:p>
    <w:p w14:paraId="72D288D0"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International Energy Agency (IEA) (2000). “Natural Gas Information 2000,” Paris: OECD/IEA.</w:t>
      </w:r>
    </w:p>
    <w:p w14:paraId="11D77FC3"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International Energy Agency (IEA) (2007). “Natural Gas Information 2007,” Paris: OECD/IEA.</w:t>
      </w:r>
    </w:p>
    <w:p w14:paraId="134D1A68"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International Energy Agency (IEA) (2017). “Natural Gas Information 2017,” Paris: OECD/IEA.</w:t>
      </w:r>
    </w:p>
    <w:p w14:paraId="0FFAD4F6"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International Gas Union (IGU) (2017). “Wholesale gas price survey, 2017 edition: A global review of price formation mechanisms 2005–2016,” IGU report.</w:t>
      </w:r>
    </w:p>
    <w:p w14:paraId="24C8984B"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Jensen, J. (2003). “The LNG revolution,” The Energy Journal, 24(2), pp. 1–45. http://www.iaee.org/en/publications/ejarticle.aspx?id=1405.</w:t>
      </w:r>
    </w:p>
    <w:p w14:paraId="3E872E31"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Joskow</w:t>
      </w:r>
      <w:proofErr w:type="spellEnd"/>
      <w:r w:rsidRPr="004337C2">
        <w:rPr>
          <w:rFonts w:ascii="Times New Roman" w:hAnsi="Times New Roman" w:cs="Times New Roman"/>
          <w:color w:val="000000" w:themeColor="text1"/>
          <w:sz w:val="24"/>
          <w:szCs w:val="24"/>
        </w:rPr>
        <w:t>, P. (1985). “Vertical integration and long-term contracts: The case of coal-burning electric generating plants,” Journal of Law, Economics and Organization, 1(1), pp. 33–80. http://www.jstor.org/stable/764906.</w:t>
      </w:r>
    </w:p>
    <w:p w14:paraId="6303E970"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Klein, B., R. Crawford and A. </w:t>
      </w:r>
      <w:proofErr w:type="spellStart"/>
      <w:r w:rsidRPr="004337C2">
        <w:rPr>
          <w:rFonts w:ascii="Times New Roman" w:hAnsi="Times New Roman" w:cs="Times New Roman"/>
          <w:color w:val="000000" w:themeColor="text1"/>
          <w:sz w:val="24"/>
          <w:szCs w:val="24"/>
        </w:rPr>
        <w:t>Alchian</w:t>
      </w:r>
      <w:proofErr w:type="spellEnd"/>
      <w:r w:rsidRPr="004337C2">
        <w:rPr>
          <w:rFonts w:ascii="Times New Roman" w:hAnsi="Times New Roman" w:cs="Times New Roman"/>
          <w:color w:val="000000" w:themeColor="text1"/>
          <w:sz w:val="24"/>
          <w:szCs w:val="24"/>
        </w:rPr>
        <w:t xml:space="preserve"> (1978). “Vertical integration, appropriable rents and the competitive contracting process,” Journal of Law and Economics, 21(2), pp. 297–326. http://dx.doi.org/10.1086/466922.</w:t>
      </w:r>
    </w:p>
    <w:p w14:paraId="281F4D26"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Klein, B. (1980). “Transaction cost determinants of ‘unfair’ contractual relations,” American Economic Review, 70(2), pp. 356–362. http://www.jstor.org/stable/1815498.</w:t>
      </w:r>
    </w:p>
    <w:p w14:paraId="53DF6E04"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lastRenderedPageBreak/>
        <w:t xml:space="preserve">Koenig, P. (2012). “The effect of LNG on the relationship between UK and Continental natural gas markets.” EPRG Working Paper Series N1225. Available at: http://www.eprg.group.cam.ac.uk/wp-content/uploads/2014/01/1225-PDF.pdf </w:t>
      </w:r>
    </w:p>
    <w:p w14:paraId="3D8C66AC"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Makholm</w:t>
      </w:r>
      <w:proofErr w:type="spellEnd"/>
      <w:r w:rsidRPr="004337C2">
        <w:rPr>
          <w:rFonts w:ascii="Times New Roman" w:hAnsi="Times New Roman" w:cs="Times New Roman"/>
          <w:color w:val="000000" w:themeColor="text1"/>
          <w:sz w:val="24"/>
          <w:szCs w:val="24"/>
        </w:rPr>
        <w:t>, Jeff D. 2012. The Political Economy of Pipelines: A Century of Comparative Institutional Development. Chicago; London: The University of Chicago Press.</w:t>
      </w:r>
    </w:p>
    <w:p w14:paraId="4E4B9872"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Makholm</w:t>
      </w:r>
      <w:proofErr w:type="spellEnd"/>
      <w:r w:rsidRPr="004337C2">
        <w:rPr>
          <w:rFonts w:ascii="Times New Roman" w:hAnsi="Times New Roman" w:cs="Times New Roman"/>
          <w:color w:val="000000" w:themeColor="text1"/>
          <w:sz w:val="24"/>
          <w:szCs w:val="24"/>
        </w:rPr>
        <w:t xml:space="preserve">, J. D. 2015. “Regulation of Natural Gas in the United States, Canada, and Europe: Prospects for a Low Carbon Fuel.” Review of Environmental Economics and Policy 9 (1): 107–27. https://doi.org/10.1093/reep/reu017 </w:t>
      </w:r>
    </w:p>
    <w:p w14:paraId="45241D96"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Masten</w:t>
      </w:r>
      <w:proofErr w:type="spellEnd"/>
      <w:r w:rsidRPr="004337C2">
        <w:rPr>
          <w:rFonts w:ascii="Times New Roman" w:hAnsi="Times New Roman" w:cs="Times New Roman"/>
          <w:color w:val="000000" w:themeColor="text1"/>
          <w:sz w:val="24"/>
          <w:szCs w:val="24"/>
        </w:rPr>
        <w:t xml:space="preserve">, S. and K. Croker (1985). “Efficient adaptation in long-term contracts: Take-or-pay provisions for natural gas,” The American Economic Review, 75(5), pp. 1083–1093; </w:t>
      </w:r>
    </w:p>
    <w:p w14:paraId="158FEAF9"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Miriello</w:t>
      </w:r>
      <w:proofErr w:type="spellEnd"/>
      <w:r w:rsidRPr="004337C2">
        <w:rPr>
          <w:rFonts w:ascii="Times New Roman" w:hAnsi="Times New Roman" w:cs="Times New Roman"/>
          <w:color w:val="000000" w:themeColor="text1"/>
          <w:sz w:val="24"/>
          <w:szCs w:val="24"/>
        </w:rPr>
        <w:t>, C., and Polo, M. (2015). “The Development of gas hubs in Europe”, Energy Policy, 84, pp. 177-190</w:t>
      </w:r>
    </w:p>
    <w:p w14:paraId="4D360003"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Mulherin</w:t>
      </w:r>
      <w:proofErr w:type="spellEnd"/>
      <w:r w:rsidRPr="004337C2">
        <w:rPr>
          <w:rFonts w:ascii="Times New Roman" w:hAnsi="Times New Roman" w:cs="Times New Roman"/>
          <w:color w:val="000000" w:themeColor="text1"/>
          <w:sz w:val="24"/>
          <w:szCs w:val="24"/>
        </w:rPr>
        <w:t>, J.H. (1986). “Complexity in long-term contracts: An analysis of natural gas contractual provisions,” Journal of Law, Economics and Organisation, 2(1), 105–117.</w:t>
      </w:r>
    </w:p>
    <w:p w14:paraId="2BAB5DB7"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Neumann, A., </w:t>
      </w:r>
      <w:proofErr w:type="spellStart"/>
      <w:r w:rsidRPr="004337C2">
        <w:rPr>
          <w:rFonts w:ascii="Times New Roman" w:hAnsi="Times New Roman" w:cs="Times New Roman"/>
          <w:color w:val="000000" w:themeColor="text1"/>
          <w:sz w:val="24"/>
          <w:szCs w:val="24"/>
        </w:rPr>
        <w:t>Siliverstovs</w:t>
      </w:r>
      <w:proofErr w:type="spellEnd"/>
      <w:r w:rsidRPr="004337C2">
        <w:rPr>
          <w:rFonts w:ascii="Times New Roman" w:hAnsi="Times New Roman" w:cs="Times New Roman"/>
          <w:color w:val="000000" w:themeColor="text1"/>
          <w:sz w:val="24"/>
          <w:szCs w:val="24"/>
        </w:rPr>
        <w:t xml:space="preserve">, B., and von </w:t>
      </w:r>
      <w:proofErr w:type="spellStart"/>
      <w:r w:rsidRPr="004337C2">
        <w:rPr>
          <w:rFonts w:ascii="Times New Roman" w:hAnsi="Times New Roman" w:cs="Times New Roman"/>
          <w:color w:val="000000" w:themeColor="text1"/>
          <w:sz w:val="24"/>
          <w:szCs w:val="24"/>
        </w:rPr>
        <w:t>Hirschhausen</w:t>
      </w:r>
      <w:proofErr w:type="spellEnd"/>
      <w:r w:rsidRPr="004337C2">
        <w:rPr>
          <w:rFonts w:ascii="Times New Roman" w:hAnsi="Times New Roman" w:cs="Times New Roman"/>
          <w:color w:val="000000" w:themeColor="text1"/>
          <w:sz w:val="24"/>
          <w:szCs w:val="24"/>
        </w:rPr>
        <w:t>, C. (2006). “Convergence of European spot market prices for natural gas? A real-time analysis of market integration using the Kalman Filter”, Applied Economics Letters, 2006, 13, pp. 727-732.</w:t>
      </w:r>
    </w:p>
    <w:p w14:paraId="6836FB29"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Neumann, A. (2009). “Linking Natural Gas Markets – Is LNG Doing its Job?” The Energy Journal 30(special issue 1): 187-199. http://dx.doi.org/10.5547/ISSN0195-6574-EJ-Vol30-NoSI-12 </w:t>
      </w:r>
    </w:p>
    <w:p w14:paraId="204E5140"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Neumann, A., and Cullman, A. (2012). “What’s the story with natural gas markets in Europe? Empirical evidence from spot trade data”, European Energy Market (EMM), 2012 9th International Conference, May 2012. DOI: 10.1109/EEM.2012.6254679</w:t>
      </w:r>
    </w:p>
    <w:p w14:paraId="778FD9A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Neumann, A., S. Ruester and C.v. </w:t>
      </w:r>
      <w:proofErr w:type="spellStart"/>
      <w:r w:rsidRPr="004337C2">
        <w:rPr>
          <w:rFonts w:ascii="Times New Roman" w:hAnsi="Times New Roman" w:cs="Times New Roman"/>
          <w:color w:val="000000" w:themeColor="text1"/>
          <w:sz w:val="24"/>
          <w:szCs w:val="24"/>
        </w:rPr>
        <w:t>Hirschhausen</w:t>
      </w:r>
      <w:proofErr w:type="spellEnd"/>
      <w:r w:rsidRPr="004337C2">
        <w:rPr>
          <w:rFonts w:ascii="Times New Roman" w:hAnsi="Times New Roman" w:cs="Times New Roman"/>
          <w:color w:val="000000" w:themeColor="text1"/>
          <w:sz w:val="24"/>
          <w:szCs w:val="24"/>
        </w:rPr>
        <w:t xml:space="preserve"> (2015). “Long-term contracts in the natural gas industry: Literature survey and data of 426 contracts (1965–2014),” Data Documentation 77, DIW Berlin. Available at: https://www.diw.de/documents/publikationen/73/diw_01.c.498163.de/diw_datadoc_2015-077.pdf, accessed 7 August 2015.</w:t>
      </w:r>
    </w:p>
    <w:p w14:paraId="649E51A8"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Noel, P. (2009). "A Market Between Us: Reducing the Cost of Europe's Dependence on Russian Gas", University of Cambridge, EPRG Working Paper 0916.</w:t>
      </w:r>
    </w:p>
    <w:p w14:paraId="28AF8076"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Parsons, J. E. (1989). “Estimating the strategic value of long-term forward purchase contracts using auction models,” Journal of Finance, 44(4), pp. 981–1010. http://dx.doi.org/10.1111/j.1540-6261.1989.tb02634.x.</w:t>
      </w:r>
    </w:p>
    <w:p w14:paraId="6FDFEDF4"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lastRenderedPageBreak/>
        <w:t>Petrovich</w:t>
      </w:r>
      <w:proofErr w:type="spellEnd"/>
      <w:r w:rsidRPr="004337C2">
        <w:rPr>
          <w:rFonts w:ascii="Times New Roman" w:hAnsi="Times New Roman" w:cs="Times New Roman"/>
          <w:color w:val="000000" w:themeColor="text1"/>
          <w:sz w:val="24"/>
          <w:szCs w:val="24"/>
        </w:rPr>
        <w:t>, B. (2015). “European gas hubs: how strong is price correlation?”, OIES Working Paper Series NG79. Available at: https://www.oxfordenergy.org/wpcms/wp-content/uploads/2013/10/NG-79.pdf</w:t>
      </w:r>
    </w:p>
    <w:p w14:paraId="7CB8A797"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REKK (2016). “The Preconditions for Market Integration Compatible Gas Transmission Tariffs in the CESEC Region”. A CESEC Discussion paper. Available at: https://ec.europa.eu/energy/sites/ener/files/documents/Gas_transmission_tariff_CESEC_final_10_05_18.pdf</w:t>
      </w:r>
    </w:p>
    <w:p w14:paraId="53025918"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Ruester, S. (2009). “Changing contract structures in the international liquefied natural gas market: A first empirical analysis,” Revue </w:t>
      </w:r>
      <w:proofErr w:type="spellStart"/>
      <w:r w:rsidRPr="004337C2">
        <w:rPr>
          <w:rFonts w:ascii="Times New Roman" w:hAnsi="Times New Roman" w:cs="Times New Roman"/>
          <w:color w:val="000000" w:themeColor="text1"/>
          <w:sz w:val="24"/>
          <w:szCs w:val="24"/>
        </w:rPr>
        <w:t>d'économie</w:t>
      </w:r>
      <w:proofErr w:type="spellEnd"/>
      <w:r w:rsidRPr="004337C2">
        <w:rPr>
          <w:rFonts w:ascii="Times New Roman" w:hAnsi="Times New Roman" w:cs="Times New Roman"/>
          <w:color w:val="000000" w:themeColor="text1"/>
          <w:sz w:val="24"/>
          <w:szCs w:val="24"/>
        </w:rPr>
        <w:t xml:space="preserve"> </w:t>
      </w:r>
      <w:proofErr w:type="spellStart"/>
      <w:r w:rsidRPr="004337C2">
        <w:rPr>
          <w:rFonts w:ascii="Times New Roman" w:hAnsi="Times New Roman" w:cs="Times New Roman"/>
          <w:color w:val="000000" w:themeColor="text1"/>
          <w:sz w:val="24"/>
          <w:szCs w:val="24"/>
        </w:rPr>
        <w:t>industrielle</w:t>
      </w:r>
      <w:proofErr w:type="spellEnd"/>
      <w:r w:rsidRPr="004337C2">
        <w:rPr>
          <w:rFonts w:ascii="Times New Roman" w:hAnsi="Times New Roman" w:cs="Times New Roman"/>
          <w:color w:val="000000" w:themeColor="text1"/>
          <w:sz w:val="24"/>
          <w:szCs w:val="24"/>
        </w:rPr>
        <w:t>, 127(3), pp. 89–112. http://www.cairn.info/load_pdf.php?ID_ARTICLE=REI_127_0089.</w:t>
      </w:r>
    </w:p>
    <w:p w14:paraId="1C20D6B2"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proofErr w:type="spellStart"/>
      <w:r w:rsidRPr="004337C2">
        <w:rPr>
          <w:rFonts w:ascii="Times New Roman" w:hAnsi="Times New Roman" w:cs="Times New Roman"/>
          <w:color w:val="000000" w:themeColor="text1"/>
          <w:sz w:val="24"/>
          <w:szCs w:val="24"/>
        </w:rPr>
        <w:t>Siliverstovs</w:t>
      </w:r>
      <w:proofErr w:type="spellEnd"/>
      <w:r w:rsidRPr="004337C2">
        <w:rPr>
          <w:rFonts w:ascii="Times New Roman" w:hAnsi="Times New Roman" w:cs="Times New Roman"/>
          <w:color w:val="000000" w:themeColor="text1"/>
          <w:sz w:val="24"/>
          <w:szCs w:val="24"/>
        </w:rPr>
        <w:t xml:space="preserve">, B. </w:t>
      </w:r>
      <w:proofErr w:type="spellStart"/>
      <w:r w:rsidRPr="004337C2">
        <w:rPr>
          <w:rFonts w:ascii="Times New Roman" w:hAnsi="Times New Roman" w:cs="Times New Roman"/>
          <w:color w:val="000000" w:themeColor="text1"/>
          <w:sz w:val="24"/>
          <w:szCs w:val="24"/>
        </w:rPr>
        <w:t>L’Hegaret</w:t>
      </w:r>
      <w:proofErr w:type="spellEnd"/>
      <w:r w:rsidRPr="004337C2">
        <w:rPr>
          <w:rFonts w:ascii="Times New Roman" w:hAnsi="Times New Roman" w:cs="Times New Roman"/>
          <w:color w:val="000000" w:themeColor="text1"/>
          <w:sz w:val="24"/>
          <w:szCs w:val="24"/>
        </w:rPr>
        <w:t xml:space="preserve">, G., Neumann, A., and von </w:t>
      </w:r>
      <w:proofErr w:type="spellStart"/>
      <w:r w:rsidRPr="004337C2">
        <w:rPr>
          <w:rFonts w:ascii="Times New Roman" w:hAnsi="Times New Roman" w:cs="Times New Roman"/>
          <w:color w:val="000000" w:themeColor="text1"/>
          <w:sz w:val="24"/>
          <w:szCs w:val="24"/>
        </w:rPr>
        <w:t>Hirschhausen</w:t>
      </w:r>
      <w:proofErr w:type="spellEnd"/>
      <w:r w:rsidRPr="004337C2">
        <w:rPr>
          <w:rFonts w:ascii="Times New Roman" w:hAnsi="Times New Roman" w:cs="Times New Roman"/>
          <w:color w:val="000000" w:themeColor="text1"/>
          <w:sz w:val="24"/>
          <w:szCs w:val="24"/>
        </w:rPr>
        <w:t xml:space="preserve">, C. (2005). “International market integration for natural gas? A cointegration analysis of prices in Europe, North America and Japan.” Energy Economics 27(2005): 603-615. http://dx.doi.org/10.1016/j.eneco.2005.03.002 </w:t>
      </w:r>
    </w:p>
    <w:p w14:paraId="32D93080"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Société Générale (SG) (2013). “What lies ahead after oil indexation for </w:t>
      </w:r>
      <w:proofErr w:type="gramStart"/>
      <w:r w:rsidRPr="004337C2">
        <w:rPr>
          <w:rFonts w:ascii="Times New Roman" w:hAnsi="Times New Roman" w:cs="Times New Roman"/>
          <w:color w:val="000000" w:themeColor="text1"/>
          <w:sz w:val="24"/>
          <w:szCs w:val="24"/>
        </w:rPr>
        <w:t>Europe?,</w:t>
      </w:r>
      <w:proofErr w:type="gramEnd"/>
      <w:r w:rsidRPr="004337C2">
        <w:rPr>
          <w:rFonts w:ascii="Times New Roman" w:hAnsi="Times New Roman" w:cs="Times New Roman"/>
          <w:color w:val="000000" w:themeColor="text1"/>
          <w:sz w:val="24"/>
          <w:szCs w:val="24"/>
        </w:rPr>
        <w:t>” SG Commodities Research Report. Accessed through the Bloomberg Terminal.</w:t>
      </w:r>
    </w:p>
    <w:p w14:paraId="51265D10"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Stern, J. (2006). “The new security environment for European gas: Worsening geopolitics and increasing global competition for LNG,” Oxford Institute for Energy Studies, Working Paper NG15. http://www.oxfordenergy.org/wpcms/wp-content/uploads/2010/11/NG15-TheNewSecuirtyEnvironmentForEuropeanGasWorseningGeopoliticsandIncreasingGlobalCompetitionforLNG-JonathanStern-2006.pdf.</w:t>
      </w:r>
    </w:p>
    <w:p w14:paraId="47CD225A"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 xml:space="preserve">von </w:t>
      </w:r>
      <w:proofErr w:type="spellStart"/>
      <w:r w:rsidRPr="004337C2">
        <w:rPr>
          <w:rFonts w:ascii="Times New Roman" w:hAnsi="Times New Roman" w:cs="Times New Roman"/>
          <w:color w:val="000000" w:themeColor="text1"/>
          <w:sz w:val="24"/>
          <w:szCs w:val="24"/>
        </w:rPr>
        <w:t>Hirschhausen</w:t>
      </w:r>
      <w:proofErr w:type="spellEnd"/>
      <w:r w:rsidRPr="004337C2">
        <w:rPr>
          <w:rFonts w:ascii="Times New Roman" w:hAnsi="Times New Roman" w:cs="Times New Roman"/>
          <w:color w:val="000000" w:themeColor="text1"/>
          <w:sz w:val="24"/>
          <w:szCs w:val="24"/>
        </w:rPr>
        <w:t>, C. and A. Neumann (2008). “Long-term contracts and asset specificity revisited: An empirical analysis of producer-importer relations in the natural gas industry,” Review of Industrial Organization, 32(2), pp. 131–143. http://dx.doi.org/10.1007/s11151-008-9165-0.</w:t>
      </w:r>
    </w:p>
    <w:p w14:paraId="23ABB3FC"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Williamson, O. E. (1971). “The vertical integration of production: Market failure considerations,” American Economic Review, 61(2), pp. 112–123. http://www.jstor.org/stable/1816983.</w:t>
      </w:r>
    </w:p>
    <w:p w14:paraId="0D24837F"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Williamson, O. E. (1975). “Markets and hierarchies: Analysis and antitrust implications: A study in the economics of internal organization” New York: Free Press. http://ssrn.com/abstract=1496220.</w:t>
      </w:r>
    </w:p>
    <w:p w14:paraId="4CD55469"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Williamson, O. E. (1979). “Transaction cost economics: The governance of contractual relations,” Journal of Law and Economics, 22(2), pp. 233–261. http://www.jstor.org/stable/725118.</w:t>
      </w:r>
    </w:p>
    <w:p w14:paraId="2F141F9B" w14:textId="77777777" w:rsidR="009D3B7E" w:rsidRPr="004337C2" w:rsidRDefault="009D3B7E" w:rsidP="009D3B7E">
      <w:pPr>
        <w:spacing w:line="360" w:lineRule="auto"/>
        <w:ind w:left="567" w:hanging="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t>Williamson, O. E. (1983). “Credible commitments: Using hostages to support exchange,” American Economic Review, 73(4), pp. 519–540. http://www.jstor.org/stable/1816557.</w:t>
      </w:r>
    </w:p>
    <w:p w14:paraId="338193F8" w14:textId="320D4085" w:rsidR="009D3B7E" w:rsidRPr="003D2C40" w:rsidRDefault="009D3B7E" w:rsidP="009D3B7E">
      <w:pPr>
        <w:spacing w:line="360" w:lineRule="auto"/>
        <w:ind w:firstLine="567"/>
        <w:rPr>
          <w:rFonts w:ascii="Times New Roman" w:hAnsi="Times New Roman" w:cs="Times New Roman"/>
          <w:color w:val="000000" w:themeColor="text1"/>
          <w:sz w:val="24"/>
          <w:szCs w:val="24"/>
        </w:rPr>
      </w:pPr>
      <w:r w:rsidRPr="004337C2">
        <w:rPr>
          <w:rFonts w:ascii="Times New Roman" w:hAnsi="Times New Roman" w:cs="Times New Roman"/>
          <w:color w:val="000000" w:themeColor="text1"/>
          <w:sz w:val="24"/>
          <w:szCs w:val="24"/>
        </w:rPr>
        <w:lastRenderedPageBreak/>
        <w:t>Williamson, O. E. (1985). “The economic institutions of capitalism: Firms, markets, relational contracting,” New York: Free Press.</w:t>
      </w:r>
    </w:p>
    <w:sectPr w:rsidR="009D3B7E" w:rsidRPr="003D2C40" w:rsidSect="00660B3D">
      <w:footerReference w:type="defaul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2B6C" w14:textId="77777777" w:rsidR="00E54235" w:rsidRDefault="00E54235" w:rsidP="00767FE8">
      <w:r>
        <w:separator/>
      </w:r>
    </w:p>
  </w:endnote>
  <w:endnote w:type="continuationSeparator" w:id="0">
    <w:p w14:paraId="4A860998" w14:textId="77777777" w:rsidR="00E54235" w:rsidRDefault="00E54235" w:rsidP="00767FE8">
      <w:r>
        <w:continuationSeparator/>
      </w:r>
    </w:p>
  </w:endnote>
  <w:endnote w:type="continuationNotice" w:id="1">
    <w:p w14:paraId="706997E0" w14:textId="77777777" w:rsidR="00E54235" w:rsidRDefault="00E5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227839"/>
      <w:docPartObj>
        <w:docPartGallery w:val="Page Numbers (Bottom of Page)"/>
        <w:docPartUnique/>
      </w:docPartObj>
    </w:sdtPr>
    <w:sdtEndPr>
      <w:rPr>
        <w:noProof/>
      </w:rPr>
    </w:sdtEndPr>
    <w:sdtContent>
      <w:p w14:paraId="6511AD91" w14:textId="70760500" w:rsidR="000354E7" w:rsidRDefault="00035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9B887" w14:textId="77777777" w:rsidR="000354E7" w:rsidRDefault="0003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78A4" w14:textId="77777777" w:rsidR="00E54235" w:rsidRDefault="00E54235" w:rsidP="00767FE8">
      <w:r>
        <w:separator/>
      </w:r>
    </w:p>
  </w:footnote>
  <w:footnote w:type="continuationSeparator" w:id="0">
    <w:p w14:paraId="54D81206" w14:textId="77777777" w:rsidR="00E54235" w:rsidRDefault="00E54235" w:rsidP="00767FE8">
      <w:r>
        <w:continuationSeparator/>
      </w:r>
    </w:p>
  </w:footnote>
  <w:footnote w:type="continuationNotice" w:id="1">
    <w:p w14:paraId="0D8D3030" w14:textId="77777777" w:rsidR="00E54235" w:rsidRDefault="00E54235"/>
  </w:footnote>
  <w:footnote w:id="2">
    <w:p w14:paraId="1AE137B2" w14:textId="67C87C0C" w:rsidR="000354E7" w:rsidRPr="003922C1" w:rsidRDefault="000354E7">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It is worth noting that gas to oil price linkages was quite effective in introducing competition between gas and oil products </w:t>
      </w:r>
      <w:r>
        <w:rPr>
          <w:rFonts w:ascii="Times New Roman" w:hAnsi="Times New Roman" w:cs="Times New Roman"/>
        </w:rPr>
        <w:t>and</w:t>
      </w:r>
      <w:r w:rsidRPr="003922C1">
        <w:rPr>
          <w:rFonts w:ascii="Times New Roman" w:hAnsi="Times New Roman" w:cs="Times New Roman"/>
        </w:rPr>
        <w:t xml:space="preserve"> between upstream gas suppliers. For example, Asche et al. (2002) examined whether the German gas market is integrated in the period of 1990-1998, that is, before major gas market integration and liberalization processes. Their co</w:t>
      </w:r>
      <w:r>
        <w:rPr>
          <w:rFonts w:ascii="Times New Roman" w:hAnsi="Times New Roman" w:cs="Times New Roman"/>
        </w:rPr>
        <w:t>-</w:t>
      </w:r>
      <w:r w:rsidRPr="003922C1">
        <w:rPr>
          <w:rFonts w:ascii="Times New Roman" w:hAnsi="Times New Roman" w:cs="Times New Roman"/>
        </w:rPr>
        <w:t xml:space="preserve">integration tests show that that the different border prices for gas to Germany move proportionally over time, indicating an integrated gas market. They also found that Russian gas </w:t>
      </w:r>
      <w:r>
        <w:rPr>
          <w:rFonts w:ascii="Times New Roman" w:hAnsi="Times New Roman" w:cs="Times New Roman"/>
        </w:rPr>
        <w:t>prices are</w:t>
      </w:r>
      <w:r w:rsidRPr="003922C1">
        <w:rPr>
          <w:rFonts w:ascii="Times New Roman" w:hAnsi="Times New Roman" w:cs="Times New Roman"/>
        </w:rPr>
        <w:t xml:space="preserve"> systematically lower than Dutch and Norwegian prices</w:t>
      </w:r>
      <w:r>
        <w:rPr>
          <w:rFonts w:ascii="Times New Roman" w:hAnsi="Times New Roman" w:cs="Times New Roman"/>
        </w:rPr>
        <w:t>,</w:t>
      </w:r>
      <w:r w:rsidRPr="003922C1">
        <w:rPr>
          <w:rFonts w:ascii="Times New Roman" w:hAnsi="Times New Roman" w:cs="Times New Roman"/>
        </w:rPr>
        <w:t xml:space="preserve"> which is explained by the value of flexibility and perceived political risks.</w:t>
      </w:r>
    </w:p>
  </w:footnote>
  <w:footnote w:id="3">
    <w:p w14:paraId="0BC89DD7" w14:textId="77777777" w:rsidR="000354E7" w:rsidRPr="003922C1" w:rsidRDefault="000354E7" w:rsidP="00767FE8">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Author’s calculation based on Poten and Partners LNG trade database, accessed through the Bloomberg Terminal.</w:t>
      </w:r>
    </w:p>
  </w:footnote>
  <w:footnote w:id="4">
    <w:p w14:paraId="59553C07" w14:textId="77777777" w:rsidR="000354E7" w:rsidRPr="003922C1" w:rsidRDefault="000354E7" w:rsidP="00767FE8">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For example, the Belarus transit system, which is co-owned by Russia and Belarus, or the Blue Stream and Nord Stream pipeline investments that helped Russia reduce its dependence on traditional transit routes were carried out as joint ventures with Russia’s major gas buyers in Europe.</w:t>
      </w:r>
    </w:p>
  </w:footnote>
  <w:footnote w:id="5">
    <w:p w14:paraId="35ECC3B1" w14:textId="205C1C10" w:rsidR="000354E7" w:rsidRPr="003922C1" w:rsidRDefault="000354E7" w:rsidP="00767FE8">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Abstracting away from the politics of pipeline gas sales to Europe </w:t>
      </w:r>
      <w:proofErr w:type="gramStart"/>
      <w:r w:rsidRPr="003922C1">
        <w:rPr>
          <w:rFonts w:ascii="Times New Roman" w:hAnsi="Times New Roman" w:cs="Times New Roman"/>
        </w:rPr>
        <w:t>in light of</w:t>
      </w:r>
      <w:proofErr w:type="gramEnd"/>
      <w:r w:rsidRPr="003922C1">
        <w:rPr>
          <w:rFonts w:ascii="Times New Roman" w:hAnsi="Times New Roman" w:cs="Times New Roman"/>
        </w:rPr>
        <w:t xml:space="preserve"> the recent geopolitical tensions between Russia, Ukraine and Europe, the need for new bypass capacity is minimal since Russia has already invested in alternative transport capacity that bypasses Ukraine substantially. Similarly, to completely circumvent Ukraine, Russia would require another transport route with roughly 50</w:t>
      </w:r>
      <w:r>
        <w:rPr>
          <w:rFonts w:ascii="Times New Roman" w:hAnsi="Times New Roman" w:cs="Times New Roman"/>
        </w:rPr>
        <w:t>-</w:t>
      </w:r>
      <w:r w:rsidRPr="003922C1">
        <w:rPr>
          <w:rFonts w:ascii="Times New Roman" w:hAnsi="Times New Roman" w:cs="Times New Roman"/>
        </w:rPr>
        <w:t>60 bcm/year, which is about 30% of its expected total annual contract volume to Europe in the next two decades.</w:t>
      </w:r>
    </w:p>
  </w:footnote>
  <w:footnote w:id="6">
    <w:p w14:paraId="571C2D66" w14:textId="08AD5A6C" w:rsidR="000354E7" w:rsidRPr="003922C1" w:rsidRDefault="000354E7" w:rsidP="00767FE8">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This theoretical prediction is in line with the view of some gas market analysts in Europe, who state that if spot trade exceeds 50% of all traded volume, the move towards complete spot trade is irreversible (</w:t>
      </w:r>
      <w:r>
        <w:rPr>
          <w:rFonts w:ascii="Times New Roman" w:hAnsi="Times New Roman" w:cs="Times New Roman"/>
        </w:rPr>
        <w:t>see, e.g.</w:t>
      </w:r>
      <w:r>
        <w:rPr>
          <w:rFonts w:ascii="Times New Roman" w:hAnsi="Times New Roman" w:cs="Times New Roman"/>
        </w:rPr>
        <w:t>,</w:t>
      </w:r>
      <w:r w:rsidRPr="003922C1">
        <w:rPr>
          <w:rFonts w:ascii="Times New Roman" w:hAnsi="Times New Roman" w:cs="Times New Roman"/>
        </w:rPr>
        <w:t xml:space="preserve"> presentations and speeches by Thierry Bros, researcher from Société Générale).</w:t>
      </w:r>
    </w:p>
  </w:footnote>
  <w:footnote w:id="7">
    <w:p w14:paraId="6F06828F" w14:textId="7D729515" w:rsidR="000354E7" w:rsidRPr="003922C1" w:rsidRDefault="000354E7" w:rsidP="00767FE8">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Defined in Parsons</w:t>
      </w:r>
      <w:r>
        <w:rPr>
          <w:rFonts w:ascii="Times New Roman" w:hAnsi="Times New Roman" w:cs="Times New Roman"/>
        </w:rPr>
        <w:t xml:space="preserve"> (</w:t>
      </w:r>
      <w:r w:rsidRPr="003922C1">
        <w:rPr>
          <w:rFonts w:ascii="Times New Roman" w:hAnsi="Times New Roman" w:cs="Times New Roman"/>
        </w:rPr>
        <w:t>1989</w:t>
      </w:r>
      <w:r>
        <w:rPr>
          <w:rFonts w:ascii="Times New Roman" w:hAnsi="Times New Roman" w:cs="Times New Roman"/>
        </w:rPr>
        <w:t>)</w:t>
      </w:r>
      <w:r w:rsidRPr="003922C1">
        <w:rPr>
          <w:rFonts w:ascii="Times New Roman" w:hAnsi="Times New Roman" w:cs="Times New Roman"/>
        </w:rPr>
        <w:t xml:space="preserve"> as the difference between the value of the commodity in the LTC and the sales price in a more competitive market.</w:t>
      </w:r>
    </w:p>
  </w:footnote>
  <w:footnote w:id="8">
    <w:p w14:paraId="35AA0BED" w14:textId="5A5947E7" w:rsidR="000354E7" w:rsidRPr="003922C1" w:rsidRDefault="000354E7">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See ACER’s Annual Report on the Results of Monitoring the Internal Electricity and Natural Gas Markets for 2013-2016 years. Available for download from ACER’s website: </w:t>
      </w:r>
      <w:hyperlink r:id="rId1" w:history="1">
        <w:r w:rsidRPr="003922C1">
          <w:rPr>
            <w:rStyle w:val="Hyperlink"/>
            <w:rFonts w:ascii="Times New Roman" w:hAnsi="Times New Roman" w:cs="Times New Roman"/>
          </w:rPr>
          <w:t>https://acer.europa.eu/en/Pages/default.aspx</w:t>
        </w:r>
      </w:hyperlink>
      <w:r w:rsidRPr="003922C1">
        <w:rPr>
          <w:rFonts w:ascii="Times New Roman" w:hAnsi="Times New Roman" w:cs="Times New Roman"/>
        </w:rPr>
        <w:t xml:space="preserve"> </w:t>
      </w:r>
    </w:p>
  </w:footnote>
  <w:footnote w:id="9">
    <w:p w14:paraId="2D6AF063" w14:textId="781AC409" w:rsidR="000354E7" w:rsidRPr="00402BF8" w:rsidRDefault="000354E7">
      <w:pPr>
        <w:pStyle w:val="FootnoteText"/>
        <w:rPr>
          <w:rFonts w:ascii="Times New Roman" w:hAnsi="Times New Roman" w:cs="Times New Roman"/>
        </w:rPr>
      </w:pPr>
      <w:r w:rsidRPr="00402BF8">
        <w:rPr>
          <w:rStyle w:val="FootnoteReference"/>
          <w:rFonts w:ascii="Times New Roman" w:hAnsi="Times New Roman" w:cs="Times New Roman"/>
        </w:rPr>
        <w:footnoteRef/>
      </w:r>
      <w:r w:rsidRPr="00402BF8">
        <w:rPr>
          <w:rFonts w:ascii="Times New Roman" w:hAnsi="Times New Roman" w:cs="Times New Roman"/>
        </w:rPr>
        <w:t xml:space="preserve"> For example, in 2016</w:t>
      </w:r>
      <w:r>
        <w:rPr>
          <w:rFonts w:ascii="Times New Roman" w:hAnsi="Times New Roman" w:cs="Times New Roman"/>
        </w:rPr>
        <w:t>,</w:t>
      </w:r>
      <w:r w:rsidRPr="00402BF8">
        <w:rPr>
          <w:rFonts w:ascii="Times New Roman" w:hAnsi="Times New Roman" w:cs="Times New Roman"/>
        </w:rPr>
        <w:t xml:space="preserve"> Russia renegotiated </w:t>
      </w:r>
      <w:proofErr w:type="gramStart"/>
      <w:r w:rsidRPr="00402BF8">
        <w:rPr>
          <w:rFonts w:ascii="Times New Roman" w:hAnsi="Times New Roman" w:cs="Times New Roman"/>
        </w:rPr>
        <w:t>a number of</w:t>
      </w:r>
      <w:proofErr w:type="gramEnd"/>
      <w:r w:rsidRPr="00402BF8">
        <w:rPr>
          <w:rFonts w:ascii="Times New Roman" w:hAnsi="Times New Roman" w:cs="Times New Roman"/>
        </w:rPr>
        <w:t xml:space="preserve"> its </w:t>
      </w:r>
      <w:r>
        <w:rPr>
          <w:rFonts w:ascii="Times New Roman" w:hAnsi="Times New Roman" w:cs="Times New Roman"/>
        </w:rPr>
        <w:t>l</w:t>
      </w:r>
      <w:r w:rsidRPr="00402BF8">
        <w:rPr>
          <w:rFonts w:ascii="Times New Roman" w:hAnsi="Times New Roman" w:cs="Times New Roman"/>
        </w:rPr>
        <w:t>ong</w:t>
      </w:r>
      <w:r>
        <w:rPr>
          <w:rFonts w:ascii="Times New Roman" w:hAnsi="Times New Roman" w:cs="Times New Roman"/>
        </w:rPr>
        <w:t>-t</w:t>
      </w:r>
      <w:r w:rsidRPr="00402BF8">
        <w:rPr>
          <w:rFonts w:ascii="Times New Roman" w:hAnsi="Times New Roman" w:cs="Times New Roman"/>
        </w:rPr>
        <w:t xml:space="preserve">erm </w:t>
      </w:r>
      <w:r>
        <w:rPr>
          <w:rFonts w:ascii="Times New Roman" w:hAnsi="Times New Roman" w:cs="Times New Roman"/>
        </w:rPr>
        <w:t>c</w:t>
      </w:r>
      <w:r w:rsidRPr="00402BF8">
        <w:rPr>
          <w:rFonts w:ascii="Times New Roman" w:hAnsi="Times New Roman" w:cs="Times New Roman"/>
        </w:rPr>
        <w:t xml:space="preserve">ontracts </w:t>
      </w:r>
      <w:r w:rsidRPr="00402BF8">
        <w:rPr>
          <w:rFonts w:ascii="Times New Roman" w:hAnsi="Times New Roman" w:cs="Times New Roman"/>
        </w:rPr>
        <w:t>with several big buyers</w:t>
      </w:r>
      <w:r>
        <w:rPr>
          <w:rFonts w:ascii="Times New Roman" w:hAnsi="Times New Roman" w:cs="Times New Roman"/>
        </w:rPr>
        <w:t>,</w:t>
      </w:r>
      <w:r w:rsidRPr="00402BF8">
        <w:rPr>
          <w:rFonts w:ascii="Times New Roman" w:hAnsi="Times New Roman" w:cs="Times New Roman"/>
        </w:rPr>
        <w:t xml:space="preserve"> which moved </w:t>
      </w:r>
      <w:r>
        <w:rPr>
          <w:rFonts w:ascii="Times New Roman" w:hAnsi="Times New Roman" w:cs="Times New Roman"/>
        </w:rPr>
        <w:t xml:space="preserve">the </w:t>
      </w:r>
      <w:r w:rsidRPr="00402BF8">
        <w:rPr>
          <w:rFonts w:ascii="Times New Roman" w:hAnsi="Times New Roman" w:cs="Times New Roman"/>
        </w:rPr>
        <w:t xml:space="preserve">price of Russian LTC close to </w:t>
      </w:r>
      <w:r>
        <w:rPr>
          <w:rFonts w:ascii="Times New Roman" w:hAnsi="Times New Roman" w:cs="Times New Roman"/>
        </w:rPr>
        <w:t xml:space="preserve">the </w:t>
      </w:r>
      <w:r w:rsidRPr="00402BF8">
        <w:rPr>
          <w:rFonts w:ascii="Times New Roman" w:hAnsi="Times New Roman" w:cs="Times New Roman"/>
        </w:rPr>
        <w:t xml:space="preserve">spot level. </w:t>
      </w:r>
    </w:p>
  </w:footnote>
  <w:footnote w:id="10">
    <w:p w14:paraId="6427D5E8" w14:textId="3DF5CD76" w:rsidR="000354E7" w:rsidRPr="003922C1" w:rsidRDefault="000354E7">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See EC DG Energy website: https://ec.europa.eu/energy/en/studies/study-quo-vadis-gas-market-regulatory-frameworks</w:t>
      </w:r>
      <w:r>
        <w:rPr>
          <w:rFonts w:ascii="Times New Roman" w:hAnsi="Times New Roman" w:cs="Times New Roman"/>
        </w:rPr>
        <w:t>.</w:t>
      </w:r>
    </w:p>
  </w:footnote>
  <w:footnote w:id="11">
    <w:p w14:paraId="42F53DBD" w14:textId="186429E0" w:rsidR="000354E7" w:rsidRPr="003922C1" w:rsidRDefault="000354E7" w:rsidP="00550C36">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For comparison, price spread between TTF and the German virtual trading point NCG is ca. €0.2-0.3/MWh</w:t>
      </w:r>
      <w:r>
        <w:rPr>
          <w:rFonts w:ascii="Times New Roman" w:hAnsi="Times New Roman" w:cs="Times New Roman"/>
        </w:rPr>
        <w:t>.</w:t>
      </w:r>
    </w:p>
  </w:footnote>
  <w:footnote w:id="12">
    <w:p w14:paraId="554E5580" w14:textId="55D99CE0" w:rsidR="000354E7" w:rsidRPr="003922C1" w:rsidRDefault="000354E7" w:rsidP="00550C36">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http://dgsaie.mise.gov.it/sen/Strategia_Energetica_Nazionale_2017_-_documento_di_consultazione.pdf</w:t>
      </w:r>
      <w:r>
        <w:rPr>
          <w:rFonts w:ascii="Times New Roman" w:hAnsi="Times New Roman" w:cs="Times New Roman"/>
        </w:rPr>
        <w:t>.</w:t>
      </w:r>
    </w:p>
  </w:footnote>
  <w:footnote w:id="13">
    <w:p w14:paraId="6BE63930" w14:textId="2FE36F77" w:rsidR="000354E7" w:rsidRPr="003922C1" w:rsidRDefault="000354E7">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http://www.eprg.group.cam.ac.uk/wp-content/uploads/2017/05/An-Assessment-of-Gazproms-commitments_CHYONG.pdf</w:t>
      </w:r>
      <w:r>
        <w:rPr>
          <w:rFonts w:ascii="Times New Roman" w:hAnsi="Times New Roman" w:cs="Times New Roman"/>
        </w:rPr>
        <w:t>.</w:t>
      </w:r>
    </w:p>
  </w:footnote>
  <w:footnote w:id="14">
    <w:p w14:paraId="136FDC5A" w14:textId="35DF9005" w:rsidR="000354E7" w:rsidRPr="003922C1" w:rsidRDefault="000354E7">
      <w:pPr>
        <w:pStyle w:val="FootnoteText"/>
        <w:rPr>
          <w:rFonts w:ascii="Times New Roman" w:hAnsi="Times New Roman" w:cs="Times New Roman"/>
        </w:rPr>
      </w:pPr>
      <w:r w:rsidRPr="003922C1">
        <w:rPr>
          <w:rStyle w:val="FootnoteReference"/>
          <w:rFonts w:ascii="Times New Roman" w:hAnsi="Times New Roman" w:cs="Times New Roman"/>
        </w:rPr>
        <w:footnoteRef/>
      </w:r>
      <w:r w:rsidRPr="003922C1">
        <w:rPr>
          <w:rFonts w:ascii="Times New Roman" w:hAnsi="Times New Roman" w:cs="Times New Roman"/>
        </w:rPr>
        <w:t xml:space="preserve"> In the gas industry terminology, the marginal supplier will price its gas in the market according to the </w:t>
      </w:r>
      <w:r w:rsidRPr="00402BF8">
        <w:rPr>
          <w:rFonts w:ascii="Times New Roman" w:hAnsi="Times New Roman" w:cs="Times New Roman"/>
        </w:rPr>
        <w:t>netback basis</w:t>
      </w:r>
      <w:r>
        <w:rPr>
          <w:rFonts w:ascii="Times New Roman" w:hAnsi="Times New Roman" w:cs="Times New Roman"/>
        </w:rPr>
        <w:t>—</w:t>
      </w:r>
      <w:r w:rsidRPr="003922C1">
        <w:rPr>
          <w:rFonts w:ascii="Times New Roman" w:hAnsi="Times New Roman" w:cs="Times New Roman"/>
        </w:rPr>
        <w:t>that is, its price is just slightly lower than the hub price (spot price) plus transport cost from the hub back to the market.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89E"/>
    <w:multiLevelType w:val="hybridMultilevel"/>
    <w:tmpl w:val="7688AAA4"/>
    <w:lvl w:ilvl="0" w:tplc="C7BC183E">
      <w:start w:val="1"/>
      <w:numFmt w:val="bullet"/>
      <w:lvlText w:val="•"/>
      <w:lvlJc w:val="left"/>
      <w:pPr>
        <w:tabs>
          <w:tab w:val="num" w:pos="720"/>
        </w:tabs>
        <w:ind w:left="720" w:hanging="360"/>
      </w:pPr>
      <w:rPr>
        <w:rFonts w:ascii="Times New Roman" w:hAnsi="Times New Roman" w:hint="default"/>
      </w:rPr>
    </w:lvl>
    <w:lvl w:ilvl="1" w:tplc="4A866FC4" w:tentative="1">
      <w:start w:val="1"/>
      <w:numFmt w:val="bullet"/>
      <w:lvlText w:val="•"/>
      <w:lvlJc w:val="left"/>
      <w:pPr>
        <w:tabs>
          <w:tab w:val="num" w:pos="1440"/>
        </w:tabs>
        <w:ind w:left="1440" w:hanging="360"/>
      </w:pPr>
      <w:rPr>
        <w:rFonts w:ascii="Times New Roman" w:hAnsi="Times New Roman" w:hint="default"/>
      </w:rPr>
    </w:lvl>
    <w:lvl w:ilvl="2" w:tplc="4FEC7E4E" w:tentative="1">
      <w:start w:val="1"/>
      <w:numFmt w:val="bullet"/>
      <w:lvlText w:val="•"/>
      <w:lvlJc w:val="left"/>
      <w:pPr>
        <w:tabs>
          <w:tab w:val="num" w:pos="2160"/>
        </w:tabs>
        <w:ind w:left="2160" w:hanging="360"/>
      </w:pPr>
      <w:rPr>
        <w:rFonts w:ascii="Times New Roman" w:hAnsi="Times New Roman" w:hint="default"/>
      </w:rPr>
    </w:lvl>
    <w:lvl w:ilvl="3" w:tplc="E522FDB2" w:tentative="1">
      <w:start w:val="1"/>
      <w:numFmt w:val="bullet"/>
      <w:lvlText w:val="•"/>
      <w:lvlJc w:val="left"/>
      <w:pPr>
        <w:tabs>
          <w:tab w:val="num" w:pos="2880"/>
        </w:tabs>
        <w:ind w:left="2880" w:hanging="360"/>
      </w:pPr>
      <w:rPr>
        <w:rFonts w:ascii="Times New Roman" w:hAnsi="Times New Roman" w:hint="default"/>
      </w:rPr>
    </w:lvl>
    <w:lvl w:ilvl="4" w:tplc="29BC822E" w:tentative="1">
      <w:start w:val="1"/>
      <w:numFmt w:val="bullet"/>
      <w:lvlText w:val="•"/>
      <w:lvlJc w:val="left"/>
      <w:pPr>
        <w:tabs>
          <w:tab w:val="num" w:pos="3600"/>
        </w:tabs>
        <w:ind w:left="3600" w:hanging="360"/>
      </w:pPr>
      <w:rPr>
        <w:rFonts w:ascii="Times New Roman" w:hAnsi="Times New Roman" w:hint="default"/>
      </w:rPr>
    </w:lvl>
    <w:lvl w:ilvl="5" w:tplc="7CA2EED8" w:tentative="1">
      <w:start w:val="1"/>
      <w:numFmt w:val="bullet"/>
      <w:lvlText w:val="•"/>
      <w:lvlJc w:val="left"/>
      <w:pPr>
        <w:tabs>
          <w:tab w:val="num" w:pos="4320"/>
        </w:tabs>
        <w:ind w:left="4320" w:hanging="360"/>
      </w:pPr>
      <w:rPr>
        <w:rFonts w:ascii="Times New Roman" w:hAnsi="Times New Roman" w:hint="default"/>
      </w:rPr>
    </w:lvl>
    <w:lvl w:ilvl="6" w:tplc="814A8ABE" w:tentative="1">
      <w:start w:val="1"/>
      <w:numFmt w:val="bullet"/>
      <w:lvlText w:val="•"/>
      <w:lvlJc w:val="left"/>
      <w:pPr>
        <w:tabs>
          <w:tab w:val="num" w:pos="5040"/>
        </w:tabs>
        <w:ind w:left="5040" w:hanging="360"/>
      </w:pPr>
      <w:rPr>
        <w:rFonts w:ascii="Times New Roman" w:hAnsi="Times New Roman" w:hint="default"/>
      </w:rPr>
    </w:lvl>
    <w:lvl w:ilvl="7" w:tplc="FE1AE00C" w:tentative="1">
      <w:start w:val="1"/>
      <w:numFmt w:val="bullet"/>
      <w:lvlText w:val="•"/>
      <w:lvlJc w:val="left"/>
      <w:pPr>
        <w:tabs>
          <w:tab w:val="num" w:pos="5760"/>
        </w:tabs>
        <w:ind w:left="5760" w:hanging="360"/>
      </w:pPr>
      <w:rPr>
        <w:rFonts w:ascii="Times New Roman" w:hAnsi="Times New Roman" w:hint="default"/>
      </w:rPr>
    </w:lvl>
    <w:lvl w:ilvl="8" w:tplc="C908CD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8326BC"/>
    <w:multiLevelType w:val="hybridMultilevel"/>
    <w:tmpl w:val="90361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873238"/>
    <w:multiLevelType w:val="hybridMultilevel"/>
    <w:tmpl w:val="3BEC2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8D4CFD"/>
    <w:multiLevelType w:val="hybridMultilevel"/>
    <w:tmpl w:val="A648B7AC"/>
    <w:lvl w:ilvl="0" w:tplc="F2C287E6">
      <w:start w:val="1"/>
      <w:numFmt w:val="decimal"/>
      <w:lvlText w:val="%1."/>
      <w:lvlJc w:val="left"/>
      <w:pPr>
        <w:tabs>
          <w:tab w:val="num" w:pos="720"/>
        </w:tabs>
        <w:ind w:left="720" w:hanging="360"/>
      </w:pPr>
    </w:lvl>
    <w:lvl w:ilvl="1" w:tplc="FDCC17D4" w:tentative="1">
      <w:start w:val="1"/>
      <w:numFmt w:val="decimal"/>
      <w:lvlText w:val="%2."/>
      <w:lvlJc w:val="left"/>
      <w:pPr>
        <w:tabs>
          <w:tab w:val="num" w:pos="1440"/>
        </w:tabs>
        <w:ind w:left="1440" w:hanging="360"/>
      </w:pPr>
    </w:lvl>
    <w:lvl w:ilvl="2" w:tplc="68FAB754" w:tentative="1">
      <w:start w:val="1"/>
      <w:numFmt w:val="decimal"/>
      <w:lvlText w:val="%3."/>
      <w:lvlJc w:val="left"/>
      <w:pPr>
        <w:tabs>
          <w:tab w:val="num" w:pos="2160"/>
        </w:tabs>
        <w:ind w:left="2160" w:hanging="360"/>
      </w:pPr>
    </w:lvl>
    <w:lvl w:ilvl="3" w:tplc="996AF588" w:tentative="1">
      <w:start w:val="1"/>
      <w:numFmt w:val="decimal"/>
      <w:lvlText w:val="%4."/>
      <w:lvlJc w:val="left"/>
      <w:pPr>
        <w:tabs>
          <w:tab w:val="num" w:pos="2880"/>
        </w:tabs>
        <w:ind w:left="2880" w:hanging="360"/>
      </w:pPr>
    </w:lvl>
    <w:lvl w:ilvl="4" w:tplc="EAE4B8FA" w:tentative="1">
      <w:start w:val="1"/>
      <w:numFmt w:val="decimal"/>
      <w:lvlText w:val="%5."/>
      <w:lvlJc w:val="left"/>
      <w:pPr>
        <w:tabs>
          <w:tab w:val="num" w:pos="3600"/>
        </w:tabs>
        <w:ind w:left="3600" w:hanging="360"/>
      </w:pPr>
    </w:lvl>
    <w:lvl w:ilvl="5" w:tplc="D5FE01AA" w:tentative="1">
      <w:start w:val="1"/>
      <w:numFmt w:val="decimal"/>
      <w:lvlText w:val="%6."/>
      <w:lvlJc w:val="left"/>
      <w:pPr>
        <w:tabs>
          <w:tab w:val="num" w:pos="4320"/>
        </w:tabs>
        <w:ind w:left="4320" w:hanging="360"/>
      </w:pPr>
    </w:lvl>
    <w:lvl w:ilvl="6" w:tplc="5412D106" w:tentative="1">
      <w:start w:val="1"/>
      <w:numFmt w:val="decimal"/>
      <w:lvlText w:val="%7."/>
      <w:lvlJc w:val="left"/>
      <w:pPr>
        <w:tabs>
          <w:tab w:val="num" w:pos="5040"/>
        </w:tabs>
        <w:ind w:left="5040" w:hanging="360"/>
      </w:pPr>
    </w:lvl>
    <w:lvl w:ilvl="7" w:tplc="753E516E" w:tentative="1">
      <w:start w:val="1"/>
      <w:numFmt w:val="decimal"/>
      <w:lvlText w:val="%8."/>
      <w:lvlJc w:val="left"/>
      <w:pPr>
        <w:tabs>
          <w:tab w:val="num" w:pos="5760"/>
        </w:tabs>
        <w:ind w:left="5760" w:hanging="360"/>
      </w:pPr>
    </w:lvl>
    <w:lvl w:ilvl="8" w:tplc="60586AAC" w:tentative="1">
      <w:start w:val="1"/>
      <w:numFmt w:val="decimal"/>
      <w:lvlText w:val="%9."/>
      <w:lvlJc w:val="left"/>
      <w:pPr>
        <w:tabs>
          <w:tab w:val="num" w:pos="6480"/>
        </w:tabs>
        <w:ind w:left="6480" w:hanging="360"/>
      </w:pPr>
    </w:lvl>
  </w:abstractNum>
  <w:abstractNum w:abstractNumId="4" w15:restartNumberingAfterBreak="0">
    <w:nsid w:val="28C255B0"/>
    <w:multiLevelType w:val="hybridMultilevel"/>
    <w:tmpl w:val="4D68F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FF3C22"/>
    <w:multiLevelType w:val="multilevel"/>
    <w:tmpl w:val="73CA7B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2F08029F"/>
    <w:multiLevelType w:val="multilevel"/>
    <w:tmpl w:val="73CA7B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41442126"/>
    <w:multiLevelType w:val="multilevel"/>
    <w:tmpl w:val="73CA7B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5B9F3F20"/>
    <w:multiLevelType w:val="multilevel"/>
    <w:tmpl w:val="73CA7B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6BAE346E"/>
    <w:multiLevelType w:val="multilevel"/>
    <w:tmpl w:val="73CA7B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7"/>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7D"/>
    <w:rsid w:val="000010E4"/>
    <w:rsid w:val="00004220"/>
    <w:rsid w:val="00010A0D"/>
    <w:rsid w:val="00012A5E"/>
    <w:rsid w:val="0001497A"/>
    <w:rsid w:val="00014C21"/>
    <w:rsid w:val="00021A05"/>
    <w:rsid w:val="00025B7A"/>
    <w:rsid w:val="0002628F"/>
    <w:rsid w:val="00026B9D"/>
    <w:rsid w:val="00027FA5"/>
    <w:rsid w:val="00030412"/>
    <w:rsid w:val="000341CC"/>
    <w:rsid w:val="000354E7"/>
    <w:rsid w:val="00037FE2"/>
    <w:rsid w:val="0004120E"/>
    <w:rsid w:val="000449BD"/>
    <w:rsid w:val="00045C1D"/>
    <w:rsid w:val="0004612B"/>
    <w:rsid w:val="000501C5"/>
    <w:rsid w:val="000539C0"/>
    <w:rsid w:val="00055C26"/>
    <w:rsid w:val="000606B4"/>
    <w:rsid w:val="00063542"/>
    <w:rsid w:val="00063CF5"/>
    <w:rsid w:val="0006414D"/>
    <w:rsid w:val="00067230"/>
    <w:rsid w:val="000724FE"/>
    <w:rsid w:val="0007321B"/>
    <w:rsid w:val="00074907"/>
    <w:rsid w:val="00075BCB"/>
    <w:rsid w:val="00076DF7"/>
    <w:rsid w:val="000779D8"/>
    <w:rsid w:val="000801ED"/>
    <w:rsid w:val="00086758"/>
    <w:rsid w:val="00087943"/>
    <w:rsid w:val="000908B5"/>
    <w:rsid w:val="0009793A"/>
    <w:rsid w:val="000A20E3"/>
    <w:rsid w:val="000A6AB2"/>
    <w:rsid w:val="000B3499"/>
    <w:rsid w:val="000B675C"/>
    <w:rsid w:val="000B787C"/>
    <w:rsid w:val="000B7987"/>
    <w:rsid w:val="000C133F"/>
    <w:rsid w:val="000C319F"/>
    <w:rsid w:val="000C4ED2"/>
    <w:rsid w:val="000C7932"/>
    <w:rsid w:val="000D1428"/>
    <w:rsid w:val="000D1984"/>
    <w:rsid w:val="000D3388"/>
    <w:rsid w:val="000D3BB0"/>
    <w:rsid w:val="000D4BFB"/>
    <w:rsid w:val="000D5F07"/>
    <w:rsid w:val="000D607E"/>
    <w:rsid w:val="000D7A39"/>
    <w:rsid w:val="000D7E4E"/>
    <w:rsid w:val="000E02B2"/>
    <w:rsid w:val="000E07EF"/>
    <w:rsid w:val="000E09E5"/>
    <w:rsid w:val="000E0AE4"/>
    <w:rsid w:val="000E14AD"/>
    <w:rsid w:val="000E62A4"/>
    <w:rsid w:val="000F362B"/>
    <w:rsid w:val="00104ED0"/>
    <w:rsid w:val="00106AA0"/>
    <w:rsid w:val="00106F54"/>
    <w:rsid w:val="0011247F"/>
    <w:rsid w:val="00116EA4"/>
    <w:rsid w:val="00117F7B"/>
    <w:rsid w:val="001201F8"/>
    <w:rsid w:val="00122CFF"/>
    <w:rsid w:val="00125B78"/>
    <w:rsid w:val="00125BBC"/>
    <w:rsid w:val="00126245"/>
    <w:rsid w:val="00127BEB"/>
    <w:rsid w:val="00131190"/>
    <w:rsid w:val="00131E36"/>
    <w:rsid w:val="0013326A"/>
    <w:rsid w:val="00135184"/>
    <w:rsid w:val="00136270"/>
    <w:rsid w:val="00136346"/>
    <w:rsid w:val="00137482"/>
    <w:rsid w:val="001420EC"/>
    <w:rsid w:val="00143786"/>
    <w:rsid w:val="00147B21"/>
    <w:rsid w:val="00147C7D"/>
    <w:rsid w:val="00151A59"/>
    <w:rsid w:val="001525C6"/>
    <w:rsid w:val="0015755C"/>
    <w:rsid w:val="00160D12"/>
    <w:rsid w:val="00160ECB"/>
    <w:rsid w:val="00161C1F"/>
    <w:rsid w:val="001637B7"/>
    <w:rsid w:val="001673E9"/>
    <w:rsid w:val="001701E2"/>
    <w:rsid w:val="001708A0"/>
    <w:rsid w:val="00177E89"/>
    <w:rsid w:val="0018030E"/>
    <w:rsid w:val="00180951"/>
    <w:rsid w:val="00180F11"/>
    <w:rsid w:val="00184ECB"/>
    <w:rsid w:val="00185D75"/>
    <w:rsid w:val="00186AA8"/>
    <w:rsid w:val="00187224"/>
    <w:rsid w:val="0019186D"/>
    <w:rsid w:val="00197A59"/>
    <w:rsid w:val="001A0A48"/>
    <w:rsid w:val="001A6692"/>
    <w:rsid w:val="001B0468"/>
    <w:rsid w:val="001B2603"/>
    <w:rsid w:val="001B52F6"/>
    <w:rsid w:val="001B74B8"/>
    <w:rsid w:val="001C6047"/>
    <w:rsid w:val="001C69F7"/>
    <w:rsid w:val="001D1C52"/>
    <w:rsid w:val="001D1EFA"/>
    <w:rsid w:val="001D224D"/>
    <w:rsid w:val="001D23C9"/>
    <w:rsid w:val="001D4E29"/>
    <w:rsid w:val="001D58E5"/>
    <w:rsid w:val="001D5906"/>
    <w:rsid w:val="001D6FA9"/>
    <w:rsid w:val="001E1698"/>
    <w:rsid w:val="001E1800"/>
    <w:rsid w:val="001E2FD3"/>
    <w:rsid w:val="001E5B86"/>
    <w:rsid w:val="001E681A"/>
    <w:rsid w:val="001E6B9A"/>
    <w:rsid w:val="001E797C"/>
    <w:rsid w:val="001F125E"/>
    <w:rsid w:val="001F3962"/>
    <w:rsid w:val="001F397E"/>
    <w:rsid w:val="001F58A4"/>
    <w:rsid w:val="001F5936"/>
    <w:rsid w:val="00205427"/>
    <w:rsid w:val="00205D03"/>
    <w:rsid w:val="002101B9"/>
    <w:rsid w:val="00212718"/>
    <w:rsid w:val="002151C9"/>
    <w:rsid w:val="00223C0C"/>
    <w:rsid w:val="00225907"/>
    <w:rsid w:val="002377AE"/>
    <w:rsid w:val="002377D1"/>
    <w:rsid w:val="00241578"/>
    <w:rsid w:val="00242842"/>
    <w:rsid w:val="00242C81"/>
    <w:rsid w:val="00244538"/>
    <w:rsid w:val="00247378"/>
    <w:rsid w:val="002501F2"/>
    <w:rsid w:val="0025490E"/>
    <w:rsid w:val="00265A5A"/>
    <w:rsid w:val="00265CA3"/>
    <w:rsid w:val="002662E1"/>
    <w:rsid w:val="002711ED"/>
    <w:rsid w:val="002733D8"/>
    <w:rsid w:val="00273D7B"/>
    <w:rsid w:val="00281804"/>
    <w:rsid w:val="00283F30"/>
    <w:rsid w:val="00285853"/>
    <w:rsid w:val="0028599A"/>
    <w:rsid w:val="00285D26"/>
    <w:rsid w:val="002906F6"/>
    <w:rsid w:val="00297A4E"/>
    <w:rsid w:val="002A0738"/>
    <w:rsid w:val="002A1DC2"/>
    <w:rsid w:val="002A24C7"/>
    <w:rsid w:val="002A49E5"/>
    <w:rsid w:val="002A5538"/>
    <w:rsid w:val="002B1603"/>
    <w:rsid w:val="002B1CC9"/>
    <w:rsid w:val="002B263E"/>
    <w:rsid w:val="002C21BD"/>
    <w:rsid w:val="002C601E"/>
    <w:rsid w:val="002C71F5"/>
    <w:rsid w:val="002D0EB1"/>
    <w:rsid w:val="002D0EE5"/>
    <w:rsid w:val="002D1305"/>
    <w:rsid w:val="002D571C"/>
    <w:rsid w:val="002D5F10"/>
    <w:rsid w:val="002D674D"/>
    <w:rsid w:val="002E529D"/>
    <w:rsid w:val="002F009F"/>
    <w:rsid w:val="002F060E"/>
    <w:rsid w:val="002F128D"/>
    <w:rsid w:val="002F2E3B"/>
    <w:rsid w:val="002F3354"/>
    <w:rsid w:val="00300F0D"/>
    <w:rsid w:val="00304FAD"/>
    <w:rsid w:val="00307DC8"/>
    <w:rsid w:val="00312A23"/>
    <w:rsid w:val="0031486A"/>
    <w:rsid w:val="00315549"/>
    <w:rsid w:val="0031631C"/>
    <w:rsid w:val="003168A9"/>
    <w:rsid w:val="00317BCC"/>
    <w:rsid w:val="003206E2"/>
    <w:rsid w:val="003210A0"/>
    <w:rsid w:val="003259ED"/>
    <w:rsid w:val="00327227"/>
    <w:rsid w:val="0032744F"/>
    <w:rsid w:val="00330D65"/>
    <w:rsid w:val="00335835"/>
    <w:rsid w:val="00345309"/>
    <w:rsid w:val="00345FB4"/>
    <w:rsid w:val="00350515"/>
    <w:rsid w:val="003545C9"/>
    <w:rsid w:val="0035594B"/>
    <w:rsid w:val="003614AE"/>
    <w:rsid w:val="00362A18"/>
    <w:rsid w:val="00363C28"/>
    <w:rsid w:val="003656D0"/>
    <w:rsid w:val="00365D3F"/>
    <w:rsid w:val="0036695B"/>
    <w:rsid w:val="0037152A"/>
    <w:rsid w:val="0037192A"/>
    <w:rsid w:val="00374DCE"/>
    <w:rsid w:val="00375B13"/>
    <w:rsid w:val="00376AF8"/>
    <w:rsid w:val="003819D3"/>
    <w:rsid w:val="00382D64"/>
    <w:rsid w:val="00383EF1"/>
    <w:rsid w:val="0038492D"/>
    <w:rsid w:val="0038612B"/>
    <w:rsid w:val="003922C1"/>
    <w:rsid w:val="00394D08"/>
    <w:rsid w:val="00397C46"/>
    <w:rsid w:val="003A217E"/>
    <w:rsid w:val="003A4240"/>
    <w:rsid w:val="003A4BD2"/>
    <w:rsid w:val="003A4D5A"/>
    <w:rsid w:val="003B09AA"/>
    <w:rsid w:val="003B2363"/>
    <w:rsid w:val="003B2902"/>
    <w:rsid w:val="003C142C"/>
    <w:rsid w:val="003C1B6D"/>
    <w:rsid w:val="003C6DFD"/>
    <w:rsid w:val="003C731F"/>
    <w:rsid w:val="003D0928"/>
    <w:rsid w:val="003D233A"/>
    <w:rsid w:val="003D2C40"/>
    <w:rsid w:val="003E01B7"/>
    <w:rsid w:val="003E042D"/>
    <w:rsid w:val="003E04E9"/>
    <w:rsid w:val="003E0504"/>
    <w:rsid w:val="003E129D"/>
    <w:rsid w:val="003E157C"/>
    <w:rsid w:val="003E207D"/>
    <w:rsid w:val="003E5F8C"/>
    <w:rsid w:val="003E5FDB"/>
    <w:rsid w:val="003E7155"/>
    <w:rsid w:val="003F4D3C"/>
    <w:rsid w:val="003F61F5"/>
    <w:rsid w:val="003F65D4"/>
    <w:rsid w:val="00402A17"/>
    <w:rsid w:val="00402BF8"/>
    <w:rsid w:val="004108C5"/>
    <w:rsid w:val="00411C56"/>
    <w:rsid w:val="00415C9A"/>
    <w:rsid w:val="00421F5C"/>
    <w:rsid w:val="004254DB"/>
    <w:rsid w:val="00431ADC"/>
    <w:rsid w:val="00432EEF"/>
    <w:rsid w:val="004337C2"/>
    <w:rsid w:val="004347C4"/>
    <w:rsid w:val="00435E46"/>
    <w:rsid w:val="00437F29"/>
    <w:rsid w:val="00437FEC"/>
    <w:rsid w:val="00441325"/>
    <w:rsid w:val="004437F4"/>
    <w:rsid w:val="004466FA"/>
    <w:rsid w:val="00450DBF"/>
    <w:rsid w:val="00453166"/>
    <w:rsid w:val="00456059"/>
    <w:rsid w:val="004560AF"/>
    <w:rsid w:val="00463588"/>
    <w:rsid w:val="00465254"/>
    <w:rsid w:val="00466DAC"/>
    <w:rsid w:val="00467770"/>
    <w:rsid w:val="00470AC3"/>
    <w:rsid w:val="0047264A"/>
    <w:rsid w:val="00477EFF"/>
    <w:rsid w:val="00480B29"/>
    <w:rsid w:val="00485A50"/>
    <w:rsid w:val="00491069"/>
    <w:rsid w:val="004916BE"/>
    <w:rsid w:val="00491D02"/>
    <w:rsid w:val="00491E2A"/>
    <w:rsid w:val="004920CA"/>
    <w:rsid w:val="004924EB"/>
    <w:rsid w:val="00492B02"/>
    <w:rsid w:val="0049322B"/>
    <w:rsid w:val="004969F8"/>
    <w:rsid w:val="00497F6C"/>
    <w:rsid w:val="004A1827"/>
    <w:rsid w:val="004A21BB"/>
    <w:rsid w:val="004A32DE"/>
    <w:rsid w:val="004A3C0B"/>
    <w:rsid w:val="004A5E34"/>
    <w:rsid w:val="004A7D89"/>
    <w:rsid w:val="004B188C"/>
    <w:rsid w:val="004B34E0"/>
    <w:rsid w:val="004B5525"/>
    <w:rsid w:val="004B7EED"/>
    <w:rsid w:val="004C0491"/>
    <w:rsid w:val="004C0D84"/>
    <w:rsid w:val="004C1076"/>
    <w:rsid w:val="004C5523"/>
    <w:rsid w:val="004C6DE2"/>
    <w:rsid w:val="004C6F6E"/>
    <w:rsid w:val="004C77E2"/>
    <w:rsid w:val="004D1133"/>
    <w:rsid w:val="004D2A4C"/>
    <w:rsid w:val="004D2D9C"/>
    <w:rsid w:val="004D371B"/>
    <w:rsid w:val="004D6A6C"/>
    <w:rsid w:val="004D7C18"/>
    <w:rsid w:val="004E0142"/>
    <w:rsid w:val="004E4928"/>
    <w:rsid w:val="004E4D82"/>
    <w:rsid w:val="004E5FDA"/>
    <w:rsid w:val="004E6568"/>
    <w:rsid w:val="004E7536"/>
    <w:rsid w:val="004F353B"/>
    <w:rsid w:val="004F5067"/>
    <w:rsid w:val="004F513A"/>
    <w:rsid w:val="004F5C35"/>
    <w:rsid w:val="004F66B1"/>
    <w:rsid w:val="004F701F"/>
    <w:rsid w:val="00501683"/>
    <w:rsid w:val="0050270B"/>
    <w:rsid w:val="0050373F"/>
    <w:rsid w:val="00506619"/>
    <w:rsid w:val="0050798E"/>
    <w:rsid w:val="00510D36"/>
    <w:rsid w:val="005132CE"/>
    <w:rsid w:val="0051467C"/>
    <w:rsid w:val="00514979"/>
    <w:rsid w:val="00514A94"/>
    <w:rsid w:val="00516ECA"/>
    <w:rsid w:val="005175C3"/>
    <w:rsid w:val="00517A45"/>
    <w:rsid w:val="00520E5F"/>
    <w:rsid w:val="005234CE"/>
    <w:rsid w:val="00524730"/>
    <w:rsid w:val="00525772"/>
    <w:rsid w:val="00526318"/>
    <w:rsid w:val="005264A7"/>
    <w:rsid w:val="00526B0C"/>
    <w:rsid w:val="00531EF0"/>
    <w:rsid w:val="005333AA"/>
    <w:rsid w:val="00536801"/>
    <w:rsid w:val="005375C1"/>
    <w:rsid w:val="00537CF4"/>
    <w:rsid w:val="00540FD3"/>
    <w:rsid w:val="00544926"/>
    <w:rsid w:val="005450EC"/>
    <w:rsid w:val="00545101"/>
    <w:rsid w:val="005462FE"/>
    <w:rsid w:val="00550758"/>
    <w:rsid w:val="00550C36"/>
    <w:rsid w:val="00552467"/>
    <w:rsid w:val="00553F63"/>
    <w:rsid w:val="00556BEE"/>
    <w:rsid w:val="0055753D"/>
    <w:rsid w:val="00557711"/>
    <w:rsid w:val="00557E8D"/>
    <w:rsid w:val="00561B76"/>
    <w:rsid w:val="00564054"/>
    <w:rsid w:val="00566234"/>
    <w:rsid w:val="0056677D"/>
    <w:rsid w:val="00566C83"/>
    <w:rsid w:val="005713DE"/>
    <w:rsid w:val="00574143"/>
    <w:rsid w:val="005742EE"/>
    <w:rsid w:val="00580D78"/>
    <w:rsid w:val="005819AB"/>
    <w:rsid w:val="00581E11"/>
    <w:rsid w:val="0058282F"/>
    <w:rsid w:val="005837F1"/>
    <w:rsid w:val="00583A88"/>
    <w:rsid w:val="00590A04"/>
    <w:rsid w:val="00592D8C"/>
    <w:rsid w:val="0059386F"/>
    <w:rsid w:val="00595C30"/>
    <w:rsid w:val="00596CAD"/>
    <w:rsid w:val="00597368"/>
    <w:rsid w:val="005A139E"/>
    <w:rsid w:val="005A1C7C"/>
    <w:rsid w:val="005A1F3E"/>
    <w:rsid w:val="005A480E"/>
    <w:rsid w:val="005A6018"/>
    <w:rsid w:val="005B03F8"/>
    <w:rsid w:val="005B69AC"/>
    <w:rsid w:val="005C370B"/>
    <w:rsid w:val="005C43C1"/>
    <w:rsid w:val="005C6423"/>
    <w:rsid w:val="005C68ED"/>
    <w:rsid w:val="005D2D71"/>
    <w:rsid w:val="005D41B6"/>
    <w:rsid w:val="005D6FBD"/>
    <w:rsid w:val="005E1AA3"/>
    <w:rsid w:val="005E53F3"/>
    <w:rsid w:val="005E7E47"/>
    <w:rsid w:val="005F2C11"/>
    <w:rsid w:val="005F2D05"/>
    <w:rsid w:val="005F67A0"/>
    <w:rsid w:val="005F67AC"/>
    <w:rsid w:val="00603578"/>
    <w:rsid w:val="006038F7"/>
    <w:rsid w:val="00603F7B"/>
    <w:rsid w:val="00607C0A"/>
    <w:rsid w:val="00614E86"/>
    <w:rsid w:val="00614EBD"/>
    <w:rsid w:val="00623B22"/>
    <w:rsid w:val="00624545"/>
    <w:rsid w:val="00624C30"/>
    <w:rsid w:val="00625E0D"/>
    <w:rsid w:val="0062714B"/>
    <w:rsid w:val="006336FD"/>
    <w:rsid w:val="00636C7F"/>
    <w:rsid w:val="00637B3D"/>
    <w:rsid w:val="00643E68"/>
    <w:rsid w:val="00646689"/>
    <w:rsid w:val="00646A2F"/>
    <w:rsid w:val="0064769E"/>
    <w:rsid w:val="0065223F"/>
    <w:rsid w:val="00652A06"/>
    <w:rsid w:val="00654C4E"/>
    <w:rsid w:val="006552A0"/>
    <w:rsid w:val="00656715"/>
    <w:rsid w:val="0066089D"/>
    <w:rsid w:val="00660B3D"/>
    <w:rsid w:val="00663775"/>
    <w:rsid w:val="006671A5"/>
    <w:rsid w:val="00670133"/>
    <w:rsid w:val="006728BD"/>
    <w:rsid w:val="00673600"/>
    <w:rsid w:val="00673D1A"/>
    <w:rsid w:val="006747E7"/>
    <w:rsid w:val="00676609"/>
    <w:rsid w:val="00677801"/>
    <w:rsid w:val="00684607"/>
    <w:rsid w:val="006853F4"/>
    <w:rsid w:val="006872A3"/>
    <w:rsid w:val="00691FC7"/>
    <w:rsid w:val="006921C4"/>
    <w:rsid w:val="00693C42"/>
    <w:rsid w:val="006A18FB"/>
    <w:rsid w:val="006A3AA6"/>
    <w:rsid w:val="006A3EE5"/>
    <w:rsid w:val="006B2C56"/>
    <w:rsid w:val="006B649C"/>
    <w:rsid w:val="006B7C75"/>
    <w:rsid w:val="006B7E76"/>
    <w:rsid w:val="006C1903"/>
    <w:rsid w:val="006C41B1"/>
    <w:rsid w:val="006C51A1"/>
    <w:rsid w:val="006C6FE6"/>
    <w:rsid w:val="006D1B46"/>
    <w:rsid w:val="006D52CF"/>
    <w:rsid w:val="006D5DDF"/>
    <w:rsid w:val="006D64E3"/>
    <w:rsid w:val="006D7339"/>
    <w:rsid w:val="006D73C2"/>
    <w:rsid w:val="006E1834"/>
    <w:rsid w:val="006E4A8F"/>
    <w:rsid w:val="006E58E4"/>
    <w:rsid w:val="006E5E05"/>
    <w:rsid w:val="006E6044"/>
    <w:rsid w:val="006F024D"/>
    <w:rsid w:val="006F0382"/>
    <w:rsid w:val="006F31C9"/>
    <w:rsid w:val="006F7B02"/>
    <w:rsid w:val="00700094"/>
    <w:rsid w:val="00701A09"/>
    <w:rsid w:val="0070203A"/>
    <w:rsid w:val="007036BF"/>
    <w:rsid w:val="007044E3"/>
    <w:rsid w:val="00711BF2"/>
    <w:rsid w:val="00713A24"/>
    <w:rsid w:val="0072090A"/>
    <w:rsid w:val="00721462"/>
    <w:rsid w:val="007220EB"/>
    <w:rsid w:val="007233BB"/>
    <w:rsid w:val="00736BC6"/>
    <w:rsid w:val="00737722"/>
    <w:rsid w:val="00737DE0"/>
    <w:rsid w:val="00740652"/>
    <w:rsid w:val="00745259"/>
    <w:rsid w:val="007466A9"/>
    <w:rsid w:val="00750C81"/>
    <w:rsid w:val="007546A1"/>
    <w:rsid w:val="007566ED"/>
    <w:rsid w:val="0075692D"/>
    <w:rsid w:val="007641FC"/>
    <w:rsid w:val="00767436"/>
    <w:rsid w:val="00767FE8"/>
    <w:rsid w:val="00780AC3"/>
    <w:rsid w:val="00782282"/>
    <w:rsid w:val="00783312"/>
    <w:rsid w:val="007849CB"/>
    <w:rsid w:val="00786807"/>
    <w:rsid w:val="007911D1"/>
    <w:rsid w:val="0079275F"/>
    <w:rsid w:val="007945C3"/>
    <w:rsid w:val="00794DEE"/>
    <w:rsid w:val="0079557A"/>
    <w:rsid w:val="00795DD1"/>
    <w:rsid w:val="00796034"/>
    <w:rsid w:val="007A0644"/>
    <w:rsid w:val="007A3E16"/>
    <w:rsid w:val="007A4777"/>
    <w:rsid w:val="007A7841"/>
    <w:rsid w:val="007B16AB"/>
    <w:rsid w:val="007B2085"/>
    <w:rsid w:val="007B285A"/>
    <w:rsid w:val="007B3D07"/>
    <w:rsid w:val="007B594C"/>
    <w:rsid w:val="007B6C7E"/>
    <w:rsid w:val="007C1EBC"/>
    <w:rsid w:val="007C23F0"/>
    <w:rsid w:val="007C3F9B"/>
    <w:rsid w:val="007C7F8C"/>
    <w:rsid w:val="007D2561"/>
    <w:rsid w:val="007D7295"/>
    <w:rsid w:val="007E281B"/>
    <w:rsid w:val="007E2AA1"/>
    <w:rsid w:val="007E4F3A"/>
    <w:rsid w:val="007F0E67"/>
    <w:rsid w:val="007F42A8"/>
    <w:rsid w:val="00800399"/>
    <w:rsid w:val="00800740"/>
    <w:rsid w:val="0080158A"/>
    <w:rsid w:val="00801965"/>
    <w:rsid w:val="00803B41"/>
    <w:rsid w:val="00805FA1"/>
    <w:rsid w:val="0081373E"/>
    <w:rsid w:val="00813872"/>
    <w:rsid w:val="008154BF"/>
    <w:rsid w:val="00816138"/>
    <w:rsid w:val="0081723D"/>
    <w:rsid w:val="00821113"/>
    <w:rsid w:val="0082333A"/>
    <w:rsid w:val="008242B1"/>
    <w:rsid w:val="008343FA"/>
    <w:rsid w:val="00834B08"/>
    <w:rsid w:val="00836D2F"/>
    <w:rsid w:val="00845BB9"/>
    <w:rsid w:val="00845C37"/>
    <w:rsid w:val="0085120A"/>
    <w:rsid w:val="00852387"/>
    <w:rsid w:val="00852B61"/>
    <w:rsid w:val="00853A16"/>
    <w:rsid w:val="00855C7E"/>
    <w:rsid w:val="008565B9"/>
    <w:rsid w:val="00863EC8"/>
    <w:rsid w:val="00864BF9"/>
    <w:rsid w:val="00864CCF"/>
    <w:rsid w:val="0086643D"/>
    <w:rsid w:val="008718CC"/>
    <w:rsid w:val="0087238E"/>
    <w:rsid w:val="00872A4D"/>
    <w:rsid w:val="00875FAB"/>
    <w:rsid w:val="00876C3C"/>
    <w:rsid w:val="0088044E"/>
    <w:rsid w:val="00880B42"/>
    <w:rsid w:val="00887649"/>
    <w:rsid w:val="00887ED5"/>
    <w:rsid w:val="00891050"/>
    <w:rsid w:val="00897881"/>
    <w:rsid w:val="00897AD2"/>
    <w:rsid w:val="008A1F8C"/>
    <w:rsid w:val="008A22E5"/>
    <w:rsid w:val="008A2D37"/>
    <w:rsid w:val="008A3C6B"/>
    <w:rsid w:val="008A3E02"/>
    <w:rsid w:val="008A4458"/>
    <w:rsid w:val="008A517D"/>
    <w:rsid w:val="008A7BC3"/>
    <w:rsid w:val="008B1012"/>
    <w:rsid w:val="008B1449"/>
    <w:rsid w:val="008B48FE"/>
    <w:rsid w:val="008B5AC0"/>
    <w:rsid w:val="008C0DAF"/>
    <w:rsid w:val="008C16C6"/>
    <w:rsid w:val="008C44D5"/>
    <w:rsid w:val="008C47C8"/>
    <w:rsid w:val="008C4C58"/>
    <w:rsid w:val="008D12C3"/>
    <w:rsid w:val="008D20AD"/>
    <w:rsid w:val="008D62DA"/>
    <w:rsid w:val="008D6FE9"/>
    <w:rsid w:val="008E2FF9"/>
    <w:rsid w:val="008E3071"/>
    <w:rsid w:val="008E3BDE"/>
    <w:rsid w:val="008E471A"/>
    <w:rsid w:val="008F645E"/>
    <w:rsid w:val="009034A8"/>
    <w:rsid w:val="00903CDE"/>
    <w:rsid w:val="00904D31"/>
    <w:rsid w:val="00907B48"/>
    <w:rsid w:val="00907BFD"/>
    <w:rsid w:val="00910D8F"/>
    <w:rsid w:val="0091201A"/>
    <w:rsid w:val="009125CC"/>
    <w:rsid w:val="009138D9"/>
    <w:rsid w:val="00913FA0"/>
    <w:rsid w:val="009156DA"/>
    <w:rsid w:val="00917F4D"/>
    <w:rsid w:val="00921FB1"/>
    <w:rsid w:val="00924D98"/>
    <w:rsid w:val="00924EF7"/>
    <w:rsid w:val="00925A48"/>
    <w:rsid w:val="009348DF"/>
    <w:rsid w:val="009377C3"/>
    <w:rsid w:val="00941B6C"/>
    <w:rsid w:val="00942882"/>
    <w:rsid w:val="00947CA9"/>
    <w:rsid w:val="00947E70"/>
    <w:rsid w:val="0095108A"/>
    <w:rsid w:val="00953105"/>
    <w:rsid w:val="0095361D"/>
    <w:rsid w:val="00954069"/>
    <w:rsid w:val="009562F9"/>
    <w:rsid w:val="00957179"/>
    <w:rsid w:val="00960A93"/>
    <w:rsid w:val="00963D76"/>
    <w:rsid w:val="0096454B"/>
    <w:rsid w:val="00964D66"/>
    <w:rsid w:val="00965E2C"/>
    <w:rsid w:val="00966C75"/>
    <w:rsid w:val="00971D56"/>
    <w:rsid w:val="00971D79"/>
    <w:rsid w:val="009730B6"/>
    <w:rsid w:val="0099771F"/>
    <w:rsid w:val="009A0703"/>
    <w:rsid w:val="009A185F"/>
    <w:rsid w:val="009A2638"/>
    <w:rsid w:val="009A5421"/>
    <w:rsid w:val="009A5DB3"/>
    <w:rsid w:val="009B17B0"/>
    <w:rsid w:val="009B4853"/>
    <w:rsid w:val="009B4FFA"/>
    <w:rsid w:val="009B6F04"/>
    <w:rsid w:val="009B7083"/>
    <w:rsid w:val="009B7AB1"/>
    <w:rsid w:val="009B7B22"/>
    <w:rsid w:val="009C3E2D"/>
    <w:rsid w:val="009C5D28"/>
    <w:rsid w:val="009D0560"/>
    <w:rsid w:val="009D095B"/>
    <w:rsid w:val="009D2BAA"/>
    <w:rsid w:val="009D3B7E"/>
    <w:rsid w:val="009D42B9"/>
    <w:rsid w:val="009D5740"/>
    <w:rsid w:val="009D682F"/>
    <w:rsid w:val="009E1A7F"/>
    <w:rsid w:val="009E1CA6"/>
    <w:rsid w:val="009E4A33"/>
    <w:rsid w:val="009F2918"/>
    <w:rsid w:val="009F6097"/>
    <w:rsid w:val="00A00B94"/>
    <w:rsid w:val="00A04A8A"/>
    <w:rsid w:val="00A1085F"/>
    <w:rsid w:val="00A10BD9"/>
    <w:rsid w:val="00A13048"/>
    <w:rsid w:val="00A16156"/>
    <w:rsid w:val="00A165DB"/>
    <w:rsid w:val="00A20CEF"/>
    <w:rsid w:val="00A212A1"/>
    <w:rsid w:val="00A23AA4"/>
    <w:rsid w:val="00A264DA"/>
    <w:rsid w:val="00A31477"/>
    <w:rsid w:val="00A400E8"/>
    <w:rsid w:val="00A42971"/>
    <w:rsid w:val="00A429CB"/>
    <w:rsid w:val="00A43E1F"/>
    <w:rsid w:val="00A44DC5"/>
    <w:rsid w:val="00A4523B"/>
    <w:rsid w:val="00A468B4"/>
    <w:rsid w:val="00A47792"/>
    <w:rsid w:val="00A50E0B"/>
    <w:rsid w:val="00A50F86"/>
    <w:rsid w:val="00A56986"/>
    <w:rsid w:val="00A6197E"/>
    <w:rsid w:val="00A62A48"/>
    <w:rsid w:val="00A6551F"/>
    <w:rsid w:val="00A66890"/>
    <w:rsid w:val="00A66918"/>
    <w:rsid w:val="00A66F72"/>
    <w:rsid w:val="00A67C75"/>
    <w:rsid w:val="00A67D3D"/>
    <w:rsid w:val="00A72521"/>
    <w:rsid w:val="00A75D77"/>
    <w:rsid w:val="00A75FA5"/>
    <w:rsid w:val="00A77AD6"/>
    <w:rsid w:val="00A81A72"/>
    <w:rsid w:val="00A8205C"/>
    <w:rsid w:val="00A84013"/>
    <w:rsid w:val="00A84469"/>
    <w:rsid w:val="00A85099"/>
    <w:rsid w:val="00A906EA"/>
    <w:rsid w:val="00A92ECE"/>
    <w:rsid w:val="00A958E5"/>
    <w:rsid w:val="00A96292"/>
    <w:rsid w:val="00A96F92"/>
    <w:rsid w:val="00A97CA2"/>
    <w:rsid w:val="00AA1FEB"/>
    <w:rsid w:val="00AA3C99"/>
    <w:rsid w:val="00AB0188"/>
    <w:rsid w:val="00AB0C1C"/>
    <w:rsid w:val="00AB0D1C"/>
    <w:rsid w:val="00AB1EE3"/>
    <w:rsid w:val="00AB70AF"/>
    <w:rsid w:val="00AC109A"/>
    <w:rsid w:val="00AC11C3"/>
    <w:rsid w:val="00AC205F"/>
    <w:rsid w:val="00AC3FE4"/>
    <w:rsid w:val="00AD053E"/>
    <w:rsid w:val="00AD63EC"/>
    <w:rsid w:val="00AD6BB3"/>
    <w:rsid w:val="00AD7B95"/>
    <w:rsid w:val="00AE044C"/>
    <w:rsid w:val="00AE1821"/>
    <w:rsid w:val="00AE2155"/>
    <w:rsid w:val="00AE301D"/>
    <w:rsid w:val="00AE31E0"/>
    <w:rsid w:val="00AE32CF"/>
    <w:rsid w:val="00AE3D1D"/>
    <w:rsid w:val="00AE4998"/>
    <w:rsid w:val="00AE4CA5"/>
    <w:rsid w:val="00AE5D1A"/>
    <w:rsid w:val="00AE614C"/>
    <w:rsid w:val="00AE78C0"/>
    <w:rsid w:val="00AF29E2"/>
    <w:rsid w:val="00AF4BC8"/>
    <w:rsid w:val="00AF4C3C"/>
    <w:rsid w:val="00AF4F67"/>
    <w:rsid w:val="00AF51DB"/>
    <w:rsid w:val="00B01F99"/>
    <w:rsid w:val="00B02A14"/>
    <w:rsid w:val="00B05887"/>
    <w:rsid w:val="00B065E4"/>
    <w:rsid w:val="00B06693"/>
    <w:rsid w:val="00B127F2"/>
    <w:rsid w:val="00B12F9D"/>
    <w:rsid w:val="00B14789"/>
    <w:rsid w:val="00B205D6"/>
    <w:rsid w:val="00B209AD"/>
    <w:rsid w:val="00B23543"/>
    <w:rsid w:val="00B23C1B"/>
    <w:rsid w:val="00B240C5"/>
    <w:rsid w:val="00B2594A"/>
    <w:rsid w:val="00B25E95"/>
    <w:rsid w:val="00B278FB"/>
    <w:rsid w:val="00B31CC2"/>
    <w:rsid w:val="00B326D7"/>
    <w:rsid w:val="00B35293"/>
    <w:rsid w:val="00B37333"/>
    <w:rsid w:val="00B41CAC"/>
    <w:rsid w:val="00B42560"/>
    <w:rsid w:val="00B4339B"/>
    <w:rsid w:val="00B43520"/>
    <w:rsid w:val="00B437FB"/>
    <w:rsid w:val="00B50ADC"/>
    <w:rsid w:val="00B53120"/>
    <w:rsid w:val="00B576BE"/>
    <w:rsid w:val="00B61392"/>
    <w:rsid w:val="00B6254F"/>
    <w:rsid w:val="00B6496E"/>
    <w:rsid w:val="00B650BE"/>
    <w:rsid w:val="00B66FC6"/>
    <w:rsid w:val="00B67009"/>
    <w:rsid w:val="00B70591"/>
    <w:rsid w:val="00B71E16"/>
    <w:rsid w:val="00B729DE"/>
    <w:rsid w:val="00B7671A"/>
    <w:rsid w:val="00B80050"/>
    <w:rsid w:val="00B851E4"/>
    <w:rsid w:val="00B8799C"/>
    <w:rsid w:val="00B87A17"/>
    <w:rsid w:val="00B91F8B"/>
    <w:rsid w:val="00B92CAE"/>
    <w:rsid w:val="00B951BB"/>
    <w:rsid w:val="00B95C3D"/>
    <w:rsid w:val="00B9764E"/>
    <w:rsid w:val="00BA07A9"/>
    <w:rsid w:val="00BA2E21"/>
    <w:rsid w:val="00BA3ABD"/>
    <w:rsid w:val="00BA41B0"/>
    <w:rsid w:val="00BA4D49"/>
    <w:rsid w:val="00BA4E6D"/>
    <w:rsid w:val="00BA5B74"/>
    <w:rsid w:val="00BB2FD9"/>
    <w:rsid w:val="00BB33DA"/>
    <w:rsid w:val="00BB3797"/>
    <w:rsid w:val="00BB4618"/>
    <w:rsid w:val="00BC15A3"/>
    <w:rsid w:val="00BC23CC"/>
    <w:rsid w:val="00BC4E53"/>
    <w:rsid w:val="00BC7C31"/>
    <w:rsid w:val="00BD09AB"/>
    <w:rsid w:val="00BD5B2F"/>
    <w:rsid w:val="00BD71E2"/>
    <w:rsid w:val="00BD7963"/>
    <w:rsid w:val="00BE13D3"/>
    <w:rsid w:val="00BE1C0C"/>
    <w:rsid w:val="00BE5018"/>
    <w:rsid w:val="00BE5309"/>
    <w:rsid w:val="00BF2DEB"/>
    <w:rsid w:val="00BF2E24"/>
    <w:rsid w:val="00BF3602"/>
    <w:rsid w:val="00BF46A1"/>
    <w:rsid w:val="00BF494C"/>
    <w:rsid w:val="00BF7E39"/>
    <w:rsid w:val="00C052C5"/>
    <w:rsid w:val="00C06F81"/>
    <w:rsid w:val="00C10DC0"/>
    <w:rsid w:val="00C15A11"/>
    <w:rsid w:val="00C16CAE"/>
    <w:rsid w:val="00C20CC7"/>
    <w:rsid w:val="00C215CB"/>
    <w:rsid w:val="00C22FE5"/>
    <w:rsid w:val="00C24955"/>
    <w:rsid w:val="00C30C79"/>
    <w:rsid w:val="00C31073"/>
    <w:rsid w:val="00C334C8"/>
    <w:rsid w:val="00C338FE"/>
    <w:rsid w:val="00C33C76"/>
    <w:rsid w:val="00C35E8A"/>
    <w:rsid w:val="00C364CA"/>
    <w:rsid w:val="00C42FD7"/>
    <w:rsid w:val="00C46FF5"/>
    <w:rsid w:val="00C51469"/>
    <w:rsid w:val="00C52CED"/>
    <w:rsid w:val="00C548DC"/>
    <w:rsid w:val="00C5491C"/>
    <w:rsid w:val="00C600D8"/>
    <w:rsid w:val="00C60DE5"/>
    <w:rsid w:val="00C61A50"/>
    <w:rsid w:val="00C62850"/>
    <w:rsid w:val="00C629B6"/>
    <w:rsid w:val="00C64C1A"/>
    <w:rsid w:val="00C65CE7"/>
    <w:rsid w:val="00C71CF9"/>
    <w:rsid w:val="00C752E4"/>
    <w:rsid w:val="00C81401"/>
    <w:rsid w:val="00C82968"/>
    <w:rsid w:val="00C830D9"/>
    <w:rsid w:val="00C84C89"/>
    <w:rsid w:val="00C868B1"/>
    <w:rsid w:val="00C86980"/>
    <w:rsid w:val="00C93677"/>
    <w:rsid w:val="00C964F8"/>
    <w:rsid w:val="00CA6AAB"/>
    <w:rsid w:val="00CA725A"/>
    <w:rsid w:val="00CB36D8"/>
    <w:rsid w:val="00CC0D23"/>
    <w:rsid w:val="00CC3A7C"/>
    <w:rsid w:val="00CC4676"/>
    <w:rsid w:val="00CC6F9C"/>
    <w:rsid w:val="00CD286E"/>
    <w:rsid w:val="00CD2979"/>
    <w:rsid w:val="00CD3F2B"/>
    <w:rsid w:val="00CD59E9"/>
    <w:rsid w:val="00CE1757"/>
    <w:rsid w:val="00CE21CD"/>
    <w:rsid w:val="00CE3938"/>
    <w:rsid w:val="00CE401B"/>
    <w:rsid w:val="00CF247E"/>
    <w:rsid w:val="00CF2FD3"/>
    <w:rsid w:val="00CF4C51"/>
    <w:rsid w:val="00CF4C67"/>
    <w:rsid w:val="00D027FB"/>
    <w:rsid w:val="00D0339D"/>
    <w:rsid w:val="00D04E52"/>
    <w:rsid w:val="00D05F39"/>
    <w:rsid w:val="00D061A8"/>
    <w:rsid w:val="00D10734"/>
    <w:rsid w:val="00D14535"/>
    <w:rsid w:val="00D147E3"/>
    <w:rsid w:val="00D23B85"/>
    <w:rsid w:val="00D30190"/>
    <w:rsid w:val="00D31567"/>
    <w:rsid w:val="00D33CDA"/>
    <w:rsid w:val="00D341AB"/>
    <w:rsid w:val="00D4001B"/>
    <w:rsid w:val="00D40927"/>
    <w:rsid w:val="00D41906"/>
    <w:rsid w:val="00D431D7"/>
    <w:rsid w:val="00D44719"/>
    <w:rsid w:val="00D44B3B"/>
    <w:rsid w:val="00D46915"/>
    <w:rsid w:val="00D50286"/>
    <w:rsid w:val="00D52A6B"/>
    <w:rsid w:val="00D52BBE"/>
    <w:rsid w:val="00D5469A"/>
    <w:rsid w:val="00D55778"/>
    <w:rsid w:val="00D55F2C"/>
    <w:rsid w:val="00D61E64"/>
    <w:rsid w:val="00D61E9F"/>
    <w:rsid w:val="00D62347"/>
    <w:rsid w:val="00D633DA"/>
    <w:rsid w:val="00D6766F"/>
    <w:rsid w:val="00D728FF"/>
    <w:rsid w:val="00D74747"/>
    <w:rsid w:val="00D80599"/>
    <w:rsid w:val="00D818E2"/>
    <w:rsid w:val="00D82779"/>
    <w:rsid w:val="00D8347E"/>
    <w:rsid w:val="00D91178"/>
    <w:rsid w:val="00D92101"/>
    <w:rsid w:val="00D95028"/>
    <w:rsid w:val="00D96B9F"/>
    <w:rsid w:val="00D97770"/>
    <w:rsid w:val="00DA1677"/>
    <w:rsid w:val="00DA6DFF"/>
    <w:rsid w:val="00DB1A1D"/>
    <w:rsid w:val="00DB1AC6"/>
    <w:rsid w:val="00DB1F5A"/>
    <w:rsid w:val="00DB36AD"/>
    <w:rsid w:val="00DB3852"/>
    <w:rsid w:val="00DB4FB9"/>
    <w:rsid w:val="00DC0A58"/>
    <w:rsid w:val="00DC201E"/>
    <w:rsid w:val="00DC3D0D"/>
    <w:rsid w:val="00DC4261"/>
    <w:rsid w:val="00DD04F1"/>
    <w:rsid w:val="00DD328E"/>
    <w:rsid w:val="00DD43F2"/>
    <w:rsid w:val="00DD5839"/>
    <w:rsid w:val="00DD6E1F"/>
    <w:rsid w:val="00DD6FE9"/>
    <w:rsid w:val="00DE0337"/>
    <w:rsid w:val="00DE1B7F"/>
    <w:rsid w:val="00DE4126"/>
    <w:rsid w:val="00DE5A03"/>
    <w:rsid w:val="00DF021C"/>
    <w:rsid w:val="00DF0478"/>
    <w:rsid w:val="00DF213B"/>
    <w:rsid w:val="00DF2E51"/>
    <w:rsid w:val="00DF4400"/>
    <w:rsid w:val="00DF4E5A"/>
    <w:rsid w:val="00DF6FEB"/>
    <w:rsid w:val="00E0113C"/>
    <w:rsid w:val="00E01411"/>
    <w:rsid w:val="00E02E48"/>
    <w:rsid w:val="00E0488A"/>
    <w:rsid w:val="00E1236F"/>
    <w:rsid w:val="00E1505B"/>
    <w:rsid w:val="00E240C2"/>
    <w:rsid w:val="00E2434B"/>
    <w:rsid w:val="00E30FC3"/>
    <w:rsid w:val="00E33232"/>
    <w:rsid w:val="00E34DBD"/>
    <w:rsid w:val="00E34F2B"/>
    <w:rsid w:val="00E41164"/>
    <w:rsid w:val="00E42283"/>
    <w:rsid w:val="00E4361B"/>
    <w:rsid w:val="00E46DF5"/>
    <w:rsid w:val="00E52419"/>
    <w:rsid w:val="00E54235"/>
    <w:rsid w:val="00E5467B"/>
    <w:rsid w:val="00E61E04"/>
    <w:rsid w:val="00E648CF"/>
    <w:rsid w:val="00E70706"/>
    <w:rsid w:val="00E714F2"/>
    <w:rsid w:val="00E72A66"/>
    <w:rsid w:val="00E7484E"/>
    <w:rsid w:val="00E76616"/>
    <w:rsid w:val="00E808A1"/>
    <w:rsid w:val="00E83B60"/>
    <w:rsid w:val="00E848FD"/>
    <w:rsid w:val="00E8690C"/>
    <w:rsid w:val="00E91148"/>
    <w:rsid w:val="00E91452"/>
    <w:rsid w:val="00E91C33"/>
    <w:rsid w:val="00E92BE2"/>
    <w:rsid w:val="00E932C1"/>
    <w:rsid w:val="00E966AA"/>
    <w:rsid w:val="00EA057B"/>
    <w:rsid w:val="00EA0EB7"/>
    <w:rsid w:val="00EA1348"/>
    <w:rsid w:val="00EA3BD8"/>
    <w:rsid w:val="00EA68BA"/>
    <w:rsid w:val="00EA77FB"/>
    <w:rsid w:val="00EB13F5"/>
    <w:rsid w:val="00EB2592"/>
    <w:rsid w:val="00EB34DD"/>
    <w:rsid w:val="00EB7DD7"/>
    <w:rsid w:val="00EB7FC6"/>
    <w:rsid w:val="00EC0001"/>
    <w:rsid w:val="00EC1A4F"/>
    <w:rsid w:val="00EC26E7"/>
    <w:rsid w:val="00EC3CB8"/>
    <w:rsid w:val="00EC616A"/>
    <w:rsid w:val="00ED00DE"/>
    <w:rsid w:val="00ED03D1"/>
    <w:rsid w:val="00ED4C62"/>
    <w:rsid w:val="00ED4F0E"/>
    <w:rsid w:val="00ED5497"/>
    <w:rsid w:val="00ED586E"/>
    <w:rsid w:val="00ED60F1"/>
    <w:rsid w:val="00EE1AF6"/>
    <w:rsid w:val="00EE3B3F"/>
    <w:rsid w:val="00EE63CB"/>
    <w:rsid w:val="00EE6849"/>
    <w:rsid w:val="00EF1151"/>
    <w:rsid w:val="00EF3350"/>
    <w:rsid w:val="00EF506E"/>
    <w:rsid w:val="00EF7D2B"/>
    <w:rsid w:val="00F00808"/>
    <w:rsid w:val="00F029BE"/>
    <w:rsid w:val="00F10AB0"/>
    <w:rsid w:val="00F11E81"/>
    <w:rsid w:val="00F14398"/>
    <w:rsid w:val="00F15A0C"/>
    <w:rsid w:val="00F20682"/>
    <w:rsid w:val="00F20F7B"/>
    <w:rsid w:val="00F23729"/>
    <w:rsid w:val="00F23AF7"/>
    <w:rsid w:val="00F24B9C"/>
    <w:rsid w:val="00F24DC8"/>
    <w:rsid w:val="00F251CB"/>
    <w:rsid w:val="00F26FD1"/>
    <w:rsid w:val="00F275B7"/>
    <w:rsid w:val="00F406E6"/>
    <w:rsid w:val="00F41CC1"/>
    <w:rsid w:val="00F41E8F"/>
    <w:rsid w:val="00F42399"/>
    <w:rsid w:val="00F43360"/>
    <w:rsid w:val="00F44F76"/>
    <w:rsid w:val="00F45219"/>
    <w:rsid w:val="00F504AD"/>
    <w:rsid w:val="00F5149F"/>
    <w:rsid w:val="00F51B1C"/>
    <w:rsid w:val="00F52718"/>
    <w:rsid w:val="00F54B09"/>
    <w:rsid w:val="00F5501C"/>
    <w:rsid w:val="00F55343"/>
    <w:rsid w:val="00F5542B"/>
    <w:rsid w:val="00F56160"/>
    <w:rsid w:val="00F576D6"/>
    <w:rsid w:val="00F60A11"/>
    <w:rsid w:val="00F62103"/>
    <w:rsid w:val="00F62699"/>
    <w:rsid w:val="00F66FE1"/>
    <w:rsid w:val="00F710EA"/>
    <w:rsid w:val="00F72073"/>
    <w:rsid w:val="00F74E06"/>
    <w:rsid w:val="00F76320"/>
    <w:rsid w:val="00F91F34"/>
    <w:rsid w:val="00F931D8"/>
    <w:rsid w:val="00F93A56"/>
    <w:rsid w:val="00F95940"/>
    <w:rsid w:val="00FA2E3C"/>
    <w:rsid w:val="00FA3314"/>
    <w:rsid w:val="00FB0155"/>
    <w:rsid w:val="00FB23BD"/>
    <w:rsid w:val="00FB24BC"/>
    <w:rsid w:val="00FB47C2"/>
    <w:rsid w:val="00FB767E"/>
    <w:rsid w:val="00FC2EC4"/>
    <w:rsid w:val="00FC332A"/>
    <w:rsid w:val="00FC47AF"/>
    <w:rsid w:val="00FD2105"/>
    <w:rsid w:val="00FE600A"/>
    <w:rsid w:val="00FE7275"/>
    <w:rsid w:val="00FF2365"/>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A27E"/>
  <w15:docId w15:val="{B8FEFBC2-06F5-42A7-A664-1DE37498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083"/>
    <w:pPr>
      <w:spacing w:after="0" w:line="240" w:lineRule="auto"/>
    </w:pPr>
    <w:rPr>
      <w:lang w:val="en-GB"/>
    </w:rPr>
  </w:style>
  <w:style w:type="paragraph" w:styleId="Heading1">
    <w:name w:val="heading 1"/>
    <w:basedOn w:val="Normal"/>
    <w:next w:val="Normal"/>
    <w:link w:val="Heading1Char"/>
    <w:uiPriority w:val="9"/>
    <w:qFormat/>
    <w:rsid w:val="005F2C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E8"/>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C11"/>
    <w:rPr>
      <w:b/>
      <w:bCs/>
    </w:rPr>
  </w:style>
  <w:style w:type="character" w:styleId="Hyperlink">
    <w:name w:val="Hyperlink"/>
    <w:basedOn w:val="DefaultParagraphFont"/>
    <w:uiPriority w:val="99"/>
    <w:unhideWhenUsed/>
    <w:rsid w:val="005F2C11"/>
    <w:rPr>
      <w:color w:val="0000FF"/>
      <w:u w:val="single"/>
    </w:rPr>
  </w:style>
  <w:style w:type="character" w:customStyle="1" w:styleId="Heading1Char">
    <w:name w:val="Heading 1 Char"/>
    <w:basedOn w:val="DefaultParagraphFont"/>
    <w:link w:val="Heading1"/>
    <w:uiPriority w:val="9"/>
    <w:rsid w:val="005F2C1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5906"/>
    <w:rPr>
      <w:color w:val="954F72" w:themeColor="followedHyperlink"/>
      <w:u w:val="single"/>
    </w:rPr>
  </w:style>
  <w:style w:type="character" w:customStyle="1" w:styleId="UnresolvedMention1">
    <w:name w:val="Unresolved Mention1"/>
    <w:basedOn w:val="DefaultParagraphFont"/>
    <w:uiPriority w:val="99"/>
    <w:semiHidden/>
    <w:unhideWhenUsed/>
    <w:rsid w:val="001D5906"/>
    <w:rPr>
      <w:color w:val="808080"/>
      <w:shd w:val="clear" w:color="auto" w:fill="E6E6E6"/>
    </w:rPr>
  </w:style>
  <w:style w:type="character" w:customStyle="1" w:styleId="Heading2Char">
    <w:name w:val="Heading 2 Char"/>
    <w:basedOn w:val="DefaultParagraphFont"/>
    <w:link w:val="Heading2"/>
    <w:uiPriority w:val="9"/>
    <w:rsid w:val="00767FE8"/>
    <w:rPr>
      <w:rFonts w:asciiTheme="majorHAnsi" w:eastAsiaTheme="majorEastAsia" w:hAnsiTheme="majorHAnsi" w:cstheme="majorBidi"/>
      <w:color w:val="2F5496" w:themeColor="accent1" w:themeShade="BF"/>
      <w:sz w:val="26"/>
      <w:szCs w:val="26"/>
      <w:lang w:val="en-GB"/>
    </w:rPr>
  </w:style>
  <w:style w:type="character" w:customStyle="1" w:styleId="FootnoteTextChar">
    <w:name w:val="Footnote Text Char"/>
    <w:aliases w:val="EPRG Footnote text Char"/>
    <w:basedOn w:val="DefaultParagraphFont"/>
    <w:link w:val="FootnoteText"/>
    <w:uiPriority w:val="99"/>
    <w:semiHidden/>
    <w:locked/>
    <w:rsid w:val="00767FE8"/>
    <w:rPr>
      <w:sz w:val="20"/>
      <w:szCs w:val="20"/>
    </w:rPr>
  </w:style>
  <w:style w:type="paragraph" w:styleId="FootnoteText">
    <w:name w:val="footnote text"/>
    <w:aliases w:val="EPRG Footnote text"/>
    <w:basedOn w:val="Normal"/>
    <w:link w:val="FootnoteTextChar"/>
    <w:uiPriority w:val="99"/>
    <w:semiHidden/>
    <w:unhideWhenUsed/>
    <w:rsid w:val="00767FE8"/>
    <w:rPr>
      <w:sz w:val="20"/>
      <w:szCs w:val="20"/>
    </w:rPr>
  </w:style>
  <w:style w:type="character" w:customStyle="1" w:styleId="FootnoteTextChar1">
    <w:name w:val="Footnote Text Char1"/>
    <w:basedOn w:val="DefaultParagraphFont"/>
    <w:uiPriority w:val="99"/>
    <w:semiHidden/>
    <w:rsid w:val="00767FE8"/>
    <w:rPr>
      <w:sz w:val="20"/>
      <w:szCs w:val="20"/>
    </w:rPr>
  </w:style>
  <w:style w:type="paragraph" w:styleId="Caption">
    <w:name w:val="caption"/>
    <w:basedOn w:val="Normal"/>
    <w:next w:val="Normal"/>
    <w:uiPriority w:val="35"/>
    <w:unhideWhenUsed/>
    <w:qFormat/>
    <w:rsid w:val="00767FE8"/>
    <w:pPr>
      <w:spacing w:after="200"/>
    </w:pPr>
    <w:rPr>
      <w:b/>
      <w:bCs/>
      <w:color w:val="4472C4" w:themeColor="accent1"/>
      <w:sz w:val="18"/>
      <w:szCs w:val="18"/>
    </w:rPr>
  </w:style>
  <w:style w:type="paragraph" w:styleId="EndnoteText">
    <w:name w:val="endnote text"/>
    <w:basedOn w:val="Normal"/>
    <w:link w:val="EndnoteTextChar"/>
    <w:uiPriority w:val="99"/>
    <w:semiHidden/>
    <w:unhideWhenUsed/>
    <w:rsid w:val="00767FE8"/>
    <w:rPr>
      <w:sz w:val="20"/>
      <w:szCs w:val="20"/>
    </w:rPr>
  </w:style>
  <w:style w:type="character" w:customStyle="1" w:styleId="EndnoteTextChar">
    <w:name w:val="Endnote Text Char"/>
    <w:basedOn w:val="DefaultParagraphFont"/>
    <w:link w:val="EndnoteText"/>
    <w:uiPriority w:val="99"/>
    <w:semiHidden/>
    <w:rsid w:val="00767FE8"/>
    <w:rPr>
      <w:sz w:val="20"/>
      <w:szCs w:val="20"/>
      <w:lang w:val="en-GB"/>
    </w:rPr>
  </w:style>
  <w:style w:type="paragraph" w:styleId="NoSpacing">
    <w:name w:val="No Spacing"/>
    <w:uiPriority w:val="1"/>
    <w:qFormat/>
    <w:rsid w:val="00767FE8"/>
    <w:pPr>
      <w:spacing w:after="0" w:line="240" w:lineRule="auto"/>
    </w:pPr>
    <w:rPr>
      <w:lang w:val="en-GB"/>
    </w:rPr>
  </w:style>
  <w:style w:type="paragraph" w:styleId="ListParagraph">
    <w:name w:val="List Paragraph"/>
    <w:basedOn w:val="Normal"/>
    <w:uiPriority w:val="34"/>
    <w:qFormat/>
    <w:rsid w:val="00767FE8"/>
    <w:pPr>
      <w:spacing w:after="200" w:line="276" w:lineRule="auto"/>
      <w:ind w:left="720"/>
      <w:contextualSpacing/>
    </w:pPr>
  </w:style>
  <w:style w:type="character" w:styleId="FootnoteReference">
    <w:name w:val="footnote reference"/>
    <w:basedOn w:val="DefaultParagraphFont"/>
    <w:uiPriority w:val="99"/>
    <w:semiHidden/>
    <w:unhideWhenUsed/>
    <w:rsid w:val="00767FE8"/>
    <w:rPr>
      <w:vertAlign w:val="superscript"/>
    </w:rPr>
  </w:style>
  <w:style w:type="character" w:styleId="EndnoteReference">
    <w:name w:val="endnote reference"/>
    <w:basedOn w:val="DefaultParagraphFont"/>
    <w:uiPriority w:val="99"/>
    <w:semiHidden/>
    <w:unhideWhenUsed/>
    <w:rsid w:val="00767FE8"/>
    <w:rPr>
      <w:vertAlign w:val="superscript"/>
    </w:rPr>
  </w:style>
  <w:style w:type="table" w:styleId="TableGrid">
    <w:name w:val="Table Grid"/>
    <w:basedOn w:val="TableNormal"/>
    <w:uiPriority w:val="59"/>
    <w:rsid w:val="00767FE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67FE8"/>
    <w:pPr>
      <w:spacing w:after="0" w:line="240" w:lineRule="auto"/>
    </w:pPr>
    <w:rPr>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F29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9E2"/>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sid w:val="00265A5A"/>
    <w:pPr>
      <w:spacing w:after="160"/>
    </w:pPr>
    <w:rPr>
      <w:sz w:val="20"/>
      <w:szCs w:val="20"/>
    </w:rPr>
  </w:style>
  <w:style w:type="character" w:customStyle="1" w:styleId="CommentTextChar">
    <w:name w:val="Comment Text Char"/>
    <w:basedOn w:val="DefaultParagraphFont"/>
    <w:link w:val="CommentText"/>
    <w:uiPriority w:val="99"/>
    <w:semiHidden/>
    <w:rsid w:val="00265A5A"/>
    <w:rPr>
      <w:sz w:val="20"/>
      <w:szCs w:val="20"/>
      <w:lang w:val="en-GB"/>
    </w:rPr>
  </w:style>
  <w:style w:type="character" w:styleId="CommentReference">
    <w:name w:val="annotation reference"/>
    <w:basedOn w:val="DefaultParagraphFont"/>
    <w:uiPriority w:val="99"/>
    <w:semiHidden/>
    <w:unhideWhenUsed/>
    <w:rsid w:val="00265A5A"/>
    <w:rPr>
      <w:sz w:val="16"/>
      <w:szCs w:val="16"/>
    </w:rPr>
  </w:style>
  <w:style w:type="paragraph" w:styleId="BalloonText">
    <w:name w:val="Balloon Text"/>
    <w:basedOn w:val="Normal"/>
    <w:link w:val="BalloonTextChar"/>
    <w:uiPriority w:val="99"/>
    <w:semiHidden/>
    <w:unhideWhenUsed/>
    <w:rsid w:val="0026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5A"/>
    <w:rPr>
      <w:rFonts w:ascii="Segoe UI" w:hAnsi="Segoe UI" w:cs="Segoe UI"/>
      <w:sz w:val="18"/>
      <w:szCs w:val="18"/>
    </w:rPr>
  </w:style>
  <w:style w:type="character" w:customStyle="1" w:styleId="title-text">
    <w:name w:val="title-text"/>
    <w:basedOn w:val="DefaultParagraphFont"/>
    <w:rsid w:val="003A217E"/>
  </w:style>
  <w:style w:type="character" w:customStyle="1" w:styleId="sr-only">
    <w:name w:val="sr-only"/>
    <w:basedOn w:val="DefaultParagraphFont"/>
    <w:rsid w:val="003A217E"/>
  </w:style>
  <w:style w:type="character" w:customStyle="1" w:styleId="text">
    <w:name w:val="text"/>
    <w:basedOn w:val="DefaultParagraphFont"/>
    <w:rsid w:val="003A217E"/>
  </w:style>
  <w:style w:type="paragraph" w:styleId="NormalWeb">
    <w:name w:val="Normal (Web)"/>
    <w:basedOn w:val="Normal"/>
    <w:uiPriority w:val="99"/>
    <w:semiHidden/>
    <w:unhideWhenUsed/>
    <w:rsid w:val="000341C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7BEB"/>
    <w:pPr>
      <w:tabs>
        <w:tab w:val="center" w:pos="4680"/>
        <w:tab w:val="right" w:pos="9360"/>
      </w:tabs>
    </w:pPr>
  </w:style>
  <w:style w:type="character" w:customStyle="1" w:styleId="HeaderChar">
    <w:name w:val="Header Char"/>
    <w:basedOn w:val="DefaultParagraphFont"/>
    <w:link w:val="Header"/>
    <w:uiPriority w:val="99"/>
    <w:rsid w:val="00127BEB"/>
  </w:style>
  <w:style w:type="paragraph" w:styleId="Footer">
    <w:name w:val="footer"/>
    <w:basedOn w:val="Normal"/>
    <w:link w:val="FooterChar"/>
    <w:uiPriority w:val="99"/>
    <w:unhideWhenUsed/>
    <w:rsid w:val="00127BEB"/>
    <w:pPr>
      <w:tabs>
        <w:tab w:val="center" w:pos="4680"/>
        <w:tab w:val="right" w:pos="9360"/>
      </w:tabs>
    </w:pPr>
  </w:style>
  <w:style w:type="character" w:customStyle="1" w:styleId="FooterChar">
    <w:name w:val="Footer Char"/>
    <w:basedOn w:val="DefaultParagraphFont"/>
    <w:link w:val="Footer"/>
    <w:uiPriority w:val="99"/>
    <w:rsid w:val="00127BEB"/>
  </w:style>
  <w:style w:type="paragraph" w:styleId="CommentSubject">
    <w:name w:val="annotation subject"/>
    <w:basedOn w:val="CommentText"/>
    <w:next w:val="CommentText"/>
    <w:link w:val="CommentSubjectChar"/>
    <w:uiPriority w:val="99"/>
    <w:semiHidden/>
    <w:unhideWhenUsed/>
    <w:rsid w:val="00D061A8"/>
    <w:pPr>
      <w:spacing w:after="0"/>
    </w:pPr>
    <w:rPr>
      <w:b/>
      <w:bCs/>
      <w:lang w:val="en-US"/>
    </w:rPr>
  </w:style>
  <w:style w:type="character" w:customStyle="1" w:styleId="CommentSubjectChar">
    <w:name w:val="Comment Subject Char"/>
    <w:basedOn w:val="CommentTextChar"/>
    <w:link w:val="CommentSubject"/>
    <w:uiPriority w:val="99"/>
    <w:semiHidden/>
    <w:rsid w:val="00D061A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43">
      <w:bodyDiv w:val="1"/>
      <w:marLeft w:val="0"/>
      <w:marRight w:val="0"/>
      <w:marTop w:val="0"/>
      <w:marBottom w:val="0"/>
      <w:divBdr>
        <w:top w:val="none" w:sz="0" w:space="0" w:color="auto"/>
        <w:left w:val="none" w:sz="0" w:space="0" w:color="auto"/>
        <w:bottom w:val="none" w:sz="0" w:space="0" w:color="auto"/>
        <w:right w:val="none" w:sz="0" w:space="0" w:color="auto"/>
      </w:divBdr>
    </w:div>
    <w:div w:id="41755094">
      <w:bodyDiv w:val="1"/>
      <w:marLeft w:val="0"/>
      <w:marRight w:val="0"/>
      <w:marTop w:val="0"/>
      <w:marBottom w:val="0"/>
      <w:divBdr>
        <w:top w:val="none" w:sz="0" w:space="0" w:color="auto"/>
        <w:left w:val="none" w:sz="0" w:space="0" w:color="auto"/>
        <w:bottom w:val="none" w:sz="0" w:space="0" w:color="auto"/>
        <w:right w:val="none" w:sz="0" w:space="0" w:color="auto"/>
      </w:divBdr>
    </w:div>
    <w:div w:id="167867675">
      <w:bodyDiv w:val="1"/>
      <w:marLeft w:val="0"/>
      <w:marRight w:val="0"/>
      <w:marTop w:val="0"/>
      <w:marBottom w:val="0"/>
      <w:divBdr>
        <w:top w:val="none" w:sz="0" w:space="0" w:color="auto"/>
        <w:left w:val="none" w:sz="0" w:space="0" w:color="auto"/>
        <w:bottom w:val="none" w:sz="0" w:space="0" w:color="auto"/>
        <w:right w:val="none" w:sz="0" w:space="0" w:color="auto"/>
      </w:divBdr>
    </w:div>
    <w:div w:id="292293097">
      <w:bodyDiv w:val="1"/>
      <w:marLeft w:val="0"/>
      <w:marRight w:val="0"/>
      <w:marTop w:val="0"/>
      <w:marBottom w:val="0"/>
      <w:divBdr>
        <w:top w:val="none" w:sz="0" w:space="0" w:color="auto"/>
        <w:left w:val="none" w:sz="0" w:space="0" w:color="auto"/>
        <w:bottom w:val="none" w:sz="0" w:space="0" w:color="auto"/>
        <w:right w:val="none" w:sz="0" w:space="0" w:color="auto"/>
      </w:divBdr>
      <w:divsChild>
        <w:div w:id="1132555842">
          <w:marLeft w:val="0"/>
          <w:marRight w:val="0"/>
          <w:marTop w:val="0"/>
          <w:marBottom w:val="0"/>
          <w:divBdr>
            <w:top w:val="none" w:sz="0" w:space="0" w:color="auto"/>
            <w:left w:val="none" w:sz="0" w:space="0" w:color="auto"/>
            <w:bottom w:val="none" w:sz="0" w:space="0" w:color="auto"/>
            <w:right w:val="none" w:sz="0" w:space="0" w:color="auto"/>
          </w:divBdr>
        </w:div>
      </w:divsChild>
    </w:div>
    <w:div w:id="325785193">
      <w:bodyDiv w:val="1"/>
      <w:marLeft w:val="0"/>
      <w:marRight w:val="0"/>
      <w:marTop w:val="0"/>
      <w:marBottom w:val="0"/>
      <w:divBdr>
        <w:top w:val="none" w:sz="0" w:space="0" w:color="auto"/>
        <w:left w:val="none" w:sz="0" w:space="0" w:color="auto"/>
        <w:bottom w:val="none" w:sz="0" w:space="0" w:color="auto"/>
        <w:right w:val="none" w:sz="0" w:space="0" w:color="auto"/>
      </w:divBdr>
    </w:div>
    <w:div w:id="521361433">
      <w:bodyDiv w:val="1"/>
      <w:marLeft w:val="0"/>
      <w:marRight w:val="0"/>
      <w:marTop w:val="0"/>
      <w:marBottom w:val="0"/>
      <w:divBdr>
        <w:top w:val="none" w:sz="0" w:space="0" w:color="auto"/>
        <w:left w:val="none" w:sz="0" w:space="0" w:color="auto"/>
        <w:bottom w:val="none" w:sz="0" w:space="0" w:color="auto"/>
        <w:right w:val="none" w:sz="0" w:space="0" w:color="auto"/>
      </w:divBdr>
    </w:div>
    <w:div w:id="559875153">
      <w:bodyDiv w:val="1"/>
      <w:marLeft w:val="0"/>
      <w:marRight w:val="0"/>
      <w:marTop w:val="0"/>
      <w:marBottom w:val="0"/>
      <w:divBdr>
        <w:top w:val="none" w:sz="0" w:space="0" w:color="auto"/>
        <w:left w:val="none" w:sz="0" w:space="0" w:color="auto"/>
        <w:bottom w:val="none" w:sz="0" w:space="0" w:color="auto"/>
        <w:right w:val="none" w:sz="0" w:space="0" w:color="auto"/>
      </w:divBdr>
      <w:divsChild>
        <w:div w:id="37054012">
          <w:marLeft w:val="547"/>
          <w:marRight w:val="0"/>
          <w:marTop w:val="77"/>
          <w:marBottom w:val="0"/>
          <w:divBdr>
            <w:top w:val="none" w:sz="0" w:space="0" w:color="auto"/>
            <w:left w:val="none" w:sz="0" w:space="0" w:color="auto"/>
            <w:bottom w:val="none" w:sz="0" w:space="0" w:color="auto"/>
            <w:right w:val="none" w:sz="0" w:space="0" w:color="auto"/>
          </w:divBdr>
        </w:div>
        <w:div w:id="1961302819">
          <w:marLeft w:val="547"/>
          <w:marRight w:val="0"/>
          <w:marTop w:val="77"/>
          <w:marBottom w:val="0"/>
          <w:divBdr>
            <w:top w:val="none" w:sz="0" w:space="0" w:color="auto"/>
            <w:left w:val="none" w:sz="0" w:space="0" w:color="auto"/>
            <w:bottom w:val="none" w:sz="0" w:space="0" w:color="auto"/>
            <w:right w:val="none" w:sz="0" w:space="0" w:color="auto"/>
          </w:divBdr>
        </w:div>
        <w:div w:id="1134445092">
          <w:marLeft w:val="547"/>
          <w:marRight w:val="0"/>
          <w:marTop w:val="77"/>
          <w:marBottom w:val="0"/>
          <w:divBdr>
            <w:top w:val="none" w:sz="0" w:space="0" w:color="auto"/>
            <w:left w:val="none" w:sz="0" w:space="0" w:color="auto"/>
            <w:bottom w:val="none" w:sz="0" w:space="0" w:color="auto"/>
            <w:right w:val="none" w:sz="0" w:space="0" w:color="auto"/>
          </w:divBdr>
        </w:div>
        <w:div w:id="1672826972">
          <w:marLeft w:val="547"/>
          <w:marRight w:val="0"/>
          <w:marTop w:val="77"/>
          <w:marBottom w:val="0"/>
          <w:divBdr>
            <w:top w:val="none" w:sz="0" w:space="0" w:color="auto"/>
            <w:left w:val="none" w:sz="0" w:space="0" w:color="auto"/>
            <w:bottom w:val="none" w:sz="0" w:space="0" w:color="auto"/>
            <w:right w:val="none" w:sz="0" w:space="0" w:color="auto"/>
          </w:divBdr>
        </w:div>
        <w:div w:id="1485387350">
          <w:marLeft w:val="547"/>
          <w:marRight w:val="0"/>
          <w:marTop w:val="77"/>
          <w:marBottom w:val="0"/>
          <w:divBdr>
            <w:top w:val="none" w:sz="0" w:space="0" w:color="auto"/>
            <w:left w:val="none" w:sz="0" w:space="0" w:color="auto"/>
            <w:bottom w:val="none" w:sz="0" w:space="0" w:color="auto"/>
            <w:right w:val="none" w:sz="0" w:space="0" w:color="auto"/>
          </w:divBdr>
        </w:div>
        <w:div w:id="342437945">
          <w:marLeft w:val="547"/>
          <w:marRight w:val="0"/>
          <w:marTop w:val="77"/>
          <w:marBottom w:val="0"/>
          <w:divBdr>
            <w:top w:val="none" w:sz="0" w:space="0" w:color="auto"/>
            <w:left w:val="none" w:sz="0" w:space="0" w:color="auto"/>
            <w:bottom w:val="none" w:sz="0" w:space="0" w:color="auto"/>
            <w:right w:val="none" w:sz="0" w:space="0" w:color="auto"/>
          </w:divBdr>
        </w:div>
        <w:div w:id="792940277">
          <w:marLeft w:val="547"/>
          <w:marRight w:val="0"/>
          <w:marTop w:val="77"/>
          <w:marBottom w:val="0"/>
          <w:divBdr>
            <w:top w:val="none" w:sz="0" w:space="0" w:color="auto"/>
            <w:left w:val="none" w:sz="0" w:space="0" w:color="auto"/>
            <w:bottom w:val="none" w:sz="0" w:space="0" w:color="auto"/>
            <w:right w:val="none" w:sz="0" w:space="0" w:color="auto"/>
          </w:divBdr>
        </w:div>
      </w:divsChild>
    </w:div>
    <w:div w:id="591280619">
      <w:bodyDiv w:val="1"/>
      <w:marLeft w:val="0"/>
      <w:marRight w:val="0"/>
      <w:marTop w:val="0"/>
      <w:marBottom w:val="0"/>
      <w:divBdr>
        <w:top w:val="none" w:sz="0" w:space="0" w:color="auto"/>
        <w:left w:val="none" w:sz="0" w:space="0" w:color="auto"/>
        <w:bottom w:val="none" w:sz="0" w:space="0" w:color="auto"/>
        <w:right w:val="none" w:sz="0" w:space="0" w:color="auto"/>
      </w:divBdr>
    </w:div>
    <w:div w:id="906961146">
      <w:bodyDiv w:val="1"/>
      <w:marLeft w:val="0"/>
      <w:marRight w:val="0"/>
      <w:marTop w:val="0"/>
      <w:marBottom w:val="0"/>
      <w:divBdr>
        <w:top w:val="none" w:sz="0" w:space="0" w:color="auto"/>
        <w:left w:val="none" w:sz="0" w:space="0" w:color="auto"/>
        <w:bottom w:val="none" w:sz="0" w:space="0" w:color="auto"/>
        <w:right w:val="none" w:sz="0" w:space="0" w:color="auto"/>
      </w:divBdr>
    </w:div>
    <w:div w:id="912276843">
      <w:bodyDiv w:val="1"/>
      <w:marLeft w:val="0"/>
      <w:marRight w:val="0"/>
      <w:marTop w:val="0"/>
      <w:marBottom w:val="0"/>
      <w:divBdr>
        <w:top w:val="none" w:sz="0" w:space="0" w:color="auto"/>
        <w:left w:val="none" w:sz="0" w:space="0" w:color="auto"/>
        <w:bottom w:val="none" w:sz="0" w:space="0" w:color="auto"/>
        <w:right w:val="none" w:sz="0" w:space="0" w:color="auto"/>
      </w:divBdr>
    </w:div>
    <w:div w:id="972519229">
      <w:bodyDiv w:val="1"/>
      <w:marLeft w:val="0"/>
      <w:marRight w:val="0"/>
      <w:marTop w:val="0"/>
      <w:marBottom w:val="0"/>
      <w:divBdr>
        <w:top w:val="none" w:sz="0" w:space="0" w:color="auto"/>
        <w:left w:val="none" w:sz="0" w:space="0" w:color="auto"/>
        <w:bottom w:val="none" w:sz="0" w:space="0" w:color="auto"/>
        <w:right w:val="none" w:sz="0" w:space="0" w:color="auto"/>
      </w:divBdr>
    </w:div>
    <w:div w:id="1120760997">
      <w:bodyDiv w:val="1"/>
      <w:marLeft w:val="0"/>
      <w:marRight w:val="0"/>
      <w:marTop w:val="0"/>
      <w:marBottom w:val="0"/>
      <w:divBdr>
        <w:top w:val="none" w:sz="0" w:space="0" w:color="auto"/>
        <w:left w:val="none" w:sz="0" w:space="0" w:color="auto"/>
        <w:bottom w:val="none" w:sz="0" w:space="0" w:color="auto"/>
        <w:right w:val="none" w:sz="0" w:space="0" w:color="auto"/>
      </w:divBdr>
    </w:div>
    <w:div w:id="1137992661">
      <w:bodyDiv w:val="1"/>
      <w:marLeft w:val="0"/>
      <w:marRight w:val="0"/>
      <w:marTop w:val="0"/>
      <w:marBottom w:val="0"/>
      <w:divBdr>
        <w:top w:val="none" w:sz="0" w:space="0" w:color="auto"/>
        <w:left w:val="none" w:sz="0" w:space="0" w:color="auto"/>
        <w:bottom w:val="none" w:sz="0" w:space="0" w:color="auto"/>
        <w:right w:val="none" w:sz="0" w:space="0" w:color="auto"/>
      </w:divBdr>
    </w:div>
    <w:div w:id="1246919452">
      <w:bodyDiv w:val="1"/>
      <w:marLeft w:val="0"/>
      <w:marRight w:val="0"/>
      <w:marTop w:val="0"/>
      <w:marBottom w:val="0"/>
      <w:divBdr>
        <w:top w:val="none" w:sz="0" w:space="0" w:color="auto"/>
        <w:left w:val="none" w:sz="0" w:space="0" w:color="auto"/>
        <w:bottom w:val="none" w:sz="0" w:space="0" w:color="auto"/>
        <w:right w:val="none" w:sz="0" w:space="0" w:color="auto"/>
      </w:divBdr>
    </w:div>
    <w:div w:id="1336952904">
      <w:bodyDiv w:val="1"/>
      <w:marLeft w:val="0"/>
      <w:marRight w:val="0"/>
      <w:marTop w:val="0"/>
      <w:marBottom w:val="0"/>
      <w:divBdr>
        <w:top w:val="none" w:sz="0" w:space="0" w:color="auto"/>
        <w:left w:val="none" w:sz="0" w:space="0" w:color="auto"/>
        <w:bottom w:val="none" w:sz="0" w:space="0" w:color="auto"/>
        <w:right w:val="none" w:sz="0" w:space="0" w:color="auto"/>
      </w:divBdr>
    </w:div>
    <w:div w:id="1341153222">
      <w:bodyDiv w:val="1"/>
      <w:marLeft w:val="0"/>
      <w:marRight w:val="0"/>
      <w:marTop w:val="0"/>
      <w:marBottom w:val="0"/>
      <w:divBdr>
        <w:top w:val="none" w:sz="0" w:space="0" w:color="auto"/>
        <w:left w:val="none" w:sz="0" w:space="0" w:color="auto"/>
        <w:bottom w:val="none" w:sz="0" w:space="0" w:color="auto"/>
        <w:right w:val="none" w:sz="0" w:space="0" w:color="auto"/>
      </w:divBdr>
    </w:div>
    <w:div w:id="1369912817">
      <w:bodyDiv w:val="1"/>
      <w:marLeft w:val="0"/>
      <w:marRight w:val="0"/>
      <w:marTop w:val="0"/>
      <w:marBottom w:val="0"/>
      <w:divBdr>
        <w:top w:val="none" w:sz="0" w:space="0" w:color="auto"/>
        <w:left w:val="none" w:sz="0" w:space="0" w:color="auto"/>
        <w:bottom w:val="none" w:sz="0" w:space="0" w:color="auto"/>
        <w:right w:val="none" w:sz="0" w:space="0" w:color="auto"/>
      </w:divBdr>
    </w:div>
    <w:div w:id="1619213726">
      <w:bodyDiv w:val="1"/>
      <w:marLeft w:val="0"/>
      <w:marRight w:val="0"/>
      <w:marTop w:val="0"/>
      <w:marBottom w:val="0"/>
      <w:divBdr>
        <w:top w:val="none" w:sz="0" w:space="0" w:color="auto"/>
        <w:left w:val="none" w:sz="0" w:space="0" w:color="auto"/>
        <w:bottom w:val="none" w:sz="0" w:space="0" w:color="auto"/>
        <w:right w:val="none" w:sz="0" w:space="0" w:color="auto"/>
      </w:divBdr>
    </w:div>
    <w:div w:id="1631478219">
      <w:bodyDiv w:val="1"/>
      <w:marLeft w:val="0"/>
      <w:marRight w:val="0"/>
      <w:marTop w:val="0"/>
      <w:marBottom w:val="0"/>
      <w:divBdr>
        <w:top w:val="none" w:sz="0" w:space="0" w:color="auto"/>
        <w:left w:val="none" w:sz="0" w:space="0" w:color="auto"/>
        <w:bottom w:val="none" w:sz="0" w:space="0" w:color="auto"/>
        <w:right w:val="none" w:sz="0" w:space="0" w:color="auto"/>
      </w:divBdr>
    </w:div>
    <w:div w:id="1820225452">
      <w:bodyDiv w:val="1"/>
      <w:marLeft w:val="0"/>
      <w:marRight w:val="0"/>
      <w:marTop w:val="0"/>
      <w:marBottom w:val="0"/>
      <w:divBdr>
        <w:top w:val="none" w:sz="0" w:space="0" w:color="auto"/>
        <w:left w:val="none" w:sz="0" w:space="0" w:color="auto"/>
        <w:bottom w:val="none" w:sz="0" w:space="0" w:color="auto"/>
        <w:right w:val="none" w:sz="0" w:space="0" w:color="auto"/>
      </w:divBdr>
      <w:divsChild>
        <w:div w:id="1940790860">
          <w:marLeft w:val="0"/>
          <w:marRight w:val="0"/>
          <w:marTop w:val="0"/>
          <w:marBottom w:val="120"/>
          <w:divBdr>
            <w:top w:val="none" w:sz="0" w:space="0" w:color="auto"/>
            <w:left w:val="none" w:sz="0" w:space="0" w:color="auto"/>
            <w:bottom w:val="none" w:sz="0" w:space="0" w:color="auto"/>
            <w:right w:val="none" w:sz="0" w:space="0" w:color="auto"/>
          </w:divBdr>
          <w:divsChild>
            <w:div w:id="1308626224">
              <w:marLeft w:val="0"/>
              <w:marRight w:val="0"/>
              <w:marTop w:val="0"/>
              <w:marBottom w:val="0"/>
              <w:divBdr>
                <w:top w:val="none" w:sz="0" w:space="0" w:color="auto"/>
                <w:left w:val="none" w:sz="0" w:space="0" w:color="auto"/>
                <w:bottom w:val="none" w:sz="0" w:space="0" w:color="auto"/>
                <w:right w:val="none" w:sz="0" w:space="0" w:color="auto"/>
              </w:divBdr>
              <w:divsChild>
                <w:div w:id="1394506566">
                  <w:marLeft w:val="0"/>
                  <w:marRight w:val="0"/>
                  <w:marTop w:val="0"/>
                  <w:marBottom w:val="0"/>
                  <w:divBdr>
                    <w:top w:val="none" w:sz="0" w:space="0" w:color="auto"/>
                    <w:left w:val="none" w:sz="0" w:space="0" w:color="auto"/>
                    <w:bottom w:val="none" w:sz="0" w:space="0" w:color="auto"/>
                    <w:right w:val="none" w:sz="0" w:space="0" w:color="auto"/>
                  </w:divBdr>
                  <w:divsChild>
                    <w:div w:id="903178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987511245">
      <w:bodyDiv w:val="1"/>
      <w:marLeft w:val="0"/>
      <w:marRight w:val="0"/>
      <w:marTop w:val="0"/>
      <w:marBottom w:val="0"/>
      <w:divBdr>
        <w:top w:val="none" w:sz="0" w:space="0" w:color="auto"/>
        <w:left w:val="none" w:sz="0" w:space="0" w:color="auto"/>
        <w:bottom w:val="none" w:sz="0" w:space="0" w:color="auto"/>
        <w:right w:val="none" w:sz="0" w:space="0" w:color="auto"/>
      </w:divBdr>
    </w:div>
    <w:div w:id="20201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r.europa.eu/en/Pages/default.aspx" TargetMode="External"/><Relationship Id="rId13" Type="http://schemas.openxmlformats.org/officeDocument/2006/relationships/hyperlink" Target="https://www.bp.com/en/global/corporate/energy-economics/statistical-review-of-world-energ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zpromexport.ru/en/presscenter/spe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cer.europa.eu/en/Pages/default.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cer.europa.eu/e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66A4-F9D8-4826-BE68-B22344D2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9326</Words>
  <Characters>53160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Kong Chyong</dc:creator>
  <cp:lastModifiedBy>Chi Kong Chyong</cp:lastModifiedBy>
  <cp:revision>15</cp:revision>
  <dcterms:created xsi:type="dcterms:W3CDTF">2018-07-30T19:29:00Z</dcterms:created>
  <dcterms:modified xsi:type="dcterms:W3CDTF">2018-07-30T20:28:00Z</dcterms:modified>
</cp:coreProperties>
</file>