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FFAA" w14:textId="7FFA3958" w:rsidR="000176C3" w:rsidRPr="00464BD2" w:rsidRDefault="000474A9" w:rsidP="000474A9">
      <w:pPr>
        <w:rPr>
          <w:b/>
        </w:rPr>
      </w:pPr>
      <w:r w:rsidRPr="00464BD2">
        <w:rPr>
          <w:b/>
        </w:rPr>
        <w:t xml:space="preserve">Acute </w:t>
      </w:r>
      <w:r w:rsidR="001121AD" w:rsidRPr="00464BD2">
        <w:rPr>
          <w:b/>
        </w:rPr>
        <w:t xml:space="preserve">posterior </w:t>
      </w:r>
      <w:r w:rsidRPr="00464BD2">
        <w:rPr>
          <w:b/>
        </w:rPr>
        <w:t xml:space="preserve">multifocal placoid pigment epitheliopathy after alemtuzumab treatment for relapsing-remitting </w:t>
      </w:r>
      <w:r w:rsidR="009E2E00">
        <w:rPr>
          <w:b/>
        </w:rPr>
        <w:t>multiple sclerosis</w:t>
      </w:r>
      <w:r w:rsidRPr="00464BD2">
        <w:rPr>
          <w:b/>
        </w:rPr>
        <w:t xml:space="preserve"> </w:t>
      </w:r>
    </w:p>
    <w:p w14:paraId="2D8B63CD" w14:textId="396C159F" w:rsidR="000812D3" w:rsidRDefault="000812D3" w:rsidP="00464BD2">
      <w:pPr>
        <w:spacing w:line="240" w:lineRule="auto"/>
      </w:pPr>
      <w:r>
        <w:t>Jiali Gao</w:t>
      </w:r>
      <w:r w:rsidR="007C4FEA">
        <w:rPr>
          <w:vertAlign w:val="superscript"/>
        </w:rPr>
        <w:t>a</w:t>
      </w:r>
      <w:r>
        <w:t xml:space="preserve">, </w:t>
      </w:r>
      <w:r w:rsidR="0082099B">
        <w:t>Joanne Jones</w:t>
      </w:r>
      <w:r w:rsidR="007C4FEA">
        <w:rPr>
          <w:vertAlign w:val="superscript"/>
        </w:rPr>
        <w:t>b</w:t>
      </w:r>
      <w:r w:rsidR="0082099B">
        <w:t xml:space="preserve">, Erika </w:t>
      </w:r>
      <w:r w:rsidR="00AB7E3B">
        <w:t>M Damato</w:t>
      </w:r>
      <w:r w:rsidR="007C4FEA">
        <w:rPr>
          <w:vertAlign w:val="superscript"/>
        </w:rPr>
        <w:t>c</w:t>
      </w:r>
      <w:r w:rsidR="00AB7E3B">
        <w:t xml:space="preserve">, </w:t>
      </w:r>
      <w:r w:rsidR="0085030B">
        <w:t xml:space="preserve">Alasdair </w:t>
      </w:r>
      <w:r w:rsidR="00293DA5">
        <w:t>Coles</w:t>
      </w:r>
      <w:r w:rsidR="007C4FEA">
        <w:rPr>
          <w:vertAlign w:val="superscript"/>
        </w:rPr>
        <w:t>b</w:t>
      </w:r>
      <w:r w:rsidR="00293DA5">
        <w:t xml:space="preserve"> </w:t>
      </w:r>
    </w:p>
    <w:p w14:paraId="62D5C57A" w14:textId="08840BAA" w:rsidR="00464BD2" w:rsidRDefault="00464BD2" w:rsidP="00464BD2">
      <w:pPr>
        <w:pStyle w:val="NoSpacing"/>
      </w:pPr>
      <w:r w:rsidRPr="00AF0EC5">
        <w:rPr>
          <w:vertAlign w:val="superscript"/>
        </w:rPr>
        <w:t>a</w:t>
      </w:r>
      <w:r w:rsidRPr="00AF0EC5">
        <w:t xml:space="preserve">School of Clinical Medicine, </w:t>
      </w:r>
      <w:r w:rsidR="00903761">
        <w:t xml:space="preserve">University of Cambridge, </w:t>
      </w:r>
      <w:r w:rsidR="007167C3">
        <w:t>UK</w:t>
      </w:r>
      <w:r>
        <w:br/>
      </w:r>
      <w:r w:rsidRPr="00AF0EC5">
        <w:rPr>
          <w:vertAlign w:val="superscript"/>
        </w:rPr>
        <w:t>b</w:t>
      </w:r>
      <w:r w:rsidR="00903761">
        <w:t>Department of Clinical Neurosciences, U</w:t>
      </w:r>
      <w:r w:rsidRPr="00AF0EC5">
        <w:t xml:space="preserve">niversity of Cambridge, </w:t>
      </w:r>
      <w:r w:rsidR="007167C3">
        <w:t>UK</w:t>
      </w:r>
    </w:p>
    <w:p w14:paraId="6DD7F810" w14:textId="56745246" w:rsidR="003A76E4" w:rsidRDefault="00794307" w:rsidP="003A76E4">
      <w:pPr>
        <w:pStyle w:val="NoSpacing"/>
      </w:pPr>
      <w:r>
        <w:rPr>
          <w:vertAlign w:val="superscript"/>
        </w:rPr>
        <w:t>c</w:t>
      </w:r>
      <w:r w:rsidR="00900806">
        <w:t>Department of Ophthalmology</w:t>
      </w:r>
      <w:r w:rsidR="007167C3">
        <w:t>,</w:t>
      </w:r>
      <w:r w:rsidR="00900806">
        <w:rPr>
          <w:vertAlign w:val="superscript"/>
        </w:rPr>
        <w:t xml:space="preserve"> </w:t>
      </w:r>
      <w:r w:rsidR="00017A90">
        <w:t xml:space="preserve">Addenbrooke’s Hospital, </w:t>
      </w:r>
      <w:r w:rsidR="007167C3" w:rsidRPr="007167C3">
        <w:t>University of Cambridge, UK</w:t>
      </w:r>
    </w:p>
    <w:p w14:paraId="47853739" w14:textId="5CA45FD8" w:rsidR="003A76E4" w:rsidRDefault="003A76E4" w:rsidP="003A76E4">
      <w:pPr>
        <w:pStyle w:val="NoSpacing"/>
      </w:pPr>
    </w:p>
    <w:p w14:paraId="4B873DB6" w14:textId="64C4A2B2" w:rsidR="004814AA" w:rsidRDefault="00203573" w:rsidP="004814AA">
      <w:pPr>
        <w:pStyle w:val="NoSpacing"/>
        <w:spacing w:after="240"/>
      </w:pPr>
      <w:r>
        <w:t xml:space="preserve">Corresponding author: Jiali Gao, </w:t>
      </w:r>
      <w:hyperlink r:id="rId8" w:history="1">
        <w:r w:rsidRPr="00886F1B">
          <w:rPr>
            <w:rStyle w:val="Hyperlink"/>
          </w:rPr>
          <w:t>jg732@cam.ac.uk</w:t>
        </w:r>
      </w:hyperlink>
    </w:p>
    <w:p w14:paraId="1E575ED4" w14:textId="77777777" w:rsidR="004814AA" w:rsidRDefault="004814AA" w:rsidP="004814AA">
      <w:pPr>
        <w:pStyle w:val="NoSpacing"/>
        <w:spacing w:after="240"/>
      </w:pPr>
      <w:r w:rsidRPr="00541D36">
        <w:rPr>
          <w:b/>
        </w:rPr>
        <w:t>Key words:</w:t>
      </w:r>
      <w:r>
        <w:t xml:space="preserve"> alemtuzumab, multiple sclerosis, APMPPE – acute </w:t>
      </w:r>
      <w:r w:rsidRPr="000A29B1">
        <w:t>posterior multifocal placoid pigment epitheliopath</w:t>
      </w:r>
      <w:r>
        <w:t xml:space="preserve">y, autoimmunity </w:t>
      </w:r>
    </w:p>
    <w:p w14:paraId="774CDF79" w14:textId="153E9B9F" w:rsidR="004A29BD" w:rsidRDefault="004A29BD" w:rsidP="00F74B64">
      <w:pPr>
        <w:pStyle w:val="NoSpacing"/>
        <w:spacing w:after="240"/>
      </w:pPr>
    </w:p>
    <w:p w14:paraId="32DF081F" w14:textId="77777777" w:rsidR="00272C82" w:rsidRDefault="00272C82" w:rsidP="00272C82">
      <w:pPr>
        <w:rPr>
          <w:rFonts w:ascii="Calibri" w:hAnsi="Calibri" w:cs="Calibri"/>
          <w:color w:val="000000"/>
        </w:rPr>
      </w:pPr>
      <w:bookmarkStart w:id="0" w:name="_GoBack"/>
      <w:bookmarkEnd w:id="0"/>
      <w:r w:rsidRPr="0004512E">
        <w:rPr>
          <w:rFonts w:ascii="Calibri" w:hAnsi="Calibri" w:cs="Calibri"/>
          <w:color w:val="000000"/>
          <w:u w:val="single"/>
        </w:rPr>
        <w:t>Acknowledgements</w:t>
      </w:r>
      <w:r>
        <w:rPr>
          <w:rFonts w:ascii="Calibri" w:hAnsi="Calibri" w:cs="Calibri"/>
          <w:color w:val="000000"/>
        </w:rPr>
        <w:t xml:space="preserve"> </w:t>
      </w:r>
    </w:p>
    <w:p w14:paraId="5DE5D040" w14:textId="215E04F5" w:rsidR="004A29BD" w:rsidRPr="00516B92" w:rsidRDefault="00272C82" w:rsidP="00516B9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JJ and AC are supported by the National Institute of Health Research Cambridge Centre for Biomedical Research</w:t>
      </w:r>
      <w:r w:rsidR="00516B92">
        <w:rPr>
          <w:rFonts w:ascii="Calibri" w:hAnsi="Calibri" w:cs="Calibri"/>
          <w:color w:val="000000"/>
        </w:rPr>
        <w:t xml:space="preserve">. </w:t>
      </w:r>
      <w:r w:rsidR="00B801E0">
        <w:rPr>
          <w:rFonts w:ascii="Calibri" w:hAnsi="Calibri" w:cs="Calibri"/>
          <w:color w:val="000000"/>
        </w:rPr>
        <w:t>The patient was on a trial of alemtuzumab, CAMMS 32400507, funded by Sanofi.</w:t>
      </w:r>
    </w:p>
    <w:p w14:paraId="4C5958A7" w14:textId="1ABB6896" w:rsidR="00CA2A46" w:rsidRDefault="00CA2A46" w:rsidP="00F74B64">
      <w:pPr>
        <w:pStyle w:val="NoSpacing"/>
        <w:spacing w:after="240"/>
        <w:rPr>
          <w:u w:val="single"/>
        </w:rPr>
      </w:pPr>
      <w:r>
        <w:rPr>
          <w:u w:val="single"/>
        </w:rPr>
        <w:t xml:space="preserve">Ethical Standards </w:t>
      </w:r>
    </w:p>
    <w:p w14:paraId="417A7017" w14:textId="177FB692" w:rsidR="00A225FD" w:rsidRDefault="00516B92" w:rsidP="00A225FD">
      <w:pPr>
        <w:pStyle w:val="NoSpacing"/>
        <w:spacing w:after="240"/>
      </w:pPr>
      <w:r>
        <w:t>Written i</w:t>
      </w:r>
      <w:r w:rsidR="00A225FD">
        <w:t>nformed consent was obtained from the patient in question</w:t>
      </w:r>
      <w:r w:rsidR="00144CBC">
        <w:t xml:space="preserve">. </w:t>
      </w:r>
    </w:p>
    <w:p w14:paraId="28FDCF04" w14:textId="3AC5632C" w:rsidR="003A76E4" w:rsidRDefault="003A76E4" w:rsidP="00A225FD">
      <w:pPr>
        <w:pStyle w:val="NoSpacing"/>
        <w:spacing w:after="240"/>
        <w:rPr>
          <w:u w:val="single"/>
        </w:rPr>
      </w:pPr>
      <w:r>
        <w:rPr>
          <w:u w:val="single"/>
        </w:rPr>
        <w:t>Conflicts of interest</w:t>
      </w:r>
    </w:p>
    <w:p w14:paraId="32FC0504" w14:textId="0CB9B11E" w:rsidR="003A76E4" w:rsidRPr="003A76E4" w:rsidRDefault="00203573" w:rsidP="003A76E4">
      <w:pPr>
        <w:pStyle w:val="NoSpacing"/>
      </w:pPr>
      <w:r>
        <w:t>Alasdair Coles received honoraria and travel expenses from Genzyme (Sanofi), up until 2017.</w:t>
      </w:r>
    </w:p>
    <w:p w14:paraId="3E985A32" w14:textId="77777777" w:rsidR="003A76E4" w:rsidRPr="003A76E4" w:rsidRDefault="003A76E4" w:rsidP="003A76E4">
      <w:pPr>
        <w:pStyle w:val="NoSpacing"/>
        <w:rPr>
          <w:u w:val="single"/>
        </w:rPr>
      </w:pPr>
    </w:p>
    <w:p w14:paraId="5A6B079F" w14:textId="74610D01" w:rsidR="004A29BD" w:rsidRDefault="004A29BD">
      <w:pPr>
        <w:rPr>
          <w:u w:val="single"/>
        </w:rPr>
      </w:pPr>
    </w:p>
    <w:p w14:paraId="4748E21A" w14:textId="60DAE469" w:rsidR="0004512E" w:rsidRPr="009C10CF" w:rsidRDefault="009C10CF" w:rsidP="000474A9">
      <w:r w:rsidRPr="009C10CF">
        <w:t xml:space="preserve">Dear Sirs, </w:t>
      </w:r>
    </w:p>
    <w:p w14:paraId="4E457EA3" w14:textId="27021078" w:rsidR="00762594" w:rsidRPr="009C10CF" w:rsidRDefault="000474A9" w:rsidP="000474A9">
      <w:r>
        <w:t>Alemtuzumab, a monoclonal antibody against CD52, is a highly effective treatment of relapsing-remitting multiple sclerosis (RRMS)</w:t>
      </w:r>
      <w:r w:rsidR="001121AD">
        <w:t xml:space="preserve">, but </w:t>
      </w:r>
      <w:r w:rsidR="00AE37CE">
        <w:t xml:space="preserve">it </w:t>
      </w:r>
      <w:r w:rsidR="001121AD">
        <w:t xml:space="preserve">is </w:t>
      </w:r>
      <w:r>
        <w:t>known to cause secondary autoimmunity in 40% of patients</w:t>
      </w:r>
      <w:r w:rsidR="00786E44">
        <w:t xml:space="preserve"> </w:t>
      </w:r>
      <w:r w:rsidR="00786E44" w:rsidRPr="00786E44">
        <w:rPr>
          <w:rFonts w:ascii="Calibri" w:hAnsi="Calibri" w:cs="Calibri"/>
        </w:rPr>
        <w:t>[1]</w:t>
      </w:r>
      <w:r>
        <w:t xml:space="preserve">. We present a case of </w:t>
      </w:r>
      <w:r w:rsidR="001121AD">
        <w:t xml:space="preserve">a RRMS patient treated with alemtuzumab who developed </w:t>
      </w:r>
      <w:r>
        <w:t>a</w:t>
      </w:r>
      <w:r w:rsidRPr="000474A9">
        <w:t xml:space="preserve">cute </w:t>
      </w:r>
      <w:r w:rsidR="001121AD">
        <w:t xml:space="preserve">posterior </w:t>
      </w:r>
      <w:r w:rsidRPr="000474A9">
        <w:t>multifocal placoid pigment epitheliopathy</w:t>
      </w:r>
      <w:r>
        <w:t xml:space="preserve"> (A</w:t>
      </w:r>
      <w:r w:rsidR="001121AD">
        <w:t>P</w:t>
      </w:r>
      <w:r>
        <w:t>MPPE</w:t>
      </w:r>
      <w:r w:rsidR="001121AD">
        <w:t xml:space="preserve">). </w:t>
      </w:r>
    </w:p>
    <w:p w14:paraId="5409B787" w14:textId="383502AB" w:rsidR="006D5C8B" w:rsidRDefault="001121AD" w:rsidP="000474A9">
      <w:r>
        <w:t>A 34</w:t>
      </w:r>
      <w:r w:rsidR="00CF2CFF">
        <w:t>-</w:t>
      </w:r>
      <w:r>
        <w:t>year</w:t>
      </w:r>
      <w:r w:rsidR="00CF2CFF">
        <w:t>-</w:t>
      </w:r>
      <w:r>
        <w:t>old male patient, diagnosed with RRMS aged 26, experienced multiple</w:t>
      </w:r>
      <w:r w:rsidR="00645E1B">
        <w:t xml:space="preserve"> disabling</w:t>
      </w:r>
      <w:r>
        <w:t xml:space="preserve"> relapses</w:t>
      </w:r>
      <w:r w:rsidR="006A5227">
        <w:t xml:space="preserve"> per year</w:t>
      </w:r>
      <w:r>
        <w:t xml:space="preserve"> whilst on treatment with interferon </w:t>
      </w:r>
      <w:r w:rsidRPr="00C30938">
        <w:t>β-1a (Rebif)</w:t>
      </w:r>
      <w:r>
        <w:t xml:space="preserve"> and </w:t>
      </w:r>
      <w:r w:rsidR="006A5227">
        <w:t xml:space="preserve">was </w:t>
      </w:r>
      <w:r>
        <w:t>enrolled in a clinical trial for alemtuzumab (CAMMS 32400507</w:t>
      </w:r>
      <w:r w:rsidR="00340580">
        <w:t>). S</w:t>
      </w:r>
      <w:r w:rsidR="006A5227">
        <w:t>ix</w:t>
      </w:r>
      <w:r>
        <w:t xml:space="preserve"> months aft</w:t>
      </w:r>
      <w:r w:rsidR="006A5227">
        <w:t>er his first cycle of treatment, he had experienced no new</w:t>
      </w:r>
      <w:r w:rsidR="00645E1B">
        <w:t xml:space="preserve"> relapses, but</w:t>
      </w:r>
      <w:r w:rsidR="00340580">
        <w:t xml:space="preserve"> in the context of</w:t>
      </w:r>
      <w:r w:rsidR="00645E1B">
        <w:t xml:space="preserve"> an enterococcal urinary tract infection </w:t>
      </w:r>
      <w:r w:rsidR="00340580">
        <w:t>with</w:t>
      </w:r>
      <w:r w:rsidR="00645E1B">
        <w:t xml:space="preserve"> exacerbation of </w:t>
      </w:r>
      <w:r w:rsidR="00340580">
        <w:t xml:space="preserve">his RRMS symptoms, </w:t>
      </w:r>
      <w:r w:rsidR="00645E1B">
        <w:t xml:space="preserve">he awoke </w:t>
      </w:r>
      <w:r w:rsidR="00340580">
        <w:t xml:space="preserve">one morning </w:t>
      </w:r>
      <w:r w:rsidR="00645E1B">
        <w:t>to discover a ‘multic</w:t>
      </w:r>
      <w:r w:rsidR="004C5B45">
        <w:t>oloured blob’ obscuring the central</w:t>
      </w:r>
      <w:r w:rsidR="00645E1B">
        <w:t xml:space="preserve"> field of his left eye. </w:t>
      </w:r>
    </w:p>
    <w:p w14:paraId="04872089" w14:textId="4AEA4229" w:rsidR="00340580" w:rsidRPr="004C5B45" w:rsidRDefault="00340580" w:rsidP="000474A9">
      <w:r>
        <w:t xml:space="preserve">On examination, visual acuity was 6/9, pinholing to </w:t>
      </w:r>
      <w:r w:rsidR="006D5C8B">
        <w:t>6/6,</w:t>
      </w:r>
      <w:r w:rsidR="006D5C8B" w:rsidRPr="006D5C8B">
        <w:t xml:space="preserve"> </w:t>
      </w:r>
      <w:r w:rsidR="006D5C8B">
        <w:t xml:space="preserve">on the right and </w:t>
      </w:r>
      <w:r w:rsidR="00A5456C" w:rsidRPr="00A5456C">
        <w:rPr>
          <w:color w:val="FF0000"/>
        </w:rPr>
        <w:t>better than 6/6</w:t>
      </w:r>
      <w:r w:rsidR="006D5C8B" w:rsidRPr="00A5456C">
        <w:rPr>
          <w:color w:val="FF0000"/>
        </w:rPr>
        <w:t xml:space="preserve"> </w:t>
      </w:r>
      <w:r w:rsidR="006D5C8B">
        <w:t xml:space="preserve">on the left. Three </w:t>
      </w:r>
      <w:r w:rsidR="00ED2C28">
        <w:rPr>
          <w:color w:val="FF0000"/>
        </w:rPr>
        <w:t>left</w:t>
      </w:r>
      <w:r w:rsidR="00573E51">
        <w:rPr>
          <w:color w:val="FF0000"/>
        </w:rPr>
        <w:t>-</w:t>
      </w:r>
      <w:r w:rsidR="00ED2C28">
        <w:rPr>
          <w:color w:val="FF0000"/>
        </w:rPr>
        <w:t xml:space="preserve">eye </w:t>
      </w:r>
      <w:r w:rsidR="006D5C8B">
        <w:t xml:space="preserve">scotomata were evident on Amsler grid plotting and fundoscopy revealed numerous </w:t>
      </w:r>
      <w:r w:rsidR="00357948">
        <w:t>pale-yellow</w:t>
      </w:r>
      <w:r w:rsidR="006D5C8B">
        <w:t xml:space="preserve"> </w:t>
      </w:r>
      <w:r w:rsidR="006D5C8B" w:rsidRPr="004C5B45">
        <w:t xml:space="preserve">lesions </w:t>
      </w:r>
      <w:r w:rsidR="00416008" w:rsidRPr="004C5B45">
        <w:t xml:space="preserve">bilaterally </w:t>
      </w:r>
      <w:r w:rsidR="006D5C8B" w:rsidRPr="004C5B45">
        <w:t xml:space="preserve">at the level of </w:t>
      </w:r>
      <w:r w:rsidR="009E2E00">
        <w:t xml:space="preserve">the </w:t>
      </w:r>
      <w:r w:rsidR="006D5C8B" w:rsidRPr="004C5B45">
        <w:t xml:space="preserve">retinal pigment epithelium and choriocapillaris, with some showing </w:t>
      </w:r>
      <w:r w:rsidR="004C5B45">
        <w:t xml:space="preserve">early </w:t>
      </w:r>
      <w:r w:rsidR="006D5C8B" w:rsidRPr="004C5B45">
        <w:t>hyperpigmentation</w:t>
      </w:r>
      <w:r w:rsidR="00442F66">
        <w:t xml:space="preserve"> </w:t>
      </w:r>
      <w:r w:rsidR="00442F66" w:rsidRPr="004C5B45">
        <w:t>(Figure 1</w:t>
      </w:r>
      <w:r w:rsidR="00444231">
        <w:t>a</w:t>
      </w:r>
      <w:r w:rsidR="00442F66" w:rsidRPr="004C5B45">
        <w:t>)</w:t>
      </w:r>
      <w:r w:rsidR="006D5C8B" w:rsidRPr="004C5B45">
        <w:t>.</w:t>
      </w:r>
      <w:r w:rsidR="00AC6EBD" w:rsidRPr="004C5B45">
        <w:t xml:space="preserve"> Flu</w:t>
      </w:r>
      <w:r w:rsidR="00C91B88" w:rsidRPr="004C5B45">
        <w:t>o</w:t>
      </w:r>
      <w:r w:rsidR="00AC6EBD" w:rsidRPr="004C5B45">
        <w:t>r</w:t>
      </w:r>
      <w:r w:rsidR="00C91B88" w:rsidRPr="004C5B45">
        <w:t>e</w:t>
      </w:r>
      <w:r w:rsidR="00AC6EBD" w:rsidRPr="004C5B45">
        <w:t>scein angiograp</w:t>
      </w:r>
      <w:r w:rsidR="00C91B88" w:rsidRPr="004C5B45">
        <w:t>h</w:t>
      </w:r>
      <w:r w:rsidR="00AC6EBD" w:rsidRPr="004C5B45">
        <w:t>y</w:t>
      </w:r>
      <w:r w:rsidR="00416008" w:rsidRPr="004C5B45">
        <w:t xml:space="preserve"> </w:t>
      </w:r>
      <w:r w:rsidR="00F30C06" w:rsidRPr="004C5B45">
        <w:t>showed ea</w:t>
      </w:r>
      <w:r w:rsidR="00A54667" w:rsidRPr="004C5B45">
        <w:t>rly hyp</w:t>
      </w:r>
      <w:r w:rsidR="00143E23" w:rsidRPr="004C5B45">
        <w:t>o</w:t>
      </w:r>
      <w:r w:rsidR="00A54667" w:rsidRPr="004C5B45">
        <w:t>fluorescence</w:t>
      </w:r>
      <w:r w:rsidR="00143E23" w:rsidRPr="004C5B45">
        <w:t xml:space="preserve"> and late hyperfluorescence of </w:t>
      </w:r>
      <w:r w:rsidR="00E81C9A">
        <w:t>some</w:t>
      </w:r>
      <w:r w:rsidR="00143E23" w:rsidRPr="004C5B45">
        <w:t xml:space="preserve"> lesions (Figure 1</w:t>
      </w:r>
      <w:r w:rsidR="00444231">
        <w:t>b</w:t>
      </w:r>
      <w:r w:rsidR="00143E23" w:rsidRPr="004C5B45">
        <w:t>).</w:t>
      </w:r>
    </w:p>
    <w:p w14:paraId="3516BF30" w14:textId="36FE4C65" w:rsidR="00603E74" w:rsidRDefault="00131C4B" w:rsidP="000474A9">
      <w:r>
        <w:t xml:space="preserve">Inflammatory markers were normal and </w:t>
      </w:r>
      <w:r w:rsidR="00F07F20">
        <w:t>a full blood count showed only a marginally low lymphocyte count (</w:t>
      </w:r>
      <w:r w:rsidR="00912A1E">
        <w:t>0.95 x 10</w:t>
      </w:r>
      <w:r w:rsidR="00912A1E">
        <w:rPr>
          <w:vertAlign w:val="superscript"/>
        </w:rPr>
        <w:t>9</w:t>
      </w:r>
      <w:r w:rsidR="00912A1E">
        <w:t>/L).</w:t>
      </w:r>
      <w:r w:rsidR="00912A1E">
        <w:rPr>
          <w:vertAlign w:val="superscript"/>
        </w:rPr>
        <w:t xml:space="preserve"> </w:t>
      </w:r>
      <w:r w:rsidR="00603E74">
        <w:t xml:space="preserve">An autoimmune screen showed normal immunoglobulin, serum </w:t>
      </w:r>
      <w:r w:rsidR="00416008">
        <w:t xml:space="preserve">angiotensin </w:t>
      </w:r>
      <w:r w:rsidR="00416008">
        <w:lastRenderedPageBreak/>
        <w:t>converting enzyme (ACE)</w:t>
      </w:r>
      <w:r w:rsidR="00603E74">
        <w:t xml:space="preserve"> and complement levels</w:t>
      </w:r>
      <w:r w:rsidR="00D9019E">
        <w:t>,</w:t>
      </w:r>
      <w:r w:rsidR="00603E74">
        <w:t xml:space="preserve"> and was negative for </w:t>
      </w:r>
      <w:r w:rsidR="00416008">
        <w:t>antinuclear antibodies</w:t>
      </w:r>
      <w:r w:rsidR="00603E74">
        <w:t xml:space="preserve">. </w:t>
      </w:r>
      <w:r w:rsidR="00416008">
        <w:t>Infection was ruled out by s</w:t>
      </w:r>
      <w:r w:rsidR="00603E74">
        <w:t>e</w:t>
      </w:r>
      <w:r w:rsidR="00416008">
        <w:t>rological testing</w:t>
      </w:r>
      <w:r w:rsidR="004C5B45">
        <w:t xml:space="preserve"> (including for syphilis)</w:t>
      </w:r>
      <w:r w:rsidR="00416008">
        <w:t>,</w:t>
      </w:r>
      <w:r w:rsidR="00ED2C28">
        <w:t xml:space="preserve"> </w:t>
      </w:r>
      <w:r w:rsidR="0055268D" w:rsidRPr="0055268D">
        <w:rPr>
          <w:color w:val="FF0000"/>
        </w:rPr>
        <w:t xml:space="preserve">analysis of aqueous humous obtained by </w:t>
      </w:r>
      <w:r w:rsidR="00830046" w:rsidRPr="0055268D">
        <w:rPr>
          <w:color w:val="FF0000"/>
        </w:rPr>
        <w:t>anterior chamber paracentes</w:t>
      </w:r>
      <w:r w:rsidR="00830046" w:rsidRPr="00830046">
        <w:rPr>
          <w:color w:val="FF0000"/>
        </w:rPr>
        <w:t>is</w:t>
      </w:r>
      <w:r w:rsidR="00543E58">
        <w:rPr>
          <w:color w:val="FF0000"/>
        </w:rPr>
        <w:t>,</w:t>
      </w:r>
      <w:r w:rsidR="00830046" w:rsidRPr="00830046">
        <w:rPr>
          <w:color w:val="FF0000"/>
        </w:rPr>
        <w:t xml:space="preserve"> </w:t>
      </w:r>
      <w:r w:rsidR="00416008">
        <w:t>and a T-spot test for tuberculosis.</w:t>
      </w:r>
      <w:r w:rsidR="00603E74">
        <w:t xml:space="preserve"> </w:t>
      </w:r>
      <w:r w:rsidR="00416008">
        <w:t xml:space="preserve">Additionally, a CT of the chest, abdomen and pelvis was unremarkable, making lymphoma unlikely. </w:t>
      </w:r>
    </w:p>
    <w:p w14:paraId="266EB8DF" w14:textId="24A2B051" w:rsidR="001121AD" w:rsidRDefault="00645E1B" w:rsidP="000474A9">
      <w:r>
        <w:t xml:space="preserve">Over the next </w:t>
      </w:r>
      <w:r w:rsidR="00416008">
        <w:t>weeks</w:t>
      </w:r>
      <w:r>
        <w:t xml:space="preserve">, he </w:t>
      </w:r>
      <w:r w:rsidR="004C5B45">
        <w:t xml:space="preserve">demonstrated </w:t>
      </w:r>
      <w:r w:rsidR="00340580">
        <w:t xml:space="preserve">continual </w:t>
      </w:r>
      <w:r w:rsidR="004C5B45">
        <w:t>evolution of chorioretinal</w:t>
      </w:r>
      <w:r w:rsidR="00603E74">
        <w:t xml:space="preserve"> lesions</w:t>
      </w:r>
      <w:r w:rsidR="006A5227">
        <w:t xml:space="preserve"> </w:t>
      </w:r>
      <w:r>
        <w:t>bilat</w:t>
      </w:r>
      <w:r w:rsidR="002A16DC">
        <w:t>erally</w:t>
      </w:r>
      <w:r w:rsidR="00442F66">
        <w:t xml:space="preserve"> (Figure 1</w:t>
      </w:r>
      <w:r w:rsidR="00444231">
        <w:t>a</w:t>
      </w:r>
      <w:r w:rsidR="00E81C9A">
        <w:t>)</w:t>
      </w:r>
      <w:r w:rsidR="002A16DC">
        <w:t xml:space="preserve">. There were no </w:t>
      </w:r>
      <w:r w:rsidR="000E6621">
        <w:t xml:space="preserve">symptoms of neurological involvement. Accordingly, an MRI scan of the head showed no new lesions and </w:t>
      </w:r>
      <w:r w:rsidR="002A16DC">
        <w:t xml:space="preserve">a lumbar puncture was unremarkable. </w:t>
      </w:r>
      <w:r w:rsidR="004C5B45">
        <w:t>An empirical course of acyclovir treatment was commenced even though his presentation was not typical of herpetic disease and his</w:t>
      </w:r>
      <w:r w:rsidR="00416008">
        <w:t xml:space="preserve"> symptoms began resolving after two months</w:t>
      </w:r>
      <w:r w:rsidR="004C5B45">
        <w:t>.</w:t>
      </w:r>
      <w:r w:rsidR="00416008">
        <w:t xml:space="preserve"> </w:t>
      </w:r>
    </w:p>
    <w:p w14:paraId="2845BB54" w14:textId="229895EE" w:rsidR="00B60EDE" w:rsidRDefault="00416008" w:rsidP="00416008">
      <w:r>
        <w:t>APMPPE is a self-limiting</w:t>
      </w:r>
      <w:r w:rsidR="002A16DC">
        <w:t xml:space="preserve"> idiopathic inflammatory chorioretinopathy, </w:t>
      </w:r>
      <w:r w:rsidR="000E6621">
        <w:t>believed to be secondary to a hypersensitivity-induced obstructive vasculiti</w:t>
      </w:r>
      <w:r w:rsidR="00DB2EC2">
        <w:t>s</w:t>
      </w:r>
      <w:r w:rsidR="009F2257">
        <w:t xml:space="preserve"> affecting the choriocapillaris</w:t>
      </w:r>
      <w:r w:rsidR="00786E44">
        <w:t xml:space="preserve"> </w:t>
      </w:r>
      <w:r w:rsidR="00786E44" w:rsidRPr="00786E44">
        <w:rPr>
          <w:rFonts w:ascii="Calibri" w:hAnsi="Calibri" w:cs="Calibri"/>
        </w:rPr>
        <w:t>[2, 3]</w:t>
      </w:r>
      <w:r w:rsidR="000E6621">
        <w:t xml:space="preserve">. </w:t>
      </w:r>
      <w:r w:rsidR="00BE492A">
        <w:t>Associations of the disease with</w:t>
      </w:r>
      <w:r w:rsidR="00BC6483">
        <w:t xml:space="preserve"> </w:t>
      </w:r>
      <w:r w:rsidR="00E332EC">
        <w:t>preceding viral infections and vaccinations, as well as with human leukocyte antigen (HLA) haplotypes</w:t>
      </w:r>
      <w:r w:rsidR="00B60EDE">
        <w:t xml:space="preserve"> DR2 and B7, support an immune aetiology for APMPPE</w:t>
      </w:r>
      <w:r w:rsidR="00786E44">
        <w:t xml:space="preserve"> </w:t>
      </w:r>
      <w:r w:rsidR="00786E44" w:rsidRPr="00786E44">
        <w:rPr>
          <w:rFonts w:ascii="Calibri" w:hAnsi="Calibri" w:cs="Calibri"/>
        </w:rPr>
        <w:t>[4]</w:t>
      </w:r>
      <w:r w:rsidR="00B60EDE">
        <w:t>.</w:t>
      </w:r>
      <w:r w:rsidR="00E332EC">
        <w:t xml:space="preserve"> </w:t>
      </w:r>
    </w:p>
    <w:p w14:paraId="24CFA7C9" w14:textId="04ACD9CD" w:rsidR="00416008" w:rsidRDefault="000E6621" w:rsidP="00416008">
      <w:r>
        <w:t xml:space="preserve">There is no </w:t>
      </w:r>
      <w:r w:rsidR="003165E8">
        <w:t xml:space="preserve">single </w:t>
      </w:r>
      <w:r>
        <w:t>diagnostic investigation</w:t>
      </w:r>
      <w:r w:rsidR="003165E8">
        <w:t>,</w:t>
      </w:r>
      <w:r>
        <w:t xml:space="preserve"> but </w:t>
      </w:r>
      <w:r w:rsidR="000774D5">
        <w:t xml:space="preserve">the exclusion of other causes and the characteristic appearance make </w:t>
      </w:r>
      <w:r w:rsidR="00B60EDE">
        <w:t>APMPPE</w:t>
      </w:r>
      <w:r w:rsidR="000774D5">
        <w:t xml:space="preserve"> the most likely diagnosis in this case. </w:t>
      </w:r>
      <w:r w:rsidR="005A4881">
        <w:t>Moreover, t</w:t>
      </w:r>
      <w:r w:rsidR="00DB4185">
        <w:t xml:space="preserve">he timing </w:t>
      </w:r>
      <w:r w:rsidR="00460605">
        <w:t xml:space="preserve">of the occurrence of </w:t>
      </w:r>
      <w:r w:rsidR="003B4870">
        <w:t>symptoms</w:t>
      </w:r>
      <w:r w:rsidR="00460605">
        <w:t xml:space="preserve"> </w:t>
      </w:r>
      <w:r w:rsidR="00993F52">
        <w:t xml:space="preserve">coincides with </w:t>
      </w:r>
      <w:r w:rsidR="009F25DF">
        <w:t>the earlier stages of B</w:t>
      </w:r>
      <w:r w:rsidR="00D916BC">
        <w:t>-cell reconstitution following alemtuzumab</w:t>
      </w:r>
      <w:r w:rsidR="00CE4D5E">
        <w:t xml:space="preserve">: </w:t>
      </w:r>
      <w:r w:rsidR="00AB0264">
        <w:t xml:space="preserve">the </w:t>
      </w:r>
      <w:r w:rsidR="00993F52">
        <w:t>time</w:t>
      </w:r>
      <w:r w:rsidR="00EC0E9B">
        <w:t xml:space="preserve"> period</w:t>
      </w:r>
      <w:r w:rsidR="00993F52">
        <w:t xml:space="preserve"> during whi</w:t>
      </w:r>
      <w:r w:rsidR="00825119">
        <w:t xml:space="preserve">ch </w:t>
      </w:r>
      <w:r w:rsidR="006D2AD5">
        <w:t>patients are at highest risk of autoimmune disease</w:t>
      </w:r>
      <w:r w:rsidR="00786E44">
        <w:t xml:space="preserve"> </w:t>
      </w:r>
      <w:r w:rsidR="00786E44" w:rsidRPr="00786E44">
        <w:rPr>
          <w:rFonts w:ascii="Calibri" w:hAnsi="Calibri" w:cs="Calibri"/>
        </w:rPr>
        <w:t>[5]</w:t>
      </w:r>
      <w:r w:rsidR="00CE4D5E">
        <w:t xml:space="preserve">. </w:t>
      </w:r>
      <w:r w:rsidR="002B7F82">
        <w:t xml:space="preserve">The </w:t>
      </w:r>
      <w:r w:rsidR="00AD32EE">
        <w:t xml:space="preserve">coincident </w:t>
      </w:r>
      <w:r w:rsidR="002B7F82">
        <w:t>timing of symptom resolution and acyclovir treatment</w:t>
      </w:r>
      <w:r w:rsidR="00D867AF">
        <w:t xml:space="preserve"> </w:t>
      </w:r>
      <w:r w:rsidR="002B7F82">
        <w:t>is thought to be insignif</w:t>
      </w:r>
      <w:r w:rsidR="00904C92">
        <w:t>icant</w:t>
      </w:r>
      <w:r w:rsidR="002B7F82">
        <w:t xml:space="preserve"> given the negative </w:t>
      </w:r>
      <w:r w:rsidR="002B7F82" w:rsidRPr="00A250F8">
        <w:rPr>
          <w:color w:val="FF0000"/>
        </w:rPr>
        <w:t xml:space="preserve">aqueous </w:t>
      </w:r>
      <w:r w:rsidR="00A250F8">
        <w:rPr>
          <w:color w:val="FF0000"/>
        </w:rPr>
        <w:t>humour analysis</w:t>
      </w:r>
      <w:r w:rsidR="002B7F82">
        <w:t xml:space="preserve"> and the fact that APMPPE is expected to self-resolve within a similar perio</w:t>
      </w:r>
      <w:r w:rsidR="00357948">
        <w:t>d</w:t>
      </w:r>
      <w:r w:rsidR="002B7F82">
        <w:t xml:space="preserve">. </w:t>
      </w:r>
      <w:r w:rsidR="005B3199">
        <w:t>Thus, a</w:t>
      </w:r>
      <w:r w:rsidR="00ED6F69">
        <w:t xml:space="preserve">n association between alemtuzumab treatment and APMPPE </w:t>
      </w:r>
      <w:r w:rsidR="004C5B45">
        <w:t>may be presumed</w:t>
      </w:r>
      <w:r w:rsidR="00340A70">
        <w:t xml:space="preserve">, </w:t>
      </w:r>
      <w:r w:rsidR="00E93283">
        <w:t>although</w:t>
      </w:r>
      <w:r w:rsidR="00340A70">
        <w:t xml:space="preserve"> causality cannot be prove</w:t>
      </w:r>
      <w:r w:rsidR="00E93283">
        <w:t>n</w:t>
      </w:r>
      <w:r w:rsidR="00340A70">
        <w:t>.</w:t>
      </w:r>
    </w:p>
    <w:p w14:paraId="18D090B3" w14:textId="6999F0A2" w:rsidR="00DA6BD6" w:rsidRPr="00DA6BD6" w:rsidRDefault="009F2257" w:rsidP="00416008">
      <w:pPr>
        <w:rPr>
          <w:rFonts w:cstheme="minorHAnsi"/>
        </w:rPr>
      </w:pPr>
      <w:r>
        <w:t>This is the first report linking alemtuzumab treatment to APMPPE that we know of</w:t>
      </w:r>
      <w:r w:rsidR="00BA33E0">
        <w:t xml:space="preserve"> </w:t>
      </w:r>
      <w:r w:rsidR="00BA33E0" w:rsidRPr="00B973F1">
        <w:t>and raises interesting questions regarding the aetiology of the disease</w:t>
      </w:r>
      <w:r>
        <w:t xml:space="preserve">. </w:t>
      </w:r>
      <w:r w:rsidR="00BA33E0">
        <w:t>In addition, a</w:t>
      </w:r>
      <w:r w:rsidR="00097A9B">
        <w:t>lthough</w:t>
      </w:r>
      <w:r w:rsidR="00BA33E0">
        <w:t xml:space="preserve"> </w:t>
      </w:r>
      <w:r w:rsidR="00062EC2">
        <w:t xml:space="preserve">APMPPE is generally self-limiting with </w:t>
      </w:r>
      <w:r w:rsidR="00EA3A94">
        <w:t xml:space="preserve">good visual outcomes, </w:t>
      </w:r>
      <w:r w:rsidR="00F156F0">
        <w:t xml:space="preserve">more serious cases involve </w:t>
      </w:r>
      <w:r w:rsidR="00DF173E">
        <w:t xml:space="preserve">neurological and systemic </w:t>
      </w:r>
      <w:r w:rsidR="00DA6BD6">
        <w:t>complications</w:t>
      </w:r>
      <w:r w:rsidR="00AC48C3">
        <w:t xml:space="preserve"> </w:t>
      </w:r>
      <w:r w:rsidR="00786E44" w:rsidRPr="00786E44">
        <w:rPr>
          <w:rFonts w:ascii="Calibri" w:hAnsi="Calibri" w:cs="Calibri"/>
        </w:rPr>
        <w:t>[4]</w:t>
      </w:r>
      <w:r w:rsidR="00F156F0">
        <w:t xml:space="preserve">. Therefore, </w:t>
      </w:r>
      <w:r w:rsidR="00F476D9">
        <w:t>it is important for neurologists to be aware of the spectrum of autoimmune diseases occurring after treatment with alemtuzumab</w:t>
      </w:r>
      <w:r w:rsidR="00F476D9" w:rsidRPr="00DA6BD6">
        <w:rPr>
          <w:rFonts w:cstheme="minorHAnsi"/>
        </w:rPr>
        <w:t xml:space="preserve">. </w:t>
      </w:r>
    </w:p>
    <w:p w14:paraId="59129382" w14:textId="77777777" w:rsidR="00AC48C3" w:rsidRDefault="00AC48C3" w:rsidP="00DA6BD6">
      <w:pPr>
        <w:spacing w:line="240" w:lineRule="auto"/>
        <w:rPr>
          <w:rFonts w:cstheme="minorHAnsi"/>
          <w:u w:val="single"/>
        </w:rPr>
      </w:pPr>
    </w:p>
    <w:p w14:paraId="1477883D" w14:textId="35BAC489" w:rsidR="00E44B50" w:rsidRDefault="00143E23" w:rsidP="00DA6BD6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Figure</w:t>
      </w:r>
      <w:r w:rsidR="00A6746C">
        <w:rPr>
          <w:rFonts w:cstheme="minorHAnsi"/>
          <w:u w:val="single"/>
        </w:rPr>
        <w:t xml:space="preserve"> Legends</w:t>
      </w:r>
    </w:p>
    <w:p w14:paraId="1FDCF0D2" w14:textId="0888A43E" w:rsidR="004C488F" w:rsidRPr="004C488F" w:rsidRDefault="00A83CE0" w:rsidP="00DA6BD6">
      <w:pPr>
        <w:spacing w:line="240" w:lineRule="auto"/>
        <w:rPr>
          <w:rFonts w:cstheme="minorHAnsi"/>
        </w:rPr>
      </w:pPr>
      <w:r w:rsidRPr="00AC48C3">
        <w:rPr>
          <w:rFonts w:cstheme="minorHAnsi"/>
          <w:b/>
        </w:rPr>
        <w:t>Fig 1 Ophthalmological findings</w:t>
      </w:r>
      <w:r w:rsidR="00B827E0">
        <w:rPr>
          <w:rFonts w:cstheme="minorHAnsi"/>
        </w:rPr>
        <w:t xml:space="preserve"> </w:t>
      </w:r>
      <w:r w:rsidR="0003258A">
        <w:rPr>
          <w:rFonts w:cstheme="minorHAnsi"/>
        </w:rPr>
        <w:br/>
      </w:r>
      <w:r>
        <w:rPr>
          <w:rFonts w:cstheme="minorHAnsi"/>
        </w:rPr>
        <w:t xml:space="preserve">A: </w:t>
      </w:r>
      <w:r w:rsidR="00724B82">
        <w:rPr>
          <w:rFonts w:cstheme="minorHAnsi"/>
        </w:rPr>
        <w:t>Fundus photography</w:t>
      </w:r>
      <w:r w:rsidR="0003258A">
        <w:rPr>
          <w:rFonts w:cstheme="minorHAnsi"/>
        </w:rPr>
        <w:t xml:space="preserve"> </w:t>
      </w:r>
      <w:r w:rsidR="00DD70AC">
        <w:rPr>
          <w:rFonts w:cstheme="minorHAnsi"/>
        </w:rPr>
        <w:t xml:space="preserve">of the left (top) and right (bottom) eyes, </w:t>
      </w:r>
      <w:r w:rsidR="00724B82">
        <w:rPr>
          <w:rFonts w:cstheme="minorHAnsi"/>
        </w:rPr>
        <w:t xml:space="preserve">showing </w:t>
      </w:r>
      <w:r w:rsidR="00724B82">
        <w:t xml:space="preserve">numerous </w:t>
      </w:r>
      <w:r w:rsidR="00357948">
        <w:t>pale-yellow</w:t>
      </w:r>
      <w:r w:rsidR="00724B82">
        <w:t xml:space="preserve"> lesions at the level of retinal pigment epithelium and the choriocapillaris</w:t>
      </w:r>
      <w:r w:rsidR="00E81C9A">
        <w:t xml:space="preserve">, evolving over time. </w:t>
      </w:r>
      <w:r w:rsidR="0003258A">
        <w:br/>
      </w:r>
      <w:r w:rsidR="00E81C9A">
        <w:rPr>
          <w:rFonts w:cstheme="minorHAnsi"/>
        </w:rPr>
        <w:t>B</w:t>
      </w:r>
      <w:r w:rsidR="004C488F">
        <w:rPr>
          <w:rFonts w:cstheme="minorHAnsi"/>
        </w:rPr>
        <w:t xml:space="preserve">: Fluorescein angiography </w:t>
      </w:r>
      <w:r w:rsidR="00047B48">
        <w:rPr>
          <w:rFonts w:cstheme="minorHAnsi"/>
        </w:rPr>
        <w:t>of</w:t>
      </w:r>
      <w:r w:rsidR="00DD70AC">
        <w:rPr>
          <w:rFonts w:cstheme="minorHAnsi"/>
        </w:rPr>
        <w:t xml:space="preserve"> the left (top) and right (bottom) eyes, </w:t>
      </w:r>
      <w:r w:rsidR="004C488F">
        <w:rPr>
          <w:rFonts w:cstheme="minorHAnsi"/>
        </w:rPr>
        <w:t xml:space="preserve">showing </w:t>
      </w:r>
      <w:r w:rsidR="00074CD2">
        <w:rPr>
          <w:rFonts w:cstheme="minorHAnsi"/>
        </w:rPr>
        <w:t xml:space="preserve">early </w:t>
      </w:r>
      <w:r w:rsidR="004C488F">
        <w:rPr>
          <w:rFonts w:cstheme="minorHAnsi"/>
        </w:rPr>
        <w:t xml:space="preserve">hypofluorescence </w:t>
      </w:r>
      <w:r w:rsidR="00074CD2">
        <w:rPr>
          <w:rFonts w:cstheme="minorHAnsi"/>
        </w:rPr>
        <w:t>and late</w:t>
      </w:r>
      <w:r w:rsidR="004C488F">
        <w:rPr>
          <w:rFonts w:cstheme="minorHAnsi"/>
        </w:rPr>
        <w:t xml:space="preserve"> hyperfluorescence</w:t>
      </w:r>
      <w:r w:rsidR="00357948">
        <w:rPr>
          <w:rFonts w:cstheme="minorHAnsi"/>
        </w:rPr>
        <w:t>.</w:t>
      </w:r>
      <w:r w:rsidR="004C488F">
        <w:rPr>
          <w:rFonts w:cstheme="minorHAnsi"/>
        </w:rPr>
        <w:t xml:space="preserve"> </w:t>
      </w:r>
    </w:p>
    <w:p w14:paraId="19909B6C" w14:textId="77777777" w:rsidR="00AC48C3" w:rsidRDefault="00AC48C3" w:rsidP="00DA6BD6">
      <w:pPr>
        <w:spacing w:line="240" w:lineRule="auto"/>
        <w:rPr>
          <w:rFonts w:cstheme="minorHAnsi"/>
          <w:u w:val="single"/>
        </w:rPr>
      </w:pPr>
    </w:p>
    <w:p w14:paraId="3F3404B9" w14:textId="38B1D6F7" w:rsidR="00DA6BD6" w:rsidRPr="00DA6BD6" w:rsidRDefault="00DA6BD6" w:rsidP="00DA6BD6">
      <w:pPr>
        <w:spacing w:line="240" w:lineRule="auto"/>
        <w:rPr>
          <w:rFonts w:cstheme="minorHAnsi"/>
          <w:u w:val="single"/>
        </w:rPr>
      </w:pPr>
      <w:r w:rsidRPr="00DA6BD6">
        <w:rPr>
          <w:rFonts w:cstheme="minorHAnsi"/>
          <w:u w:val="single"/>
        </w:rPr>
        <w:t xml:space="preserve">References </w:t>
      </w:r>
    </w:p>
    <w:p w14:paraId="28CA5DBC" w14:textId="362EFB1A" w:rsidR="00786E44" w:rsidRPr="00786E44" w:rsidRDefault="00786E44" w:rsidP="00786E44">
      <w:pPr>
        <w:pStyle w:val="Bibliography"/>
        <w:rPr>
          <w:rFonts w:ascii="Calibri" w:hAnsi="Calibri" w:cs="Calibri"/>
        </w:rPr>
      </w:pPr>
      <w:r w:rsidRPr="00786E44">
        <w:rPr>
          <w:rFonts w:ascii="Calibri" w:hAnsi="Calibri" w:cs="Calibri"/>
        </w:rPr>
        <w:t xml:space="preserve">1. </w:t>
      </w:r>
      <w:r w:rsidRPr="00786E44">
        <w:rPr>
          <w:rFonts w:ascii="Calibri" w:hAnsi="Calibri" w:cs="Calibri"/>
        </w:rPr>
        <w:tab/>
        <w:t>Hill-Cawthorne GA, Button T, Tuohy O, et al (2012) Long term lymphocyte reconstitution after alemtuzumab treatment of multiple sclerosis. J Neurol Neurosurg Psychiatry 83:298–304. https://doi.org/10.1136/jnnp-2011-300826</w:t>
      </w:r>
    </w:p>
    <w:p w14:paraId="767ACEFC" w14:textId="77777777" w:rsidR="00786E44" w:rsidRPr="00786E44" w:rsidRDefault="00786E44" w:rsidP="00786E44">
      <w:pPr>
        <w:pStyle w:val="Bibliography"/>
        <w:rPr>
          <w:rFonts w:ascii="Calibri" w:hAnsi="Calibri" w:cs="Calibri"/>
        </w:rPr>
      </w:pPr>
      <w:r w:rsidRPr="00786E44">
        <w:rPr>
          <w:rFonts w:ascii="Calibri" w:hAnsi="Calibri" w:cs="Calibri"/>
        </w:rPr>
        <w:t xml:space="preserve">2. </w:t>
      </w:r>
      <w:r w:rsidRPr="00786E44">
        <w:rPr>
          <w:rFonts w:ascii="Calibri" w:hAnsi="Calibri" w:cs="Calibri"/>
        </w:rPr>
        <w:tab/>
        <w:t>Gass JD (1968) Acute posterior multifocal placoid pigment epitheliopathy. Arch Ophthalmol Chic Ill 1960 80:177–185</w:t>
      </w:r>
    </w:p>
    <w:p w14:paraId="606383A5" w14:textId="77777777" w:rsidR="00786E44" w:rsidRPr="00786E44" w:rsidRDefault="00786E44" w:rsidP="00786E44">
      <w:pPr>
        <w:pStyle w:val="Bibliography"/>
        <w:rPr>
          <w:rFonts w:ascii="Calibri" w:hAnsi="Calibri" w:cs="Calibri"/>
        </w:rPr>
      </w:pPr>
      <w:r w:rsidRPr="00786E44">
        <w:rPr>
          <w:rFonts w:ascii="Calibri" w:hAnsi="Calibri" w:cs="Calibri"/>
        </w:rPr>
        <w:lastRenderedPageBreak/>
        <w:t xml:space="preserve">3. </w:t>
      </w:r>
      <w:r w:rsidRPr="00786E44">
        <w:rPr>
          <w:rFonts w:ascii="Calibri" w:hAnsi="Calibri" w:cs="Calibri"/>
        </w:rPr>
        <w:tab/>
        <w:t>Burke TR, Chu CJ, Salvatore S, et al (2017) Application of OCT-angiography to characterise the evolution of chorioretinal lesions in acute posterior multifocal placoid pigment epitheliopathy. Eye Lond Engl 31:1399–1408. https://doi.org/10.1038/eye.2017.180</w:t>
      </w:r>
    </w:p>
    <w:p w14:paraId="64BE3292" w14:textId="77777777" w:rsidR="00786E44" w:rsidRPr="00786E44" w:rsidRDefault="00786E44" w:rsidP="00786E44">
      <w:pPr>
        <w:pStyle w:val="Bibliography"/>
        <w:rPr>
          <w:rFonts w:ascii="Calibri" w:hAnsi="Calibri" w:cs="Calibri"/>
        </w:rPr>
      </w:pPr>
      <w:r w:rsidRPr="00786E44">
        <w:rPr>
          <w:rFonts w:ascii="Calibri" w:hAnsi="Calibri" w:cs="Calibri"/>
        </w:rPr>
        <w:t xml:space="preserve">4. </w:t>
      </w:r>
      <w:r w:rsidRPr="00786E44">
        <w:rPr>
          <w:rFonts w:ascii="Calibri" w:hAnsi="Calibri" w:cs="Calibri"/>
        </w:rPr>
        <w:tab/>
        <w:t>Algahtani H, Alkhotani A, Shirah B (2016) Neurological Manifestations of Acute Posterior Multifocal Placoid Pigment Epitheliopathy. J Clin Neurol Seoul Korea 12:460. https://doi.org/10.3988/jcn.2016.12.4.460</w:t>
      </w:r>
    </w:p>
    <w:p w14:paraId="6FA6FEE0" w14:textId="77777777" w:rsidR="00786E44" w:rsidRPr="00786E44" w:rsidRDefault="00786E44" w:rsidP="00786E44">
      <w:pPr>
        <w:pStyle w:val="Bibliography"/>
        <w:rPr>
          <w:rFonts w:ascii="Calibri" w:hAnsi="Calibri" w:cs="Calibri"/>
        </w:rPr>
      </w:pPr>
      <w:r w:rsidRPr="00786E44">
        <w:rPr>
          <w:rFonts w:ascii="Calibri" w:hAnsi="Calibri" w:cs="Calibri"/>
        </w:rPr>
        <w:t xml:space="preserve">5. </w:t>
      </w:r>
      <w:r w:rsidRPr="00786E44">
        <w:rPr>
          <w:rFonts w:ascii="Calibri" w:hAnsi="Calibri" w:cs="Calibri"/>
        </w:rPr>
        <w:tab/>
        <w:t>Guarnera C, Bramanti P, Mazzon E (2017) Alemtuzumab: a review of efficacy and risks in the treatment of relapsing remitting multiple sclerosis. Ther Clin Risk Manag 13:871–879. https://doi.org/10.2147/TCRM.S134398</w:t>
      </w:r>
    </w:p>
    <w:p w14:paraId="0FEFC1EE" w14:textId="66286170" w:rsidR="000E6621" w:rsidRDefault="000E6621" w:rsidP="009F2257">
      <w:pPr>
        <w:spacing w:line="240" w:lineRule="auto"/>
      </w:pPr>
    </w:p>
    <w:sectPr w:rsidR="000E66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32BE5" w14:textId="77777777" w:rsidR="00EA1084" w:rsidRDefault="00EA1084" w:rsidP="002A16DC">
      <w:pPr>
        <w:spacing w:after="0" w:line="240" w:lineRule="auto"/>
      </w:pPr>
      <w:r>
        <w:separator/>
      </w:r>
    </w:p>
  </w:endnote>
  <w:endnote w:type="continuationSeparator" w:id="0">
    <w:p w14:paraId="486B14BB" w14:textId="77777777" w:rsidR="00EA1084" w:rsidRDefault="00EA1084" w:rsidP="002A16DC">
      <w:pPr>
        <w:spacing w:after="0" w:line="240" w:lineRule="auto"/>
      </w:pPr>
      <w:r>
        <w:continuationSeparator/>
      </w:r>
    </w:p>
  </w:endnote>
  <w:endnote w:type="continuationNotice" w:id="1">
    <w:p w14:paraId="60E5A9BD" w14:textId="77777777" w:rsidR="00EA1084" w:rsidRDefault="00EA1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48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DFBB0" w14:textId="413CE4F9" w:rsidR="0030220E" w:rsidRDefault="00302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E11894" w14:textId="77777777" w:rsidR="0030220E" w:rsidRDefault="0030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F35A4" w14:textId="77777777" w:rsidR="00EA1084" w:rsidRDefault="00EA1084" w:rsidP="002A16DC">
      <w:pPr>
        <w:spacing w:after="0" w:line="240" w:lineRule="auto"/>
      </w:pPr>
      <w:r>
        <w:separator/>
      </w:r>
    </w:p>
  </w:footnote>
  <w:footnote w:type="continuationSeparator" w:id="0">
    <w:p w14:paraId="6C144DB2" w14:textId="77777777" w:rsidR="00EA1084" w:rsidRDefault="00EA1084" w:rsidP="002A16DC">
      <w:pPr>
        <w:spacing w:after="0" w:line="240" w:lineRule="auto"/>
      </w:pPr>
      <w:r>
        <w:continuationSeparator/>
      </w:r>
    </w:p>
  </w:footnote>
  <w:footnote w:type="continuationNotice" w:id="1">
    <w:p w14:paraId="25C1203A" w14:textId="77777777" w:rsidR="00EA1084" w:rsidRDefault="00EA10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67CD"/>
    <w:multiLevelType w:val="hybridMultilevel"/>
    <w:tmpl w:val="65BC45B4"/>
    <w:lvl w:ilvl="0" w:tplc="A71E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1"/>
    <w:rsid w:val="00000261"/>
    <w:rsid w:val="00012059"/>
    <w:rsid w:val="00012D62"/>
    <w:rsid w:val="00016C8E"/>
    <w:rsid w:val="000176C3"/>
    <w:rsid w:val="00017A90"/>
    <w:rsid w:val="0003258A"/>
    <w:rsid w:val="0004512E"/>
    <w:rsid w:val="000474A9"/>
    <w:rsid w:val="00047B48"/>
    <w:rsid w:val="00062EC2"/>
    <w:rsid w:val="00065D09"/>
    <w:rsid w:val="00074CD2"/>
    <w:rsid w:val="000774D5"/>
    <w:rsid w:val="000812D3"/>
    <w:rsid w:val="00097A9B"/>
    <w:rsid w:val="000A29B1"/>
    <w:rsid w:val="000E6621"/>
    <w:rsid w:val="000F4002"/>
    <w:rsid w:val="00105BA0"/>
    <w:rsid w:val="001121AD"/>
    <w:rsid w:val="00131C4B"/>
    <w:rsid w:val="00143E23"/>
    <w:rsid w:val="00144CBC"/>
    <w:rsid w:val="00174A39"/>
    <w:rsid w:val="00183BBB"/>
    <w:rsid w:val="001D504D"/>
    <w:rsid w:val="001F51AA"/>
    <w:rsid w:val="00203573"/>
    <w:rsid w:val="00272C82"/>
    <w:rsid w:val="00275E23"/>
    <w:rsid w:val="00293DA5"/>
    <w:rsid w:val="002A16DC"/>
    <w:rsid w:val="002B5F4F"/>
    <w:rsid w:val="002B7F82"/>
    <w:rsid w:val="002C0B38"/>
    <w:rsid w:val="002F2137"/>
    <w:rsid w:val="002F4749"/>
    <w:rsid w:val="0030220E"/>
    <w:rsid w:val="0031536D"/>
    <w:rsid w:val="003165E8"/>
    <w:rsid w:val="0032317E"/>
    <w:rsid w:val="003310FA"/>
    <w:rsid w:val="00340580"/>
    <w:rsid w:val="00340A70"/>
    <w:rsid w:val="00357948"/>
    <w:rsid w:val="00376851"/>
    <w:rsid w:val="003A76E4"/>
    <w:rsid w:val="003B4870"/>
    <w:rsid w:val="003C3568"/>
    <w:rsid w:val="003E33BC"/>
    <w:rsid w:val="003E7629"/>
    <w:rsid w:val="00416008"/>
    <w:rsid w:val="00442F66"/>
    <w:rsid w:val="00443AC1"/>
    <w:rsid w:val="00444231"/>
    <w:rsid w:val="00453827"/>
    <w:rsid w:val="00460605"/>
    <w:rsid w:val="0046132B"/>
    <w:rsid w:val="00464BD2"/>
    <w:rsid w:val="004814AA"/>
    <w:rsid w:val="004A29BD"/>
    <w:rsid w:val="004B26F8"/>
    <w:rsid w:val="004C488F"/>
    <w:rsid w:val="004C5B45"/>
    <w:rsid w:val="00516B92"/>
    <w:rsid w:val="005210B5"/>
    <w:rsid w:val="00531A50"/>
    <w:rsid w:val="00541D36"/>
    <w:rsid w:val="00543E58"/>
    <w:rsid w:val="0055268D"/>
    <w:rsid w:val="00573E51"/>
    <w:rsid w:val="005A4881"/>
    <w:rsid w:val="005B3199"/>
    <w:rsid w:val="00603E74"/>
    <w:rsid w:val="00607431"/>
    <w:rsid w:val="0062196D"/>
    <w:rsid w:val="00645E1B"/>
    <w:rsid w:val="00646FEB"/>
    <w:rsid w:val="0065238F"/>
    <w:rsid w:val="006609C8"/>
    <w:rsid w:val="006975CB"/>
    <w:rsid w:val="006A5227"/>
    <w:rsid w:val="006D017B"/>
    <w:rsid w:val="006D2AD5"/>
    <w:rsid w:val="006D5C8B"/>
    <w:rsid w:val="007167C3"/>
    <w:rsid w:val="00724B82"/>
    <w:rsid w:val="00737DA7"/>
    <w:rsid w:val="00742687"/>
    <w:rsid w:val="0074365A"/>
    <w:rsid w:val="007524BF"/>
    <w:rsid w:val="00762594"/>
    <w:rsid w:val="007715D7"/>
    <w:rsid w:val="00786E44"/>
    <w:rsid w:val="00794307"/>
    <w:rsid w:val="007C4FEA"/>
    <w:rsid w:val="007D6647"/>
    <w:rsid w:val="007F2E4E"/>
    <w:rsid w:val="008103CA"/>
    <w:rsid w:val="0082099B"/>
    <w:rsid w:val="00825119"/>
    <w:rsid w:val="00830046"/>
    <w:rsid w:val="00832CC9"/>
    <w:rsid w:val="0085030B"/>
    <w:rsid w:val="00862246"/>
    <w:rsid w:val="008629C3"/>
    <w:rsid w:val="00863C7D"/>
    <w:rsid w:val="00870FE2"/>
    <w:rsid w:val="00892A80"/>
    <w:rsid w:val="00900806"/>
    <w:rsid w:val="00903761"/>
    <w:rsid w:val="00904C92"/>
    <w:rsid w:val="00912A1E"/>
    <w:rsid w:val="00957305"/>
    <w:rsid w:val="0097202B"/>
    <w:rsid w:val="00972765"/>
    <w:rsid w:val="00993F52"/>
    <w:rsid w:val="009C10CF"/>
    <w:rsid w:val="009D2182"/>
    <w:rsid w:val="009D3B0F"/>
    <w:rsid w:val="009E2E00"/>
    <w:rsid w:val="009F2257"/>
    <w:rsid w:val="009F25DF"/>
    <w:rsid w:val="00A225FD"/>
    <w:rsid w:val="00A250F8"/>
    <w:rsid w:val="00A5456C"/>
    <w:rsid w:val="00A54667"/>
    <w:rsid w:val="00A663E6"/>
    <w:rsid w:val="00A6746C"/>
    <w:rsid w:val="00A83CE0"/>
    <w:rsid w:val="00AA05D1"/>
    <w:rsid w:val="00AB0264"/>
    <w:rsid w:val="00AB1A65"/>
    <w:rsid w:val="00AB6EAA"/>
    <w:rsid w:val="00AB7E3B"/>
    <w:rsid w:val="00AC48C3"/>
    <w:rsid w:val="00AC6EBD"/>
    <w:rsid w:val="00AD32EE"/>
    <w:rsid w:val="00AE37CE"/>
    <w:rsid w:val="00B50CDE"/>
    <w:rsid w:val="00B53257"/>
    <w:rsid w:val="00B54EDC"/>
    <w:rsid w:val="00B60EDE"/>
    <w:rsid w:val="00B642D8"/>
    <w:rsid w:val="00B801E0"/>
    <w:rsid w:val="00B81AB9"/>
    <w:rsid w:val="00B827E0"/>
    <w:rsid w:val="00B973F1"/>
    <w:rsid w:val="00BA33E0"/>
    <w:rsid w:val="00BC3230"/>
    <w:rsid w:val="00BC6483"/>
    <w:rsid w:val="00BE492A"/>
    <w:rsid w:val="00C220B0"/>
    <w:rsid w:val="00C26C65"/>
    <w:rsid w:val="00C77FDD"/>
    <w:rsid w:val="00C91B88"/>
    <w:rsid w:val="00CA2A46"/>
    <w:rsid w:val="00CE4D5E"/>
    <w:rsid w:val="00CF2CFF"/>
    <w:rsid w:val="00D867AF"/>
    <w:rsid w:val="00D9019E"/>
    <w:rsid w:val="00D916BC"/>
    <w:rsid w:val="00DA47F7"/>
    <w:rsid w:val="00DA6BD6"/>
    <w:rsid w:val="00DB2EC2"/>
    <w:rsid w:val="00DB4185"/>
    <w:rsid w:val="00DC2DEB"/>
    <w:rsid w:val="00DD5111"/>
    <w:rsid w:val="00DD70AC"/>
    <w:rsid w:val="00DE52AC"/>
    <w:rsid w:val="00DF173E"/>
    <w:rsid w:val="00E14BB1"/>
    <w:rsid w:val="00E332EC"/>
    <w:rsid w:val="00E4278E"/>
    <w:rsid w:val="00E42D6F"/>
    <w:rsid w:val="00E44B50"/>
    <w:rsid w:val="00E476EA"/>
    <w:rsid w:val="00E73F99"/>
    <w:rsid w:val="00E81C9A"/>
    <w:rsid w:val="00E93283"/>
    <w:rsid w:val="00EA1084"/>
    <w:rsid w:val="00EA3A94"/>
    <w:rsid w:val="00EC0E9B"/>
    <w:rsid w:val="00ED2C28"/>
    <w:rsid w:val="00ED6F69"/>
    <w:rsid w:val="00EF6158"/>
    <w:rsid w:val="00F07F20"/>
    <w:rsid w:val="00F156F0"/>
    <w:rsid w:val="00F30C06"/>
    <w:rsid w:val="00F31C57"/>
    <w:rsid w:val="00F43B00"/>
    <w:rsid w:val="00F476D9"/>
    <w:rsid w:val="00F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1A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DC"/>
  </w:style>
  <w:style w:type="paragraph" w:styleId="Footer">
    <w:name w:val="footer"/>
    <w:basedOn w:val="Normal"/>
    <w:link w:val="FooterChar"/>
    <w:uiPriority w:val="99"/>
    <w:unhideWhenUsed/>
    <w:rsid w:val="002A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DC"/>
  </w:style>
  <w:style w:type="paragraph" w:styleId="Bibliography">
    <w:name w:val="Bibliography"/>
    <w:basedOn w:val="Normal"/>
    <w:next w:val="Normal"/>
    <w:uiPriority w:val="37"/>
    <w:unhideWhenUsed/>
    <w:rsid w:val="00DB2EC2"/>
    <w:pPr>
      <w:tabs>
        <w:tab w:val="left" w:pos="384"/>
      </w:tabs>
      <w:spacing w:after="240" w:line="240" w:lineRule="auto"/>
      <w:ind w:left="384" w:hanging="384"/>
    </w:pPr>
  </w:style>
  <w:style w:type="paragraph" w:styleId="NoSpacing">
    <w:name w:val="No Spacing"/>
    <w:link w:val="NoSpacingChar"/>
    <w:uiPriority w:val="1"/>
    <w:qFormat/>
    <w:rsid w:val="00464B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4BD2"/>
  </w:style>
  <w:style w:type="character" w:styleId="Hyperlink">
    <w:name w:val="Hyperlink"/>
    <w:basedOn w:val="DefaultParagraphFont"/>
    <w:uiPriority w:val="99"/>
    <w:unhideWhenUsed/>
    <w:rsid w:val="00203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DC"/>
  </w:style>
  <w:style w:type="paragraph" w:styleId="Footer">
    <w:name w:val="footer"/>
    <w:basedOn w:val="Normal"/>
    <w:link w:val="FooterChar"/>
    <w:uiPriority w:val="99"/>
    <w:unhideWhenUsed/>
    <w:rsid w:val="002A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DC"/>
  </w:style>
  <w:style w:type="paragraph" w:styleId="Bibliography">
    <w:name w:val="Bibliography"/>
    <w:basedOn w:val="Normal"/>
    <w:next w:val="Normal"/>
    <w:uiPriority w:val="37"/>
    <w:unhideWhenUsed/>
    <w:rsid w:val="00DB2EC2"/>
    <w:pPr>
      <w:tabs>
        <w:tab w:val="left" w:pos="384"/>
      </w:tabs>
      <w:spacing w:after="240" w:line="240" w:lineRule="auto"/>
      <w:ind w:left="384" w:hanging="384"/>
    </w:pPr>
  </w:style>
  <w:style w:type="paragraph" w:styleId="NoSpacing">
    <w:name w:val="No Spacing"/>
    <w:link w:val="NoSpacingChar"/>
    <w:uiPriority w:val="1"/>
    <w:qFormat/>
    <w:rsid w:val="00464B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4BD2"/>
  </w:style>
  <w:style w:type="character" w:styleId="Hyperlink">
    <w:name w:val="Hyperlink"/>
    <w:basedOn w:val="DefaultParagraphFont"/>
    <w:uiPriority w:val="99"/>
    <w:unhideWhenUsed/>
    <w:rsid w:val="0020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732@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Jiali Gao</dc:creator>
  <cp:lastModifiedBy>Joanne Jones</cp:lastModifiedBy>
  <cp:revision>2</cp:revision>
  <dcterms:created xsi:type="dcterms:W3CDTF">2019-03-28T09:33:00Z</dcterms:created>
  <dcterms:modified xsi:type="dcterms:W3CDTF">2019-03-28T09:33:00Z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id="Dq8enMHM"/&gt;&lt;style id="http://www.zotero.org/styles/journal-of-neurology"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