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5107" w14:textId="77777777" w:rsidR="00901E53" w:rsidRPr="00741CCA" w:rsidRDefault="00901E53" w:rsidP="009B73F7">
      <w:pPr>
        <w:widowControl w:val="0"/>
        <w:spacing w:line="30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14:paraId="33EAC04A" w14:textId="25ACD0E9" w:rsidR="00A72BBC" w:rsidRPr="0050463D" w:rsidRDefault="00A72BBC" w:rsidP="00741CCA">
      <w:pPr>
        <w:widowControl w:val="0"/>
        <w:spacing w:after="0" w:line="384" w:lineRule="auto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50463D">
        <w:rPr>
          <w:rFonts w:ascii="Times New Roman" w:hAnsi="Times New Roman" w:cs="Times New Roman"/>
          <w:b/>
          <w:spacing w:val="-4"/>
          <w:sz w:val="30"/>
          <w:szCs w:val="30"/>
        </w:rPr>
        <w:t xml:space="preserve">Local leads, backed by global scale: the </w:t>
      </w:r>
      <w:r w:rsidR="006511FD" w:rsidRPr="0050463D">
        <w:rPr>
          <w:rFonts w:ascii="Times New Roman" w:hAnsi="Times New Roman" w:cs="Times New Roman"/>
          <w:b/>
          <w:spacing w:val="-4"/>
          <w:sz w:val="30"/>
          <w:szCs w:val="30"/>
        </w:rPr>
        <w:t>drivers of successful engagement</w:t>
      </w:r>
    </w:p>
    <w:p w14:paraId="02A78CC9" w14:textId="1FEE24E2" w:rsidR="000B4896" w:rsidRDefault="006511FD" w:rsidP="00741CCA">
      <w:pPr>
        <w:widowControl w:val="0"/>
        <w:spacing w:before="120" w:after="120" w:line="384" w:lineRule="auto"/>
        <w:ind w:left="851" w:right="851"/>
        <w:jc w:val="center"/>
        <w:rPr>
          <w:rFonts w:ascii="Times New Roman" w:hAnsi="Times New Roman" w:cs="Times New Roman"/>
        </w:rPr>
      </w:pPr>
      <w:r w:rsidRPr="00C4367A">
        <w:rPr>
          <w:rFonts w:ascii="Times New Roman" w:hAnsi="Times New Roman" w:cs="Times New Roman"/>
        </w:rPr>
        <w:t xml:space="preserve">by </w:t>
      </w:r>
      <w:r w:rsidR="000B4896" w:rsidRPr="00C4367A">
        <w:rPr>
          <w:rFonts w:ascii="Times New Roman" w:hAnsi="Times New Roman" w:cs="Times New Roman"/>
          <w:b/>
        </w:rPr>
        <w:t>Elroy Dimson</w:t>
      </w:r>
      <w:r w:rsidR="000B4896" w:rsidRPr="00C4367A">
        <w:rPr>
          <w:rFonts w:ascii="Times New Roman" w:hAnsi="Times New Roman" w:cs="Times New Roman"/>
        </w:rPr>
        <w:t xml:space="preserve">, </w:t>
      </w:r>
      <w:r w:rsidRPr="00C4367A">
        <w:rPr>
          <w:rFonts w:ascii="Times New Roman" w:hAnsi="Times New Roman" w:cs="Times New Roman"/>
        </w:rPr>
        <w:t>Cambridge Judge Business School,</w:t>
      </w:r>
      <w:r w:rsidRPr="00C4367A">
        <w:rPr>
          <w:rFonts w:ascii="Times New Roman" w:hAnsi="Times New Roman" w:cs="Times New Roman"/>
          <w:b/>
        </w:rPr>
        <w:t xml:space="preserve"> </w:t>
      </w:r>
      <w:r w:rsidR="000B4896" w:rsidRPr="00C4367A">
        <w:rPr>
          <w:rFonts w:ascii="Times New Roman" w:hAnsi="Times New Roman" w:cs="Times New Roman"/>
          <w:b/>
        </w:rPr>
        <w:t>Oğuzhan Karakaş</w:t>
      </w:r>
      <w:r w:rsidR="00704C7D" w:rsidRPr="00C4367A">
        <w:rPr>
          <w:rFonts w:ascii="Times New Roman" w:hAnsi="Times New Roman" w:cs="Times New Roman"/>
        </w:rPr>
        <w:t>,</w:t>
      </w:r>
      <w:r w:rsidRPr="00C4367A">
        <w:rPr>
          <w:rFonts w:ascii="Times New Roman" w:hAnsi="Times New Roman" w:cs="Times New Roman"/>
        </w:rPr>
        <w:t xml:space="preserve"> Cambridge Judge Business School,</w:t>
      </w:r>
      <w:r w:rsidR="00704C7D" w:rsidRPr="00C4367A">
        <w:rPr>
          <w:rFonts w:ascii="Times New Roman" w:hAnsi="Times New Roman" w:cs="Times New Roman"/>
          <w:b/>
        </w:rPr>
        <w:t xml:space="preserve"> </w:t>
      </w:r>
      <w:r w:rsidR="000B4896" w:rsidRPr="00C4367A">
        <w:rPr>
          <w:rFonts w:ascii="Times New Roman" w:hAnsi="Times New Roman" w:cs="Times New Roman"/>
          <w:b/>
        </w:rPr>
        <w:t>and Xi Li</w:t>
      </w:r>
      <w:r w:rsidR="00704C7D" w:rsidRPr="00C4367A">
        <w:rPr>
          <w:rFonts w:ascii="Times New Roman" w:hAnsi="Times New Roman" w:cs="Times New Roman"/>
        </w:rPr>
        <w:t xml:space="preserve">, </w:t>
      </w:r>
      <w:r w:rsidR="00C25F76" w:rsidRPr="00C4367A">
        <w:rPr>
          <w:rFonts w:ascii="Times New Roman" w:hAnsi="Times New Roman" w:cs="Times New Roman"/>
        </w:rPr>
        <w:t>London School of Economics</w:t>
      </w:r>
    </w:p>
    <w:p w14:paraId="27C7A7E8" w14:textId="31813BDC" w:rsidR="00741CCA" w:rsidRPr="00C4367A" w:rsidRDefault="00741CCA" w:rsidP="00741CCA">
      <w:pPr>
        <w:widowControl w:val="0"/>
        <w:spacing w:before="120" w:after="120" w:line="384" w:lineRule="auto"/>
        <w:ind w:left="851" w:right="851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>19 September 2017</w:t>
      </w:r>
    </w:p>
    <w:p w14:paraId="29B7E56B" w14:textId="48BFBAE6" w:rsidR="00CF51A9" w:rsidRDefault="00B16A8B" w:rsidP="00741CCA">
      <w:pPr>
        <w:widowControl w:val="0"/>
        <w:spacing w:before="120" w:after="12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16A8B">
        <w:rPr>
          <w:rFonts w:ascii="Times New Roman" w:hAnsi="Times New Roman" w:cs="Times New Roman"/>
        </w:rPr>
        <w:t>ne of the central tenets of responsible investment</w:t>
      </w:r>
      <w:r w:rsidR="00531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e</w:t>
      </w:r>
      <w:r w:rsidR="00CF51A9">
        <w:rPr>
          <w:rFonts w:ascii="Times New Roman" w:hAnsi="Times New Roman" w:cs="Times New Roman"/>
        </w:rPr>
        <w:t>ngag</w:t>
      </w:r>
      <w:r>
        <w:rPr>
          <w:rFonts w:ascii="Times New Roman" w:hAnsi="Times New Roman" w:cs="Times New Roman"/>
        </w:rPr>
        <w:t>ement</w:t>
      </w:r>
      <w:r w:rsidR="00CF51A9">
        <w:rPr>
          <w:rFonts w:ascii="Times New Roman" w:hAnsi="Times New Roman" w:cs="Times New Roman"/>
        </w:rPr>
        <w:t xml:space="preserve"> with investee companies</w:t>
      </w:r>
      <w:r>
        <w:rPr>
          <w:rFonts w:ascii="Times New Roman" w:hAnsi="Times New Roman" w:cs="Times New Roman"/>
        </w:rPr>
        <w:t>. This</w:t>
      </w:r>
      <w:r w:rsidR="00A2303E">
        <w:rPr>
          <w:rFonts w:ascii="Times New Roman" w:hAnsi="Times New Roman" w:cs="Times New Roman"/>
        </w:rPr>
        <w:t xml:space="preserve"> </w:t>
      </w:r>
      <w:r w:rsidR="00C8376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e</w:t>
      </w:r>
      <w:r w:rsidR="005E7535">
        <w:rPr>
          <w:rFonts w:ascii="Times New Roman" w:hAnsi="Times New Roman" w:cs="Times New Roman"/>
        </w:rPr>
        <w:t xml:space="preserve">nshrined in </w:t>
      </w:r>
      <w:r>
        <w:rPr>
          <w:rFonts w:ascii="Times New Roman" w:hAnsi="Times New Roman" w:cs="Times New Roman"/>
        </w:rPr>
        <w:t xml:space="preserve">PRI’s </w:t>
      </w:r>
      <w:r w:rsidR="005E7535">
        <w:rPr>
          <w:rFonts w:ascii="Times New Roman" w:hAnsi="Times New Roman" w:cs="Times New Roman"/>
        </w:rPr>
        <w:t>Principle 2, “</w:t>
      </w:r>
      <w:r w:rsidR="005E7535" w:rsidRPr="005E7535">
        <w:rPr>
          <w:rFonts w:ascii="Times New Roman" w:hAnsi="Times New Roman" w:cs="Times New Roman"/>
        </w:rPr>
        <w:t>We will be active owners and incorporate ESG issues into our ownership policies and practices</w:t>
      </w:r>
      <w:r>
        <w:rPr>
          <w:rFonts w:ascii="Times New Roman" w:hAnsi="Times New Roman" w:cs="Times New Roman"/>
        </w:rPr>
        <w:t>,</w:t>
      </w:r>
      <w:r w:rsidR="005E75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 i</w:t>
      </w:r>
      <w:r w:rsidR="005E7535">
        <w:rPr>
          <w:rFonts w:ascii="Times New Roman" w:hAnsi="Times New Roman" w:cs="Times New Roman"/>
        </w:rPr>
        <w:t>t is</w:t>
      </w:r>
      <w:r w:rsidR="00CF51A9">
        <w:rPr>
          <w:rFonts w:ascii="Times New Roman" w:hAnsi="Times New Roman" w:cs="Times New Roman"/>
        </w:rPr>
        <w:t xml:space="preserve"> practiced by more than 85%</w:t>
      </w:r>
      <w:r w:rsidR="00083CE7">
        <w:rPr>
          <w:rFonts w:ascii="Times New Roman" w:hAnsi="Times New Roman" w:cs="Times New Roman"/>
        </w:rPr>
        <w:t xml:space="preserve"> of PRI signatories with listed equity holdings</w:t>
      </w:r>
      <w:r>
        <w:rPr>
          <w:rFonts w:ascii="Times New Roman" w:hAnsi="Times New Roman" w:cs="Times New Roman"/>
        </w:rPr>
        <w:t>. PRI encourages and facilitates collaborative engagement, ye</w:t>
      </w:r>
      <w:r w:rsidR="00B361EB">
        <w:rPr>
          <w:rFonts w:ascii="Times New Roman" w:hAnsi="Times New Roman" w:cs="Times New Roman"/>
        </w:rPr>
        <w:t xml:space="preserve">t </w:t>
      </w:r>
      <w:r w:rsidR="00BC108A">
        <w:rPr>
          <w:rFonts w:ascii="Times New Roman" w:hAnsi="Times New Roman" w:cs="Times New Roman"/>
        </w:rPr>
        <w:t>robust</w:t>
      </w:r>
      <w:r w:rsidR="001A4770">
        <w:rPr>
          <w:rFonts w:ascii="Times New Roman" w:hAnsi="Times New Roman" w:cs="Times New Roman"/>
        </w:rPr>
        <w:t xml:space="preserve"> </w:t>
      </w:r>
      <w:r w:rsidR="00623F85">
        <w:rPr>
          <w:rFonts w:ascii="Times New Roman" w:hAnsi="Times New Roman" w:cs="Times New Roman"/>
        </w:rPr>
        <w:t>evidence</w:t>
      </w:r>
      <w:r w:rsidR="00BC108A">
        <w:rPr>
          <w:rFonts w:ascii="Times New Roman" w:hAnsi="Times New Roman" w:cs="Times New Roman"/>
        </w:rPr>
        <w:t xml:space="preserve"> </w:t>
      </w:r>
      <w:r w:rsidR="00CF51A9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its</w:t>
      </w:r>
      <w:r w:rsidR="00CF51A9">
        <w:rPr>
          <w:rFonts w:ascii="Times New Roman" w:hAnsi="Times New Roman" w:cs="Times New Roman"/>
        </w:rPr>
        <w:t xml:space="preserve"> effective</w:t>
      </w:r>
      <w:r>
        <w:rPr>
          <w:rFonts w:ascii="Times New Roman" w:hAnsi="Times New Roman" w:cs="Times New Roman"/>
        </w:rPr>
        <w:t>ness in</w:t>
      </w:r>
      <w:r w:rsidR="00CF51A9">
        <w:rPr>
          <w:rFonts w:ascii="Times New Roman" w:hAnsi="Times New Roman" w:cs="Times New Roman"/>
        </w:rPr>
        <w:t xml:space="preserve"> driving corporate change </w:t>
      </w:r>
      <w:r w:rsidR="00C8376B">
        <w:rPr>
          <w:rFonts w:ascii="Times New Roman" w:hAnsi="Times New Roman" w:cs="Times New Roman"/>
        </w:rPr>
        <w:t xml:space="preserve">and </w:t>
      </w:r>
      <w:r w:rsidR="00CF51A9">
        <w:rPr>
          <w:rFonts w:ascii="Times New Roman" w:hAnsi="Times New Roman" w:cs="Times New Roman"/>
        </w:rPr>
        <w:t xml:space="preserve">creating value for investors </w:t>
      </w:r>
      <w:r w:rsidR="00C4367A">
        <w:rPr>
          <w:rFonts w:ascii="Times New Roman" w:hAnsi="Times New Roman" w:cs="Times New Roman"/>
        </w:rPr>
        <w:t>remains elusive.</w:t>
      </w:r>
    </w:p>
    <w:p w14:paraId="30CE0BA9" w14:textId="5E99507B" w:rsidR="00C8376B" w:rsidRDefault="00C8376B" w:rsidP="00741CCA">
      <w:pPr>
        <w:widowControl w:val="0"/>
        <w:spacing w:before="120" w:after="120" w:line="384" w:lineRule="auto"/>
        <w:jc w:val="both"/>
        <w:rPr>
          <w:rFonts w:ascii="Times New Roman" w:hAnsi="Times New Roman" w:cs="Times New Roman"/>
        </w:rPr>
      </w:pPr>
      <w:r w:rsidRPr="00AA32BF">
        <w:rPr>
          <w:rFonts w:ascii="Times New Roman" w:hAnsi="Times New Roman" w:cs="Times New Roman"/>
        </w:rPr>
        <w:t xml:space="preserve">Our </w:t>
      </w:r>
      <w:r w:rsidR="00A92F88">
        <w:rPr>
          <w:rFonts w:ascii="Times New Roman" w:hAnsi="Times New Roman" w:cs="Times New Roman"/>
        </w:rPr>
        <w:t xml:space="preserve">detailed </w:t>
      </w:r>
      <w:r w:rsidRPr="00AA32BF">
        <w:rPr>
          <w:rFonts w:ascii="Times New Roman" w:hAnsi="Times New Roman" w:cs="Times New Roman"/>
        </w:rPr>
        <w:t>study</w:t>
      </w:r>
      <w:r w:rsidR="00A92F88">
        <w:rPr>
          <w:rFonts w:ascii="Times New Roman" w:hAnsi="Times New Roman" w:cs="Times New Roman"/>
        </w:rPr>
        <w:t xml:space="preserve">, summarised here, </w:t>
      </w:r>
      <w:r w:rsidRPr="00AA32BF">
        <w:rPr>
          <w:rFonts w:ascii="Times New Roman" w:hAnsi="Times New Roman" w:cs="Times New Roman"/>
        </w:rPr>
        <w:t>provides the first detailed</w:t>
      </w:r>
      <w:r w:rsidR="00A2303E">
        <w:rPr>
          <w:rFonts w:ascii="Times New Roman" w:hAnsi="Times New Roman" w:cs="Times New Roman"/>
        </w:rPr>
        <w:t>, global</w:t>
      </w:r>
      <w:r w:rsidRPr="00AA32BF">
        <w:rPr>
          <w:rFonts w:ascii="Times New Roman" w:hAnsi="Times New Roman" w:cs="Times New Roman"/>
        </w:rPr>
        <w:t xml:space="preserve"> evidence o</w:t>
      </w:r>
      <w:r w:rsidR="00A2303E">
        <w:rPr>
          <w:rFonts w:ascii="Times New Roman" w:hAnsi="Times New Roman" w:cs="Times New Roman"/>
        </w:rPr>
        <w:t>f</w:t>
      </w:r>
      <w:r w:rsidRPr="00AA32BF">
        <w:rPr>
          <w:rFonts w:ascii="Times New Roman" w:hAnsi="Times New Roman" w:cs="Times New Roman"/>
        </w:rPr>
        <w:t xml:space="preserve"> the impact of </w:t>
      </w:r>
      <w:r w:rsidR="00A2303E">
        <w:rPr>
          <w:rFonts w:ascii="Times New Roman" w:hAnsi="Times New Roman" w:cs="Times New Roman"/>
        </w:rPr>
        <w:t>collaborative</w:t>
      </w:r>
      <w:r w:rsidRPr="00AA32BF">
        <w:rPr>
          <w:rFonts w:ascii="Times New Roman" w:hAnsi="Times New Roman" w:cs="Times New Roman"/>
        </w:rPr>
        <w:t xml:space="preserve"> engagements</w:t>
      </w:r>
      <w:r>
        <w:rPr>
          <w:rFonts w:ascii="Times New Roman" w:hAnsi="Times New Roman" w:cs="Times New Roman"/>
        </w:rPr>
        <w:t>.</w:t>
      </w:r>
      <w:r w:rsidRPr="00C83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find </w:t>
      </w:r>
      <w:r w:rsidR="00A2303E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successful </w:t>
      </w:r>
      <w:r w:rsidRPr="00A173E5">
        <w:rPr>
          <w:rFonts w:ascii="Times New Roman" w:hAnsi="Times New Roman" w:cs="Times New Roman"/>
        </w:rPr>
        <w:t xml:space="preserve">engagements </w:t>
      </w:r>
      <w:r>
        <w:rPr>
          <w:rFonts w:ascii="Times New Roman" w:hAnsi="Times New Roman" w:cs="Times New Roman"/>
        </w:rPr>
        <w:t xml:space="preserve">improve profitability at target companies, and </w:t>
      </w:r>
      <w:r w:rsidR="00A92F88">
        <w:rPr>
          <w:rFonts w:ascii="Times New Roman" w:hAnsi="Times New Roman" w:cs="Times New Roman"/>
        </w:rPr>
        <w:t>we identify</w:t>
      </w:r>
      <w:r>
        <w:rPr>
          <w:rFonts w:ascii="Times New Roman" w:hAnsi="Times New Roman" w:cs="Times New Roman"/>
        </w:rPr>
        <w:t xml:space="preserve"> </w:t>
      </w:r>
      <w:r w:rsidR="00A2303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key characteristics that lead engagements to be successful. </w:t>
      </w:r>
      <w:r w:rsidRPr="00F06351">
        <w:rPr>
          <w:rFonts w:ascii="Times New Roman" w:hAnsi="Times New Roman" w:cs="Times New Roman"/>
          <w:i/>
          <w:u w:val="single"/>
        </w:rPr>
        <w:t xml:space="preserve">Our findings provide </w:t>
      </w:r>
      <w:r w:rsidR="00A15C64" w:rsidRPr="00F06351">
        <w:rPr>
          <w:rFonts w:ascii="Times New Roman" w:hAnsi="Times New Roman" w:cs="Times New Roman"/>
          <w:i/>
          <w:u w:val="single"/>
        </w:rPr>
        <w:t>a</w:t>
      </w:r>
      <w:r w:rsidRPr="00F06351">
        <w:rPr>
          <w:rFonts w:ascii="Times New Roman" w:hAnsi="Times New Roman" w:cs="Times New Roman"/>
          <w:i/>
          <w:u w:val="single"/>
        </w:rPr>
        <w:t xml:space="preserve"> business </w:t>
      </w:r>
      <w:r w:rsidR="00A15C64" w:rsidRPr="00F06351">
        <w:rPr>
          <w:rFonts w:ascii="Times New Roman" w:hAnsi="Times New Roman" w:cs="Times New Roman"/>
          <w:i/>
          <w:u w:val="single"/>
        </w:rPr>
        <w:t>justification</w:t>
      </w:r>
      <w:r w:rsidRPr="00F06351">
        <w:rPr>
          <w:rFonts w:ascii="Times New Roman" w:hAnsi="Times New Roman" w:cs="Times New Roman"/>
          <w:i/>
          <w:u w:val="single"/>
        </w:rPr>
        <w:t xml:space="preserve"> for investors to engage with investee companies, and </w:t>
      </w:r>
      <w:r w:rsidR="005E7535" w:rsidRPr="00F06351">
        <w:rPr>
          <w:rFonts w:ascii="Times New Roman" w:hAnsi="Times New Roman" w:cs="Times New Roman"/>
          <w:i/>
          <w:u w:val="single"/>
        </w:rPr>
        <w:t>suggest</w:t>
      </w:r>
      <w:r w:rsidRPr="00F06351">
        <w:rPr>
          <w:rFonts w:ascii="Times New Roman" w:hAnsi="Times New Roman" w:cs="Times New Roman"/>
          <w:i/>
          <w:u w:val="single"/>
        </w:rPr>
        <w:t xml:space="preserve"> a model of the best way to go about it.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3E0BE7" w:rsidRPr="00C873A9" w14:paraId="04389D20" w14:textId="77777777" w:rsidTr="003F4488">
        <w:trPr>
          <w:trHeight w:val="30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0C4C" w14:textId="5F84B359" w:rsidR="003E0BE7" w:rsidRPr="00C873A9" w:rsidRDefault="003E0BE7" w:rsidP="00C4367A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: PRI </w:t>
            </w:r>
            <w:r w:rsidR="00192F5E">
              <w:rPr>
                <w:rFonts w:ascii="Times New Roman" w:hAnsi="Times New Roman" w:cs="Times New Roman"/>
                <w:b/>
                <w:bCs/>
                <w:szCs w:val="20"/>
              </w:rPr>
              <w:t xml:space="preserve">coordinated 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>engagements by region 2007–2017</w:t>
            </w:r>
          </w:p>
        </w:tc>
      </w:tr>
      <w:tr w:rsidR="003E0BE7" w:rsidRPr="00C873A9" w14:paraId="312F46E3" w14:textId="77777777" w:rsidTr="002C4AB9">
        <w:trPr>
          <w:trHeight w:val="34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0AF07C1E" w14:textId="77777777" w:rsidR="003E0BE7" w:rsidRPr="00C873A9" w:rsidRDefault="003E0BE7" w:rsidP="003F4488">
            <w:pPr>
              <w:widowControl w:val="0"/>
              <w:ind w:left="17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Geographic region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6D633CF" w14:textId="73F206A5" w:rsidR="003E0BE7" w:rsidRPr="00C873A9" w:rsidRDefault="003E0BE7" w:rsidP="005046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73A9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o.</w:t>
            </w:r>
            <w:r w:rsidRPr="00C873A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of </w:t>
            </w:r>
            <w:r w:rsidR="0050463D">
              <w:rPr>
                <w:rFonts w:ascii="Times New Roman" w:hAnsi="Times New Roman" w:cs="Times New Roman"/>
                <w:b/>
                <w:sz w:val="20"/>
                <w:szCs w:val="18"/>
              </w:rPr>
              <w:t>dialogues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28E6CC9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73A9">
              <w:rPr>
                <w:rFonts w:ascii="Times New Roman" w:hAnsi="Times New Roman" w:cs="Times New Roman"/>
                <w:b/>
                <w:sz w:val="20"/>
                <w:szCs w:val="18"/>
              </w:rPr>
              <w:t>No. of targets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CF013AA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73A9">
              <w:rPr>
                <w:rFonts w:ascii="Times New Roman" w:hAnsi="Times New Roman" w:cs="Times New Roman"/>
                <w:b/>
                <w:sz w:val="20"/>
                <w:szCs w:val="18"/>
              </w:rPr>
              <w:t>No. of countries</w:t>
            </w:r>
          </w:p>
        </w:tc>
      </w:tr>
      <w:tr w:rsidR="003E0BE7" w:rsidRPr="00C873A9" w14:paraId="11E4D733" w14:textId="77777777" w:rsidTr="002C4AB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DBF3C0A" w14:textId="77777777" w:rsidR="003E0BE7" w:rsidRPr="00525A87" w:rsidRDefault="003E0BE7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 Europe ex-UK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C6F5A13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6DF49EB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F238CFE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E0BE7" w:rsidRPr="00C873A9" w14:paraId="760F17E3" w14:textId="77777777" w:rsidTr="002C4AB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13207ACC" w14:textId="77777777" w:rsidR="003E0BE7" w:rsidRPr="00525A87" w:rsidRDefault="003E0BE7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Emerging and Frontier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013B195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E909A49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3C7BD7B5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E0BE7" w:rsidRPr="00C873A9" w14:paraId="4BF385C1" w14:textId="77777777" w:rsidTr="002C4AB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C145733" w14:textId="77777777" w:rsidR="003E0BE7" w:rsidRPr="00525A87" w:rsidRDefault="003E0BE7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Developed ex-USA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362238E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6FAEB3C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31F1EF6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E0BE7" w:rsidRPr="00C873A9" w14:paraId="5F559D5A" w14:textId="77777777" w:rsidTr="002C4AB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585F1467" w14:textId="77777777" w:rsidR="003E0BE7" w:rsidRPr="00C873A9" w:rsidRDefault="003E0BE7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529EA4B5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B21A62C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4F0A779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0BE7" w:rsidRPr="00C873A9" w14:paraId="7CBEAB8A" w14:textId="77777777" w:rsidTr="002C4AB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2828213" w14:textId="77777777" w:rsidR="003E0BE7" w:rsidRPr="00C873A9" w:rsidRDefault="003E0BE7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3C500D3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7BD641D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7B66EA0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0BE7" w:rsidRPr="00C873A9" w14:paraId="210236A9" w14:textId="77777777" w:rsidTr="002C4AB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C7CEE9" w14:textId="77777777" w:rsidR="003E0BE7" w:rsidRPr="00C873A9" w:rsidRDefault="003E0BE7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regions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598B33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3DF31A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A4028A" w14:textId="77777777" w:rsidR="003E0BE7" w:rsidRPr="00C873A9" w:rsidRDefault="003E0BE7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14:paraId="504F3940" w14:textId="77777777" w:rsidR="002C4AB9" w:rsidRDefault="002C4AB9" w:rsidP="00741CCA">
      <w:pPr>
        <w:widowControl w:val="0"/>
        <w:spacing w:before="240" w:after="12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coordinated</w:t>
      </w:r>
      <w:r w:rsidR="00C4367A">
        <w:rPr>
          <w:rFonts w:ascii="Times New Roman" w:hAnsi="Times New Roman" w:cs="Times New Roman"/>
        </w:rPr>
        <w:t xml:space="preserve"> 1,806</w:t>
      </w:r>
      <w:r w:rsidR="00192F5E">
        <w:rPr>
          <w:rFonts w:ascii="Times New Roman" w:hAnsi="Times New Roman" w:cs="Times New Roman"/>
        </w:rPr>
        <w:t xml:space="preserve"> </w:t>
      </w:r>
      <w:r w:rsidR="00A2303E">
        <w:rPr>
          <w:rFonts w:ascii="Times New Roman" w:hAnsi="Times New Roman" w:cs="Times New Roman"/>
        </w:rPr>
        <w:t>collaborative engagements</w:t>
      </w:r>
      <w:r w:rsidR="00C37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="003F4488">
        <w:rPr>
          <w:rFonts w:ascii="Times New Roman" w:hAnsi="Times New Roman" w:cs="Times New Roman"/>
        </w:rPr>
        <w:t xml:space="preserve"> its launch in 2006</w:t>
      </w:r>
      <w:r>
        <w:rPr>
          <w:rFonts w:ascii="Times New Roman" w:hAnsi="Times New Roman" w:cs="Times New Roman"/>
        </w:rPr>
        <w:t xml:space="preserve"> and the current time. Of these,</w:t>
      </w:r>
      <w:r w:rsidR="00C4367A">
        <w:rPr>
          <w:rFonts w:ascii="Times New Roman" w:hAnsi="Times New Roman" w:cs="Times New Roman"/>
        </w:rPr>
        <w:t xml:space="preserve"> 1,671</w:t>
      </w:r>
      <w:r w:rsidR="0050463D">
        <w:rPr>
          <w:rFonts w:ascii="Times New Roman" w:hAnsi="Times New Roman" w:cs="Times New Roman"/>
        </w:rPr>
        <w:t xml:space="preserve"> involve</w:t>
      </w:r>
      <w:r>
        <w:rPr>
          <w:rFonts w:ascii="Times New Roman" w:hAnsi="Times New Roman" w:cs="Times New Roman"/>
        </w:rPr>
        <w:t>d</w:t>
      </w:r>
      <w:r w:rsidR="0050463D">
        <w:rPr>
          <w:rFonts w:ascii="Times New Roman" w:hAnsi="Times New Roman" w:cs="Times New Roman"/>
        </w:rPr>
        <w:t xml:space="preserve"> companies for which market capitalization data is available in the fiscal year before engagement.</w:t>
      </w:r>
      <w:r w:rsidR="00A15C64">
        <w:rPr>
          <w:rFonts w:ascii="Times New Roman" w:hAnsi="Times New Roman" w:cs="Times New Roman"/>
        </w:rPr>
        <w:t xml:space="preserve"> Engagement is through a process of dialogue</w:t>
      </w:r>
      <w:r>
        <w:rPr>
          <w:rFonts w:ascii="Times New Roman" w:hAnsi="Times New Roman" w:cs="Times New Roman"/>
        </w:rPr>
        <w:t xml:space="preserve">, </w:t>
      </w:r>
      <w:r w:rsidR="00A15C64" w:rsidRPr="00A15C64">
        <w:rPr>
          <w:rFonts w:ascii="Times New Roman" w:hAnsi="Times New Roman" w:cs="Times New Roman"/>
        </w:rPr>
        <w:t>defined as a sequence of interactions between an investor and a company on a specific issue</w:t>
      </w:r>
      <w:r w:rsidR="00A15C64">
        <w:rPr>
          <w:rFonts w:ascii="Times New Roman" w:hAnsi="Times New Roman" w:cs="Times New Roman"/>
        </w:rPr>
        <w:t xml:space="preserve">. </w:t>
      </w:r>
    </w:p>
    <w:p w14:paraId="24431687" w14:textId="54DB9015" w:rsidR="00CF51A9" w:rsidRDefault="00A15C64" w:rsidP="00741CCA">
      <w:pPr>
        <w:widowControl w:val="0"/>
        <w:spacing w:before="240" w:after="12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period covered by our sample, these dialogues</w:t>
      </w:r>
      <w:r w:rsidR="00C4367A">
        <w:rPr>
          <w:rFonts w:ascii="Times New Roman" w:hAnsi="Times New Roman" w:cs="Times New Roman"/>
        </w:rPr>
        <w:t xml:space="preserve"> </w:t>
      </w:r>
      <w:r w:rsidR="003F4488">
        <w:rPr>
          <w:rFonts w:ascii="Times New Roman" w:hAnsi="Times New Roman" w:cs="Times New Roman"/>
        </w:rPr>
        <w:t xml:space="preserve"> involve</w:t>
      </w:r>
      <w:r>
        <w:rPr>
          <w:rFonts w:ascii="Times New Roman" w:hAnsi="Times New Roman" w:cs="Times New Roman"/>
        </w:rPr>
        <w:t>d</w:t>
      </w:r>
      <w:r w:rsidR="00A2303E">
        <w:rPr>
          <w:rFonts w:ascii="Times New Roman" w:hAnsi="Times New Roman" w:cs="Times New Roman"/>
        </w:rPr>
        <w:t xml:space="preserve"> 225 investment organisations (asset owners, investment managers and engagement service providers) from 24 countries</w:t>
      </w:r>
      <w:r w:rsidR="00C371B9">
        <w:rPr>
          <w:rFonts w:ascii="Times New Roman" w:hAnsi="Times New Roman" w:cs="Times New Roman"/>
        </w:rPr>
        <w:t>,</w:t>
      </w:r>
      <w:r w:rsidR="00A2303E">
        <w:rPr>
          <w:rFonts w:ascii="Times New Roman" w:hAnsi="Times New Roman" w:cs="Times New Roman"/>
        </w:rPr>
        <w:t xml:space="preserve"> and 964 target companies from 63</w:t>
      </w:r>
      <w:r w:rsidR="00C371B9">
        <w:rPr>
          <w:rFonts w:ascii="Times New Roman" w:hAnsi="Times New Roman" w:cs="Times New Roman"/>
        </w:rPr>
        <w:t xml:space="preserve"> countries</w:t>
      </w:r>
      <w:r w:rsidR="003A00DA">
        <w:rPr>
          <w:rFonts w:ascii="Times New Roman" w:hAnsi="Times New Roman" w:cs="Times New Roman"/>
        </w:rPr>
        <w:t xml:space="preserve"> (Table 1)</w:t>
      </w:r>
      <w:r w:rsidR="003F4488">
        <w:rPr>
          <w:rFonts w:ascii="Times New Roman" w:hAnsi="Times New Roman" w:cs="Times New Roman"/>
        </w:rPr>
        <w:t>.</w:t>
      </w:r>
      <w:r w:rsidR="00C371B9">
        <w:rPr>
          <w:rFonts w:ascii="Times New Roman" w:hAnsi="Times New Roman" w:cs="Times New Roman"/>
        </w:rPr>
        <w:t xml:space="preserve"> </w:t>
      </w:r>
      <w:r w:rsidR="003F4488">
        <w:rPr>
          <w:rFonts w:ascii="Times New Roman" w:hAnsi="Times New Roman" w:cs="Times New Roman"/>
        </w:rPr>
        <w:t>The database</w:t>
      </w:r>
      <w:r w:rsidR="005E7535">
        <w:rPr>
          <w:rFonts w:ascii="Times New Roman" w:hAnsi="Times New Roman" w:cs="Times New Roman"/>
        </w:rPr>
        <w:t xml:space="preserve"> also</w:t>
      </w:r>
      <w:r w:rsidR="003F4488">
        <w:rPr>
          <w:rFonts w:ascii="Times New Roman" w:hAnsi="Times New Roman" w:cs="Times New Roman"/>
        </w:rPr>
        <w:t xml:space="preserve"> includes information on </w:t>
      </w:r>
      <w:r w:rsidR="003F4488" w:rsidRPr="00553A90">
        <w:rPr>
          <w:rFonts w:ascii="Times New Roman" w:hAnsi="Times New Roman" w:cs="Times New Roman"/>
        </w:rPr>
        <w:t>the strategy and success rates</w:t>
      </w:r>
      <w:r w:rsidR="003F4488">
        <w:rPr>
          <w:rFonts w:ascii="Times New Roman" w:hAnsi="Times New Roman" w:cs="Times New Roman"/>
        </w:rPr>
        <w:t xml:space="preserve"> for each engagement.</w:t>
      </w:r>
      <w:r w:rsidR="00C8376B">
        <w:rPr>
          <w:rFonts w:ascii="Times New Roman" w:hAnsi="Times New Roman" w:cs="Times New Roman"/>
        </w:rPr>
        <w:t xml:space="preserve"> </w:t>
      </w:r>
      <w:r w:rsidR="00192F5E">
        <w:rPr>
          <w:rFonts w:ascii="Times New Roman" w:hAnsi="Times New Roman" w:cs="Times New Roman"/>
        </w:rPr>
        <w:t xml:space="preserve">Success rates have been defined by PRI </w:t>
      </w:r>
      <w:r w:rsidR="002C4AB9">
        <w:rPr>
          <w:rFonts w:ascii="Times New Roman" w:hAnsi="Times New Roman" w:cs="Times New Roman"/>
        </w:rPr>
        <w:t>professionals</w:t>
      </w:r>
      <w:r w:rsidR="00192F5E">
        <w:rPr>
          <w:rFonts w:ascii="Times New Roman" w:hAnsi="Times New Roman" w:cs="Times New Roman"/>
        </w:rPr>
        <w:t xml:space="preserve"> based on a set of criteria and scorecards defined at the beginning of each project</w:t>
      </w:r>
      <w:r w:rsidR="004D1F1D">
        <w:rPr>
          <w:rFonts w:ascii="Times New Roman" w:hAnsi="Times New Roman" w:cs="Times New Roman"/>
        </w:rPr>
        <w:t xml:space="preserve"> (Table 2).</w:t>
      </w:r>
    </w:p>
    <w:p w14:paraId="2FAC9859" w14:textId="77777777" w:rsidR="004D1F1D" w:rsidRDefault="004D1F1D" w:rsidP="0050463D">
      <w:pPr>
        <w:widowControl w:val="0"/>
        <w:spacing w:before="240" w:after="12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693"/>
        <w:gridCol w:w="1418"/>
        <w:gridCol w:w="1417"/>
      </w:tblGrid>
      <w:tr w:rsidR="003F4488" w:rsidRPr="00C873A9" w14:paraId="21EA4CBF" w14:textId="77777777" w:rsidTr="003F4488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32A9" w14:textId="26F5E96B" w:rsidR="003F4488" w:rsidRPr="00C873A9" w:rsidRDefault="003F4488" w:rsidP="0050463D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Table </w:t>
            </w:r>
            <w:r w:rsidR="00582559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Successful PRI </w:t>
            </w:r>
            <w:r w:rsidR="00331A10">
              <w:rPr>
                <w:rFonts w:ascii="Times New Roman" w:hAnsi="Times New Roman" w:cs="Times New Roman"/>
                <w:b/>
                <w:bCs/>
                <w:szCs w:val="20"/>
              </w:rPr>
              <w:t xml:space="preserve">coordinated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engagements 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by broad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theme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 2007–2017</w:t>
            </w:r>
          </w:p>
        </w:tc>
      </w:tr>
      <w:tr w:rsidR="003F4488" w:rsidRPr="00C873A9" w14:paraId="4A3A30B9" w14:textId="77777777" w:rsidTr="002C4AB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8EFC93" w14:textId="77777777" w:rsidR="003F4488" w:rsidRPr="00C873A9" w:rsidRDefault="003F4488" w:rsidP="003F4488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Engagement theme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7C6E4A" w14:textId="38932B11" w:rsidR="003F4488" w:rsidRPr="00C873A9" w:rsidRDefault="003F4488" w:rsidP="0050463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</w:t>
            </w:r>
            <w:r w:rsidRPr="00C87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4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dialogues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9FF362" w14:textId="5F4C052D" w:rsidR="003F4488" w:rsidRPr="00C873A9" w:rsidRDefault="003F4488" w:rsidP="0050463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s</w:t>
            </w:r>
            <w:r w:rsidRPr="00C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uccessful </w:t>
            </w:r>
            <w:r w:rsidR="0050463D">
              <w:rPr>
                <w:rFonts w:ascii="Times New Roman" w:hAnsi="Times New Roman" w:cs="Times New Roman"/>
                <w:b/>
                <w:sz w:val="20"/>
                <w:szCs w:val="20"/>
              </w:rPr>
              <w:t>dialogues</w:t>
            </w:r>
            <w:r w:rsidRPr="00C873A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48E306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(median) days till success*</w:t>
            </w:r>
          </w:p>
        </w:tc>
      </w:tr>
      <w:tr w:rsidR="003F4488" w:rsidRPr="00C873A9" w14:paraId="67006AC2" w14:textId="77777777" w:rsidTr="002C4AB9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56C175A" w14:textId="77777777" w:rsidR="003F4488" w:rsidRPr="00C873A9" w:rsidRDefault="003F4488" w:rsidP="003F44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EC8B1FD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460E5AA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45791C9" w14:textId="77777777" w:rsidR="003F4488" w:rsidRPr="00C873A9" w:rsidRDefault="003F4488" w:rsidP="003F4488">
            <w:pPr>
              <w:keepNext/>
              <w:keepLines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E809C7E" w14:textId="77777777" w:rsidR="003F4488" w:rsidRPr="00C873A9" w:rsidRDefault="003F4488" w:rsidP="003F4488">
            <w:pPr>
              <w:keepNext/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(610)</w:t>
            </w:r>
          </w:p>
        </w:tc>
      </w:tr>
      <w:tr w:rsidR="003F4488" w:rsidRPr="00C873A9" w14:paraId="0D94F0CC" w14:textId="77777777" w:rsidTr="002C4AB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0C7E47" w14:textId="77777777" w:rsidR="003F4488" w:rsidRPr="00C873A9" w:rsidRDefault="003F4488" w:rsidP="003F44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552F8C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0E122E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DC6685" w14:textId="77777777" w:rsidR="003F4488" w:rsidRPr="00C873A9" w:rsidRDefault="003F4488" w:rsidP="003F4488">
            <w:pPr>
              <w:keepNext/>
              <w:keepLines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1,122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55E73E" w14:textId="77777777" w:rsidR="003F4488" w:rsidRPr="00C873A9" w:rsidRDefault="003F4488" w:rsidP="003F4488">
            <w:pPr>
              <w:keepNext/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(1,168)</w:t>
            </w:r>
          </w:p>
        </w:tc>
      </w:tr>
      <w:tr w:rsidR="003F4488" w:rsidRPr="00C873A9" w14:paraId="0A1BD976" w14:textId="77777777" w:rsidTr="002C4AB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5E66939" w14:textId="77777777" w:rsidR="003F4488" w:rsidRPr="00C873A9" w:rsidRDefault="003F4488" w:rsidP="003F44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Governance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35F8281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21E5DB0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1FD0612" w14:textId="77777777" w:rsidR="003F4488" w:rsidRPr="00C873A9" w:rsidRDefault="003F4488" w:rsidP="003F4488">
            <w:pPr>
              <w:keepNext/>
              <w:keepLines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1,069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12DED847" w14:textId="77777777" w:rsidR="003F4488" w:rsidRPr="00C873A9" w:rsidRDefault="003F4488" w:rsidP="003F4488">
            <w:pPr>
              <w:keepNext/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(1,126)</w:t>
            </w:r>
          </w:p>
        </w:tc>
      </w:tr>
      <w:tr w:rsidR="003F4488" w:rsidRPr="00C873A9" w14:paraId="4ED16AFD" w14:textId="77777777" w:rsidTr="002C4AB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724A26" w14:textId="06FD11AD" w:rsidR="003F4488" w:rsidRPr="00C873A9" w:rsidRDefault="003F4488" w:rsidP="003A00DA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511F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A00DA">
              <w:rPr>
                <w:rFonts w:ascii="Times New Roman" w:hAnsi="Times New Roman" w:cs="Times New Roman"/>
                <w:sz w:val="20"/>
                <w:szCs w:val="20"/>
              </w:rPr>
              <w:t xml:space="preserve"> reporting</w:t>
            </w:r>
            <w:r w:rsidR="00D6137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937C2E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0FCB87" w14:textId="77777777" w:rsidR="003F4488" w:rsidRPr="00C873A9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FFB337" w14:textId="77777777" w:rsidR="003F4488" w:rsidRPr="00C873A9" w:rsidRDefault="003F4488" w:rsidP="003F4488">
            <w:pPr>
              <w:keepNext/>
              <w:keepLines/>
              <w:ind w:right="57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8B0F2A" w14:textId="77777777" w:rsidR="003F4488" w:rsidRPr="00C873A9" w:rsidRDefault="003F4488" w:rsidP="003F4488">
            <w:pPr>
              <w:keepNext/>
              <w:keepLines/>
              <w:ind w:left="57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sz w:val="20"/>
                <w:szCs w:val="20"/>
              </w:rPr>
              <w:t>(393)</w:t>
            </w:r>
          </w:p>
        </w:tc>
      </w:tr>
      <w:tr w:rsidR="003F4488" w:rsidRPr="00123706" w14:paraId="22310D2A" w14:textId="77777777" w:rsidTr="002C4AB9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0" w:type="dxa"/>
            </w:tcMar>
            <w:vAlign w:val="center"/>
          </w:tcPr>
          <w:p w14:paraId="5302569C" w14:textId="77777777" w:rsidR="003F4488" w:rsidRPr="00123706" w:rsidRDefault="003F4488" w:rsidP="003F4488">
            <w:pPr>
              <w:keepNext/>
              <w:keepLine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All themes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BC176CA" w14:textId="77777777" w:rsidR="003F4488" w:rsidRPr="00123706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06"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7F6EE3C" w14:textId="77777777" w:rsidR="003F4488" w:rsidRPr="00123706" w:rsidRDefault="003F4488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06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71E5F3F" w14:textId="77777777" w:rsidR="003F4488" w:rsidRPr="00123706" w:rsidRDefault="003F4488" w:rsidP="003F4488">
            <w:pPr>
              <w:keepNext/>
              <w:keepLines/>
              <w:ind w:right="5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3706">
              <w:rPr>
                <w:rFonts w:ascii="Times New Roman" w:hAnsi="Times New Roman" w:cs="Times New Roman"/>
                <w:iCs/>
                <w:sz w:val="20"/>
                <w:szCs w:val="20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338B97F" w14:textId="77777777" w:rsidR="003F4488" w:rsidRPr="00123706" w:rsidRDefault="003F4488" w:rsidP="003F4488">
            <w:pPr>
              <w:keepNext/>
              <w:keepLines/>
              <w:ind w:left="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3706">
              <w:rPr>
                <w:rFonts w:ascii="Times New Roman" w:hAnsi="Times New Roman" w:cs="Times New Roman"/>
                <w:iCs/>
                <w:sz w:val="20"/>
                <w:szCs w:val="20"/>
              </w:rPr>
              <w:t>(730)</w:t>
            </w:r>
          </w:p>
        </w:tc>
      </w:tr>
    </w:tbl>
    <w:p w14:paraId="4ED2B76F" w14:textId="6649FB49" w:rsidR="003F4488" w:rsidRPr="00C873A9" w:rsidRDefault="003F4488" w:rsidP="003F4488">
      <w:pPr>
        <w:keepNext/>
        <w:keepLines/>
        <w:spacing w:before="80" w:after="0" w:line="240" w:lineRule="auto"/>
        <w:jc w:val="both"/>
        <w:rPr>
          <w:rFonts w:ascii="Times New Roman" w:hAnsi="Times New Roman" w:cs="Times New Roman"/>
          <w:sz w:val="18"/>
        </w:rPr>
      </w:pPr>
      <w:r w:rsidRPr="00C873A9">
        <w:rPr>
          <w:rFonts w:ascii="Times New Roman" w:hAnsi="Times New Roman" w:cs="Times New Roman"/>
          <w:sz w:val="18"/>
        </w:rPr>
        <w:t xml:space="preserve">* </w:t>
      </w:r>
      <w:r w:rsidR="006511FD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Information on whether or not an engagement was successful</w:t>
      </w:r>
      <w:r w:rsidRPr="00C873A9">
        <w:rPr>
          <w:rFonts w:ascii="Times New Roman" w:hAnsi="Times New Roman" w:cs="Times New Roman"/>
          <w:sz w:val="18"/>
        </w:rPr>
        <w:t xml:space="preserve"> is available for 1,016 of </w:t>
      </w:r>
      <w:r>
        <w:rPr>
          <w:rFonts w:ascii="Times New Roman" w:hAnsi="Times New Roman" w:cs="Times New Roman"/>
          <w:sz w:val="18"/>
        </w:rPr>
        <w:t xml:space="preserve">the </w:t>
      </w:r>
      <w:r w:rsidRPr="00C873A9">
        <w:rPr>
          <w:rFonts w:ascii="Times New Roman" w:hAnsi="Times New Roman" w:cs="Times New Roman"/>
          <w:sz w:val="18"/>
        </w:rPr>
        <w:t>1,671 engagements.</w:t>
      </w:r>
    </w:p>
    <w:p w14:paraId="1A0D3766" w14:textId="43CB2726" w:rsidR="003F4488" w:rsidRPr="006511FD" w:rsidRDefault="00D61376" w:rsidP="00F0635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6511FD">
        <w:rPr>
          <w:rFonts w:ascii="Times New Roman" w:hAnsi="Times New Roman" w:cs="Times New Roman"/>
          <w:sz w:val="18"/>
        </w:rPr>
        <w:t xml:space="preserve">**Engagements </w:t>
      </w:r>
      <w:r w:rsidR="003A00DA">
        <w:rPr>
          <w:rFonts w:ascii="Times New Roman" w:hAnsi="Times New Roman" w:cs="Times New Roman"/>
          <w:sz w:val="18"/>
        </w:rPr>
        <w:t>that address</w:t>
      </w:r>
      <w:r w:rsidRPr="006511FD">
        <w:rPr>
          <w:rFonts w:ascii="Times New Roman" w:hAnsi="Times New Roman" w:cs="Times New Roman"/>
          <w:sz w:val="18"/>
        </w:rPr>
        <w:t xml:space="preserve"> reporting on the application of the UN</w:t>
      </w:r>
      <w:r w:rsidR="003A00DA">
        <w:rPr>
          <w:rFonts w:ascii="Times New Roman" w:hAnsi="Times New Roman" w:cs="Times New Roman"/>
          <w:sz w:val="18"/>
        </w:rPr>
        <w:t xml:space="preserve"> Global Compact</w:t>
      </w:r>
      <w:r w:rsidRPr="006511FD">
        <w:rPr>
          <w:rFonts w:ascii="Times New Roman" w:hAnsi="Times New Roman" w:cs="Times New Roman"/>
          <w:sz w:val="18"/>
        </w:rPr>
        <w:t xml:space="preserve"> principles.</w:t>
      </w:r>
    </w:p>
    <w:p w14:paraId="1B9CBAEE" w14:textId="77777777" w:rsidR="00F06351" w:rsidRDefault="00F06351" w:rsidP="00F06351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14:paraId="186A2665" w14:textId="77777777" w:rsidR="004D1F1D" w:rsidRPr="00A92F88" w:rsidRDefault="004D1F1D" w:rsidP="00741CCA">
      <w:pPr>
        <w:keepNext/>
        <w:keepLines/>
        <w:spacing w:after="0" w:line="384" w:lineRule="auto"/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</w:pPr>
      <w:r w:rsidRPr="00A92F88"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  <w:t>Effects and characteristics of successful engagement</w:t>
      </w:r>
    </w:p>
    <w:p w14:paraId="3B4FBE18" w14:textId="77777777" w:rsidR="004D1F1D" w:rsidRDefault="004D1F1D" w:rsidP="00741CCA">
      <w:pPr>
        <w:keepNext/>
        <w:keepLines/>
        <w:spacing w:before="120" w:after="120" w:line="384" w:lineRule="auto"/>
        <w:jc w:val="both"/>
        <w:rPr>
          <w:rFonts w:ascii="Times New Roman" w:hAnsi="Times New Roman" w:cs="Times New Roman"/>
        </w:rPr>
      </w:pPr>
      <w:r w:rsidRPr="00F06351">
        <w:rPr>
          <w:rFonts w:ascii="Times New Roman" w:hAnsi="Times New Roman" w:cs="Times New Roman"/>
          <w:i/>
          <w:u w:val="single"/>
        </w:rPr>
        <w:t>After engagements have concluded successfully, we find target companies experience improved profitability, as measured by return on assets, and increased ownership by the lead investor</w:t>
      </w:r>
      <w:r w:rsidRPr="002C4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 conducted the dialogue on behalf of the coalition</w:t>
      </w:r>
      <w:r w:rsidRPr="00A173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 w:rsidRPr="00A173E5">
        <w:rPr>
          <w:rFonts w:ascii="Times New Roman" w:hAnsi="Times New Roman" w:cs="Times New Roman"/>
        </w:rPr>
        <w:t>nsuccessful engagements</w:t>
      </w:r>
      <w:r>
        <w:rPr>
          <w:rFonts w:ascii="Times New Roman" w:hAnsi="Times New Roman" w:cs="Times New Roman"/>
        </w:rPr>
        <w:t xml:space="preserve"> experience no</w:t>
      </w:r>
      <w:r w:rsidRPr="00A173E5">
        <w:rPr>
          <w:rFonts w:ascii="Times New Roman" w:hAnsi="Times New Roman" w:cs="Times New Roman"/>
        </w:rPr>
        <w:t xml:space="preserve"> change in </w:t>
      </w:r>
      <w:r w:rsidRPr="00AE6F0E">
        <w:rPr>
          <w:rFonts w:ascii="Times New Roman" w:hAnsi="Times New Roman" w:cs="Times New Roman"/>
        </w:rPr>
        <w:t>return on assets</w:t>
      </w:r>
      <w:r w:rsidRPr="00A173E5">
        <w:rPr>
          <w:rFonts w:ascii="Times New Roman" w:hAnsi="Times New Roman" w:cs="Times New Roman"/>
        </w:rPr>
        <w:t xml:space="preserve"> or in shareholding.</w:t>
      </w:r>
    </w:p>
    <w:p w14:paraId="7D3C6A8B" w14:textId="77777777" w:rsidR="004D1F1D" w:rsidRDefault="004D1F1D" w:rsidP="00741CCA">
      <w:pPr>
        <w:widowControl w:val="0"/>
        <w:spacing w:before="120" w:after="12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key features make collaborative engagements more or less likely to succeed.</w:t>
      </w:r>
    </w:p>
    <w:p w14:paraId="11D04FCF" w14:textId="77777777" w:rsidR="004D1F1D" w:rsidRDefault="004D1F1D" w:rsidP="00741CCA">
      <w:pPr>
        <w:pStyle w:val="ListParagraph"/>
        <w:widowControl w:val="0"/>
        <w:numPr>
          <w:ilvl w:val="0"/>
          <w:numId w:val="4"/>
        </w:numPr>
        <w:spacing w:before="120" w:after="120" w:line="384" w:lineRule="auto"/>
        <w:jc w:val="both"/>
        <w:rPr>
          <w:rFonts w:ascii="Times New Roman" w:hAnsi="Times New Roman" w:cs="Times New Roman"/>
          <w:i/>
          <w:u w:val="single"/>
        </w:rPr>
      </w:pPr>
      <w:r w:rsidRPr="00A72BBC">
        <w:rPr>
          <w:rFonts w:ascii="Times New Roman" w:hAnsi="Times New Roman" w:cs="Times New Roman"/>
        </w:rPr>
        <w:t>First, leadership is decisive. In collaborative engagements, success rates are elevated by about one-third when there is a lead investor heading the dialogue on behalf of the coalition, and success rates are particularly enhanced when that investor is headquartered in the same region as the target firm.</w:t>
      </w:r>
      <w:r w:rsidRPr="00247ECE">
        <w:rPr>
          <w:rFonts w:ascii="Times New Roman" w:hAnsi="Times New Roman" w:cs="Times New Roman"/>
        </w:rPr>
        <w:t xml:space="preserve"> </w:t>
      </w:r>
      <w:r w:rsidRPr="00F06351">
        <w:rPr>
          <w:rFonts w:ascii="Times New Roman" w:hAnsi="Times New Roman" w:cs="Times New Roman"/>
          <w:i/>
          <w:u w:val="single"/>
        </w:rPr>
        <w:t>For maximum effect, coordinated engagements on ESG issues should have a lead investor that is well suited linguistically, culturally and socially to influencing target companies.</w:t>
      </w:r>
    </w:p>
    <w:p w14:paraId="507717C8" w14:textId="14AA1CD3" w:rsidR="004D1F1D" w:rsidRPr="004D1F1D" w:rsidRDefault="004D1F1D" w:rsidP="00741CCA">
      <w:pPr>
        <w:pStyle w:val="ListParagraph"/>
        <w:widowControl w:val="0"/>
        <w:numPr>
          <w:ilvl w:val="0"/>
          <w:numId w:val="4"/>
        </w:numPr>
        <w:spacing w:before="120" w:after="120" w:line="384" w:lineRule="auto"/>
        <w:jc w:val="both"/>
        <w:rPr>
          <w:rFonts w:ascii="Times New Roman" w:hAnsi="Times New Roman" w:cs="Times New Roman"/>
          <w:i/>
          <w:u w:val="single"/>
        </w:rPr>
      </w:pPr>
      <w:r w:rsidRPr="004D1F1D">
        <w:rPr>
          <w:rFonts w:ascii="Times New Roman" w:hAnsi="Times New Roman" w:cs="Times New Roman"/>
        </w:rPr>
        <w:t xml:space="preserve">Second, the scale of investor influence is </w:t>
      </w:r>
      <w:r>
        <w:rPr>
          <w:rFonts w:ascii="Times New Roman" w:hAnsi="Times New Roman" w:cs="Times New Roman"/>
        </w:rPr>
        <w:t>important</w:t>
      </w:r>
      <w:r w:rsidRPr="004D1F1D">
        <w:rPr>
          <w:rFonts w:ascii="Times New Roman" w:hAnsi="Times New Roman" w:cs="Times New Roman"/>
        </w:rPr>
        <w:t>. Success rates are higher when participating investors are more numerous, when they own a bigger proportion of the target company and when they have more total assets under management. This is especially important when investors are engaging across national boundaries.</w:t>
      </w:r>
      <w:r w:rsidRPr="00247ECE">
        <w:t xml:space="preserve"> </w:t>
      </w:r>
      <w:r w:rsidRPr="004D1F1D">
        <w:rPr>
          <w:rFonts w:ascii="Times New Roman" w:hAnsi="Times New Roman" w:cs="Times New Roman"/>
          <w:i/>
          <w:u w:val="single"/>
        </w:rPr>
        <w:t>Supporting investors are crucial: they should ideally be major institutions that have influence because of their scale, ownership and geographic breadth.</w:t>
      </w:r>
    </w:p>
    <w:p w14:paraId="03D834B1" w14:textId="77777777" w:rsidR="004D1F1D" w:rsidRPr="00F06351" w:rsidRDefault="004D1F1D" w:rsidP="00741CCA">
      <w:pPr>
        <w:widowControl w:val="0"/>
        <w:spacing w:after="0" w:line="384" w:lineRule="auto"/>
        <w:rPr>
          <w:rFonts w:ascii="Times New Roman" w:hAnsi="Times New Roman" w:cs="Times New Roman"/>
        </w:rPr>
      </w:pPr>
    </w:p>
    <w:p w14:paraId="09507531" w14:textId="5DD59DC0" w:rsidR="003F4488" w:rsidRPr="00A92F88" w:rsidRDefault="005E7535" w:rsidP="00741CCA">
      <w:pPr>
        <w:widowControl w:val="0"/>
        <w:spacing w:after="0" w:line="384" w:lineRule="auto"/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</w:pPr>
      <w:r w:rsidRPr="00A92F88"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  <w:t>W</w:t>
      </w:r>
      <w:r w:rsidR="00A72BBC" w:rsidRPr="00A92F88"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  <w:t>hich</w:t>
      </w:r>
      <w:r w:rsidRPr="00A92F88"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  <w:t xml:space="preserve"> companies get</w:t>
      </w:r>
      <w:r w:rsidR="003F4488" w:rsidRPr="00A92F88"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  <w:t xml:space="preserve"> targeted?</w:t>
      </w:r>
    </w:p>
    <w:p w14:paraId="1B27C167" w14:textId="2D55718F" w:rsidR="00791E5D" w:rsidRDefault="00247ECE" w:rsidP="00741CCA">
      <w:pPr>
        <w:widowControl w:val="0"/>
        <w:spacing w:before="120" w:after="12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3A2390">
        <w:rPr>
          <w:rFonts w:ascii="Times New Roman" w:hAnsi="Times New Roman" w:cs="Times New Roman"/>
        </w:rPr>
        <w:t xml:space="preserve">ngagements tend to </w:t>
      </w:r>
      <w:r w:rsidR="00791E5D">
        <w:rPr>
          <w:rFonts w:ascii="Times New Roman" w:hAnsi="Times New Roman" w:cs="Times New Roman"/>
        </w:rPr>
        <w:t>be with</w:t>
      </w:r>
      <w:r w:rsidRPr="003A2390">
        <w:rPr>
          <w:rFonts w:ascii="Times New Roman" w:hAnsi="Times New Roman" w:cs="Times New Roman"/>
        </w:rPr>
        <w:t xml:space="preserve"> the largest firms in their respective industry and country</w:t>
      </w:r>
      <w:r w:rsidR="003A00DA">
        <w:rPr>
          <w:rFonts w:ascii="Times New Roman" w:hAnsi="Times New Roman" w:cs="Times New Roman"/>
        </w:rPr>
        <w:t>. T</w:t>
      </w:r>
      <w:r w:rsidRPr="003A2390">
        <w:rPr>
          <w:rFonts w:ascii="Times New Roman" w:hAnsi="Times New Roman" w:cs="Times New Roman"/>
        </w:rPr>
        <w:t>hese firms offe</w:t>
      </w:r>
      <w:r>
        <w:rPr>
          <w:rFonts w:ascii="Times New Roman" w:hAnsi="Times New Roman" w:cs="Times New Roman"/>
        </w:rPr>
        <w:t xml:space="preserve">r the biggest </w:t>
      </w:r>
      <w:r w:rsidRPr="003A2390">
        <w:rPr>
          <w:rFonts w:ascii="Times New Roman" w:hAnsi="Times New Roman" w:cs="Times New Roman"/>
        </w:rPr>
        <w:t xml:space="preserve">bang for the buck when </w:t>
      </w:r>
      <w:r>
        <w:rPr>
          <w:rFonts w:ascii="Times New Roman" w:hAnsi="Times New Roman" w:cs="Times New Roman"/>
        </w:rPr>
        <w:t xml:space="preserve">investors are dedicating </w:t>
      </w:r>
      <w:r w:rsidRPr="003A2390">
        <w:rPr>
          <w:rFonts w:ascii="Times New Roman" w:hAnsi="Times New Roman" w:cs="Times New Roman"/>
        </w:rPr>
        <w:t>resources</w:t>
      </w:r>
      <w:r w:rsidR="00F06351">
        <w:rPr>
          <w:rFonts w:ascii="Times New Roman" w:hAnsi="Times New Roman" w:cs="Times New Roman"/>
        </w:rPr>
        <w:t xml:space="preserve"> to active ownership</w:t>
      </w:r>
      <w:r w:rsidRPr="003A23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1E5D" w:rsidRPr="00791E5D">
        <w:rPr>
          <w:rFonts w:ascii="Times New Roman" w:hAnsi="Times New Roman" w:cs="Times New Roman"/>
        </w:rPr>
        <w:t xml:space="preserve">We compare each target firm with a control group of companies from the same country and industry, with as close a market capitalisation as possible. </w:t>
      </w:r>
      <w:r w:rsidR="00791E5D">
        <w:rPr>
          <w:rFonts w:ascii="Times New Roman" w:hAnsi="Times New Roman" w:cs="Times New Roman"/>
        </w:rPr>
        <w:t xml:space="preserve"> </w:t>
      </w:r>
    </w:p>
    <w:p w14:paraId="23602036" w14:textId="4A7ACECF" w:rsidR="003E0BE7" w:rsidRDefault="00247ECE" w:rsidP="00741CCA">
      <w:pPr>
        <w:spacing w:before="120" w:after="12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Investors</w:t>
      </w:r>
      <w:r w:rsidR="003E0BE7" w:rsidRPr="00421BCD">
        <w:rPr>
          <w:rFonts w:ascii="Times New Roman" w:hAnsi="Times New Roman" w:cs="Times New Roman"/>
        </w:rPr>
        <w:t xml:space="preserve"> tend to</w:t>
      </w:r>
      <w:r w:rsidR="003E0BE7" w:rsidRPr="00123706">
        <w:rPr>
          <w:rFonts w:ascii="Times New Roman" w:hAnsi="Times New Roman" w:cs="Times New Roman"/>
        </w:rPr>
        <w:t xml:space="preserve"> target more mature and liquid firms,</w:t>
      </w:r>
      <w:r w:rsidR="005E7535">
        <w:rPr>
          <w:rFonts w:ascii="Times New Roman" w:hAnsi="Times New Roman" w:cs="Times New Roman"/>
        </w:rPr>
        <w:t xml:space="preserve"> and those</w:t>
      </w:r>
      <w:r w:rsidR="003E0BE7" w:rsidRPr="00123706">
        <w:rPr>
          <w:rFonts w:ascii="Times New Roman" w:hAnsi="Times New Roman" w:cs="Times New Roman"/>
        </w:rPr>
        <w:t xml:space="preserve"> where there is higher institutional ownership</w:t>
      </w:r>
      <w:r w:rsidR="003E0BE7">
        <w:rPr>
          <w:rFonts w:ascii="Times New Roman" w:hAnsi="Times New Roman" w:cs="Times New Roman"/>
        </w:rPr>
        <w:t>, which</w:t>
      </w:r>
      <w:r w:rsidR="003E0BE7" w:rsidRPr="00123706">
        <w:rPr>
          <w:rFonts w:ascii="Times New Roman" w:hAnsi="Times New Roman" w:cs="Times New Roman"/>
        </w:rPr>
        <w:t xml:space="preserve"> can strengthen the power of the engagers’ voice</w:t>
      </w:r>
      <w:r w:rsidR="003E0BE7">
        <w:rPr>
          <w:rFonts w:ascii="Times New Roman" w:hAnsi="Times New Roman" w:cs="Times New Roman"/>
        </w:rPr>
        <w:t xml:space="preserve">. </w:t>
      </w:r>
      <w:r w:rsidR="00791E5D">
        <w:rPr>
          <w:rFonts w:ascii="Times New Roman" w:hAnsi="Times New Roman" w:cs="Times New Roman"/>
        </w:rPr>
        <w:t>Targeted companies tend to have</w:t>
      </w:r>
      <w:r w:rsidR="003E0BE7">
        <w:rPr>
          <w:rFonts w:ascii="Times New Roman" w:hAnsi="Times New Roman" w:cs="Times New Roman"/>
        </w:rPr>
        <w:t xml:space="preserve"> lower stock-return</w:t>
      </w:r>
      <w:r w:rsidR="003E0BE7" w:rsidRPr="00123706">
        <w:rPr>
          <w:rFonts w:ascii="Times New Roman" w:hAnsi="Times New Roman" w:cs="Times New Roman"/>
        </w:rPr>
        <w:t xml:space="preserve"> volatil</w:t>
      </w:r>
      <w:r w:rsidR="003E0BE7">
        <w:rPr>
          <w:rFonts w:ascii="Times New Roman" w:hAnsi="Times New Roman" w:cs="Times New Roman"/>
        </w:rPr>
        <w:t>ity, higher profitability, and larger</w:t>
      </w:r>
      <w:r w:rsidR="003E0BE7" w:rsidRPr="00123706">
        <w:rPr>
          <w:rFonts w:ascii="Times New Roman" w:hAnsi="Times New Roman" w:cs="Times New Roman"/>
        </w:rPr>
        <w:t xml:space="preserve"> market capitali</w:t>
      </w:r>
      <w:r w:rsidR="003E0BE7">
        <w:rPr>
          <w:rFonts w:ascii="Times New Roman" w:hAnsi="Times New Roman" w:cs="Times New Roman"/>
        </w:rPr>
        <w:t>s</w:t>
      </w:r>
      <w:r w:rsidR="003E0BE7" w:rsidRPr="00123706">
        <w:rPr>
          <w:rFonts w:ascii="Times New Roman" w:hAnsi="Times New Roman" w:cs="Times New Roman"/>
        </w:rPr>
        <w:t>ation</w:t>
      </w:r>
      <w:r w:rsidR="00582559">
        <w:rPr>
          <w:rFonts w:ascii="Times New Roman" w:hAnsi="Times New Roman" w:cs="Times New Roman"/>
        </w:rPr>
        <w:t>.</w:t>
      </w:r>
      <w:r w:rsidR="003E0BE7">
        <w:rPr>
          <w:rFonts w:ascii="Times New Roman" w:hAnsi="Times New Roman" w:cs="Times New Roman"/>
        </w:rPr>
        <w:t xml:space="preserve"> </w:t>
      </w:r>
      <w:r w:rsidR="00582559">
        <w:rPr>
          <w:rFonts w:ascii="Times New Roman" w:hAnsi="Times New Roman" w:cs="Times New Roman"/>
        </w:rPr>
        <w:t>N</w:t>
      </w:r>
      <w:r w:rsidR="003E0BE7">
        <w:rPr>
          <w:rFonts w:ascii="Times New Roman" w:hAnsi="Times New Roman" w:cs="Times New Roman"/>
        </w:rPr>
        <w:t>on-US c</w:t>
      </w:r>
      <w:r w:rsidR="003E0BE7" w:rsidRPr="00421BCD">
        <w:rPr>
          <w:rFonts w:ascii="Times New Roman" w:hAnsi="Times New Roman" w:cs="Times New Roman"/>
        </w:rPr>
        <w:t>ompanies are more likely to be targeted if their shares trade not only in their home market</w:t>
      </w:r>
      <w:r w:rsidR="003E0BE7">
        <w:rPr>
          <w:rFonts w:ascii="Times New Roman" w:hAnsi="Times New Roman" w:cs="Times New Roman"/>
        </w:rPr>
        <w:t>,</w:t>
      </w:r>
      <w:r w:rsidR="003E0BE7" w:rsidRPr="00421BCD">
        <w:rPr>
          <w:rFonts w:ascii="Times New Roman" w:hAnsi="Times New Roman" w:cs="Times New Roman"/>
        </w:rPr>
        <w:t xml:space="preserve"> but</w:t>
      </w:r>
      <w:r w:rsidR="003E0BE7">
        <w:rPr>
          <w:rFonts w:ascii="Times New Roman" w:hAnsi="Times New Roman" w:cs="Times New Roman"/>
        </w:rPr>
        <w:t xml:space="preserve"> are</w:t>
      </w:r>
      <w:r w:rsidR="003E0BE7" w:rsidRPr="00421BCD">
        <w:rPr>
          <w:rFonts w:ascii="Times New Roman" w:hAnsi="Times New Roman" w:cs="Times New Roman"/>
        </w:rPr>
        <w:t xml:space="preserve"> </w:t>
      </w:r>
      <w:r w:rsidR="003E0BE7">
        <w:rPr>
          <w:rFonts w:ascii="Times New Roman" w:hAnsi="Times New Roman" w:cs="Times New Roman"/>
        </w:rPr>
        <w:t xml:space="preserve">made readily available to US investors </w:t>
      </w:r>
      <w:r w:rsidR="003E0BE7" w:rsidRPr="00421BCD">
        <w:rPr>
          <w:rFonts w:ascii="Times New Roman" w:hAnsi="Times New Roman" w:cs="Times New Roman"/>
        </w:rPr>
        <w:t xml:space="preserve">through </w:t>
      </w:r>
      <w:r w:rsidR="00791E5D">
        <w:rPr>
          <w:rFonts w:ascii="Times New Roman" w:hAnsi="Times New Roman" w:cs="Times New Roman"/>
        </w:rPr>
        <w:t xml:space="preserve">ADRs – </w:t>
      </w:r>
      <w:r w:rsidR="003E0BE7" w:rsidRPr="00421BCD">
        <w:rPr>
          <w:rFonts w:ascii="Times New Roman" w:hAnsi="Times New Roman" w:cs="Times New Roman"/>
        </w:rPr>
        <w:t>American depositary receipts</w:t>
      </w:r>
      <w:r w:rsidR="00791E5D">
        <w:rPr>
          <w:rFonts w:ascii="Times New Roman" w:hAnsi="Times New Roman" w:cs="Times New Roman"/>
        </w:rPr>
        <w:t xml:space="preserve"> (Table 3</w:t>
      </w:r>
      <w:r w:rsidR="003E0BE7" w:rsidRPr="00421BCD">
        <w:rPr>
          <w:rFonts w:ascii="Times New Roman" w:hAnsi="Times New Roman" w:cs="Times New Roman"/>
        </w:rPr>
        <w:t>).</w:t>
      </w:r>
    </w:p>
    <w:tbl>
      <w:tblPr>
        <w:tblStyle w:val="TableGrid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842"/>
        <w:gridCol w:w="1843"/>
        <w:gridCol w:w="1843"/>
      </w:tblGrid>
      <w:tr w:rsidR="003E0BE7" w:rsidRPr="00C873A9" w14:paraId="29BF3024" w14:textId="77777777" w:rsidTr="003F4488">
        <w:trPr>
          <w:trHeight w:val="255"/>
        </w:trPr>
        <w:tc>
          <w:tcPr>
            <w:tcW w:w="9100" w:type="dxa"/>
            <w:gridSpan w:val="4"/>
            <w:tcMar>
              <w:left w:w="28" w:type="dxa"/>
              <w:right w:w="28" w:type="dxa"/>
            </w:tcMar>
            <w:vAlign w:val="center"/>
          </w:tcPr>
          <w:p w14:paraId="0E59E552" w14:textId="63497EA3" w:rsidR="003E0BE7" w:rsidRPr="00C873A9" w:rsidRDefault="003E0BE7" w:rsidP="003F4488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Table </w:t>
            </w:r>
            <w:r w:rsidR="00582559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Difference between 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>target firm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and matched control group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 in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pre-engagement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 year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*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3E0BE7" w:rsidRPr="00C873A9" w14:paraId="3188429F" w14:textId="77777777" w:rsidTr="00F06351">
        <w:trPr>
          <w:cantSplit/>
          <w:trHeight w:val="340"/>
        </w:trPr>
        <w:tc>
          <w:tcPr>
            <w:tcW w:w="35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A69525" w14:textId="77777777" w:rsidR="003E0BE7" w:rsidRPr="00C873A9" w:rsidRDefault="003E0BE7" w:rsidP="003F4488">
            <w:pPr>
              <w:keepNext/>
              <w:keepLines/>
              <w:ind w:lef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 characteristics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B46B88" w14:textId="77777777" w:rsidR="003E0BE7" w:rsidRPr="00C873A9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erage </w:t>
            </w:r>
            <w:r w:rsidRPr="00C87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8E1800" w14:textId="77777777" w:rsidR="003E0BE7" w:rsidRPr="00C873A9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t-stat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3B7871" w14:textId="77777777" w:rsidR="003E0BE7" w:rsidRPr="00C873A9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observations</w:t>
            </w:r>
          </w:p>
        </w:tc>
      </w:tr>
      <w:tr w:rsidR="003E0BE7" w:rsidRPr="00C873A9" w14:paraId="5D5B81E1" w14:textId="77777777" w:rsidTr="00F06351">
        <w:trPr>
          <w:cantSplit/>
          <w:trHeight w:val="340"/>
        </w:trPr>
        <w:tc>
          <w:tcPr>
            <w:tcW w:w="357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14:paraId="537090BF" w14:textId="77777777" w:rsidR="003E0BE7" w:rsidRPr="004F3C7F" w:rsidRDefault="003E0BE7" w:rsidP="003F4488">
            <w:pPr>
              <w:keepNext/>
              <w:keepLines/>
              <w:ind w:left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ADR firm indicator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06DD810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3106AE23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30.13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85343C3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1,587</w:t>
            </w:r>
          </w:p>
        </w:tc>
      </w:tr>
      <w:tr w:rsidR="003E0BE7" w:rsidRPr="00C873A9" w14:paraId="47E30969" w14:textId="77777777" w:rsidTr="00F06351">
        <w:trPr>
          <w:cantSplit/>
          <w:trHeight w:val="340"/>
        </w:trPr>
        <w:tc>
          <w:tcPr>
            <w:tcW w:w="3572" w:type="dxa"/>
            <w:tcMar>
              <w:left w:w="28" w:type="dxa"/>
              <w:right w:w="28" w:type="dxa"/>
            </w:tcMar>
            <w:vAlign w:val="center"/>
            <w:hideMark/>
          </w:tcPr>
          <w:p w14:paraId="1A92801D" w14:textId="77777777" w:rsidR="003E0BE7" w:rsidRPr="004F3C7F" w:rsidRDefault="003E0BE7" w:rsidP="003F4488">
            <w:pPr>
              <w:keepNext/>
              <w:keepLines/>
              <w:ind w:left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Shareholding of institutions</w:t>
            </w:r>
          </w:p>
        </w:tc>
        <w:tc>
          <w:tcPr>
            <w:tcW w:w="1842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149972E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43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F396D7D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1843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92A53F0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1,587</w:t>
            </w:r>
          </w:p>
        </w:tc>
      </w:tr>
      <w:tr w:rsidR="003E0BE7" w:rsidRPr="00C873A9" w14:paraId="7F58A38A" w14:textId="77777777" w:rsidTr="00F06351">
        <w:trPr>
          <w:cantSplit/>
          <w:trHeight w:val="340"/>
        </w:trPr>
        <w:tc>
          <w:tcPr>
            <w:tcW w:w="357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14:paraId="6BECD835" w14:textId="77777777" w:rsidR="003E0BE7" w:rsidRPr="004F3C7F" w:rsidRDefault="003E0BE7" w:rsidP="003F4488">
            <w:pPr>
              <w:keepNext/>
              <w:keepLines/>
              <w:ind w:left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Shareholding of indep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endent</w:t>
            </w: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institutions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782F6C00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4E4F3ADA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27.27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5091AAF7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1,587</w:t>
            </w:r>
          </w:p>
        </w:tc>
      </w:tr>
      <w:tr w:rsidR="003E0BE7" w:rsidRPr="00C873A9" w14:paraId="5F50D127" w14:textId="77777777" w:rsidTr="00F06351">
        <w:trPr>
          <w:cantSplit/>
          <w:trHeight w:val="340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6CEDC" w14:textId="77777777" w:rsidR="003E0BE7" w:rsidRPr="004F3C7F" w:rsidRDefault="003E0BE7" w:rsidP="003F4488">
            <w:pPr>
              <w:keepNext/>
              <w:keepLines/>
              <w:ind w:left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Shareholding of pension funds</w:t>
            </w:r>
          </w:p>
        </w:tc>
        <w:tc>
          <w:tcPr>
            <w:tcW w:w="184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BA8CC9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8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B7E412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25.32</w:t>
            </w:r>
          </w:p>
        </w:tc>
        <w:tc>
          <w:tcPr>
            <w:tcW w:w="18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B5537D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1,587</w:t>
            </w:r>
          </w:p>
        </w:tc>
      </w:tr>
      <w:tr w:rsidR="003E0BE7" w:rsidRPr="00C873A9" w14:paraId="0D8DD5E5" w14:textId="77777777" w:rsidTr="00F06351">
        <w:trPr>
          <w:cantSplit/>
          <w:trHeight w:val="340"/>
        </w:trPr>
        <w:tc>
          <w:tcPr>
            <w:tcW w:w="357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14:paraId="3A74B0FE" w14:textId="77777777" w:rsidR="003E0BE7" w:rsidRPr="004F3C7F" w:rsidRDefault="003E0BE7" w:rsidP="003F4488">
            <w:pPr>
              <w:keepNext/>
              <w:keepLines/>
              <w:ind w:left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Shareholding of mutual funds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9B6C25D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34B2534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54DF174D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1,587</w:t>
            </w:r>
          </w:p>
        </w:tc>
      </w:tr>
      <w:tr w:rsidR="003E0BE7" w:rsidRPr="00C873A9" w14:paraId="1E1EDAC1" w14:textId="77777777" w:rsidTr="00F06351">
        <w:trPr>
          <w:cantSplit/>
          <w:trHeight w:val="340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35B68" w14:textId="77777777" w:rsidR="003E0BE7" w:rsidRPr="004F3C7F" w:rsidRDefault="003E0BE7" w:rsidP="003F4488">
            <w:pPr>
              <w:keepNext/>
              <w:keepLines/>
              <w:ind w:left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Stock return volatility</w:t>
            </w:r>
          </w:p>
        </w:tc>
        <w:tc>
          <w:tcPr>
            <w:tcW w:w="184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E65483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8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44F41D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-22.13</w:t>
            </w:r>
          </w:p>
        </w:tc>
        <w:tc>
          <w:tcPr>
            <w:tcW w:w="18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55E428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1,563</w:t>
            </w:r>
          </w:p>
        </w:tc>
      </w:tr>
      <w:tr w:rsidR="003E0BE7" w:rsidRPr="00C873A9" w14:paraId="2A6EC2C8" w14:textId="77777777" w:rsidTr="00F06351">
        <w:trPr>
          <w:cantSplit/>
          <w:trHeight w:val="340"/>
        </w:trPr>
        <w:tc>
          <w:tcPr>
            <w:tcW w:w="357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14:paraId="20BADA48" w14:textId="77777777" w:rsidR="003E0BE7" w:rsidRPr="004F3C7F" w:rsidRDefault="003E0BE7" w:rsidP="003F4488">
            <w:pPr>
              <w:keepNext/>
              <w:keepLines/>
              <w:ind w:left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Return on assets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3B54D087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3FD092C0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16.68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3F9AA312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1,584</w:t>
            </w:r>
          </w:p>
        </w:tc>
      </w:tr>
      <w:tr w:rsidR="003E0BE7" w:rsidRPr="00C873A9" w14:paraId="15646473" w14:textId="77777777" w:rsidTr="00F06351">
        <w:trPr>
          <w:cantSplit/>
          <w:trHeight w:val="340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332F1" w14:textId="77777777" w:rsidR="003E0BE7" w:rsidRPr="004F3C7F" w:rsidRDefault="003E0BE7" w:rsidP="003F4488">
            <w:pPr>
              <w:keepNext/>
              <w:keepLines/>
              <w:ind w:left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Market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italization</w:t>
            </w: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($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illion</w:t>
            </w:r>
            <w:r w:rsidRPr="0030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3641E9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8B52F3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F9FCCF" w14:textId="77777777" w:rsidR="003E0BE7" w:rsidRPr="004F3C7F" w:rsidRDefault="003E0BE7" w:rsidP="003F448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1,587</w:t>
            </w:r>
          </w:p>
        </w:tc>
      </w:tr>
    </w:tbl>
    <w:p w14:paraId="476E3BAF" w14:textId="0D92A3DE" w:rsidR="003E0BE7" w:rsidRDefault="003E0BE7" w:rsidP="003E0BE7">
      <w:pPr>
        <w:keepNext/>
        <w:keepLines/>
        <w:spacing w:before="80" w:after="0" w:line="240" w:lineRule="auto"/>
        <w:jc w:val="both"/>
        <w:rPr>
          <w:rFonts w:ascii="Times New Roman" w:hAnsi="Times New Roman" w:cs="Times New Roman"/>
        </w:rPr>
      </w:pPr>
      <w:r w:rsidRPr="00C873A9">
        <w:rPr>
          <w:rFonts w:ascii="Times New Roman" w:hAnsi="Times New Roman" w:cs="Times New Roman"/>
          <w:sz w:val="18"/>
        </w:rPr>
        <w:t>*</w:t>
      </w:r>
      <w:r w:rsidRPr="00791E5D">
        <w:rPr>
          <w:rFonts w:ascii="Times New Roman" w:hAnsi="Times New Roman" w:cs="Times New Roman"/>
          <w:spacing w:val="-2"/>
          <w:sz w:val="18"/>
        </w:rPr>
        <w:t xml:space="preserve">Abbreviated table. Differences between targets and matched controls omitted when absolute value of the </w:t>
      </w:r>
      <w:r w:rsidRPr="00791E5D">
        <w:rPr>
          <w:rFonts w:ascii="Times New Roman" w:hAnsi="Times New Roman" w:cs="Times New Roman"/>
          <w:i/>
          <w:spacing w:val="-2"/>
          <w:sz w:val="18"/>
        </w:rPr>
        <w:t>t</w:t>
      </w:r>
      <w:r w:rsidRPr="00791E5D">
        <w:rPr>
          <w:rFonts w:ascii="Times New Roman" w:hAnsi="Times New Roman" w:cs="Times New Roman"/>
          <w:spacing w:val="-2"/>
          <w:sz w:val="18"/>
        </w:rPr>
        <w:t>-statistic is</w:t>
      </w:r>
      <w:r w:rsidR="00791E5D" w:rsidRPr="00791E5D">
        <w:rPr>
          <w:rFonts w:ascii="Times New Roman" w:hAnsi="Times New Roman" w:cs="Times New Roman"/>
          <w:spacing w:val="-2"/>
          <w:sz w:val="18"/>
        </w:rPr>
        <w:t xml:space="preserve"> </w:t>
      </w:r>
      <w:r w:rsidR="00791E5D">
        <w:rPr>
          <w:rFonts w:ascii="Times New Roman" w:hAnsi="Times New Roman" w:cs="Times New Roman"/>
          <w:spacing w:val="-2"/>
          <w:sz w:val="18"/>
        </w:rPr>
        <w:t>below</w:t>
      </w:r>
      <w:r w:rsidR="00791E5D" w:rsidRPr="00791E5D">
        <w:rPr>
          <w:rFonts w:ascii="Times New Roman" w:hAnsi="Times New Roman" w:cs="Times New Roman"/>
          <w:spacing w:val="-2"/>
          <w:sz w:val="18"/>
        </w:rPr>
        <w:t xml:space="preserve"> </w:t>
      </w:r>
      <w:r w:rsidRPr="00791E5D">
        <w:rPr>
          <w:rFonts w:ascii="Times New Roman" w:hAnsi="Times New Roman" w:cs="Times New Roman"/>
          <w:spacing w:val="-2"/>
          <w:sz w:val="18"/>
        </w:rPr>
        <w:t>15.</w:t>
      </w:r>
      <w:r>
        <w:rPr>
          <w:rFonts w:ascii="Times New Roman" w:hAnsi="Times New Roman" w:cs="Times New Roman"/>
        </w:rPr>
        <w:t xml:space="preserve"> </w:t>
      </w:r>
    </w:p>
    <w:p w14:paraId="408D099B" w14:textId="5D9B66D1" w:rsidR="003F4488" w:rsidRDefault="003F4488" w:rsidP="00791E5D">
      <w:pPr>
        <w:widowControl w:val="0"/>
        <w:spacing w:before="80" w:after="0" w:line="240" w:lineRule="auto"/>
        <w:jc w:val="both"/>
        <w:rPr>
          <w:rFonts w:ascii="Times New Roman" w:hAnsi="Times New Roman" w:cs="Times New Roman"/>
        </w:rPr>
      </w:pPr>
    </w:p>
    <w:p w14:paraId="0FEF870F" w14:textId="2BCDF23F" w:rsidR="003F4488" w:rsidRDefault="004D1F1D" w:rsidP="00741CCA">
      <w:pPr>
        <w:widowControl w:val="0"/>
        <w:spacing w:before="120" w:after="12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coordinated e</w:t>
      </w:r>
      <w:r w:rsidR="003F4488" w:rsidRPr="00C873A9">
        <w:rPr>
          <w:rFonts w:ascii="Times New Roman" w:hAnsi="Times New Roman" w:cs="Times New Roman"/>
        </w:rPr>
        <w:t>ngagements are heavily</w:t>
      </w:r>
      <w:r w:rsidR="003F4488">
        <w:rPr>
          <w:rFonts w:ascii="Times New Roman" w:hAnsi="Times New Roman" w:cs="Times New Roman"/>
        </w:rPr>
        <w:t xml:space="preserve"> directed </w:t>
      </w:r>
      <w:r>
        <w:rPr>
          <w:rFonts w:ascii="Times New Roman" w:hAnsi="Times New Roman" w:cs="Times New Roman"/>
        </w:rPr>
        <w:t>towards</w:t>
      </w:r>
      <w:r w:rsidR="003F4488" w:rsidRPr="00C873A9">
        <w:rPr>
          <w:rFonts w:ascii="Times New Roman" w:hAnsi="Times New Roman" w:cs="Times New Roman"/>
        </w:rPr>
        <w:t xml:space="preserve"> the manufacturing sector, followed by infrastructure</w:t>
      </w:r>
      <w:r w:rsidR="003F4488">
        <w:rPr>
          <w:rFonts w:ascii="Times New Roman" w:hAnsi="Times New Roman" w:cs="Times New Roman"/>
        </w:rPr>
        <w:t>,</w:t>
      </w:r>
      <w:r w:rsidR="003F4488" w:rsidRPr="00C873A9">
        <w:rPr>
          <w:rFonts w:ascii="Times New Roman" w:hAnsi="Times New Roman" w:cs="Times New Roman"/>
        </w:rPr>
        <w:t xml:space="preserve"> and wholesale</w:t>
      </w:r>
      <w:r w:rsidR="003F4488">
        <w:rPr>
          <w:rFonts w:ascii="Times New Roman" w:hAnsi="Times New Roman" w:cs="Times New Roman"/>
        </w:rPr>
        <w:t xml:space="preserve"> and </w:t>
      </w:r>
      <w:r w:rsidR="003F4488" w:rsidRPr="00C873A9">
        <w:rPr>
          <w:rFonts w:ascii="Times New Roman" w:hAnsi="Times New Roman" w:cs="Times New Roman"/>
        </w:rPr>
        <w:t xml:space="preserve">retail trade. Apart from agriculture, for which there are few initiatives, engagements in an industry group </w:t>
      </w:r>
      <w:r w:rsidR="003F4488">
        <w:rPr>
          <w:rFonts w:ascii="Times New Roman" w:hAnsi="Times New Roman" w:cs="Times New Roman"/>
        </w:rPr>
        <w:t>involve</w:t>
      </w:r>
      <w:r w:rsidR="003F4488" w:rsidRPr="00C873A9">
        <w:rPr>
          <w:rFonts w:ascii="Times New Roman" w:hAnsi="Times New Roman" w:cs="Times New Roman"/>
        </w:rPr>
        <w:t xml:space="preserve"> companies located in at least 12 and up to 52 </w:t>
      </w:r>
      <w:r w:rsidR="003F4488">
        <w:rPr>
          <w:rFonts w:ascii="Times New Roman" w:hAnsi="Times New Roman" w:cs="Times New Roman"/>
        </w:rPr>
        <w:t>different</w:t>
      </w:r>
      <w:r w:rsidR="003F4488" w:rsidRPr="00C873A9">
        <w:rPr>
          <w:rFonts w:ascii="Times New Roman" w:hAnsi="Times New Roman" w:cs="Times New Roman"/>
        </w:rPr>
        <w:t xml:space="preserve"> countries, depending on the industry</w:t>
      </w:r>
      <w:r w:rsidR="00A92F88">
        <w:rPr>
          <w:rFonts w:ascii="Times New Roman" w:hAnsi="Times New Roman" w:cs="Times New Roman"/>
        </w:rPr>
        <w:t xml:space="preserve"> (Table 4).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2220"/>
        <w:gridCol w:w="2221"/>
        <w:gridCol w:w="2221"/>
      </w:tblGrid>
      <w:tr w:rsidR="003F4488" w:rsidRPr="00C873A9" w14:paraId="3C0C6A56" w14:textId="77777777" w:rsidTr="003F4488">
        <w:trPr>
          <w:trHeight w:val="30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09C3" w14:textId="35497B40" w:rsidR="003F4488" w:rsidRPr="00C873A9" w:rsidRDefault="003F4488" w:rsidP="003F448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Table </w:t>
            </w:r>
            <w:r w:rsidR="00582559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>: PRI engagements by industr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y</w:t>
            </w:r>
            <w:r w:rsidRPr="00C873A9">
              <w:rPr>
                <w:rFonts w:ascii="Times New Roman" w:hAnsi="Times New Roman" w:cs="Times New Roman"/>
                <w:b/>
                <w:bCs/>
                <w:szCs w:val="20"/>
              </w:rPr>
              <w:t xml:space="preserve"> 2007–2017</w:t>
            </w:r>
          </w:p>
        </w:tc>
      </w:tr>
      <w:tr w:rsidR="003F4488" w:rsidRPr="00C873A9" w14:paraId="36E7FCCC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43583FAE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Industry sector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B8FD945" w14:textId="4D035CD1" w:rsidR="003F4488" w:rsidRPr="00C873A9" w:rsidRDefault="003F4488" w:rsidP="005046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73A9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o.</w:t>
            </w:r>
            <w:r w:rsidRPr="00C873A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of </w:t>
            </w:r>
            <w:r w:rsidR="0050463D">
              <w:rPr>
                <w:rFonts w:ascii="Times New Roman" w:hAnsi="Times New Roman" w:cs="Times New Roman"/>
                <w:b/>
                <w:sz w:val="20"/>
                <w:szCs w:val="18"/>
              </w:rPr>
              <w:t>dialogues</w:t>
            </w: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88EE47D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73A9">
              <w:rPr>
                <w:rFonts w:ascii="Times New Roman" w:hAnsi="Times New Roman" w:cs="Times New Roman"/>
                <w:b/>
                <w:sz w:val="20"/>
                <w:szCs w:val="18"/>
              </w:rPr>
              <w:t>No. of targets</w:t>
            </w: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CE060A2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73A9">
              <w:rPr>
                <w:rFonts w:ascii="Times New Roman" w:hAnsi="Times New Roman" w:cs="Times New Roman"/>
                <w:b/>
                <w:sz w:val="20"/>
                <w:szCs w:val="18"/>
              </w:rPr>
              <w:t>No. of countries</w:t>
            </w:r>
          </w:p>
        </w:tc>
      </w:tr>
      <w:tr w:rsidR="003F4488" w:rsidRPr="00C873A9" w14:paraId="357567A0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CD9DEB2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D414288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BA23C96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9FB36E2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F4488" w:rsidRPr="00C873A9" w14:paraId="425DBA0F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741531C6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Infrastructure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C237229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6DF8B34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8EC0A8D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F4488" w:rsidRPr="00C873A9" w14:paraId="50D541C2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0B7AE70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Wholesale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trade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1ABC220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5430B61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8188C90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F4488" w:rsidRPr="00C873A9" w14:paraId="760AF996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0489A54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1C553CBE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0D080FA8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094D5037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F4488" w:rsidRPr="00C873A9" w14:paraId="3E7F1959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E15E4C2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8F5A44B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2ACA578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454A65E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F4488" w:rsidRPr="00C873A9" w14:paraId="3E4E56FA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CFC43D3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4C2BCFB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1DD8E664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50B51D0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F4488" w:rsidRPr="00C873A9" w14:paraId="0ECDDA9B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E6B9A6C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11006C3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EE04566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CD33CBC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F4488" w:rsidRPr="00C873A9" w14:paraId="6426BBD5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0A482BC7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Non-classifiable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0DC41F01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37E61532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10C802F9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F4488" w:rsidRPr="00C873A9" w14:paraId="64F7FDF6" w14:textId="77777777" w:rsidTr="00F0635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D00CF1E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3168B96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2F5E396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E28F97C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F4488" w:rsidRPr="00C873A9" w14:paraId="548195AC" w14:textId="77777777" w:rsidTr="00F06351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D6A022" w14:textId="77777777" w:rsidR="003F4488" w:rsidRPr="00C873A9" w:rsidRDefault="003F4488" w:rsidP="003F4488">
            <w:pPr>
              <w:widowControl w:val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sectors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CA030D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E40D98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EA7470" w14:textId="77777777" w:rsidR="003F4488" w:rsidRPr="00C873A9" w:rsidRDefault="003F4488" w:rsidP="003F44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14:paraId="2DC43F89" w14:textId="31D7C6AB" w:rsidR="003F4488" w:rsidRDefault="003F4488" w:rsidP="00741CCA">
      <w:pPr>
        <w:widowControl w:val="0"/>
        <w:spacing w:before="80" w:after="0" w:line="240" w:lineRule="auto"/>
        <w:jc w:val="both"/>
        <w:rPr>
          <w:rFonts w:ascii="Times New Roman" w:hAnsi="Times New Roman" w:cs="Times New Roman"/>
        </w:rPr>
      </w:pPr>
    </w:p>
    <w:p w14:paraId="2522DA07" w14:textId="6446DD81" w:rsidR="00582559" w:rsidRPr="00A92F88" w:rsidRDefault="00582559" w:rsidP="00741CCA">
      <w:pPr>
        <w:keepNext/>
        <w:keepLines/>
        <w:spacing w:after="0" w:line="384" w:lineRule="auto"/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</w:pPr>
      <w:r w:rsidRPr="00A92F88">
        <w:rPr>
          <w:rFonts w:ascii="Times New Roman" w:hAnsi="Times New Roman" w:cs="Times New Roman"/>
          <w:b/>
          <w:color w:val="0070C0"/>
          <w:spacing w:val="-4"/>
          <w:sz w:val="26"/>
          <w:szCs w:val="26"/>
        </w:rPr>
        <w:lastRenderedPageBreak/>
        <w:t>Lessons for investors worldwide</w:t>
      </w:r>
    </w:p>
    <w:p w14:paraId="0B3D840C" w14:textId="721C2C23" w:rsidR="003A2390" w:rsidRDefault="00C371B9" w:rsidP="00741CCA">
      <w:pPr>
        <w:keepNext/>
        <w:keepLines/>
        <w:spacing w:before="120" w:after="12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C6D1A">
        <w:rPr>
          <w:rFonts w:ascii="Times New Roman" w:hAnsi="Times New Roman" w:cs="Times New Roman"/>
        </w:rPr>
        <w:t xml:space="preserve">ur </w:t>
      </w:r>
      <w:r w:rsidR="00BA1A32" w:rsidRPr="00B16A8B">
        <w:rPr>
          <w:rFonts w:ascii="Times New Roman" w:hAnsi="Times New Roman" w:cs="Times New Roman"/>
        </w:rPr>
        <w:t>earlier research</w:t>
      </w:r>
      <w:r w:rsidR="00A92F88">
        <w:rPr>
          <w:rFonts w:ascii="Times New Roman" w:hAnsi="Times New Roman" w:cs="Times New Roman"/>
        </w:rPr>
        <w:t xml:space="preserve"> (</w:t>
      </w:r>
      <w:r w:rsidR="00531572">
        <w:rPr>
          <w:rFonts w:ascii="Times New Roman" w:hAnsi="Times New Roman" w:cs="Times New Roman"/>
        </w:rPr>
        <w:t>see</w:t>
      </w:r>
      <w:r w:rsidR="00A92F88">
        <w:rPr>
          <w:rFonts w:ascii="Times New Roman" w:hAnsi="Times New Roman" w:cs="Times New Roman"/>
        </w:rPr>
        <w:t xml:space="preserve"> </w:t>
      </w:r>
      <w:hyperlink r:id="rId8" w:history="1">
        <w:r w:rsidR="00B16A8B" w:rsidRPr="00C50E6A">
          <w:rPr>
            <w:rStyle w:val="Hyperlink"/>
            <w:rFonts w:ascii="Times New Roman" w:hAnsi="Times New Roman" w:cs="Times New Roman"/>
          </w:rPr>
          <w:t>https://goo.gl/UNmk22</w:t>
        </w:r>
      </w:hyperlink>
      <w:r w:rsidR="00A92F88">
        <w:rPr>
          <w:rFonts w:ascii="Times New Roman" w:hAnsi="Times New Roman" w:cs="Times New Roman"/>
        </w:rPr>
        <w:t>)</w:t>
      </w:r>
      <w:r w:rsidR="00B16A8B">
        <w:rPr>
          <w:rFonts w:ascii="Times New Roman" w:hAnsi="Times New Roman" w:cs="Times New Roman"/>
        </w:rPr>
        <w:t xml:space="preserve"> </w:t>
      </w:r>
      <w:r w:rsidR="00A92F88" w:rsidRPr="001A4770">
        <w:rPr>
          <w:rFonts w:ascii="Times New Roman" w:hAnsi="Times New Roman" w:cs="Times New Roman"/>
        </w:rPr>
        <w:t>analy</w:t>
      </w:r>
      <w:r w:rsidR="00A92F88">
        <w:rPr>
          <w:rFonts w:ascii="Times New Roman" w:hAnsi="Times New Roman" w:cs="Times New Roman"/>
        </w:rPr>
        <w:t>sed</w:t>
      </w:r>
      <w:r w:rsidR="00BA1A32" w:rsidRPr="001A4770">
        <w:rPr>
          <w:rFonts w:ascii="Times New Roman" w:hAnsi="Times New Roman" w:cs="Times New Roman"/>
        </w:rPr>
        <w:t xml:space="preserve"> a major </w:t>
      </w:r>
      <w:r w:rsidR="00BC108A">
        <w:rPr>
          <w:rFonts w:ascii="Times New Roman" w:hAnsi="Times New Roman" w:cs="Times New Roman"/>
        </w:rPr>
        <w:t>investor’s</w:t>
      </w:r>
      <w:r w:rsidR="00DB6680">
        <w:rPr>
          <w:rFonts w:ascii="Times New Roman" w:hAnsi="Times New Roman" w:cs="Times New Roman"/>
        </w:rPr>
        <w:t xml:space="preserve"> </w:t>
      </w:r>
      <w:r w:rsidR="00BA1A32" w:rsidRPr="001A4770">
        <w:rPr>
          <w:rFonts w:ascii="Times New Roman" w:hAnsi="Times New Roman" w:cs="Times New Roman"/>
        </w:rPr>
        <w:t xml:space="preserve">engagements with US </w:t>
      </w:r>
      <w:r w:rsidR="000C077E">
        <w:rPr>
          <w:rFonts w:ascii="Times New Roman" w:hAnsi="Times New Roman" w:cs="Times New Roman"/>
        </w:rPr>
        <w:t>firms</w:t>
      </w:r>
      <w:r w:rsidR="00BA1A32" w:rsidRPr="001A4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1A4770">
        <w:rPr>
          <w:rFonts w:ascii="Times New Roman" w:hAnsi="Times New Roman" w:cs="Times New Roman"/>
        </w:rPr>
        <w:t xml:space="preserve"> </w:t>
      </w:r>
      <w:r w:rsidR="00BA1A32" w:rsidRPr="001A477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and </w:t>
      </w:r>
      <w:r w:rsidR="00BA1A32" w:rsidRPr="001A4770">
        <w:rPr>
          <w:rFonts w:ascii="Times New Roman" w:hAnsi="Times New Roman" w:cs="Times New Roman"/>
        </w:rPr>
        <w:t>2009</w:t>
      </w:r>
      <w:r w:rsidR="00A92F88">
        <w:rPr>
          <w:rFonts w:ascii="Times New Roman" w:hAnsi="Times New Roman" w:cs="Times New Roman"/>
        </w:rPr>
        <w:t>. We</w:t>
      </w:r>
      <w:r w:rsidR="00BA1A32" w:rsidRPr="001A4770">
        <w:rPr>
          <w:rFonts w:ascii="Times New Roman" w:hAnsi="Times New Roman" w:cs="Times New Roman"/>
        </w:rPr>
        <w:t xml:space="preserve"> </w:t>
      </w:r>
      <w:r w:rsidR="00BA1A32">
        <w:rPr>
          <w:rFonts w:ascii="Times New Roman" w:hAnsi="Times New Roman" w:cs="Times New Roman"/>
        </w:rPr>
        <w:t xml:space="preserve">found </w:t>
      </w:r>
      <w:r w:rsidR="00BA1A32" w:rsidRPr="00A92F88">
        <w:rPr>
          <w:rFonts w:ascii="Times New Roman" w:hAnsi="Times New Roman" w:cs="Times New Roman"/>
        </w:rPr>
        <w:t>that</w:t>
      </w:r>
      <w:r w:rsidR="00DB6680" w:rsidRPr="00A92F88">
        <w:rPr>
          <w:rFonts w:ascii="Times New Roman" w:hAnsi="Times New Roman" w:cs="Times New Roman"/>
        </w:rPr>
        <w:t xml:space="preserve"> dialogue</w:t>
      </w:r>
      <w:r w:rsidR="00A92F88" w:rsidRPr="00A92F88">
        <w:rPr>
          <w:rFonts w:ascii="Times New Roman" w:hAnsi="Times New Roman" w:cs="Times New Roman"/>
        </w:rPr>
        <w:t xml:space="preserve"> involving a group of like-minded</w:t>
      </w:r>
      <w:r w:rsidR="00FF19FB" w:rsidRPr="00A92F88">
        <w:rPr>
          <w:rFonts w:ascii="Times New Roman" w:hAnsi="Times New Roman" w:cs="Times New Roman"/>
        </w:rPr>
        <w:t xml:space="preserve"> </w:t>
      </w:r>
      <w:r w:rsidRPr="00A92F88">
        <w:rPr>
          <w:rFonts w:ascii="Times New Roman" w:hAnsi="Times New Roman" w:cs="Times New Roman"/>
        </w:rPr>
        <w:t>investors</w:t>
      </w:r>
      <w:r w:rsidR="00C07D5F" w:rsidRPr="00A92F88">
        <w:rPr>
          <w:rFonts w:ascii="Times New Roman" w:hAnsi="Times New Roman" w:cs="Times New Roman"/>
        </w:rPr>
        <w:t xml:space="preserve"> wa</w:t>
      </w:r>
      <w:r w:rsidR="00BA1A32" w:rsidRPr="00A92F88">
        <w:rPr>
          <w:rFonts w:ascii="Times New Roman" w:hAnsi="Times New Roman" w:cs="Times New Roman"/>
        </w:rPr>
        <w:t xml:space="preserve">s instrumental in increasing the success rate of </w:t>
      </w:r>
      <w:r w:rsidR="00F748FE" w:rsidRPr="00A92F88">
        <w:rPr>
          <w:rFonts w:ascii="Times New Roman" w:hAnsi="Times New Roman" w:cs="Times New Roman"/>
        </w:rPr>
        <w:t xml:space="preserve">engagements on </w:t>
      </w:r>
      <w:r w:rsidR="00BA1A32" w:rsidRPr="00A92F88">
        <w:rPr>
          <w:rFonts w:ascii="Times New Roman" w:hAnsi="Times New Roman" w:cs="Times New Roman"/>
        </w:rPr>
        <w:t>environmental</w:t>
      </w:r>
      <w:r w:rsidR="00C07D5F" w:rsidRPr="00A92F88">
        <w:rPr>
          <w:rFonts w:ascii="Times New Roman" w:hAnsi="Times New Roman" w:cs="Times New Roman"/>
        </w:rPr>
        <w:t xml:space="preserve"> and </w:t>
      </w:r>
      <w:r w:rsidR="00BA1A32" w:rsidRPr="00A92F88">
        <w:rPr>
          <w:rFonts w:ascii="Times New Roman" w:hAnsi="Times New Roman" w:cs="Times New Roman"/>
        </w:rPr>
        <w:t xml:space="preserve">social </w:t>
      </w:r>
      <w:r w:rsidR="00F748FE" w:rsidRPr="00A92F88">
        <w:rPr>
          <w:rFonts w:ascii="Times New Roman" w:hAnsi="Times New Roman" w:cs="Times New Roman"/>
        </w:rPr>
        <w:t>(E&amp;S) issues</w:t>
      </w:r>
      <w:r w:rsidR="005E7535" w:rsidRPr="00A92F88">
        <w:rPr>
          <w:rFonts w:ascii="Times New Roman" w:hAnsi="Times New Roman" w:cs="Times New Roman"/>
        </w:rPr>
        <w:t>:</w:t>
      </w:r>
      <w:r w:rsidR="00BA1A32" w:rsidRPr="00A92F88">
        <w:rPr>
          <w:rFonts w:ascii="Times New Roman" w:hAnsi="Times New Roman" w:cs="Times New Roman"/>
        </w:rPr>
        <w:t xml:space="preserve"> </w:t>
      </w:r>
      <w:r w:rsidR="005E7535" w:rsidRPr="00A92F88">
        <w:rPr>
          <w:rFonts w:ascii="Times New Roman" w:hAnsi="Times New Roman" w:cs="Times New Roman"/>
        </w:rPr>
        <w:t>a</w:t>
      </w:r>
      <w:r w:rsidR="00BA1A32" w:rsidRPr="00A92F88">
        <w:rPr>
          <w:rFonts w:ascii="Times New Roman" w:hAnsi="Times New Roman" w:cs="Times New Roman"/>
        </w:rPr>
        <w:t xml:space="preserve">fter successful </w:t>
      </w:r>
      <w:r w:rsidR="00F748FE" w:rsidRPr="00A92F88">
        <w:rPr>
          <w:rFonts w:ascii="Times New Roman" w:hAnsi="Times New Roman" w:cs="Times New Roman"/>
        </w:rPr>
        <w:t xml:space="preserve">E&amp;S </w:t>
      </w:r>
      <w:r w:rsidR="00BA1A32" w:rsidRPr="00A92F88">
        <w:rPr>
          <w:rFonts w:ascii="Times New Roman" w:hAnsi="Times New Roman" w:cs="Times New Roman"/>
        </w:rPr>
        <w:t>engagements</w:t>
      </w:r>
      <w:r w:rsidR="005056FA" w:rsidRPr="00A92F88">
        <w:rPr>
          <w:rFonts w:ascii="Times New Roman" w:hAnsi="Times New Roman" w:cs="Times New Roman"/>
        </w:rPr>
        <w:t>,</w:t>
      </w:r>
      <w:r w:rsidR="00BA1A32" w:rsidRPr="00A92F88">
        <w:rPr>
          <w:rFonts w:ascii="Times New Roman" w:hAnsi="Times New Roman" w:cs="Times New Roman"/>
        </w:rPr>
        <w:t xml:space="preserve"> companies experience</w:t>
      </w:r>
      <w:r w:rsidR="00C07D5F" w:rsidRPr="00A92F88">
        <w:rPr>
          <w:rFonts w:ascii="Times New Roman" w:hAnsi="Times New Roman" w:cs="Times New Roman"/>
        </w:rPr>
        <w:t>d</w:t>
      </w:r>
      <w:r w:rsidR="00BA1A32" w:rsidRPr="00A92F88">
        <w:rPr>
          <w:rFonts w:ascii="Times New Roman" w:hAnsi="Times New Roman" w:cs="Times New Roman"/>
        </w:rPr>
        <w:t xml:space="preserve"> </w:t>
      </w:r>
      <w:r w:rsidR="00FF19FB" w:rsidRPr="00A92F88">
        <w:rPr>
          <w:rFonts w:ascii="Times New Roman" w:hAnsi="Times New Roman" w:cs="Times New Roman"/>
        </w:rPr>
        <w:t>favo</w:t>
      </w:r>
      <w:r w:rsidRPr="00A92F88">
        <w:rPr>
          <w:rFonts w:ascii="Times New Roman" w:hAnsi="Times New Roman" w:cs="Times New Roman"/>
        </w:rPr>
        <w:t>u</w:t>
      </w:r>
      <w:r w:rsidR="00FF19FB" w:rsidRPr="00A92F88">
        <w:rPr>
          <w:rFonts w:ascii="Times New Roman" w:hAnsi="Times New Roman" w:cs="Times New Roman"/>
        </w:rPr>
        <w:t>rable</w:t>
      </w:r>
      <w:r w:rsidR="00BA1A32" w:rsidRPr="00A92F88">
        <w:rPr>
          <w:rFonts w:ascii="Times New Roman" w:hAnsi="Times New Roman" w:cs="Times New Roman"/>
        </w:rPr>
        <w:t xml:space="preserve"> </w:t>
      </w:r>
      <w:r w:rsidR="005219F1" w:rsidRPr="00A92F88">
        <w:rPr>
          <w:rFonts w:ascii="Times New Roman" w:hAnsi="Times New Roman" w:cs="Times New Roman"/>
        </w:rPr>
        <w:t xml:space="preserve">stock market returns, </w:t>
      </w:r>
      <w:r w:rsidR="00FF19FB" w:rsidRPr="00A92F88">
        <w:rPr>
          <w:rFonts w:ascii="Times New Roman" w:hAnsi="Times New Roman" w:cs="Times New Roman"/>
        </w:rPr>
        <w:t>better</w:t>
      </w:r>
      <w:r w:rsidR="005219F1" w:rsidRPr="00A92F88">
        <w:rPr>
          <w:rFonts w:ascii="Times New Roman" w:hAnsi="Times New Roman" w:cs="Times New Roman"/>
        </w:rPr>
        <w:t xml:space="preserve"> </w:t>
      </w:r>
      <w:r w:rsidR="001574CE" w:rsidRPr="00A92F88">
        <w:rPr>
          <w:rFonts w:ascii="Times New Roman" w:hAnsi="Times New Roman" w:cs="Times New Roman"/>
        </w:rPr>
        <w:t xml:space="preserve">accounting </w:t>
      </w:r>
      <w:r w:rsidR="00BA1A32" w:rsidRPr="00A92F88">
        <w:rPr>
          <w:rFonts w:ascii="Times New Roman" w:hAnsi="Times New Roman" w:cs="Times New Roman"/>
        </w:rPr>
        <w:t>performance</w:t>
      </w:r>
      <w:r w:rsidR="00FF19FB" w:rsidRPr="00A92F88">
        <w:rPr>
          <w:rFonts w:ascii="Times New Roman" w:hAnsi="Times New Roman" w:cs="Times New Roman"/>
        </w:rPr>
        <w:t>, improved</w:t>
      </w:r>
      <w:r w:rsidR="00BA1A32" w:rsidRPr="00A92F88">
        <w:rPr>
          <w:rFonts w:ascii="Times New Roman" w:hAnsi="Times New Roman" w:cs="Times New Roman"/>
        </w:rPr>
        <w:t xml:space="preserve"> governance</w:t>
      </w:r>
      <w:r w:rsidR="00C07D5F" w:rsidRPr="00A92F88">
        <w:rPr>
          <w:rFonts w:ascii="Times New Roman" w:hAnsi="Times New Roman" w:cs="Times New Roman"/>
        </w:rPr>
        <w:t>,</w:t>
      </w:r>
      <w:r w:rsidR="00BA1A32" w:rsidRPr="00A92F88">
        <w:rPr>
          <w:rFonts w:ascii="Times New Roman" w:hAnsi="Times New Roman" w:cs="Times New Roman"/>
        </w:rPr>
        <w:t xml:space="preserve"> and </w:t>
      </w:r>
      <w:r w:rsidR="005219F1" w:rsidRPr="00A92F88">
        <w:rPr>
          <w:rFonts w:ascii="Times New Roman" w:hAnsi="Times New Roman" w:cs="Times New Roman"/>
        </w:rPr>
        <w:t>greater</w:t>
      </w:r>
      <w:r w:rsidR="00BA1A32" w:rsidRPr="00A92F88">
        <w:rPr>
          <w:rFonts w:ascii="Times New Roman" w:hAnsi="Times New Roman" w:cs="Times New Roman"/>
        </w:rPr>
        <w:t xml:space="preserve"> institutional ownership.</w:t>
      </w:r>
      <w:r w:rsidR="006E04B0" w:rsidRPr="00A92F88">
        <w:rPr>
          <w:rFonts w:ascii="Times New Roman" w:hAnsi="Times New Roman" w:cs="Times New Roman"/>
        </w:rPr>
        <w:t xml:space="preserve"> </w:t>
      </w:r>
      <w:r w:rsidR="00247ECE" w:rsidRPr="00A92F88">
        <w:rPr>
          <w:rFonts w:ascii="Times New Roman" w:hAnsi="Times New Roman" w:cs="Times New Roman"/>
        </w:rPr>
        <w:t>That paper</w:t>
      </w:r>
      <w:r w:rsidR="006E04B0" w:rsidRPr="00A92F88">
        <w:rPr>
          <w:rFonts w:ascii="Times New Roman" w:hAnsi="Times New Roman" w:cs="Times New Roman"/>
        </w:rPr>
        <w:t xml:space="preserve"> was the first to </w:t>
      </w:r>
      <w:r w:rsidR="005219F1" w:rsidRPr="00A92F88">
        <w:rPr>
          <w:rFonts w:ascii="Times New Roman" w:hAnsi="Times New Roman" w:cs="Times New Roman"/>
        </w:rPr>
        <w:t xml:space="preserve">demonstrate </w:t>
      </w:r>
      <w:r w:rsidR="006E04B0" w:rsidRPr="00A92F88">
        <w:rPr>
          <w:rFonts w:ascii="Times New Roman" w:hAnsi="Times New Roman" w:cs="Times New Roman"/>
        </w:rPr>
        <w:t xml:space="preserve">the </w:t>
      </w:r>
      <w:r w:rsidR="005219F1" w:rsidRPr="00A92F88">
        <w:rPr>
          <w:rFonts w:ascii="Times New Roman" w:hAnsi="Times New Roman" w:cs="Times New Roman"/>
        </w:rPr>
        <w:t>value</w:t>
      </w:r>
      <w:r w:rsidR="00DB6680" w:rsidRPr="00A92F88">
        <w:rPr>
          <w:rFonts w:ascii="Times New Roman" w:hAnsi="Times New Roman" w:cs="Times New Roman"/>
        </w:rPr>
        <w:t xml:space="preserve"> of</w:t>
      </w:r>
      <w:r w:rsidR="006E04B0" w:rsidRPr="00A92F88">
        <w:rPr>
          <w:rFonts w:ascii="Times New Roman" w:hAnsi="Times New Roman" w:cs="Times New Roman"/>
        </w:rPr>
        <w:t xml:space="preserve"> engagement</w:t>
      </w:r>
      <w:r w:rsidR="00FF19FB" w:rsidRPr="00A92F88">
        <w:rPr>
          <w:rFonts w:ascii="Times New Roman" w:hAnsi="Times New Roman" w:cs="Times New Roman"/>
        </w:rPr>
        <w:t xml:space="preserve">, </w:t>
      </w:r>
      <w:r w:rsidR="00247ECE" w:rsidRPr="00A92F88">
        <w:rPr>
          <w:rFonts w:ascii="Times New Roman" w:hAnsi="Times New Roman" w:cs="Times New Roman"/>
        </w:rPr>
        <w:t xml:space="preserve">but did so </w:t>
      </w:r>
      <w:r w:rsidR="00741CCA">
        <w:rPr>
          <w:rFonts w:ascii="Times New Roman" w:hAnsi="Times New Roman" w:cs="Times New Roman"/>
        </w:rPr>
        <w:t xml:space="preserve">only </w:t>
      </w:r>
      <w:r w:rsidR="00FF19FB" w:rsidRPr="00A92F88">
        <w:rPr>
          <w:rFonts w:ascii="Times New Roman" w:hAnsi="Times New Roman" w:cs="Times New Roman"/>
        </w:rPr>
        <w:t>from a US</w:t>
      </w:r>
      <w:r w:rsidR="00A5668E" w:rsidRPr="00A92F88">
        <w:rPr>
          <w:rFonts w:ascii="Times New Roman" w:hAnsi="Times New Roman" w:cs="Times New Roman"/>
        </w:rPr>
        <w:t xml:space="preserve"> view</w:t>
      </w:r>
      <w:r w:rsidR="005056FA" w:rsidRPr="00A92F88">
        <w:rPr>
          <w:rFonts w:ascii="Times New Roman" w:hAnsi="Times New Roman" w:cs="Times New Roman"/>
        </w:rPr>
        <w:t>point</w:t>
      </w:r>
      <w:r w:rsidR="00FF19FB" w:rsidRPr="00A92F88">
        <w:rPr>
          <w:rFonts w:ascii="Times New Roman" w:hAnsi="Times New Roman" w:cs="Times New Roman"/>
        </w:rPr>
        <w:t xml:space="preserve">. </w:t>
      </w:r>
      <w:r w:rsidR="00247ECE" w:rsidRPr="00A92F88">
        <w:rPr>
          <w:rFonts w:ascii="Times New Roman" w:hAnsi="Times New Roman" w:cs="Times New Roman"/>
        </w:rPr>
        <w:t>O</w:t>
      </w:r>
      <w:r w:rsidR="005056FA" w:rsidRPr="00A92F88">
        <w:rPr>
          <w:rFonts w:ascii="Times New Roman" w:hAnsi="Times New Roman" w:cs="Times New Roman"/>
        </w:rPr>
        <w:t>ur new</w:t>
      </w:r>
      <w:r w:rsidR="00DB6680" w:rsidRPr="00A92F88">
        <w:rPr>
          <w:rFonts w:ascii="Times New Roman" w:hAnsi="Times New Roman" w:cs="Times New Roman"/>
        </w:rPr>
        <w:t>,</w:t>
      </w:r>
      <w:r w:rsidR="005056FA" w:rsidRPr="00A92F88">
        <w:rPr>
          <w:rFonts w:ascii="Times New Roman" w:hAnsi="Times New Roman" w:cs="Times New Roman"/>
        </w:rPr>
        <w:t xml:space="preserve"> </w:t>
      </w:r>
      <w:r w:rsidR="00DB6680" w:rsidRPr="00A92F88">
        <w:rPr>
          <w:rFonts w:ascii="Times New Roman" w:hAnsi="Times New Roman" w:cs="Times New Roman"/>
        </w:rPr>
        <w:t xml:space="preserve">innovative </w:t>
      </w:r>
      <w:r w:rsidR="005056FA" w:rsidRPr="00A92F88">
        <w:rPr>
          <w:rFonts w:ascii="Times New Roman" w:hAnsi="Times New Roman" w:cs="Times New Roman"/>
        </w:rPr>
        <w:t>study</w:t>
      </w:r>
      <w:r w:rsidR="005219F1" w:rsidRPr="00A92F88">
        <w:rPr>
          <w:rFonts w:ascii="Times New Roman" w:hAnsi="Times New Roman" w:cs="Times New Roman"/>
        </w:rPr>
        <w:t xml:space="preserve"> </w:t>
      </w:r>
      <w:r w:rsidR="00DB6680" w:rsidRPr="00A92F88">
        <w:rPr>
          <w:rFonts w:ascii="Times New Roman" w:hAnsi="Times New Roman" w:cs="Times New Roman"/>
        </w:rPr>
        <w:t xml:space="preserve">expands </w:t>
      </w:r>
      <w:r w:rsidR="00A92F88" w:rsidRPr="00A92F88">
        <w:rPr>
          <w:rFonts w:ascii="Times New Roman" w:hAnsi="Times New Roman" w:cs="Times New Roman"/>
        </w:rPr>
        <w:t xml:space="preserve">the evidence to a </w:t>
      </w:r>
      <w:r w:rsidR="00DB6680" w:rsidRPr="00A92F88">
        <w:rPr>
          <w:rFonts w:ascii="Times New Roman" w:hAnsi="Times New Roman" w:cs="Times New Roman"/>
        </w:rPr>
        <w:t>global</w:t>
      </w:r>
      <w:r w:rsidR="00A92F88" w:rsidRPr="00A92F88">
        <w:rPr>
          <w:rFonts w:ascii="Times New Roman" w:hAnsi="Times New Roman" w:cs="Times New Roman"/>
        </w:rPr>
        <w:t xml:space="preserve"> canvas</w:t>
      </w:r>
      <w:r w:rsidR="00DB6680" w:rsidRPr="00A92F88">
        <w:rPr>
          <w:rFonts w:ascii="Times New Roman" w:hAnsi="Times New Roman" w:cs="Times New Roman"/>
        </w:rPr>
        <w:t>, and turns attention to collaborative engagement</w:t>
      </w:r>
      <w:r w:rsidR="00F8545D" w:rsidRPr="00A92F88">
        <w:rPr>
          <w:rFonts w:ascii="Times New Roman" w:hAnsi="Times New Roman" w:cs="Times New Roman"/>
        </w:rPr>
        <w:t xml:space="preserve"> </w:t>
      </w:r>
      <w:r w:rsidR="00A92F88" w:rsidRPr="00A92F88">
        <w:rPr>
          <w:rFonts w:ascii="Times New Roman" w:hAnsi="Times New Roman" w:cs="Times New Roman"/>
        </w:rPr>
        <w:t>as a crucial tool for responsible</w:t>
      </w:r>
      <w:r w:rsidR="00A72BBC" w:rsidRPr="00A92F88">
        <w:rPr>
          <w:rFonts w:ascii="Times New Roman" w:hAnsi="Times New Roman" w:cs="Times New Roman"/>
        </w:rPr>
        <w:t xml:space="preserve"> investors worldwide</w:t>
      </w:r>
      <w:r w:rsidR="00843C15" w:rsidRPr="00A92F88">
        <w:rPr>
          <w:rFonts w:ascii="Times New Roman" w:hAnsi="Times New Roman" w:cs="Times New Roman"/>
        </w:rPr>
        <w:t>.</w:t>
      </w:r>
    </w:p>
    <w:sectPr w:rsidR="003A2390" w:rsidSect="00741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40" w:right="1440" w:bottom="1440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F0BD" w14:textId="77777777" w:rsidR="00FC0236" w:rsidRDefault="00FC0236" w:rsidP="00A02E0D">
      <w:pPr>
        <w:spacing w:after="0" w:line="240" w:lineRule="auto"/>
      </w:pPr>
      <w:r>
        <w:separator/>
      </w:r>
    </w:p>
  </w:endnote>
  <w:endnote w:type="continuationSeparator" w:id="0">
    <w:p w14:paraId="62B83D71" w14:textId="77777777" w:rsidR="00FC0236" w:rsidRDefault="00FC0236" w:rsidP="00A0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1A25" w14:textId="77777777" w:rsidR="003F4488" w:rsidRDefault="003F4488" w:rsidP="00925E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4CE71" w14:textId="77777777" w:rsidR="003F4488" w:rsidRDefault="003F4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4009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6460452F" w14:textId="43BD38B0" w:rsidR="00741CCA" w:rsidRPr="00741CCA" w:rsidRDefault="00741CCA">
        <w:pPr>
          <w:pStyle w:val="Footer"/>
          <w:jc w:val="center"/>
          <w:rPr>
            <w:rFonts w:ascii="Times New Roman" w:hAnsi="Times New Roman"/>
            <w:sz w:val="20"/>
          </w:rPr>
        </w:pPr>
        <w:r w:rsidRPr="00741CCA">
          <w:rPr>
            <w:rFonts w:ascii="Times New Roman" w:hAnsi="Times New Roman"/>
            <w:sz w:val="20"/>
          </w:rPr>
          <w:fldChar w:fldCharType="begin"/>
        </w:r>
        <w:r w:rsidRPr="00741CCA">
          <w:rPr>
            <w:rFonts w:ascii="Times New Roman" w:hAnsi="Times New Roman"/>
            <w:sz w:val="20"/>
          </w:rPr>
          <w:instrText xml:space="preserve"> PAGE   \* MERGEFORMAT </w:instrText>
        </w:r>
        <w:r w:rsidRPr="00741CCA">
          <w:rPr>
            <w:rFonts w:ascii="Times New Roman" w:hAnsi="Times New Roman"/>
            <w:sz w:val="20"/>
          </w:rPr>
          <w:fldChar w:fldCharType="separate"/>
        </w:r>
        <w:r w:rsidR="00FC0236">
          <w:rPr>
            <w:rFonts w:ascii="Times New Roman" w:hAnsi="Times New Roman"/>
            <w:noProof/>
            <w:sz w:val="20"/>
          </w:rPr>
          <w:t>1</w:t>
        </w:r>
        <w:r w:rsidRPr="00741CC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2653B3B" w14:textId="6750E719" w:rsidR="003F4488" w:rsidRPr="00F9678C" w:rsidRDefault="003F4488" w:rsidP="00D869E9">
    <w:pPr>
      <w:pStyle w:val="Footer"/>
      <w:rPr>
        <w:rFonts w:ascii="Times New Roman" w:hAnsi="Times New Roman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A2BA" w14:textId="77777777" w:rsidR="003F4488" w:rsidRPr="00653793" w:rsidRDefault="003F4488" w:rsidP="00925E33">
    <w:pPr>
      <w:pStyle w:val="Footer"/>
      <w:jc w:val="center"/>
      <w:rPr>
        <w:rFonts w:ascii="Times New Roman" w:hAnsi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DF11" w14:textId="77777777" w:rsidR="00FC0236" w:rsidRDefault="00FC0236" w:rsidP="00A02E0D">
      <w:pPr>
        <w:spacing w:after="0" w:line="240" w:lineRule="auto"/>
      </w:pPr>
      <w:r>
        <w:separator/>
      </w:r>
    </w:p>
  </w:footnote>
  <w:footnote w:type="continuationSeparator" w:id="0">
    <w:p w14:paraId="6B061C24" w14:textId="77777777" w:rsidR="00FC0236" w:rsidRDefault="00FC0236" w:rsidP="00A0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F1F2" w14:textId="77777777" w:rsidR="003F4488" w:rsidRDefault="007F4DF2">
    <w:pPr>
      <w:pStyle w:val="Header"/>
    </w:pPr>
    <w:r>
      <w:rPr>
        <w:noProof/>
        <w:lang w:val="en-US" w:eastAsia="ja-JP"/>
      </w:rPr>
      <w:pict w14:anchorId="0160A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margin-left:0;margin-top:0;width:418.2pt;height:167.2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D3B4" w14:textId="77777777" w:rsidR="003F4488" w:rsidRDefault="007F4DF2">
    <w:pPr>
      <w:pStyle w:val="Header"/>
    </w:pPr>
    <w:r>
      <w:rPr>
        <w:noProof/>
        <w:lang w:val="en-US" w:eastAsia="ja-JP"/>
      </w:rPr>
      <w:pict w14:anchorId="73896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1" type="#_x0000_t136" style="position:absolute;margin-left:0;margin-top:0;width:418.2pt;height:167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2A60" w14:textId="77777777" w:rsidR="003F4488" w:rsidRDefault="007F4DF2">
    <w:pPr>
      <w:pStyle w:val="Header"/>
    </w:pPr>
    <w:r>
      <w:rPr>
        <w:noProof/>
        <w:lang w:val="en-US" w:eastAsia="ja-JP"/>
      </w:rPr>
      <w:pict w14:anchorId="7971C3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margin-left:0;margin-top:0;width:418.2pt;height:167.2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2C6"/>
    <w:multiLevelType w:val="hybridMultilevel"/>
    <w:tmpl w:val="5A5E5636"/>
    <w:lvl w:ilvl="0" w:tplc="28524F7A">
      <w:start w:val="4"/>
      <w:numFmt w:val="bullet"/>
      <w:lvlText w:val="—"/>
      <w:lvlJc w:val="left"/>
      <w:pPr>
        <w:ind w:left="720" w:hanging="360"/>
      </w:pPr>
      <w:rPr>
        <w:rFonts w:ascii="Calibri" w:eastAsia="??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5BA4"/>
    <w:multiLevelType w:val="hybridMultilevel"/>
    <w:tmpl w:val="B50AD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D0247"/>
    <w:multiLevelType w:val="hybridMultilevel"/>
    <w:tmpl w:val="9AAE8CBC"/>
    <w:lvl w:ilvl="0" w:tplc="CB007D7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189C"/>
    <w:multiLevelType w:val="hybridMultilevel"/>
    <w:tmpl w:val="B3DEF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0D"/>
    <w:rsid w:val="00003192"/>
    <w:rsid w:val="000069C7"/>
    <w:rsid w:val="0001051A"/>
    <w:rsid w:val="0001256D"/>
    <w:rsid w:val="000135F0"/>
    <w:rsid w:val="00014212"/>
    <w:rsid w:val="000162D0"/>
    <w:rsid w:val="00033B5B"/>
    <w:rsid w:val="00041CAC"/>
    <w:rsid w:val="00042658"/>
    <w:rsid w:val="000620F2"/>
    <w:rsid w:val="00070601"/>
    <w:rsid w:val="00073246"/>
    <w:rsid w:val="000735D7"/>
    <w:rsid w:val="00083CE7"/>
    <w:rsid w:val="0008650F"/>
    <w:rsid w:val="00086ED2"/>
    <w:rsid w:val="000901E8"/>
    <w:rsid w:val="000933A5"/>
    <w:rsid w:val="00094643"/>
    <w:rsid w:val="00097F5D"/>
    <w:rsid w:val="000B2B48"/>
    <w:rsid w:val="000B4896"/>
    <w:rsid w:val="000B49A6"/>
    <w:rsid w:val="000B4C05"/>
    <w:rsid w:val="000B5A41"/>
    <w:rsid w:val="000B7480"/>
    <w:rsid w:val="000C0172"/>
    <w:rsid w:val="000C03C2"/>
    <w:rsid w:val="000C077E"/>
    <w:rsid w:val="000D38D2"/>
    <w:rsid w:val="000E1C24"/>
    <w:rsid w:val="000E32E0"/>
    <w:rsid w:val="000F500F"/>
    <w:rsid w:val="00105842"/>
    <w:rsid w:val="00107B23"/>
    <w:rsid w:val="00110F35"/>
    <w:rsid w:val="0011196A"/>
    <w:rsid w:val="00113053"/>
    <w:rsid w:val="001142EF"/>
    <w:rsid w:val="00121640"/>
    <w:rsid w:val="00122737"/>
    <w:rsid w:val="00123706"/>
    <w:rsid w:val="00125366"/>
    <w:rsid w:val="00130174"/>
    <w:rsid w:val="00142844"/>
    <w:rsid w:val="00143309"/>
    <w:rsid w:val="00144881"/>
    <w:rsid w:val="001467B8"/>
    <w:rsid w:val="00147B19"/>
    <w:rsid w:val="001574CE"/>
    <w:rsid w:val="00164AA3"/>
    <w:rsid w:val="00170359"/>
    <w:rsid w:val="00173473"/>
    <w:rsid w:val="00176CF9"/>
    <w:rsid w:val="00182DC4"/>
    <w:rsid w:val="00187123"/>
    <w:rsid w:val="00192F5E"/>
    <w:rsid w:val="00196670"/>
    <w:rsid w:val="001A36A9"/>
    <w:rsid w:val="001A3EC7"/>
    <w:rsid w:val="001A4770"/>
    <w:rsid w:val="001B16C3"/>
    <w:rsid w:val="001B2609"/>
    <w:rsid w:val="001B49E1"/>
    <w:rsid w:val="001B4FC2"/>
    <w:rsid w:val="001B795E"/>
    <w:rsid w:val="001C66EB"/>
    <w:rsid w:val="001C6C1B"/>
    <w:rsid w:val="001D0E77"/>
    <w:rsid w:val="001D188E"/>
    <w:rsid w:val="001D3186"/>
    <w:rsid w:val="001D69AD"/>
    <w:rsid w:val="001E5CC5"/>
    <w:rsid w:val="001F628A"/>
    <w:rsid w:val="00203119"/>
    <w:rsid w:val="00203223"/>
    <w:rsid w:val="0020441C"/>
    <w:rsid w:val="00204DD9"/>
    <w:rsid w:val="00206E41"/>
    <w:rsid w:val="002075D1"/>
    <w:rsid w:val="00216E60"/>
    <w:rsid w:val="002206CC"/>
    <w:rsid w:val="00225A41"/>
    <w:rsid w:val="00233792"/>
    <w:rsid w:val="00236D95"/>
    <w:rsid w:val="00242AEC"/>
    <w:rsid w:val="00243D31"/>
    <w:rsid w:val="00247ECE"/>
    <w:rsid w:val="0025765A"/>
    <w:rsid w:val="002615F2"/>
    <w:rsid w:val="00264388"/>
    <w:rsid w:val="0026497A"/>
    <w:rsid w:val="00267C82"/>
    <w:rsid w:val="00273459"/>
    <w:rsid w:val="00273D99"/>
    <w:rsid w:val="002759EC"/>
    <w:rsid w:val="002878D2"/>
    <w:rsid w:val="00294FAE"/>
    <w:rsid w:val="00297EFA"/>
    <w:rsid w:val="002A077A"/>
    <w:rsid w:val="002A0DEC"/>
    <w:rsid w:val="002A4AEC"/>
    <w:rsid w:val="002A726C"/>
    <w:rsid w:val="002A7799"/>
    <w:rsid w:val="002B066C"/>
    <w:rsid w:val="002B0E5F"/>
    <w:rsid w:val="002B14D6"/>
    <w:rsid w:val="002B2D34"/>
    <w:rsid w:val="002C1B0F"/>
    <w:rsid w:val="002C4AB9"/>
    <w:rsid w:val="002C53C3"/>
    <w:rsid w:val="002C7F97"/>
    <w:rsid w:val="002D0789"/>
    <w:rsid w:val="002D314A"/>
    <w:rsid w:val="002D3577"/>
    <w:rsid w:val="002D662D"/>
    <w:rsid w:val="002F3CCE"/>
    <w:rsid w:val="002F69E8"/>
    <w:rsid w:val="00303532"/>
    <w:rsid w:val="00303F80"/>
    <w:rsid w:val="00307010"/>
    <w:rsid w:val="00307259"/>
    <w:rsid w:val="003142DF"/>
    <w:rsid w:val="00314502"/>
    <w:rsid w:val="00314609"/>
    <w:rsid w:val="00324146"/>
    <w:rsid w:val="0032482C"/>
    <w:rsid w:val="003267BE"/>
    <w:rsid w:val="00330982"/>
    <w:rsid w:val="003319C6"/>
    <w:rsid w:val="00331A10"/>
    <w:rsid w:val="00333BD4"/>
    <w:rsid w:val="00342A2A"/>
    <w:rsid w:val="00354B64"/>
    <w:rsid w:val="00354CA9"/>
    <w:rsid w:val="0035656B"/>
    <w:rsid w:val="003628F7"/>
    <w:rsid w:val="0036447E"/>
    <w:rsid w:val="00390156"/>
    <w:rsid w:val="00394452"/>
    <w:rsid w:val="00396026"/>
    <w:rsid w:val="003A00DA"/>
    <w:rsid w:val="003A2048"/>
    <w:rsid w:val="003A2390"/>
    <w:rsid w:val="003B136F"/>
    <w:rsid w:val="003B2E44"/>
    <w:rsid w:val="003B32DD"/>
    <w:rsid w:val="003B56DC"/>
    <w:rsid w:val="003C6239"/>
    <w:rsid w:val="003D504F"/>
    <w:rsid w:val="003E0BE7"/>
    <w:rsid w:val="003E2595"/>
    <w:rsid w:val="003E3972"/>
    <w:rsid w:val="003E3D5E"/>
    <w:rsid w:val="003F4488"/>
    <w:rsid w:val="003F604E"/>
    <w:rsid w:val="003F72B0"/>
    <w:rsid w:val="00414A9F"/>
    <w:rsid w:val="00414CE5"/>
    <w:rsid w:val="00416329"/>
    <w:rsid w:val="00421BCD"/>
    <w:rsid w:val="00430DBE"/>
    <w:rsid w:val="00434C77"/>
    <w:rsid w:val="0043624B"/>
    <w:rsid w:val="00446998"/>
    <w:rsid w:val="00452C36"/>
    <w:rsid w:val="004535AF"/>
    <w:rsid w:val="00455ADC"/>
    <w:rsid w:val="004629BA"/>
    <w:rsid w:val="00466090"/>
    <w:rsid w:val="00467EBF"/>
    <w:rsid w:val="00470EDF"/>
    <w:rsid w:val="00474D11"/>
    <w:rsid w:val="00475333"/>
    <w:rsid w:val="00475983"/>
    <w:rsid w:val="00475CE2"/>
    <w:rsid w:val="004765CF"/>
    <w:rsid w:val="0048360C"/>
    <w:rsid w:val="00484789"/>
    <w:rsid w:val="004865B9"/>
    <w:rsid w:val="00493A80"/>
    <w:rsid w:val="004A20B7"/>
    <w:rsid w:val="004A28D8"/>
    <w:rsid w:val="004A4CF8"/>
    <w:rsid w:val="004B4CD7"/>
    <w:rsid w:val="004C43F4"/>
    <w:rsid w:val="004C6D82"/>
    <w:rsid w:val="004D1F1D"/>
    <w:rsid w:val="004D2705"/>
    <w:rsid w:val="004D3B45"/>
    <w:rsid w:val="004D76C2"/>
    <w:rsid w:val="004F3F52"/>
    <w:rsid w:val="0050463D"/>
    <w:rsid w:val="005056FA"/>
    <w:rsid w:val="00506C54"/>
    <w:rsid w:val="00511135"/>
    <w:rsid w:val="005219F1"/>
    <w:rsid w:val="005220BD"/>
    <w:rsid w:val="005227B8"/>
    <w:rsid w:val="00523A94"/>
    <w:rsid w:val="00525905"/>
    <w:rsid w:val="00525A87"/>
    <w:rsid w:val="00526D93"/>
    <w:rsid w:val="00531572"/>
    <w:rsid w:val="00536134"/>
    <w:rsid w:val="0053759E"/>
    <w:rsid w:val="00540602"/>
    <w:rsid w:val="00543640"/>
    <w:rsid w:val="00553A90"/>
    <w:rsid w:val="0056373B"/>
    <w:rsid w:val="00570AD2"/>
    <w:rsid w:val="0057156C"/>
    <w:rsid w:val="005763C4"/>
    <w:rsid w:val="00582559"/>
    <w:rsid w:val="00597C2A"/>
    <w:rsid w:val="00597E46"/>
    <w:rsid w:val="00597E6E"/>
    <w:rsid w:val="005A1EBB"/>
    <w:rsid w:val="005A2DE3"/>
    <w:rsid w:val="005B4439"/>
    <w:rsid w:val="005D44C7"/>
    <w:rsid w:val="005D4F67"/>
    <w:rsid w:val="005D5963"/>
    <w:rsid w:val="005D6A27"/>
    <w:rsid w:val="005E740A"/>
    <w:rsid w:val="005E7535"/>
    <w:rsid w:val="005F02BD"/>
    <w:rsid w:val="005F79E1"/>
    <w:rsid w:val="0060182F"/>
    <w:rsid w:val="00605F79"/>
    <w:rsid w:val="00607DEE"/>
    <w:rsid w:val="00613371"/>
    <w:rsid w:val="006136C3"/>
    <w:rsid w:val="0061594A"/>
    <w:rsid w:val="006205DC"/>
    <w:rsid w:val="00623F85"/>
    <w:rsid w:val="00631003"/>
    <w:rsid w:val="00633585"/>
    <w:rsid w:val="006335C3"/>
    <w:rsid w:val="00641419"/>
    <w:rsid w:val="006450F8"/>
    <w:rsid w:val="006511FD"/>
    <w:rsid w:val="00652D22"/>
    <w:rsid w:val="006822C4"/>
    <w:rsid w:val="00682DE6"/>
    <w:rsid w:val="00683CC2"/>
    <w:rsid w:val="00691097"/>
    <w:rsid w:val="00693B81"/>
    <w:rsid w:val="00697EEE"/>
    <w:rsid w:val="006A53FB"/>
    <w:rsid w:val="006B1752"/>
    <w:rsid w:val="006B5779"/>
    <w:rsid w:val="006C14EF"/>
    <w:rsid w:val="006E04B0"/>
    <w:rsid w:val="006E0920"/>
    <w:rsid w:val="006E4031"/>
    <w:rsid w:val="006E4BE2"/>
    <w:rsid w:val="006F16F0"/>
    <w:rsid w:val="006F4ECE"/>
    <w:rsid w:val="006F52E1"/>
    <w:rsid w:val="006F5BA9"/>
    <w:rsid w:val="0070055E"/>
    <w:rsid w:val="00704C7D"/>
    <w:rsid w:val="007061E3"/>
    <w:rsid w:val="00706254"/>
    <w:rsid w:val="007122CD"/>
    <w:rsid w:val="007173A7"/>
    <w:rsid w:val="00726D7C"/>
    <w:rsid w:val="00727EE3"/>
    <w:rsid w:val="00740737"/>
    <w:rsid w:val="00741CCA"/>
    <w:rsid w:val="007546AC"/>
    <w:rsid w:val="00755F80"/>
    <w:rsid w:val="00757B1C"/>
    <w:rsid w:val="007616D0"/>
    <w:rsid w:val="00761FF4"/>
    <w:rsid w:val="00762A63"/>
    <w:rsid w:val="00763E63"/>
    <w:rsid w:val="0076427C"/>
    <w:rsid w:val="007733CD"/>
    <w:rsid w:val="0077510D"/>
    <w:rsid w:val="00784680"/>
    <w:rsid w:val="00791E5D"/>
    <w:rsid w:val="00794E75"/>
    <w:rsid w:val="00796FB4"/>
    <w:rsid w:val="007A2B1D"/>
    <w:rsid w:val="007A4156"/>
    <w:rsid w:val="007A4222"/>
    <w:rsid w:val="007B0F3F"/>
    <w:rsid w:val="007C24FB"/>
    <w:rsid w:val="007C4CA5"/>
    <w:rsid w:val="007D0114"/>
    <w:rsid w:val="007D1FDC"/>
    <w:rsid w:val="007D2625"/>
    <w:rsid w:val="007D3255"/>
    <w:rsid w:val="007D3F17"/>
    <w:rsid w:val="007D7D74"/>
    <w:rsid w:val="007E0256"/>
    <w:rsid w:val="007E2310"/>
    <w:rsid w:val="007E3E09"/>
    <w:rsid w:val="007E568A"/>
    <w:rsid w:val="007F4DF2"/>
    <w:rsid w:val="007F7724"/>
    <w:rsid w:val="007F78F9"/>
    <w:rsid w:val="00802564"/>
    <w:rsid w:val="008028F9"/>
    <w:rsid w:val="00805B0D"/>
    <w:rsid w:val="0081333E"/>
    <w:rsid w:val="00820DC1"/>
    <w:rsid w:val="0082179F"/>
    <w:rsid w:val="00821FD8"/>
    <w:rsid w:val="00822A8A"/>
    <w:rsid w:val="00827EA2"/>
    <w:rsid w:val="00835EAC"/>
    <w:rsid w:val="00843C15"/>
    <w:rsid w:val="00844554"/>
    <w:rsid w:val="00845F16"/>
    <w:rsid w:val="008466C6"/>
    <w:rsid w:val="00851D87"/>
    <w:rsid w:val="00853BFC"/>
    <w:rsid w:val="00854305"/>
    <w:rsid w:val="00857CB7"/>
    <w:rsid w:val="00865743"/>
    <w:rsid w:val="00874417"/>
    <w:rsid w:val="008826A2"/>
    <w:rsid w:val="008936AF"/>
    <w:rsid w:val="00897071"/>
    <w:rsid w:val="00897F93"/>
    <w:rsid w:val="008A3F09"/>
    <w:rsid w:val="008B09ED"/>
    <w:rsid w:val="008B5AAE"/>
    <w:rsid w:val="008B7837"/>
    <w:rsid w:val="008C00D1"/>
    <w:rsid w:val="008C0ADB"/>
    <w:rsid w:val="008C0BF7"/>
    <w:rsid w:val="008C1784"/>
    <w:rsid w:val="008C5230"/>
    <w:rsid w:val="008C6D1A"/>
    <w:rsid w:val="008D1BA0"/>
    <w:rsid w:val="008D23D8"/>
    <w:rsid w:val="008D6B52"/>
    <w:rsid w:val="008E18EF"/>
    <w:rsid w:val="008E3386"/>
    <w:rsid w:val="008E7D1B"/>
    <w:rsid w:val="008E7FF1"/>
    <w:rsid w:val="00900C77"/>
    <w:rsid w:val="00901E53"/>
    <w:rsid w:val="00904EF5"/>
    <w:rsid w:val="00915FC1"/>
    <w:rsid w:val="00916C6F"/>
    <w:rsid w:val="00925E33"/>
    <w:rsid w:val="00930C97"/>
    <w:rsid w:val="009351AC"/>
    <w:rsid w:val="00940EB8"/>
    <w:rsid w:val="00945C1E"/>
    <w:rsid w:val="00947632"/>
    <w:rsid w:val="00950EB1"/>
    <w:rsid w:val="009568BA"/>
    <w:rsid w:val="00960D3B"/>
    <w:rsid w:val="00961D7C"/>
    <w:rsid w:val="009637D5"/>
    <w:rsid w:val="009650FD"/>
    <w:rsid w:val="00967226"/>
    <w:rsid w:val="009675C8"/>
    <w:rsid w:val="00970469"/>
    <w:rsid w:val="00986FB3"/>
    <w:rsid w:val="009932DD"/>
    <w:rsid w:val="00994EBF"/>
    <w:rsid w:val="00995594"/>
    <w:rsid w:val="009A2671"/>
    <w:rsid w:val="009A2949"/>
    <w:rsid w:val="009B180F"/>
    <w:rsid w:val="009B34C7"/>
    <w:rsid w:val="009B3A70"/>
    <w:rsid w:val="009B73F7"/>
    <w:rsid w:val="009B77E8"/>
    <w:rsid w:val="009C3B9E"/>
    <w:rsid w:val="009C6C7B"/>
    <w:rsid w:val="009D4552"/>
    <w:rsid w:val="009E1A18"/>
    <w:rsid w:val="009E2D1F"/>
    <w:rsid w:val="009F41EF"/>
    <w:rsid w:val="009F531B"/>
    <w:rsid w:val="00A00D5E"/>
    <w:rsid w:val="00A02022"/>
    <w:rsid w:val="00A02E0D"/>
    <w:rsid w:val="00A136E8"/>
    <w:rsid w:val="00A15C64"/>
    <w:rsid w:val="00A173E5"/>
    <w:rsid w:val="00A2099E"/>
    <w:rsid w:val="00A2287C"/>
    <w:rsid w:val="00A2303E"/>
    <w:rsid w:val="00A26C4C"/>
    <w:rsid w:val="00A307DE"/>
    <w:rsid w:val="00A46A4D"/>
    <w:rsid w:val="00A52038"/>
    <w:rsid w:val="00A5668E"/>
    <w:rsid w:val="00A61981"/>
    <w:rsid w:val="00A66F1B"/>
    <w:rsid w:val="00A72BBC"/>
    <w:rsid w:val="00A72D51"/>
    <w:rsid w:val="00A80F28"/>
    <w:rsid w:val="00A81607"/>
    <w:rsid w:val="00A9271E"/>
    <w:rsid w:val="00A92F88"/>
    <w:rsid w:val="00A9644F"/>
    <w:rsid w:val="00AA32BF"/>
    <w:rsid w:val="00AA3497"/>
    <w:rsid w:val="00AA35BA"/>
    <w:rsid w:val="00AA66EF"/>
    <w:rsid w:val="00AB054D"/>
    <w:rsid w:val="00AC1470"/>
    <w:rsid w:val="00AC606E"/>
    <w:rsid w:val="00AD0546"/>
    <w:rsid w:val="00AD181A"/>
    <w:rsid w:val="00AD1D98"/>
    <w:rsid w:val="00AD1E00"/>
    <w:rsid w:val="00AD39EE"/>
    <w:rsid w:val="00AE6F0E"/>
    <w:rsid w:val="00AF1C66"/>
    <w:rsid w:val="00AF22DF"/>
    <w:rsid w:val="00AF42FA"/>
    <w:rsid w:val="00AF6EBA"/>
    <w:rsid w:val="00B02713"/>
    <w:rsid w:val="00B03F13"/>
    <w:rsid w:val="00B075AD"/>
    <w:rsid w:val="00B10602"/>
    <w:rsid w:val="00B14B99"/>
    <w:rsid w:val="00B14EFE"/>
    <w:rsid w:val="00B16A8B"/>
    <w:rsid w:val="00B23CA6"/>
    <w:rsid w:val="00B27A64"/>
    <w:rsid w:val="00B34A8C"/>
    <w:rsid w:val="00B361EB"/>
    <w:rsid w:val="00B36204"/>
    <w:rsid w:val="00B36CB0"/>
    <w:rsid w:val="00B4009A"/>
    <w:rsid w:val="00B410F5"/>
    <w:rsid w:val="00B510DF"/>
    <w:rsid w:val="00B547D9"/>
    <w:rsid w:val="00B54B3D"/>
    <w:rsid w:val="00B54EB3"/>
    <w:rsid w:val="00B61E3E"/>
    <w:rsid w:val="00B625B6"/>
    <w:rsid w:val="00B65F92"/>
    <w:rsid w:val="00B7382E"/>
    <w:rsid w:val="00B73F86"/>
    <w:rsid w:val="00B80208"/>
    <w:rsid w:val="00B856CA"/>
    <w:rsid w:val="00B90442"/>
    <w:rsid w:val="00B92B14"/>
    <w:rsid w:val="00B973B1"/>
    <w:rsid w:val="00BA01E4"/>
    <w:rsid w:val="00BA1A32"/>
    <w:rsid w:val="00BA1A45"/>
    <w:rsid w:val="00BA236A"/>
    <w:rsid w:val="00BA6CD6"/>
    <w:rsid w:val="00BA7B62"/>
    <w:rsid w:val="00BC108A"/>
    <w:rsid w:val="00BC2C5D"/>
    <w:rsid w:val="00BC5E78"/>
    <w:rsid w:val="00BD18B9"/>
    <w:rsid w:val="00BD52FC"/>
    <w:rsid w:val="00BD7480"/>
    <w:rsid w:val="00BD7B9C"/>
    <w:rsid w:val="00BE6ECC"/>
    <w:rsid w:val="00BF02F3"/>
    <w:rsid w:val="00BF6594"/>
    <w:rsid w:val="00C03147"/>
    <w:rsid w:val="00C04D6B"/>
    <w:rsid w:val="00C055AB"/>
    <w:rsid w:val="00C07D5F"/>
    <w:rsid w:val="00C13B63"/>
    <w:rsid w:val="00C14DEF"/>
    <w:rsid w:val="00C15863"/>
    <w:rsid w:val="00C16FAA"/>
    <w:rsid w:val="00C21B9A"/>
    <w:rsid w:val="00C25F76"/>
    <w:rsid w:val="00C35458"/>
    <w:rsid w:val="00C371B9"/>
    <w:rsid w:val="00C4367A"/>
    <w:rsid w:val="00C451A5"/>
    <w:rsid w:val="00C51D8D"/>
    <w:rsid w:val="00C53303"/>
    <w:rsid w:val="00C5396C"/>
    <w:rsid w:val="00C560F4"/>
    <w:rsid w:val="00C562E7"/>
    <w:rsid w:val="00C60F33"/>
    <w:rsid w:val="00C63C0D"/>
    <w:rsid w:val="00C65CA3"/>
    <w:rsid w:val="00C71358"/>
    <w:rsid w:val="00C8376B"/>
    <w:rsid w:val="00C92A6F"/>
    <w:rsid w:val="00C940DB"/>
    <w:rsid w:val="00CA5E44"/>
    <w:rsid w:val="00CB046D"/>
    <w:rsid w:val="00CB1816"/>
    <w:rsid w:val="00CC3648"/>
    <w:rsid w:val="00CC575A"/>
    <w:rsid w:val="00CE256B"/>
    <w:rsid w:val="00CE445E"/>
    <w:rsid w:val="00CE47C9"/>
    <w:rsid w:val="00CE6038"/>
    <w:rsid w:val="00CE7BE0"/>
    <w:rsid w:val="00CF0999"/>
    <w:rsid w:val="00CF21D4"/>
    <w:rsid w:val="00CF51A9"/>
    <w:rsid w:val="00CF5279"/>
    <w:rsid w:val="00CF5C40"/>
    <w:rsid w:val="00D0198F"/>
    <w:rsid w:val="00D01A27"/>
    <w:rsid w:val="00D03F64"/>
    <w:rsid w:val="00D10BF4"/>
    <w:rsid w:val="00D11C60"/>
    <w:rsid w:val="00D13738"/>
    <w:rsid w:val="00D23059"/>
    <w:rsid w:val="00D236C6"/>
    <w:rsid w:val="00D3637A"/>
    <w:rsid w:val="00D377C4"/>
    <w:rsid w:val="00D50ACB"/>
    <w:rsid w:val="00D56F58"/>
    <w:rsid w:val="00D57D81"/>
    <w:rsid w:val="00D61376"/>
    <w:rsid w:val="00D63F86"/>
    <w:rsid w:val="00D811AE"/>
    <w:rsid w:val="00D81DF2"/>
    <w:rsid w:val="00D869E9"/>
    <w:rsid w:val="00D87D61"/>
    <w:rsid w:val="00DA04CB"/>
    <w:rsid w:val="00DA188E"/>
    <w:rsid w:val="00DA31BA"/>
    <w:rsid w:val="00DA3E61"/>
    <w:rsid w:val="00DB4A2B"/>
    <w:rsid w:val="00DB6680"/>
    <w:rsid w:val="00DC5783"/>
    <w:rsid w:val="00DD09C2"/>
    <w:rsid w:val="00DE150A"/>
    <w:rsid w:val="00DE226D"/>
    <w:rsid w:val="00DE6CF3"/>
    <w:rsid w:val="00E01336"/>
    <w:rsid w:val="00E02D8C"/>
    <w:rsid w:val="00E07A1B"/>
    <w:rsid w:val="00E161CE"/>
    <w:rsid w:val="00E20947"/>
    <w:rsid w:val="00E31B80"/>
    <w:rsid w:val="00E33E32"/>
    <w:rsid w:val="00E34F50"/>
    <w:rsid w:val="00E372D3"/>
    <w:rsid w:val="00E4096B"/>
    <w:rsid w:val="00E40B2C"/>
    <w:rsid w:val="00E4352A"/>
    <w:rsid w:val="00E47D78"/>
    <w:rsid w:val="00E5631F"/>
    <w:rsid w:val="00E5721A"/>
    <w:rsid w:val="00E57AE3"/>
    <w:rsid w:val="00E660C8"/>
    <w:rsid w:val="00E70112"/>
    <w:rsid w:val="00E73B60"/>
    <w:rsid w:val="00E83E25"/>
    <w:rsid w:val="00E93636"/>
    <w:rsid w:val="00E9421D"/>
    <w:rsid w:val="00EB01A5"/>
    <w:rsid w:val="00EB17DE"/>
    <w:rsid w:val="00EC181E"/>
    <w:rsid w:val="00EF111D"/>
    <w:rsid w:val="00F00178"/>
    <w:rsid w:val="00F06351"/>
    <w:rsid w:val="00F07005"/>
    <w:rsid w:val="00F0795D"/>
    <w:rsid w:val="00F1313D"/>
    <w:rsid w:val="00F13C19"/>
    <w:rsid w:val="00F16C33"/>
    <w:rsid w:val="00F32BD2"/>
    <w:rsid w:val="00F340E9"/>
    <w:rsid w:val="00F45497"/>
    <w:rsid w:val="00F46946"/>
    <w:rsid w:val="00F50343"/>
    <w:rsid w:val="00F5168E"/>
    <w:rsid w:val="00F55B57"/>
    <w:rsid w:val="00F561E1"/>
    <w:rsid w:val="00F5728C"/>
    <w:rsid w:val="00F576E1"/>
    <w:rsid w:val="00F60D7F"/>
    <w:rsid w:val="00F64456"/>
    <w:rsid w:val="00F651B0"/>
    <w:rsid w:val="00F704FB"/>
    <w:rsid w:val="00F70E29"/>
    <w:rsid w:val="00F748FE"/>
    <w:rsid w:val="00F74CDC"/>
    <w:rsid w:val="00F8079E"/>
    <w:rsid w:val="00F83D47"/>
    <w:rsid w:val="00F84159"/>
    <w:rsid w:val="00F8545D"/>
    <w:rsid w:val="00F93284"/>
    <w:rsid w:val="00F9678C"/>
    <w:rsid w:val="00FA4495"/>
    <w:rsid w:val="00FA72B2"/>
    <w:rsid w:val="00FA7501"/>
    <w:rsid w:val="00FB15C8"/>
    <w:rsid w:val="00FB468E"/>
    <w:rsid w:val="00FB5927"/>
    <w:rsid w:val="00FB69F6"/>
    <w:rsid w:val="00FC0236"/>
    <w:rsid w:val="00FC5AA5"/>
    <w:rsid w:val="00FC6D4B"/>
    <w:rsid w:val="00FD3325"/>
    <w:rsid w:val="00FE2CB2"/>
    <w:rsid w:val="00FE2D63"/>
    <w:rsid w:val="00FE5744"/>
    <w:rsid w:val="00FE647C"/>
    <w:rsid w:val="00FF19FB"/>
    <w:rsid w:val="00FF225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3B7431B"/>
  <w15:docId w15:val="{277B4077-65CF-4792-9F24-A536162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2E0D"/>
    <w:pPr>
      <w:tabs>
        <w:tab w:val="center" w:pos="4153"/>
        <w:tab w:val="right" w:pos="8306"/>
      </w:tabs>
      <w:spacing w:after="0" w:line="240" w:lineRule="auto"/>
    </w:pPr>
    <w:rPr>
      <w:rFonts w:ascii="Arial" w:eastAsia="??" w:hAnsi="Arial" w:cs="Times New Roman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A02E0D"/>
    <w:rPr>
      <w:rFonts w:ascii="Arial" w:eastAsia="??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02E0D"/>
    <w:pPr>
      <w:tabs>
        <w:tab w:val="center" w:pos="4153"/>
        <w:tab w:val="right" w:pos="8306"/>
      </w:tabs>
      <w:spacing w:after="0" w:line="240" w:lineRule="auto"/>
    </w:pPr>
    <w:rPr>
      <w:rFonts w:ascii="Arial" w:eastAsia="??" w:hAnsi="Arial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02E0D"/>
    <w:rPr>
      <w:rFonts w:ascii="Arial" w:eastAsia="??" w:hAnsi="Arial" w:cs="Times New Roman"/>
      <w:szCs w:val="24"/>
      <w:lang w:val="x-none" w:eastAsia="x-none"/>
    </w:rPr>
  </w:style>
  <w:style w:type="character" w:styleId="PageNumber">
    <w:name w:val="page number"/>
    <w:basedOn w:val="DefaultParagraphFont"/>
    <w:rsid w:val="00A02E0D"/>
  </w:style>
  <w:style w:type="paragraph" w:styleId="FootnoteText">
    <w:name w:val="footnote text"/>
    <w:basedOn w:val="Normal"/>
    <w:link w:val="FootnoteTextChar"/>
    <w:semiHidden/>
    <w:rsid w:val="00A02E0D"/>
    <w:pPr>
      <w:spacing w:after="0" w:line="240" w:lineRule="auto"/>
    </w:pPr>
    <w:rPr>
      <w:rFonts w:ascii="Arial" w:eastAsia="??" w:hAnsi="Arial" w:cs="Times New Roman"/>
      <w:sz w:val="20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02E0D"/>
    <w:rPr>
      <w:rFonts w:ascii="Arial" w:eastAsia="??" w:hAnsi="Arial" w:cs="Times New Roman"/>
      <w:sz w:val="20"/>
      <w:szCs w:val="24"/>
      <w:lang w:eastAsia="zh-CN"/>
    </w:rPr>
  </w:style>
  <w:style w:type="character" w:styleId="FootnoteReference">
    <w:name w:val="footnote reference"/>
    <w:semiHidden/>
    <w:rsid w:val="00A02E0D"/>
    <w:rPr>
      <w:vertAlign w:val="superscript"/>
    </w:rPr>
  </w:style>
  <w:style w:type="table" w:styleId="TableGrid">
    <w:name w:val="Table Grid"/>
    <w:basedOn w:val="TableNormal"/>
    <w:uiPriority w:val="59"/>
    <w:rsid w:val="002D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7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0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4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4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01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44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unhideWhenUsed/>
    <w:rsid w:val="00A80F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0F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A80F28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E73B6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F44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4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Nmk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48E1-75C6-48CC-8597-3D89493B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Business School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Elroy Dimson</dc:creator>
  <cp:lastModifiedBy>Katie Jones</cp:lastModifiedBy>
  <cp:revision>2</cp:revision>
  <cp:lastPrinted>2017-08-07T12:39:00Z</cp:lastPrinted>
  <dcterms:created xsi:type="dcterms:W3CDTF">2018-11-15T10:07:00Z</dcterms:created>
  <dcterms:modified xsi:type="dcterms:W3CDTF">2018-11-15T10:07:00Z</dcterms:modified>
</cp:coreProperties>
</file>