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7FCCE" w14:textId="77777777" w:rsidR="00551E86" w:rsidRDefault="00551E86" w:rsidP="00020ABC">
      <w:pPr>
        <w:spacing w:line="480" w:lineRule="auto"/>
        <w:ind w:firstLine="720"/>
      </w:pPr>
    </w:p>
    <w:p w14:paraId="73656ECE" w14:textId="67F181EE" w:rsidR="00F70BE8" w:rsidRPr="00551E86" w:rsidRDefault="00A108A8" w:rsidP="00F70BE8">
      <w:pPr>
        <w:jc w:val="center"/>
        <w:rPr>
          <w:rFonts w:ascii="Calibri" w:eastAsia="Calibri" w:hAnsi="Calibri" w:cs="Times New Roman"/>
          <w:sz w:val="44"/>
          <w:szCs w:val="28"/>
        </w:rPr>
      </w:pPr>
      <w:r>
        <w:rPr>
          <w:sz w:val="28"/>
        </w:rPr>
        <w:t>Estimation</w:t>
      </w:r>
      <w:r w:rsidR="00F70BE8">
        <w:rPr>
          <w:sz w:val="28"/>
        </w:rPr>
        <w:t xml:space="preserve"> of Pulsatile Cerebral </w:t>
      </w:r>
      <w:r w:rsidR="003051F0">
        <w:rPr>
          <w:sz w:val="28"/>
        </w:rPr>
        <w:t xml:space="preserve">Arterial </w:t>
      </w:r>
      <w:r w:rsidR="00F70BE8">
        <w:rPr>
          <w:sz w:val="28"/>
        </w:rPr>
        <w:t>Blood Volume based on Transcranial Doppler Signals</w:t>
      </w:r>
    </w:p>
    <w:p w14:paraId="7FDB7656" w14:textId="02F74783" w:rsidR="00551E86" w:rsidRPr="00551E86" w:rsidRDefault="00551E86" w:rsidP="00551E86">
      <w:pPr>
        <w:jc w:val="center"/>
        <w:rPr>
          <w:rFonts w:ascii="Calibri" w:eastAsia="Calibri" w:hAnsi="Calibri" w:cs="Times New Roman"/>
          <w:sz w:val="44"/>
          <w:szCs w:val="28"/>
        </w:rPr>
      </w:pPr>
    </w:p>
    <w:p w14:paraId="4E50772B" w14:textId="31B23342" w:rsidR="000419EA" w:rsidRDefault="000419EA" w:rsidP="00837F15">
      <w:pPr>
        <w:rPr>
          <w:rFonts w:ascii="Calibri" w:eastAsia="Calibri" w:hAnsi="Calibri" w:cs="Times New Roman"/>
          <w:sz w:val="28"/>
          <w:szCs w:val="28"/>
        </w:rPr>
      </w:pPr>
    </w:p>
    <w:p w14:paraId="7C98CB0B" w14:textId="16356995" w:rsidR="000419EA" w:rsidRDefault="000419EA" w:rsidP="00E72D7D">
      <w:pPr>
        <w:jc w:val="center"/>
        <w:rPr>
          <w:rFonts w:ascii="Calibri" w:eastAsia="Calibri" w:hAnsi="Calibri" w:cs="Times New Roman"/>
          <w:lang w:val="es-ES_tradnl"/>
        </w:rPr>
      </w:pPr>
      <w:r>
        <w:rPr>
          <w:rFonts w:ascii="Calibri" w:eastAsia="Calibri" w:hAnsi="Calibri" w:cs="Times New Roman"/>
          <w:szCs w:val="28"/>
        </w:rPr>
        <w:t>Leanne A. Calviello, B.A. M.Sc.</w:t>
      </w:r>
      <w:r w:rsidR="00E72D7D">
        <w:rPr>
          <w:rFonts w:ascii="Calibri" w:eastAsia="Calibri" w:hAnsi="Calibri" w:cs="Times New Roman"/>
          <w:szCs w:val="28"/>
          <w:vertAlign w:val="superscript"/>
        </w:rPr>
        <w:t>1</w:t>
      </w:r>
      <w:r>
        <w:rPr>
          <w:rFonts w:ascii="Calibri" w:eastAsia="Calibri" w:hAnsi="Calibri" w:cs="Times New Roman"/>
          <w:szCs w:val="28"/>
        </w:rPr>
        <w:t>, Frederick A. Zeiler, B.Sc. M.D. F.R.C.S.C.</w:t>
      </w:r>
      <w:r w:rsidR="00E72D7D">
        <w:rPr>
          <w:rFonts w:ascii="Calibri" w:eastAsia="Calibri" w:hAnsi="Calibri" w:cs="Times New Roman"/>
          <w:szCs w:val="28"/>
          <w:vertAlign w:val="superscript"/>
        </w:rPr>
        <w:t>2-4</w:t>
      </w:r>
      <w:r>
        <w:rPr>
          <w:rFonts w:ascii="Calibri" w:eastAsia="Calibri" w:hAnsi="Calibri" w:cs="Times New Roman"/>
          <w:szCs w:val="28"/>
        </w:rPr>
        <w:t>, Joseph Donnelly, MBChB Ph.D.</w:t>
      </w:r>
      <w:r w:rsidR="00E72D7D">
        <w:rPr>
          <w:rFonts w:ascii="Calibri" w:eastAsia="Calibri" w:hAnsi="Calibri" w:cs="Times New Roman"/>
          <w:szCs w:val="28"/>
          <w:vertAlign w:val="superscript"/>
        </w:rPr>
        <w:t>1</w:t>
      </w:r>
      <w:r>
        <w:rPr>
          <w:rFonts w:ascii="Calibri" w:eastAsia="Calibri" w:hAnsi="Calibri" w:cs="Times New Roman"/>
          <w:szCs w:val="28"/>
        </w:rPr>
        <w:t>, Agni</w:t>
      </w:r>
      <w:r w:rsidR="00E72D7D">
        <w:rPr>
          <w:rFonts w:ascii="Calibri" w:eastAsia="Calibri" w:hAnsi="Calibri" w:cs="Times New Roman"/>
          <w:szCs w:val="28"/>
        </w:rPr>
        <w:t>e</w:t>
      </w:r>
      <w:r>
        <w:rPr>
          <w:rFonts w:ascii="Calibri" w:eastAsia="Calibri" w:hAnsi="Calibri" w:cs="Times New Roman"/>
          <w:szCs w:val="28"/>
        </w:rPr>
        <w:t>szka Uryga, M.Sc. Eng.</w:t>
      </w:r>
      <w:r w:rsidR="00E72D7D">
        <w:rPr>
          <w:rFonts w:ascii="Calibri" w:eastAsia="Calibri" w:hAnsi="Calibri" w:cs="Times New Roman"/>
          <w:szCs w:val="28"/>
          <w:vertAlign w:val="superscript"/>
        </w:rPr>
        <w:t>5</w:t>
      </w:r>
      <w:r>
        <w:rPr>
          <w:rFonts w:ascii="Calibri" w:eastAsia="Calibri" w:hAnsi="Calibri" w:cs="Times New Roman"/>
          <w:szCs w:val="28"/>
        </w:rPr>
        <w:t xml:space="preserve">, </w:t>
      </w:r>
      <w:r w:rsidR="00E72D7D" w:rsidRPr="00551E86">
        <w:rPr>
          <w:rFonts w:ascii="Calibri" w:eastAsia="Calibri" w:hAnsi="Calibri" w:cs="Times New Roman"/>
          <w:lang w:val="es-ES_tradnl"/>
        </w:rPr>
        <w:t>Nicolás de Riva, M</w:t>
      </w:r>
      <w:r w:rsidR="00E72D7D">
        <w:rPr>
          <w:rFonts w:ascii="Calibri" w:eastAsia="Calibri" w:hAnsi="Calibri" w:cs="Times New Roman"/>
          <w:lang w:val="es-ES_tradnl"/>
        </w:rPr>
        <w:t>.</w:t>
      </w:r>
      <w:r w:rsidR="00E72D7D" w:rsidRPr="00551E86">
        <w:rPr>
          <w:rFonts w:ascii="Calibri" w:eastAsia="Calibri" w:hAnsi="Calibri" w:cs="Times New Roman"/>
          <w:lang w:val="es-ES_tradnl"/>
        </w:rPr>
        <w:t>D</w:t>
      </w:r>
      <w:r w:rsidR="00E72D7D">
        <w:rPr>
          <w:rFonts w:ascii="Calibri" w:eastAsia="Calibri" w:hAnsi="Calibri" w:cs="Times New Roman"/>
          <w:lang w:val="es-ES_tradnl"/>
        </w:rPr>
        <w:t>.</w:t>
      </w:r>
      <w:r w:rsidR="008F3B8C">
        <w:rPr>
          <w:rFonts w:ascii="Calibri" w:eastAsia="Calibri" w:hAnsi="Calibri" w:cs="Times New Roman"/>
          <w:vertAlign w:val="superscript"/>
          <w:lang w:val="es-ES_tradnl"/>
        </w:rPr>
        <w:t>6</w:t>
      </w:r>
      <w:r w:rsidR="00E72D7D">
        <w:rPr>
          <w:rFonts w:ascii="Calibri" w:eastAsia="Calibri" w:hAnsi="Calibri" w:cs="Times New Roman"/>
          <w:lang w:val="es-ES_tradnl"/>
        </w:rPr>
        <w:t>, Peter Smielewski, Ph.D.</w:t>
      </w:r>
      <w:r w:rsidR="00E72D7D">
        <w:rPr>
          <w:rFonts w:ascii="Calibri" w:eastAsia="Calibri" w:hAnsi="Calibri" w:cs="Times New Roman"/>
          <w:vertAlign w:val="superscript"/>
          <w:lang w:val="es-ES_tradnl"/>
        </w:rPr>
        <w:t>1</w:t>
      </w:r>
      <w:r w:rsidR="00E72D7D">
        <w:rPr>
          <w:rFonts w:ascii="Calibri" w:eastAsia="Calibri" w:hAnsi="Calibri" w:cs="Times New Roman"/>
          <w:lang w:val="es-ES_tradnl"/>
        </w:rPr>
        <w:t>, and Marek Czosnyka, Ph.D</w:t>
      </w:r>
      <w:r w:rsidR="00BE1484">
        <w:rPr>
          <w:rFonts w:ascii="Calibri" w:eastAsia="Calibri" w:hAnsi="Calibri" w:cs="Times New Roman"/>
          <w:lang w:val="es-ES_tradnl"/>
        </w:rPr>
        <w:t>.</w:t>
      </w:r>
      <w:r w:rsidR="00E72D7D">
        <w:rPr>
          <w:rFonts w:ascii="Calibri" w:eastAsia="Calibri" w:hAnsi="Calibri" w:cs="Times New Roman"/>
          <w:vertAlign w:val="superscript"/>
          <w:lang w:val="es-ES_tradnl"/>
        </w:rPr>
        <w:t>1</w:t>
      </w:r>
    </w:p>
    <w:p w14:paraId="0DB3E0F1" w14:textId="77777777" w:rsidR="00E72D7D" w:rsidRPr="00551E86" w:rsidRDefault="00E72D7D" w:rsidP="00E72D7D">
      <w:pPr>
        <w:jc w:val="center"/>
        <w:rPr>
          <w:rFonts w:ascii="Calibri" w:eastAsia="Calibri" w:hAnsi="Calibri" w:cs="Times New Roman"/>
          <w:szCs w:val="28"/>
        </w:rPr>
      </w:pPr>
    </w:p>
    <w:p w14:paraId="248CB2BC" w14:textId="77777777" w:rsidR="00551E86" w:rsidRPr="00551E86" w:rsidRDefault="00551E86" w:rsidP="00551E86">
      <w:pPr>
        <w:numPr>
          <w:ilvl w:val="0"/>
          <w:numId w:val="6"/>
        </w:numPr>
        <w:jc w:val="center"/>
        <w:rPr>
          <w:rFonts w:ascii="Calibri" w:eastAsia="Calibri" w:hAnsi="Calibri" w:cs="Times New Roman"/>
          <w:sz w:val="20"/>
          <w:szCs w:val="20"/>
        </w:rPr>
      </w:pPr>
      <w:r w:rsidRPr="00551E86">
        <w:rPr>
          <w:rFonts w:ascii="Calibri" w:eastAsia="Calibri" w:hAnsi="Calibri" w:cs="Times New Roman"/>
          <w:sz w:val="20"/>
          <w:szCs w:val="20"/>
        </w:rPr>
        <w:t>Division of Neurosurgery, Department of Clinical Neurosciences, Addenbrooke’s Hospital, University of Cambridge, United Kingdom</w:t>
      </w:r>
    </w:p>
    <w:p w14:paraId="6AEAF7FF" w14:textId="77777777" w:rsidR="00551E86" w:rsidRPr="00551E86" w:rsidRDefault="00551E86" w:rsidP="00551E86">
      <w:pPr>
        <w:numPr>
          <w:ilvl w:val="0"/>
          <w:numId w:val="6"/>
        </w:numPr>
        <w:jc w:val="center"/>
        <w:rPr>
          <w:rFonts w:ascii="Calibri" w:eastAsia="Calibri" w:hAnsi="Calibri" w:cs="Times New Roman"/>
          <w:sz w:val="20"/>
          <w:szCs w:val="20"/>
        </w:rPr>
      </w:pPr>
      <w:r w:rsidRPr="00551E86">
        <w:rPr>
          <w:rFonts w:ascii="Calibri" w:eastAsia="Calibri" w:hAnsi="Calibri" w:cs="Times New Roman"/>
          <w:sz w:val="20"/>
          <w:szCs w:val="20"/>
        </w:rPr>
        <w:t>Division of Anesthetics, Addenbrooke’s Hospital, University of Cambridge, Cambridge, United Kingdom</w:t>
      </w:r>
    </w:p>
    <w:p w14:paraId="5338D25E" w14:textId="77777777" w:rsidR="00551E86" w:rsidRPr="00551E86" w:rsidRDefault="00551E86" w:rsidP="00551E86">
      <w:pPr>
        <w:numPr>
          <w:ilvl w:val="0"/>
          <w:numId w:val="6"/>
        </w:numPr>
        <w:jc w:val="center"/>
        <w:rPr>
          <w:rFonts w:ascii="Calibri" w:eastAsia="Calibri" w:hAnsi="Calibri" w:cs="Times New Roman"/>
          <w:sz w:val="20"/>
          <w:szCs w:val="20"/>
        </w:rPr>
      </w:pPr>
      <w:r w:rsidRPr="00551E86">
        <w:rPr>
          <w:rFonts w:ascii="Calibri" w:eastAsia="Calibri" w:hAnsi="Calibri" w:cs="Times New Roman"/>
          <w:sz w:val="20"/>
          <w:szCs w:val="20"/>
        </w:rPr>
        <w:t xml:space="preserve"> Section of Neurosurgery, Dept. of Surgery, University of Manitoba, Winnipeg, Canada</w:t>
      </w:r>
    </w:p>
    <w:p w14:paraId="45EB4D2B" w14:textId="2644AD7E" w:rsidR="00551E86" w:rsidRDefault="00551E86" w:rsidP="00551E86">
      <w:pPr>
        <w:numPr>
          <w:ilvl w:val="0"/>
          <w:numId w:val="6"/>
        </w:numPr>
        <w:jc w:val="center"/>
        <w:rPr>
          <w:rFonts w:ascii="Calibri" w:eastAsia="Calibri" w:hAnsi="Calibri" w:cs="Times New Roman"/>
          <w:sz w:val="20"/>
          <w:szCs w:val="20"/>
        </w:rPr>
      </w:pPr>
      <w:r w:rsidRPr="00551E86">
        <w:rPr>
          <w:rFonts w:ascii="Calibri" w:eastAsia="Calibri" w:hAnsi="Calibri" w:cs="Times New Roman"/>
          <w:sz w:val="20"/>
          <w:szCs w:val="20"/>
        </w:rPr>
        <w:t>Clinician Investigator Program, University of Manitoba, Winnipeg, Canada</w:t>
      </w:r>
    </w:p>
    <w:p w14:paraId="26080733" w14:textId="2914C5A2" w:rsidR="00E72D7D" w:rsidRPr="008F5E63" w:rsidRDefault="00E72D7D" w:rsidP="008F5E63">
      <w:pPr>
        <w:pStyle w:val="ListParagraph"/>
        <w:numPr>
          <w:ilvl w:val="0"/>
          <w:numId w:val="6"/>
        </w:numPr>
        <w:jc w:val="center"/>
        <w:rPr>
          <w:rFonts w:ascii="Calibri" w:eastAsia="Calibri" w:hAnsi="Calibri" w:cs="Times New Roman"/>
          <w:sz w:val="20"/>
          <w:szCs w:val="20"/>
        </w:rPr>
      </w:pPr>
      <w:r w:rsidRPr="00E72D7D">
        <w:rPr>
          <w:rFonts w:ascii="Calibri" w:eastAsia="Calibri" w:hAnsi="Calibri" w:cs="Times New Roman"/>
          <w:sz w:val="20"/>
          <w:szCs w:val="20"/>
        </w:rPr>
        <w:t>Department of Biomedical Engineering,</w:t>
      </w:r>
      <w:r w:rsidR="00833194">
        <w:rPr>
          <w:rFonts w:ascii="Calibri" w:eastAsia="Calibri" w:hAnsi="Calibri" w:cs="Times New Roman"/>
          <w:sz w:val="20"/>
          <w:szCs w:val="20"/>
        </w:rPr>
        <w:t xml:space="preserve"> </w:t>
      </w:r>
      <w:r w:rsidR="003217FE">
        <w:rPr>
          <w:rFonts w:ascii="Calibri" w:eastAsia="Calibri" w:hAnsi="Calibri" w:cs="Times New Roman"/>
          <w:sz w:val="20"/>
          <w:szCs w:val="20"/>
        </w:rPr>
        <w:t>Faculty of Fundamental Problems of Technology,</w:t>
      </w:r>
      <w:r w:rsidRPr="00E72D7D">
        <w:rPr>
          <w:rFonts w:ascii="Calibri" w:eastAsia="Calibri" w:hAnsi="Calibri" w:cs="Times New Roman"/>
          <w:sz w:val="20"/>
          <w:szCs w:val="20"/>
        </w:rPr>
        <w:t xml:space="preserve"> Wroclaw University of Science and Technology, Wroclaw, Poland</w:t>
      </w:r>
    </w:p>
    <w:p w14:paraId="3FE4D559" w14:textId="384C3534" w:rsidR="00E72D7D" w:rsidRPr="00E72D7D" w:rsidRDefault="00E72D7D" w:rsidP="00E72D7D">
      <w:pPr>
        <w:pStyle w:val="BodyText"/>
        <w:numPr>
          <w:ilvl w:val="0"/>
          <w:numId w:val="6"/>
        </w:numPr>
        <w:spacing w:after="100" w:afterAutospacing="1" w:line="252" w:lineRule="auto"/>
        <w:contextualSpacing/>
        <w:jc w:val="center"/>
        <w:rPr>
          <w:rFonts w:asciiTheme="minorHAnsi" w:hAnsiTheme="minorHAnsi" w:cstheme="minorHAnsi"/>
          <w:sz w:val="20"/>
          <w:szCs w:val="22"/>
        </w:rPr>
      </w:pPr>
      <w:r w:rsidRPr="00E72D7D">
        <w:rPr>
          <w:rFonts w:ascii="Calibri" w:eastAsia="Calibri" w:hAnsi="Calibri"/>
          <w:sz w:val="20"/>
        </w:rPr>
        <w:t xml:space="preserve">Neuroanesthesia Division, Anesthesiology Department, </w:t>
      </w:r>
      <w:r w:rsidRPr="00E72D7D">
        <w:rPr>
          <w:rFonts w:ascii="Calibri" w:eastAsia="Calibri" w:hAnsi="Calibri"/>
          <w:sz w:val="20"/>
          <w:lang w:val="es-ES_tradnl"/>
        </w:rPr>
        <w:t>Hospital Clinic, Universitat de Barcelona, Barcelona, Spain</w:t>
      </w:r>
    </w:p>
    <w:p w14:paraId="34BFDF43" w14:textId="77777777" w:rsidR="00E72D7D" w:rsidRPr="00551E86" w:rsidRDefault="00E72D7D" w:rsidP="00E72D7D">
      <w:pPr>
        <w:ind w:left="720"/>
        <w:rPr>
          <w:rFonts w:ascii="Calibri" w:eastAsia="Calibri" w:hAnsi="Calibri" w:cs="Times New Roman"/>
          <w:sz w:val="20"/>
          <w:szCs w:val="20"/>
        </w:rPr>
      </w:pPr>
    </w:p>
    <w:p w14:paraId="6EFC4F79" w14:textId="77777777" w:rsidR="00551E86" w:rsidRPr="00551E86" w:rsidRDefault="00551E86" w:rsidP="00551E86">
      <w:pPr>
        <w:jc w:val="center"/>
        <w:rPr>
          <w:rFonts w:ascii="Calibri" w:eastAsia="Calibri" w:hAnsi="Calibri" w:cs="Times New Roman"/>
        </w:rPr>
      </w:pPr>
    </w:p>
    <w:p w14:paraId="6081C187" w14:textId="77777777" w:rsidR="00551E86" w:rsidRPr="00551E86" w:rsidRDefault="00551E86" w:rsidP="00551E86">
      <w:pPr>
        <w:rPr>
          <w:rFonts w:ascii="Calibri" w:eastAsia="Calibri" w:hAnsi="Calibri" w:cs="Times New Roman"/>
          <w:b/>
          <w:sz w:val="20"/>
        </w:rPr>
      </w:pPr>
      <w:r w:rsidRPr="00551E86">
        <w:rPr>
          <w:rFonts w:ascii="Calibri" w:eastAsia="Calibri" w:hAnsi="Calibri" w:cs="Times New Roman"/>
          <w:b/>
          <w:sz w:val="20"/>
        </w:rPr>
        <w:t>Corresponding Author:</w:t>
      </w:r>
    </w:p>
    <w:p w14:paraId="6CEA3986" w14:textId="77777777" w:rsidR="00551E86" w:rsidRPr="00551E86" w:rsidRDefault="00551E86" w:rsidP="00551E86">
      <w:pPr>
        <w:rPr>
          <w:rFonts w:ascii="Calibri" w:eastAsia="Calibri" w:hAnsi="Calibri" w:cs="Times New Roman"/>
          <w:b/>
          <w:sz w:val="20"/>
        </w:rPr>
      </w:pPr>
    </w:p>
    <w:p w14:paraId="70ADAF94" w14:textId="709FD828" w:rsidR="00551E86" w:rsidRPr="00551E86" w:rsidRDefault="00551E86" w:rsidP="00551E86">
      <w:pPr>
        <w:rPr>
          <w:rFonts w:ascii="Calibri" w:eastAsia="Calibri" w:hAnsi="Calibri" w:cs="Times New Roman"/>
          <w:i/>
          <w:sz w:val="20"/>
        </w:rPr>
      </w:pPr>
      <w:r w:rsidRPr="00551E86">
        <w:rPr>
          <w:rFonts w:ascii="Calibri" w:eastAsia="Calibri" w:hAnsi="Calibri" w:cs="Times New Roman"/>
          <w:i/>
          <w:sz w:val="20"/>
        </w:rPr>
        <w:t>Leanne A. Calviello B</w:t>
      </w:r>
      <w:r w:rsidR="00837F15">
        <w:rPr>
          <w:rFonts w:ascii="Calibri" w:eastAsia="Calibri" w:hAnsi="Calibri" w:cs="Times New Roman"/>
          <w:i/>
          <w:sz w:val="20"/>
        </w:rPr>
        <w:t>.</w:t>
      </w:r>
      <w:r w:rsidRPr="00551E86">
        <w:rPr>
          <w:rFonts w:ascii="Calibri" w:eastAsia="Calibri" w:hAnsi="Calibri" w:cs="Times New Roman"/>
          <w:i/>
          <w:sz w:val="20"/>
        </w:rPr>
        <w:t>A</w:t>
      </w:r>
      <w:r w:rsidR="00837F15">
        <w:rPr>
          <w:rFonts w:ascii="Calibri" w:eastAsia="Calibri" w:hAnsi="Calibri" w:cs="Times New Roman"/>
          <w:i/>
          <w:sz w:val="20"/>
        </w:rPr>
        <w:t>.</w:t>
      </w:r>
      <w:r w:rsidRPr="00551E86">
        <w:rPr>
          <w:rFonts w:ascii="Calibri" w:eastAsia="Calibri" w:hAnsi="Calibri" w:cs="Times New Roman"/>
          <w:i/>
          <w:sz w:val="20"/>
        </w:rPr>
        <w:t xml:space="preserve"> M</w:t>
      </w:r>
      <w:r w:rsidR="00837F15">
        <w:rPr>
          <w:rFonts w:ascii="Calibri" w:eastAsia="Calibri" w:hAnsi="Calibri" w:cs="Times New Roman"/>
          <w:i/>
          <w:sz w:val="20"/>
        </w:rPr>
        <w:t>.</w:t>
      </w:r>
      <w:r w:rsidRPr="00551E86">
        <w:rPr>
          <w:rFonts w:ascii="Calibri" w:eastAsia="Calibri" w:hAnsi="Calibri" w:cs="Times New Roman"/>
          <w:i/>
          <w:sz w:val="20"/>
        </w:rPr>
        <w:t>Sc</w:t>
      </w:r>
      <w:r w:rsidR="00837F15">
        <w:rPr>
          <w:rFonts w:ascii="Calibri" w:eastAsia="Calibri" w:hAnsi="Calibri" w:cs="Times New Roman"/>
          <w:i/>
          <w:sz w:val="20"/>
        </w:rPr>
        <w:t>.</w:t>
      </w:r>
    </w:p>
    <w:p w14:paraId="5235C22A"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Division of Neurosurgery</w:t>
      </w:r>
    </w:p>
    <w:p w14:paraId="7366B9C5"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Dept. of Clinical Neurosciences</w:t>
      </w:r>
    </w:p>
    <w:p w14:paraId="46F1A5B7"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University of Cambridge</w:t>
      </w:r>
    </w:p>
    <w:p w14:paraId="3F6F2DBB" w14:textId="3424A8DD"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 xml:space="preserve">Email: </w:t>
      </w:r>
      <w:hyperlink r:id="rId8" w:history="1">
        <w:r w:rsidRPr="00820C7E">
          <w:rPr>
            <w:rStyle w:val="Hyperlink"/>
            <w:rFonts w:ascii="Calibri" w:eastAsia="Calibri" w:hAnsi="Calibri" w:cs="Times New Roman"/>
            <w:sz w:val="20"/>
          </w:rPr>
          <w:t>lac76@cam.ac.uk</w:t>
        </w:r>
      </w:hyperlink>
    </w:p>
    <w:p w14:paraId="273A2704" w14:textId="77777777" w:rsidR="00551E86" w:rsidRPr="00551E86" w:rsidRDefault="00551E86" w:rsidP="00551E86">
      <w:pPr>
        <w:rPr>
          <w:rFonts w:ascii="Calibri" w:eastAsia="Calibri" w:hAnsi="Calibri" w:cs="Times New Roman"/>
          <w:sz w:val="20"/>
        </w:rPr>
      </w:pPr>
    </w:p>
    <w:p w14:paraId="7CF79440" w14:textId="77777777" w:rsidR="00551E86" w:rsidRPr="00551E86" w:rsidRDefault="00551E86" w:rsidP="00551E86">
      <w:pPr>
        <w:rPr>
          <w:rFonts w:ascii="Calibri" w:eastAsia="Calibri" w:hAnsi="Calibri" w:cs="Times New Roman"/>
          <w:b/>
          <w:sz w:val="20"/>
        </w:rPr>
      </w:pPr>
      <w:r w:rsidRPr="00551E86">
        <w:rPr>
          <w:rFonts w:ascii="Calibri" w:eastAsia="Calibri" w:hAnsi="Calibri" w:cs="Times New Roman"/>
          <w:b/>
          <w:sz w:val="20"/>
        </w:rPr>
        <w:t>Contributing Authors:</w:t>
      </w:r>
    </w:p>
    <w:p w14:paraId="3FB63115" w14:textId="77777777" w:rsidR="00837F15" w:rsidRDefault="00837F15" w:rsidP="00837F15">
      <w:pPr>
        <w:rPr>
          <w:rFonts w:ascii="Calibri" w:eastAsia="Calibri" w:hAnsi="Calibri" w:cs="Times New Roman"/>
          <w:i/>
          <w:sz w:val="20"/>
        </w:rPr>
      </w:pPr>
    </w:p>
    <w:p w14:paraId="7839BDE7" w14:textId="354ABFCE" w:rsidR="00837F15" w:rsidRPr="00551E86" w:rsidRDefault="00837F15" w:rsidP="00837F15">
      <w:pPr>
        <w:rPr>
          <w:rFonts w:ascii="Calibri" w:eastAsia="Calibri" w:hAnsi="Calibri" w:cs="Times New Roman"/>
          <w:i/>
          <w:sz w:val="20"/>
        </w:rPr>
      </w:pPr>
      <w:r w:rsidRPr="00551E86">
        <w:rPr>
          <w:rFonts w:ascii="Calibri" w:eastAsia="Calibri" w:hAnsi="Calibri" w:cs="Times New Roman"/>
          <w:i/>
          <w:sz w:val="20"/>
        </w:rPr>
        <w:lastRenderedPageBreak/>
        <w:t>Frederick A. Zeiler B</w:t>
      </w:r>
      <w:r>
        <w:rPr>
          <w:rFonts w:ascii="Calibri" w:eastAsia="Calibri" w:hAnsi="Calibri" w:cs="Times New Roman"/>
          <w:i/>
          <w:sz w:val="20"/>
        </w:rPr>
        <w:t>.</w:t>
      </w:r>
      <w:r w:rsidRPr="00551E86">
        <w:rPr>
          <w:rFonts w:ascii="Calibri" w:eastAsia="Calibri" w:hAnsi="Calibri" w:cs="Times New Roman"/>
          <w:i/>
          <w:sz w:val="20"/>
        </w:rPr>
        <w:t>Sc</w:t>
      </w:r>
      <w:r>
        <w:rPr>
          <w:rFonts w:ascii="Calibri" w:eastAsia="Calibri" w:hAnsi="Calibri" w:cs="Times New Roman"/>
          <w:i/>
          <w:sz w:val="20"/>
        </w:rPr>
        <w:t>.</w:t>
      </w:r>
      <w:r w:rsidRPr="00551E86">
        <w:rPr>
          <w:rFonts w:ascii="Calibri" w:eastAsia="Calibri" w:hAnsi="Calibri" w:cs="Times New Roman"/>
          <w:i/>
          <w:sz w:val="20"/>
        </w:rPr>
        <w:t xml:space="preserve"> M</w:t>
      </w:r>
      <w:r>
        <w:rPr>
          <w:rFonts w:ascii="Calibri" w:eastAsia="Calibri" w:hAnsi="Calibri" w:cs="Times New Roman"/>
          <w:i/>
          <w:sz w:val="20"/>
        </w:rPr>
        <w:t>.</w:t>
      </w:r>
      <w:r w:rsidRPr="00551E86">
        <w:rPr>
          <w:rFonts w:ascii="Calibri" w:eastAsia="Calibri" w:hAnsi="Calibri" w:cs="Times New Roman"/>
          <w:i/>
          <w:sz w:val="20"/>
        </w:rPr>
        <w:t>D</w:t>
      </w:r>
      <w:r>
        <w:rPr>
          <w:rFonts w:ascii="Calibri" w:eastAsia="Calibri" w:hAnsi="Calibri" w:cs="Times New Roman"/>
          <w:i/>
          <w:sz w:val="20"/>
        </w:rPr>
        <w:t>.</w:t>
      </w:r>
      <w:r w:rsidRPr="00551E86">
        <w:rPr>
          <w:rFonts w:ascii="Calibri" w:eastAsia="Calibri" w:hAnsi="Calibri" w:cs="Times New Roman"/>
          <w:i/>
          <w:sz w:val="20"/>
        </w:rPr>
        <w:t xml:space="preserve"> F</w:t>
      </w:r>
      <w:r>
        <w:rPr>
          <w:rFonts w:ascii="Calibri" w:eastAsia="Calibri" w:hAnsi="Calibri" w:cs="Times New Roman"/>
          <w:i/>
          <w:sz w:val="20"/>
        </w:rPr>
        <w:t>.</w:t>
      </w:r>
      <w:r w:rsidRPr="00551E86">
        <w:rPr>
          <w:rFonts w:ascii="Calibri" w:eastAsia="Calibri" w:hAnsi="Calibri" w:cs="Times New Roman"/>
          <w:i/>
          <w:sz w:val="20"/>
        </w:rPr>
        <w:t>R</w:t>
      </w:r>
      <w:r>
        <w:rPr>
          <w:rFonts w:ascii="Calibri" w:eastAsia="Calibri" w:hAnsi="Calibri" w:cs="Times New Roman"/>
          <w:i/>
          <w:sz w:val="20"/>
        </w:rPr>
        <w:t>.</w:t>
      </w:r>
      <w:r w:rsidRPr="00551E86">
        <w:rPr>
          <w:rFonts w:ascii="Calibri" w:eastAsia="Calibri" w:hAnsi="Calibri" w:cs="Times New Roman"/>
          <w:i/>
          <w:sz w:val="20"/>
        </w:rPr>
        <w:t>C</w:t>
      </w:r>
      <w:r>
        <w:rPr>
          <w:rFonts w:ascii="Calibri" w:eastAsia="Calibri" w:hAnsi="Calibri" w:cs="Times New Roman"/>
          <w:i/>
          <w:sz w:val="20"/>
        </w:rPr>
        <w:t>.</w:t>
      </w:r>
      <w:r w:rsidRPr="00551E86">
        <w:rPr>
          <w:rFonts w:ascii="Calibri" w:eastAsia="Calibri" w:hAnsi="Calibri" w:cs="Times New Roman"/>
          <w:i/>
          <w:sz w:val="20"/>
        </w:rPr>
        <w:t>S</w:t>
      </w:r>
      <w:r>
        <w:rPr>
          <w:rFonts w:ascii="Calibri" w:eastAsia="Calibri" w:hAnsi="Calibri" w:cs="Times New Roman"/>
          <w:i/>
          <w:sz w:val="20"/>
        </w:rPr>
        <w:t>.</w:t>
      </w:r>
      <w:r w:rsidRPr="00551E86">
        <w:rPr>
          <w:rFonts w:ascii="Calibri" w:eastAsia="Calibri" w:hAnsi="Calibri" w:cs="Times New Roman"/>
          <w:i/>
          <w:sz w:val="20"/>
        </w:rPr>
        <w:t>C</w:t>
      </w:r>
      <w:r>
        <w:rPr>
          <w:rFonts w:ascii="Calibri" w:eastAsia="Calibri" w:hAnsi="Calibri" w:cs="Times New Roman"/>
          <w:i/>
          <w:sz w:val="20"/>
        </w:rPr>
        <w:t>.</w:t>
      </w:r>
      <w:r w:rsidRPr="00551E86">
        <w:rPr>
          <w:rFonts w:ascii="Calibri" w:eastAsia="Calibri" w:hAnsi="Calibri" w:cs="Times New Roman"/>
          <w:i/>
          <w:sz w:val="20"/>
        </w:rPr>
        <w:t xml:space="preserve"> (Neurosurgery)</w:t>
      </w:r>
    </w:p>
    <w:p w14:paraId="5A373C67" w14:textId="77777777" w:rsidR="00837F15" w:rsidRPr="00551E86" w:rsidRDefault="00837F15" w:rsidP="00837F15">
      <w:pPr>
        <w:rPr>
          <w:rFonts w:ascii="Calibri" w:eastAsia="Calibri" w:hAnsi="Calibri" w:cs="Times New Roman"/>
          <w:sz w:val="20"/>
        </w:rPr>
      </w:pPr>
      <w:r w:rsidRPr="00551E86">
        <w:rPr>
          <w:rFonts w:ascii="Calibri" w:eastAsia="Calibri" w:hAnsi="Calibri" w:cs="Times New Roman"/>
          <w:sz w:val="20"/>
        </w:rPr>
        <w:t>Department of Surgery</w:t>
      </w:r>
    </w:p>
    <w:p w14:paraId="1415346E" w14:textId="77777777" w:rsidR="00837F15" w:rsidRPr="00551E86" w:rsidRDefault="00837F15" w:rsidP="00837F15">
      <w:pPr>
        <w:rPr>
          <w:rFonts w:ascii="Calibri" w:eastAsia="Calibri" w:hAnsi="Calibri" w:cs="Times New Roman"/>
          <w:sz w:val="20"/>
        </w:rPr>
      </w:pPr>
      <w:r w:rsidRPr="00551E86">
        <w:rPr>
          <w:rFonts w:ascii="Calibri" w:eastAsia="Calibri" w:hAnsi="Calibri" w:cs="Times New Roman"/>
          <w:sz w:val="20"/>
        </w:rPr>
        <w:t>Rady Faculty of Health Sciences</w:t>
      </w:r>
    </w:p>
    <w:p w14:paraId="0C8920DA" w14:textId="77777777" w:rsidR="00837F15" w:rsidRPr="00551E86" w:rsidRDefault="00837F15" w:rsidP="00837F15">
      <w:pPr>
        <w:rPr>
          <w:rFonts w:ascii="Calibri" w:eastAsia="Calibri" w:hAnsi="Calibri" w:cs="Times New Roman"/>
          <w:sz w:val="20"/>
        </w:rPr>
      </w:pPr>
      <w:r w:rsidRPr="00551E86">
        <w:rPr>
          <w:rFonts w:ascii="Calibri" w:eastAsia="Calibri" w:hAnsi="Calibri" w:cs="Times New Roman"/>
          <w:sz w:val="20"/>
        </w:rPr>
        <w:t>University of Manitoba</w:t>
      </w:r>
    </w:p>
    <w:p w14:paraId="03BE0A37" w14:textId="77777777" w:rsidR="00837F15" w:rsidRPr="00551E86" w:rsidRDefault="00837F15" w:rsidP="00837F15">
      <w:pPr>
        <w:rPr>
          <w:rFonts w:ascii="Calibri" w:eastAsia="Calibri" w:hAnsi="Calibri" w:cs="Times New Roman"/>
          <w:sz w:val="20"/>
        </w:rPr>
      </w:pPr>
      <w:r w:rsidRPr="00551E86">
        <w:rPr>
          <w:rFonts w:ascii="Calibri" w:eastAsia="Calibri" w:hAnsi="Calibri" w:cs="Times New Roman"/>
          <w:sz w:val="20"/>
        </w:rPr>
        <w:t xml:space="preserve">Email: </w:t>
      </w:r>
      <w:hyperlink r:id="rId9" w:history="1">
        <w:r w:rsidRPr="00551E86">
          <w:rPr>
            <w:rFonts w:ascii="Calibri" w:eastAsia="Calibri" w:hAnsi="Calibri" w:cs="Times New Roman"/>
            <w:color w:val="0563C1"/>
            <w:sz w:val="20"/>
            <w:u w:val="single"/>
          </w:rPr>
          <w:t>umzeiler@myumanitoba.ca</w:t>
        </w:r>
      </w:hyperlink>
    </w:p>
    <w:p w14:paraId="30591428" w14:textId="77777777" w:rsidR="00837F15" w:rsidRDefault="00837F15" w:rsidP="00837F15">
      <w:pPr>
        <w:rPr>
          <w:rFonts w:ascii="Calibri" w:eastAsia="Calibri" w:hAnsi="Calibri" w:cs="Times New Roman"/>
          <w:i/>
          <w:sz w:val="20"/>
        </w:rPr>
      </w:pPr>
    </w:p>
    <w:p w14:paraId="1D174B77" w14:textId="3EF30D30" w:rsidR="00837F15" w:rsidRPr="00551E86" w:rsidRDefault="00837F15" w:rsidP="00837F15">
      <w:pPr>
        <w:rPr>
          <w:rFonts w:ascii="Calibri" w:eastAsia="Calibri" w:hAnsi="Calibri" w:cs="Times New Roman"/>
          <w:i/>
          <w:sz w:val="20"/>
        </w:rPr>
      </w:pPr>
      <w:r w:rsidRPr="00551E86">
        <w:rPr>
          <w:rFonts w:ascii="Calibri" w:eastAsia="Calibri" w:hAnsi="Calibri" w:cs="Times New Roman"/>
          <w:i/>
          <w:sz w:val="20"/>
        </w:rPr>
        <w:t>Joseph Donnelly MBChB</w:t>
      </w:r>
      <w:r>
        <w:rPr>
          <w:rFonts w:ascii="Calibri" w:eastAsia="Calibri" w:hAnsi="Calibri" w:cs="Times New Roman"/>
          <w:i/>
          <w:sz w:val="20"/>
        </w:rPr>
        <w:t>, Ph.D.</w:t>
      </w:r>
    </w:p>
    <w:p w14:paraId="21B6CFE0" w14:textId="77777777" w:rsidR="00837F15" w:rsidRPr="00551E86" w:rsidRDefault="00837F15" w:rsidP="00837F15">
      <w:pPr>
        <w:rPr>
          <w:rFonts w:ascii="Calibri" w:eastAsia="Calibri" w:hAnsi="Calibri" w:cs="Times New Roman"/>
          <w:sz w:val="20"/>
        </w:rPr>
      </w:pPr>
      <w:r w:rsidRPr="00551E86">
        <w:rPr>
          <w:rFonts w:ascii="Calibri" w:eastAsia="Calibri" w:hAnsi="Calibri" w:cs="Times New Roman"/>
          <w:sz w:val="20"/>
        </w:rPr>
        <w:t>Division of Neurosurgery</w:t>
      </w:r>
    </w:p>
    <w:p w14:paraId="7D518E53" w14:textId="77777777" w:rsidR="00837F15" w:rsidRPr="00551E86" w:rsidRDefault="00837F15" w:rsidP="00837F15">
      <w:pPr>
        <w:rPr>
          <w:rFonts w:ascii="Calibri" w:eastAsia="Calibri" w:hAnsi="Calibri" w:cs="Times New Roman"/>
          <w:sz w:val="20"/>
        </w:rPr>
      </w:pPr>
      <w:r w:rsidRPr="00551E86">
        <w:rPr>
          <w:rFonts w:ascii="Calibri" w:eastAsia="Calibri" w:hAnsi="Calibri" w:cs="Times New Roman"/>
          <w:sz w:val="20"/>
        </w:rPr>
        <w:t>Dept. of Clinical Neurosciences</w:t>
      </w:r>
    </w:p>
    <w:p w14:paraId="3CCE1112" w14:textId="77777777" w:rsidR="00837F15" w:rsidRPr="00551E86" w:rsidRDefault="00837F15" w:rsidP="00837F15">
      <w:pPr>
        <w:rPr>
          <w:rFonts w:ascii="Calibri" w:eastAsia="Calibri" w:hAnsi="Calibri" w:cs="Times New Roman"/>
          <w:sz w:val="20"/>
        </w:rPr>
      </w:pPr>
      <w:r w:rsidRPr="00551E86">
        <w:rPr>
          <w:rFonts w:ascii="Calibri" w:eastAsia="Calibri" w:hAnsi="Calibri" w:cs="Times New Roman"/>
          <w:sz w:val="20"/>
        </w:rPr>
        <w:t>University of Cambridge</w:t>
      </w:r>
    </w:p>
    <w:p w14:paraId="4871B063" w14:textId="77777777" w:rsidR="00837F15" w:rsidRDefault="00837F15" w:rsidP="00837F15">
      <w:pPr>
        <w:rPr>
          <w:rFonts w:ascii="Calibri" w:eastAsia="Calibri" w:hAnsi="Calibri" w:cs="Times New Roman"/>
          <w:sz w:val="20"/>
        </w:rPr>
      </w:pPr>
      <w:r w:rsidRPr="00551E86">
        <w:rPr>
          <w:rFonts w:ascii="Calibri" w:eastAsia="Calibri" w:hAnsi="Calibri" w:cs="Times New Roman"/>
          <w:sz w:val="20"/>
        </w:rPr>
        <w:t xml:space="preserve">Email: </w:t>
      </w:r>
      <w:hyperlink r:id="rId10" w:history="1">
        <w:r w:rsidRPr="00551E86">
          <w:rPr>
            <w:rFonts w:ascii="Calibri" w:eastAsia="Calibri" w:hAnsi="Calibri" w:cs="Times New Roman"/>
            <w:color w:val="0563C1"/>
            <w:sz w:val="20"/>
            <w:u w:val="single"/>
          </w:rPr>
          <w:t>donnellyj87@gmail.com</w:t>
        </w:r>
      </w:hyperlink>
    </w:p>
    <w:p w14:paraId="5FFDB99C" w14:textId="6D3505DE" w:rsidR="00837F15" w:rsidRDefault="00837F15" w:rsidP="00551E86">
      <w:pPr>
        <w:rPr>
          <w:rFonts w:ascii="Calibri" w:eastAsia="Calibri" w:hAnsi="Calibri" w:cs="Times New Roman"/>
          <w:i/>
          <w:sz w:val="20"/>
        </w:rPr>
      </w:pPr>
    </w:p>
    <w:p w14:paraId="262F0598" w14:textId="4658A9D0" w:rsidR="00ED43CA" w:rsidRPr="00FB71F1" w:rsidRDefault="00ED43CA" w:rsidP="00551E86">
      <w:pPr>
        <w:rPr>
          <w:rFonts w:ascii="Calibri" w:eastAsia="Calibri" w:hAnsi="Calibri" w:cs="Times New Roman"/>
          <w:i/>
          <w:sz w:val="20"/>
        </w:rPr>
      </w:pPr>
      <w:r w:rsidRPr="00FB71F1">
        <w:rPr>
          <w:rFonts w:ascii="Calibri" w:eastAsia="Calibri" w:hAnsi="Calibri" w:cs="Times New Roman"/>
          <w:i/>
          <w:sz w:val="20"/>
        </w:rPr>
        <w:t>Agnieszka Uryga, M.Sc. Eng.</w:t>
      </w:r>
    </w:p>
    <w:p w14:paraId="3480EFC8" w14:textId="1CEE99DE" w:rsidR="00FB71F1" w:rsidRDefault="00ED43CA" w:rsidP="00551E86">
      <w:pPr>
        <w:rPr>
          <w:rFonts w:cstheme="minorHAnsi"/>
          <w:sz w:val="20"/>
          <w:szCs w:val="20"/>
          <w:shd w:val="clear" w:color="auto" w:fill="FFFFFF"/>
        </w:rPr>
      </w:pPr>
      <w:r w:rsidRPr="00FB71F1">
        <w:rPr>
          <w:rFonts w:cstheme="minorHAnsi"/>
          <w:sz w:val="20"/>
          <w:szCs w:val="20"/>
          <w:shd w:val="clear" w:color="auto" w:fill="FFFFFF"/>
        </w:rPr>
        <w:t>Department of Biomedical Engineering</w:t>
      </w:r>
    </w:p>
    <w:p w14:paraId="08918E1A" w14:textId="78396907" w:rsidR="003217FE" w:rsidRPr="00FB71F1" w:rsidRDefault="003217FE" w:rsidP="00551E86">
      <w:pPr>
        <w:rPr>
          <w:rFonts w:cstheme="minorHAnsi"/>
          <w:sz w:val="20"/>
          <w:szCs w:val="20"/>
          <w:shd w:val="clear" w:color="auto" w:fill="FFFFFF"/>
        </w:rPr>
      </w:pPr>
      <w:r>
        <w:rPr>
          <w:rFonts w:ascii="Calibri" w:eastAsia="Calibri" w:hAnsi="Calibri" w:cs="Times New Roman"/>
          <w:sz w:val="20"/>
          <w:szCs w:val="20"/>
        </w:rPr>
        <w:t>Faculty of Fundamental Problems of Technology,</w:t>
      </w:r>
    </w:p>
    <w:p w14:paraId="52777B39" w14:textId="54E31927" w:rsidR="00ED43CA" w:rsidRPr="00FB71F1" w:rsidRDefault="00ED43CA" w:rsidP="00551E86">
      <w:pPr>
        <w:rPr>
          <w:rFonts w:eastAsia="Calibri" w:cstheme="minorHAnsi"/>
          <w:sz w:val="20"/>
          <w:szCs w:val="20"/>
        </w:rPr>
      </w:pPr>
      <w:r w:rsidRPr="00FB71F1">
        <w:rPr>
          <w:rFonts w:cstheme="minorHAnsi"/>
          <w:sz w:val="20"/>
          <w:szCs w:val="20"/>
          <w:shd w:val="clear" w:color="auto" w:fill="FFFFFF"/>
        </w:rPr>
        <w:t>Wroclaw University of Technology</w:t>
      </w:r>
    </w:p>
    <w:p w14:paraId="47B70FB9" w14:textId="589C7C52" w:rsidR="00FB71F1" w:rsidRDefault="00FB71F1" w:rsidP="00551E86">
      <w:pPr>
        <w:rPr>
          <w:rFonts w:ascii="Calibri" w:eastAsia="Calibri" w:hAnsi="Calibri" w:cs="Times New Roman"/>
          <w:sz w:val="20"/>
        </w:rPr>
      </w:pPr>
      <w:r>
        <w:rPr>
          <w:rFonts w:ascii="Calibri" w:eastAsia="Calibri" w:hAnsi="Calibri" w:cs="Times New Roman"/>
          <w:sz w:val="20"/>
        </w:rPr>
        <w:t xml:space="preserve">Email: </w:t>
      </w:r>
      <w:hyperlink r:id="rId11" w:history="1">
        <w:r w:rsidRPr="00407C13">
          <w:rPr>
            <w:rStyle w:val="Hyperlink"/>
            <w:rFonts w:ascii="Calibri" w:eastAsia="Calibri" w:hAnsi="Calibri" w:cs="Times New Roman"/>
            <w:sz w:val="20"/>
          </w:rPr>
          <w:t>agnieszka.uryga@pwr.edu.pl</w:t>
        </w:r>
      </w:hyperlink>
    </w:p>
    <w:p w14:paraId="54F35D13" w14:textId="77777777" w:rsidR="00FB71F1" w:rsidRPr="00ED43CA" w:rsidRDefault="00FB71F1" w:rsidP="00551E86">
      <w:pPr>
        <w:rPr>
          <w:rFonts w:ascii="Calibri" w:eastAsia="Calibri" w:hAnsi="Calibri" w:cs="Times New Roman"/>
          <w:sz w:val="20"/>
        </w:rPr>
      </w:pPr>
    </w:p>
    <w:p w14:paraId="1C36C76A" w14:textId="04F355B2" w:rsidR="00551E86" w:rsidRPr="00551E86" w:rsidRDefault="00551E86" w:rsidP="00551E86">
      <w:pPr>
        <w:rPr>
          <w:rFonts w:ascii="Calibri" w:eastAsia="Calibri" w:hAnsi="Calibri" w:cs="Times New Roman"/>
          <w:i/>
          <w:sz w:val="20"/>
        </w:rPr>
      </w:pPr>
      <w:r w:rsidRPr="00551E86">
        <w:rPr>
          <w:rFonts w:ascii="Calibri" w:eastAsia="Calibri" w:hAnsi="Calibri" w:cs="Times New Roman"/>
          <w:i/>
          <w:sz w:val="20"/>
        </w:rPr>
        <w:t>Nicolás de Riva</w:t>
      </w:r>
      <w:r w:rsidR="00024DB4">
        <w:rPr>
          <w:rFonts w:ascii="Calibri" w:eastAsia="Calibri" w:hAnsi="Calibri" w:cs="Times New Roman"/>
          <w:i/>
          <w:sz w:val="20"/>
        </w:rPr>
        <w:t>,</w:t>
      </w:r>
      <w:r w:rsidRPr="00551E86">
        <w:rPr>
          <w:rFonts w:ascii="Calibri" w:eastAsia="Calibri" w:hAnsi="Calibri" w:cs="Times New Roman"/>
          <w:i/>
          <w:sz w:val="20"/>
        </w:rPr>
        <w:t xml:space="preserve"> M</w:t>
      </w:r>
      <w:r w:rsidR="00837F15">
        <w:rPr>
          <w:rFonts w:ascii="Calibri" w:eastAsia="Calibri" w:hAnsi="Calibri" w:cs="Times New Roman"/>
          <w:i/>
          <w:sz w:val="20"/>
        </w:rPr>
        <w:t>.</w:t>
      </w:r>
      <w:r w:rsidRPr="00551E86">
        <w:rPr>
          <w:rFonts w:ascii="Calibri" w:eastAsia="Calibri" w:hAnsi="Calibri" w:cs="Times New Roman"/>
          <w:i/>
          <w:sz w:val="20"/>
        </w:rPr>
        <w:t>D</w:t>
      </w:r>
      <w:r w:rsidR="00837F15">
        <w:rPr>
          <w:rFonts w:ascii="Calibri" w:eastAsia="Calibri" w:hAnsi="Calibri" w:cs="Times New Roman"/>
          <w:i/>
          <w:sz w:val="20"/>
        </w:rPr>
        <w:t>.</w:t>
      </w:r>
    </w:p>
    <w:p w14:paraId="7C8CEFE4"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 xml:space="preserve">Division of Neuroanesthesia </w:t>
      </w:r>
    </w:p>
    <w:p w14:paraId="45DBFB7C"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Dept. of Anesthesiology</w:t>
      </w:r>
    </w:p>
    <w:p w14:paraId="234B8F0D"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Universitat de Barcelona</w:t>
      </w:r>
    </w:p>
    <w:p w14:paraId="24BBB8BF"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 xml:space="preserve">Email: </w:t>
      </w:r>
      <w:hyperlink r:id="rId12" w:history="1">
        <w:r w:rsidRPr="00551E86">
          <w:rPr>
            <w:rFonts w:ascii="Calibri" w:eastAsia="Calibri" w:hAnsi="Calibri" w:cs="Times New Roman"/>
            <w:color w:val="0563C1"/>
            <w:sz w:val="20"/>
            <w:u w:val="single"/>
          </w:rPr>
          <w:t>nderiva@clinic.cat</w:t>
        </w:r>
      </w:hyperlink>
      <w:r w:rsidRPr="00551E86">
        <w:rPr>
          <w:rFonts w:ascii="Calibri" w:eastAsia="Calibri" w:hAnsi="Calibri" w:cs="Times New Roman"/>
          <w:sz w:val="20"/>
        </w:rPr>
        <w:t xml:space="preserve"> </w:t>
      </w:r>
    </w:p>
    <w:p w14:paraId="7636CDDD" w14:textId="77777777" w:rsidR="00837F15" w:rsidRPr="00551E86" w:rsidRDefault="00837F15" w:rsidP="00551E86">
      <w:pPr>
        <w:rPr>
          <w:rFonts w:ascii="Calibri" w:eastAsia="Calibri" w:hAnsi="Calibri" w:cs="Times New Roman"/>
        </w:rPr>
      </w:pPr>
    </w:p>
    <w:p w14:paraId="7E7CECFC" w14:textId="494351C6" w:rsidR="00551E86" w:rsidRPr="00551E86" w:rsidRDefault="00551E86" w:rsidP="00551E86">
      <w:pPr>
        <w:rPr>
          <w:rFonts w:ascii="Calibri" w:eastAsia="Calibri" w:hAnsi="Calibri" w:cs="Times New Roman"/>
          <w:i/>
          <w:sz w:val="20"/>
        </w:rPr>
      </w:pPr>
      <w:r w:rsidRPr="00551E86">
        <w:rPr>
          <w:rFonts w:ascii="Calibri" w:eastAsia="Calibri" w:hAnsi="Calibri" w:cs="Times New Roman"/>
          <w:i/>
          <w:sz w:val="20"/>
        </w:rPr>
        <w:t>Peter Smielewski</w:t>
      </w:r>
      <w:r w:rsidR="00837F15">
        <w:rPr>
          <w:rFonts w:ascii="Calibri" w:eastAsia="Calibri" w:hAnsi="Calibri" w:cs="Times New Roman"/>
          <w:i/>
          <w:sz w:val="20"/>
        </w:rPr>
        <w:t>,</w:t>
      </w:r>
      <w:r w:rsidRPr="00551E86">
        <w:rPr>
          <w:rFonts w:ascii="Calibri" w:eastAsia="Calibri" w:hAnsi="Calibri" w:cs="Times New Roman"/>
          <w:i/>
          <w:sz w:val="20"/>
        </w:rPr>
        <w:t xml:space="preserve"> Ph</w:t>
      </w:r>
      <w:r w:rsidR="00837F15">
        <w:rPr>
          <w:rFonts w:ascii="Calibri" w:eastAsia="Calibri" w:hAnsi="Calibri" w:cs="Times New Roman"/>
          <w:i/>
          <w:sz w:val="20"/>
        </w:rPr>
        <w:t>.</w:t>
      </w:r>
      <w:r w:rsidRPr="00551E86">
        <w:rPr>
          <w:rFonts w:ascii="Calibri" w:eastAsia="Calibri" w:hAnsi="Calibri" w:cs="Times New Roman"/>
          <w:i/>
          <w:sz w:val="20"/>
        </w:rPr>
        <w:t>D</w:t>
      </w:r>
      <w:r w:rsidR="00837F15">
        <w:rPr>
          <w:rFonts w:ascii="Calibri" w:eastAsia="Calibri" w:hAnsi="Calibri" w:cs="Times New Roman"/>
          <w:i/>
          <w:sz w:val="20"/>
        </w:rPr>
        <w:t>.</w:t>
      </w:r>
    </w:p>
    <w:p w14:paraId="199C8140"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Division of Neurosurgery</w:t>
      </w:r>
    </w:p>
    <w:p w14:paraId="241737EA"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Dept. of Clinical Neurosciences</w:t>
      </w:r>
    </w:p>
    <w:p w14:paraId="29C8C04F"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University of Cambridge</w:t>
      </w:r>
    </w:p>
    <w:p w14:paraId="1586684D"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 xml:space="preserve">Email: </w:t>
      </w:r>
      <w:hyperlink r:id="rId13" w:history="1">
        <w:r w:rsidRPr="00551E86">
          <w:rPr>
            <w:rFonts w:ascii="Calibri" w:eastAsia="Calibri" w:hAnsi="Calibri" w:cs="Times New Roman"/>
            <w:color w:val="0563C1"/>
            <w:sz w:val="20"/>
            <w:u w:val="single"/>
          </w:rPr>
          <w:t>ps10011@cam.ac.uk</w:t>
        </w:r>
      </w:hyperlink>
    </w:p>
    <w:p w14:paraId="605BFE07" w14:textId="77777777" w:rsidR="00551E86" w:rsidRPr="00551E86" w:rsidRDefault="00551E86" w:rsidP="00551E86">
      <w:pPr>
        <w:rPr>
          <w:rFonts w:ascii="Calibri" w:eastAsia="Calibri" w:hAnsi="Calibri" w:cs="Times New Roman"/>
          <w:i/>
          <w:sz w:val="20"/>
        </w:rPr>
      </w:pPr>
    </w:p>
    <w:p w14:paraId="442D4B41" w14:textId="4B904E6D" w:rsidR="00551E86" w:rsidRPr="00551E86" w:rsidRDefault="00551E86" w:rsidP="00551E86">
      <w:pPr>
        <w:rPr>
          <w:rFonts w:ascii="Calibri" w:eastAsia="Calibri" w:hAnsi="Calibri" w:cs="Times New Roman"/>
          <w:i/>
          <w:sz w:val="20"/>
        </w:rPr>
      </w:pPr>
      <w:r w:rsidRPr="00551E86">
        <w:rPr>
          <w:rFonts w:ascii="Calibri" w:eastAsia="Calibri" w:hAnsi="Calibri" w:cs="Times New Roman"/>
          <w:i/>
          <w:sz w:val="20"/>
        </w:rPr>
        <w:lastRenderedPageBreak/>
        <w:t>Marek Czosnyk</w:t>
      </w:r>
      <w:r w:rsidR="00837F15">
        <w:rPr>
          <w:rFonts w:ascii="Calibri" w:eastAsia="Calibri" w:hAnsi="Calibri" w:cs="Times New Roman"/>
          <w:i/>
          <w:sz w:val="20"/>
        </w:rPr>
        <w:t>a,</w:t>
      </w:r>
      <w:r w:rsidRPr="00551E86">
        <w:rPr>
          <w:rFonts w:ascii="Calibri" w:eastAsia="Calibri" w:hAnsi="Calibri" w:cs="Times New Roman"/>
          <w:i/>
          <w:sz w:val="20"/>
        </w:rPr>
        <w:t xml:space="preserve"> Ph</w:t>
      </w:r>
      <w:r w:rsidR="00837F15">
        <w:rPr>
          <w:rFonts w:ascii="Calibri" w:eastAsia="Calibri" w:hAnsi="Calibri" w:cs="Times New Roman"/>
          <w:i/>
          <w:sz w:val="20"/>
        </w:rPr>
        <w:t>.</w:t>
      </w:r>
      <w:r w:rsidRPr="00551E86">
        <w:rPr>
          <w:rFonts w:ascii="Calibri" w:eastAsia="Calibri" w:hAnsi="Calibri" w:cs="Times New Roman"/>
          <w:i/>
          <w:sz w:val="20"/>
        </w:rPr>
        <w:t>D</w:t>
      </w:r>
      <w:r w:rsidR="00837F15">
        <w:rPr>
          <w:rFonts w:ascii="Calibri" w:eastAsia="Calibri" w:hAnsi="Calibri" w:cs="Times New Roman"/>
          <w:i/>
          <w:sz w:val="20"/>
        </w:rPr>
        <w:t>.</w:t>
      </w:r>
    </w:p>
    <w:p w14:paraId="18ACC7FE"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Professor of Brain Physics</w:t>
      </w:r>
    </w:p>
    <w:p w14:paraId="37812AC6"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Division of Neurosurgery</w:t>
      </w:r>
    </w:p>
    <w:p w14:paraId="7152BD0D"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 xml:space="preserve">Dept. of Clinical Neurosciences </w:t>
      </w:r>
    </w:p>
    <w:p w14:paraId="0E2B94BC" w14:textId="7777777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University of Cambridge</w:t>
      </w:r>
    </w:p>
    <w:p w14:paraId="38F5B143" w14:textId="4CFA8127" w:rsidR="00551E86" w:rsidRPr="00551E86" w:rsidRDefault="00551E86" w:rsidP="00551E86">
      <w:pPr>
        <w:rPr>
          <w:rFonts w:ascii="Calibri" w:eastAsia="Calibri" w:hAnsi="Calibri" w:cs="Times New Roman"/>
          <w:sz w:val="20"/>
        </w:rPr>
      </w:pPr>
      <w:r w:rsidRPr="00551E86">
        <w:rPr>
          <w:rFonts w:ascii="Calibri" w:eastAsia="Calibri" w:hAnsi="Calibri" w:cs="Times New Roman"/>
          <w:sz w:val="20"/>
        </w:rPr>
        <w:t xml:space="preserve">Email: </w:t>
      </w:r>
      <w:hyperlink r:id="rId14" w:history="1">
        <w:r w:rsidRPr="00551E86">
          <w:rPr>
            <w:rFonts w:ascii="Calibri" w:eastAsia="Calibri" w:hAnsi="Calibri" w:cs="Times New Roman"/>
            <w:color w:val="0563C1"/>
            <w:sz w:val="20"/>
            <w:u w:val="single"/>
          </w:rPr>
          <w:t>mc141@medschl.cam.ac.uk</w:t>
        </w:r>
      </w:hyperlink>
    </w:p>
    <w:p w14:paraId="7107B365" w14:textId="4F29EB09" w:rsidR="00762C1E" w:rsidRDefault="00762C1E" w:rsidP="00762C1E">
      <w:pPr>
        <w:rPr>
          <w:rFonts w:ascii="Calibri" w:eastAsia="Calibri" w:hAnsi="Calibri" w:cs="Times New Roman"/>
          <w:i/>
          <w:sz w:val="20"/>
        </w:rPr>
      </w:pPr>
    </w:p>
    <w:p w14:paraId="162AA239" w14:textId="7C9E1209" w:rsidR="00DE4BAF" w:rsidRDefault="00DE4BAF" w:rsidP="00762C1E">
      <w:pPr>
        <w:rPr>
          <w:rFonts w:ascii="Calibri" w:eastAsia="Calibri" w:hAnsi="Calibri" w:cs="Times New Roman"/>
          <w:b/>
          <w:u w:val="single"/>
        </w:rPr>
      </w:pPr>
    </w:p>
    <w:p w14:paraId="5726DF5A" w14:textId="77777777" w:rsidR="00DE4BAF" w:rsidRDefault="00DE4BAF" w:rsidP="00762C1E">
      <w:pPr>
        <w:rPr>
          <w:rFonts w:ascii="Calibri" w:eastAsia="Calibri" w:hAnsi="Calibri" w:cs="Times New Roman"/>
          <w:b/>
          <w:u w:val="single"/>
        </w:rPr>
      </w:pPr>
    </w:p>
    <w:p w14:paraId="1F15E9D7" w14:textId="5F5C3FC8" w:rsidR="00E07A68" w:rsidRDefault="00551E86" w:rsidP="00020ABC">
      <w:pPr>
        <w:spacing w:line="480" w:lineRule="auto"/>
      </w:pPr>
      <w:r w:rsidRPr="00762C1E">
        <w:rPr>
          <w:rFonts w:ascii="Calibri" w:eastAsia="Calibri" w:hAnsi="Calibri" w:cs="Times New Roman"/>
          <w:b/>
          <w:u w:val="single"/>
        </w:rPr>
        <w:t>Abstract:</w:t>
      </w:r>
    </w:p>
    <w:p w14:paraId="0D11F6FD" w14:textId="77777777" w:rsidR="00551E86" w:rsidRPr="00551E86" w:rsidRDefault="00551E86" w:rsidP="00020ABC">
      <w:pPr>
        <w:spacing w:line="480" w:lineRule="auto"/>
        <w:rPr>
          <w:rFonts w:ascii="Calibri" w:eastAsia="Calibri" w:hAnsi="Calibri" w:cs="Times New Roman"/>
          <w:b/>
          <w:highlight w:val="red"/>
          <w:u w:val="single"/>
        </w:rPr>
      </w:pPr>
    </w:p>
    <w:p w14:paraId="16753ED0" w14:textId="1B0B6C3A" w:rsidR="00D47996" w:rsidRDefault="00551E86" w:rsidP="00020ABC">
      <w:pPr>
        <w:spacing w:line="480" w:lineRule="auto"/>
      </w:pPr>
      <w:r w:rsidRPr="004D6778">
        <w:rPr>
          <w:rFonts w:ascii="Calibri" w:eastAsia="Calibri" w:hAnsi="Calibri" w:cs="Times New Roman"/>
          <w:b/>
          <w:i/>
        </w:rPr>
        <w:t>Objective:</w:t>
      </w:r>
      <w:r w:rsidRPr="004D6778">
        <w:rPr>
          <w:rFonts w:ascii="Calibri" w:eastAsia="Calibri" w:hAnsi="Calibri" w:cs="Times New Roman"/>
        </w:rPr>
        <w:t xml:space="preserve"> </w:t>
      </w:r>
      <w:r w:rsidR="00D47996">
        <w:t xml:space="preserve"> Mathematical modeling of cerebral hemodynamics</w:t>
      </w:r>
      <w:r w:rsidR="004229D8">
        <w:t xml:space="preserve"> </w:t>
      </w:r>
      <w:r w:rsidR="009812A2">
        <w:t>by</w:t>
      </w:r>
      <w:r w:rsidR="004229D8">
        <w:t xml:space="preserve"> </w:t>
      </w:r>
      <w:r w:rsidR="00D47996">
        <w:t>descriptive equations</w:t>
      </w:r>
      <w:r w:rsidR="005D1B01">
        <w:t xml:space="preserve"> </w:t>
      </w:r>
      <w:r w:rsidR="00D62F4D">
        <w:t xml:space="preserve">can </w:t>
      </w:r>
      <w:r w:rsidR="005D1B01">
        <w:t>estimate</w:t>
      </w:r>
      <w:r w:rsidR="00D47164">
        <w:t xml:space="preserve"> </w:t>
      </w:r>
      <w:r w:rsidR="008A406C">
        <w:t xml:space="preserve">the underlying pulsatile component of cerebral arterial blood volume (CaBV). </w:t>
      </w:r>
      <w:r w:rsidR="000F46E8">
        <w:t>This way</w:t>
      </w:r>
      <w:r w:rsidR="00D47164">
        <w:t>,</w:t>
      </w:r>
      <w:r w:rsidR="000F46E8">
        <w:t xml:space="preserve"> clinical monitoring </w:t>
      </w:r>
      <w:r w:rsidR="008A406C">
        <w:t>of</w:t>
      </w:r>
      <w:r w:rsidR="006D51E4">
        <w:t xml:space="preserve"> </w:t>
      </w:r>
      <w:r w:rsidR="000F46E8">
        <w:t xml:space="preserve">changes in </w:t>
      </w:r>
      <w:r w:rsidR="006D51E4">
        <w:t xml:space="preserve">cerebral compartmental compliances </w:t>
      </w:r>
      <w:r w:rsidR="008A406C">
        <w:t>becomes possible</w:t>
      </w:r>
      <w:r w:rsidR="00EE1C8F">
        <w:t>. Our aim is to</w:t>
      </w:r>
      <w:r w:rsidR="006D51E4">
        <w:t xml:space="preserve"> </w:t>
      </w:r>
      <w:r w:rsidR="00D47996">
        <w:t xml:space="preserve">validate </w:t>
      </w:r>
      <w:r w:rsidR="005D1B01">
        <w:t xml:space="preserve">the most adequate method </w:t>
      </w:r>
      <w:r w:rsidR="008A406C">
        <w:t>of CaBV estimation</w:t>
      </w:r>
      <w:r w:rsidR="00D47996">
        <w:t xml:space="preserve"> in neurocritical care.</w:t>
      </w:r>
    </w:p>
    <w:p w14:paraId="11734065" w14:textId="27634102" w:rsidR="00551E86" w:rsidRPr="000E27E2" w:rsidRDefault="00A13B19" w:rsidP="00020ABC">
      <w:pPr>
        <w:spacing w:line="480" w:lineRule="auto"/>
        <w:rPr>
          <w:rFonts w:ascii="Calibri" w:eastAsia="Calibri" w:hAnsi="Calibri" w:cs="Times New Roman"/>
          <w:highlight w:val="red"/>
        </w:rPr>
      </w:pPr>
      <w:r>
        <w:rPr>
          <w:rFonts w:ascii="Calibri" w:eastAsia="Calibri" w:hAnsi="Calibri" w:cs="Times New Roman"/>
          <w:b/>
          <w:i/>
        </w:rPr>
        <w:t>Approach</w:t>
      </w:r>
      <w:r w:rsidR="00551E86" w:rsidRPr="00D06739">
        <w:rPr>
          <w:rFonts w:ascii="Calibri" w:eastAsia="Calibri" w:hAnsi="Calibri" w:cs="Times New Roman"/>
          <w:b/>
          <w:i/>
        </w:rPr>
        <w:t>:</w:t>
      </w:r>
      <w:r w:rsidR="00551E86" w:rsidRPr="00D06739">
        <w:rPr>
          <w:rFonts w:ascii="Calibri" w:eastAsia="Calibri" w:hAnsi="Calibri" w:cs="Times New Roman"/>
        </w:rPr>
        <w:t xml:space="preserve"> </w:t>
      </w:r>
      <w:r w:rsidR="001D7A3D">
        <w:rPr>
          <w:rFonts w:ascii="Calibri" w:eastAsia="Calibri" w:hAnsi="Calibri" w:cs="Times New Roman"/>
        </w:rPr>
        <w:t>We retrospectively reviewed p</w:t>
      </w:r>
      <w:r w:rsidR="00551E86" w:rsidRPr="00D06739">
        <w:rPr>
          <w:rFonts w:ascii="Calibri" w:eastAsia="Calibri" w:hAnsi="Calibri" w:cs="Times New Roman"/>
        </w:rPr>
        <w:t>atients</w:t>
      </w:r>
      <w:r w:rsidR="002D5F51">
        <w:rPr>
          <w:rFonts w:ascii="Calibri" w:eastAsia="Calibri" w:hAnsi="Calibri" w:cs="Times New Roman"/>
        </w:rPr>
        <w:t xml:space="preserve"> </w:t>
      </w:r>
      <w:r w:rsidR="00551E86" w:rsidRPr="00D06739">
        <w:rPr>
          <w:rFonts w:ascii="Calibri" w:eastAsia="Calibri" w:hAnsi="Calibri" w:cs="Times New Roman"/>
        </w:rPr>
        <w:t xml:space="preserve">with severe </w:t>
      </w:r>
      <w:r w:rsidR="002D5F51">
        <w:rPr>
          <w:rFonts w:ascii="Calibri" w:eastAsia="Calibri" w:hAnsi="Calibri" w:cs="Times New Roman"/>
        </w:rPr>
        <w:t>traumatic brain injury (</w:t>
      </w:r>
      <w:r w:rsidR="00551E86" w:rsidRPr="00D06739">
        <w:rPr>
          <w:rFonts w:ascii="Calibri" w:eastAsia="Calibri" w:hAnsi="Calibri" w:cs="Times New Roman"/>
        </w:rPr>
        <w:t>TBI</w:t>
      </w:r>
      <w:r w:rsidR="002D5F51">
        <w:rPr>
          <w:rFonts w:ascii="Calibri" w:eastAsia="Calibri" w:hAnsi="Calibri" w:cs="Times New Roman"/>
        </w:rPr>
        <w:t>)</w:t>
      </w:r>
      <w:r w:rsidR="00551E86" w:rsidRPr="00D06739">
        <w:rPr>
          <w:rFonts w:ascii="Calibri" w:eastAsia="Calibri" w:hAnsi="Calibri" w:cs="Times New Roman"/>
        </w:rPr>
        <w:t xml:space="preserve"> </w:t>
      </w:r>
      <w:r w:rsidR="001D7A3D">
        <w:rPr>
          <w:rFonts w:ascii="Calibri" w:eastAsia="Calibri" w:hAnsi="Calibri" w:cs="Times New Roman"/>
        </w:rPr>
        <w:t xml:space="preserve">[admitted from 1992-2012] </w:t>
      </w:r>
      <w:r w:rsidR="00551E86" w:rsidRPr="00D06739">
        <w:rPr>
          <w:rFonts w:ascii="Calibri" w:eastAsia="Calibri" w:hAnsi="Calibri" w:cs="Times New Roman"/>
        </w:rPr>
        <w:t xml:space="preserve">and continuous </w:t>
      </w:r>
      <w:r w:rsidR="002D5F51">
        <w:rPr>
          <w:rFonts w:ascii="Calibri" w:eastAsia="Calibri" w:hAnsi="Calibri" w:cs="Times New Roman"/>
        </w:rPr>
        <w:t>transcranial Doppler (</w:t>
      </w:r>
      <w:r w:rsidR="00551E86" w:rsidRPr="00D06739">
        <w:rPr>
          <w:rFonts w:ascii="Calibri" w:eastAsia="Calibri" w:hAnsi="Calibri" w:cs="Times New Roman"/>
        </w:rPr>
        <w:t>TCD</w:t>
      </w:r>
      <w:r w:rsidR="002D5F51">
        <w:rPr>
          <w:rFonts w:ascii="Calibri" w:eastAsia="Calibri" w:hAnsi="Calibri" w:cs="Times New Roman"/>
        </w:rPr>
        <w:t>)</w:t>
      </w:r>
      <w:r w:rsidR="00551E86" w:rsidRPr="00D06739">
        <w:rPr>
          <w:rFonts w:ascii="Calibri" w:eastAsia="Calibri" w:hAnsi="Calibri" w:cs="Times New Roman"/>
        </w:rPr>
        <w:t xml:space="preserve"> monitoring</w:t>
      </w:r>
      <w:r w:rsidR="00C64BC6">
        <w:rPr>
          <w:rFonts w:ascii="Calibri" w:eastAsia="Calibri" w:hAnsi="Calibri" w:cs="Times New Roman"/>
        </w:rPr>
        <w:t xml:space="preserve"> of cerebral blood flow velocity (FV)</w:t>
      </w:r>
      <w:r w:rsidR="00551E86" w:rsidRPr="00D06739">
        <w:rPr>
          <w:rFonts w:ascii="Calibri" w:eastAsia="Calibri" w:hAnsi="Calibri" w:cs="Times New Roman"/>
        </w:rPr>
        <w:t xml:space="preserve"> displaying either plateau waves</w:t>
      </w:r>
      <w:r w:rsidR="00D06739" w:rsidRPr="00D06739">
        <w:rPr>
          <w:rFonts w:ascii="Calibri" w:eastAsia="Calibri" w:hAnsi="Calibri" w:cs="Times New Roman"/>
        </w:rPr>
        <w:t xml:space="preserve"> of</w:t>
      </w:r>
      <w:r w:rsidR="002D5F51">
        <w:rPr>
          <w:rFonts w:ascii="Calibri" w:eastAsia="Calibri" w:hAnsi="Calibri" w:cs="Times New Roman"/>
        </w:rPr>
        <w:t xml:space="preserve"> intracranial pressure</w:t>
      </w:r>
      <w:r w:rsidR="00D06739" w:rsidRPr="00D06739">
        <w:rPr>
          <w:rFonts w:ascii="Calibri" w:eastAsia="Calibri" w:hAnsi="Calibri" w:cs="Times New Roman"/>
        </w:rPr>
        <w:t xml:space="preserve"> </w:t>
      </w:r>
      <w:r w:rsidR="002D5F51">
        <w:rPr>
          <w:rFonts w:ascii="Calibri" w:eastAsia="Calibri" w:hAnsi="Calibri" w:cs="Times New Roman"/>
        </w:rPr>
        <w:t>(</w:t>
      </w:r>
      <w:r w:rsidR="00D06739" w:rsidRPr="00D06739">
        <w:rPr>
          <w:rFonts w:ascii="Calibri" w:eastAsia="Calibri" w:hAnsi="Calibri" w:cs="Times New Roman"/>
        </w:rPr>
        <w:t>ICP</w:t>
      </w:r>
      <w:r w:rsidR="002D5F51">
        <w:rPr>
          <w:rFonts w:ascii="Calibri" w:eastAsia="Calibri" w:hAnsi="Calibri" w:cs="Times New Roman"/>
        </w:rPr>
        <w:t>)</w:t>
      </w:r>
      <w:r w:rsidR="00D06739" w:rsidRPr="00D06739">
        <w:rPr>
          <w:rFonts w:ascii="Calibri" w:eastAsia="Calibri" w:hAnsi="Calibri" w:cs="Times New Roman"/>
        </w:rPr>
        <w:t xml:space="preserve">, episodes of </w:t>
      </w:r>
      <w:r w:rsidR="000E27E2">
        <w:rPr>
          <w:rFonts w:ascii="Calibri" w:eastAsia="Calibri" w:hAnsi="Calibri" w:cs="Times New Roman"/>
        </w:rPr>
        <w:t xml:space="preserve">controlled, mild </w:t>
      </w:r>
      <w:r w:rsidR="00D06739" w:rsidRPr="00D06739">
        <w:rPr>
          <w:rFonts w:ascii="Calibri" w:eastAsia="Calibri" w:hAnsi="Calibri" w:cs="Times New Roman"/>
        </w:rPr>
        <w:t>hypocapnia, or</w:t>
      </w:r>
      <w:r w:rsidR="006D51E4">
        <w:rPr>
          <w:rFonts w:ascii="Calibri" w:eastAsia="Calibri" w:hAnsi="Calibri" w:cs="Times New Roman"/>
        </w:rPr>
        <w:t xml:space="preserve"> vasopressor-induced increases in</w:t>
      </w:r>
      <w:r w:rsidR="00D06739" w:rsidRPr="00D06739">
        <w:rPr>
          <w:rFonts w:ascii="Calibri" w:eastAsia="Calibri" w:hAnsi="Calibri" w:cs="Times New Roman"/>
        </w:rPr>
        <w:t xml:space="preserve"> </w:t>
      </w:r>
      <w:r w:rsidR="002D5F51">
        <w:rPr>
          <w:rFonts w:ascii="Calibri" w:eastAsia="Calibri" w:hAnsi="Calibri" w:cs="Times New Roman"/>
        </w:rPr>
        <w:t>arterial blood pressure (</w:t>
      </w:r>
      <w:r w:rsidR="00D06739" w:rsidRPr="00D06739">
        <w:rPr>
          <w:rFonts w:ascii="Calibri" w:eastAsia="Calibri" w:hAnsi="Calibri" w:cs="Times New Roman"/>
        </w:rPr>
        <w:t>ABP</w:t>
      </w:r>
      <w:r w:rsidR="001D7A3D">
        <w:rPr>
          <w:rFonts w:ascii="Calibri" w:eastAsia="Calibri" w:hAnsi="Calibri" w:cs="Times New Roman"/>
        </w:rPr>
        <w:t>)</w:t>
      </w:r>
      <w:r w:rsidR="00D06739">
        <w:rPr>
          <w:rFonts w:ascii="Calibri" w:eastAsia="Calibri" w:hAnsi="Calibri" w:cs="Times New Roman"/>
        </w:rPr>
        <w:t xml:space="preserve">. </w:t>
      </w:r>
      <w:r w:rsidR="000E27E2">
        <w:rPr>
          <w:rFonts w:ascii="Calibri" w:eastAsia="Calibri" w:hAnsi="Calibri" w:cs="Times New Roman"/>
        </w:rPr>
        <w:t>Each cohort was analyzed</w:t>
      </w:r>
      <w:r w:rsidR="00592749">
        <w:rPr>
          <w:rFonts w:ascii="Calibri" w:eastAsia="Calibri" w:hAnsi="Calibri" w:cs="Times New Roman"/>
        </w:rPr>
        <w:t xml:space="preserve"> with continuous flow forward (CFF</w:t>
      </w:r>
      <w:r w:rsidR="007C57DF">
        <w:rPr>
          <w:rFonts w:ascii="Calibri" w:eastAsia="Calibri" w:hAnsi="Calibri" w:cs="Times New Roman"/>
        </w:rPr>
        <w:t>,</w:t>
      </w:r>
      <w:r w:rsidR="00FC0855">
        <w:rPr>
          <w:rFonts w:ascii="Calibri" w:eastAsia="Calibri" w:hAnsi="Calibri" w:cs="Times New Roman"/>
        </w:rPr>
        <w:t xml:space="preserve"> </w:t>
      </w:r>
      <w:r w:rsidR="000E27E2">
        <w:rPr>
          <w:rFonts w:ascii="Calibri" w:eastAsia="Calibri" w:hAnsi="Calibri" w:cs="Times New Roman"/>
        </w:rPr>
        <w:t>pulsatile blood inflow and steady blood outflow</w:t>
      </w:r>
      <w:r w:rsidR="00592749">
        <w:rPr>
          <w:rFonts w:ascii="Calibri" w:eastAsia="Calibri" w:hAnsi="Calibri" w:cs="Times New Roman"/>
        </w:rPr>
        <w:t>) or pulsatile flow forward (PFF</w:t>
      </w:r>
      <w:r w:rsidR="00FC0855">
        <w:rPr>
          <w:rFonts w:ascii="Calibri" w:eastAsia="Calibri" w:hAnsi="Calibri" w:cs="Times New Roman"/>
        </w:rPr>
        <w:t>,</w:t>
      </w:r>
      <w:r w:rsidR="000E27E2">
        <w:rPr>
          <w:rFonts w:ascii="Calibri" w:eastAsia="Calibri" w:hAnsi="Calibri" w:cs="Times New Roman"/>
        </w:rPr>
        <w:t xml:space="preserve"> both blood inflow and outflow are pulsatile) modeling approaches </w:t>
      </w:r>
      <w:r w:rsidR="001D7A3D">
        <w:rPr>
          <w:rFonts w:ascii="Calibri" w:eastAsia="Calibri" w:hAnsi="Calibri" w:cs="Times New Roman"/>
        </w:rPr>
        <w:t>for estimating the</w:t>
      </w:r>
      <w:r w:rsidR="000E27E2">
        <w:rPr>
          <w:rFonts w:ascii="Calibri" w:eastAsia="Calibri" w:hAnsi="Calibri" w:cs="Times New Roman"/>
        </w:rPr>
        <w:t xml:space="preserve"> pulse component of CaBV</w:t>
      </w:r>
      <w:r w:rsidR="00592749">
        <w:rPr>
          <w:rFonts w:ascii="Calibri" w:eastAsia="Calibri" w:hAnsi="Calibri" w:cs="Times New Roman"/>
        </w:rPr>
        <w:t xml:space="preserve">. </w:t>
      </w:r>
      <w:r w:rsidR="005B1EDB">
        <w:rPr>
          <w:rFonts w:ascii="Calibri" w:eastAsia="Calibri" w:hAnsi="Calibri" w:cs="Times New Roman"/>
        </w:rPr>
        <w:t>Spectral pulsatility index (s</w:t>
      </w:r>
      <w:r w:rsidR="000E27E2">
        <w:rPr>
          <w:rFonts w:ascii="Calibri" w:eastAsia="Calibri" w:hAnsi="Calibri" w:cs="Times New Roman"/>
        </w:rPr>
        <w:t>PI</w:t>
      </w:r>
      <w:r w:rsidR="001D7A3D">
        <w:rPr>
          <w:rFonts w:ascii="Calibri" w:eastAsia="Calibri" w:hAnsi="Calibri" w:cs="Times New Roman"/>
        </w:rPr>
        <w:t>, the first harmonic of the FV pulse</w:t>
      </w:r>
      <w:r w:rsidR="009F09B5">
        <w:rPr>
          <w:rFonts w:ascii="Calibri" w:eastAsia="Calibri" w:hAnsi="Calibri" w:cs="Times New Roman"/>
        </w:rPr>
        <w:t>/</w:t>
      </w:r>
      <w:r w:rsidR="001D7A3D">
        <w:rPr>
          <w:rFonts w:ascii="Calibri" w:eastAsia="Calibri" w:hAnsi="Calibri" w:cs="Times New Roman"/>
        </w:rPr>
        <w:t>mean FV</w:t>
      </w:r>
      <w:r w:rsidR="005B1EDB">
        <w:rPr>
          <w:rFonts w:ascii="Calibri" w:eastAsia="Calibri" w:hAnsi="Calibri" w:cs="Times New Roman"/>
        </w:rPr>
        <w:t>)</w:t>
      </w:r>
      <w:r w:rsidR="000E27E2">
        <w:rPr>
          <w:rFonts w:ascii="Calibri" w:eastAsia="Calibri" w:hAnsi="Calibri" w:cs="Times New Roman"/>
        </w:rPr>
        <w:t xml:space="preserve"> can be estimated</w:t>
      </w:r>
      <w:r w:rsidR="004657FF">
        <w:rPr>
          <w:rFonts w:ascii="Calibri" w:eastAsia="Calibri" w:hAnsi="Calibri" w:cs="Times New Roman"/>
        </w:rPr>
        <w:t xml:space="preserve"> </w:t>
      </w:r>
      <w:r w:rsidR="000E27E2">
        <w:rPr>
          <w:rFonts w:ascii="Calibri" w:eastAsia="Calibri" w:hAnsi="Calibri" w:cs="Times New Roman"/>
        </w:rPr>
        <w:t>using the compliance of the vascular bed (Ca) and the cerebrovascular resistance (</w:t>
      </w:r>
      <w:r w:rsidR="00533C98">
        <w:rPr>
          <w:rFonts w:ascii="Calibri" w:eastAsia="Calibri" w:hAnsi="Calibri" w:cs="Times New Roman"/>
        </w:rPr>
        <w:t xml:space="preserve">CVR – here, </w:t>
      </w:r>
      <w:r w:rsidR="000E27E2">
        <w:rPr>
          <w:rFonts w:ascii="Calibri" w:eastAsia="Calibri" w:hAnsi="Calibri" w:cs="Times New Roman"/>
        </w:rPr>
        <w:t xml:space="preserve">Ra). We compared three possible methods </w:t>
      </w:r>
      <w:r w:rsidR="00D9310A">
        <w:rPr>
          <w:rFonts w:ascii="Calibri" w:eastAsia="Calibri" w:hAnsi="Calibri" w:cs="Times New Roman"/>
        </w:rPr>
        <w:t xml:space="preserve">of </w:t>
      </w:r>
      <w:r w:rsidR="000E27E2">
        <w:rPr>
          <w:rFonts w:ascii="Calibri" w:eastAsia="Calibri" w:hAnsi="Calibri" w:cs="Times New Roman"/>
        </w:rPr>
        <w:t>assessing Ca (C1</w:t>
      </w:r>
      <w:r w:rsidR="006D51E4">
        <w:rPr>
          <w:rFonts w:ascii="Calibri" w:eastAsia="Calibri" w:hAnsi="Calibri" w:cs="Times New Roman"/>
        </w:rPr>
        <w:t xml:space="preserve">: the </w:t>
      </w:r>
      <w:r w:rsidR="000E27E2">
        <w:rPr>
          <w:rFonts w:ascii="Calibri" w:eastAsia="Calibri" w:hAnsi="Calibri" w:cs="Times New Roman"/>
        </w:rPr>
        <w:t>CFF</w:t>
      </w:r>
      <w:r w:rsidR="006D51E4">
        <w:rPr>
          <w:rFonts w:ascii="Calibri" w:eastAsia="Calibri" w:hAnsi="Calibri" w:cs="Times New Roman"/>
        </w:rPr>
        <w:t xml:space="preserve"> model</w:t>
      </w:r>
      <w:r w:rsidR="000E27E2">
        <w:rPr>
          <w:rFonts w:ascii="Calibri" w:eastAsia="Calibri" w:hAnsi="Calibri" w:cs="Times New Roman"/>
        </w:rPr>
        <w:t>, C2</w:t>
      </w:r>
      <w:r w:rsidR="006D51E4">
        <w:rPr>
          <w:rFonts w:ascii="Calibri" w:eastAsia="Calibri" w:hAnsi="Calibri" w:cs="Times New Roman"/>
        </w:rPr>
        <w:t xml:space="preserve"> and C</w:t>
      </w:r>
      <w:r w:rsidR="000E27E2">
        <w:rPr>
          <w:rFonts w:ascii="Calibri" w:eastAsia="Calibri" w:hAnsi="Calibri" w:cs="Times New Roman"/>
        </w:rPr>
        <w:t>3</w:t>
      </w:r>
      <w:r w:rsidR="006D51E4">
        <w:rPr>
          <w:rFonts w:ascii="Calibri" w:eastAsia="Calibri" w:hAnsi="Calibri" w:cs="Times New Roman"/>
        </w:rPr>
        <w:t>:</w:t>
      </w:r>
      <w:r w:rsidR="000E27E2">
        <w:rPr>
          <w:rFonts w:ascii="Calibri" w:eastAsia="Calibri" w:hAnsi="Calibri" w:cs="Times New Roman"/>
        </w:rPr>
        <w:t xml:space="preserve"> </w:t>
      </w:r>
      <w:r w:rsidR="006D51E4">
        <w:rPr>
          <w:rFonts w:ascii="Calibri" w:eastAsia="Calibri" w:hAnsi="Calibri" w:cs="Times New Roman"/>
        </w:rPr>
        <w:t xml:space="preserve">the </w:t>
      </w:r>
      <w:r w:rsidR="000E27E2">
        <w:rPr>
          <w:rFonts w:ascii="Calibri" w:eastAsia="Calibri" w:hAnsi="Calibri" w:cs="Times New Roman"/>
        </w:rPr>
        <w:t>PFF model</w:t>
      </w:r>
      <w:r w:rsidR="006D51E4">
        <w:rPr>
          <w:rFonts w:ascii="Calibri" w:eastAsia="Calibri" w:hAnsi="Calibri" w:cs="Times New Roman"/>
        </w:rPr>
        <w:t>s</w:t>
      </w:r>
      <w:r w:rsidR="000E27E2">
        <w:rPr>
          <w:rFonts w:ascii="Calibri" w:eastAsia="Calibri" w:hAnsi="Calibri" w:cs="Times New Roman"/>
        </w:rPr>
        <w:t xml:space="preserve"> based on ABP or cerebral perfusion pressure (CPP) pulsations, respectively)</w:t>
      </w:r>
      <w:r w:rsidR="005D1B01">
        <w:rPr>
          <w:rFonts w:ascii="Calibri" w:eastAsia="Calibri" w:hAnsi="Calibri" w:cs="Times New Roman"/>
        </w:rPr>
        <w:t xml:space="preserve"> and combined them </w:t>
      </w:r>
      <w:r w:rsidR="000E27E2">
        <w:rPr>
          <w:rFonts w:ascii="Calibri" w:eastAsia="Calibri" w:hAnsi="Calibri" w:cs="Times New Roman"/>
        </w:rPr>
        <w:lastRenderedPageBreak/>
        <w:t>with three possible methods of assessing Ra (R</w:t>
      </w:r>
      <w:r w:rsidR="00D2259D">
        <w:rPr>
          <w:rFonts w:ascii="Calibri" w:eastAsia="Calibri" w:hAnsi="Calibri" w:cs="Times New Roman"/>
        </w:rPr>
        <w:t>a</w:t>
      </w:r>
      <w:r w:rsidR="000E27E2">
        <w:rPr>
          <w:rFonts w:ascii="Calibri" w:eastAsia="Calibri" w:hAnsi="Calibri" w:cs="Times New Roman"/>
        </w:rPr>
        <w:t>1= ABP/FV, R</w:t>
      </w:r>
      <w:r w:rsidR="00D2259D">
        <w:rPr>
          <w:rFonts w:ascii="Calibri" w:eastAsia="Calibri" w:hAnsi="Calibri" w:cs="Times New Roman"/>
        </w:rPr>
        <w:t>a</w:t>
      </w:r>
      <w:r w:rsidR="000E27E2">
        <w:rPr>
          <w:rFonts w:ascii="Calibri" w:eastAsia="Calibri" w:hAnsi="Calibri" w:cs="Times New Roman"/>
        </w:rPr>
        <w:t xml:space="preserve">2= </w:t>
      </w:r>
      <w:r w:rsidR="006D51E4">
        <w:rPr>
          <w:rFonts w:ascii="Calibri" w:eastAsia="Calibri" w:hAnsi="Calibri" w:cs="Times New Roman"/>
        </w:rPr>
        <w:t>the resistance area product</w:t>
      </w:r>
      <w:r w:rsidR="000E27E2">
        <w:rPr>
          <w:rFonts w:ascii="Calibri" w:eastAsia="Calibri" w:hAnsi="Calibri" w:cs="Times New Roman"/>
        </w:rPr>
        <w:t>, and R</w:t>
      </w:r>
      <w:r w:rsidR="00D2259D">
        <w:rPr>
          <w:rFonts w:ascii="Calibri" w:eastAsia="Calibri" w:hAnsi="Calibri" w:cs="Times New Roman"/>
        </w:rPr>
        <w:t>a</w:t>
      </w:r>
      <w:r w:rsidR="000E27E2">
        <w:rPr>
          <w:rFonts w:ascii="Calibri" w:eastAsia="Calibri" w:hAnsi="Calibri" w:cs="Times New Roman"/>
        </w:rPr>
        <w:t xml:space="preserve">3= CPP/FV). </w:t>
      </w:r>
      <w:r w:rsidR="006E09E8">
        <w:rPr>
          <w:rFonts w:ascii="Calibri" w:eastAsia="Calibri" w:hAnsi="Calibri" w:cs="Times New Roman"/>
        </w:rPr>
        <w:t>L</w:t>
      </w:r>
      <w:r w:rsidR="005D1B01">
        <w:rPr>
          <w:rFonts w:ascii="Calibri" w:eastAsia="Calibri" w:hAnsi="Calibri" w:cs="Times New Roman"/>
        </w:rPr>
        <w:t>inear regression techniques were applied to describe the strength of each CaBV estimator (a combination of Ca and Ra) against sPI.</w:t>
      </w:r>
    </w:p>
    <w:p w14:paraId="22A25F69" w14:textId="12C29716" w:rsidR="00551E86" w:rsidRPr="004F79D6" w:rsidRDefault="00A13B19" w:rsidP="00020ABC">
      <w:pPr>
        <w:spacing w:line="480" w:lineRule="auto"/>
        <w:rPr>
          <w:rFonts w:ascii="Calibri" w:eastAsia="Calibri" w:hAnsi="Calibri" w:cs="Times New Roman"/>
        </w:rPr>
      </w:pPr>
      <w:r>
        <w:rPr>
          <w:rFonts w:ascii="Calibri" w:eastAsia="Calibri" w:hAnsi="Calibri" w:cs="Times New Roman"/>
          <w:b/>
          <w:i/>
        </w:rPr>
        <w:t xml:space="preserve">Main </w:t>
      </w:r>
      <w:r w:rsidR="00551E86" w:rsidRPr="004F79D6">
        <w:rPr>
          <w:rFonts w:ascii="Calibri" w:eastAsia="Calibri" w:hAnsi="Calibri" w:cs="Times New Roman"/>
          <w:b/>
          <w:i/>
        </w:rPr>
        <w:t>Results:</w:t>
      </w:r>
      <w:r w:rsidR="00551E86" w:rsidRPr="004F79D6">
        <w:rPr>
          <w:rFonts w:ascii="Calibri" w:eastAsia="Calibri" w:hAnsi="Calibri" w:cs="Times New Roman"/>
        </w:rPr>
        <w:t xml:space="preserve"> </w:t>
      </w:r>
      <w:r w:rsidR="00D42ADD">
        <w:rPr>
          <w:rFonts w:ascii="Calibri" w:eastAsia="Calibri" w:hAnsi="Calibri" w:cs="Times New Roman"/>
        </w:rPr>
        <w:t>T</w:t>
      </w:r>
      <w:r w:rsidR="00332144">
        <w:rPr>
          <w:rFonts w:ascii="Calibri" w:eastAsia="Calibri" w:hAnsi="Calibri" w:cs="Times New Roman"/>
        </w:rPr>
        <w:t>he combination of</w:t>
      </w:r>
      <w:r w:rsidR="002A1135">
        <w:rPr>
          <w:rFonts w:ascii="Calibri" w:eastAsia="Calibri" w:hAnsi="Calibri" w:cs="Times New Roman"/>
        </w:rPr>
        <w:t xml:space="preserve"> </w:t>
      </w:r>
      <w:r w:rsidR="004F79D6">
        <w:rPr>
          <w:rFonts w:ascii="Calibri" w:eastAsia="Calibri" w:hAnsi="Calibri" w:cs="Times New Roman"/>
        </w:rPr>
        <w:t>C1</w:t>
      </w:r>
      <w:r w:rsidR="00332144">
        <w:rPr>
          <w:rFonts w:ascii="Calibri" w:eastAsia="Calibri" w:hAnsi="Calibri" w:cs="Times New Roman"/>
        </w:rPr>
        <w:t xml:space="preserve"> and R</w:t>
      </w:r>
      <w:r w:rsidR="00D2259D">
        <w:rPr>
          <w:rFonts w:ascii="Calibri" w:eastAsia="Calibri" w:hAnsi="Calibri" w:cs="Times New Roman"/>
        </w:rPr>
        <w:t>a</w:t>
      </w:r>
      <w:r w:rsidR="00332144">
        <w:rPr>
          <w:rFonts w:ascii="Calibri" w:eastAsia="Calibri" w:hAnsi="Calibri" w:cs="Times New Roman"/>
        </w:rPr>
        <w:t>3</w:t>
      </w:r>
      <w:r w:rsidR="00551EF5">
        <w:rPr>
          <w:rFonts w:ascii="Calibri" w:eastAsia="Calibri" w:hAnsi="Calibri" w:cs="Times New Roman"/>
        </w:rPr>
        <w:t xml:space="preserve"> (PI_C1R</w:t>
      </w:r>
      <w:r w:rsidR="00D2259D">
        <w:rPr>
          <w:rFonts w:ascii="Calibri" w:eastAsia="Calibri" w:hAnsi="Calibri" w:cs="Times New Roman"/>
        </w:rPr>
        <w:t>a</w:t>
      </w:r>
      <w:r w:rsidR="00551EF5">
        <w:rPr>
          <w:rFonts w:ascii="Calibri" w:eastAsia="Calibri" w:hAnsi="Calibri" w:cs="Times New Roman"/>
        </w:rPr>
        <w:t>3)</w:t>
      </w:r>
      <w:r w:rsidR="00332144">
        <w:rPr>
          <w:rFonts w:ascii="Calibri" w:eastAsia="Calibri" w:hAnsi="Calibri" w:cs="Times New Roman"/>
        </w:rPr>
        <w:t xml:space="preserve"> </w:t>
      </w:r>
      <w:r w:rsidR="004F79D6">
        <w:rPr>
          <w:rFonts w:ascii="Calibri" w:eastAsia="Calibri" w:hAnsi="Calibri" w:cs="Times New Roman"/>
        </w:rPr>
        <w:t xml:space="preserve">was the superior descriptor of </w:t>
      </w:r>
      <w:r w:rsidR="009812A2">
        <w:rPr>
          <w:rFonts w:ascii="Calibri" w:eastAsia="Calibri" w:hAnsi="Calibri" w:cs="Times New Roman"/>
        </w:rPr>
        <w:t>CaBV</w:t>
      </w:r>
      <w:r w:rsidR="002A1135">
        <w:rPr>
          <w:rFonts w:ascii="Calibri" w:eastAsia="Calibri" w:hAnsi="Calibri" w:cs="Times New Roman"/>
        </w:rPr>
        <w:t xml:space="preserve"> </w:t>
      </w:r>
      <w:r w:rsidR="004F79D6">
        <w:rPr>
          <w:rFonts w:ascii="Calibri" w:eastAsia="Calibri" w:hAnsi="Calibri" w:cs="Times New Roman"/>
        </w:rPr>
        <w:t>as approximated by sPI for both the plateau waves and the hypocapnia cohorts (</w:t>
      </w:r>
      <w:r w:rsidR="00592749" w:rsidRPr="00592749">
        <w:rPr>
          <w:rFonts w:ascii="Calibri" w:eastAsia="Calibri" w:hAnsi="Calibri" w:cs="Times New Roman"/>
          <w:i/>
        </w:rPr>
        <w:t>r</w:t>
      </w:r>
      <w:r w:rsidR="00592749">
        <w:rPr>
          <w:rFonts w:ascii="Calibri" w:eastAsia="Calibri" w:hAnsi="Calibri" w:cs="Times New Roman"/>
        </w:rPr>
        <w:t xml:space="preserve">=0.915 and </w:t>
      </w:r>
      <w:r w:rsidR="00592749" w:rsidRPr="00592749">
        <w:rPr>
          <w:rFonts w:ascii="Calibri" w:eastAsia="Calibri" w:hAnsi="Calibri" w:cs="Times New Roman"/>
          <w:i/>
        </w:rPr>
        <w:t>r</w:t>
      </w:r>
      <w:r w:rsidR="00592749">
        <w:rPr>
          <w:rFonts w:ascii="Calibri" w:eastAsia="Calibri" w:hAnsi="Calibri" w:cs="Times New Roman"/>
        </w:rPr>
        <w:t>=0.955, respectively</w:t>
      </w:r>
      <w:r w:rsidR="002A1135">
        <w:rPr>
          <w:rFonts w:ascii="Calibri" w:eastAsia="Calibri" w:hAnsi="Calibri" w:cs="Times New Roman"/>
        </w:rPr>
        <w:t>)</w:t>
      </w:r>
      <w:r w:rsidR="005D1B01">
        <w:rPr>
          <w:rFonts w:ascii="Calibri" w:eastAsia="Calibri" w:hAnsi="Calibri" w:cs="Times New Roman"/>
        </w:rPr>
        <w:t>.</w:t>
      </w:r>
      <w:r w:rsidR="002A1135">
        <w:rPr>
          <w:rFonts w:ascii="Calibri" w:eastAsia="Calibri" w:hAnsi="Calibri" w:cs="Times New Roman"/>
        </w:rPr>
        <w:t xml:space="preserve"> </w:t>
      </w:r>
      <w:r w:rsidR="005D1B01">
        <w:rPr>
          <w:rFonts w:ascii="Calibri" w:eastAsia="Calibri" w:hAnsi="Calibri" w:cs="Times New Roman"/>
        </w:rPr>
        <w:t>T</w:t>
      </w:r>
      <w:r w:rsidR="002A1135">
        <w:rPr>
          <w:rFonts w:ascii="Calibri" w:eastAsia="Calibri" w:hAnsi="Calibri" w:cs="Times New Roman"/>
        </w:rPr>
        <w:t xml:space="preserve">he </w:t>
      </w:r>
      <w:r w:rsidR="00551EF5">
        <w:rPr>
          <w:rFonts w:ascii="Calibri" w:eastAsia="Calibri" w:hAnsi="Calibri" w:cs="Times New Roman"/>
        </w:rPr>
        <w:t>combination of C1 and R</w:t>
      </w:r>
      <w:r w:rsidR="00D2259D">
        <w:rPr>
          <w:rFonts w:ascii="Calibri" w:eastAsia="Calibri" w:hAnsi="Calibri" w:cs="Times New Roman"/>
        </w:rPr>
        <w:t>a</w:t>
      </w:r>
      <w:r w:rsidR="00551EF5">
        <w:rPr>
          <w:rFonts w:ascii="Calibri" w:eastAsia="Calibri" w:hAnsi="Calibri" w:cs="Times New Roman"/>
        </w:rPr>
        <w:t>1 (PI_C1R</w:t>
      </w:r>
      <w:r w:rsidR="00D2259D">
        <w:rPr>
          <w:rFonts w:ascii="Calibri" w:eastAsia="Calibri" w:hAnsi="Calibri" w:cs="Times New Roman"/>
        </w:rPr>
        <w:t>a</w:t>
      </w:r>
      <w:r w:rsidR="00551EF5">
        <w:rPr>
          <w:rFonts w:ascii="Calibri" w:eastAsia="Calibri" w:hAnsi="Calibri" w:cs="Times New Roman"/>
        </w:rPr>
        <w:t>1)</w:t>
      </w:r>
      <w:r w:rsidR="002A1135">
        <w:rPr>
          <w:rFonts w:ascii="Calibri" w:eastAsia="Calibri" w:hAnsi="Calibri" w:cs="Times New Roman"/>
        </w:rPr>
        <w:t xml:space="preserve"> was nearly as robust</w:t>
      </w:r>
      <w:r w:rsidR="00592749">
        <w:rPr>
          <w:rFonts w:ascii="Calibri" w:eastAsia="Calibri" w:hAnsi="Calibri" w:cs="Times New Roman"/>
        </w:rPr>
        <w:t xml:space="preserve"> in the vasopressors cohort (</w:t>
      </w:r>
      <w:r w:rsidR="00592749" w:rsidRPr="00592749">
        <w:rPr>
          <w:rFonts w:ascii="Calibri" w:eastAsia="Calibri" w:hAnsi="Calibri" w:cs="Times New Roman"/>
          <w:i/>
        </w:rPr>
        <w:t>r</w:t>
      </w:r>
      <w:r w:rsidR="00592749">
        <w:rPr>
          <w:rFonts w:ascii="Calibri" w:eastAsia="Calibri" w:hAnsi="Calibri" w:cs="Times New Roman"/>
        </w:rPr>
        <w:t>=0.938 and</w:t>
      </w:r>
      <w:r w:rsidR="00592749" w:rsidRPr="00592749">
        <w:rPr>
          <w:rFonts w:ascii="Calibri" w:eastAsia="Calibri" w:hAnsi="Calibri" w:cs="Times New Roman"/>
          <w:i/>
        </w:rPr>
        <w:t xml:space="preserve"> r</w:t>
      </w:r>
      <w:r w:rsidR="00592749">
        <w:rPr>
          <w:rFonts w:ascii="Calibri" w:eastAsia="Calibri" w:hAnsi="Calibri" w:cs="Times New Roman"/>
        </w:rPr>
        <w:t>=0.931, respectively).</w:t>
      </w:r>
    </w:p>
    <w:p w14:paraId="246C5791" w14:textId="729E608C" w:rsidR="00551E86" w:rsidRPr="00B8455A" w:rsidRDefault="00A13B19" w:rsidP="00020ABC">
      <w:pPr>
        <w:spacing w:line="480" w:lineRule="auto"/>
        <w:rPr>
          <w:rFonts w:ascii="Calibri" w:eastAsia="Calibri" w:hAnsi="Calibri" w:cs="Times New Roman"/>
        </w:rPr>
      </w:pPr>
      <w:r>
        <w:rPr>
          <w:rFonts w:ascii="Calibri" w:eastAsia="Calibri" w:hAnsi="Calibri" w:cs="Times New Roman"/>
          <w:b/>
          <w:i/>
        </w:rPr>
        <w:t>Significance</w:t>
      </w:r>
      <w:r w:rsidR="00551E86" w:rsidRPr="00592749">
        <w:rPr>
          <w:rFonts w:ascii="Calibri" w:eastAsia="Calibri" w:hAnsi="Calibri" w:cs="Times New Roman"/>
          <w:b/>
          <w:i/>
        </w:rPr>
        <w:t>:</w:t>
      </w:r>
      <w:r w:rsidR="00551E86" w:rsidRPr="00592749">
        <w:rPr>
          <w:rFonts w:ascii="Calibri" w:eastAsia="Calibri" w:hAnsi="Calibri" w:cs="Times New Roman"/>
        </w:rPr>
        <w:t xml:space="preserve"> </w:t>
      </w:r>
      <w:r w:rsidR="00592749">
        <w:rPr>
          <w:rFonts w:ascii="Calibri" w:eastAsia="Calibri" w:hAnsi="Calibri" w:cs="Times New Roman"/>
        </w:rPr>
        <w:t xml:space="preserve">TCD-based estimation of </w:t>
      </w:r>
      <w:r w:rsidR="00B8455A">
        <w:rPr>
          <w:rFonts w:ascii="Calibri" w:eastAsia="Calibri" w:hAnsi="Calibri" w:cs="Times New Roman"/>
        </w:rPr>
        <w:t>C</w:t>
      </w:r>
      <w:r w:rsidR="009812A2">
        <w:rPr>
          <w:rFonts w:ascii="Calibri" w:eastAsia="Calibri" w:hAnsi="Calibri" w:cs="Times New Roman"/>
        </w:rPr>
        <w:t>a</w:t>
      </w:r>
      <w:r w:rsidR="00B8455A">
        <w:rPr>
          <w:rFonts w:ascii="Calibri" w:eastAsia="Calibri" w:hAnsi="Calibri" w:cs="Times New Roman"/>
        </w:rPr>
        <w:t>BV</w:t>
      </w:r>
      <w:r w:rsidR="00592749">
        <w:rPr>
          <w:rFonts w:ascii="Calibri" w:eastAsia="Calibri" w:hAnsi="Calibri" w:cs="Times New Roman"/>
        </w:rPr>
        <w:t xml:space="preserve"> </w:t>
      </w:r>
      <w:r w:rsidR="000F46E8">
        <w:rPr>
          <w:rFonts w:ascii="Calibri" w:eastAsia="Calibri" w:hAnsi="Calibri" w:cs="Times New Roman"/>
        </w:rPr>
        <w:t xml:space="preserve">pulsations </w:t>
      </w:r>
      <w:r w:rsidR="00B8455A">
        <w:rPr>
          <w:rFonts w:ascii="Calibri" w:eastAsia="Calibri" w:hAnsi="Calibri" w:cs="Times New Roman"/>
        </w:rPr>
        <w:t xml:space="preserve">seems to be feasible when employing the </w:t>
      </w:r>
      <w:r w:rsidR="0049647B">
        <w:rPr>
          <w:rFonts w:ascii="Calibri" w:eastAsia="Calibri" w:hAnsi="Calibri" w:cs="Times New Roman"/>
        </w:rPr>
        <w:t>CFF</w:t>
      </w:r>
      <w:r w:rsidR="00B8455A">
        <w:rPr>
          <w:rFonts w:ascii="Calibri" w:eastAsia="Calibri" w:hAnsi="Calibri" w:cs="Times New Roman"/>
        </w:rPr>
        <w:t xml:space="preserve"> modeling approach</w:t>
      </w:r>
      <w:r w:rsidR="00592749">
        <w:rPr>
          <w:rFonts w:ascii="Calibri" w:eastAsia="Calibri" w:hAnsi="Calibri" w:cs="Times New Roman"/>
        </w:rPr>
        <w:t xml:space="preserve">. </w:t>
      </w:r>
    </w:p>
    <w:p w14:paraId="6B681F7A" w14:textId="77777777" w:rsidR="00551E86" w:rsidRPr="00551E86" w:rsidRDefault="00551E86" w:rsidP="00020ABC">
      <w:pPr>
        <w:spacing w:line="480" w:lineRule="auto"/>
        <w:rPr>
          <w:rFonts w:ascii="Calibri" w:eastAsia="Calibri" w:hAnsi="Calibri" w:cs="Times New Roman"/>
          <w:highlight w:val="red"/>
        </w:rPr>
      </w:pPr>
    </w:p>
    <w:p w14:paraId="148C884E" w14:textId="5B9B0289" w:rsidR="00551E86" w:rsidRPr="00551E86" w:rsidRDefault="00551E86" w:rsidP="00020ABC">
      <w:pPr>
        <w:spacing w:line="480" w:lineRule="auto"/>
        <w:rPr>
          <w:rFonts w:ascii="Calibri" w:eastAsia="Calibri" w:hAnsi="Calibri" w:cs="Times New Roman"/>
        </w:rPr>
      </w:pPr>
      <w:r w:rsidRPr="006236A5">
        <w:rPr>
          <w:rFonts w:ascii="Calibri" w:eastAsia="Calibri" w:hAnsi="Calibri" w:cs="Times New Roman"/>
          <w:b/>
        </w:rPr>
        <w:t>Key Words:</w:t>
      </w:r>
      <w:r w:rsidRPr="006236A5">
        <w:rPr>
          <w:rFonts w:ascii="Calibri" w:eastAsia="Calibri" w:hAnsi="Calibri" w:cs="Times New Roman"/>
        </w:rPr>
        <w:t xml:space="preserve"> neurocritical care, traumatic brain injury, </w:t>
      </w:r>
      <w:r w:rsidR="006236A5" w:rsidRPr="006236A5">
        <w:rPr>
          <w:rFonts w:ascii="Calibri" w:eastAsia="Calibri" w:hAnsi="Calibri" w:cs="Times New Roman"/>
        </w:rPr>
        <w:t xml:space="preserve">spectral </w:t>
      </w:r>
      <w:r w:rsidRPr="006236A5">
        <w:rPr>
          <w:rFonts w:ascii="Calibri" w:eastAsia="Calibri" w:hAnsi="Calibri" w:cs="Times New Roman"/>
        </w:rPr>
        <w:t xml:space="preserve">pulsatility index, </w:t>
      </w:r>
      <w:r w:rsidR="003A3C5F" w:rsidRPr="006236A5">
        <w:rPr>
          <w:rFonts w:ascii="Calibri" w:eastAsia="Calibri" w:hAnsi="Calibri" w:cs="Times New Roman"/>
        </w:rPr>
        <w:t>cerebral</w:t>
      </w:r>
      <w:r w:rsidR="00924706">
        <w:rPr>
          <w:rFonts w:ascii="Calibri" w:eastAsia="Calibri" w:hAnsi="Calibri" w:cs="Times New Roman"/>
        </w:rPr>
        <w:t xml:space="preserve"> arterial</w:t>
      </w:r>
      <w:r w:rsidR="003A3C5F" w:rsidRPr="006236A5">
        <w:rPr>
          <w:rFonts w:ascii="Calibri" w:eastAsia="Calibri" w:hAnsi="Calibri" w:cs="Times New Roman"/>
        </w:rPr>
        <w:t xml:space="preserve"> blood volume</w:t>
      </w:r>
      <w:r w:rsidRPr="006236A5">
        <w:rPr>
          <w:rFonts w:ascii="Calibri" w:eastAsia="Calibri" w:hAnsi="Calibri" w:cs="Times New Roman"/>
        </w:rPr>
        <w:t>, transcranial Doppler</w:t>
      </w:r>
    </w:p>
    <w:p w14:paraId="6E55CAE9" w14:textId="77777777" w:rsidR="00551E86" w:rsidRPr="00551E86" w:rsidRDefault="00551E86" w:rsidP="00020ABC">
      <w:pPr>
        <w:tabs>
          <w:tab w:val="left" w:pos="3540"/>
        </w:tabs>
        <w:spacing w:line="480" w:lineRule="auto"/>
        <w:rPr>
          <w:rFonts w:ascii="Calibri" w:eastAsia="Calibri" w:hAnsi="Calibri" w:cs="Times New Roman"/>
        </w:rPr>
      </w:pPr>
      <w:r w:rsidRPr="00551E86">
        <w:rPr>
          <w:rFonts w:ascii="Calibri" w:eastAsia="Calibri" w:hAnsi="Calibri" w:cs="Times New Roman"/>
        </w:rPr>
        <w:tab/>
      </w:r>
    </w:p>
    <w:p w14:paraId="7078858F" w14:textId="4474FB6F" w:rsidR="00551E86" w:rsidRPr="00036309" w:rsidRDefault="00036309" w:rsidP="00020ABC">
      <w:pPr>
        <w:spacing w:line="480" w:lineRule="auto"/>
        <w:rPr>
          <w:b/>
          <w:u w:val="single"/>
        </w:rPr>
      </w:pPr>
      <w:r w:rsidRPr="00036309">
        <w:rPr>
          <w:b/>
          <w:u w:val="single"/>
        </w:rPr>
        <w:t xml:space="preserve">Introduction: </w:t>
      </w:r>
    </w:p>
    <w:p w14:paraId="13057798" w14:textId="77777777" w:rsidR="00551E86" w:rsidRDefault="00551E86" w:rsidP="00020ABC">
      <w:pPr>
        <w:spacing w:line="480" w:lineRule="auto"/>
        <w:ind w:firstLine="720"/>
      </w:pPr>
    </w:p>
    <w:p w14:paraId="4C337155" w14:textId="59DEA44C" w:rsidR="00A90463" w:rsidRDefault="006335E5" w:rsidP="00020ABC">
      <w:pPr>
        <w:spacing w:line="480" w:lineRule="auto"/>
        <w:ind w:firstLine="720"/>
      </w:pPr>
      <w:r>
        <w:t>The volume of arterial blood circulating throughout the brain at any one time can be adversely affected by traumatic brain injury</w:t>
      </w:r>
      <w:r w:rsidR="00594D87">
        <w:t xml:space="preserve"> (TBI)</w:t>
      </w:r>
      <w:r>
        <w:t xml:space="preserve">. </w:t>
      </w:r>
      <w:r w:rsidR="004A0745">
        <w:t xml:space="preserve">Pulsatile </w:t>
      </w:r>
      <w:r w:rsidR="00416078">
        <w:t>c</w:t>
      </w:r>
      <w:r w:rsidR="00762A07">
        <w:t>erebral</w:t>
      </w:r>
      <w:r w:rsidR="003051F0">
        <w:t xml:space="preserve"> arterial</w:t>
      </w:r>
      <w:r w:rsidR="00762A07">
        <w:t xml:space="preserve"> blood volume</w:t>
      </w:r>
      <w:r w:rsidR="00594D87">
        <w:t xml:space="preserve"> (C</w:t>
      </w:r>
      <w:r w:rsidR="003051F0">
        <w:t>a</w:t>
      </w:r>
      <w:r w:rsidR="00594D87">
        <w:t>BV)</w:t>
      </w:r>
      <w:r w:rsidR="00762A07">
        <w:t xml:space="preserve"> can </w:t>
      </w:r>
      <w:r w:rsidR="00E41069">
        <w:t xml:space="preserve">now </w:t>
      </w:r>
      <w:r w:rsidR="00762A07">
        <w:t>be modeled with different input signals</w:t>
      </w:r>
      <w:r w:rsidR="00E32E0D">
        <w:t xml:space="preserve">. </w:t>
      </w:r>
      <w:r w:rsidR="00594D87">
        <w:t>Although this modeling</w:t>
      </w:r>
      <w:r w:rsidR="00E41069">
        <w:t xml:space="preserve"> </w:t>
      </w:r>
      <w:r w:rsidR="00594D87">
        <w:t>reflects</w:t>
      </w:r>
      <w:r w:rsidR="002245C2">
        <w:t xml:space="preserve"> the inherent nature of blood flow throughout the brain</w:t>
      </w:r>
      <w:r w:rsidR="00594D87">
        <w:t xml:space="preserve">, </w:t>
      </w:r>
      <w:r w:rsidR="00762A07">
        <w:t xml:space="preserve">there </w:t>
      </w:r>
      <w:r w:rsidR="00594D87">
        <w:t>is no</w:t>
      </w:r>
      <w:r w:rsidR="00E41069">
        <w:t xml:space="preserve"> consensus on which specific combination</w:t>
      </w:r>
      <w:r w:rsidR="00762A07">
        <w:t xml:space="preserve"> of model </w:t>
      </w:r>
      <w:r w:rsidR="00E41069">
        <w:t xml:space="preserve">elements yields a </w:t>
      </w:r>
      <w:r w:rsidR="00594D87">
        <w:t>best-fit equation that could</w:t>
      </w:r>
      <w:r w:rsidR="00762A07">
        <w:t xml:space="preserve"> be </w:t>
      </w:r>
      <w:r w:rsidR="00594D87">
        <w:t>globally applied in</w:t>
      </w:r>
      <w:r w:rsidR="00762A07">
        <w:t xml:space="preserve"> </w:t>
      </w:r>
      <w:r w:rsidR="005312C4">
        <w:t>neurocritical care</w:t>
      </w:r>
      <w:r w:rsidR="00E41069">
        <w:t>.</w:t>
      </w:r>
      <w:r w:rsidR="00762A07">
        <w:t xml:space="preserve"> </w:t>
      </w:r>
      <w:r w:rsidR="00E41069">
        <w:t>T</w:t>
      </w:r>
      <w:r w:rsidR="00762A07">
        <w:t>he purpose of this specific study is to tease apart the</w:t>
      </w:r>
      <w:r w:rsidR="00E41069">
        <w:t xml:space="preserve"> extant</w:t>
      </w:r>
      <w:r w:rsidR="00762A07">
        <w:t xml:space="preserve"> modeling methods themselves</w:t>
      </w:r>
      <w:r w:rsidR="00DA3886" w:rsidRPr="00DA3886">
        <w:rPr>
          <w:vertAlign w:val="superscript"/>
        </w:rPr>
        <w:fldChar w:fldCharType="begin" w:fldLock="1"/>
      </w:r>
      <w:r w:rsidR="00A41837">
        <w:rPr>
          <w:vertAlign w:val="superscript"/>
        </w:rPr>
        <w:instrText>ADDIN CSL_CITATION {"citationItems":[{"id":"ITEM-1","itemData":{"DOI":"10.1088/0967-3334/30/7/009","abstract":"The study aimed to develop a computational method for assessing relative changes in compartmental compliances within the brain: the arterial bed and the cerebrospinal space. The method utilizes the relationship between pulsatile components in the arterial blood volume, arterial blood pressure (ABP) and intracranial pressure (ICP). It was verified by using clinical recordings of intracranial pressure plateau waves, when massive vasodilatation accompanying plateau waves produces changes in brain compliances of the arterial bed (C a) and compliance of the cerebrospinal space (C i). Ten patients admitted after head injury with a median Glasgow Coma Score of 6 were studied retrospectively. ABP was directly monitored from the radial artery. Changes in the cerebral arterial blood volume were assessed using Transcranial Doppler (TCD) ultrasonography by digital integration of inflow blood velocity. During plateau waves, ICP increased (P = 0.001), CPP decreased (P = 0.001), ABP remained constant (P = 0.532), blood flow velocity decreased (P = 0.001). Calculated compliance of the arterial bed C a increased significantly (P = 0.001); compliance of the CSF space C i decreased (P = 0.001). We concluded that the method allows for continuous monitoring of relative changes in brain compartmental compliances. Plateau waves affect the balance between Engineering in Medicine Printed in the UK 647 648 D-J Kim et al vascular and CSF compartments, which is reflected by the inverse change of compliance of the cerebral arterial bed and global compliance of the CSF space.","author":[{"dropping-particle":"","family":"Kim","given":"Dong-Joo","non-dropping-particle":"","parse-names":false,"suffix":""},{"dropping-particle":"","family":"Kasprowicz","given":"Magdalena","non-dropping-particle":"","parse-names":false,"suffix":""},{"dropping-particle":"","family":"Carrera","given":"Emmanuel","non-dropping-particle":"","parse-names":false,"suffix":""},{"dropping-particle":"","family":"Castellani","given":"Gianluca","non-dropping-particle":"","parse-names":false,"suffix":""},{"dropping-particle":"","family":"Zweifel","given":"Christian","non-dropping-particle":"","parse-names":false,"suffix":""},{"dropping-particle":"","family":"Lavinio","given":"Andrea","non-dropping-particle":"","parse-names":false,"suffix":""},{"dropping-particle":"","family":"Smielewski","given":"Peter","non-dropping-particle":"","parse-names":false,"suffix":""},{"dropping-particle":"","family":"Sutcliffe","given":"Michael P F","non-dropping-particle":"","parse-names":false,"suffix":""},{"dropping-particle":"","family":"Pickard","given":"John D","non-dropping-particle":"","parse-names":false,"suffix":""},{"dropping-particle":"","family":"Czosnyka","given":"Marek","non-dropping-particle":"","parse-names":false,"suffix":""}],"container-title":"Physiol. Meas","id":"ITEM-1","issued":{"date-parts":[["2009"]]},"page":"647-659","title":"The monitoring of relative changes in compartmental compliances of brain","type":"article-journal","volume":"30"},"uris":["http://www.mendeley.com/documents/?uuid=838842ff-3d1a-3a2a-9360-169a0359ba25"]},{"id":"ITEM-2","itemData":{"DOI":"10.1038/jcbfm.2012.161","ISSN":"0271678X","PMID":"23149558","abstract":"Critical closing pressure (CCP) is the arterial blood pressure (ABP) at which brain vessels collapse and cerebral blood flow (CBF) ceases. Using the concept of impedance to CBF, CCP can be expressed with brain-monitoring parameters: cerebral perfusion pressure (CPP), ABP, blood flow velocity (FV), and heart rate. The novel multiparameter method (CCPm) was compared with traditional transcranial Doppler (TCD) calculations of CCP (CCP1). Digital recordings of ABP, intracranial pressure (ICP), and TCD-based FV from previously published studies of 29 New Zealand White rabbits were reanalyzed. Overall, CCP1 and CCPm showed correlation across wide ranges of ABP, ICP, and PaCO2 (R=0.93, P&lt;0.001). Three physiological perturbations were studied: increase in ICP (n=29) causing both CCP1 and CCPm to increase (P&lt;0.001 for both); reduction of ABP (n=10) resulting in decrease of CCP1 (P=0.006) and CCPm (P=0.002); and controlled increase of PaCO2 (n=8) to hypercapnic levels, which decreased CCP1 and CCPm, albeit insignificantly (P=0.123 and P=0.306 respectively), caused by a spontaneous significant increase in ABP (P=0.025). Multiparameter mathematical model of critical closing pressure explains the relationship of CCP on brain-monitoring variables, allowing the estimation of CCP during cases such as hypercapnia-induced hyperemia, where traditional calculations, like CCP1, often reach negative non-physiological values.","author":[{"dropping-particle":"V.","family":"Varsos","given":"Georgios","non-dropping-particle":"","parse-names":false,"suffix":""},{"dropping-particle":"","family":"Richards","given":"Hugh","non-dropping-particle":"","parse-names":false,"suffix":""},{"dropping-particle":"","family":"Kasprowicz","given":"Magdalena","non-dropping-particle":"","parse-names":false,"suffix":""},{"dropping-particle":"","family":"Budohoski","given":"Karol P.","non-dropping-particle":"","parse-names":false,"suffix":""},{"dropping-particle":"","family":"Brady","given":"Ken M.","non-dropping-particle":"","parse-names":false,"suffix":""},{"dropping-particle":"","family":"Reinhard","given":"Matthias","non-dropping-particle":"","parse-names":false,"suffix":""},{"dropping-particle":"","family":"Avolio","given":"Alberto","non-dropping-particle":"","parse-names":false,"suffix":""},{"dropping-particle":"","family":"Smielewski","given":"Peter","non-dropping-particle":"","parse-names":false,"suffix":""},{"dropping-particle":"","family":"Pickard","given":"John D.","non-dropping-particle":"","parse-names":false,"suffix":""},{"dropping-particle":"","family":"Czosnyka","given":"Marek","non-dropping-particle":"","parse-names":false,"suffix":""}],"container-title":"Journal of Cerebral Blood Flow and Metabolism","id":"ITEM-2","issue":"2","issued":{"date-parts":[["2013"]]},"page":"235-243","title":"Critical closing pressure determined with a model of cerebrovascular impedance","type":"article-journal","volume":"33"},"uris":["http://www.mendeley.com/documents/?uuid=3088dceb-24fe-4460-8a76-96cae2d1bc4f"]},{"id":"ITEM-3","itemData":{"DOI":"10.1109/TBME.2006.890492","ISBN":"0018-9294","ISSN":"00189294","PMID":"17355060","abstract":"Our knowledge of cerebrospinal fluid (CSF) hydrodynamics has been considerably improved with the recent introduction of phase-contrast magnetic resonance imaging (phase-contrast MRI), which can provide CSF and blood flow measurements throughout the cardiac cycle. Key temporal and amplitude parameters can be calculated at different sites to elucidate the role played by the various CSF compartments during vascular brain expansion. Most of the models reported in the literature do not take into account CSF oscillation during the cardiac cycle and its kinetic energy impact on the brain. We propose a new lumped-parameter compartmental model of CSF and blood flows in healthy subjects during the cardiac cycle. The system was divided into five submodels representing arterial blood, venous blood, ventricular CSF, cranial subarachnoid space, and spinal subarachnoid space. These submodels are connected by resistances and compliances. The model developed was used to reproduce certain functional characteristics observed in seven healthy volunteers, such as the distribution (amplitude and phase shift) of arterial, venous, and CSF flows. The results show a good agreement between measured and simulated intracranial CSF and blood flows.","author":[{"dropping-particle":"","family":"Ambarki","given":"Khalid","non-dropping-particle":"","parse-names":false,"suffix":""},{"dropping-particle":"","family":"Baledent","given":"Olivier","non-dropping-particle":"","parse-names":false,"suffix":""},{"dropping-particle":"","family":"Kongolo","given":"Guy","non-dropping-particle":"","parse-names":false,"suffix":""},{"dropping-particle":"","family":"Bouzerar","given":"Robert","non-dropping-particle":"","parse-names":false,"suffix":""},{"dropping-particle":"","family":"Fall","given":"Sidy","non-dropping-particle":"","parse-names":false,"suffix":""},{"dropping-particle":"","family":"Meyer","given":"Marc Etienne","non-dropping-particle":"","parse-names":false,"suffix":""}],"container-title":"IEEE Transactions on Biomedical Engineering","id":"ITEM-3","issue":"3","issued":{"date-parts":[["2007"]]},"page":"483-491","title":"A new lumped-parameter model of cerebrospinal hydrodynamics during the cardiac cycle in healthy volunteers","type":"article-journal","volume":"54"},"uris":["http://www.mendeley.com/documents/?uuid=eecba077-e253-432d-bee2-22128da08e12"]},{"id":"ITEM-4","itemData":{"DOI":"10.1088/0967-3334/32/4/007","ISBN":"0967-3334","ISSN":"0967-3334","PMID":"21403183","abstract":"The critical closing pressure (CrCP) of cerebral circulation is normally estimated by extrapolation of instantaneous velocity-pressure curves. Different methods of estimation were analysed to assess their robustness and reproducibility in both static and dynamic applications. In ten healthy subjects (mean ± SD age 37.5 ± 9.2 years) continuous recordings of arterial blood pressure (BP, Finapres) and bilateral cerebral blood flow velocity (transcranial Doppler ultrasound, middle cerebral arteries) were obtained at rest. Each session consisted of three separate 5 min recordings. A total of four recording sessions for each subject took place over a 2 week period. A total of 117 recordings contained 34 014 cardiac cycles. For each cardiac cycle, CrCP and resistance-area product (RAP) were estimated using linear regression (LR), principal component analysis (PCA), first harmonic fitting (H1), 2-point systolic/diastolic values (2Ps) and 2-point mean/diastolic values (2Pm). LR and PCA were also applied using only the diastolic phase (LRd, PCAd). The mean values of CrCP and RAP for the entire 5 min recording ('static' condition) were not significantly different for LRd, PCAd, H1 and 2Pm, as opposed to the other methods. The same four methods provided the best results regarding the absence of negative values of CrCP and the coefficient of variation (CV) of the intra-subject standard error of the mean (SEM). On the other hand, 'dynamic' applications, such as the transfer function between mean BP and RAP (coherence and RAP step response) led to a different ranking of methods, but without significant differences in CV SEM coherence. For the CV of the RAP step response though, LRd and PCAd performed badly. These results suggest that H1 or 2Pm perform better than LR analysis and should be used for the estimation of CrCP and RAP for both static and dynamic applications.","author":[{"dropping-particle":"","family":"Panerai","given":"R. B.","non-dropping-particle":"","parse-names":false,"suffix":""},{"dropping-particle":"","family":"Salinet","given":"A. S M","non-dropping-particle":"","parse-names":false,"suffix":""},{"dropping-particle":"","family":"Brodie","given":"F. G.","non-dropping-particle":"","parse-names":false,"suffix":""},{"dropping-particle":"","family":"Robinson","given":"T. G.","non-dropping-particle":"","parse-names":false,"suffix":""}],"container-title":"Physiological Measurement","id":"ITEM-4","issue":"4","issued":{"date-parts":[["2011","4","1"]]},"page":"467-482","title":"The influence of calculation method on estimates of cerebral critical closing pressure","type":"article-journal","volume":"32"},"uris":["http://www.mendeley.com/documents/?uuid=1cdbc9c5-3c52-45aa-a28b-724e73c2bb6e"]},{"id":"ITEM-5","itemData":{"ISBN":"0065-1419 (Print)\\n0065-1419 (Linking)","ISSN":"0065-1419","PMID":"9779149","abstract":"OBJECTIVE: Cerebrovascular vasomotor reactivity reflects changes in smooth muscle tone in the arterial wall in response to changes in transmural pressure or concentration of carbon dioxide in blood. We have investigated whether slow waves in ABP and ICP may be used to derive an index which reflects reactivity of vessels to changes in arterial blood pressure. METHODS: A method for the continuous monitoring of the association between slow spontaneous waves in ICP and AP has been adopted in a group of 98 head injured patients. ABP, ICP and transcranial Doppler blood flow velocity (FV) in the middle cerebral artery was recorded daily (20 to 120 minutes time periods). A Pressure-Reactivity Index (PRx) was calculated as a moving correlation coefficient between 40 consecutive samples of values for ICP and ABP averaged over 5 seconds. A moving correlation coefficient between spontaneous fluctuations of mean FV and CPP (Mx), which was previously reported to describe cerebral blood flow autoregulation, was also calculated. In an additional 25 patients, PRx was calculated and recorded continuously along with mean ICP, ABP and parameters describing ICP waveform. RESULTS: A positive PRx correlated with high ICP (r = 0.366; p &lt; 0.001), low admission GCS (r = 0.29; p &lt; 0.01), and poor outcome at 6 months after injury (r = 0.48; p &lt; 0.00001). During the first two days following injury, PRx was positive (p &lt; 0.05) in patients with unfavourable outcome. The correlation between PRx and Mx (r = 0.63) was highly significant (p &lt; 0.000001). Continuous recordings demonstrated that PRx was able to indicate individual thresholds of vascular reactivity for CPP, ICP, and ventilation parameters. CONCLUSION: Computer analysis of slow waves in ABP and ICP is able to provide a continuous index of cerebrovascular reactivity to changes in arterial pressure, which is of prognostic significance.","author":[{"dropping-particle":"","family":"Czosnyka","given":"M","non-dropping-particle":"","parse-names":false,"suffix":""},{"dropping-particle":"","family":"Smielewski","given":"P","non-dropping-particle":"","parse-names":false,"suffix":""},{"dropping-particle":"","family":"Kirkpatrick","given":"P","non-dropping-particle":"","parse-names":false,"suffix":""},{"dropping-particle":"","family":"Piechnik","given":"S","non-dropping-particle":"","parse-names":false,"suffix":""},{"dropping-particle":"","family":"Laing","given":"R","non-dropping-particle":"","parse-names":false,"suffix":""},{"dropping-particle":"","family":"Pickard","given":"J D","non-dropping-particle":"","parse-names":false,"suffix":""}],"container-title":"Acta neurochirurgica. Supplement","id":"ITEM-5","issued":{"date-parts":[["1998"]]},"page":"74-77","title":"Continuous monitoring of cerebrovascular pressure-reactivity in head injury.","type":"article-journal","volume":"71"},"uris":["http://www.mendeley.com/documents/?uuid=add6240e-fb78-42dc-b56b-5444575b1e04"]},{"id":"ITEM-6","itemData":{"DOI":"10.23736/S0375-9393.17.12043-2","ISSN":"03759393","abstract":"© 2017 EDIZIONI MINERVA MEDICA. Cerebral autoregulation is conceptualized as a vascular self-regulatory mechanism within the brain. Controlled by elusive relationships between various biophysical processes, it functions to protect the brain against potential damages caused by sudden changes in cerebral perfusion pressures and flow. Following events such as traumatic brain injuries (TBI), autoregulation may be compromised, potentially leading to an unfavorable outcome. In spite of its c omplexity, autoregulation has been able to be quantified non-invasively within the neuro-critical care setting with the aid of transcranial Doppler. This information is interpreted particularly through calculated derived indices based on commonly-monitored input signals such as arterial blood pressure and intracranial pressure (i.e. Pressure Reactivity Index [PRx], Mean Flow Index, etc.). For example, PRx values that trend towards positive numbers are correlated with unfavorable outcome. These predictors are primarily surrogate markers of cerebral hemodynamic activity, although suggesting robust correlations between these indices and patient outcome. This review of the literature seeks to explain the methodology behind the calculations of various measures of autoregulation in adult patients suffering from traumatic brain injuries, and how they can interact with one another to both create larger effects on patient outcome and general outcome prediction models. Insight into the driving forces behind cerebral autoregulation is imperative for guiding both clinical decision-making and global treatment protocols for neuro-critically ill patients. The evidence that autoregulation-oriented therapy may improve outcome after TBI is still oscillating around Level III.","author":[{"dropping-particle":"","family":"Calviello","given":"L.A.","non-dropping-particle":"","parse-names":false,"suffix":""},{"dropping-particle":"","family":"Donnelly","given":"J.","non-dropping-particle":"","parse-names":false,"suffix":""},{"dropping-particle":"","family":"Zeiler","given":"F.A.","non-dropping-particle":"","parse-names":false,"suffix":""},{"dropping-particle":"","family":"Thelin","given":"E.P.","non-dropping-particle":"","parse-names":false,"suffix":""},{"dropping-particle":"","family":"Smielewski","given":"P.","non-dropping-particle":"","parse-names":false,"suffix":""},{"dropping-particle":"","family":"Czosnyka","given":"M.","non-dropping-particle":"","parse-names":false,"suffix":""}],"container-title":"Minerva Anestesiologica","id":"ITEM-6","issue":"8","issued":{"date-parts":[["2017"]]},"title":"Cerebral autoregulation monitoring in acute traumatic brain injury: What's the evidence?","type":"article-journal","volume":"83"},"uris":["http://www.mendeley.com/documents/?uuid=7add3d70-3034-3082-a8d4-97242531113a"]},{"id":"ITEM-7","itemData":{"author":[{"dropping-particle":"","family":"Uryga A","given":"","non-dropping-particle":"","parse-names":false,"suffix":""},{"dropping-particle":"","family":"M","given":"Kasprowicz","non-dropping-particle":"","parse-names":false,"suffix":""},{"dropping-particle":"","family":"R","given":"Diehl","non-dropping-particle":"","parse-names":false,"suffix":""},{"dropping-particle":"","family":"K","given":"Kaczmarska","non-dropping-particle":"","parse-names":false,"suffix":""},{"dropping-particle":"","family":"Calviello L","given":"Czosnyka M.","non-dropping-particle":"","parse-names":false,"suffix":""}],"container-title":"Ultrasound in Medicine &amp; Biology.","id":"ITEM-7","issue":"In Review","issued":{"date-parts":[["2017"]]},"title":"Assessment of cerebral hemodynamic parameters using pulsatile versus non-pulsatile blood outflow model.","type":"article-journal"},"uris":["http://www.mendeley.com/documents/?uuid=914d12fd-7795-4cdd-b796-423ee22e7ff3"]}],"mendeley":{"formattedCitation":"(1–7)","manualFormatting":"1–7","plainTextFormattedCitation":"(1–7)","previouslyFormattedCitation":"(1–7)"},"properties":{"noteIndex":0},"schema":"https://github.com/citation-style-language/schema/raw/master/csl-citation.json"}</w:instrText>
      </w:r>
      <w:r w:rsidR="00DA3886" w:rsidRPr="00DA3886">
        <w:rPr>
          <w:vertAlign w:val="superscript"/>
        </w:rPr>
        <w:fldChar w:fldCharType="separate"/>
      </w:r>
      <w:r w:rsidR="00DA3886" w:rsidRPr="00DA3886">
        <w:rPr>
          <w:noProof/>
          <w:vertAlign w:val="superscript"/>
        </w:rPr>
        <w:t>1–7</w:t>
      </w:r>
      <w:r w:rsidR="00DA3886" w:rsidRPr="00DA3886">
        <w:rPr>
          <w:vertAlign w:val="superscript"/>
        </w:rPr>
        <w:fldChar w:fldCharType="end"/>
      </w:r>
      <w:r w:rsidR="00366E31">
        <w:rPr>
          <w:vertAlign w:val="superscript"/>
        </w:rPr>
        <w:t xml:space="preserve"> </w:t>
      </w:r>
      <w:r w:rsidR="00594D87">
        <w:t>with the following aims</w:t>
      </w:r>
      <w:r w:rsidR="00611312">
        <w:t>:</w:t>
      </w:r>
      <w:r w:rsidR="00762A07">
        <w:t xml:space="preserve"> </w:t>
      </w:r>
      <w:r w:rsidR="003558F0">
        <w:t>a</w:t>
      </w:r>
      <w:r w:rsidR="00762A07">
        <w:t>)</w:t>
      </w:r>
      <w:r w:rsidR="00594D87">
        <w:t xml:space="preserve"> to</w:t>
      </w:r>
      <w:r w:rsidR="00762A07">
        <w:t xml:space="preserve"> comprehend which method is most suitable for describ</w:t>
      </w:r>
      <w:r w:rsidR="00594D87">
        <w:t>ing patient</w:t>
      </w:r>
      <w:r w:rsidR="000F46E8">
        <w:t xml:space="preserve"> hemodynamics</w:t>
      </w:r>
      <w:r w:rsidR="00594D87">
        <w:t xml:space="preserve">, and </w:t>
      </w:r>
      <w:r w:rsidR="00762A07">
        <w:t xml:space="preserve">b) </w:t>
      </w:r>
      <w:r w:rsidR="00594D87">
        <w:t xml:space="preserve">to </w:t>
      </w:r>
      <w:r w:rsidR="00762A07">
        <w:t xml:space="preserve">build a function </w:t>
      </w:r>
      <w:r w:rsidR="00594D87">
        <w:t xml:space="preserve">able to </w:t>
      </w:r>
      <w:r w:rsidR="000F46E8">
        <w:lastRenderedPageBreak/>
        <w:t xml:space="preserve">monitor changes </w:t>
      </w:r>
      <w:r w:rsidR="00D47164">
        <w:t>in</w:t>
      </w:r>
      <w:r w:rsidR="000F46E8">
        <w:t xml:space="preserve"> cerebral compartmental compliances</w:t>
      </w:r>
      <w:r w:rsidR="00611312">
        <w:t xml:space="preserve"> </w:t>
      </w:r>
      <w:r w:rsidR="00762A07">
        <w:t xml:space="preserve">when considered alongside invasive monitoring and data-driven trend charts. </w:t>
      </w:r>
      <w:r w:rsidR="00664D70">
        <w:t xml:space="preserve"> </w:t>
      </w:r>
    </w:p>
    <w:p w14:paraId="1BF76D9B" w14:textId="77777777" w:rsidR="00527C27" w:rsidRDefault="00527C27" w:rsidP="00020ABC">
      <w:pPr>
        <w:pStyle w:val="ListParagraph"/>
        <w:spacing w:line="480" w:lineRule="auto"/>
        <w:ind w:left="1080"/>
      </w:pPr>
    </w:p>
    <w:p w14:paraId="7E349252" w14:textId="77777777" w:rsidR="00527C27" w:rsidRDefault="00527C27" w:rsidP="00020ABC">
      <w:pPr>
        <w:spacing w:line="480" w:lineRule="auto"/>
        <w:rPr>
          <w:b/>
          <w:i/>
        </w:rPr>
      </w:pPr>
      <w:r>
        <w:rPr>
          <w:b/>
          <w:i/>
        </w:rPr>
        <w:t>Fundamentals of Mathematical Modeling</w:t>
      </w:r>
    </w:p>
    <w:p w14:paraId="41DE4AC7" w14:textId="77777777" w:rsidR="00527C27" w:rsidRPr="00D56676" w:rsidRDefault="00527C27" w:rsidP="00020ABC">
      <w:pPr>
        <w:spacing w:line="480" w:lineRule="auto"/>
        <w:rPr>
          <w:b/>
          <w:i/>
        </w:rPr>
      </w:pPr>
    </w:p>
    <w:p w14:paraId="07E778DB" w14:textId="00F1B10D" w:rsidR="00527C27" w:rsidRDefault="00527C27" w:rsidP="00020ABC">
      <w:pPr>
        <w:spacing w:line="480" w:lineRule="auto"/>
        <w:ind w:firstLine="720"/>
        <w:rPr>
          <w:highlight w:val="darkCyan"/>
        </w:rPr>
      </w:pPr>
      <w:r>
        <w:t>We concentrate on</w:t>
      </w:r>
      <w:r w:rsidRPr="00034CB1">
        <w:t xml:space="preserve"> build</w:t>
      </w:r>
      <w:r>
        <w:t>ing</w:t>
      </w:r>
      <w:r w:rsidRPr="00034CB1">
        <w:t xml:space="preserve"> mathematical models of cerebral circulation</w:t>
      </w:r>
      <w:r>
        <w:t xml:space="preserve"> able to</w:t>
      </w:r>
      <w:r w:rsidRPr="00034CB1">
        <w:t xml:space="preserve"> account for pulsatile changes in the vasculature as a result of the cardiac cycle. Transcranial Doppler ultrasonography (TCD) can</w:t>
      </w:r>
      <w:r w:rsidR="006C52F4">
        <w:t xml:space="preserve"> both capture and</w:t>
      </w:r>
      <w:r w:rsidRPr="00034CB1">
        <w:t xml:space="preserve"> </w:t>
      </w:r>
      <w:r>
        <w:t>continuous</w:t>
      </w:r>
      <w:r w:rsidR="006C52F4">
        <w:t>ly</w:t>
      </w:r>
      <w:r>
        <w:t xml:space="preserve"> monitor</w:t>
      </w:r>
      <w:r w:rsidR="006C52F4">
        <w:t xml:space="preserve"> </w:t>
      </w:r>
      <w:r w:rsidRPr="00034CB1">
        <w:t xml:space="preserve">cerebral hemodynamic changes in real time; cerebral blood flow velocity (FV) through the middle cerebral artery (MCA) can be expressed as a variable that can be further </w:t>
      </w:r>
      <w:r>
        <w:t>analyzed with</w:t>
      </w:r>
      <w:r w:rsidRPr="00034CB1">
        <w:t xml:space="preserve"> ICM+</w:t>
      </w:r>
      <w:r w:rsidRPr="00AE3553">
        <w:t>™</w:t>
      </w:r>
      <w:r w:rsidRPr="00034CB1">
        <w:t xml:space="preserve"> software to provide additional descriptors of hemodynamic activity</w:t>
      </w:r>
      <w:r>
        <w:t>.</w:t>
      </w:r>
    </w:p>
    <w:p w14:paraId="561424C0" w14:textId="571397FE" w:rsidR="00527C27" w:rsidRDefault="005F6643" w:rsidP="00020ABC">
      <w:pPr>
        <w:spacing w:line="480" w:lineRule="auto"/>
        <w:ind w:firstLine="720"/>
      </w:pPr>
      <w:r>
        <w:t>With this application</w:t>
      </w:r>
      <w:r w:rsidR="00527C27">
        <w:t>, Kim et al. (2009)</w:t>
      </w:r>
      <w:r w:rsidR="004635D9" w:rsidRPr="004635D9">
        <w:rPr>
          <w:vertAlign w:val="superscript"/>
        </w:rPr>
        <w:fldChar w:fldCharType="begin" w:fldLock="1"/>
      </w:r>
      <w:r w:rsidR="00A41837">
        <w:rPr>
          <w:vertAlign w:val="superscript"/>
        </w:rPr>
        <w:instrText>ADDIN CSL_CITATION {"citationItems":[{"id":"ITEM-1","itemData":{"DOI":"10.1088/0967-3334/30/7/009","abstract":"The study aimed to develop a computational method for assessing relative changes in compartmental compliances within the brain: the arterial bed and the cerebrospinal space. The method utilizes the relationship between pulsatile components in the arterial blood volume, arterial blood pressure (ABP) and intracranial pressure (ICP). It was verified by using clinical recordings of intracranial pressure plateau waves, when massive vasodilatation accompanying plateau waves produces changes in brain compliances of the arterial bed (C a) and compliance of the cerebrospinal space (C i). Ten patients admitted after head injury with a median Glasgow Coma Score of 6 were studied retrospectively. ABP was directly monitored from the radial artery. Changes in the cerebral arterial blood volume were assessed using Transcranial Doppler (TCD) ultrasonography by digital integration of inflow blood velocity. During plateau waves, ICP increased (P = 0.001), CPP decreased (P = 0.001), ABP remained constant (P = 0.532), blood flow velocity decreased (P = 0.001). Calculated compliance of the arterial bed C a increased significantly (P = 0.001); compliance of the CSF space C i decreased (P = 0.001). We concluded that the method allows for continuous monitoring of relative changes in brain compartmental compliances. Plateau waves affect the balance between Engineering in Medicine Printed in the UK 647 648 D-J Kim et al vascular and CSF compartments, which is reflected by the inverse change of compliance of the cerebral arterial bed and global compliance of the CSF space.","author":[{"dropping-particle":"","family":"Kim","given":"Dong-Joo","non-dropping-particle":"","parse-names":false,"suffix":""},{"dropping-particle":"","family":"Kasprowicz","given":"Magdalena","non-dropping-particle":"","parse-names":false,"suffix":""},{"dropping-particle":"","family":"Carrera","given":"Emmanuel","non-dropping-particle":"","parse-names":false,"suffix":""},{"dropping-particle":"","family":"Castellani","given":"Gianluca","non-dropping-particle":"","parse-names":false,"suffix":""},{"dropping-particle":"","family":"Zweifel","given":"Christian","non-dropping-particle":"","parse-names":false,"suffix":""},{"dropping-particle":"","family":"Lavinio","given":"Andrea","non-dropping-particle":"","parse-names":false,"suffix":""},{"dropping-particle":"","family":"Smielewski","given":"Peter","non-dropping-particle":"","parse-names":false,"suffix":""},{"dropping-particle":"","family":"Sutcliffe","given":"Michael P F","non-dropping-particle":"","parse-names":false,"suffix":""},{"dropping-particle":"","family":"Pickard","given":"John D","non-dropping-particle":"","parse-names":false,"suffix":""},{"dropping-particle":"","family":"Czosnyka","given":"Marek","non-dropping-particle":"","parse-names":false,"suffix":""}],"container-title":"Physiol. Meas","id":"ITEM-1","issued":{"date-parts":[["2009"]]},"page":"647-659","title":"The monitoring of relative changes in compartmental compliances of brain","type":"article-journal","volume":"30"},"uris":["http://www.mendeley.com/documents/?uuid=838842ff-3d1a-3a2a-9360-169a0359ba25"]}],"mendeley":{"formattedCitation":"(1)","manualFormatting":"1","plainTextFormattedCitation":"(1)","previouslyFormattedCitation":"(1)"},"properties":{"noteIndex":0},"schema":"https://github.com/citation-style-language/schema/raw/master/csl-citation.json"}</w:instrText>
      </w:r>
      <w:r w:rsidR="004635D9" w:rsidRPr="004635D9">
        <w:rPr>
          <w:vertAlign w:val="superscript"/>
        </w:rPr>
        <w:fldChar w:fldCharType="separate"/>
      </w:r>
      <w:r w:rsidR="004635D9" w:rsidRPr="004635D9">
        <w:rPr>
          <w:noProof/>
          <w:vertAlign w:val="superscript"/>
        </w:rPr>
        <w:t>1</w:t>
      </w:r>
      <w:r w:rsidR="004635D9" w:rsidRPr="004635D9">
        <w:rPr>
          <w:vertAlign w:val="superscript"/>
        </w:rPr>
        <w:fldChar w:fldCharType="end"/>
      </w:r>
      <w:r w:rsidR="00527C27">
        <w:rPr>
          <w:vertAlign w:val="superscript"/>
        </w:rPr>
        <w:t xml:space="preserve"> </w:t>
      </w:r>
      <w:r w:rsidR="00527C27">
        <w:t>studied the changes in compartmental compliances (</w:t>
      </w:r>
      <w:r w:rsidR="00AB14C3">
        <w:t>volume/pressure</w:t>
      </w:r>
      <w:r w:rsidR="00A36477">
        <w:t xml:space="preserve"> ratios expressed as either: </w:t>
      </w:r>
      <w:r w:rsidR="00527C27">
        <w:t>Ca – the compliance of the cerebral arterial bed</w:t>
      </w:r>
      <w:r w:rsidR="00A36477">
        <w:t xml:space="preserve"> or</w:t>
      </w:r>
      <w:r w:rsidR="00527C27">
        <w:t xml:space="preserve"> Ci – the compliance of the cerebrospinal space) during plateau waves of ICP. During thi</w:t>
      </w:r>
      <w:r>
        <w:t>s event</w:t>
      </w:r>
      <w:r w:rsidR="00527C27">
        <w:t>, the Ca and Ci compartments of the brain vary inversely as a result of dynamic shifts in the vasomotor tone of the cerebral vessels</w:t>
      </w:r>
      <w:r w:rsidR="004635D9" w:rsidRPr="004635D9">
        <w:rPr>
          <w:vertAlign w:val="superscript"/>
        </w:rPr>
        <w:fldChar w:fldCharType="begin" w:fldLock="1"/>
      </w:r>
      <w:r w:rsidR="00A41837">
        <w:rPr>
          <w:vertAlign w:val="superscript"/>
        </w:rPr>
        <w:instrText>ADDIN CSL_CITATION {"citationItems":[{"id":"ITEM-1","itemData":{"DOI":"10.1088/0967-3334/30/7/009","abstract":"The study aimed to develop a computational method for assessing relative changes in compartmental compliances within the brain: the arterial bed and the cerebrospinal space. The method utilizes the relationship between pulsatile components in the arterial blood volume, arterial blood pressure (ABP) and intracranial pressure (ICP). It was verified by using clinical recordings of intracranial pressure plateau waves, when massive vasodilatation accompanying plateau waves produces changes in brain compliances of the arterial bed (C a) and compliance of the cerebrospinal space (C i). Ten patients admitted after head injury with a median Glasgow Coma Score of 6 were studied retrospectively. ABP was directly monitored from the radial artery. Changes in the cerebral arterial blood volume were assessed using Transcranial Doppler (TCD) ultrasonography by digital integration of inflow blood velocity. During plateau waves, ICP increased (P = 0.001), CPP decreased (P = 0.001), ABP remained constant (P = 0.532), blood flow velocity decreased (P = 0.001). Calculated compliance of the arterial bed C a increased significantly (P = 0.001); compliance of the CSF space C i decreased (P = 0.001). We concluded that the method allows for continuous monitoring of relative changes in brain compartmental compliances. Plateau waves affect the balance between Engineering in Medicine Printed in the UK 647 648 D-J Kim et al vascular and CSF compartments, which is reflected by the inverse change of compliance of the cerebral arterial bed and global compliance of the CSF space.","author":[{"dropping-particle":"","family":"Kim","given":"Dong-Joo","non-dropping-particle":"","parse-names":false,"suffix":""},{"dropping-particle":"","family":"Kasprowicz","given":"Magdalena","non-dropping-particle":"","parse-names":false,"suffix":""},{"dropping-particle":"","family":"Carrera","given":"Emmanuel","non-dropping-particle":"","parse-names":false,"suffix":""},{"dropping-particle":"","family":"Castellani","given":"Gianluca","non-dropping-particle":"","parse-names":false,"suffix":""},{"dropping-particle":"","family":"Zweifel","given":"Christian","non-dropping-particle":"","parse-names":false,"suffix":""},{"dropping-particle":"","family":"Lavinio","given":"Andrea","non-dropping-particle":"","parse-names":false,"suffix":""},{"dropping-particle":"","family":"Smielewski","given":"Peter","non-dropping-particle":"","parse-names":false,"suffix":""},{"dropping-particle":"","family":"Sutcliffe","given":"Michael P F","non-dropping-particle":"","parse-names":false,"suffix":""},{"dropping-particle":"","family":"Pickard","given":"John D","non-dropping-particle":"","parse-names":false,"suffix":""},{"dropping-particle":"","family":"Czosnyka","given":"Marek","non-dropping-particle":"","parse-names":false,"suffix":""}],"container-title":"Physiol. Meas","id":"ITEM-1","issued":{"date-parts":[["2009"]]},"page":"647-659","title":"The monitoring of relative changes in compartmental compliances of brain","type":"article-journal","volume":"30"},"uris":["http://www.mendeley.com/documents/?uuid=838842ff-3d1a-3a2a-9360-169a0359ba25"]}],"mendeley":{"formattedCitation":"(1)","manualFormatting":"1","plainTextFormattedCitation":"(1)","previouslyFormattedCitation":"(1)"},"properties":{"noteIndex":0},"schema":"https://github.com/citation-style-language/schema/raw/master/csl-citation.json"}</w:instrText>
      </w:r>
      <w:r w:rsidR="004635D9" w:rsidRPr="004635D9">
        <w:rPr>
          <w:vertAlign w:val="superscript"/>
        </w:rPr>
        <w:fldChar w:fldCharType="separate"/>
      </w:r>
      <w:r w:rsidR="004635D9" w:rsidRPr="004635D9">
        <w:rPr>
          <w:noProof/>
          <w:vertAlign w:val="superscript"/>
        </w:rPr>
        <w:t>1</w:t>
      </w:r>
      <w:r w:rsidR="004635D9" w:rsidRPr="004635D9">
        <w:rPr>
          <w:vertAlign w:val="superscript"/>
        </w:rPr>
        <w:fldChar w:fldCharType="end"/>
      </w:r>
      <w:r w:rsidR="00527C27">
        <w:t>.</w:t>
      </w:r>
      <w:r>
        <w:t xml:space="preserve"> These authors</w:t>
      </w:r>
      <w:r w:rsidR="004635D9" w:rsidRPr="004635D9">
        <w:rPr>
          <w:vertAlign w:val="superscript"/>
        </w:rPr>
        <w:fldChar w:fldCharType="begin" w:fldLock="1"/>
      </w:r>
      <w:r w:rsidR="00A41837">
        <w:rPr>
          <w:vertAlign w:val="superscript"/>
        </w:rPr>
        <w:instrText>ADDIN CSL_CITATION {"citationItems":[{"id":"ITEM-1","itemData":{"DOI":"10.1088/0967-3334/30/7/009","abstract":"The study aimed to develop a computational method for assessing relative changes in compartmental compliances within the brain: the arterial bed and the cerebrospinal space. The method utilizes the relationship between pulsatile components in the arterial blood volume, arterial blood pressure (ABP) and intracranial pressure (ICP). It was verified by using clinical recordings of intracranial pressure plateau waves, when massive vasodilatation accompanying plateau waves produces changes in brain compliances of the arterial bed (C a) and compliance of the cerebrospinal space (C i). Ten patients admitted after head injury with a median Glasgow Coma Score of 6 were studied retrospectively. ABP was directly monitored from the radial artery. Changes in the cerebral arterial blood volume were assessed using Transcranial Doppler (TCD) ultrasonography by digital integration of inflow blood velocity. During plateau waves, ICP increased (P = 0.001), CPP decreased (P = 0.001), ABP remained constant (P = 0.532), blood flow velocity decreased (P = 0.001). Calculated compliance of the arterial bed C a increased significantly (P = 0.001); compliance of the CSF space C i decreased (P = 0.001). We concluded that the method allows for continuous monitoring of relative changes in brain compartmental compliances. Plateau waves affect the balance between Engineering in Medicine Printed in the UK 647 648 D-J Kim et al vascular and CSF compartments, which is reflected by the inverse change of compliance of the cerebral arterial bed and global compliance of the CSF space.","author":[{"dropping-particle":"","family":"Kim","given":"Dong-Joo","non-dropping-particle":"","parse-names":false,"suffix":""},{"dropping-particle":"","family":"Kasprowicz","given":"Magdalena","non-dropping-particle":"","parse-names":false,"suffix":""},{"dropping-particle":"","family":"Carrera","given":"Emmanuel","non-dropping-particle":"","parse-names":false,"suffix":""},{"dropping-particle":"","family":"Castellani","given":"Gianluca","non-dropping-particle":"","parse-names":false,"suffix":""},{"dropping-particle":"","family":"Zweifel","given":"Christian","non-dropping-particle":"","parse-names":false,"suffix":""},{"dropping-particle":"","family":"Lavinio","given":"Andrea","non-dropping-particle":"","parse-names":false,"suffix":""},{"dropping-particle":"","family":"Smielewski","given":"Peter","non-dropping-particle":"","parse-names":false,"suffix":""},{"dropping-particle":"","family":"Sutcliffe","given":"Michael P F","non-dropping-particle":"","parse-names":false,"suffix":""},{"dropping-particle":"","family":"Pickard","given":"John D","non-dropping-particle":"","parse-names":false,"suffix":""},{"dropping-particle":"","family":"Czosnyka","given":"Marek","non-dropping-particle":"","parse-names":false,"suffix":""}],"container-title":"Physiol. Meas","id":"ITEM-1","issued":{"date-parts":[["2009"]]},"page":"647-659","title":"The monitoring of relative changes in compartmental compliances of brain","type":"article-journal","volume":"30"},"uris":["http://www.mendeley.com/documents/?uuid=838842ff-3d1a-3a2a-9360-169a0359ba25"]}],"mendeley":{"formattedCitation":"(1)","manualFormatting":"1","plainTextFormattedCitation":"(1)","previouslyFormattedCitation":"(1)"},"properties":{"noteIndex":0},"schema":"https://github.com/citation-style-language/schema/raw/master/csl-citation.json"}</w:instrText>
      </w:r>
      <w:r w:rsidR="004635D9" w:rsidRPr="004635D9">
        <w:rPr>
          <w:vertAlign w:val="superscript"/>
        </w:rPr>
        <w:fldChar w:fldCharType="separate"/>
      </w:r>
      <w:r w:rsidR="004635D9" w:rsidRPr="004635D9">
        <w:rPr>
          <w:noProof/>
          <w:vertAlign w:val="superscript"/>
        </w:rPr>
        <w:t>1</w:t>
      </w:r>
      <w:r w:rsidR="004635D9" w:rsidRPr="004635D9">
        <w:rPr>
          <w:vertAlign w:val="superscript"/>
        </w:rPr>
        <w:fldChar w:fldCharType="end"/>
      </w:r>
      <w:r w:rsidR="004635D9">
        <w:t xml:space="preserve"> </w:t>
      </w:r>
      <w:r w:rsidR="00527C27">
        <w:t xml:space="preserve">emphasized the mean arterial inflow curve when computing a comprehensive descriptor of </w:t>
      </w:r>
      <w:r w:rsidR="004A0745">
        <w:t xml:space="preserve">pulsatile </w:t>
      </w:r>
      <w:r w:rsidR="00181257">
        <w:t xml:space="preserve">cerebral arterial blood volume </w:t>
      </w:r>
      <w:r>
        <w:t xml:space="preserve"> and their</w:t>
      </w:r>
      <w:r w:rsidR="00527C27">
        <w:t xml:space="preserve"> model below</w:t>
      </w:r>
      <w:r w:rsidR="004635D9" w:rsidRPr="004635D9">
        <w:rPr>
          <w:vertAlign w:val="superscript"/>
        </w:rPr>
        <w:fldChar w:fldCharType="begin" w:fldLock="1"/>
      </w:r>
      <w:r w:rsidR="00A41837">
        <w:rPr>
          <w:vertAlign w:val="superscript"/>
        </w:rPr>
        <w:instrText>ADDIN CSL_CITATION {"citationItems":[{"id":"ITEM-1","itemData":{"DOI":"10.1088/0967-3334/30/7/009","abstract":"The study aimed to develop a computational method for assessing relative changes in compartmental compliances within the brain: the arterial bed and the cerebrospinal space. The method utilizes the relationship between pulsatile components in the arterial blood volume, arterial blood pressure (ABP) and intracranial pressure (ICP). It was verified by using clinical recordings of intracranial pressure plateau waves, when massive vasodilatation accompanying plateau waves produces changes in brain compliances of the arterial bed (C a) and compliance of the cerebrospinal space (C i). Ten patients admitted after head injury with a median Glasgow Coma Score of 6 were studied retrospectively. ABP was directly monitored from the radial artery. Changes in the cerebral arterial blood volume were assessed using Transcranial Doppler (TCD) ultrasonography by digital integration of inflow blood velocity. During plateau waves, ICP increased (P = 0.001), CPP decreased (P = 0.001), ABP remained constant (P = 0.532), blood flow velocity decreased (P = 0.001). Calculated compliance of the arterial bed C a increased significantly (P = 0.001); compliance of the CSF space C i decreased (P = 0.001). We concluded that the method allows for continuous monitoring of relative changes in brain compartmental compliances. Plateau waves affect the balance between Engineering in Medicine Printed in the UK 647 648 D-J Kim et al vascular and CSF compartments, which is reflected by the inverse change of compliance of the cerebral arterial bed and global compliance of the CSF space.","author":[{"dropping-particle":"","family":"Kim","given":"Dong-Joo","non-dropping-particle":"","parse-names":false,"suffix":""},{"dropping-particle":"","family":"Kasprowicz","given":"Magdalena","non-dropping-particle":"","parse-names":false,"suffix":""},{"dropping-particle":"","family":"Carrera","given":"Emmanuel","non-dropping-particle":"","parse-names":false,"suffix":""},{"dropping-particle":"","family":"Castellani","given":"Gianluca","non-dropping-particle":"","parse-names":false,"suffix":""},{"dropping-particle":"","family":"Zweifel","given":"Christian","non-dropping-particle":"","parse-names":false,"suffix":""},{"dropping-particle":"","family":"Lavinio","given":"Andrea","non-dropping-particle":"","parse-names":false,"suffix":""},{"dropping-particle":"","family":"Smielewski","given":"Peter","non-dropping-particle":"","parse-names":false,"suffix":""},{"dropping-particle":"","family":"Sutcliffe","given":"Michael P F","non-dropping-particle":"","parse-names":false,"suffix":""},{"dropping-particle":"","family":"Pickard","given":"John D","non-dropping-particle":"","parse-names":false,"suffix":""},{"dropping-particle":"","family":"Czosnyka","given":"Marek","non-dropping-particle":"","parse-names":false,"suffix":""}],"container-title":"Physiol. Meas","id":"ITEM-1","issued":{"date-parts":[["2009"]]},"page":"647-659","title":"The monitoring of relative changes in compartmental compliances of brain","type":"article-journal","volume":"30"},"uris":["http://www.mendeley.com/documents/?uuid=838842ff-3d1a-3a2a-9360-169a0359ba25"]}],"mendeley":{"formattedCitation":"(1)","manualFormatting":"1","plainTextFormattedCitation":"(1)","previouslyFormattedCitation":"(1)"},"properties":{"noteIndex":0},"schema":"https://github.com/citation-style-language/schema/raw/master/csl-citation.json"}</w:instrText>
      </w:r>
      <w:r w:rsidR="004635D9" w:rsidRPr="004635D9">
        <w:rPr>
          <w:vertAlign w:val="superscript"/>
        </w:rPr>
        <w:fldChar w:fldCharType="separate"/>
      </w:r>
      <w:r w:rsidR="004635D9" w:rsidRPr="004635D9">
        <w:rPr>
          <w:noProof/>
          <w:vertAlign w:val="superscript"/>
        </w:rPr>
        <w:t>1</w:t>
      </w:r>
      <w:r w:rsidR="004635D9" w:rsidRPr="004635D9">
        <w:rPr>
          <w:vertAlign w:val="superscript"/>
        </w:rPr>
        <w:fldChar w:fldCharType="end"/>
      </w:r>
      <w:r w:rsidR="004635D9">
        <w:rPr>
          <w:vertAlign w:val="superscript"/>
        </w:rPr>
        <w:t xml:space="preserve"> </w:t>
      </w:r>
      <w:r w:rsidR="00527C27">
        <w:t xml:space="preserve">returns </w:t>
      </w:r>
      <w:r w:rsidR="003051F0">
        <w:t>the</w:t>
      </w:r>
      <w:r w:rsidR="00BF2327">
        <w:t xml:space="preserve"> </w:t>
      </w:r>
      <w:r w:rsidR="00527C27">
        <w:t xml:space="preserve">TCD-derived parameter </w:t>
      </w:r>
      <w:r w:rsidR="00527C27" w:rsidRPr="002B1490">
        <w:rPr>
          <w:i/>
        </w:rPr>
        <w:t>CaBV</w:t>
      </w:r>
      <w:r w:rsidR="00BF2327">
        <w:t xml:space="preserve">. This parameter </w:t>
      </w:r>
      <w:r w:rsidR="00527C27">
        <w:t>can be mathematically transformed through Fourier analysis to yield the fundamental harmonics of pulsatile components of CaBV, allowing a further-detailed expression of cerebral hemodynamics:</w:t>
      </w:r>
    </w:p>
    <w:p w14:paraId="5DD2C69F" w14:textId="77777777" w:rsidR="00527C27" w:rsidRDefault="00527C27" w:rsidP="00020ABC">
      <w:pPr>
        <w:spacing w:line="480" w:lineRule="auto"/>
        <w:ind w:firstLine="720"/>
        <w:rPr>
          <w:rFonts w:eastAsiaTheme="minorEastAsia"/>
        </w:rPr>
      </w:pPr>
    </w:p>
    <w:p w14:paraId="7A1A98AD" w14:textId="77777777" w:rsidR="00527C27" w:rsidRPr="00B865F0" w:rsidRDefault="00527C27" w:rsidP="00020ABC">
      <w:pPr>
        <w:spacing w:line="480" w:lineRule="auto"/>
        <w:ind w:firstLine="720"/>
        <w:rPr>
          <w:rFonts w:eastAsiaTheme="minorEastAsia"/>
        </w:rPr>
      </w:pPr>
      <m:oMathPara>
        <m:oMath>
          <m:r>
            <w:rPr>
              <w:rFonts w:ascii="Cambria Math" w:hAnsi="Cambria Math"/>
            </w:rPr>
            <w:lastRenderedPageBreak/>
            <m:t>CaBV</m:t>
          </m:r>
          <m:d>
            <m:dPr>
              <m:ctrlPr>
                <w:rPr>
                  <w:rFonts w:ascii="Cambria Math" w:hAnsi="Cambria Math"/>
                  <w:i/>
                </w:rPr>
              </m:ctrlPr>
            </m:dPr>
            <m:e>
              <m:r>
                <w:rPr>
                  <w:rFonts w:ascii="Cambria Math" w:hAnsi="Cambria Math"/>
                </w:rPr>
                <m:t>n</m:t>
              </m:r>
            </m:e>
          </m:d>
          <m:r>
            <w:rPr>
              <w:rFonts w:ascii="Cambria Math" w:hAnsi="Cambria Math"/>
            </w:rPr>
            <m:t xml:space="preserve">= </m:t>
          </m:r>
          <w:bookmarkStart w:id="0" w:name="_Hlk508283162"/>
          <m:sSub>
            <m:sSubPr>
              <m:ctrlPr>
                <w:rPr>
                  <w:rFonts w:ascii="Cambria Math" w:hAnsi="Cambria Math"/>
                  <w:i/>
                </w:rPr>
              </m:ctrlPr>
            </m:sSubPr>
            <m:e>
              <m:r>
                <w:rPr>
                  <w:rFonts w:ascii="Cambria Math" w:hAnsi="Cambria Math"/>
                </w:rPr>
                <m:t>S</m:t>
              </m:r>
            </m:e>
            <m:sub>
              <m:r>
                <w:rPr>
                  <w:rFonts w:ascii="Cambria Math" w:hAnsi="Cambria Math"/>
                </w:rPr>
                <m:t>a</m:t>
              </m:r>
            </m:sub>
          </m:sSub>
          <w:bookmarkEnd w:id="0"/>
          <m:r>
            <w:rPr>
              <w:rFonts w:ascii="Cambria Math" w:hAnsi="Cambria Math"/>
            </w:rPr>
            <m:t>×</m:t>
          </m:r>
          <m:nary>
            <m:naryPr>
              <m:chr m:val="∑"/>
              <m:limLoc m:val="undOvr"/>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m</m:t>
                  </m:r>
                </m:e>
                <m:sub>
                  <m:r>
                    <w:rPr>
                      <w:rFonts w:ascii="Cambria Math" w:hAnsi="Cambria Math"/>
                    </w:rPr>
                    <m:t>1</m:t>
                  </m:r>
                </m:sub>
              </m:sSub>
            </m:sub>
            <m:sup>
              <m:sSub>
                <m:sSubPr>
                  <m:ctrlPr>
                    <w:rPr>
                      <w:rFonts w:ascii="Cambria Math" w:hAnsi="Cambria Math"/>
                      <w:i/>
                    </w:rPr>
                  </m:ctrlPr>
                </m:sSubPr>
                <m:e>
                  <m:r>
                    <w:rPr>
                      <w:rFonts w:ascii="Cambria Math" w:hAnsi="Cambria Math"/>
                    </w:rPr>
                    <m:t>m</m:t>
                  </m:r>
                </m:e>
                <m:sub>
                  <m:r>
                    <w:rPr>
                      <w:rFonts w:ascii="Cambria Math" w:hAnsi="Cambria Math"/>
                    </w:rPr>
                    <m:t>n</m:t>
                  </m:r>
                </m:sub>
              </m:sSub>
            </m:sup>
            <m:e>
              <m:d>
                <m:dPr>
                  <m:begChr m:val="["/>
                  <m:endChr m:val="]"/>
                  <m:ctrlPr>
                    <w:rPr>
                      <w:rFonts w:ascii="Cambria Math" w:hAnsi="Cambria Math"/>
                      <w:i/>
                    </w:rPr>
                  </m:ctrlPr>
                </m:dPr>
                <m:e>
                  <m:r>
                    <w:rPr>
                      <w:rFonts w:ascii="Cambria Math" w:hAnsi="Cambria Math"/>
                    </w:rPr>
                    <m:t>CBFVa</m:t>
                  </m:r>
                  <m:d>
                    <m:dPr>
                      <m:ctrlPr>
                        <w:rPr>
                          <w:rFonts w:ascii="Cambria Math" w:hAnsi="Cambria Math"/>
                          <w:i/>
                        </w:rPr>
                      </m:ctrlPr>
                    </m:dPr>
                    <m:e>
                      <m:r>
                        <w:rPr>
                          <w:rFonts w:ascii="Cambria Math" w:hAnsi="Cambria Math"/>
                        </w:rPr>
                        <m:t>i</m:t>
                      </m:r>
                    </m:e>
                  </m:d>
                  <m:r>
                    <w:rPr>
                      <w:rFonts w:ascii="Cambria Math" w:hAnsi="Cambria Math"/>
                    </w:rPr>
                    <m:t>-mean</m:t>
                  </m:r>
                  <m:d>
                    <m:dPr>
                      <m:ctrlPr>
                        <w:rPr>
                          <w:rFonts w:ascii="Cambria Math" w:hAnsi="Cambria Math"/>
                          <w:i/>
                        </w:rPr>
                      </m:ctrlPr>
                    </m:dPr>
                    <m:e>
                      <m:r>
                        <w:rPr>
                          <w:rFonts w:ascii="Cambria Math" w:hAnsi="Cambria Math"/>
                        </w:rPr>
                        <m:t>CBFVa</m:t>
                      </m:r>
                    </m:e>
                  </m:d>
                </m:e>
              </m:d>
              <m:r>
                <w:rPr>
                  <w:rFonts w:ascii="Cambria Math" w:hAnsi="Cambria Math"/>
                </w:rPr>
                <m:t>∆t (i)</m:t>
              </m:r>
            </m:e>
          </m:nary>
        </m:oMath>
      </m:oMathPara>
    </w:p>
    <w:p w14:paraId="696019A9" w14:textId="07E978DD" w:rsidR="00527C27" w:rsidRPr="00B865F0" w:rsidRDefault="00527C27" w:rsidP="00020ABC">
      <w:pPr>
        <w:spacing w:line="480" w:lineRule="auto"/>
        <w:ind w:firstLine="720"/>
      </w:pPr>
      <w:r>
        <w:t xml:space="preserve">                                                                                                                                                   [</w:t>
      </w:r>
      <w:r w:rsidR="007F36D4">
        <w:t>1</w:t>
      </w:r>
      <w:r>
        <w:t>]</w:t>
      </w:r>
    </w:p>
    <w:p w14:paraId="26C54921" w14:textId="504FD6E0" w:rsidR="00527C27" w:rsidRPr="004635D9" w:rsidRDefault="00527C27" w:rsidP="00020ABC">
      <w:pPr>
        <w:spacing w:line="480" w:lineRule="auto"/>
        <w:rPr>
          <w:rFonts w:eastAsiaTheme="minorEastAsia"/>
          <w:vertAlign w:val="superscript"/>
        </w:rPr>
      </w:pPr>
      <w:r w:rsidRPr="00B865F0">
        <w:rPr>
          <w:rFonts w:eastAsiaTheme="minorEastAsia"/>
        </w:rPr>
        <w:t>where</w:t>
      </w:r>
      <w:r w:rsidRPr="00B865F0">
        <w:rPr>
          <w:rFonts w:eastAsiaTheme="minorEastAsia"/>
          <w:sz w:val="24"/>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 xml:space="preserve"> </m:t>
        </m:r>
      </m:oMath>
      <w:r w:rsidRPr="00B865F0">
        <w:rPr>
          <w:rFonts w:eastAsiaTheme="minorEastAsia"/>
        </w:rPr>
        <w:t>represents the cross-sectional area of the MCA</w:t>
      </w:r>
      <w:r>
        <w:rPr>
          <w:rFonts w:eastAsiaTheme="minorEastAsia"/>
        </w:rPr>
        <w:t>,</w:t>
      </w:r>
      <m:oMath>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oMath>
      <w:r>
        <w:rPr>
          <w:rFonts w:eastAsiaTheme="minorEastAsia"/>
        </w:rPr>
        <w:t xml:space="preserve"> the first sample of the interval, </w:t>
      </w:r>
      <w:r w:rsidRPr="00B865F0">
        <w:rPr>
          <w:rFonts w:eastAsiaTheme="minorEastAsia"/>
          <w:i/>
        </w:rPr>
        <w:t>n</w:t>
      </w:r>
      <w:r>
        <w:rPr>
          <w:rFonts w:eastAsiaTheme="minorEastAsia"/>
        </w:rPr>
        <w:t xml:space="preserve"> the number of samples, </w:t>
      </w:r>
      <w:r w:rsidRPr="00B865F0">
        <w:rPr>
          <w:rFonts w:eastAsiaTheme="minorEastAsia"/>
          <w:i/>
        </w:rPr>
        <w:t>CBF</w:t>
      </w:r>
      <w:r>
        <w:rPr>
          <w:rFonts w:eastAsiaTheme="minorEastAsia"/>
          <w:i/>
        </w:rPr>
        <w:t>V</w:t>
      </w:r>
      <w:r w:rsidRPr="00B865F0">
        <w:rPr>
          <w:rFonts w:eastAsiaTheme="minorEastAsia"/>
          <w:i/>
        </w:rPr>
        <w:t>a</w:t>
      </w:r>
      <w:r>
        <w:rPr>
          <w:rFonts w:eastAsiaTheme="minorEastAsia"/>
        </w:rPr>
        <w:t xml:space="preserve"> the cerebral arterial blood flow velocity, and </w:t>
      </w:r>
      <m:oMath>
        <m:r>
          <w:rPr>
            <w:rFonts w:ascii="Cambria Math" w:hAnsi="Cambria Math"/>
          </w:rPr>
          <m:t>∆t</m:t>
        </m:r>
      </m:oMath>
      <w:r>
        <w:rPr>
          <w:rFonts w:eastAsiaTheme="minorEastAsia"/>
        </w:rPr>
        <w:t xml:space="preserve"> is the time interval between two consecutive samples</w:t>
      </w:r>
      <w:r w:rsidR="004635D9" w:rsidRPr="004635D9">
        <w:rPr>
          <w:rFonts w:eastAsiaTheme="minorEastAsia"/>
          <w:vertAlign w:val="superscript"/>
        </w:rPr>
        <w:fldChar w:fldCharType="begin" w:fldLock="1"/>
      </w:r>
      <w:r w:rsidR="00A41837">
        <w:rPr>
          <w:rFonts w:eastAsiaTheme="minorEastAsia"/>
          <w:vertAlign w:val="superscript"/>
        </w:rPr>
        <w:instrText>ADDIN CSL_CITATION {"citationItems":[{"id":"ITEM-1","itemData":{"DOI":"10.1088/0967-3334/30/7/009","abstract":"The study aimed to develop a computational method for assessing relative changes in compartmental compliances within the brain: the arterial bed and the cerebrospinal space. The method utilizes the relationship between pulsatile components in the arterial blood volume, arterial blood pressure (ABP) and intracranial pressure (ICP). It was verified by using clinical recordings of intracranial pressure plateau waves, when massive vasodilatation accompanying plateau waves produces changes in brain compliances of the arterial bed (C a) and compliance of the cerebrospinal space (C i). Ten patients admitted after head injury with a median Glasgow Coma Score of 6 were studied retrospectively. ABP was directly monitored from the radial artery. Changes in the cerebral arterial blood volume were assessed using Transcranial Doppler (TCD) ultrasonography by digital integration of inflow blood velocity. During plateau waves, ICP increased (P = 0.001), CPP decreased (P = 0.001), ABP remained constant (P = 0.532), blood flow velocity decreased (P = 0.001). Calculated compliance of the arterial bed C a increased significantly (P = 0.001); compliance of the CSF space C i decreased (P = 0.001). We concluded that the method allows for continuous monitoring of relative changes in brain compartmental compliances. Plateau waves affect the balance between Engineering in Medicine Printed in the UK 647 648 D-J Kim et al vascular and CSF compartments, which is reflected by the inverse change of compliance of the cerebral arterial bed and global compliance of the CSF space.","author":[{"dropping-particle":"","family":"Kim","given":"Dong-Joo","non-dropping-particle":"","parse-names":false,"suffix":""},{"dropping-particle":"","family":"Kasprowicz","given":"Magdalena","non-dropping-particle":"","parse-names":false,"suffix":""},{"dropping-particle":"","family":"Carrera","given":"Emmanuel","non-dropping-particle":"","parse-names":false,"suffix":""},{"dropping-particle":"","family":"Castellani","given":"Gianluca","non-dropping-particle":"","parse-names":false,"suffix":""},{"dropping-particle":"","family":"Zweifel","given":"Christian","non-dropping-particle":"","parse-names":false,"suffix":""},{"dropping-particle":"","family":"Lavinio","given":"Andrea","non-dropping-particle":"","parse-names":false,"suffix":""},{"dropping-particle":"","family":"Smielewski","given":"Peter","non-dropping-particle":"","parse-names":false,"suffix":""},{"dropping-particle":"","family":"Sutcliffe","given":"Michael P F","non-dropping-particle":"","parse-names":false,"suffix":""},{"dropping-particle":"","family":"Pickard","given":"John D","non-dropping-particle":"","parse-names":false,"suffix":""},{"dropping-particle":"","family":"Czosnyka","given":"Marek","non-dropping-particle":"","parse-names":false,"suffix":""}],"container-title":"Physiol. Meas","id":"ITEM-1","issued":{"date-parts":[["2009"]]},"page":"647-659","title":"The monitoring of relative changes in compartmental compliances of brain","type":"article-journal","volume":"30"},"uris":["http://www.mendeley.com/documents/?uuid=838842ff-3d1a-3a2a-9360-169a0359ba25"]}],"mendeley":{"formattedCitation":"(1)","manualFormatting":"1","plainTextFormattedCitation":"(1)","previouslyFormattedCitation":"(1)"},"properties":{"noteIndex":0},"schema":"https://github.com/citation-style-language/schema/raw/master/csl-citation.json"}</w:instrText>
      </w:r>
      <w:r w:rsidR="004635D9" w:rsidRPr="004635D9">
        <w:rPr>
          <w:rFonts w:eastAsiaTheme="minorEastAsia"/>
          <w:vertAlign w:val="superscript"/>
        </w:rPr>
        <w:fldChar w:fldCharType="separate"/>
      </w:r>
      <w:r w:rsidR="004635D9" w:rsidRPr="004635D9">
        <w:rPr>
          <w:rFonts w:eastAsiaTheme="minorEastAsia"/>
          <w:noProof/>
          <w:vertAlign w:val="superscript"/>
        </w:rPr>
        <w:t>1</w:t>
      </w:r>
      <w:r w:rsidR="004635D9" w:rsidRPr="004635D9">
        <w:rPr>
          <w:rFonts w:eastAsiaTheme="minorEastAsia"/>
          <w:vertAlign w:val="superscript"/>
        </w:rPr>
        <w:fldChar w:fldCharType="end"/>
      </w:r>
      <w:r>
        <w:rPr>
          <w:rFonts w:eastAsiaTheme="minorEastAsia"/>
        </w:rPr>
        <w:t xml:space="preserve">. </w:t>
      </w:r>
    </w:p>
    <w:p w14:paraId="79933D91" w14:textId="226EB4C7" w:rsidR="00527C27" w:rsidRDefault="00527C27" w:rsidP="00020ABC">
      <w:pPr>
        <w:spacing w:line="480" w:lineRule="auto"/>
        <w:ind w:firstLine="720"/>
      </w:pPr>
      <w:r>
        <w:t xml:space="preserve">The foundations of this </w:t>
      </w:r>
      <w:r w:rsidR="00E32E0D">
        <w:t>present study</w:t>
      </w:r>
      <w:r>
        <w:t xml:space="preserve"> are rooted in the outcomes from experimental modeling </w:t>
      </w:r>
      <w:r w:rsidR="00E32E0D">
        <w:t>research</w:t>
      </w:r>
      <w:r>
        <w:t xml:space="preserve"> conducted by </w:t>
      </w:r>
      <w:r w:rsidRPr="002F6230">
        <w:t>Uryga et al.</w:t>
      </w:r>
      <w:r w:rsidRPr="00A83614">
        <w:rPr>
          <w:vertAlign w:val="superscript"/>
        </w:rPr>
        <w:fldChar w:fldCharType="begin" w:fldLock="1"/>
      </w:r>
      <w:r w:rsidR="00A41837">
        <w:rPr>
          <w:vertAlign w:val="superscript"/>
        </w:rPr>
        <w:instrText>ADDIN CSL_CITATION {"citationItems":[{"id":"ITEM-1","itemData":{"author":[{"dropping-particle":"","family":"Uryga A","given":"","non-dropping-particle":"","parse-names":false,"suffix":""},{"dropping-particle":"","family":"M","given":"Kasprowicz","non-dropping-particle":"","parse-names":false,"suffix":""},{"dropping-particle":"","family":"R","given":"Diehl","non-dropping-particle":"","parse-names":false,"suffix":""},{"dropping-particle":"","family":"K","given":"Kaczmarska","non-dropping-particle":"","parse-names":false,"suffix":""},{"dropping-particle":"","family":"Calviello L","given":"Czosnyka M.","non-dropping-particle":"","parse-names":false,"suffix":""}],"container-title":"Ultrasound in Medicine &amp; Biology.","id":"ITEM-1","issue":"In Review","issued":{"date-parts":[["2017"]]},"title":"Assessment of cerebral hemodynamic parameters using pulsatile versus non-pulsatile blood outflow model.","type":"article-journal"},"uris":["http://www.mendeley.com/documents/?uuid=d57068ca-a79a-4d12-8a00-98a8decb029b"]}],"mendeley":{"formattedCitation":"(7)","manualFormatting":"7","plainTextFormattedCitation":"(7)","previouslyFormattedCitation":"(7)"},"properties":{"noteIndex":0},"schema":"https://github.com/citation-style-language/schema/raw/master/csl-citation.json"}</w:instrText>
      </w:r>
      <w:r w:rsidRPr="00A83614">
        <w:rPr>
          <w:vertAlign w:val="superscript"/>
        </w:rPr>
        <w:fldChar w:fldCharType="separate"/>
      </w:r>
      <w:r w:rsidRPr="00A83614">
        <w:rPr>
          <w:noProof/>
          <w:vertAlign w:val="superscript"/>
        </w:rPr>
        <w:t>7</w:t>
      </w:r>
      <w:r w:rsidRPr="00A83614">
        <w:rPr>
          <w:vertAlign w:val="superscript"/>
        </w:rPr>
        <w:fldChar w:fldCharType="end"/>
      </w:r>
      <w:r w:rsidRPr="002F6230">
        <w:t>.</w:t>
      </w:r>
      <w:r>
        <w:t xml:space="preserve"> While manipulating arterial blood carbon dioxide concentration in healthy volunteers</w:t>
      </w:r>
      <w:r w:rsidRPr="002F6230">
        <w:t xml:space="preserve">, </w:t>
      </w:r>
      <w:r w:rsidR="00E32E0D">
        <w:t>the authors</w:t>
      </w:r>
      <w:r w:rsidRPr="00A83614">
        <w:rPr>
          <w:vertAlign w:val="superscript"/>
        </w:rPr>
        <w:fldChar w:fldCharType="begin" w:fldLock="1"/>
      </w:r>
      <w:r w:rsidR="00A41837">
        <w:rPr>
          <w:vertAlign w:val="superscript"/>
        </w:rPr>
        <w:instrText>ADDIN CSL_CITATION {"citationItems":[{"id":"ITEM-1","itemData":{"author":[{"dropping-particle":"","family":"Uryga A","given":"","non-dropping-particle":"","parse-names":false,"suffix":""},{"dropping-particle":"","family":"M","given":"Kasprowicz","non-dropping-particle":"","parse-names":false,"suffix":""},{"dropping-particle":"","family":"R","given":"Diehl","non-dropping-particle":"","parse-names":false,"suffix":""},{"dropping-particle":"","family":"K","given":"Kaczmarska","non-dropping-particle":"","parse-names":false,"suffix":""},{"dropping-particle":"","family":"Calviello L","given":"Czosnyka M.","non-dropping-particle":"","parse-names":false,"suffix":""}],"container-title":"Ultrasound in Medicine &amp; Biology.","id":"ITEM-1","issue":"In Review","issued":{"date-parts":[["2017"]]},"title":"Assessment of cerebral hemodynamic parameters using pulsatile versus non-pulsatile blood outflow model.","type":"article-journal"},"uris":["http://www.mendeley.com/documents/?uuid=d57068ca-a79a-4d12-8a00-98a8decb029b"]}],"mendeley":{"formattedCitation":"(7)","manualFormatting":"7","plainTextFormattedCitation":"(7)","previouslyFormattedCitation":"(7)"},"properties":{"noteIndex":0},"schema":"https://github.com/citation-style-language/schema/raw/master/csl-citation.json"}</w:instrText>
      </w:r>
      <w:r w:rsidRPr="00A83614">
        <w:rPr>
          <w:vertAlign w:val="superscript"/>
        </w:rPr>
        <w:fldChar w:fldCharType="separate"/>
      </w:r>
      <w:r w:rsidRPr="00A83614">
        <w:rPr>
          <w:noProof/>
          <w:vertAlign w:val="superscript"/>
        </w:rPr>
        <w:t>7</w:t>
      </w:r>
      <w:r w:rsidRPr="00A83614">
        <w:rPr>
          <w:vertAlign w:val="superscript"/>
        </w:rPr>
        <w:fldChar w:fldCharType="end"/>
      </w:r>
      <w:r w:rsidRPr="002F6230">
        <w:t xml:space="preserve"> </w:t>
      </w:r>
      <w:r>
        <w:t xml:space="preserve">compared the abilities of continuous flow forward (CFF) and pulsatile flow forward (PFF) models of </w:t>
      </w:r>
      <w:r w:rsidR="00BB11B6">
        <w:t xml:space="preserve">pulsatile </w:t>
      </w:r>
      <w:r>
        <w:t xml:space="preserve">CaBV change as holistic descriptors of various cerebral hemodynamic indices. “Flow forward” refers to the direction of cerebral blood transport from large arteries into resistive arterioles. The CFF modeling approach relies on the balance between the simultaneously-opposing forces of pulsatile cerebral blood inflow and cerebral blood outflow, which influence changes in </w:t>
      </w:r>
      <w:r w:rsidR="003051F0">
        <w:t>CaBV</w:t>
      </w:r>
      <w:r>
        <w:t>. Citing Avezaat and van Eijnd</w:t>
      </w:r>
      <w:r w:rsidR="00700D9D">
        <w:t>h</w:t>
      </w:r>
      <w:r>
        <w:t>ove</w:t>
      </w:r>
      <w:r w:rsidR="004635D9">
        <w:t>n</w:t>
      </w:r>
      <w:r w:rsidR="00DA367D">
        <w:t xml:space="preserve"> (1986)</w:t>
      </w:r>
      <w:r w:rsidR="00997038" w:rsidRPr="00997038">
        <w:rPr>
          <w:vertAlign w:val="superscript"/>
        </w:rPr>
        <w:fldChar w:fldCharType="begin" w:fldLock="1"/>
      </w:r>
      <w:r w:rsidR="00A41837">
        <w:rPr>
          <w:vertAlign w:val="superscript"/>
        </w:rPr>
        <w:instrText>ADDIN CSL_CITATION {"citationItems":[{"id":"ITEM-1","itemData":{"abstract":"The magnitude of the pulsatile intracranial pressure variations (CSF pulse pressure) is determined by the elastance of the craniospinal system and by the magnitude of the pulsatile variations in cerebral blood volume (CBV). The pulsatile change in CBV is, among other factors, determined by the com-pliance of the cerebral vascular bed which, in its turn, is dependent on the cerebral vasomotor tone. This concept has led the authors to devise a method for the assessment of both the elastance and the state of the cerebral vasomotor tone based on the rela-tionship between CSF pulse pressure and intracran-ial pressure. This relationship was found to be of a linear nature both in clinical patients and in experi-mental animals. A significant, positive correlation was found between the slope of this relationship and the value of the craniospinal volume-pressure rela-tionship: the elastance coefficient. During elevation of the intracranial pressure a breakpoint was ob-served in the relationship between CSF pulse pressure and the intracranial pressure above which the pulse pressure increased more rapidly. The elast-ance remained constant above this breakpoint. The same phenomenon was observed during plateau waves in clinical patients. Induced changes in sys-temic arterial pressure produced opposite effects on CSF pulse pressure and elastance coefficient. In these cases the discrepancy between pulse pressure and elastance was attributed to the pulsatile changes in CBV and this could be verified by means of electromagnetic flowmetry. The advantage of this method is that all the information is contained within the intracranial pressure signal itself, from which it can be extracted by simple means without the use of invasive tests.","author":[{"dropping-particle":"","family":"Avezaat","given":"Cees J J","non-dropping-particle":"","parse-names":false,"suffix":""},{"dropping-particle":"","family":"Eijndhoven","given":"John H M","non-dropping-particle":"Van","parse-names":false,"suffix":""}],"container-title":"Neurosurg. Rev","id":"ITEM-1","issued":{"date-parts":[["1986"]]},"page":"113-120","title":"The role of the pulsatile pressure variations in intracranial pressure monitoring","type":"article-journal","volume":"9"},"uris":["http://www.mendeley.com/documents/?uuid=b0018f8e-2a9f-35cf-8a9a-67b912293ceb"]}],"mendeley":{"formattedCitation":"(8)","manualFormatting":"8","plainTextFormattedCitation":"(8)","previouslyFormattedCitation":"(8)"},"properties":{"noteIndex":0},"schema":"https://github.com/citation-style-language/schema/raw/master/csl-citation.json"}</w:instrText>
      </w:r>
      <w:r w:rsidR="00997038" w:rsidRPr="00997038">
        <w:rPr>
          <w:vertAlign w:val="superscript"/>
        </w:rPr>
        <w:fldChar w:fldCharType="separate"/>
      </w:r>
      <w:r w:rsidR="00997038" w:rsidRPr="00997038">
        <w:rPr>
          <w:noProof/>
          <w:vertAlign w:val="superscript"/>
        </w:rPr>
        <w:t>8</w:t>
      </w:r>
      <w:r w:rsidR="00997038" w:rsidRPr="00997038">
        <w:rPr>
          <w:vertAlign w:val="superscript"/>
        </w:rPr>
        <w:fldChar w:fldCharType="end"/>
      </w:r>
      <w:r>
        <w:t xml:space="preserve">, they created a time-integrated function of the difference between both inflow and outflow over a single cardiac cycle (Equation </w:t>
      </w:r>
      <w:r w:rsidR="007F36D4">
        <w:t>2</w:t>
      </w:r>
      <w:r>
        <w:t xml:space="preserve">, below). </w:t>
      </w:r>
    </w:p>
    <w:p w14:paraId="20ADE7ED" w14:textId="77777777" w:rsidR="00527C27" w:rsidRDefault="00527C27" w:rsidP="00020ABC">
      <w:pPr>
        <w:spacing w:line="480" w:lineRule="auto"/>
        <w:ind w:firstLine="720"/>
        <w:jc w:val="center"/>
        <w:rPr>
          <w:rFonts w:ascii="Times New Roman" w:hAnsi="Times New Roman" w:cs="Times New Roman"/>
          <w:color w:val="FF0000"/>
          <w:lang w:val="en-GB"/>
        </w:rPr>
      </w:pPr>
    </w:p>
    <w:p w14:paraId="4AA73980" w14:textId="02DB721A" w:rsidR="00527C27" w:rsidRDefault="00527C27" w:rsidP="00020ABC">
      <w:pPr>
        <w:spacing w:line="480" w:lineRule="auto"/>
        <w:ind w:firstLine="720"/>
        <w:jc w:val="center"/>
        <w:rPr>
          <w:rFonts w:ascii="Times New Roman" w:hAnsi="Times New Roman" w:cs="Times New Roman"/>
          <w:lang w:val="en-GB"/>
        </w:rPr>
      </w:pPr>
      <w:r w:rsidRPr="006F0E67">
        <w:rPr>
          <w:rFonts w:ascii="Times New Roman" w:hAnsi="Times New Roman" w:cs="Times New Roman"/>
          <w:color w:val="FF0000"/>
          <w:position w:val="-34"/>
          <w:lang w:val="en-GB"/>
        </w:rPr>
        <w:object w:dxaOrig="4140" w:dyaOrig="760" w14:anchorId="26B56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75pt;height:35.7pt" o:ole="">
            <v:imagedata r:id="rId15" o:title=""/>
          </v:shape>
          <o:OLEObject Type="Embed" ProgID="Equation.DSMT4" ShapeID="_x0000_i1025" DrawAspect="Content" ObjectID="_1631979302" r:id="rId16"/>
        </w:object>
      </w:r>
      <w:r>
        <w:rPr>
          <w:rFonts w:ascii="Times New Roman" w:hAnsi="Times New Roman" w:cs="Times New Roman"/>
          <w:lang w:val="en-GB"/>
        </w:rPr>
        <w:t xml:space="preserve">                          </w:t>
      </w:r>
      <w:r w:rsidR="006B4CA4">
        <w:rPr>
          <w:rFonts w:ascii="Times New Roman" w:hAnsi="Times New Roman" w:cs="Times New Roman"/>
          <w:lang w:val="en-GB"/>
        </w:rPr>
        <w:t xml:space="preserve">      </w:t>
      </w:r>
      <w:r>
        <w:rPr>
          <w:rFonts w:ascii="Times New Roman" w:hAnsi="Times New Roman" w:cs="Times New Roman"/>
          <w:lang w:val="en-GB"/>
        </w:rPr>
        <w:t>[</w:t>
      </w:r>
      <w:r w:rsidR="007F36D4">
        <w:rPr>
          <w:rFonts w:ascii="Times New Roman" w:hAnsi="Times New Roman" w:cs="Times New Roman"/>
          <w:lang w:val="en-GB"/>
        </w:rPr>
        <w:t>2</w:t>
      </w:r>
      <w:r>
        <w:rPr>
          <w:rFonts w:ascii="Times New Roman" w:hAnsi="Times New Roman" w:cs="Times New Roman"/>
          <w:lang w:val="en-GB"/>
        </w:rPr>
        <w:t>]</w:t>
      </w:r>
      <w:r w:rsidR="00AB6B36">
        <w:rPr>
          <w:rFonts w:ascii="Times New Roman" w:hAnsi="Times New Roman" w:cs="Times New Roman"/>
          <w:lang w:val="en-GB"/>
        </w:rPr>
        <w:t xml:space="preserve">     </w:t>
      </w:r>
    </w:p>
    <w:p w14:paraId="0C55CB81" w14:textId="77777777" w:rsidR="00527C27" w:rsidRDefault="00527C27" w:rsidP="00020ABC">
      <w:pPr>
        <w:spacing w:line="480" w:lineRule="auto"/>
        <w:ind w:firstLine="720"/>
        <w:jc w:val="center"/>
      </w:pPr>
    </w:p>
    <w:p w14:paraId="526CCBD5" w14:textId="53DD2732" w:rsidR="00527C27" w:rsidRDefault="00527C27" w:rsidP="00020ABC">
      <w:pPr>
        <w:spacing w:line="480" w:lineRule="auto"/>
        <w:ind w:firstLine="720"/>
      </w:pPr>
      <w:r>
        <w:t>However, when employing TCD, this simplistic function requires averaging over several cardiac cycles to provide a surrogate measure of the blood inflow and outflow that occur in tandem</w:t>
      </w:r>
      <w:r w:rsidRPr="00A83614">
        <w:rPr>
          <w:vertAlign w:val="superscript"/>
        </w:rPr>
        <w:fldChar w:fldCharType="begin" w:fldLock="1"/>
      </w:r>
      <w:r w:rsidR="00A41837">
        <w:rPr>
          <w:vertAlign w:val="superscript"/>
        </w:rPr>
        <w:instrText>ADDIN CSL_CITATION {"citationItems":[{"id":"ITEM-1","itemData":{"author":[{"dropping-particle":"","family":"Uryga A","given":"","non-dropping-particle":"","parse-names":false,"suffix":""},{"dropping-particle":"","family":"M","given":"Kasprowicz","non-dropping-particle":"","parse-names":false,"suffix":""},{"dropping-particle":"","family":"R","given":"Diehl","non-dropping-particle":"","parse-names":false,"suffix":""},{"dropping-particle":"","family":"K","given":"Kaczmarska","non-dropping-particle":"","parse-names":false,"suffix":""},{"dropping-particle":"","family":"Calviello L","given":"Czosnyka M.","non-dropping-particle":"","parse-names":false,"suffix":""}],"container-title":"Ultrasound in Medicine &amp; Biology.","id":"ITEM-1","issue":"In Review","issued":{"date-parts":[["2017"]]},"title":"Assessment of cerebral hemodynamic parameters using pulsatile versus non-pulsatile blood outflow model.","type":"article-journal"},"uris":["http://www.mendeley.com/documents/?uuid=d57068ca-a79a-4d12-8a00-98a8decb029b"]}],"mendeley":{"formattedCitation":"(7)","manualFormatting":"7","plainTextFormattedCitation":"(7)","previouslyFormattedCitation":"(7)"},"properties":{"noteIndex":0},"schema":"https://github.com/citation-style-language/schema/raw/master/csl-citation.json"}</w:instrText>
      </w:r>
      <w:r w:rsidRPr="00A83614">
        <w:rPr>
          <w:vertAlign w:val="superscript"/>
        </w:rPr>
        <w:fldChar w:fldCharType="separate"/>
      </w:r>
      <w:r w:rsidRPr="00A83614">
        <w:rPr>
          <w:noProof/>
          <w:vertAlign w:val="superscript"/>
        </w:rPr>
        <w:t>7</w:t>
      </w:r>
      <w:r w:rsidRPr="00A83614">
        <w:rPr>
          <w:vertAlign w:val="superscript"/>
        </w:rPr>
        <w:fldChar w:fldCharType="end"/>
      </w:r>
      <w:r w:rsidR="00DA367D">
        <w:rPr>
          <w:vertAlign w:val="superscript"/>
        </w:rPr>
        <w:t>,</w:t>
      </w:r>
      <w:r w:rsidR="00DA367D" w:rsidRPr="00DA367D">
        <w:rPr>
          <w:vertAlign w:val="superscript"/>
        </w:rPr>
        <w:fldChar w:fldCharType="begin" w:fldLock="1"/>
      </w:r>
      <w:r w:rsidR="00A41837">
        <w:rPr>
          <w:vertAlign w:val="superscript"/>
        </w:rPr>
        <w:instrText>ADDIN CSL_CITATION {"citationItems":[{"id":"ITEM-1","itemData":{"DOI":"10.1007/BF01411173","ISBN":"0001-6268","ISSN":"00016268","PMID":"8800328","abstract":"The authors have investigated the relationships between the amplitude of the ICP pulse wave, the mean values of ICP and CPP, and the outcome of 56 head injured ventilated patients. The ICP was monitored continuously using a Camino transducer (35 patients) or subdural catheter (21 patients). The mean Glasgow Coma Score was 6 (range 3-13; 5 patients had a GCS &gt; 8 after resuscitation). Patients were grouped according to their Glasgow Outcome Score assessed at 12 months after injury. The amplitude of ICP pulse waveform was assessed using the fundamental harmonic of the pulse waveform (AMP) to avoid distortion caused by different frequency responses of the pressure transducers used in the study. Statistical analysis revealed that in patients with fatal outcome the ICP pulse amplitude increased when the mean ICP increased to 25 mmHg and then began to decrease. The upper breakpoint of the AMP-ICP relationship was not present in patients with good/moderate outcome. The moving correlation coefficient between the fundamental harmonic of ICP pulse wave and the mean ICP (RAP: R-symbol of correlation between A-amplitude and P-pressure) was introduced to describe the time-dependent changes in correlation between amplitude and mean ICP. The RAP was significantly lower in patients who died or remained in the vegetative state. In 7 patients who died from uncontrollable intracranial hypertension RAP was oscillating or decreased to 0 or negative values well before brain-stem herniation. The combination of an ICP above 20 mmHg for a period longer than 6 hours with low correlation between the amplitude and pressure (RAP &lt; 0.5) was described as an predictive index of an unfavourable outcome.","author":[{"dropping-particle":"","family":"Czosnyka","given":"M.","non-dropping-particle":"","parse-names":false,"suffix":""},{"dropping-particle":"","family":"Guazzo","given":"E.","non-dropping-particle":"","parse-names":false,"suffix":""},{"dropping-particle":"","family":"Whitehouse","given":"M.","non-dropping-particle":"","parse-names":false,"suffix":""},{"dropping-particle":"","family":"Smielewski","given":"P.","non-dropping-particle":"","parse-names":false,"suffix":""},{"dropping-particle":"","family":"Czosnyka","given":"Z.","non-dropping-particle":"","parse-names":false,"suffix":""},{"dropping-particle":"","family":"Kirkpatrick","given":"P.","non-dropping-particle":"","parse-names":false,"suffix":""},{"dropping-particle":"","family":"Piechnik","given":"S.","non-dropping-particle":"","parse-names":false,"suffix":""},{"dropping-particle":"","family":"Pickard","given":"J. D.","non-dropping-particle":"","parse-names":false,"suffix":""}],"container-title":"Acta Neurochirurgica","id":"ITEM-1","issue":"5","issued":{"date-parts":[["1996"]]},"page":"531-542","title":"Significance of intracranial pressure waveform analysis after head injury","type":"article-journal","volume":"138"},"uris":["http://www.mendeley.com/documents/?uuid=019e58f0-36b9-4658-94a7-4b26ed48b48e"]}],"mendeley":{"formattedCitation":"(9)","manualFormatting":"9","plainTextFormattedCitation":"(9)","previouslyFormattedCitation":"(9)"},"properties":{"noteIndex":0},"schema":"https://github.com/citation-style-language/schema/raw/master/csl-citation.json"}</w:instrText>
      </w:r>
      <w:r w:rsidR="00DA367D" w:rsidRPr="00DA367D">
        <w:rPr>
          <w:vertAlign w:val="superscript"/>
        </w:rPr>
        <w:fldChar w:fldCharType="separate"/>
      </w:r>
      <w:r w:rsidR="00DA367D" w:rsidRPr="00DA367D">
        <w:rPr>
          <w:noProof/>
          <w:vertAlign w:val="superscript"/>
        </w:rPr>
        <w:t>9</w:t>
      </w:r>
      <w:r w:rsidR="00DA367D" w:rsidRPr="00DA367D">
        <w:rPr>
          <w:vertAlign w:val="superscript"/>
        </w:rPr>
        <w:fldChar w:fldCharType="end"/>
      </w:r>
      <w:r w:rsidR="00DA367D">
        <w:t xml:space="preserve">. </w:t>
      </w:r>
      <w:r>
        <w:t xml:space="preserve">To </w:t>
      </w:r>
      <w:r>
        <w:lastRenderedPageBreak/>
        <w:t xml:space="preserve">counter the effects of the variability of both blood outflow and systemic vascular impedances as a result of pulsatile changes in the ABP waveform, a second modeling approach was necessitated, becoming PFF. CaBV expressed by PFF would be a time-integrated function of the difference between </w:t>
      </w:r>
      <w:r w:rsidR="00AC5E46">
        <w:t xml:space="preserve">the </w:t>
      </w:r>
      <w:r>
        <w:t>cerebral blood flow (CBF)</w:t>
      </w:r>
      <w:r w:rsidR="00E32E0D">
        <w:t xml:space="preserve"> signal</w:t>
      </w:r>
      <w:r>
        <w:t xml:space="preserve"> and</w:t>
      </w:r>
      <w:r w:rsidR="00AC5E46">
        <w:t xml:space="preserve"> the</w:t>
      </w:r>
      <w:r>
        <w:t xml:space="preserve"> ABP</w:t>
      </w:r>
      <w:r w:rsidR="00E32E0D">
        <w:t xml:space="preserve"> signal</w:t>
      </w:r>
      <w:r>
        <w:t xml:space="preserve"> divided by CVR. The CVR </w:t>
      </w:r>
      <w:r w:rsidR="00E32E0D">
        <w:t>can be</w:t>
      </w:r>
      <w:r>
        <w:t xml:space="preserve"> </w:t>
      </w:r>
      <w:r w:rsidR="00BF2327">
        <w:t>estimated</w:t>
      </w:r>
      <w:r>
        <w:t xml:space="preserve"> by TCD (i.e. the ratio between mean ABP and CBF, normalized by the unknown cross-sectional area of the MCA, which is presumed constant, see Equation </w:t>
      </w:r>
      <w:r w:rsidR="004035C1">
        <w:t>3</w:t>
      </w:r>
      <w:r>
        <w:t xml:space="preserve">, below). </w:t>
      </w:r>
      <w:r w:rsidRPr="002F6230">
        <w:t>Uryga et al.</w:t>
      </w:r>
      <w:r w:rsidRPr="00A83614">
        <w:rPr>
          <w:vertAlign w:val="superscript"/>
        </w:rPr>
        <w:fldChar w:fldCharType="begin" w:fldLock="1"/>
      </w:r>
      <w:r w:rsidR="00A41837">
        <w:rPr>
          <w:vertAlign w:val="superscript"/>
        </w:rPr>
        <w:instrText>ADDIN CSL_CITATION {"citationItems":[{"id":"ITEM-1","itemData":{"author":[{"dropping-particle":"","family":"Uryga A","given":"","non-dropping-particle":"","parse-names":false,"suffix":""},{"dropping-particle":"","family":"M","given":"Kasprowicz","non-dropping-particle":"","parse-names":false,"suffix":""},{"dropping-particle":"","family":"R","given":"Diehl","non-dropping-particle":"","parse-names":false,"suffix":""},{"dropping-particle":"","family":"K","given":"Kaczmarska","non-dropping-particle":"","parse-names":false,"suffix":""},{"dropping-particle":"","family":"Calviello L","given":"Czosnyka M.","non-dropping-particle":"","parse-names":false,"suffix":""}],"container-title":"Ultrasound in Medicine &amp; Biology.","id":"ITEM-1","issue":"In Review","issued":{"date-parts":[["2017"]]},"title":"Assessment of cerebral hemodynamic parameters using pulsatile versus non-pulsatile blood outflow model.","type":"article-journal"},"uris":["http://www.mendeley.com/documents/?uuid=d57068ca-a79a-4d12-8a00-98a8decb029b"]}],"mendeley":{"formattedCitation":"(7)","manualFormatting":"7","plainTextFormattedCitation":"(7)","previouslyFormattedCitation":"(7)"},"properties":{"noteIndex":0},"schema":"https://github.com/citation-style-language/schema/raw/master/csl-citation.json"}</w:instrText>
      </w:r>
      <w:r w:rsidRPr="00A83614">
        <w:rPr>
          <w:vertAlign w:val="superscript"/>
        </w:rPr>
        <w:fldChar w:fldCharType="separate"/>
      </w:r>
      <w:r w:rsidRPr="00A83614">
        <w:rPr>
          <w:noProof/>
          <w:vertAlign w:val="superscript"/>
        </w:rPr>
        <w:t>7</w:t>
      </w:r>
      <w:r w:rsidRPr="00A83614">
        <w:rPr>
          <w:vertAlign w:val="superscript"/>
        </w:rPr>
        <w:fldChar w:fldCharType="end"/>
      </w:r>
      <w:r>
        <w:rPr>
          <w:vertAlign w:val="superscript"/>
        </w:rPr>
        <w:t xml:space="preserve"> </w:t>
      </w:r>
      <w:r>
        <w:t>reported that each model’s virtual signal is able to capture the pulsatile nature of its constituents and is respectively identified by their different waveform shapes and amplitudes.</w:t>
      </w:r>
    </w:p>
    <w:p w14:paraId="32D49E85" w14:textId="77777777" w:rsidR="00527C27" w:rsidRPr="00356E77" w:rsidRDefault="00527C27" w:rsidP="00020ABC">
      <w:pPr>
        <w:spacing w:line="480" w:lineRule="auto"/>
      </w:pPr>
      <w:r>
        <w:rPr>
          <w:rFonts w:ascii="Times New Roman" w:hAnsi="Times New Roman" w:cs="Times New Roman"/>
          <w:lang w:val="en-GB"/>
        </w:rPr>
        <w:tab/>
        <w:t xml:space="preserve">            </w:t>
      </w:r>
    </w:p>
    <w:p w14:paraId="21D21CA0" w14:textId="313C0FB3" w:rsidR="00527C27" w:rsidRPr="006F0E67" w:rsidRDefault="00527C27" w:rsidP="00020ABC">
      <w:pPr>
        <w:tabs>
          <w:tab w:val="center" w:pos="4536"/>
          <w:tab w:val="right" w:pos="9072"/>
        </w:tabs>
        <w:spacing w:after="0" w:line="480" w:lineRule="auto"/>
        <w:contextualSpacing/>
        <w:jc w:val="center"/>
        <w:rPr>
          <w:rFonts w:ascii="Times New Roman" w:hAnsi="Times New Roman" w:cs="Times New Roman"/>
          <w:lang w:val="en-GB"/>
        </w:rPr>
      </w:pPr>
      <w:r>
        <w:rPr>
          <w:rFonts w:ascii="Times New Roman" w:hAnsi="Times New Roman" w:cs="Times New Roman"/>
          <w:lang w:val="en-GB"/>
        </w:rPr>
        <w:tab/>
        <w:t xml:space="preserve">                </w:t>
      </w:r>
      <w:r w:rsidRPr="006F0E67">
        <w:rPr>
          <w:rFonts w:ascii="Times New Roman" w:hAnsi="Times New Roman" w:cs="Times New Roman"/>
          <w:position w:val="-34"/>
          <w:lang w:val="en-GB"/>
        </w:rPr>
        <w:object w:dxaOrig="4020" w:dyaOrig="760" w14:anchorId="19884623">
          <v:shape id="_x0000_i1026" type="#_x0000_t75" style="width:202.25pt;height:35.7pt" o:ole="">
            <v:imagedata r:id="rId17" o:title=""/>
          </v:shape>
          <o:OLEObject Type="Embed" ProgID="Equation.DSMT4" ShapeID="_x0000_i1026" DrawAspect="Content" ObjectID="_1631979303" r:id="rId18"/>
        </w:object>
      </w:r>
      <w:r>
        <w:rPr>
          <w:rFonts w:ascii="Times New Roman" w:hAnsi="Times New Roman" w:cs="Times New Roman"/>
          <w:color w:val="FF0000"/>
          <w:lang w:val="en-GB"/>
        </w:rPr>
        <w:t xml:space="preserve">                            </w:t>
      </w:r>
      <w:r w:rsidRPr="00A84D3D">
        <w:rPr>
          <w:rFonts w:ascii="Times New Roman" w:hAnsi="Times New Roman" w:cs="Times New Roman"/>
          <w:lang w:val="en-GB"/>
        </w:rPr>
        <w:t>[</w:t>
      </w:r>
      <w:r w:rsidR="007F36D4">
        <w:rPr>
          <w:rFonts w:ascii="Times New Roman" w:hAnsi="Times New Roman" w:cs="Times New Roman"/>
          <w:lang w:val="en-GB"/>
        </w:rPr>
        <w:t>3</w:t>
      </w:r>
      <w:r w:rsidRPr="00A84D3D">
        <w:rPr>
          <w:rFonts w:ascii="Times New Roman" w:hAnsi="Times New Roman" w:cs="Times New Roman"/>
          <w:lang w:val="en-GB"/>
        </w:rPr>
        <w:t>]</w:t>
      </w:r>
    </w:p>
    <w:p w14:paraId="14A0E478" w14:textId="77777777" w:rsidR="00527C27" w:rsidRDefault="00527C27" w:rsidP="00020ABC">
      <w:pPr>
        <w:tabs>
          <w:tab w:val="right" w:pos="1843"/>
        </w:tabs>
        <w:spacing w:after="0" w:line="480" w:lineRule="auto"/>
        <w:jc w:val="both"/>
        <w:rPr>
          <w:rFonts w:cstheme="minorHAnsi"/>
          <w:lang w:val="en-GB"/>
        </w:rPr>
      </w:pPr>
    </w:p>
    <w:p w14:paraId="7B6987DD" w14:textId="445A648F" w:rsidR="00527C27" w:rsidRDefault="00527C27" w:rsidP="00020ABC">
      <w:pPr>
        <w:tabs>
          <w:tab w:val="right" w:pos="1843"/>
        </w:tabs>
        <w:spacing w:after="0" w:line="480" w:lineRule="auto"/>
        <w:jc w:val="both"/>
        <w:rPr>
          <w:rFonts w:cstheme="minorHAnsi"/>
          <w:lang w:val="en-GB"/>
        </w:rPr>
      </w:pPr>
      <w:r w:rsidRPr="00DA6D92">
        <w:rPr>
          <w:rFonts w:cstheme="minorHAnsi"/>
          <w:lang w:val="en-GB"/>
        </w:rPr>
        <w:t>where:</w:t>
      </w:r>
      <w:r>
        <w:rPr>
          <w:rFonts w:cstheme="minorHAnsi"/>
          <w:i/>
          <w:lang w:val="en-GB"/>
        </w:rPr>
        <w:t xml:space="preserve"> s – </w:t>
      </w:r>
      <w:r w:rsidRPr="0074284B">
        <w:rPr>
          <w:rFonts w:cstheme="minorHAnsi"/>
          <w:lang w:val="en-GB"/>
        </w:rPr>
        <w:t xml:space="preserve">the arbitrary </w:t>
      </w:r>
      <w:r w:rsidR="00E32E0D">
        <w:rPr>
          <w:rFonts w:cstheme="minorHAnsi"/>
          <w:lang w:val="en-GB"/>
        </w:rPr>
        <w:t xml:space="preserve">time </w:t>
      </w:r>
      <w:r w:rsidRPr="0074284B">
        <w:rPr>
          <w:rFonts w:cstheme="minorHAnsi"/>
          <w:lang w:val="en-GB"/>
        </w:rPr>
        <w:t>variable of integration</w:t>
      </w:r>
      <w:r>
        <w:rPr>
          <w:rFonts w:cstheme="minorHAnsi"/>
          <w:i/>
          <w:lang w:val="en-GB"/>
        </w:rPr>
        <w:t>,</w:t>
      </w:r>
      <w:r w:rsidRPr="00DA6D92">
        <w:rPr>
          <w:rFonts w:cstheme="minorHAnsi"/>
          <w:i/>
          <w:lang w:val="en-GB"/>
        </w:rPr>
        <w:t xml:space="preserve"> CBF</w:t>
      </w:r>
      <w:r w:rsidRPr="00DA6D92">
        <w:rPr>
          <w:rFonts w:cstheme="minorHAnsi"/>
          <w:i/>
          <w:vertAlign w:val="subscript"/>
          <w:lang w:val="en-GB"/>
        </w:rPr>
        <w:t>a</w:t>
      </w:r>
      <w:r w:rsidRPr="00DA6D92">
        <w:rPr>
          <w:rFonts w:cstheme="minorHAnsi"/>
          <w:i/>
          <w:lang w:val="en-GB"/>
        </w:rPr>
        <w:t>–</w:t>
      </w:r>
      <w:r w:rsidRPr="00DA6D92">
        <w:rPr>
          <w:rFonts w:cstheme="minorHAnsi"/>
          <w:lang w:val="en-GB"/>
        </w:rPr>
        <w:t xml:space="preserve"> </w:t>
      </w:r>
      <w:r>
        <w:rPr>
          <w:rFonts w:cstheme="minorHAnsi"/>
          <w:lang w:val="en-GB"/>
        </w:rPr>
        <w:t>cerebral blood flow velocity</w:t>
      </w:r>
      <w:r w:rsidRPr="00DA6D92">
        <w:rPr>
          <w:rFonts w:cstheme="minorHAnsi"/>
          <w:lang w:val="en-GB"/>
        </w:rPr>
        <w:t xml:space="preserve">, </w:t>
      </w:r>
      <w:r w:rsidRPr="00DA6D92">
        <w:rPr>
          <w:rFonts w:cstheme="minorHAnsi"/>
          <w:i/>
          <w:lang w:val="en-GB"/>
        </w:rPr>
        <w:t>ABP </w:t>
      </w:r>
      <w:r w:rsidRPr="00DA6D92">
        <w:rPr>
          <w:rFonts w:cstheme="minorHAnsi"/>
          <w:lang w:val="en-GB"/>
        </w:rPr>
        <w:t xml:space="preserve">– arterial blood pressure, and </w:t>
      </w:r>
      <w:r w:rsidRPr="00DA6D92">
        <w:rPr>
          <w:rFonts w:cstheme="minorHAnsi"/>
          <w:i/>
          <w:lang w:val="en-GB"/>
        </w:rPr>
        <w:t>CVR</w:t>
      </w:r>
      <w:r>
        <w:rPr>
          <w:rFonts w:cstheme="minorHAnsi"/>
          <w:i/>
          <w:lang w:val="en-GB"/>
        </w:rPr>
        <w:t xml:space="preserve"> </w:t>
      </w:r>
      <w:r w:rsidRPr="00DA6D92">
        <w:rPr>
          <w:rFonts w:cstheme="minorHAnsi"/>
          <w:i/>
          <w:lang w:val="en-GB"/>
        </w:rPr>
        <w:t>–</w:t>
      </w:r>
      <w:r>
        <w:rPr>
          <w:rFonts w:cstheme="minorHAnsi"/>
          <w:i/>
          <w:lang w:val="en-GB"/>
        </w:rPr>
        <w:t xml:space="preserve"> </w:t>
      </w:r>
      <w:r w:rsidRPr="00DA6D92">
        <w:rPr>
          <w:rFonts w:cstheme="minorHAnsi"/>
          <w:lang w:val="en-GB"/>
        </w:rPr>
        <w:t>cerebrovascular resistance</w:t>
      </w:r>
      <w:r w:rsidRPr="00F7447C">
        <w:rPr>
          <w:rFonts w:cstheme="minorHAnsi"/>
          <w:vertAlign w:val="superscript"/>
          <w:lang w:val="en-GB"/>
        </w:rPr>
        <w:fldChar w:fldCharType="begin" w:fldLock="1"/>
      </w:r>
      <w:r w:rsidR="00A41837">
        <w:rPr>
          <w:rFonts w:cstheme="minorHAnsi"/>
          <w:vertAlign w:val="superscript"/>
          <w:lang w:val="en-GB"/>
        </w:rPr>
        <w:instrText>ADDIN CSL_CITATION {"citationItems":[{"id":"ITEM-1","itemData":{"author":[{"dropping-particle":"","family":"Uryga A","given":"","non-dropping-particle":"","parse-names":false,"suffix":""},{"dropping-particle":"","family":"M","given":"Kasprowicz","non-dropping-particle":"","parse-names":false,"suffix":""},{"dropping-particle":"","family":"R","given":"Diehl","non-dropping-particle":"","parse-names":false,"suffix":""},{"dropping-particle":"","family":"K","given":"Kaczmarska","non-dropping-particle":"","parse-names":false,"suffix":""},{"dropping-particle":"","family":"Calviello L","given":"Czosnyka M.","non-dropping-particle":"","parse-names":false,"suffix":""}],"container-title":"Ultrasound in Medicine &amp; Biology.","id":"ITEM-1","issue":"In Review","issued":{"date-parts":[["2017"]]},"title":"Assessment of cerebral hemodynamic parameters using pulsatile versus non-pulsatile blood outflow model.","type":"article-journal"},"uris":["http://www.mendeley.com/documents/?uuid=d57068ca-a79a-4d12-8a00-98a8decb029b"]}],"mendeley":{"formattedCitation":"(7)","manualFormatting":"7","plainTextFormattedCitation":"(7)","previouslyFormattedCitation":"(7)"},"properties":{"noteIndex":0},"schema":"https://github.com/citation-style-language/schema/raw/master/csl-citation.json"}</w:instrText>
      </w:r>
      <w:r w:rsidRPr="00F7447C">
        <w:rPr>
          <w:rFonts w:cstheme="minorHAnsi"/>
          <w:vertAlign w:val="superscript"/>
          <w:lang w:val="en-GB"/>
        </w:rPr>
        <w:fldChar w:fldCharType="separate"/>
      </w:r>
      <w:r w:rsidRPr="00F7447C">
        <w:rPr>
          <w:rFonts w:cstheme="minorHAnsi"/>
          <w:noProof/>
          <w:vertAlign w:val="superscript"/>
          <w:lang w:val="en-GB"/>
        </w:rPr>
        <w:t>7</w:t>
      </w:r>
      <w:r w:rsidRPr="00F7447C">
        <w:rPr>
          <w:rFonts w:cstheme="minorHAnsi"/>
          <w:vertAlign w:val="superscript"/>
          <w:lang w:val="en-GB"/>
        </w:rPr>
        <w:fldChar w:fldCharType="end"/>
      </w:r>
      <w:r>
        <w:rPr>
          <w:rFonts w:cstheme="minorHAnsi"/>
          <w:lang w:val="en-GB"/>
        </w:rPr>
        <w:t>.</w:t>
      </w:r>
      <w:r w:rsidRPr="00DA6D92">
        <w:rPr>
          <w:rFonts w:cstheme="minorHAnsi"/>
          <w:lang w:val="en-GB"/>
        </w:rPr>
        <w:t xml:space="preserve"> </w:t>
      </w:r>
    </w:p>
    <w:p w14:paraId="1A8E12F0" w14:textId="77777777" w:rsidR="00527C27" w:rsidRPr="00941A1F" w:rsidRDefault="00527C27" w:rsidP="0089724A">
      <w:pPr>
        <w:tabs>
          <w:tab w:val="right" w:pos="1843"/>
        </w:tabs>
        <w:spacing w:after="0" w:line="360" w:lineRule="auto"/>
        <w:rPr>
          <w:rFonts w:cstheme="minorHAnsi"/>
          <w:lang w:val="en-GB"/>
        </w:rPr>
      </w:pPr>
    </w:p>
    <w:p w14:paraId="241FAA25" w14:textId="77777777" w:rsidR="0089724A" w:rsidRPr="00754FC2" w:rsidRDefault="00527C27" w:rsidP="0089724A">
      <w:pPr>
        <w:pStyle w:val="ListParagraph"/>
        <w:spacing w:after="0" w:line="480" w:lineRule="auto"/>
        <w:jc w:val="both"/>
        <w:rPr>
          <w:rFonts w:ascii="Arial" w:eastAsia="Times New Roman" w:hAnsi="Arial" w:cs="Arial"/>
          <w:color w:val="222222"/>
          <w:sz w:val="28"/>
          <w:szCs w:val="24"/>
        </w:rPr>
      </w:pPr>
      <w:r>
        <w:t xml:space="preserve">Our study modifies the PFF modeling approach in particular to include both ABP and cerebral perfusion pressure (CPP), and to consider both CFF and PFF as </w:t>
      </w:r>
      <w:r w:rsidR="00E32E0D">
        <w:t xml:space="preserve">potentially </w:t>
      </w:r>
      <w:r>
        <w:t>useful tools in the determination of clinical outcome.</w:t>
      </w:r>
      <w:r w:rsidR="0089724A">
        <w:t xml:space="preserve"> </w:t>
      </w:r>
      <w:r w:rsidR="0089724A" w:rsidRPr="00C12968">
        <w:rPr>
          <w:rFonts w:cs="Arial"/>
        </w:rPr>
        <w:t>The previous method of CaBV modeling assumed constant outflow of the blood from the modeled compartment (compliance of cerebral arteries and vascular resistance). Our proposed modification (PFF) presumes that outflow may be pulsatile, and investigates changes in formulas for the calculation of the amplitude of CaBV estimators.</w:t>
      </w:r>
    </w:p>
    <w:p w14:paraId="57793928" w14:textId="25BAC317" w:rsidR="00527C27" w:rsidRDefault="00527C27" w:rsidP="0089724A">
      <w:pPr>
        <w:spacing w:line="480" w:lineRule="auto"/>
        <w:ind w:left="720"/>
        <w:jc w:val="both"/>
      </w:pPr>
      <w:r>
        <w:t>To our knowledge, this paper</w:t>
      </w:r>
      <w:r w:rsidRPr="00943D38">
        <w:t xml:space="preserve"> </w:t>
      </w:r>
      <w:r>
        <w:t>is</w:t>
      </w:r>
      <w:r w:rsidR="00C86DB6">
        <w:t xml:space="preserve"> the</w:t>
      </w:r>
      <w:r>
        <w:t xml:space="preserve"> </w:t>
      </w:r>
      <w:r w:rsidRPr="00943D38">
        <w:t>first</w:t>
      </w:r>
      <w:r>
        <w:t xml:space="preserve"> of its kind</w:t>
      </w:r>
      <w:r w:rsidRPr="00943D38">
        <w:t xml:space="preserve"> attempt</w:t>
      </w:r>
      <w:r>
        <w:t xml:space="preserve">ing </w:t>
      </w:r>
      <w:r w:rsidRPr="00943D38">
        <w:t>to apply th</w:t>
      </w:r>
      <w:r>
        <w:t>ese</w:t>
      </w:r>
      <w:r w:rsidRPr="00943D38">
        <w:t xml:space="preserve"> modeling</w:t>
      </w:r>
      <w:r w:rsidR="0089724A">
        <w:t xml:space="preserve"> </w:t>
      </w:r>
      <w:r w:rsidRPr="00943D38">
        <w:t>perspective</w:t>
      </w:r>
      <w:r>
        <w:t>s</w:t>
      </w:r>
      <w:r w:rsidRPr="00943D38">
        <w:t xml:space="preserve"> </w:t>
      </w:r>
      <w:r>
        <w:t>to</w:t>
      </w:r>
      <w:r w:rsidRPr="00943D38">
        <w:t xml:space="preserve"> a population of neuro-critically ill patients.</w:t>
      </w:r>
    </w:p>
    <w:p w14:paraId="60FDF3AE" w14:textId="77777777" w:rsidR="00A90463" w:rsidRPr="00A90463" w:rsidRDefault="00A90463" w:rsidP="00020ABC">
      <w:pPr>
        <w:spacing w:line="480" w:lineRule="auto"/>
        <w:rPr>
          <w:rFonts w:ascii="Calibri" w:eastAsia="Calibri" w:hAnsi="Calibri" w:cs="Times New Roman"/>
          <w:b/>
        </w:rPr>
      </w:pPr>
    </w:p>
    <w:p w14:paraId="7E91F855" w14:textId="77777777" w:rsidR="001D61F7" w:rsidRPr="00A90463" w:rsidRDefault="001D61F7" w:rsidP="00020ABC">
      <w:pPr>
        <w:spacing w:line="480" w:lineRule="auto"/>
        <w:rPr>
          <w:rFonts w:ascii="Calibri" w:eastAsia="Calibri" w:hAnsi="Calibri" w:cs="Times New Roman"/>
          <w:b/>
          <w:u w:val="single"/>
        </w:rPr>
      </w:pPr>
      <w:r w:rsidRPr="00A90463">
        <w:rPr>
          <w:rFonts w:ascii="Calibri" w:eastAsia="Calibri" w:hAnsi="Calibri" w:cs="Times New Roman"/>
          <w:b/>
          <w:u w:val="single"/>
        </w:rPr>
        <w:lastRenderedPageBreak/>
        <w:t>Methods:</w:t>
      </w:r>
    </w:p>
    <w:p w14:paraId="0FD25BFA" w14:textId="77777777" w:rsidR="001D61F7" w:rsidRDefault="001D61F7" w:rsidP="00020ABC">
      <w:pPr>
        <w:spacing w:line="480" w:lineRule="auto"/>
        <w:rPr>
          <w:rFonts w:ascii="Calibri" w:eastAsia="Calibri" w:hAnsi="Calibri" w:cs="Times New Roman"/>
          <w:b/>
          <w:i/>
        </w:rPr>
      </w:pPr>
    </w:p>
    <w:p w14:paraId="097A56D2" w14:textId="2D9387ED" w:rsidR="00A90463" w:rsidRPr="00A90463" w:rsidRDefault="00A90463" w:rsidP="00020ABC">
      <w:pPr>
        <w:spacing w:line="480" w:lineRule="auto"/>
        <w:rPr>
          <w:rFonts w:ascii="Calibri" w:eastAsia="Calibri" w:hAnsi="Calibri" w:cs="Times New Roman"/>
          <w:b/>
          <w:i/>
        </w:rPr>
      </w:pPr>
      <w:r w:rsidRPr="00A90463">
        <w:rPr>
          <w:rFonts w:ascii="Calibri" w:eastAsia="Calibri" w:hAnsi="Calibri" w:cs="Times New Roman"/>
          <w:b/>
          <w:i/>
        </w:rPr>
        <w:t>Patients</w:t>
      </w:r>
    </w:p>
    <w:p w14:paraId="35616C63" w14:textId="77777777" w:rsidR="00115CB6" w:rsidRDefault="00115CB6" w:rsidP="00020ABC">
      <w:pPr>
        <w:spacing w:line="480" w:lineRule="auto"/>
        <w:rPr>
          <w:rFonts w:ascii="Calibri" w:eastAsia="Calibri" w:hAnsi="Calibri" w:cs="Times New Roman"/>
        </w:rPr>
      </w:pPr>
    </w:p>
    <w:p w14:paraId="06B06617" w14:textId="49A945E1" w:rsidR="000A2B27" w:rsidRDefault="00115CB6" w:rsidP="00020ABC">
      <w:pPr>
        <w:spacing w:line="480" w:lineRule="auto"/>
        <w:ind w:firstLine="720"/>
        <w:rPr>
          <w:rFonts w:ascii="Calibri" w:eastAsia="Calibri" w:hAnsi="Calibri" w:cs="Times New Roman"/>
        </w:rPr>
      </w:pPr>
      <w:r>
        <w:rPr>
          <w:rFonts w:ascii="Calibri" w:eastAsia="Calibri" w:hAnsi="Calibri" w:cs="Times New Roman"/>
        </w:rPr>
        <w:t xml:space="preserve">We performed a retrospective review of 52 </w:t>
      </w:r>
      <w:r w:rsidR="00AC4264">
        <w:rPr>
          <w:rFonts w:ascii="Calibri" w:eastAsia="Calibri" w:hAnsi="Calibri" w:cs="Times New Roman"/>
        </w:rPr>
        <w:t xml:space="preserve">adult </w:t>
      </w:r>
      <w:r>
        <w:rPr>
          <w:rFonts w:ascii="Calibri" w:eastAsia="Calibri" w:hAnsi="Calibri" w:cs="Times New Roman"/>
        </w:rPr>
        <w:t xml:space="preserve">patients selected from a database of </w:t>
      </w:r>
      <w:r w:rsidR="005B3866" w:rsidRPr="005B3866">
        <w:rPr>
          <w:rFonts w:ascii="Calibri" w:eastAsia="Calibri" w:hAnsi="Calibri" w:cs="Times New Roman"/>
        </w:rPr>
        <w:t>432</w:t>
      </w:r>
      <w:r w:rsidR="005B3866">
        <w:rPr>
          <w:rFonts w:ascii="Calibri" w:eastAsia="Calibri" w:hAnsi="Calibri" w:cs="Times New Roman"/>
        </w:rPr>
        <w:t xml:space="preserve"> </w:t>
      </w:r>
      <w:r w:rsidR="003F2EA3">
        <w:rPr>
          <w:rFonts w:ascii="Calibri" w:eastAsia="Calibri" w:hAnsi="Calibri" w:cs="Times New Roman"/>
        </w:rPr>
        <w:t>moderately to severely h</w:t>
      </w:r>
      <w:r>
        <w:rPr>
          <w:rFonts w:ascii="Calibri" w:eastAsia="Calibri" w:hAnsi="Calibri" w:cs="Times New Roman"/>
        </w:rPr>
        <w:t xml:space="preserve">ead-injured patients stored </w:t>
      </w:r>
      <w:r w:rsidR="001E7996">
        <w:rPr>
          <w:rFonts w:ascii="Calibri" w:eastAsia="Calibri" w:hAnsi="Calibri" w:cs="Times New Roman"/>
        </w:rPr>
        <w:t>between 1992 and 201</w:t>
      </w:r>
      <w:r w:rsidR="000E0CCE">
        <w:rPr>
          <w:rFonts w:ascii="Calibri" w:eastAsia="Calibri" w:hAnsi="Calibri" w:cs="Times New Roman"/>
        </w:rPr>
        <w:t>2</w:t>
      </w:r>
      <w:r w:rsidR="00B9017A">
        <w:rPr>
          <w:rFonts w:ascii="Calibri" w:eastAsia="Calibri" w:hAnsi="Calibri" w:cs="Times New Roman"/>
        </w:rPr>
        <w:t xml:space="preserve"> </w:t>
      </w:r>
      <w:r>
        <w:rPr>
          <w:rFonts w:ascii="Calibri" w:eastAsia="Calibri" w:hAnsi="Calibri" w:cs="Times New Roman"/>
        </w:rPr>
        <w:t>that demonstrated a variety of clinically-extreme scenarios. Of these 52 patient datasets</w:t>
      </w:r>
      <w:r w:rsidR="001E7996">
        <w:rPr>
          <w:rFonts w:ascii="Calibri" w:eastAsia="Calibri" w:hAnsi="Calibri" w:cs="Times New Roman"/>
        </w:rPr>
        <w:t>:</w:t>
      </w:r>
      <w:r>
        <w:rPr>
          <w:rFonts w:ascii="Calibri" w:eastAsia="Calibri" w:hAnsi="Calibri" w:cs="Times New Roman"/>
        </w:rPr>
        <w:t xml:space="preserve"> 16 presented plateau waves of ICP </w:t>
      </w:r>
      <w:r w:rsidRPr="006D038C">
        <w:rPr>
          <w:rFonts w:ascii="Calibri" w:eastAsia="Calibri" w:hAnsi="Calibri" w:cs="Times New Roman"/>
        </w:rPr>
        <w:t>which are difficult to capture during routine</w:t>
      </w:r>
      <w:r w:rsidR="000A2B27">
        <w:rPr>
          <w:rFonts w:ascii="Calibri" w:eastAsia="Calibri" w:hAnsi="Calibri" w:cs="Times New Roman"/>
        </w:rPr>
        <w:t xml:space="preserve"> TCD</w:t>
      </w:r>
      <w:r w:rsidRPr="006D038C">
        <w:rPr>
          <w:rFonts w:ascii="Calibri" w:eastAsia="Calibri" w:hAnsi="Calibri" w:cs="Times New Roman"/>
        </w:rPr>
        <w:t xml:space="preserve"> monitoring sessions</w:t>
      </w:r>
      <w:r w:rsidR="00D6425D" w:rsidRPr="00D6425D">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{"citationItems":[{"id":"ITEM-1","itemData":{"DOI":"10.1007/s12028-017-0404-9","ISSN":"15560961","abstract":"© 2017 The Author(s) Background: Determination of relationships between transcranial Doppler (TCD)-based spectral pulsatility index (sPI) and pulse amplitude (AMP) of intracranial pressure (ICP) in 2 groups of severe traumatic brain injury (TBI) patients (a) displaying plateau waves and (b) with unstable mean arterial pressure (MAP). Methods: We retrospectively reviewed patients with severe TBI and continuous TCD monitoring displaying either plateau waves or unstable MAP from 1992 to 1998. We utilized linear and nonlinear regression techniques to describ e both cohorts: cerebral perfusion pressure (CPP) versus AMP, CPP versus sPI, mean ICP versus ICP AMP, mean ICP versus sPI, and AMP versus sPI. Results: Nonlinear regression techniques were employed to analyze the relationships with CPP. In plateau wave and unstable MAP patients, CPP versus sPI displayed an inverse nonlinear relationship (R 2  = 0.820 vs. R 2  = 0.610, respectively), with the CPP versus sPI relationship best modeled by the following function in both cases: PI = a + (b/CPP). Similarly, in both groups, CPP versus AMP displayed an inverse nonlinear relationship (R 2  = 0.610 vs. R 2  = 0.360, respectively). Positive linear correlations were displayed in both the plateau wave and unstable MAP cohorts between: ICP versus AMP, ICP versus sPI, AMP versus sPI. Conclusions: There is an inverse relationship through nonlinear regression between CPP versus AMP and CPP versus sPI display. This provides evidence to support a previously-proposed model of TCD pulsatility index. ICP shows a positive linear correlation with AMP and sPI, which is also established between AMP and sPI.","author":[{"dropping-particle":"","family":"Calviello","given":"L.A.","non-dropping-particle":"","parse-names":false,"suffix":""},{"dropping-particle":"","family":"Riva","given":"N.","non-dropping-particle":"de","parse-names":false,"suffix":""},{"dropping-particle":"","family":"Donnelly","given":"J.","non-dropping-particle":"","parse-names":false,"suffix":""},{"dropping-particle":"","family":"Czosnyka","given":"M.","non-dropping-particle":"","parse-names":false,"suffix":""},{"dropping-particle":"","family":"Smielewski","given":"P.","non-dropping-particle":"","parse-names":false,"suffix":""},{"dropping-particle":"","family":"Menon","given":"D.K.","non-dropping-particle":"","parse-names":false,"suffix":""},{"dropping-particle":"","family":"Zeiler","given":"F.A.","non-dropping-particle":"","parse-names":false,"suffix":""}],"container-title":"Neurocritical Care","id":"ITEM-1","issued":{"date-parts":[["2017"]]},"title":"Relationship Between Brain Pulsatility and Cerebral Perfusion Pressure: Replicated Validation Using Different Drivers of CPP Change","type":"article-journal"},"uris":["http://www.mendeley.com/documents/?uuid=a382694f-6841-3d98-933a-f984fdb65bd3"]}],"mendeley":{"formattedCitation":"(10)","manualFormatting":"10","plainTextFormattedCitation":"(10)","previouslyFormattedCitation":"(10)"},"properties":{"noteIndex":0},"schema":"https://github.com/citation-style-language/schema/raw/master/csl-citation.json"}</w:instrText>
      </w:r>
      <w:r w:rsidR="00D6425D" w:rsidRPr="00D6425D">
        <w:rPr>
          <w:rFonts w:ascii="Calibri" w:eastAsia="Calibri" w:hAnsi="Calibri" w:cs="Times New Roman"/>
          <w:vertAlign w:val="superscript"/>
        </w:rPr>
        <w:fldChar w:fldCharType="separate"/>
      </w:r>
      <w:r w:rsidR="00D6425D" w:rsidRPr="00D6425D">
        <w:rPr>
          <w:rFonts w:ascii="Calibri" w:eastAsia="Calibri" w:hAnsi="Calibri" w:cs="Times New Roman"/>
          <w:noProof/>
          <w:vertAlign w:val="superscript"/>
        </w:rPr>
        <w:t>10</w:t>
      </w:r>
      <w:r w:rsidR="00D6425D" w:rsidRPr="00D6425D">
        <w:rPr>
          <w:rFonts w:ascii="Calibri" w:eastAsia="Calibri" w:hAnsi="Calibri" w:cs="Times New Roman"/>
          <w:vertAlign w:val="superscript"/>
        </w:rPr>
        <w:fldChar w:fldCharType="end"/>
      </w:r>
      <w:r w:rsidR="00B141EC">
        <w:rPr>
          <w:rFonts w:ascii="Calibri" w:eastAsia="Calibri" w:hAnsi="Calibri" w:cs="Times New Roman"/>
          <w:vertAlign w:val="superscript"/>
        </w:rPr>
        <w:t xml:space="preserve"> </w:t>
      </w:r>
      <w:r w:rsidR="005B36FA">
        <w:rPr>
          <w:rFonts w:ascii="Calibri" w:eastAsia="Calibri" w:hAnsi="Calibri" w:cs="Times New Roman"/>
        </w:rPr>
        <w:t>,</w:t>
      </w:r>
      <w:r>
        <w:rPr>
          <w:rFonts w:ascii="Calibri" w:eastAsia="Calibri" w:hAnsi="Calibri" w:cs="Times New Roman"/>
        </w:rPr>
        <w:t xml:space="preserve">19 underwent a period of </w:t>
      </w:r>
      <w:r w:rsidR="00116388">
        <w:rPr>
          <w:rFonts w:ascii="Calibri" w:eastAsia="Calibri" w:hAnsi="Calibri" w:cs="Times New Roman"/>
        </w:rPr>
        <w:t xml:space="preserve">mild, controlled </w:t>
      </w:r>
      <w:r>
        <w:rPr>
          <w:rFonts w:ascii="Calibri" w:eastAsia="Calibri" w:hAnsi="Calibri" w:cs="Times New Roman"/>
        </w:rPr>
        <w:t>hypocapnia</w:t>
      </w:r>
      <w:r w:rsidR="005C0370">
        <w:rPr>
          <w:rFonts w:ascii="Calibri" w:eastAsia="Calibri" w:hAnsi="Calibri" w:cs="Times New Roman"/>
        </w:rPr>
        <w:t xml:space="preserve"> (30-60 minutes</w:t>
      </w:r>
      <w:r w:rsidR="00F52AD5">
        <w:rPr>
          <w:rFonts w:ascii="Calibri" w:eastAsia="Calibri" w:hAnsi="Calibri" w:cs="Times New Roman"/>
        </w:rPr>
        <w:t>’ duration</w:t>
      </w:r>
      <w:r w:rsidR="005C0370">
        <w:rPr>
          <w:rFonts w:ascii="Calibri" w:eastAsia="Calibri" w:hAnsi="Calibri" w:cs="Times New Roman"/>
        </w:rPr>
        <w:t>)</w:t>
      </w:r>
      <w:r>
        <w:rPr>
          <w:rFonts w:ascii="Calibri" w:eastAsia="Calibri" w:hAnsi="Calibri" w:cs="Times New Roman"/>
        </w:rPr>
        <w:t xml:space="preserve">, and 17 received vasopressors to stabilize </w:t>
      </w:r>
      <w:r w:rsidR="00FF0578">
        <w:rPr>
          <w:rFonts w:ascii="Calibri" w:eastAsia="Calibri" w:hAnsi="Calibri" w:cs="Times New Roman"/>
        </w:rPr>
        <w:t xml:space="preserve">mean </w:t>
      </w:r>
      <w:r>
        <w:rPr>
          <w:rFonts w:ascii="Calibri" w:eastAsia="Calibri" w:hAnsi="Calibri" w:cs="Times New Roman"/>
        </w:rPr>
        <w:t>ABP</w:t>
      </w:r>
      <w:r w:rsidR="00FF0578">
        <w:rPr>
          <w:rFonts w:ascii="Calibri" w:eastAsia="Calibri" w:hAnsi="Calibri" w:cs="Times New Roman"/>
        </w:rPr>
        <w:t xml:space="preserve"> that fluctuated at least 15 mm Hg during</w:t>
      </w:r>
      <w:r w:rsidR="0066045A">
        <w:rPr>
          <w:rFonts w:ascii="Calibri" w:eastAsia="Calibri" w:hAnsi="Calibri" w:cs="Times New Roman"/>
        </w:rPr>
        <w:t xml:space="preserve"> the</w:t>
      </w:r>
      <w:r w:rsidR="00FF0578">
        <w:rPr>
          <w:rFonts w:ascii="Calibri" w:eastAsia="Calibri" w:hAnsi="Calibri" w:cs="Times New Roman"/>
        </w:rPr>
        <w:t xml:space="preserve"> recording</w:t>
      </w:r>
      <w:r w:rsidR="00F52AD5">
        <w:rPr>
          <w:rFonts w:ascii="Calibri" w:eastAsia="Calibri" w:hAnsi="Calibri" w:cs="Times New Roman"/>
        </w:rPr>
        <w:t xml:space="preserve"> </w:t>
      </w:r>
      <w:r w:rsidR="0007523E" w:rsidRPr="00943508">
        <w:rPr>
          <w:rFonts w:ascii="Calibri" w:eastAsia="Calibri" w:hAnsi="Calibri" w:cs="Times New Roman"/>
        </w:rPr>
        <w:t>All patients were admitted to</w:t>
      </w:r>
      <w:r w:rsidR="005B3866" w:rsidRPr="00943508">
        <w:rPr>
          <w:rFonts w:ascii="Calibri" w:eastAsia="Calibri" w:hAnsi="Calibri" w:cs="Times New Roman"/>
        </w:rPr>
        <w:t xml:space="preserve"> </w:t>
      </w:r>
      <w:r w:rsidR="00446A0C" w:rsidRPr="00943508">
        <w:rPr>
          <w:rFonts w:ascii="Calibri" w:eastAsia="Calibri" w:hAnsi="Calibri" w:cs="Times New Roman"/>
        </w:rPr>
        <w:t xml:space="preserve">the </w:t>
      </w:r>
      <w:r w:rsidR="003377EB" w:rsidRPr="00943508">
        <w:rPr>
          <w:rFonts w:ascii="Calibri" w:eastAsia="Calibri" w:hAnsi="Calibri" w:cs="Times New Roman"/>
        </w:rPr>
        <w:t>Neurosciences Critical Care Unit (NCCU) at Addenbrooke’s Hospital, Cambridge, United Kingdom</w:t>
      </w:r>
      <w:r w:rsidR="0007523E" w:rsidRPr="00943508">
        <w:rPr>
          <w:rFonts w:ascii="Calibri" w:eastAsia="Calibri" w:hAnsi="Calibri" w:cs="Times New Roman"/>
        </w:rPr>
        <w:t xml:space="preserve">. </w:t>
      </w:r>
      <w:r w:rsidR="00943508" w:rsidRPr="00943508">
        <w:rPr>
          <w:rFonts w:ascii="Calibri" w:eastAsia="Calibri" w:hAnsi="Calibri" w:cs="Times New Roman"/>
        </w:rPr>
        <w:t xml:space="preserve">All </w:t>
      </w:r>
      <w:r w:rsidR="00943508">
        <w:rPr>
          <w:rFonts w:ascii="Calibri" w:eastAsia="Calibri" w:hAnsi="Calibri" w:cs="Times New Roman"/>
        </w:rPr>
        <w:t>p</w:t>
      </w:r>
      <w:r w:rsidR="0007523E" w:rsidRPr="00943508">
        <w:rPr>
          <w:rFonts w:ascii="Calibri" w:eastAsia="Calibri" w:hAnsi="Calibri" w:cs="Times New Roman"/>
        </w:rPr>
        <w:t>atients</w:t>
      </w:r>
      <w:r w:rsidR="00943508">
        <w:rPr>
          <w:rFonts w:ascii="Calibri" w:eastAsia="Calibri" w:hAnsi="Calibri" w:cs="Times New Roman"/>
        </w:rPr>
        <w:t xml:space="preserve"> were sedated and mechanically ventilated</w:t>
      </w:r>
      <w:r w:rsidR="00E42FFB">
        <w:rPr>
          <w:rFonts w:ascii="Calibri" w:eastAsia="Calibri" w:hAnsi="Calibri" w:cs="Times New Roman"/>
        </w:rPr>
        <w:t>;</w:t>
      </w:r>
      <w:r w:rsidR="00E42FFB" w:rsidRPr="00E42FFB">
        <w:t xml:space="preserve"> </w:t>
      </w:r>
      <w:r w:rsidR="00E42FFB">
        <w:t>barring the hypocapnic challenge to assess CO</w:t>
      </w:r>
      <w:r w:rsidR="00E42FFB">
        <w:rPr>
          <w:vertAlign w:val="subscript"/>
        </w:rPr>
        <w:t>2</w:t>
      </w:r>
      <w:r w:rsidR="00E42FFB">
        <w:t xml:space="preserve"> reactivity, all patients were </w:t>
      </w:r>
      <w:r w:rsidR="0007523E" w:rsidRPr="00943508">
        <w:rPr>
          <w:rFonts w:ascii="Calibri" w:eastAsia="Calibri" w:hAnsi="Calibri" w:cs="Times New Roman"/>
        </w:rPr>
        <w:t xml:space="preserve">treated in accordance with </w:t>
      </w:r>
      <w:r w:rsidR="00943508" w:rsidRPr="00943508">
        <w:rPr>
          <w:rFonts w:ascii="Calibri" w:eastAsia="Calibri" w:hAnsi="Calibri" w:cs="Times New Roman"/>
        </w:rPr>
        <w:t xml:space="preserve">a </w:t>
      </w:r>
      <w:r w:rsidR="00E42FFB">
        <w:rPr>
          <w:rFonts w:ascii="Calibri" w:eastAsia="Calibri" w:hAnsi="Calibri" w:cs="Times New Roman"/>
        </w:rPr>
        <w:t>ICP/</w:t>
      </w:r>
      <w:r w:rsidR="00943508">
        <w:rPr>
          <w:rFonts w:ascii="Calibri" w:eastAsia="Calibri" w:hAnsi="Calibri" w:cs="Times New Roman"/>
        </w:rPr>
        <w:t xml:space="preserve">CPP-oriented protocol that constrained ICP below </w:t>
      </w:r>
      <w:r w:rsidR="00D83CD8">
        <w:rPr>
          <w:rFonts w:ascii="Calibri" w:eastAsia="Calibri" w:hAnsi="Calibri" w:cs="Times New Roman"/>
        </w:rPr>
        <w:t>20-</w:t>
      </w:r>
      <w:r w:rsidR="00943508">
        <w:rPr>
          <w:rFonts w:ascii="Calibri" w:eastAsia="Calibri" w:hAnsi="Calibri" w:cs="Times New Roman"/>
        </w:rPr>
        <w:t xml:space="preserve">25 mm Hg and maintained CPP </w:t>
      </w:r>
      <w:r w:rsidR="00E42FFB">
        <w:rPr>
          <w:rFonts w:ascii="Calibri" w:eastAsia="Calibri" w:hAnsi="Calibri" w:cs="Times New Roman"/>
        </w:rPr>
        <w:t>between</w:t>
      </w:r>
      <w:r w:rsidR="00943508">
        <w:rPr>
          <w:rFonts w:ascii="Calibri" w:eastAsia="Calibri" w:hAnsi="Calibri" w:cs="Times New Roman"/>
        </w:rPr>
        <w:t xml:space="preserve"> </w:t>
      </w:r>
      <w:r w:rsidR="00E42FFB">
        <w:rPr>
          <w:rFonts w:ascii="Calibri" w:eastAsia="Calibri" w:hAnsi="Calibri" w:cs="Times New Roman"/>
        </w:rPr>
        <w:t>60-7</w:t>
      </w:r>
      <w:r w:rsidR="00943508">
        <w:rPr>
          <w:rFonts w:ascii="Calibri" w:eastAsia="Calibri" w:hAnsi="Calibri" w:cs="Times New Roman"/>
        </w:rPr>
        <w:t>0 mm Hg</w:t>
      </w:r>
      <w:r w:rsidR="00D6425D" w:rsidRPr="00D6425D">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{"citationItems":[{"id":"ITEM-1","itemData":{"DOI":"10.1007/s00134-004-2463-6","ISBN":"0342-4642 (Print)\\r0342-4642 (Linking)","ISSN":"03424642","PMID":"15480563","abstract":"OBJECTIVE: In healthy volunteers cerebral blood flow starts to recover towards baseline within a few minutes of continued hyperventilation due to normalisation of perivascular pH. We investigated the time-course of changes in middle cerebral artery mean flow velocity (FVm) and intracranial pressure (ICP) in head-injured patients during sustained moderate reductions in arterial partial pressure of CO(2) (PaCO(2)).\\n\\nDESIGN: Observational study.\\n\\nPATIENTS: Twenty-seven sedated, mechanically ventilated patients with severe head injury.\\n\\nINTERVENTIONS: Measurements were made during and after routine determination of CO(2)-reactivity: an acute 20% increase in respiratory minute volume was followed by a 10-min stabilisation period and 50 min of continued moderate hyperventilation at a constant PaCO(2) (&gt;3.5 kPa).\\n\\nMEASUREMENTS AND RESULTS: FVm was monitored with transcranial Doppler, ICP was monitored with intraparenchymal probes. During the 50-min period with stable PaCO(2) FVm increased in 36% of patients. All other patients showed a decline in FVm over the same time period. Overall FVm recovery was -0.03+/-0.14%.min(-1). The time-course of ICP changes was significantly different from that of FVm, with ICP reaching its lowest value earlier than FVm (23+/-12 vs 37+/-20 min; P = 0.001) and returning more rapidly towards baseline than FVm (0.23+/-0.23 vs -0.03+/-0.14%.min(-1); P&lt; 0.0001).\\n\\nCONCLUSIONS: Head-injured patients may adapt differently to hyperventilation than healthy volunteers. Potentially harmful reductions in cerebral blood flow may persist beyond the duration of useful ICP reduction.","author":[{"dropping-particle":"","family":"Steiner","given":"Luzius A.","non-dropping-particle":"","parse-names":false,"suffix":""},{"dropping-particle":"","family":"Balestreri","given":"Marcella","non-dropping-particle":"","parse-names":false,"suffix":""},{"dropping-particle":"","family":"Johnston","given":"Andrew J.","non-dropping-particle":"","parse-names":false,"suffix":""},{"dropping-particle":"","family":"Czosnyka","given":"Marek","non-dropping-particle":"","parse-names":false,"suffix":""},{"dropping-particle":"","family":"Coles","given":"Jonathan P.","non-dropping-particle":"","parse-names":false,"suffix":""},{"dropping-particle":"","family":"Chatfield","given":"Doris A.","non-dropping-particle":"","parse-names":false,"suffix":""},{"dropping-particle":"","family":"Smielewski","given":"Peter","non-dropping-particle":"","parse-names":false,"suffix":""},{"dropping-particle":"","family":"Pickard","given":"John D.","non-dropping-particle":"","parse-names":false,"suffix":""},{"dropping-particle":"","family":"Menon","given":"David K.","non-dropping-particle":"","parse-names":false,"suffix":""}],"container-title":"Intensive Care Medicine","id":"ITEM-1","issue":"12","issued":{"date-parts":[["2004"]]},"page":"2180-2187","title":"Sustained moderate reductions in arterial CO2after brain trauma Time-course of cerebral blood flow velocity and intracranial pressure","type":"article-journal","volume":"30"},"uris":["http://www.mendeley.com/documents/?uuid=19175a08-4a17-4cf8-9f9c-4aad7fa3e9e5"]},{"id":"ITEM-2","itemData":{"DOI":"10.1093/bja/aem139","ISBN":"0007-0912\\r1471-6771","ISSN":"00070912","PMID":"17556349","abstract":"Traumatic brain injury (TBI) is a major cause of morbidity and mortality worldwide. The modern management of severe TBI has fallen into the domain of a multidisciplinary team led by neurointensivists, neuroanaesthetists, and neurosurgeons and is based on the avoidance of secondary injury, maintenance of cerebral perfusion pressure (CPP), and optimization of cerebral oxygenation. In this review, we will discuss the intensive care management of severe TBI with emphasis on the specific measures directed at the control of intracranial pressure and CPP.","author":[{"dropping-particle":"","family":"Helmy","given":"A.","non-dropping-particle":"","parse-names":false,"suffix":""},{"dropping-particle":"","family":"Vizcaychipi","given":"M.","non-dropping-particle":"","parse-names":false,"suffix":""},{"dropping-particle":"","family":"Gupta","given":"A. K.","non-dropping-particle":"","parse-names":false,"suffix":""}],"container-title":"British Journal of Anaesthesia","id":"ITEM-2","issue":"1","issued":{"date-parts":[["2007"]]},"page":"32-42","title":"Traumatic brain injury: Intensive care management","type":"article","volume":"99"},"uris":["http://www.mendeley.com/documents/?uuid=e3601f74-15aa-45dc-aa17-08a3d0ef84b6"]}],"mendeley":{"formattedCitation":"(11,12)","manualFormatting":"11,12","plainTextFormattedCitation":"(11,12)","previouslyFormattedCitation":"(11,12)"},"properties":{"noteIndex":0},"schema":"https://github.com/citation-style-language/schema/raw/master/csl-citation.json"}</w:instrText>
      </w:r>
      <w:r w:rsidR="00D6425D" w:rsidRPr="00D6425D">
        <w:rPr>
          <w:rFonts w:ascii="Calibri" w:eastAsia="Calibri" w:hAnsi="Calibri" w:cs="Times New Roman"/>
          <w:vertAlign w:val="superscript"/>
        </w:rPr>
        <w:fldChar w:fldCharType="separate"/>
      </w:r>
      <w:r w:rsidR="00D6425D" w:rsidRPr="00D6425D">
        <w:rPr>
          <w:rFonts w:ascii="Calibri" w:eastAsia="Calibri" w:hAnsi="Calibri" w:cs="Times New Roman"/>
          <w:noProof/>
          <w:vertAlign w:val="superscript"/>
        </w:rPr>
        <w:t>11,12</w:t>
      </w:r>
      <w:r w:rsidR="00D6425D" w:rsidRPr="00D6425D">
        <w:rPr>
          <w:rFonts w:ascii="Calibri" w:eastAsia="Calibri" w:hAnsi="Calibri" w:cs="Times New Roman"/>
          <w:vertAlign w:val="superscript"/>
        </w:rPr>
        <w:fldChar w:fldCharType="end"/>
      </w:r>
      <w:r w:rsidR="00E42FFB">
        <w:rPr>
          <w:rFonts w:ascii="Calibri" w:eastAsia="Calibri" w:hAnsi="Calibri" w:cs="Times New Roman"/>
        </w:rPr>
        <w:t xml:space="preserve">. </w:t>
      </w:r>
      <w:r w:rsidR="00D32932">
        <w:rPr>
          <w:rFonts w:ascii="Calibri" w:eastAsia="Calibri" w:hAnsi="Calibri" w:cs="Times New Roman"/>
        </w:rPr>
        <w:t xml:space="preserve">CPP was calculated as the difference between ABP and ICP. </w:t>
      </w:r>
      <w:r w:rsidR="005B36FA">
        <w:rPr>
          <w:rFonts w:ascii="Calibri" w:eastAsia="Calibri" w:hAnsi="Calibri" w:cs="Times New Roman"/>
        </w:rPr>
        <w:t>Table 1 describes the</w:t>
      </w:r>
      <w:r w:rsidR="00145E8D">
        <w:rPr>
          <w:rFonts w:ascii="Calibri" w:eastAsia="Calibri" w:hAnsi="Calibri" w:cs="Times New Roman"/>
        </w:rPr>
        <w:t>se</w:t>
      </w:r>
      <w:r w:rsidR="005B36FA">
        <w:rPr>
          <w:rFonts w:ascii="Calibri" w:eastAsia="Calibri" w:hAnsi="Calibri" w:cs="Times New Roman"/>
        </w:rPr>
        <w:t xml:space="preserve"> patients in detail.</w:t>
      </w:r>
    </w:p>
    <w:p w14:paraId="221A9D1A" w14:textId="2115FD9B" w:rsidR="000A2B27" w:rsidRDefault="000A2B27" w:rsidP="00020ABC">
      <w:pPr>
        <w:spacing w:line="480" w:lineRule="auto"/>
        <w:ind w:firstLine="720"/>
        <w:rPr>
          <w:rFonts w:ascii="Calibri" w:eastAsia="Calibri" w:hAnsi="Calibri" w:cs="Times New Roman"/>
        </w:rPr>
      </w:pPr>
      <w:r w:rsidRPr="000A2B27">
        <w:rPr>
          <w:rFonts w:ascii="Calibri" w:eastAsia="Calibri" w:hAnsi="Calibri" w:cs="Times New Roman"/>
        </w:rPr>
        <w:t>Our interest in these particular patient groups rests in the observation of the direction(s) of CaBV changes in response to biophysical “challenges”</w:t>
      </w:r>
      <w:r w:rsidRPr="000A2B27">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 xml:space="preserve">ADDIN CSL_CITATION {"citationItems":[{"id":"ITEM-1","itemData":{"DOI":"10.1089/neu.2009.0951","ISBN":"1557-9042 (Electronic)\\n0897-7151 (Linking)","ISSN":"0897-7151","PMID":"19852586","abstract":"The pulsatile component of intracranial pressure (ICP) has been shown to be a predictor of outcome in normal pressure hydrocephalus (NPH) and traumatic brain injury (TBI). Experimental studies have demonstrated that the pulse amplitude of ICP (AMP(ICP)) is dependent on the mean ICP (mICP), and on the pulse amplitude of the cerebral arterial blood volume (AMP(CaBV)), according to the exponential craniospinal compliance curve. In this study, we compared the influence of mICP and AMP(CaBV) on AMP(ICP) in patients with NPH (infusion study) and TBI (spontaneous recording). We retrospectively analyzed 25 NPH and 43 TBI patients with continuous monitoring of ICP and cerebral blood flow velocity (CBFV), as assessed with transcranial doppler. AMP(CaBV) was extracted from the CBFV waveform. The influence of mICP and AMP(CaBV) on AMP(ICP) were determined using partial coefficients a, b, and c of the multiple regression model: AMP(ICP) = a * mICP + b * AMP(CaBV) + c. AMP(ICP) was more dependent on mICP in NPH patients than in TBI patients (partial coefficient a = 0.93 versus -0.03; p &lt; 0.001). On the contrary, AMP(ICP) was more dependent on AMP(CaBV) in patients with TBI than in those with NPH (b = 0.86 versus 0.10; p &lt; 0.001). This study shows that AMP(ICP) depends mostly on changes in mean ICP during cerebrospinal fluid (CSF) infusion studies in patients with NPH, and on changes in cerebral arterial blood volume (AMP(CaBV)) in TBI patients. Further clinical studies will reveal whether AMP(ICP) is a better indicator of clinical severity and outcome than mICP in TBI and NPH patients.","author":[{"dropping-particle":"","family":"Carrera","given":"Emmanuel","non-dropping-particle":"","parse-names":false,"suffix":""},{"dropping-particle":"","family":"Kim","given":"Dong-Joo","non-dropping-particle":"","parse-names":false,"suffix":""},{"dropping-particle":"","family":"Castellani","given":"Gianluca","non-dropping-particle":"","parse-names":false,"suffix":""},{"dropping-particle":"","family":"Zweifel","given":"Christian","non-dropping-particle":"","parse-names":false,"suffix":""},{"dropping-particle":"","family":"Czosnyka","given":"Zofia","non-dropping-particle":"","parse-names":false,"suffix":""},{"dropping-particle":"","family":"Kasprowicz","given":"Magdalena","non-dropping-particle":"","parse-names":false,"suffix":""},{"dropping-particle":"","family":"Smielewski","given":"Peter","non-dropping-particle":"","parse-names":false,"suffix":""},{"dropping-particle":"","family":"Pickard","given":"John D.","non-dropping-particle":"","parse-names":false,"suffix":""},{"dropping-particle":"","family":"Czosnyka","given":"Marek","non-dropping-particle":"","parse-names":false,"suffix":""}],"container-title":"Journal of Neurotrauma","id":"ITEM-1","issue":"2","issued":{"date-parts":[["2010","2"]]},"page":"317-324","title":"What Shapes Pulse Amplitude of Intracranial Pressure?","type":"article-journal","volume":"27"},"uris":["http://www.mendeley.com/documents/?uuid=a0bc25ca-ca13-3fac-a797-915664aea8ca"]},{"id":"ITEM-2","itemData":{"ISBN":"9070062070","ISSN":"0300-9572","PMID":"1028117","abstract":"The effect of priming extracorporeal perfusion pumps with 50% and 80% diluted homologous blood on the serum electrolytes, acid-base status and plasma osmolality has been investigated in 103 patients undergoing open-heart surgery for congenital and acquired heart disease. The value in prognosis of plasma osmolality is discussed.","author":[{"dropping-particle":"","family":"Avezaat","given":"CJJ","non-dropping-particle":"","parse-names":false,"suffix":""},{"dropping-particle":"Van","family":"Eijndhoven","given":"JHM","non-dropping-particle":"","parse-names":false,"suffix":""}],"container-title":"Resuscitation","id":"ITEM-2","issue":"2","issued":{"date-parts":[["1984"]]},"number-of-pages":"111-26","title":"Cerebrospinal fluid pulse pressure and craniospinal dynamics: a theoretical, clinical and experimental study","type":"book","volume":"5"},"uris":["http://www.mendeley.com/documents/?uuid=d377b3f7-2ae5-4766-aba8-adcbdba78f6a"]},{"id":"ITEM-3","itemData":{"DOI":"10.1007/s00134-004-2463-6","ISBN":"0342-4642 (Print)\\r0342-4642 (Linking)","ISSN":"03424642","PMID":"15480563","abstract":"OBJECTIVE: In healthy volunteers cerebral blood flow starts to recover towards baseline within a few minutes of continued hyperventilation due to normalisation of perivascular pH. We investigated the time-course of changes in middle cerebral artery mean flow velocity (FVm) and intracranial pressure (ICP) in head-injured patients during sustained moderate reductions in arterial partial pressure of CO(2) (PaCO(2)).\\n\\nDESIGN: Observational study.\\n\\nPATIENTS: Twenty-seven sedated, mechanically ventilated patients with severe head injury.\\n\\nINTERVENTIONS: Measurements were made during and after routine determination of CO(2)-reactivity: an acute 20% increase in respiratory minute volume was followed by a 10-min stabilisation period and 50 min of continued moderate hyperventilation at a constant PaCO(2) (&gt;3.5 kPa).\\n\\nMEASUREMENTS AND RESULTS: FVm was monitored with transcranial Doppler, ICP was monitored with intraparenchymal probes. During the 50-min period with stable PaCO(2) FVm increased in 36% of patients. All other patients showed a decline in FVm over the same time period. Overall FVm recovery was -0.03+/-0.14%.min(-1). The time-course of ICP changes was significantly different from that of FVm, with ICP reaching its lowest value earlier than FVm (23+/-12 vs 37+/-20 min; P = 0.001) and returning more rapidly towards baseline than FVm (0.23+/-0.23 vs -0.03+/-0.14%.min(-1); P&lt; 0.0001).\\n\\nCONCLUSIONS: Head-injured patients may adapt differently to hyperventilation than healthy volunteers. Potentially harmful reductions in cerebral blood flow may persist beyond the duration of useful ICP reduction.","author":[{"dropping-particle":"","family":"Steiner","given":"Luzius A.","non-dropping-particle":"","parse-names":false,"suffix":""},{"dropping-particle":"","family":"Balestreri","given":"Marcella","non-dropping-particle":"","parse-names":false,"suffix":""},{"dropping-particle":"","family":"Johnston","given":"Andrew J.","non-dropping-particle":"","parse-names":false,"suffix":""},{"dropping-particle":"","family":"Czosnyka","given":"Marek","non-dropping-particle":"","parse-names":false,"suffix":""},{"dropping-particle":"","family":"Coles","given":"Jonathan P.","non-dropping-particle":"","parse-names":false,"suffix":""},{"dropping-particle":"","family":"Chatfield","given":"Doris A.","non-dropping-particle":"","parse-names":false,"suffix":""},{"dropping-particle":"","family":"Smielewski","given":"Peter","non-dropping-particle":"","parse-names":false,"suffix":""},{"dropping-particle":"","family":"Pickard","given":"John D.","non-dropping-particle":"","parse-names":false,"suffix":""},{"dropping-particle":"","family":"Menon","given":"David K.","non-dropping-particle":"","parse-names":false,"suffix":""}],"container-title":"Intensive Care Medicine","id":"ITEM-3","issue":"12","issued":{"date-parts":[["2004"]]},"page":"2180-2187","title":"Sustained moderate reductions in arterial CO2after brain trauma Time-course of cerebral blood flow velocity and intracranial pressure","type":"article-journal","volume":"30"},"uris":["http://www.mendeley.com/documents/?uuid=19175a08-4a17-4cf8-9f9c-4aad7fa3e9e5"]},{"id":"ITEM-4","itemData":{"DOI":"10.1093/bja/aem139","ISBN":"0007-0912\\r1471-6771","ISSN":"00070912","PMID":"17556349","abstract":"Traumatic brain injury (TBI) is a major cause of morbidity and mortality worldwide. The modern management of severe TBI has fallen into the domain of a multidisciplinary team led by neurointensivists, neuroanaesthetists, and neurosurgeons and is based on the avoidance of secondary injury, maintenance of cerebral perfusion pressure (CPP), and optimization of cerebral oxygenation. In this review, we will discuss the intensive care management of severe TBI with emphasis on the specific measures directed at the control of intracranial pressure and CPP.","author":[{"dropping-particle":"","family":"Helmy","given":"A.","non-dropping-particle":"","parse-names":false,"suffix":""},{"dropping-particle":"","family":"Vizcaychipi","given":"M.","non-dropping-particle":"","parse-names":false,"suffix":""},{"dropping-particle":"","family":"Gupta","given":"A. K.","non-dropping-particle":"","parse-names":false,"suffix":""}],"container-title":"British Journal of Anaesthesia","id":"ITEM-4","issue":"1","issued":{"date-parts":[["2007"]]},"page":"32-42","title":"Traumatic brain injury: Intensive care management","type":"article","volume":"99"},"uris":["http://www.mendeley.com/documents/?uuid=e3601f74-15aa-45dc-aa17-08a3d0ef84b6"]},{"id":"ITEM-5","itemData":{"DOI":"10.3171/jns.1969.31.3.0303","ISBN":"0022-3085 (Print)\\r0022-3085 (Linking)","ISSN":"0022-3085","PMID":"5811832","author":[{"dropping-particle":"","family":"Risberg","given":"Jarl","non-dropping-particle":"","parse-names":false,"suffix":""},{"dropping-particle":"","family":"Lundberg","given":"Nils","non-dropping-particle":"","parse-names":false,"suffix":""},{"dropping-particle":"","family":"Ingvar","given":"David H.","non-dropping-particle":"","parse-names":false,"suffix":""}],"container-title":"Journal of Neurosurgery","id":"ITEM-5","issued":{"date-parts":[["1969"]]},"title":"Regional Cerebral Blood Volume During Acute Transient Rises of the Intracranial Pressure (Plateau Waves)","type":"article-journal"},"uris":["http://www.mendeley.com/documents/?uuid=232d02df-c65e-3ed0-ad1c-049e3e490fa4"]},{"id":"ITEM-6","itemData":{"abstract":"The Effects of Changes in Paco, on Cerebral Blood Volume, Blood Flow, and Vascular Mean Transit Time • The relationships between cerebral blood volume (CBV), cerebral blood flow (CBF), and the cerebral vascular mean transit time (t v) during acute changes in the Paco, over a range of 15 to 76 torr were investigated in vivo in rhesus monkeys by serially determining the mean transit time of a vascular tracer, 18 O-labeled carboxyhemoglobin, and the mean transit time of a diffusible tracer, 16 O-labeled water. Over this range of Paco,, a significant linear relationship of CBV = 0.041 Paco, + 2.0 was found. For each one torr change in Paco,, there is a change in CBV of 0.041 ml/100 gm of perfused tissue. At a normocarbic value of Paco, (~37 torr), an average value of 3.5 ml/100 gm was found. A nonlinear relationship of CBV and CBF was found. This relationship is expressed in the equation, CBV = 0.80 CBF 038 . A significant linear relationship was found between CBF and Paco,. This was described by the equation, CBF = 1.8 Paco, -16.75. For each one torr change in the Paco,, there is a 1.8 ml/100 gm per minute change in the CBF. At a normocarbic value of Paco, (~37 torr), an average value of CBF of 50 ml/100 gm per minute was found. The relationship of CBV and t v was nonlinear and was ex-pressed in the equation, t c is o = 41 CBF\" 082 . Additional Key Words oxygen-15 cerebral metabolic rate of oxygen","author":[{"dropping-particle":"","family":"Grubb","given":"Robert L","non-dropping-particle":"","parse-names":false,"suffix":""},{"dropping-particle":"","family":"Raichle","given":"Marcus E","non-dropping-particle":"","parse-names":false,"suffix":""},{"dropping-particle":"","family":"Eichling","given":"John O","non-dropping-particle":"","parse-names":false,"suffix":""},{"dropping-particle":"","family":"And","given":"Michel M","non-dropping-particle":"","parse-names":false,"suffix":""},{"dropping-particle":"","family":"Ter-Pogossian","given":"J","non-dropping-particle":"","parse-names":false,"suffix":""}],"id":"ITEM-6","issued":{"date-parts":[["0"]]},"title":"The Effects of Changes in Paco 2 on Cerebral Blood Volume, Blood Flow, and Vascular Mean Transit Time","type":"article-journal"},"uris":["http://www.mendeley.com/documents/?uuid=0c8dd8b1-913c-3ab1-be2f-8c086ab1c625"]},{"id":"ITEM-7","itemData":{"DOI":"10.1097/01.WCB.0000067721.64998.F5","abstract":"Hypercapnia induces cerebral vasodilation and in-creases cerebral blood flow (CBF), and hypocapnia induces cerebral vasoconstriction and decreases CBF. The relation be-tween changes in CBF and cerebral blood volume (CBV) dur-ing hypercapnia and hypocapnia in humans, however, is not clear. Both CBF and CBV were measured at rest and during hypercapnia and hypocapnia in nine healthy subjects by posi-tron emission tomography. The vascular responses to hyper-capnia in terms of CBF and CBV were 6.0 ± 2.6%/mm Hg and 1.8 ± 1.3%/mm Hg, respectively, and those to hypocapnia were −3.5 ± 0.6%/mm Hg and −1.3 ± 1.0%/mm Hg, respectively. The relation between CBF and CBV was CBV </w:instrText>
      </w:r>
      <w:dir w:val="rtl">
        <w:r w:rsidR="00A41837">
          <w:rPr>
            <w:rFonts w:ascii="Calibri" w:eastAsia="Calibri" w:hAnsi="Calibri" w:cs="Times New Roman"/>
            <w:vertAlign w:val="superscript"/>
          </w:rPr>
          <w:instrText>ס</w:instrText>
        </w:r>
        <w:r w:rsidR="00A41837">
          <w:rPr>
            <w:rFonts w:ascii="Calibri" w:eastAsia="Calibri" w:hAnsi="Calibri" w:cs="Times New Roman"/>
            <w:vertAlign w:val="superscript"/>
          </w:rPr>
          <w:instrText>‬ 1.09 CBF 0.29 . The increase in CBF was greater than that in CBV during hypercapnia, indicating an increase in vascular blood velocity. The degree of decrease in CBF during hypocapnia was greater than that in CBV, indicating a decrease in vascular blood velocity. The relation between changes in CBF and CBV during hypercapnia was similar to that during neural activation; however, the relation during hypocapnia was different from that during neural deactivation observed in crossed cerebellar diaschisis. This suggests that augmentation of CBF and CBV might be governed by a similar microcirculatory mechanism between neural activation and hypercapnia, but diminution of CBF and CBV might be governed by a different mechanism between neural deactivation and hypocapnia.","author":[{"dropping-particle":"","family":"Ito","given":"Hiroshi","non-dropping-particle":"","parse-names":false,"suffix":""},{"dropping-particle":"","family":"Kanno","given":"Iwao","non-dropping-particle":"","parse-names":false,"suffix":""},{"dropping-particle":"","family":"Ibaraki","given":"Masanobu","non-dropping-particle":"","parse-names":false,"suffix":""},{"dropping-particle":"","family":"Hatazawa","given":"Jun","non-dropping-particle":"","parse-names":false,"suffix":""},{"dropping-particle":"","family":"Miura","given":"Shuichi","non-dropping-particle":"","parse-names":false,"suffix":""}],"id":"ITEM-7","issued":{"date-parts":[["0"]]},"title":"Changes in Human Cerebral Blood Flow and Cerebral Blood Volume During Hypercapnia and Hypocapnia Measured by Positron Emission Tomography","type":"article-journal"},"uris":["http://www.mendeley.com/documents/?uuid=fdb5ea9b-c915-3c6d-b217-8fd0720e925f"]},{"id":"ITEM-8","itemData":{"DOI":"10.1016/j.ultrasmedbio.2013.03.020","ISBN":"1879-291X","ISSN":"03015629","PMID":"23830102","abstract":"To anticipate an increase in intra-cranial pressure (ICP), information about pressure-volume (p/v) compliance is required. ICP monitoring often fails at this task after head injury. Could a test that transiently shifts intra-cranial blood volume produce consistent information about the p/v relationship? Doppler flow velocities inthe middle cerebral arteries (left: 80.8??34.7cm/s; right: 65.9??28.0cm/s) and ICP (16.4??6.7mm Hg) were measured in 29 patients with head injury, before and during moderate hypocapnia (4.4??3.0kPa). The ratio ofvasomotor response to change in ICP differed between those with high (left: 14.8??6.9, right: 14.4??6.6cm/s/kPa/mm Hg) and low (left: 1.8??0.6, right: 2.2??0.9cm/s/kPa/mm g) intra-cranial compliance. Additionally, the ratio identified 12 patients deviating from the classic non-linear p/v curve (left: 5.7??1.3, right: 5.8??1.0cm/s/kPa/mm Hg). They exhibited an almost proportional relationship between vasomotor and ICP responses (R=0.69, p&lt;0.01). Results suggest that a test that combines the responses of two intra-cranial compartments may provide consistent information about intra-cranial p/v compliance, even if the parameters derived from ICP monitoring are inconclusive. ?? 2013 World Federation for Ultrasound in Medicine &amp; Biology.","author":[{"dropping-particle":"","family":"Haubrich","given":"Christina","non-dropping-particle":"","parse-names":false,"suffix":""},{"dropping-particle":"","family":"Steiner","given":"Luzius A.","non-dropping-particle":"","parse-names":false,"suffix":""},{"dropping-particle":"","family":"Diehl","given":"Rolf R.","non-dropping-particle":"","parse-names":false,"suffix":""},{"dropping-particle":"","family":"Kasprowicz","given":"Magdalena","non-dropping-particle":"","parse-names":false,"suffix":""},{"dropping-particle":"","family":"Smielewski","given":"Piotr","non-dropping-particle":"","parse-names":false,"suffix":""},{"dropping-particle":"","family":"Pickard","given":"John D.","non-dropping-particle":"","parse-names":false,"suffix":""},{"dropping-particle":"","family":"Czosnyka","given":"Marek","non-dropping-particle":"","parse-names":false,"suffix":""}],"container-title":"Ultrasound in Medicine and Biology","id":"ITEM-8","issued":{"date-parts":[["2013"]]},"title":"Doppler flow velocity and intra-cranial pressure: Responses to short-term mild hypocapnia help to assess the pressure-volume relationship after head injury","type":"article-journal"},"uris":["http://www.mendeley.com/documents/?uuid=57ace1d0-7997-34cb-a767-ffe1643e9678"]},{"id":"ITEM-9","itemData":{"DOI":"10.1016/j.resuscitation.2015.03.015","ISBN":"0300-9572\\r1873-1570","ISSN":"03009572","PMID":"2015043219","abstract":"OBJECTIVE\\nPartial pressure of arterial carbon dioxide (PaCO2) is a major regulator of cerebral blood flow (CBF). Derangements in PaCO2 have been thought to worsen clinical outcomes after many forms of cerebral injury by altering CBF. Our aim was to systematically analyze the biomedical literature to determine the effects of PaCO2 derangements on clinical outcomes after cerebral injury. \\n\\nMETHODS\\nWe performed a search of Cochrane Library, PUBMED, CINHAL, conference proceedings, and other sources using a comprehensive strategy. Study inclusion criteria were (1) human subjects; (2) cerebral injury; (3) mechanical ventilation post-injury; (4) measurement of PaCO2; and (5) comparison of a clinical outcome measure (e.g. mortality) between different PaCO2 exposures. We performed a qualitative analysis to collate and summarize effects of PaCO2 derangements according to the recommended methodology from the Cochrane Handbook. \\n\\nRESULTS\\nSeventeen studies involving different etiologies of cerebral injury (six traumatic brain injury, six post-cardiac arrest syndrome, two cerebral vascular accident, three neonatal ischemic encephalopathy) met all inclusion and no exclusion criteria. Three randomized control trials were identified and only one was considered a high quality study as per the Cochrane criteria for assessing risk of bias. In 13/17 (76%) studies examining hypocapnia, and 7/10 (70%) studies examining hypercapnia, the exposed group (hypercapnia or hypocapnia) was associated with poor clinical outcome. \\n\\nCONCLUSION\\nThe majority of studies in this report found exposure to hypocapnia and hypercapnia after cerebral injury to be associated with poor clinical outcome. However, the optimal PaCO2 range associated with good clinical outcome remains unclear.","author":[{"dropping-particle":"","family":"Roberts","given":"Brian W.","non-dropping-particle":"","parse-names":false,"suffix":""},{"dropping-particle":"","family":"Karagiannis","given":"Paul","non-dropping-particle":"","parse-names":false,"suffix":""},{"dropping-particle":"","family":"Coletta","given":"Michael","non-dropping-particle":"","parse-names":false,"suffix":""},{"dropping-particle":"","family":"Kilgannon","given":"J. Hope","non-dropping-particle":"","parse-names":false,"suffix":""},{"dropping-particle":"","family":"Chansky","given":"Michael E.","non-dropping-particle":"","parse-names":false,"suffix":""},{"dropping-particle":"","family":"Trzeciak","given":"Stephen","non-dropping-particle":"","parse-names":false,"suffix":""}],"container-title":"Resuscitation","id":"ITEM-9","issued":{"date-parts":[["2015"]]},"page":"32-41","title":"Effects of PaCO2 derangements on clinical outcomes after cerebral injury: A systematic review","type":"article-journal","volume":"91"},"uris":["http://www.mendeley.com/documents/?uuid=468c2b82-9794-4c8c-925c-d29b0b70d17c"]}],"mendeley":{"formattedCitation":"(11–19)","manualFormatting":"11–19","plainTextFormattedCitation":"(11–19)","previouslyFormattedCitation":"(11–19)"},"properties":{"noteIndex":0},"schema":"https://github.com/citation-style-language/schema/raw/master/csl-citation.json"}</w:instrText>
        </w:r>
        <w:r w:rsidRPr="000A2B27">
          <w:rPr>
            <w:rFonts w:ascii="Calibri" w:eastAsia="Calibri" w:hAnsi="Calibri" w:cs="Times New Roman"/>
            <w:vertAlign w:val="superscript"/>
          </w:rPr>
          <w:fldChar w:fldCharType="separate"/>
        </w:r>
        <w:r w:rsidRPr="000A2B27">
          <w:rPr>
            <w:rFonts w:ascii="Calibri" w:eastAsia="Calibri" w:hAnsi="Calibri" w:cs="Times New Roman"/>
            <w:noProof/>
            <w:vertAlign w:val="superscript"/>
          </w:rPr>
          <w:t>11–19</w:t>
        </w:r>
        <w:r w:rsidRPr="000A2B27">
          <w:rPr>
            <w:rFonts w:ascii="Calibri" w:eastAsia="Calibri" w:hAnsi="Calibri" w:cs="Times New Roman"/>
          </w:rPr>
          <w:fldChar w:fldCharType="end"/>
        </w:r>
        <w:r w:rsidRPr="000A2B27">
          <w:rPr>
            <w:rFonts w:ascii="Calibri" w:eastAsia="Calibri" w:hAnsi="Calibri" w:cs="Times New Roman"/>
          </w:rPr>
          <w:t>, which are thought to mimic physiological responses to hemodynamic disturbances that are provoked, pathological, or pharmacological. Therefore, CaBV can be manipulated by ICP</w:t>
        </w:r>
        <w:r w:rsidRPr="000A2B27">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{"citationItems":[{"id":"ITEM-1","itemData":{"DOI":"10.1089/neu.2009.0951","ISBN":"1557-9042 (Electronic)\\n0897-7151 (Linking)","ISSN":"0897-7151","PMID":"19852586","abstract":"The pulsatile component of intracranial pressure (ICP) has been shown to be a predictor of outcome in normal pressure hydrocephalus (NPH) and traumatic brain injury (TBI). Experimental studies have demonstrated that the pulse amplitude of ICP (AMP(ICP)) is dependent on the mean ICP (mICP), and on the pulse amplitude of the cerebral arterial blood volume (AMP(CaBV)), according to the exponential craniospinal compliance curve. In this study, we compared the influence of mICP and AMP(CaBV) on AMP(ICP) in patients with NPH (infusion study) and TBI (spontaneous recording). We retrospectively analyzed 25 NPH and 43 TBI patients with continuous monitoring of ICP and cerebral blood flow velocity (CBFV), as assessed with transcranial doppler. AMP(CaBV) was extracted from the CBFV waveform. The influence of mICP and AMP(CaBV) on AMP(ICP) were determined using partial coefficients a, b, and c of the multiple regression model: AMP(ICP) = a * mICP + b * AMP(CaBV) + c. AMP(ICP) was more dependent on mICP in NPH patients than in TBI patients (partial coefficient a = 0.93 versus -0.03; p &lt; 0.001). On the contrary, AMP(ICP) was more dependent on AMP(CaBV) in patients with TBI than in those with NPH (b = 0.86 versus 0.10; p &lt; 0.001). This study shows that AMP(ICP) depends mostly on changes in mean ICP during cerebrospinal fluid (CSF) infusion studies in patients with NPH, and on changes in cerebral arterial blood volume (AMP(CaBV)) in TBI patients. Further clinical studies will reveal whether AMP(ICP) is a better indicator of clinical severity and outcome than mICP in TBI and NPH patients.","author":[{"dropping-particle":"","family":"Carrera","given":"Emmanuel","non-dropping-particle":"","parse-names":false,"suffix":""},{"dropping-particle":"","family":"Kim","given":"Dong-Joo","non-dropping-particle":"","parse-names":false,"suffix":""},{"dropping-particle":"","family":"Castellani","given":"Gianluca","non-dropping-particle":"","parse-names":false,"suffix":""},{"dropping-particle":"","family":"Zweifel","given":"Christian","non-dropping-particle":"","parse-names":false,"suffix":""},{"dropping-particle":"","family":"Czosnyka","given":"Zofia","non-dropping-particle":"","parse-names":false,"suffix":""},{"dropping-particle":"","family":"Kasprowicz","given":"Magdalena","non-dropping-particle":"","parse-names":false,"suffix":""},{"dropping-particle":"","family":"Smielewski","given":"Peter","non-dropping-particle":"","parse-names":false,"suffix":""},{"dropping-particle":"","family":"Pickard","given":"John D.","non-dropping-particle":"","parse-names":false,"suffix":""},{"dropping-particle":"","family":"Czosnyka","given":"Marek","non-dropping-particle":"","parse-names":false,"suffix":""}],"container-title":"Journal of Neurotrauma","id":"ITEM-1","issue":"2","issued":{"date-parts":[["2010","2"]]},"page":"317-324","title":"What Shapes Pulse Amplitude of Intracranial Pressure?","type":"article-journal","volume":"27"},"uris":["http://www.mendeley.com/documents/?uuid=a0bc25ca-ca13-3fac-a797-915664aea8ca"]},{"id":"ITEM-2","itemData":{"ISBN":"9070062070","ISSN":"0300-9572","PMID":"1028117","abstract":"The effect of priming extracorporeal perfusion pumps with 50% and 80% diluted homologous blood on the serum electrolytes, acid-base status and plasma osmolality has been investigated in 103 patients undergoing open-heart surgery for congenital and acquired heart disease. The value in prognosis of plasma osmolality is discussed.","author":[{"dropping-particle":"","family":"Avezaat","given":"CJJ","non-dropping-particle":"","parse-names":false,"suffix":""},{"dropping-particle":"Van","family":"Eijndhoven","given":"JHM","non-dropping-particle":"","parse-names":false,"suffix":""}],"container-title":"Resuscitation","id":"ITEM-2","issue":"2","issued":{"date-parts":[["1984"]]},"number-of-pages":"111-26","title":"Cerebrospinal fluid pulse pressure and craniospinal dynamics: a theoretical, clinical and experimental study","type":"book","volume":"5"},"uris":["http://www.mendeley.com/documents/?uuid=d377b3f7-2ae5-4766-aba8-adcbdba78f6a"]},{"id":"ITEM-3","itemData":{"DOI":"10.1007/s00134-004-2463-6","ISBN":"0342-4642 (Print)\\r0342-4642 (Linking)","ISSN":"03424642","PMID":"15480563","abstract":"OBJECTIVE: In healthy volunteers cerebral blood flow starts to recover towards baseline within a few minutes of continued hyperventilation due to normalisation of perivascular pH. We investigated the time-course of changes in middle cerebral artery mean flow velocity (FVm) and intracranial pressure (ICP) in head-injured patients during sustained moderate reductions in arterial partial pressure of CO(2) (PaCO(2)).\\n\\nDESIGN: Observational study.\\n\\nPATIENTS: Twenty-seven sedated, mechanically ventilated patients with severe head injury.\\n\\nINTERVENTIONS: Measurements were made during and after routine determination of CO(2)-reactivity: an acute 20% increase in respiratory minute volume was followed by a 10-min stabilisation period and 50 min of continued moderate hyperventilation at a constant PaCO(2) (&gt;3.5 kPa).\\n\\nMEASUREMENTS AND RESULTS: FVm was monitored with transcranial Doppler, ICP was monitored with intraparenchymal probes. During the 50-min period with stable PaCO(2) FVm increased in 36% of patients. All other patients showed a decline in FVm over the same time period. Overall FVm recovery was -0.03+/-0.14%.min(-1). The time-course of ICP changes was significantly different from that of FVm, with ICP reaching its lowest value earlier than FVm (23+/-12 vs 37+/-20 min; P = 0.001) and returning more rapidly towards baseline than FVm (0.23+/-0.23 vs -0.03+/-0.14%.min(-1); P&lt; 0.0001).\\n\\nCONCLUSIONS: Head-injured patients may adapt differently to hyperventilation than healthy volunteers. Potentially harmful reductions in cerebral blood flow may persist beyond the duration of useful ICP reduction.","author":[{"dropping-particle":"","family":"Steiner","given":"Luzius A.","non-dropping-particle":"","parse-names":false,"suffix":""},{"dropping-particle":"","family":"Balestreri","given":"Marcella","non-dropping-particle":"","parse-names":false,"suffix":""},{"dropping-particle":"","family":"Johnston","given":"Andrew J.","non-dropping-particle":"","parse-names":false,"suffix":""},{"dropping-particle":"","family":"Czosnyka","given":"Marek","non-dropping-particle":"","parse-names":false,"suffix":""},{"dropping-particle":"","family":"Coles","given":"Jonathan P.","non-dropping-particle":"","parse-names":false,"suffix":""},{"dropping-particle":"","family":"Chatfield","given":"Doris A.","non-dropping-particle":"","parse-names":false,"suffix":""},{"dropping-particle":"","family":"Smielewski","given":"Peter","non-dropping-particle":"","parse-names":false,"suffix":""},{"dropping-particle":"","family":"Pickard","given":"John D.","non-dropping-particle":"","parse-names":false,"suffix":""},{"dropping-particle":"","family":"Menon","given":"David K.","non-dropping-particle":"","parse-names":false,"suffix":""}],"container-title":"Intensive Care Medicine","id":"ITEM-3","issue":"12","issued":{"date-parts":[["2004"]]},"page":"2180-2187","title":"Sustained moderate reductions in arterial CO2after brain trauma Time-course of cerebral blood flow velocity and intracranial pressure","type":"article-journal","volume":"30"},"uris":["http://www.mendeley.com/documents/?uuid=19175a08-4a17-4cf8-9f9c-4aad7fa3e9e5"]}],"mendeley":{"formattedCitation":"(11,13,14)","manualFormatting":"11,13,14","plainTextFormattedCitation":"(11,13,14)","previouslyFormattedCitation":"(11,13,14)"},"properties":{"noteIndex":0},"schema":"https://github.com/citation-style-language/schema/raw/master/csl-citation.json"}</w:instrText>
        </w:r>
        <w:r w:rsidRPr="000A2B27">
          <w:rPr>
            <w:rFonts w:ascii="Calibri" w:eastAsia="Calibri" w:hAnsi="Calibri" w:cs="Times New Roman"/>
            <w:vertAlign w:val="superscript"/>
          </w:rPr>
          <w:fldChar w:fldCharType="separate"/>
        </w:r>
        <w:r w:rsidRPr="000A2B27">
          <w:rPr>
            <w:rFonts w:ascii="Calibri" w:eastAsia="Calibri" w:hAnsi="Calibri" w:cs="Times New Roman"/>
            <w:noProof/>
            <w:vertAlign w:val="superscript"/>
          </w:rPr>
          <w:t>11,13,14</w:t>
        </w:r>
        <w:r w:rsidRPr="000A2B27">
          <w:rPr>
            <w:rFonts w:ascii="Calibri" w:eastAsia="Calibri" w:hAnsi="Calibri" w:cs="Times New Roman"/>
          </w:rPr>
          <w:fldChar w:fldCharType="end"/>
        </w:r>
        <w:r w:rsidRPr="000A2B27">
          <w:rPr>
            <w:rFonts w:ascii="Calibri" w:eastAsia="Calibri" w:hAnsi="Calibri" w:cs="Times New Roman"/>
          </w:rPr>
          <w:t>, CO</w:t>
        </w:r>
        <w:r w:rsidRPr="000A2B27">
          <w:rPr>
            <w:rFonts w:ascii="Calibri" w:eastAsia="Calibri" w:hAnsi="Calibri" w:cs="Times New Roman"/>
            <w:vertAlign w:val="subscript"/>
          </w:rPr>
          <w:t>2</w:t>
        </w:r>
        <w:r w:rsidRPr="000A2B27">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 xml:space="preserve">ADDIN CSL_CITATION {"citationItems":[{"id":"ITEM-1","itemData":{"DOI":"10.1093/bja/aem139","ISBN":"0007-0912\\r1471-6771","ISSN":"00070912","PMID":"17556349","abstract":"Traumatic brain injury (TBI) is a major cause of morbidity and mortality worldwide. The modern management of severe TBI has fallen into the domain of a multidisciplinary team led by neurointensivists, neuroanaesthetists, and neurosurgeons and is based on the avoidance of secondary injury, maintenance of cerebral perfusion pressure (CPP), and optimization of cerebral oxygenation. In this review, we will discuss the intensive care management of severe TBI with emphasis on the specific measures directed at the control of intracranial pressure and CPP.","author":[{"dropping-particle":"","family":"Helmy","given":"A.","non-dropping-particle":"","parse-names":false,"suffix":""},{"dropping-particle":"","family":"Vizcaychipi","given":"M.","non-dropping-particle":"","parse-names":false,"suffix":""},{"dropping-particle":"","family":"Gupta","given":"A. K.","non-dropping-particle":"","parse-names":false,"suffix":""}],"container-title":"British Journal of Anaesthesia","id":"ITEM-1","issue":"1","issued":{"date-parts":[["2007"]]},"page":"32-42","title":"Traumatic brain injury: Intensive care management","type":"article","volume":"99"},"uris":["http://www.mendeley.com/documents/?uuid=e3601f74-15aa-45dc-aa17-08a3d0ef84b6"]},{"id":"ITEM-2","itemData":{"DOI":"10.3171/jns.1969.31.3.0303","ISBN":"0022-3085 (Print)\\r0022-3085 (Linking)","ISSN":"0022-3085","PMID":"5811832","author":[{"dropping-particle":"","family":"Risberg","given":"Jarl","non-dropping-particle":"","parse-names":false,"suffix":""},{"dropping-particle":"","family":"Lundberg","given":"Nils","non-dropping-particle":"","parse-names":false,"suffix":""},{"dropping-particle":"","family":"Ingvar","given":"David H.","non-dropping-particle":"","parse-names":false,"suffix":""}],"container-title":"Journal of Neurosurgery","id":"ITEM-2","issued":{"date-parts":[["1969"]]},"title":"Regional Cerebral Blood Volume During Acute Transient Rises of the Intracranial Pressure (Plateau Waves)","type":"article-journal"},"uris":["http://www.mendeley.com/documents/?uuid=232d02df-c65e-3ed0-ad1c-049e3e490fa4"]},{"id":"ITEM-3","itemData":{"abstract":"The Effects of Changes in Paco, on Cerebral Blood Volume, Blood Flow, and Vascular Mean Transit Time • The relationships between cerebral blood volume (CBV), cerebral blood flow (CBF), and the cerebral vascular mean transit time (t v) during acute changes in the Paco, over a range of 15 to 76 torr were investigated in vivo in rhesus monkeys by serially determining the mean transit time of a vascular tracer, 18 O-labeled carboxyhemoglobin, and the mean transit time of a diffusible tracer, 16 O-labeled water. Over this range of Paco,, a significant linear relationship of CBV = 0.041 Paco, + 2.0 was found. For each one torr change in Paco,, there is a change in CBV of 0.041 ml/100 gm of perfused tissue. At a normocarbic value of Paco, (~37 torr), an average value of 3.5 ml/100 gm was found. A nonlinear relationship of CBV and CBF was found. This relationship is expressed in the equation, CBV = 0.80 CBF 038 . A significant linear relationship was found between CBF and Paco,. This was described by the equation, CBF = 1.8 Paco, -16.75. For each one torr change in the Paco,, there is a 1.8 ml/100 gm per minute change in the CBF. At a normocarbic value of Paco, (~37 torr), an average value of CBF of 50 ml/100 gm per minute was found. The relationship of CBV and t v was nonlinear and was ex-pressed in the equation, t c is o = 41 CBF\" 082 . Additional Key Words oxygen-15 cerebral metabolic rate of oxygen","author":[{"dropping-particle":"","family":"Grubb","given":"Robert L","non-dropping-particle":"","parse-names":false,"suffix":""},{"dropping-particle":"","family":"Raichle","given":"Marcus E","non-dropping-particle":"","parse-names":false,"suffix":""},{"dropping-particle":"","family":"Eichling","given":"John O","non-dropping-particle":"","parse-names":false,"suffix":""},{"dropping-particle":"","family":"And","given":"Michel M","non-dropping-particle":"","parse-names":false,"suffix":""},{"dropping-particle":"","family":"Ter-Pogossian","given":"J","non-dropping-particle":"","parse-names":false,"suffix":""}],"id":"ITEM-3","issued":{"date-parts":[["0"]]},"title":"The Effects of Changes in Paco 2 on Cerebral Blood Volume, Blood Flow, and Vascular Mean Transit Time","type":"article-journal"},"uris":["http://www.mendeley.com/documents/?uuid=0c8dd8b1-913c-3ab1-be2f-8c086ab1c625"]},{"id":"ITEM-4","itemData":{"DOI":"10.1097/01.WCB.0000067721.64998.F5","abstract":"Hypercapnia induces cerebral vasodilation and in-creases cerebral blood flow (CBF), and hypocapnia induces cerebral vasoconstriction and decreases CBF. The relation be-tween changes in CBF and cerebral blood volume (CBV) dur-ing hypercapnia and hypocapnia in humans, however, is not clear. Both CBF and CBV were measured at rest and during hypercapnia and hypocapnia in nine healthy subjects by posi-tron emission tomography. The vascular responses to hyper-capnia in terms of CBF and CBV were 6.0 ± 2.6%/mm Hg and 1.8 ± 1.3%/mm Hg, respectively, and those to hypocapnia were −3.5 ± 0.6%/mm Hg and −1.3 ± 1.0%/mm Hg, respectively. The relation between CBF and CBV was CBV </w:instrText>
        </w:r>
        <w:dir w:val="rtl">
          <w:r w:rsidR="00A41837">
            <w:rPr>
              <w:rFonts w:ascii="Calibri" w:eastAsia="Calibri" w:hAnsi="Calibri" w:cs="Times New Roman"/>
              <w:vertAlign w:val="superscript"/>
            </w:rPr>
            <w:instrText>ס</w:instrText>
          </w:r>
          <w:r w:rsidR="00A41837">
            <w:rPr>
              <w:rFonts w:ascii="Calibri" w:eastAsia="Calibri" w:hAnsi="Calibri" w:cs="Times New Roman"/>
              <w:vertAlign w:val="superscript"/>
            </w:rPr>
            <w:instrText>‬ 1.09 CBF 0.29 . The increase in CBF was greater than that in CBV during hypercapnia, indicating an increase in vascular blood velocity. The degree of decrease in CBF during hypocapnia was greater than that in CBV, indicating a decrease in vascular blood velocity. The relation between changes in CBF and CBV during hypercapnia was similar to that during neural activation; however, the relation during hypocapnia was different from that during neural deactivation observed in crossed cerebellar diaschisis. This suggests that augmentation of CBF and CBV might be governed by a similar microcirculatory mechanism between neural activation and hypercapnia, but diminution of CBF and CBV might be governed by a different mechanism between neural deactivation and hypocapnia.","author":[{"dropping-particle":"","family":"Ito","given":"Hiroshi","non-dropping-particle":"","parse-names":false,"suffix":""},{"dropping-particle":"","family":"Kanno","given":"Iwao","non-dropping-particle":"","parse-names":false,"suffix":""},{"dropping-particle":"","family":"Ibaraki","given":"Masanobu","non-dropping-particle":"","parse-names":false,"suffix":""},{"dropping-particle":"","family":"Hatazawa","given":"Jun","non-dropping-particle":"","parse-names":false,"suffix":""},{"dropping-particle":"","family":"Miura","given":"Shuichi","non-dropping-particle":"","parse-names":false,"suffix":""}],"id":"ITEM-4","issued":{"date-parts":[["0"]]},"title":"Changes in Human Cerebral Blood Flow and Cerebral Blood Volume During Hypercapnia and Hypocapnia Measured by Positron Emission Tomography","type":"article-journal"},"uris":["http://www.mendeley.com/documents/?uuid=fdb5ea9b-c915-3c6d-b217-8fd0720e925f"]}],"mendeley":{"formattedCitation":"(12,15–17)","manualFormatting":"12,15–17","plainTextFormattedCitation":"(12,15–17)","previouslyFormattedCitation":"(12,15–17)"},"properties":{"noteIndex":0},"schema":"https://github.com/citation-style-language/schema/raw/master/csl-citation.json"}</w:instrText>
          </w:r>
          <w:r w:rsidRPr="000A2B27">
            <w:rPr>
              <w:rFonts w:ascii="Calibri" w:eastAsia="Calibri" w:hAnsi="Calibri" w:cs="Times New Roman"/>
              <w:vertAlign w:val="superscript"/>
            </w:rPr>
            <w:fldChar w:fldCharType="separate"/>
          </w:r>
          <w:r w:rsidRPr="000A2B27">
            <w:rPr>
              <w:rFonts w:ascii="Calibri" w:eastAsia="Calibri" w:hAnsi="Calibri" w:cs="Times New Roman"/>
              <w:noProof/>
              <w:vertAlign w:val="superscript"/>
            </w:rPr>
            <w:t>12,15–17</w:t>
          </w:r>
          <w:r w:rsidRPr="000A2B27">
            <w:rPr>
              <w:rFonts w:ascii="Calibri" w:eastAsia="Calibri" w:hAnsi="Calibri" w:cs="Times New Roman"/>
            </w:rPr>
            <w:fldChar w:fldCharType="end"/>
          </w:r>
          <w:r w:rsidRPr="000A2B27">
            <w:rPr>
              <w:rFonts w:ascii="Calibri" w:eastAsia="Calibri" w:hAnsi="Calibri" w:cs="Times New Roman"/>
            </w:rPr>
            <w:t>, and ABP</w:t>
          </w:r>
          <w:r w:rsidRPr="000A2B27">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{"citationItems":[{"id":"ITEM-1","itemData":{"DOI":"10.1016/j.ultrasmedbio.2013.03.020","ISBN":"1879-291X","ISSN":"03015629","PMID":"23830102","abstract":"To anticipate an increase in intra-cranial pressure (ICP), information about pressure-volume (p/v) compliance is required. ICP monitoring often fails at this task after head injury. Could a test that transiently shifts intra-cranial blood volume produce consistent information about the p/v relationship? Doppler flow velocities inthe middle cerebral arteries (left: 80.8??34.7cm/s; right: 65.9??28.0cm/s) and ICP (16.4??6.7mm Hg) were measured in 29 patients with head injury, before and during moderate hypocapnia (4.4??3.0kPa). The ratio ofvasomotor response to change in ICP differed between those with high (left: 14.8??6.9, right: 14.4??6.6cm/s/kPa/mm Hg) and low (left: 1.8??0.6, right: 2.2??0.9cm/s/kPa/mm g) intra-cranial compliance. Additionally, the ratio identified 12 patients deviating from the classic non-linear p/v curve (left: 5.7??1.3, right: 5.8??1.0cm/s/kPa/mm Hg). They exhibited an almost proportional relationship between vasomotor and ICP responses (R=0.69, p&lt;0.01). Results suggest that a test that combines the responses of two intra-cranial compartments may provide consistent information about intra-cranial p/v compliance, even if the parameters derived from ICP monitoring are inconclusive. ?? 2013 World Federation for Ultrasound in Medicine &amp; Biology.","author":[{"dropping-particle":"","family":"Haubrich","given":"Christina","non-dropping-particle":"","parse-names":false,"suffix":""},{"dropping-particle":"","family":"Steiner","given":"Luzius A.","non-dropping-particle":"","parse-names":false,"suffix":""},{"dropping-particle":"","family":"Diehl","given":"Rolf R.","non-dropping-particle":"","parse-names":false,"suffix":""},{"dropping-particle":"","family":"Kasprowicz","given":"Magdalena","non-dropping-particle":"","parse-names":false,"suffix":""},{"dropping-particle":"","family":"Smielewski","given":"Piotr","non-dropping-particle":"","parse-names":false,"suffix":""},{"dropping-particle":"","family":"Pickard","given":"John D.","non-dropping-particle":"","parse-names":false,"suffix":""},{"dropping-particle":"","family":"Czosnyka","given":"Marek","non-dropping-particle":"","parse-names":false,"suffix":""}],"container-title":"Ultrasound in Medicine and Biology","id":"ITEM-1","issued":{"date-parts":[["2013"]]},"title":"Doppler flow velocity and intra-cranial pressure: Responses to short-term mild hypocapnia help to assess the pressure-volume relationship after head injury","type":"article-journal"},"uris":["http://www.mendeley.com/documents/?uuid=57ace1d0-7997-34cb-a767-ffe1643e9678"]},{"id":"ITEM-2","itemData":{"DOI":"10.1016/j.resuscitation.2015.03.015","ISBN":"0300-9572\\r1873-1570","ISSN":"03009572","PMID":"2015043219","abstract":"OBJECTIVE\\nPartial pressure of arterial carbon dioxide (PaCO2) is a major regulator of cerebral blood flow (CBF). Derangements in PaCO2 have been thought to worsen clinical outcomes after many forms of cerebral injury by altering CBF. Our aim was to systematically analyze the biomedical literature to determine the effects of PaCO2 derangements on clinical outcomes after cerebral injury. \\n\\nMETHODS\\nWe performed a search of Cochrane Library, PUBMED, CINHAL, conference proceedings, and other sources using a comprehensive strategy. Study inclusion criteria were (1) human subjects; (2) cerebral injury; (3) mechanical ventilation post-injury; (4) measurement of PaCO2; and (5) comparison of a clinical outcome measure (e.g. mortality) between different PaCO2 exposures. We performed a qualitative analysis to collate and summarize effects of PaCO2 derangements according to the recommended methodology from the Cochrane Handbook. \\n\\nRESULTS\\nSeventeen studies involving different etiologies of cerebral injury (six traumatic brain injury, six post-cardiac arrest syndrome, two cerebral vascular accident, three neonatal ischemic encephalopathy) met all inclusion and no exclusion criteria. Three randomized control trials were identified and only one was considered a high quality study as per the Cochrane criteria for assessing risk of bias. In 13/17 (76%) studies examining hypocapnia, and 7/10 (70%) studies examining hypercapnia, the exposed group (hypercapnia or hypocapnia) was associated with poor clinical outcome. \\n\\nCONCLUSION\\nThe majority of studies in this report found exposure to hypocapnia and hypercapnia after cerebral injury to be associated with poor clinical outcome. However, the optimal PaCO2 range associated with good clinical outcome remains unclear.","author":[{"dropping-particle":"","family":"Roberts","given":"Brian W.","non-dropping-particle":"","parse-names":false,"suffix":""},{"dropping-particle":"","family":"Karagiannis","given":"Paul","non-dropping-particle":"","parse-names":false,"suffix":""},{"dropping-particle":"","family":"Coletta","given":"Michael","non-dropping-particle":"","parse-names":false,"suffix":""},{"dropping-particle":"","family":"Kilgannon","given":"J. Hope","non-dropping-particle":"","parse-names":false,"suffix":""},{"dropping-particle":"","family":"Chansky","given":"Michael E.","non-dropping-particle":"","parse-names":false,"suffix":""},{"dropping-particle":"","family":"Trzeciak","given":"Stephen","non-dropping-particle":"","parse-names":false,"suffix":""}],"container-title":"Resuscitation","id":"ITEM-2","issued":{"date-parts":[["2015"]]},"page":"32-41","title":"Effects of PaCO2 derangements on clinical outcomes after cerebral injury: A systematic review","type":"article-journal","volume":"91"},"uris":["http://www.mendeley.com/documents/?uuid=468c2b82-9794-4c8c-925c-d29b0b70d17c"]},{"id":"ITEM-3","itemData":{"DOI":"10.1093/bja/aes023","ISBN":"1471-6771 (Electronic)\\r0007-0912 (Linking)","ISSN":"00070912","PMID":"22391890","abstract":"BACKGROUND: Multiple studies have shown that cerebral tissue oxygen saturation (Sct(O(2))) is decreased after phenylephrine treatment. We hypothesized that the negative impact of phenylephrine administration on Sct(O(2)) is affected by arterial blood carbon dioxide partial pressure (Pa(CO(2))) because CO(2) is a powerful modulator of cerebrovascular tone.\\n\\nMETHODS: In 14 anaesthetized healthy patients, i.v. phenylephrine bolus was administered to increase the mean arterial pressure ~20-30% during hypocapnia, normocapnia, and hypercapnia. Sct(O(2)) and cerebral blood volume (CBV) were measured using frequency domain near-infrared spectroscopy, a quantitative technology. Data collection occurred before and after each treatment.\\n\\nRESULTS: Phenylephrine caused a significant decrease in Sct(O(2)) during hypocapnia [ΔSct(O(2)) =-3.4 (1.5)%, P&lt;0.001], normocapnia [ΔSct(O(2)) =-2.4 (1.5)%, P&lt;0.001], and hypercapnia [ΔSct(O(2)) =-1.4 (1.5)%, P&lt;0.01]. Decreases in Sct(O(2)) were significantly different between hypocapnia, normocapnia, and hypercapnia (P&lt;0.001). Phenylephrine also caused a significant decrease in CBV during hypocapnia (P&lt;0.01), but not during normocapnia or hypercapnia.\\n\\nCONCLUSION: The negative impact of phenylephrine treatment on Sct(O(2)) and CBV is intensified during hypocapnia while blunted during hypercapnia.","author":[{"dropping-particle":"","family":"Meng","given":"L.","non-dropping-particle":"","parse-names":false,"suffix":""},{"dropping-particle":"","family":"Gelb","given":"A. W.","non-dropping-particle":"","parse-names":false,"suffix":""},{"dropping-particle":"","family":"Alexander","given":"B. S.","non-dropping-particle":"","parse-names":false,"suffix":""},{"dropping-particle":"","family":"Cerussi","given":"A. E.","non-dropping-particle":"","parse-names":false,"suffix":""},{"dropping-particle":"","family":"Tromberg","given":"B. J.","non-dropping-particle":"","parse-names":false,"suffix":""},{"dropping-particle":"","family":"Yu","given":"Z.","non-dropping-particle":"","parse-names":false,"suffix":""},{"dropping-particle":"","family":"Mantulin","given":"W. W.","non-dropping-particle":"","parse-names":false,"suffix":""}],"container-title":"British Journal of Anaesthesia","id":"ITEM-3","issued":{"date-parts":[["2012"]]},"title":"Impact of phenylephrine administration on cerebral tissue oxygen saturation and blood volume is modulated by carbon dioxide in anaesthetized patients","type":"article-journal"},"uris":["http://www.mendeley.com/documents/?uuid=39ed9e72-fbdc-3653-9de6-8a6e59064949"]}],"mendeley":{"formattedCitation":"(18–20)","manualFormatting":"18–20","plainTextFormattedCitation":"(18–20)","previouslyFormattedCitation":"(18–20)"},"properties":{"noteIndex":0},"schema":"https://github.com/citation-style-language/schema/raw/master/csl-citation.json"}</w:instrText>
          </w:r>
          <w:r w:rsidRPr="000A2B27">
            <w:rPr>
              <w:rFonts w:ascii="Calibri" w:eastAsia="Calibri" w:hAnsi="Calibri" w:cs="Times New Roman"/>
              <w:vertAlign w:val="superscript"/>
            </w:rPr>
            <w:fldChar w:fldCharType="separate"/>
          </w:r>
          <w:r w:rsidRPr="000A2B27">
            <w:rPr>
              <w:rFonts w:ascii="Calibri" w:eastAsia="Calibri" w:hAnsi="Calibri" w:cs="Times New Roman"/>
              <w:noProof/>
              <w:vertAlign w:val="superscript"/>
            </w:rPr>
            <w:t>18–20</w:t>
          </w:r>
          <w:r w:rsidRPr="000A2B27">
            <w:rPr>
              <w:rFonts w:ascii="Calibri" w:eastAsia="Calibri" w:hAnsi="Calibri" w:cs="Times New Roman"/>
            </w:rPr>
            <w:fldChar w:fldCharType="end"/>
          </w:r>
          <w:r w:rsidRPr="000A2B27">
            <w:rPr>
              <w:rFonts w:ascii="Calibri" w:eastAsia="Calibri" w:hAnsi="Calibri" w:cs="Times New Roman"/>
            </w:rPr>
            <w:t xml:space="preserve">, making these parameters important clinical discriminants. Dramatic fluctuations in </w:t>
          </w:r>
          <w:r w:rsidR="00BB11B6">
            <w:rPr>
              <w:rFonts w:ascii="Calibri" w:eastAsia="Calibri" w:hAnsi="Calibri" w:cs="Times New Roman"/>
            </w:rPr>
            <w:t xml:space="preserve">pulsatile </w:t>
          </w:r>
          <w:r w:rsidRPr="000A2B27">
            <w:rPr>
              <w:rFonts w:ascii="Calibri" w:eastAsia="Calibri" w:hAnsi="Calibri" w:cs="Times New Roman"/>
            </w:rPr>
            <w:t xml:space="preserve">CaBV can be best studied in patients exhibiting complex clinical profiles, such as plateau waves of ICP, hypocapnia, and unstable ABP; these specific patient cohorts were chosen to test the veritable limits of mathematical modeling of cerebral hemodynamics, and to provide secondary insight into outcome prediction. </w:t>
          </w:r>
          <w:r w:rsidR="00C919D0">
            <w:t>‬</w:t>
          </w:r>
          <w:r w:rsidR="00C919D0">
            <w:t>‬</w:t>
          </w:r>
          <w:r w:rsidR="00A636C0">
            <w:t>‬</w:t>
          </w:r>
          <w:r w:rsidR="00A636C0">
            <w:t>‬</w:t>
          </w:r>
          <w:r w:rsidR="00D62F4D">
            <w:t>‬</w:t>
          </w:r>
          <w:r w:rsidR="00D62F4D">
            <w:t>‬</w:t>
          </w:r>
          <w:r w:rsidR="00517E60">
            <w:t>‬</w:t>
          </w:r>
          <w:r w:rsidR="00517E60">
            <w:t>‬</w:t>
          </w:r>
          <w:r w:rsidR="00E12B89">
            <w:t>‬</w:t>
          </w:r>
          <w:r w:rsidR="00E12B89">
            <w:t>‬</w:t>
          </w:r>
          <w:r w:rsidR="00745A3E">
            <w:t>‬</w:t>
          </w:r>
          <w:r w:rsidR="00745A3E">
            <w:t>‬</w:t>
          </w:r>
          <w:r w:rsidR="000E50D5">
            <w:t>‬</w:t>
          </w:r>
          <w:r w:rsidR="000E50D5">
            <w:t>‬</w:t>
          </w:r>
          <w:r w:rsidR="00F12B82">
            <w:t>‬</w:t>
          </w:r>
          <w:r w:rsidR="00F12B82">
            <w:t>‬</w:t>
          </w:r>
          <w:r w:rsidR="00AD77A4">
            <w:t>‬</w:t>
          </w:r>
          <w:r w:rsidR="00AD77A4">
            <w:t>‬</w:t>
          </w:r>
          <w:r w:rsidR="00001C5E">
            <w:t>‬</w:t>
          </w:r>
          <w:r w:rsidR="00001C5E">
            <w:t>‬</w:t>
          </w:r>
          <w:r w:rsidR="00123332">
            <w:t>‬</w:t>
          </w:r>
          <w:r w:rsidR="00123332">
            <w:t>‬</w:t>
          </w:r>
          <w:r w:rsidR="00425A28">
            <w:t>‬</w:t>
          </w:r>
          <w:r w:rsidR="00425A28">
            <w:t>‬</w:t>
          </w:r>
          <w:r w:rsidR="004B67B8">
            <w:t>‬</w:t>
          </w:r>
          <w:r w:rsidR="004B67B8">
            <w:t>‬</w:t>
          </w:r>
        </w:dir>
      </w:dir>
    </w:p>
    <w:p w14:paraId="2AD3E8C0" w14:textId="5F89E25F" w:rsidR="00943508" w:rsidRPr="00D6425D" w:rsidRDefault="003377EB" w:rsidP="00020ABC">
      <w:pPr>
        <w:spacing w:line="480" w:lineRule="auto"/>
        <w:ind w:firstLine="720"/>
        <w:rPr>
          <w:rFonts w:ascii="Calibri" w:eastAsia="Calibri" w:hAnsi="Calibri" w:cs="Times New Roman"/>
        </w:rPr>
      </w:pPr>
      <w:r>
        <w:rPr>
          <w:rFonts w:ascii="Calibri" w:eastAsia="Calibri" w:hAnsi="Calibri" w:cs="Times New Roman"/>
        </w:rPr>
        <w:lastRenderedPageBreak/>
        <w:t xml:space="preserve">Retrospective data was anonymized and is stored as such in our </w:t>
      </w:r>
      <w:r w:rsidR="00943508">
        <w:rPr>
          <w:rFonts w:ascii="Calibri" w:eastAsia="Calibri" w:hAnsi="Calibri" w:cs="Times New Roman"/>
        </w:rPr>
        <w:t xml:space="preserve">NCCU Users Group </w:t>
      </w:r>
      <w:r>
        <w:rPr>
          <w:rFonts w:ascii="Calibri" w:eastAsia="Calibri" w:hAnsi="Calibri" w:cs="Times New Roman"/>
        </w:rPr>
        <w:t>database.</w:t>
      </w:r>
      <w:r w:rsidR="00C44FA4" w:rsidRPr="00C44FA4">
        <w:t xml:space="preserve"> </w:t>
      </w:r>
      <w:r w:rsidR="000A2B27">
        <w:t>TCD recordings were</w:t>
      </w:r>
      <w:r w:rsidR="000A2B27" w:rsidRPr="000A2B27">
        <w:t xml:space="preserve"> incorporated into standard patient monitoring practices on the NCCU and utilized an anonymized database of physiological monitoring variables in neurocritical care. Demographic data, injury severity, and clinical status at hospital discharge were collected prospectively during the monitoring of these patients; these clinical records were not consulted further to provide additional information for this study. All data retrieved from the database was extracted from these pre-existing patient records, and fully anonymized. Data pertaining to long-term outcome or patient-identifiers was not available, and formal patient or proxy consent to access these items was not sought, with the exception of the vasopressors cohort, which consented for positron emission tomography (PET) under two different blood pressure levels.</w:t>
      </w:r>
    </w:p>
    <w:p w14:paraId="5A1151BC" w14:textId="77777777" w:rsidR="007A27BD" w:rsidRDefault="007A27BD" w:rsidP="00020ABC">
      <w:pPr>
        <w:spacing w:line="480" w:lineRule="auto"/>
        <w:rPr>
          <w:i/>
        </w:rPr>
      </w:pPr>
    </w:p>
    <w:p w14:paraId="65797FA6" w14:textId="77777777" w:rsidR="007A27BD" w:rsidRDefault="007A27BD" w:rsidP="00020ABC">
      <w:pPr>
        <w:spacing w:line="480" w:lineRule="auto"/>
        <w:rPr>
          <w:i/>
        </w:rPr>
      </w:pPr>
      <w:r w:rsidRPr="00B8584E">
        <w:rPr>
          <w:i/>
        </w:rPr>
        <w:t>ICP Plateau Waves</w:t>
      </w:r>
    </w:p>
    <w:p w14:paraId="0122E1CB" w14:textId="77777777" w:rsidR="007A27BD" w:rsidRPr="00B8584E" w:rsidRDefault="007A27BD" w:rsidP="00020ABC">
      <w:pPr>
        <w:spacing w:line="480" w:lineRule="auto"/>
        <w:rPr>
          <w:i/>
        </w:rPr>
      </w:pPr>
    </w:p>
    <w:p w14:paraId="323CDE19" w14:textId="58861505" w:rsidR="007A27BD" w:rsidRDefault="00FA70DA" w:rsidP="00020ABC">
      <w:pPr>
        <w:spacing w:line="480" w:lineRule="auto"/>
        <w:ind w:firstLine="720"/>
      </w:pPr>
      <w:r>
        <w:t xml:space="preserve">The </w:t>
      </w:r>
      <w:r w:rsidR="007A27BD">
        <w:t xml:space="preserve">observable phenomenon of an ICP plateau wave </w:t>
      </w:r>
      <w:r>
        <w:t>has been explained as</w:t>
      </w:r>
      <w:r w:rsidR="007A27BD">
        <w:t xml:space="preserve"> a function of increasing C</w:t>
      </w:r>
      <w:r w:rsidR="004F5BD0">
        <w:t>a</w:t>
      </w:r>
      <w:r w:rsidR="007A27BD">
        <w:t>BV at the expense of cerebral vasomotor tone and flow regulatory mechanisms</w:t>
      </w:r>
      <w:r w:rsidR="009B3159" w:rsidRPr="009B3159">
        <w:rPr>
          <w:vertAlign w:val="superscript"/>
        </w:rPr>
        <w:fldChar w:fldCharType="begin" w:fldLock="1"/>
      </w:r>
      <w:r w:rsidR="00A41837">
        <w:rPr>
          <w:vertAlign w:val="superscript"/>
        </w:rPr>
        <w:instrText>ADDIN CSL_CITATION {"citationItems":[{"id":"ITEM-1","itemData":{"DOI":"10.3171/jns.1969.31.3.0303","ISBN":"0022-3085 (Print)\\r0022-3085 (Linking)","ISSN":"0022-3085","PMID":"5811832","author":[{"dropping-particle":"","family":"Risberg","given":"Jarl","non-dropping-particle":"","parse-names":false,"suffix":""},{"dropping-particle":"","family":"Lundberg","given":"Nils","non-dropping-particle":"","parse-names":false,"suffix":""},{"dropping-particle":"","family":"Ingvar","given":"David H.","non-dropping-particle":"","parse-names":false,"suffix":""}],"container-title":"Journal of Neurosurgery","id":"ITEM-1","issued":{"date-parts":[["1969"]]},"title":"Regional Cerebral Blood Volume During Acute Transient Rises of the Intracranial Pressure (Plateau Waves)","type":"article-journal"},"uris":["http://www.mendeley.com/documents/?uuid=232d02df-c65e-3ed0-ad1c-049e3e490fa4"]}],"mendeley":{"formattedCitation":"(15)","manualFormatting":"15","plainTextFormattedCitation":"(15)","previouslyFormattedCitation":"(15)"},"properties":{"noteIndex":0},"schema":"https://github.com/citation-style-language/schema/raw/master/csl-citation.json"}</w:instrText>
      </w:r>
      <w:r w:rsidR="009B3159" w:rsidRPr="009B3159">
        <w:rPr>
          <w:vertAlign w:val="superscript"/>
        </w:rPr>
        <w:fldChar w:fldCharType="separate"/>
      </w:r>
      <w:r w:rsidR="009B3159" w:rsidRPr="009B3159">
        <w:rPr>
          <w:noProof/>
          <w:vertAlign w:val="superscript"/>
        </w:rPr>
        <w:t>15</w:t>
      </w:r>
      <w:r w:rsidR="009B3159" w:rsidRPr="009B3159">
        <w:rPr>
          <w:vertAlign w:val="superscript"/>
        </w:rPr>
        <w:fldChar w:fldCharType="end"/>
      </w:r>
      <w:r w:rsidR="009B3159">
        <w:t xml:space="preserve">. </w:t>
      </w:r>
      <w:r>
        <w:t>As cerebra</w:t>
      </w:r>
      <w:r w:rsidR="007A27BD">
        <w:t xml:space="preserve">l vessels react </w:t>
      </w:r>
      <w:r>
        <w:t xml:space="preserve">with </w:t>
      </w:r>
      <w:r w:rsidR="007A27BD">
        <w:t>maximal dilati</w:t>
      </w:r>
      <w:r>
        <w:t>on</w:t>
      </w:r>
      <w:r w:rsidR="007A27BD">
        <w:t xml:space="preserve"> and </w:t>
      </w:r>
      <w:r>
        <w:t>obstruct</w:t>
      </w:r>
      <w:r w:rsidR="007A27BD">
        <w:t xml:space="preserve"> draining veins, </w:t>
      </w:r>
      <w:r>
        <w:t xml:space="preserve">both the </w:t>
      </w:r>
      <w:r w:rsidR="007A27BD">
        <w:t xml:space="preserve">velocity and the volume of blood </w:t>
      </w:r>
      <w:r w:rsidR="002369A6">
        <w:t>flowing</w:t>
      </w:r>
      <w:r w:rsidR="007A27BD">
        <w:t xml:space="preserve"> within their walls</w:t>
      </w:r>
      <w:r>
        <w:t xml:space="preserve"> increases</w:t>
      </w:r>
      <w:r w:rsidR="007A27BD">
        <w:t>. However, the brain cannot accommodate these alterations as they occur, so ICP rapidly increases</w:t>
      </w:r>
      <w:r w:rsidRPr="00FA70DA">
        <w:t>.</w:t>
      </w:r>
      <w:r w:rsidR="007A27BD" w:rsidRPr="009519C4">
        <w:t xml:space="preserve"> </w:t>
      </w:r>
      <w:r w:rsidR="00973E6E">
        <w:t>The</w:t>
      </w:r>
      <w:r w:rsidR="007A27BD">
        <w:t xml:space="preserve"> increased amplitude of the </w:t>
      </w:r>
      <w:r w:rsidR="00973E6E">
        <w:t xml:space="preserve">raw </w:t>
      </w:r>
      <w:r w:rsidR="007A27BD">
        <w:t>ICP waveform</w:t>
      </w:r>
      <w:r w:rsidR="00973E6E">
        <w:t>s</w:t>
      </w:r>
      <w:r w:rsidR="007A27BD">
        <w:t xml:space="preserve"> </w:t>
      </w:r>
      <w:r w:rsidR="00FE7D32">
        <w:t xml:space="preserve">is accompanied by increased ICP, and </w:t>
      </w:r>
      <w:r w:rsidR="007A27BD">
        <w:t xml:space="preserve">can be attributed to the influx of pulsatile cerebral blood coursing through the cerebral vessels, as </w:t>
      </w:r>
      <w:r w:rsidR="00FE7D32">
        <w:t xml:space="preserve">a product of both ABP and CVR as </w:t>
      </w:r>
      <w:r w:rsidR="007A27BD">
        <w:t>opposed to</w:t>
      </w:r>
      <w:r w:rsidR="00FE7D32">
        <w:t xml:space="preserve"> solely</w:t>
      </w:r>
      <w:r w:rsidR="007A27BD">
        <w:t xml:space="preserve"> an increase in mean ICP</w:t>
      </w:r>
      <w:r w:rsidR="009B3159">
        <w:fldChar w:fldCharType="begin" w:fldLock="1"/>
      </w:r>
      <w:r w:rsidR="00A41837">
        <w:instrText>ADDIN CSL_CITATION {"citationItems":[{"id":"ITEM-1","itemData":{"DOI":"10.1089/neu.2009.0951","ISBN":"1557-9042 (Electronic)\\n0897-7151 (Linking)","ISSN":"0897-7151","PMID":"19852586","abstract":"The pulsatile component of intracranial pressure (ICP) has been shown to be a predictor of outcome in normal pressure hydrocephalus (NPH) and traumatic brain injury (TBI). Experimental studies have demonstrated that the pulse amplitude of ICP (AMP(ICP)) is dependent on the mean ICP (mICP), and on the pulse amplitude of the cerebral arterial blood volume (AMP(CaBV)), according to the exponential craniospinal compliance curve. In this study, we compared the influence of mICP and AMP(CaBV) on AMP(ICP) in patients with NPH (infusion study) and TBI (spontaneous recording). We retrospectively analyzed 25 NPH and 43 TBI patients with continuous monitoring of ICP and cerebral blood flow velocity (CBFV), as assessed with transcranial doppler. AMP(CaBV) was extracted from the CBFV waveform. The influence of mICP and AMP(CaBV) on AMP(ICP) were determined using partial coefficients a, b, and c of the multiple regression model: AMP(ICP) = a * mICP + b * AMP(CaBV) + c. AMP(ICP) was more dependent on mICP in NPH patients than in TBI patients (partial coefficient a = 0.93 versus -0.03; p &lt; 0.001). On the contrary, AMP(ICP) was more dependent on AMP(CaBV) in patients with TBI than in those with NPH (b = 0.86 versus 0.10; p &lt; 0.001). This study shows that AMP(ICP) depends mostly on changes in mean ICP during cerebrospinal fluid (CSF) infusion studies in patients with NPH, and on changes in cerebral arterial blood volume (AMP(CaBV)) in TBI patients. Further clinical studies will reveal whether AMP(ICP) is a better indicator of clinical severity and outcome than mICP in TBI and NPH patients.","author":[{"dropping-particle":"","family":"Carrera","given":"Emmanuel","non-dropping-particle":"","parse-names":false,"suffix":""},{"dropping-particle":"","family":"Kim","given":"Dong-Joo","non-dropping-particle":"","parse-names":false,"suffix":""},{"dropping-particle":"","family":"Castellani","given":"Gianluca","non-dropping-particle":"","parse-names":false,"suffix":""},{"dropping-particle":"","family":"Zweifel","given":"Christian","non-dropping-particle":"","parse-names":false,"suffix":""},{"dropping-particle":"","family":"Czosnyka","given":"Zofia","non-dropping-particle":"","parse-names":false,"suffix":""},{"dropping-particle":"","family":"Kasprowicz","given":"Magdalena","non-dropping-particle":"","parse-names":false,"suffix":""},{"dropping-particle":"","family":"Smielewski","given":"Peter","non-dropping-particle":"","parse-names":false,"suffix":""},{"dropping-particle":"","family":"Pickard","given":"John D.","non-dropping-particle":"","parse-names":false,"suffix":""},{"dropping-particle":"","family":"Czosnyka","given":"Marek","non-dropping-particle":"","parse-names":false,"suffix":""}],"container-title":"Journal of Neurotrauma","id":"ITEM-1","issue":"2","issued":{"date-parts":[["2010","2"]]},"page":"317-324","title":"What Shapes Pulse Amplitude of Intracranial Pressure?","type":"article-journal","volume":"27"},"uris":["http://www.mendeley.com/documents/?uuid=a0bc25ca-ca13-3fac-a797-915664aea8ca"]},{"id":"ITEM-2","itemData":{"DOI":"10.1007/s12028-010-9448-9","ISBN":"1202801094489","ISSN":"15416933","PMID":"20878264","abstract":"We describe institutional vasopressor usage, and examine the effect of vasopressors on hemodynamics: heart rate (HR), mean arterial blood pressure (MAP), intracranial pressure (ICP), cerebral perfusion pressure (CPP), brain tissue oxygenation (PbtO(2)), and jugular venous oximetry (SjVO(2)) in adults with severe traumatic brain injury (TBI).","author":[{"dropping-particle":"","family":"Sookplung","given":"Pimwan","non-dropping-particle":"","parse-names":false,"suffix":""},{"dropping-particle":"","family":"Siriussawakul","given":"Arunotai","non-dropping-particle":"","parse-names":false,"suffix":""},{"dropping-particle":"","family":"Malakouti","given":"Amin","non-dropping-particle":"","parse-names":false,"suffix":""},{"dropping-particle":"","family":"Sharma","given":"Deepak","non-dropping-particle":"","parse-names":false,"suffix":""},{"dropping-particle":"","family":"Wang","given":"Jin","non-dropping-particle":"","parse-names":false,"suffix":""},{"dropping-particle":"","family":"Souter","given":"Michael J.","non-dropping-particle":"","parse-names":false,"suffix":""},{"dropping-particle":"","family":"Chesnut","given":"Randall M.","non-dropping-particle":"","parse-names":false,"suffix":""},{"dropping-particle":"","family":"Vavilala","given":"Monica S.","non-dropping-particle":"","parse-names":false,"suffix":""}],"container-title":"Neurocritical Care","id":"ITEM-2","issued":{"date-parts":[["2011"]]},"title":"Vasopressor use and effect on blood pressure after severe adult traumatic brain injury","type":"article-journal"},"uris":["http://www.mendeley.com/documents/?uuid=e45c49b8-4e90-3826-9a45-7b7a20eb93a4"]}],"mendeley":{"formattedCitation":"(13,21)","manualFormatting":"13,21. ","plainTextFormattedCitation":"(13,21)","previouslyFormattedCitation":"(13,21)"},"properties":{"noteIndex":0},"schema":"https://github.com/citation-style-language/schema/raw/master/csl-citation.json"}</w:instrText>
      </w:r>
      <w:r w:rsidR="009B3159">
        <w:fldChar w:fldCharType="separate"/>
      </w:r>
      <w:r w:rsidR="009B3159" w:rsidRPr="009B3159">
        <w:rPr>
          <w:noProof/>
          <w:vertAlign w:val="superscript"/>
        </w:rPr>
        <w:t>13,21</w:t>
      </w:r>
      <w:r w:rsidR="009B3159">
        <w:rPr>
          <w:noProof/>
        </w:rPr>
        <w:t xml:space="preserve">. </w:t>
      </w:r>
      <w:r w:rsidR="009B3159">
        <w:fldChar w:fldCharType="end"/>
      </w:r>
      <w:r w:rsidR="007A27BD">
        <w:t>Both CFF and PFF models can express the heightened magnitude of pulsatile changes in C</w:t>
      </w:r>
      <w:r w:rsidR="00872AC2">
        <w:t>a</w:t>
      </w:r>
      <w:r w:rsidR="007A27BD">
        <w:t>BV as a result of ICP plateau waves.</w:t>
      </w:r>
      <w:r w:rsidR="007A27BD">
        <w:rPr>
          <w:rFonts w:cstheme="minorHAnsi"/>
          <w:szCs w:val="24"/>
        </w:rPr>
        <w:t xml:space="preserve"> It was </w:t>
      </w:r>
      <w:r w:rsidR="007A27BD" w:rsidRPr="00E40E7C">
        <w:rPr>
          <w:rFonts w:cstheme="minorHAnsi"/>
          <w:szCs w:val="24"/>
        </w:rPr>
        <w:t>hypothesized that this cohort in particular w</w:t>
      </w:r>
      <w:r w:rsidR="007A27BD">
        <w:rPr>
          <w:rFonts w:cstheme="minorHAnsi"/>
          <w:szCs w:val="24"/>
        </w:rPr>
        <w:t>ou</w:t>
      </w:r>
      <w:r w:rsidR="007A27BD" w:rsidRPr="00E40E7C">
        <w:rPr>
          <w:rFonts w:cstheme="minorHAnsi"/>
          <w:szCs w:val="24"/>
        </w:rPr>
        <w:t>l</w:t>
      </w:r>
      <w:r w:rsidR="007A27BD">
        <w:rPr>
          <w:rFonts w:cstheme="minorHAnsi"/>
          <w:szCs w:val="24"/>
        </w:rPr>
        <w:t>d</w:t>
      </w:r>
      <w:r w:rsidR="007A27BD" w:rsidRPr="00E40E7C">
        <w:rPr>
          <w:rFonts w:cstheme="minorHAnsi"/>
          <w:szCs w:val="24"/>
        </w:rPr>
        <w:t xml:space="preserve"> be best-described by the </w:t>
      </w:r>
      <w:r w:rsidR="007A27BD">
        <w:rPr>
          <w:rFonts w:cstheme="minorHAnsi"/>
          <w:szCs w:val="24"/>
        </w:rPr>
        <w:t>PFF model</w:t>
      </w:r>
      <w:r w:rsidR="007A27BD" w:rsidRPr="00E40E7C">
        <w:rPr>
          <w:rFonts w:cstheme="minorHAnsi"/>
          <w:szCs w:val="24"/>
        </w:rPr>
        <w:t xml:space="preserve"> </w:t>
      </w:r>
      <w:r w:rsidR="007A27BD">
        <w:rPr>
          <w:rFonts w:cstheme="minorHAnsi"/>
          <w:szCs w:val="24"/>
        </w:rPr>
        <w:t>using</w:t>
      </w:r>
      <w:r w:rsidR="007A27BD" w:rsidRPr="00E40E7C">
        <w:rPr>
          <w:rFonts w:cstheme="minorHAnsi"/>
          <w:szCs w:val="24"/>
        </w:rPr>
        <w:t xml:space="preserve"> CPP as input, as plateau waves </w:t>
      </w:r>
      <w:r w:rsidR="007A27BD">
        <w:rPr>
          <w:rFonts w:cstheme="minorHAnsi"/>
          <w:szCs w:val="24"/>
        </w:rPr>
        <w:t xml:space="preserve">increase </w:t>
      </w:r>
      <w:r w:rsidR="007A27BD" w:rsidRPr="00E40E7C">
        <w:rPr>
          <w:rFonts w:cstheme="minorHAnsi"/>
          <w:szCs w:val="24"/>
        </w:rPr>
        <w:t>ICP, and therefore will affect CPP.</w:t>
      </w:r>
      <w:r w:rsidR="00824C95">
        <w:rPr>
          <w:rFonts w:cstheme="minorHAnsi"/>
          <w:szCs w:val="24"/>
        </w:rPr>
        <w:t xml:space="preserve"> </w:t>
      </w:r>
    </w:p>
    <w:p w14:paraId="669AED65" w14:textId="77777777" w:rsidR="007A27BD" w:rsidRPr="004D6778" w:rsidRDefault="007A27BD" w:rsidP="00020ABC">
      <w:pPr>
        <w:spacing w:line="480" w:lineRule="auto"/>
        <w:rPr>
          <w:i/>
        </w:rPr>
      </w:pPr>
      <w:r w:rsidRPr="002D14AA">
        <w:rPr>
          <w:i/>
        </w:rPr>
        <w:lastRenderedPageBreak/>
        <w:t xml:space="preserve">Hypocapnia </w:t>
      </w:r>
      <w:r>
        <w:tab/>
      </w:r>
    </w:p>
    <w:p w14:paraId="609221E4" w14:textId="77777777" w:rsidR="007A27BD" w:rsidRDefault="007A27BD" w:rsidP="00020ABC">
      <w:pPr>
        <w:spacing w:line="480" w:lineRule="auto"/>
      </w:pPr>
      <w:r>
        <w:tab/>
      </w:r>
    </w:p>
    <w:p w14:paraId="4E471C9D" w14:textId="68EA6880" w:rsidR="007A27BD" w:rsidRPr="00DF7995" w:rsidRDefault="007A27BD" w:rsidP="00020ABC">
      <w:pPr>
        <w:spacing w:line="480" w:lineRule="auto"/>
        <w:ind w:firstLine="720"/>
      </w:pPr>
      <w:r>
        <w:t>Data from patients submitted to short-term episodes of hypocapnia</w:t>
      </w:r>
      <w:r w:rsidR="00C02E60">
        <w:t xml:space="preserve"> (mean PaCO</w:t>
      </w:r>
      <w:r w:rsidR="00C02E60" w:rsidRPr="00C02E60">
        <w:rPr>
          <w:vertAlign w:val="subscript"/>
        </w:rPr>
        <w:t>2</w:t>
      </w:r>
      <w:r w:rsidR="00C02E60">
        <w:t>, the partial pressure of carbon dioxide in arterial blood, was maintained at 4.38</w:t>
      </w:r>
      <w:r w:rsidR="00C02E60">
        <w:rPr>
          <w:rFonts w:ascii="Arial" w:hAnsi="Arial" w:cs="Arial"/>
          <w:color w:val="222222"/>
          <w:shd w:val="clear" w:color="auto" w:fill="FFFFFF"/>
        </w:rPr>
        <w:t>±</w:t>
      </w:r>
      <w:r w:rsidR="00C02E60" w:rsidRPr="00C02E60">
        <w:rPr>
          <w:rFonts w:cstheme="minorHAnsi"/>
          <w:shd w:val="clear" w:color="auto" w:fill="FFFFFF"/>
        </w:rPr>
        <w:t>0.34</w:t>
      </w:r>
      <w:r w:rsidR="00C02E60" w:rsidRPr="00C02E60">
        <w:t xml:space="preserve"> </w:t>
      </w:r>
      <w:r w:rsidR="00C02E60">
        <w:t>kPa and deviated on average by 0.72</w:t>
      </w:r>
      <w:r w:rsidR="00C02E60" w:rsidRPr="00C02E60">
        <w:rPr>
          <w:rFonts w:ascii="Arial" w:hAnsi="Arial" w:cs="Arial"/>
          <w:shd w:val="clear" w:color="auto" w:fill="FFFFFF"/>
        </w:rPr>
        <w:t>±</w:t>
      </w:r>
      <w:r w:rsidR="00CA1003" w:rsidRPr="00CA1003">
        <w:rPr>
          <w:rFonts w:cstheme="minorHAnsi"/>
          <w:shd w:val="clear" w:color="auto" w:fill="FFFFFF"/>
        </w:rPr>
        <w:t>0</w:t>
      </w:r>
      <w:r w:rsidR="00CA1003">
        <w:rPr>
          <w:rFonts w:ascii="Arial" w:hAnsi="Arial" w:cs="Arial"/>
          <w:shd w:val="clear" w:color="auto" w:fill="FFFFFF"/>
        </w:rPr>
        <w:t>.</w:t>
      </w:r>
      <w:r w:rsidR="00C02E60" w:rsidRPr="00C02E60">
        <w:rPr>
          <w:rFonts w:cstheme="minorHAnsi"/>
          <w:shd w:val="clear" w:color="auto" w:fill="FFFFFF"/>
        </w:rPr>
        <w:t>2</w:t>
      </w:r>
      <w:r w:rsidR="00CA1003">
        <w:rPr>
          <w:rFonts w:cstheme="minorHAnsi"/>
          <w:shd w:val="clear" w:color="auto" w:fill="FFFFFF"/>
        </w:rPr>
        <w:t>6</w:t>
      </w:r>
      <w:r w:rsidR="00C02E60" w:rsidRPr="00C02E60">
        <w:rPr>
          <w:rFonts w:cstheme="minorHAnsi"/>
          <w:shd w:val="clear" w:color="auto" w:fill="FFFFFF"/>
        </w:rPr>
        <w:t xml:space="preserve"> kPa during hypocapnia</w:t>
      </w:r>
      <w:r w:rsidR="00C02E60">
        <w:t>)</w:t>
      </w:r>
      <w:r>
        <w:t xml:space="preserve"> were also included to test the limits of </w:t>
      </w:r>
      <w:r w:rsidR="00001C5E">
        <w:t>Δ</w:t>
      </w:r>
      <w:r>
        <w:t>C</w:t>
      </w:r>
      <w:r w:rsidR="00872AC2">
        <w:t>a</w:t>
      </w:r>
      <w:r>
        <w:t xml:space="preserve">BV modeling in the opposite direction. The </w:t>
      </w:r>
      <w:r w:rsidR="00C02E60">
        <w:t xml:space="preserve">vasoconstrictive </w:t>
      </w:r>
      <w:r>
        <w:t xml:space="preserve">effects of hypocapnia can be observed </w:t>
      </w:r>
      <w:r w:rsidR="003A7677">
        <w:t xml:space="preserve">in the </w:t>
      </w:r>
      <w:r>
        <w:t xml:space="preserve">characteristic reduction of ICP attributed to a “backshift of the working point on [the] pressure-volume curve”, in which </w:t>
      </w:r>
      <w:r w:rsidR="00001C5E">
        <w:t>Δ</w:t>
      </w:r>
      <w:r>
        <w:t>C</w:t>
      </w:r>
      <w:r w:rsidR="00872AC2">
        <w:t>a</w:t>
      </w:r>
      <w:r>
        <w:t>BV circulation is negatively affected by the increasing resistance to arterial inflow</w:t>
      </w:r>
      <w:r w:rsidR="00413A92">
        <w:fldChar w:fldCharType="begin" w:fldLock="1"/>
      </w:r>
      <w:r w:rsidR="00A41837">
        <w:instrText>ADDIN CSL_CITATION {"citationItems":[{"id":"ITEM-1","itemData":{"DOI":"10.1016/j.ultrasmedbio.2013.03.020","ISBN":"1879-291X","ISSN":"03015629","PMID":"23830102","abstract":"To anticipate an increase in intra-cranial pressure (ICP), information about pressure-volume (p/v) compliance is required. ICP monitoring often fails at this task after head injury. Could a test that transiently shifts intra-cranial blood volume produce consistent information about the p/v relationship? Doppler flow velocities inthe middle cerebral arteries (left: 80.8??34.7cm/s; right: 65.9??28.0cm/s) and ICP (16.4??6.7mm Hg) were measured in 29 patients with head injury, before and during moderate hypocapnia (4.4??3.0kPa). The ratio ofvasomotor response to change in ICP differed between those with high (left: 14.8??6.9, right: 14.4??6.6cm/s/kPa/mm Hg) and low (left: 1.8??0.6, right: 2.2??0.9cm/s/kPa/mm g) intra-cranial compliance. Additionally, the ratio identified 12 patients deviating from the classic non-linear p/v curve (left: 5.7??1.3, right: 5.8??1.0cm/s/kPa/mm Hg). They exhibited an almost proportional relationship between vasomotor and ICP responses (R=0.69, p&lt;0.01). Results suggest that a test that combines the responses of two intra-cranial compartments may provide consistent information about intra-cranial p/v compliance, even if the parameters derived from ICP monitoring are inconclusive. ?? 2013 World Federation for Ultrasound in Medicine &amp; Biology.","author":[{"dropping-particle":"","family":"Haubrich","given":"Christina","non-dropping-particle":"","parse-names":false,"suffix":""},{"dropping-particle":"","family":"Steiner","given":"Luzius A.","non-dropping-particle":"","parse-names":false,"suffix":""},{"dropping-particle":"","family":"Diehl","given":"Rolf R.","non-dropping-particle":"","parse-names":false,"suffix":""},{"dropping-particle":"","family":"Kasprowicz","given":"Magdalena","non-dropping-particle":"","parse-names":false,"suffix":""},{"dropping-particle":"","family":"Smielewski","given":"Piotr","non-dropping-particle":"","parse-names":false,"suffix":""},{"dropping-particle":"","family":"Pickard","given":"John D.","non-dropping-particle":"","parse-names":false,"suffix":""},{"dropping-particle":"","family":"Czosnyka","given":"Marek","non-dropping-particle":"","parse-names":false,"suffix":""}],"container-title":"Ultrasound in Medicine and Biology","id":"ITEM-1","issued":{"date-parts":[["2013"]]},"title":"Doppler flow velocity and intra-cranial pressure: Responses to short-term mild hypocapnia help to assess the pressure-volume relationship after head injury","type":"article-journal"},"uris":["http://www.mendeley.com/documents/?uuid=57ace1d0-7997-34cb-a767-ffe1643e9678"]}],"mendeley":{"formattedCitation":"(18)","manualFormatting":"18. ","plainTextFormattedCitation":"(18)","previouslyFormattedCitation":"(18)"},"properties":{"noteIndex":0},"schema":"https://github.com/citation-style-language/schema/raw/master/csl-citation.json"}</w:instrText>
      </w:r>
      <w:r w:rsidR="00413A92">
        <w:fldChar w:fldCharType="separate"/>
      </w:r>
      <w:r w:rsidR="00413A92" w:rsidRPr="00413A92">
        <w:rPr>
          <w:noProof/>
          <w:vertAlign w:val="superscript"/>
        </w:rPr>
        <w:t>18</w:t>
      </w:r>
      <w:r w:rsidR="00413A92">
        <w:rPr>
          <w:noProof/>
        </w:rPr>
        <w:t xml:space="preserve">. </w:t>
      </w:r>
      <w:r w:rsidR="00413A92">
        <w:fldChar w:fldCharType="end"/>
      </w:r>
      <w:r w:rsidR="007F4E54">
        <w:t>Cerebral autoregulation is thus compromised</w:t>
      </w:r>
      <w:r w:rsidR="00413A92" w:rsidRPr="00413A92">
        <w:rPr>
          <w:vertAlign w:val="superscript"/>
        </w:rPr>
        <w:fldChar w:fldCharType="begin" w:fldLock="1"/>
      </w:r>
      <w:r w:rsidR="00A41837">
        <w:rPr>
          <w:vertAlign w:val="superscript"/>
        </w:rPr>
        <w:instrText>ADDIN CSL_CITATION {"citationItems":[{"id":"ITEM-1","itemData":{"ISBN":"0967-3334 (Print)\\r0967-3334 (Linking)","PMID":"10475580","abstract":"Arterial pCO2 is known to influence cerebral autoregulation but its effect on the dynamic relationship between mean arterial blood pressure (ABP) and mean cerebral blood flow velocity (CBFV), obtained from spontaneous fluctuations in ABP, has not been established. In 16 normal subjects, ABP was measured non-invasively (Finapres), CBFV was estimated with Doppler ultrasound in the middle cerebral artery, and end-tidal CO2 (EtCO2) was measured with an infrared capnograph. Recordings were made before, during and after breathing a mixture of 5% CO2 in air. The coherence function, amplitude and phase frequency responses, and impulse and step responses for the effects of ABP on CBFV were calculated by spectral analysis of beat-to-beat changes in mean ABP and CBFV before (mean CO2 5.55 +/- 0.38 kPa), during (6.43 +/- 0.31 kPa) and after 5% CO2 (5.43 +/- 0.26 kPa). During 5% CO2, the coherence function and the amplitude frequency response were significantly increased for frequencies below 0.05 Hz and the phase was reduced for the frequency range 0.02-0.1 Hz. The impulse and step responses indicated that 5% CO2 reduces the efficiency of the autoregulatory mechanism. A 20.7% average increase in CBFV induced by a 14.4% increase in EtCO2 was found to be mediated by a 25.9% reduction in critical closing pressure, while the change in resistance area product was non-significant","author":[{"dropping-particle":"","family":"Panerai","given":"R B","non-dropping-particle":"","parse-names":false,"suffix":""},{"dropping-particle":"","family":"Deverson","given":"S T","non-dropping-particle":"","parse-names":false,"suffix":""},{"dropping-particle":"","family":"Mahony","given":"P","non-dropping-particle":"","parse-names":false,"suffix":""},{"dropping-particle":"","family":"Hayes","given":"P","non-dropping-particle":"","parse-names":false,"suffix":""},{"dropping-particle":"","family":"Evans","given":"D H","non-dropping-particle":"","parse-names":false,"suffix":""}],"container-title":"Physiol Meas.","id":"ITEM-1","issue":"3","issued":{"date-parts":[["1999"]]},"page":"265-275","title":"Effects of CO2 on dynamic cerebral autoregulation measurement","type":"article-journal","volume":"20"},"uris":["http://www.mendeley.com/documents/?uuid=65ad83e8-e1ab-4816-ae91-23f20dcc4fe1"]}],"mendeley":{"formattedCitation":"(22)","manualFormatting":"22","plainTextFormattedCitation":"(22)","previouslyFormattedCitation":"(22)"},"properties":{"noteIndex":0},"schema":"https://github.com/citation-style-language/schema/raw/master/csl-citation.json"}</w:instrText>
      </w:r>
      <w:r w:rsidR="00413A92" w:rsidRPr="00413A92">
        <w:rPr>
          <w:vertAlign w:val="superscript"/>
        </w:rPr>
        <w:fldChar w:fldCharType="separate"/>
      </w:r>
      <w:r w:rsidR="00413A92" w:rsidRPr="00413A92">
        <w:rPr>
          <w:noProof/>
          <w:vertAlign w:val="superscript"/>
        </w:rPr>
        <w:t>22</w:t>
      </w:r>
      <w:r w:rsidR="00413A92" w:rsidRPr="00413A92">
        <w:rPr>
          <w:vertAlign w:val="superscript"/>
        </w:rPr>
        <w:fldChar w:fldCharType="end"/>
      </w:r>
      <w:r w:rsidR="007F4E54">
        <w:t>;</w:t>
      </w:r>
      <w:r>
        <w:t xml:space="preserve"> </w:t>
      </w:r>
      <w:r w:rsidR="007F4E54">
        <w:t>p</w:t>
      </w:r>
      <w:r>
        <w:t>rolonged exposure to hypocapnia exacerbates the risk of both disability and mortality</w:t>
      </w:r>
      <w:r w:rsidR="00D42F4A">
        <w:t xml:space="preserve">, as </w:t>
      </w:r>
      <w:r>
        <w:t>decreasing ICP at the expense of CPP overreaching its targeted value can lead to ischemia or irreversible damage to brain tissue</w:t>
      </w:r>
      <w:r w:rsidR="00413A92" w:rsidRPr="00413A92">
        <w:rPr>
          <w:vertAlign w:val="superscript"/>
        </w:rPr>
        <w:fldChar w:fldCharType="begin" w:fldLock="1"/>
      </w:r>
      <w:r w:rsidR="00A41837">
        <w:rPr>
          <w:vertAlign w:val="superscript"/>
        </w:rPr>
        <w:instrText xml:space="preserve">ADDIN CSL_CITATION {"citationItems":[{"id":"ITEM-1","itemData":{"DOI":"10.1097/01.WCB.0000067721.64998.F5","abstract":"Hypercapnia induces cerebral vasodilation and in-creases cerebral blood flow (CBF), and hypocapnia induces cerebral vasoconstriction and decreases CBF. The relation be-tween changes in CBF and cerebral blood volume (CBV) dur-ing hypercapnia and hypocapnia in humans, however, is not clear. Both CBF and CBV were measured at rest and during hypercapnia and hypocapnia in nine healthy subjects by posi-tron emission tomography. The vascular responses to hyper-capnia in terms of CBF and CBV were 6.0 ± 2.6%/mm Hg and 1.8 ± 1.3%/mm Hg, respectively, and those to hypocapnia were −3.5 ± 0.6%/mm Hg and −1.3 ± 1.0%/mm Hg, respectively. The relation between CBF and CBV was CBV </w:instrText>
      </w:r>
      <w:dir w:val="rtl">
        <w:r w:rsidR="00A41837">
          <w:rPr>
            <w:vertAlign w:val="superscript"/>
          </w:rPr>
          <w:instrText>ס</w:instrText>
        </w:r>
        <w:r w:rsidR="00A41837">
          <w:rPr>
            <w:vertAlign w:val="superscript"/>
          </w:rPr>
          <w:instrText>‬ 1.09 CBF 0.29 . The increase in CBF was greater than that in CBV during hypercapnia, indicating an increase in vascular blood velocity. The degree of decrease in CBF during hypocapnia was greater than that in CBV, indicating a decrease in vascular blood velocity. The relation between changes in CBF and CBV during hypercapnia was similar to that during neural activation; however, the relation during hypocapnia was different from that during neural deactivation observed in crossed cerebellar diaschisis. This suggests that augmentation of CBF and CBV might be governed by a similar microcirculatory mechanism between neural activation and hypercapnia, but diminution of CBF and CBV might be governed by a different mechanism between neural deactivation and hypocapnia.","author":[{"dropping-particle":"","family":"Ito","given":"Hiroshi","non-dropping-particle":"","parse-names":false,"suffix":""},{"dropping-particle":"","family":"Kanno","given":"Iwao","non-dropping-particle":"","parse-names":false,"suffix":""},{"dropping-particle":"","family":"Ibaraki","given":"Masanobu","non-dropping-particle":"","parse-names":false,"suffix":""},{"dropping-particle":"","family":"Hatazawa","given":"Jun","non-dropping-particle":"","parse-names":false,"suffix":""},{"dropping-particle":"","family":"Miura","given":"Shuichi","non-dropping-particle":"","parse-names":false,"suffix":""}],"id":"ITEM-1","issued":{"date-parts":[["0"]]},"title":"Changes in Human Cerebral Blood Flow and Cerebral Blood Volume During Hypercapnia and Hypocapnia Measured by Positron Emission Tomography","type":"article-journal"},"uris":["http://www.mendeley.com/documents/?uuid=fdb5ea9b-c915-3c6d-b217-8fd0720e925f"]}],"mendeley":{"formattedCitation":"(17)","manualFormatting":"17","plainTextFormattedCitation":"(17)","previouslyFormattedCitation":"(17)"},"properties":{"noteIndex":0},"schema":"https://github.com/citation-style-language/schema/raw/master/csl-citation.json"}</w:instrText>
        </w:r>
        <w:r w:rsidR="00413A92" w:rsidRPr="00413A92">
          <w:rPr>
            <w:vertAlign w:val="superscript"/>
          </w:rPr>
          <w:fldChar w:fldCharType="separate"/>
        </w:r>
        <w:r w:rsidR="00413A92" w:rsidRPr="00413A92">
          <w:rPr>
            <w:noProof/>
            <w:vertAlign w:val="superscript"/>
          </w:rPr>
          <w:t>17</w:t>
        </w:r>
        <w:r w:rsidR="00413A92" w:rsidRPr="00413A92">
          <w:rPr>
            <w:vertAlign w:val="superscript"/>
          </w:rPr>
          <w:fldChar w:fldCharType="end"/>
        </w:r>
        <w:r w:rsidRPr="00735F71">
          <w:t>.</w:t>
        </w:r>
        <w:r w:rsidR="00C919D0">
          <w:t>‬</w:t>
        </w:r>
        <w:r w:rsidR="00A636C0">
          <w:t>‬</w:t>
        </w:r>
        <w:r w:rsidR="00D62F4D">
          <w:t>‬</w:t>
        </w:r>
        <w:r w:rsidR="00517E60">
          <w:t>‬</w:t>
        </w:r>
        <w:r w:rsidR="00E12B89">
          <w:t>‬</w:t>
        </w:r>
        <w:r w:rsidR="00745A3E">
          <w:t>‬</w:t>
        </w:r>
        <w:r w:rsidR="000E50D5">
          <w:t>‬</w:t>
        </w:r>
        <w:r w:rsidR="00F12B82">
          <w:t>‬</w:t>
        </w:r>
        <w:r w:rsidR="00AD77A4">
          <w:t>‬</w:t>
        </w:r>
        <w:r w:rsidR="00001C5E">
          <w:t>‬</w:t>
        </w:r>
        <w:r w:rsidR="00123332">
          <w:t>‬</w:t>
        </w:r>
        <w:r w:rsidR="00425A28">
          <w:t>‬</w:t>
        </w:r>
        <w:r w:rsidR="004B67B8">
          <w:t>‬</w:t>
        </w:r>
      </w:dir>
    </w:p>
    <w:p w14:paraId="192198B7" w14:textId="77777777" w:rsidR="007A27BD" w:rsidRDefault="007A27BD" w:rsidP="00020ABC">
      <w:pPr>
        <w:spacing w:line="480" w:lineRule="auto"/>
      </w:pPr>
    </w:p>
    <w:p w14:paraId="38EC6A9D" w14:textId="77777777" w:rsidR="007A27BD" w:rsidRPr="00400A10" w:rsidRDefault="007A27BD" w:rsidP="00020ABC">
      <w:pPr>
        <w:spacing w:line="480" w:lineRule="auto"/>
        <w:rPr>
          <w:i/>
        </w:rPr>
      </w:pPr>
      <w:r w:rsidRPr="003175FE">
        <w:rPr>
          <w:i/>
        </w:rPr>
        <w:t>Vasopressors</w:t>
      </w:r>
    </w:p>
    <w:p w14:paraId="60C2E379" w14:textId="77777777" w:rsidR="007A27BD" w:rsidRPr="00DF7995" w:rsidRDefault="007A27BD" w:rsidP="00020ABC">
      <w:pPr>
        <w:spacing w:line="480" w:lineRule="auto"/>
      </w:pPr>
      <w:r>
        <w:tab/>
      </w:r>
    </w:p>
    <w:p w14:paraId="2F9D7C03" w14:textId="21E48133" w:rsidR="007A27BD" w:rsidRPr="00CA1003" w:rsidRDefault="007A27BD" w:rsidP="00020ABC">
      <w:pPr>
        <w:spacing w:line="480" w:lineRule="auto"/>
        <w:ind w:firstLine="720"/>
        <w:rPr>
          <w:rFonts w:cstheme="minorHAnsi"/>
        </w:rPr>
      </w:pPr>
      <w:r>
        <w:t>Infusions of v</w:t>
      </w:r>
      <w:r w:rsidRPr="00E22C56">
        <w:t xml:space="preserve">asopressors such as </w:t>
      </w:r>
      <w:r>
        <w:t>norepinephrine or phenylephrine have been found to increase cerebral perfusion and oxygenation in both human and swine models</w:t>
      </w:r>
      <w:r w:rsidR="006847C0" w:rsidRPr="006847C0">
        <w:rPr>
          <w:vertAlign w:val="superscript"/>
        </w:rPr>
        <w:fldChar w:fldCharType="begin" w:fldLock="1"/>
      </w:r>
      <w:r w:rsidR="00A41837">
        <w:rPr>
          <w:vertAlign w:val="superscript"/>
        </w:rPr>
        <w:instrText>ADDIN CSL_CITATION {"citationItems":[{"id":"ITEM-1","itemData":{"ISSN":"0392-0461","PMID":"9115039","abstract":"OBJECTIVE: To assess the clinical use of Transcranial Doppler (TCD) and the reproducibility of TCD reports.\\n\\nMETHODS: A multicenter survey involving 45 Italian laboratories (the Italian Transcranial Doppler Group-ITDG) was carried out by investigating the examination procedure, the parameters and normative data, and the interpretation criteria applied to reach diagnostic conclusions. The inter-examiner agreement on 10 TCD reports was computed using Kappa statistics. Results. Investigators consider both qualitative (flow direction, signal detectability) and quantitative measurements (mean flow velocity and pulsatility index values), applying their own normative criteria reference which may differ slightly between centers. TCD reports appear to be highly reproducible when based upon the interpretation of qualitative data (Kappa index: 0.95-1.00), whereas a moderate agreement is obtained when considering alterations in quantitative parameters (Kappa: 0.44-0.81).\\n\\nCONCLUSIONS: The application of the same criteria in different laboratories may facilitate the standardization of TCD examinations and support the reproducibility of clinical reports based on TCD parameters.","author":[{"dropping-particle":"","family":"Minciotti","given":"P","non-dropping-particle":"","parse-names":false,"suffix":""},{"dropping-particle":"","family":"Ceravolo","given":"M G","non-dropping-particle":"","parse-names":false,"suffix":""},{"dropping-particle":"","family":"Provinciali","given":"L","non-dropping-particle":"","parse-names":false,"suffix":""}],"container-title":"Italian journal of neurological sciences","id":"ITEM-1","issue":"1","issued":{"date-parts":[["1997"]]},"page":"21-30","title":"Inter-examiner variability of transcranial Doppler procedure and reports: a multicenter survey. Italian Transcranial Doppler Group.","type":"article-journal","volume":"18"},"uris":["http://www.mendeley.com/documents/?uuid=113fb7ce-9ce1-4c75-8a60-ed192c9ce3b3"]}],"mendeley":{"formattedCitation":"(23)","manualFormatting":"23","plainTextFormattedCitation":"(23)","previouslyFormattedCitation":"(23)"},"properties":{"noteIndex":0},"schema":"https://github.com/citation-style-language/schema/raw/master/csl-citation.json"}</w:instrText>
      </w:r>
      <w:r w:rsidR="006847C0" w:rsidRPr="006847C0">
        <w:rPr>
          <w:vertAlign w:val="superscript"/>
        </w:rPr>
        <w:fldChar w:fldCharType="separate"/>
      </w:r>
      <w:r w:rsidR="006847C0" w:rsidRPr="006847C0">
        <w:rPr>
          <w:noProof/>
          <w:vertAlign w:val="superscript"/>
        </w:rPr>
        <w:t>23</w:t>
      </w:r>
      <w:r w:rsidR="006847C0" w:rsidRPr="006847C0">
        <w:rPr>
          <w:vertAlign w:val="superscript"/>
        </w:rPr>
        <w:fldChar w:fldCharType="end"/>
      </w:r>
      <w:r>
        <w:t>. Following</w:t>
      </w:r>
      <w:r w:rsidR="00C91F0C">
        <w:t xml:space="preserve"> TBI</w:t>
      </w:r>
      <w:r>
        <w:t xml:space="preserve">, they </w:t>
      </w:r>
      <w:r w:rsidRPr="00E22C56">
        <w:t xml:space="preserve">are administered to increase ABP </w:t>
      </w:r>
      <w:r>
        <w:t>and</w:t>
      </w:r>
      <w:r w:rsidRPr="00E22C56">
        <w:t xml:space="preserve"> CPP to prevent secondary ischemia</w:t>
      </w:r>
      <w:r w:rsidR="00A41837" w:rsidRPr="00B120A0">
        <w:rPr>
          <w:vertAlign w:val="superscript"/>
        </w:rPr>
        <w:fldChar w:fldCharType="begin" w:fldLock="1"/>
      </w:r>
      <w:r w:rsidR="003411DF">
        <w:rPr>
          <w:vertAlign w:val="superscript"/>
        </w:rPr>
        <w:instrText>ADDIN CSL_CITATION {"citationItems":[{"id":"ITEM-1","itemData":{"DOI":"10.1093/bja/aes023","ISBN":"1471-6771 (Electronic)\\r0007-0912 (Linking)","ISSN":"00070912","PMID":"22391890","abstract":"BACKGROUND: Multiple studies have shown that cerebral tissue oxygen saturation (Sct(O(2))) is decreased after phenylephrine treatment. We hypothesized that the negative impact of phenylephrine administration on Sct(O(2)) is affected by arterial blood carbon dioxide partial pressure (Pa(CO(2))) because CO(2) is a powerful modulator of cerebrovascular tone.\\n\\nMETHODS: In 14 anaesthetized healthy patients, i.v. phenylephrine bolus was administered to increase the mean arterial pressure ~20-30% during hypocapnia, normocapnia, and hypercapnia. Sct(O(2)) and cerebral blood volume (CBV) were measured using frequency domain near-infrared spectroscopy, a quantitative technology. Data collection occurred before and after each treatment.\\n\\nRESULTS: Phenylephrine caused a significant decrease in Sct(O(2)) during hypocapnia [ΔSct(O(2)) =-3.4 (1.5)%, P&lt;0.001], normocapnia [ΔSct(O(2)) =-2.4 (1.5)%, P&lt;0.001], and hypercapnia [ΔSct(O(2)) =-1.4 (1.5)%, P&lt;0.01]. Decreases in Sct(O(2)) were significantly different between hypocapnia, normocapnia, and hypercapnia (P&lt;0.001). Phenylephrine also caused a significant decrease in CBV during hypocapnia (P&lt;0.01), but not during normocapnia or hypercapnia.\\n\\nCONCLUSION: The negative impact of phenylephrine treatment on Sct(O(2)) and CBV is intensified during hypocapnia while blunted during hypercapnia.","author":[{"dropping-particle":"","family":"Meng","given":"L.","non-dropping-particle":"","parse-names":false,"suffix":""},{"dropping-particle":"","family":"Gelb","given":"A. W.","non-dropping-particle":"","parse-names":false,"suffix":""},{"dropping-particle":"","family":"Alexander","given":"B. S.","non-dropping-particle":"","parse-names":false,"suffix":""},{"dropping-particle":"","family":"Cerussi","given":"A. E.","non-dropping-particle":"","parse-names":false,"suffix":""},{"dropping-particle":"","family":"Tromberg","given":"B. J.","non-dropping-particle":"","parse-names":false,"suffix":""},{"dropping-particle":"","family":"Yu","given":"Z.","non-dropping-particle":"","parse-names":false,"suffix":""},{"dropping-particle":"","family":"Mantulin","given":"W. W.","non-dropping-particle":"","parse-names":false,"suffix":""}],"container-title":"British Journal of Anaesthesia","id":"ITEM-1","issued":{"date-parts":[["2012"]]},"title":"Impact of phenylephrine administration on cerebral tissue oxygen saturation and blood volume is modulated by carbon dioxide in anaesthetized patients","type":"article-journal"},"uris":["http://www.mendeley.com/documents/?uuid=39ed9e72-fbdc-3653-9de6-8a6e59064949"]},{"id":"ITEM-2","itemData":{"DOI":"10.1111/anae.13631","ISBN":"9780878087235","ISSN":"13652044","PMID":"27747866","abstract":"Despite a rise in blood pressure, cerebral oxygenation decreases following phenylephrine administration, and we hypothesised that phenylephrine reduces cerebral oxygenation by activating cerebral α1 receptors. We studied patients on cardiopulmonary bypass during constant flow. Phenylephrine raised mean arterial pressure (α1 -mediated) from mean (SD) 69 (8) mmHg to 79 (8) mmHg; p = 0.001, and vasopressin raised mean arterial pressure (V1 mediated) from 69 (8) mmHg to 83 (6) mmHg; p = 0.001. Both drugs elicited a comparable decrease in cerebral oxygenation from 61 (7)% to 60 (7)%; p = 0.023 and 61 (8)% to 59 (8)%; p = 0.022, respectively. This implies that after phenylephrine or vasopressin administration, cerebral oxygenation declines as a result of cerebral vasoconstriction, due to either both cerebral α1 and V1 receptors being equipotentially activated or to an intrinsic myogenic mechanism of cerebral vasculature in reaction to blood pressure elevation.","author":[{"dropping-particle":"","family":"Sperna Weiland","given":"N. H.","non-dropping-particle":"","parse-names":false,"suffix":""},{"dropping-particle":"","family":"Brevoord","given":"D.","non-dropping-particle":"","parse-names":false,"suffix":""},{"dropping-particle":"","family":"Jöbsis","given":"D. A.","non-dropping-particle":"","parse-names":false,"suffix":""},{"dropping-particle":"","family":"Beaumont","given":"E. M.F.H.","non-dropping-particle":"de","parse-names":false,"suffix":""},{"dropping-particle":"","family":"Evers","given":"V.","non-dropping-particle":"","parse-names":false,"suffix":""},{"dropping-particle":"","family":"Preckel","given":"B.","non-dropping-particle":"","parse-names":false,"suffix":""},{"dropping-particle":"","family":"Hollmann","given":"M. W.","non-dropping-particle":"","parse-names":false,"suffix":""},{"dropping-particle":"","family":"Dieren","given":"S.","non-dropping-particle":"van","parse-names":false,"suffix":""},{"dropping-particle":"","family":"Mol","given":"B. A.J.M.","non-dropping-particle":"de","parse-names":false,"suffix":""},{"dropping-particle":"V.","family":"Immink","given":"R.","non-dropping-particle":"","parse-names":false,"suffix":""}],"container-title":"Anaesthesia","id":"ITEM-2","issued":{"date-parts":[["2017"]]},"title":"Cerebral oxygenation during changes in vascular resistance and flow in patients on cardiopulmonary bypass – a physiological proof of concept study","type":"article-journal"},"uris":["http://www.mendeley.com/documents/?uuid=f75ac6e1-bde6-4474-8566-540af0e81904"]}],"mendeley":{"formattedCitation":"(20,24)","manualFormatting":"20,24","plainTextFormattedCitation":"(20,24)","previouslyFormattedCitation":"(20,24)"},"properties":{"noteIndex":0},"schema":"https://github.com/citation-style-language/schema/raw/master/csl-citation.json"}</w:instrText>
      </w:r>
      <w:r w:rsidR="00A41837" w:rsidRPr="00B120A0">
        <w:rPr>
          <w:vertAlign w:val="superscript"/>
        </w:rPr>
        <w:fldChar w:fldCharType="separate"/>
      </w:r>
      <w:r w:rsidR="00A41837" w:rsidRPr="00B120A0">
        <w:rPr>
          <w:noProof/>
          <w:vertAlign w:val="superscript"/>
        </w:rPr>
        <w:t>20,24</w:t>
      </w:r>
      <w:r w:rsidR="00A41837" w:rsidRPr="00B120A0">
        <w:rPr>
          <w:vertAlign w:val="superscript"/>
        </w:rPr>
        <w:fldChar w:fldCharType="end"/>
      </w:r>
      <w:r w:rsidRPr="00E22C56">
        <w:t>.</w:t>
      </w:r>
      <w:r w:rsidR="009E446D">
        <w:t xml:space="preserve"> Our selected cohort of patients </w:t>
      </w:r>
      <w:r w:rsidR="00CA1003">
        <w:t>maintained a mean ABP of 87.31</w:t>
      </w:r>
      <w:r w:rsidR="00CA1003" w:rsidRPr="00C02E60">
        <w:rPr>
          <w:rFonts w:ascii="Arial" w:hAnsi="Arial" w:cs="Arial"/>
          <w:shd w:val="clear" w:color="auto" w:fill="FFFFFF"/>
        </w:rPr>
        <w:t>±</w:t>
      </w:r>
      <w:r w:rsidR="00CA1003">
        <w:t xml:space="preserve">7.16 mm Hg that was increased to </w:t>
      </w:r>
      <w:r w:rsidR="00CA1003" w:rsidRPr="00CA1003">
        <w:rPr>
          <w:rFonts w:cstheme="minorHAnsi"/>
        </w:rPr>
        <w:t>111.41</w:t>
      </w:r>
      <w:r w:rsidR="00CA1003" w:rsidRPr="00CA1003">
        <w:rPr>
          <w:rFonts w:cstheme="minorHAnsi"/>
          <w:shd w:val="clear" w:color="auto" w:fill="FFFFFF"/>
        </w:rPr>
        <w:t>±6.45 mm Hg</w:t>
      </w:r>
      <w:r w:rsidR="00CA1003">
        <w:rPr>
          <w:rFonts w:ascii="Arial" w:hAnsi="Arial" w:cs="Arial"/>
          <w:shd w:val="clear" w:color="auto" w:fill="FFFFFF"/>
        </w:rPr>
        <w:t xml:space="preserve"> </w:t>
      </w:r>
      <w:r w:rsidR="003A7677">
        <w:rPr>
          <w:rFonts w:cstheme="minorHAnsi"/>
          <w:shd w:val="clear" w:color="auto" w:fill="FFFFFF"/>
        </w:rPr>
        <w:t xml:space="preserve">following </w:t>
      </w:r>
      <w:r w:rsidR="0072295D">
        <w:rPr>
          <w:rFonts w:cstheme="minorHAnsi"/>
          <w:shd w:val="clear" w:color="auto" w:fill="FFFFFF"/>
        </w:rPr>
        <w:t>infusion</w:t>
      </w:r>
      <w:r w:rsidR="00A41837">
        <w:rPr>
          <w:rFonts w:cstheme="minorHAnsi"/>
          <w:shd w:val="clear" w:color="auto" w:fill="FFFFFF"/>
        </w:rPr>
        <w:t xml:space="preserve">  of</w:t>
      </w:r>
      <w:r w:rsidR="007B135B">
        <w:rPr>
          <w:rFonts w:cstheme="minorHAnsi"/>
          <w:shd w:val="clear" w:color="auto" w:fill="FFFFFF"/>
        </w:rPr>
        <w:t xml:space="preserve"> either</w:t>
      </w:r>
      <w:r w:rsidR="00A41837">
        <w:rPr>
          <w:rFonts w:cstheme="minorHAnsi"/>
          <w:shd w:val="clear" w:color="auto" w:fill="FFFFFF"/>
        </w:rPr>
        <w:t xml:space="preserve"> </w:t>
      </w:r>
      <w:r w:rsidR="005676A1">
        <w:rPr>
          <w:rFonts w:cstheme="minorHAnsi"/>
          <w:shd w:val="clear" w:color="auto" w:fill="FFFFFF"/>
        </w:rPr>
        <w:t>phenylephrine</w:t>
      </w:r>
      <w:r w:rsidR="0072295D">
        <w:rPr>
          <w:rFonts w:cstheme="minorHAnsi"/>
          <w:shd w:val="clear" w:color="auto" w:fill="FFFFFF"/>
        </w:rPr>
        <w:t xml:space="preserve"> (</w:t>
      </w:r>
      <w:r w:rsidR="0072295D" w:rsidRPr="0072295D">
        <w:rPr>
          <w:rFonts w:cstheme="minorHAnsi"/>
          <w:shd w:val="clear" w:color="auto" w:fill="FFFFFF"/>
        </w:rPr>
        <w:t>0.5 mcg/kg/min</w:t>
      </w:r>
      <w:r w:rsidR="0072295D">
        <w:rPr>
          <w:rFonts w:cstheme="minorHAnsi"/>
          <w:shd w:val="clear" w:color="auto" w:fill="FFFFFF"/>
        </w:rPr>
        <w:t>)</w:t>
      </w:r>
      <w:r w:rsidR="007B135B">
        <w:rPr>
          <w:rFonts w:cstheme="minorHAnsi"/>
          <w:shd w:val="clear" w:color="auto" w:fill="FFFFFF"/>
        </w:rPr>
        <w:t xml:space="preserve"> or norepinephrine</w:t>
      </w:r>
      <w:r w:rsidR="0072295D">
        <w:rPr>
          <w:rFonts w:cstheme="minorHAnsi"/>
          <w:shd w:val="clear" w:color="auto" w:fill="FFFFFF"/>
        </w:rPr>
        <w:t xml:space="preserve"> (</w:t>
      </w:r>
      <w:r w:rsidR="0072295D" w:rsidRPr="0072295D">
        <w:rPr>
          <w:rFonts w:cstheme="minorHAnsi"/>
          <w:shd w:val="clear" w:color="auto" w:fill="FFFFFF"/>
        </w:rPr>
        <w:t>0.05 mcg/kg/min</w:t>
      </w:r>
      <w:r w:rsidR="0072295D">
        <w:rPr>
          <w:rFonts w:cstheme="minorHAnsi"/>
          <w:shd w:val="clear" w:color="auto" w:fill="FFFFFF"/>
        </w:rPr>
        <w:t>)</w:t>
      </w:r>
      <w:r w:rsidR="003A7677">
        <w:rPr>
          <w:rFonts w:cstheme="minorHAnsi"/>
          <w:shd w:val="clear" w:color="auto" w:fill="FFFFFF"/>
        </w:rPr>
        <w:t>.</w:t>
      </w:r>
      <w:r w:rsidR="00A41837">
        <w:rPr>
          <w:rFonts w:cstheme="minorHAnsi"/>
          <w:shd w:val="clear" w:color="auto" w:fill="FFFFFF"/>
        </w:rPr>
        <w:t xml:space="preserve"> </w:t>
      </w:r>
      <w:r>
        <w:t xml:space="preserve">We </w:t>
      </w:r>
      <w:r w:rsidRPr="00E22C56">
        <w:t>hypothesized that both PFF models, either with ABP or CPP used as input, would be strongly</w:t>
      </w:r>
      <w:r w:rsidR="00460F42">
        <w:t xml:space="preserve"> </w:t>
      </w:r>
      <w:r w:rsidRPr="00E22C56">
        <w:t>correlated with this</w:t>
      </w:r>
      <w:r w:rsidR="000C0503">
        <w:t xml:space="preserve"> cohort.</w:t>
      </w:r>
      <w:r w:rsidRPr="00E22C56">
        <w:t xml:space="preserve"> </w:t>
      </w:r>
    </w:p>
    <w:p w14:paraId="7B42C5EF" w14:textId="77777777" w:rsidR="00A90463" w:rsidRPr="00EB5C79" w:rsidRDefault="00A90463" w:rsidP="00020ABC">
      <w:pPr>
        <w:spacing w:line="480" w:lineRule="auto"/>
        <w:rPr>
          <w:rFonts w:ascii="Calibri" w:eastAsia="Calibri" w:hAnsi="Calibri" w:cs="Times New Roman"/>
          <w:highlight w:val="yellow"/>
        </w:rPr>
      </w:pPr>
    </w:p>
    <w:p w14:paraId="4BB06386" w14:textId="77777777" w:rsidR="0045133F" w:rsidRPr="0045133F" w:rsidRDefault="00A90463" w:rsidP="00020ABC">
      <w:pPr>
        <w:spacing w:line="480" w:lineRule="auto"/>
        <w:rPr>
          <w:rFonts w:ascii="Calibri" w:eastAsia="Calibri" w:hAnsi="Calibri" w:cs="Times New Roman"/>
          <w:b/>
          <w:i/>
        </w:rPr>
      </w:pPr>
      <w:r w:rsidRPr="0045133F">
        <w:rPr>
          <w:rFonts w:ascii="Calibri" w:eastAsia="Calibri" w:hAnsi="Calibri" w:cs="Times New Roman"/>
          <w:b/>
          <w:i/>
        </w:rPr>
        <w:lastRenderedPageBreak/>
        <w:t>Monitoring</w:t>
      </w:r>
    </w:p>
    <w:p w14:paraId="48E6F5B4" w14:textId="77777777" w:rsidR="00A90463" w:rsidRDefault="00A90463" w:rsidP="00020ABC">
      <w:pPr>
        <w:spacing w:line="480" w:lineRule="auto"/>
        <w:rPr>
          <w:rFonts w:ascii="Calibri" w:eastAsia="Calibri" w:hAnsi="Calibri" w:cs="Times New Roman"/>
          <w:highlight w:val="yellow"/>
        </w:rPr>
      </w:pPr>
      <w:r w:rsidRPr="007B58BA">
        <w:rPr>
          <w:rFonts w:ascii="Calibri" w:eastAsia="Calibri" w:hAnsi="Calibri" w:cs="Times New Roman"/>
        </w:rPr>
        <w:t xml:space="preserve"> </w:t>
      </w:r>
    </w:p>
    <w:p w14:paraId="5F6CD50D" w14:textId="6138EF50" w:rsidR="00BA3DA4" w:rsidRPr="007B58BA" w:rsidRDefault="0045133F" w:rsidP="00020ABC">
      <w:pPr>
        <w:spacing w:line="480" w:lineRule="auto"/>
        <w:ind w:firstLine="720"/>
        <w:rPr>
          <w:rFonts w:ascii="Calibri" w:eastAsia="Calibri" w:hAnsi="Calibri" w:cs="Times New Roman"/>
        </w:rPr>
      </w:pPr>
      <w:r w:rsidRPr="007B58BA">
        <w:rPr>
          <w:rFonts w:ascii="Calibri" w:eastAsia="Calibri" w:hAnsi="Calibri" w:cs="Times New Roman"/>
        </w:rPr>
        <w:t xml:space="preserve">All patients received both invasive and non-invasive monitoring </w:t>
      </w:r>
      <w:r w:rsidR="007B58BA" w:rsidRPr="007B58BA">
        <w:rPr>
          <w:rFonts w:ascii="Calibri" w:eastAsia="Calibri" w:hAnsi="Calibri" w:cs="Times New Roman"/>
        </w:rPr>
        <w:t xml:space="preserve">while under clinical observation. Raw data signals from select monitoring devices were captured and archived electronically through </w:t>
      </w:r>
      <w:hyperlink r:id="rId19" w:history="1">
        <w:r w:rsidR="007B58BA" w:rsidRPr="007B58BA">
          <w:rPr>
            <w:rFonts w:ascii="Calibri" w:eastAsia="Calibri" w:hAnsi="Calibri" w:cs="Times New Roman"/>
            <w:color w:val="0563C1"/>
            <w:u w:val="single"/>
          </w:rPr>
          <w:t xml:space="preserve"> WREC</w:t>
        </w:r>
      </w:hyperlink>
      <w:r w:rsidR="007B58BA" w:rsidRPr="007B58BA">
        <w:rPr>
          <w:rFonts w:ascii="Calibri" w:eastAsia="Calibri" w:hAnsi="Calibri" w:cs="Times New Roman"/>
        </w:rPr>
        <w:t xml:space="preserve"> software (Warsaw University of Technology)</w:t>
      </w:r>
      <w:r w:rsidR="007F6961">
        <w:rPr>
          <w:rFonts w:ascii="Calibri" w:eastAsia="Calibri" w:hAnsi="Calibri" w:cs="Times New Roman"/>
        </w:rPr>
        <w:t xml:space="preserve"> or ICM+</w:t>
      </w:r>
      <w:r w:rsidR="007F6961">
        <w:rPr>
          <w:rFonts w:ascii="Calibri" w:eastAsia="Calibri" w:hAnsi="Calibri" w:cs="Times New Roman"/>
          <w:vertAlign w:val="superscript"/>
        </w:rPr>
        <w:t>TM</w:t>
      </w:r>
      <w:r w:rsidR="007F6961">
        <w:rPr>
          <w:rFonts w:ascii="Calibri" w:eastAsia="Calibri" w:hAnsi="Calibri" w:cs="Times New Roman"/>
        </w:rPr>
        <w:t xml:space="preserve"> (</w:t>
      </w:r>
      <w:r w:rsidR="003B582B" w:rsidRPr="003B582B">
        <w:rPr>
          <w:rFonts w:ascii="Calibri" w:eastAsia="Calibri" w:hAnsi="Calibri" w:cs="Times New Roman"/>
        </w:rPr>
        <w:t>licensed through Cambridge Enterprise, Cambridge, U.K.; http://www.neurosurg.cam.ac.uk/icmplus</w:t>
      </w:r>
      <w:r w:rsidR="007F6961">
        <w:rPr>
          <w:rFonts w:ascii="Calibri" w:eastAsia="Calibri" w:hAnsi="Calibri" w:cs="Times New Roman"/>
        </w:rPr>
        <w:t>)</w:t>
      </w:r>
      <w:r w:rsidR="007B58BA" w:rsidRPr="007B58BA">
        <w:rPr>
          <w:rFonts w:ascii="Calibri" w:eastAsia="Calibri" w:hAnsi="Calibri" w:cs="Times New Roman"/>
        </w:rPr>
        <w:t xml:space="preserve">. </w:t>
      </w:r>
    </w:p>
    <w:p w14:paraId="6D364BAE" w14:textId="57E83732" w:rsidR="00A90463" w:rsidRPr="001F343B" w:rsidRDefault="00A90463" w:rsidP="00020ABC">
      <w:pPr>
        <w:spacing w:line="480" w:lineRule="auto"/>
        <w:ind w:firstLine="720"/>
        <w:rPr>
          <w:rFonts w:ascii="Calibri" w:eastAsia="Calibri" w:hAnsi="Calibri" w:cs="Times New Roman"/>
        </w:rPr>
      </w:pPr>
      <w:r w:rsidRPr="001F343B">
        <w:rPr>
          <w:rFonts w:ascii="Calibri" w:eastAsia="Calibri" w:hAnsi="Calibri" w:cs="Times New Roman"/>
        </w:rPr>
        <w:t>ABP was continuously monitored both invasively [from the radial artery using a pressure monitoring kit (Baxter Healthcare C</w:t>
      </w:r>
      <w:r w:rsidR="001F343B">
        <w:rPr>
          <w:rFonts w:ascii="Calibri" w:eastAsia="Calibri" w:hAnsi="Calibri" w:cs="Times New Roman"/>
        </w:rPr>
        <w:t>.</w:t>
      </w:r>
      <w:r w:rsidRPr="001F343B">
        <w:rPr>
          <w:rFonts w:ascii="Calibri" w:eastAsia="Calibri" w:hAnsi="Calibri" w:cs="Times New Roman"/>
        </w:rPr>
        <w:t>A</w:t>
      </w:r>
      <w:r w:rsidR="001F343B">
        <w:rPr>
          <w:rFonts w:ascii="Calibri" w:eastAsia="Calibri" w:hAnsi="Calibri" w:cs="Times New Roman"/>
        </w:rPr>
        <w:t>.</w:t>
      </w:r>
      <w:r w:rsidRPr="001F343B">
        <w:rPr>
          <w:rFonts w:ascii="Calibri" w:eastAsia="Calibri" w:hAnsi="Calibri" w:cs="Times New Roman"/>
        </w:rPr>
        <w:t>, U</w:t>
      </w:r>
      <w:r w:rsidR="001F343B">
        <w:rPr>
          <w:rFonts w:ascii="Calibri" w:eastAsia="Calibri" w:hAnsi="Calibri" w:cs="Times New Roman"/>
        </w:rPr>
        <w:t>.</w:t>
      </w:r>
      <w:r w:rsidRPr="001F343B">
        <w:rPr>
          <w:rFonts w:ascii="Calibri" w:eastAsia="Calibri" w:hAnsi="Calibri" w:cs="Times New Roman"/>
        </w:rPr>
        <w:t>S</w:t>
      </w:r>
      <w:r w:rsidR="001F343B">
        <w:rPr>
          <w:rFonts w:ascii="Calibri" w:eastAsia="Calibri" w:hAnsi="Calibri" w:cs="Times New Roman"/>
        </w:rPr>
        <w:t>.</w:t>
      </w:r>
      <w:r w:rsidRPr="001F343B">
        <w:rPr>
          <w:rFonts w:ascii="Calibri" w:eastAsia="Calibri" w:hAnsi="Calibri" w:cs="Times New Roman"/>
        </w:rPr>
        <w:t>A</w:t>
      </w:r>
      <w:r w:rsidR="001F343B">
        <w:rPr>
          <w:rFonts w:ascii="Calibri" w:eastAsia="Calibri" w:hAnsi="Calibri" w:cs="Times New Roman"/>
        </w:rPr>
        <w:t>.</w:t>
      </w:r>
      <w:r w:rsidRPr="001F343B">
        <w:rPr>
          <w:rFonts w:ascii="Calibri" w:eastAsia="Calibri" w:hAnsi="Calibri" w:cs="Times New Roman"/>
        </w:rPr>
        <w:t>; Sidcup, U</w:t>
      </w:r>
      <w:r w:rsidR="001F343B">
        <w:rPr>
          <w:rFonts w:ascii="Calibri" w:eastAsia="Calibri" w:hAnsi="Calibri" w:cs="Times New Roman"/>
        </w:rPr>
        <w:t>.</w:t>
      </w:r>
      <w:r w:rsidRPr="001F343B">
        <w:rPr>
          <w:rFonts w:ascii="Calibri" w:eastAsia="Calibri" w:hAnsi="Calibri" w:cs="Times New Roman"/>
        </w:rPr>
        <w:t>K</w:t>
      </w:r>
      <w:r w:rsidR="001F343B">
        <w:rPr>
          <w:rFonts w:ascii="Calibri" w:eastAsia="Calibri" w:hAnsi="Calibri" w:cs="Times New Roman"/>
        </w:rPr>
        <w:t>.</w:t>
      </w:r>
      <w:r w:rsidRPr="001F343B">
        <w:rPr>
          <w:rFonts w:ascii="Calibri" w:eastAsia="Calibri" w:hAnsi="Calibri" w:cs="Times New Roman"/>
        </w:rPr>
        <w:t>)</w:t>
      </w:r>
      <w:r w:rsidR="00CD0B0E">
        <w:rPr>
          <w:rFonts w:ascii="Calibri" w:eastAsia="Calibri" w:hAnsi="Calibri" w:cs="Times New Roman"/>
        </w:rPr>
        <w:t>]</w:t>
      </w:r>
      <w:r w:rsidRPr="001F343B">
        <w:rPr>
          <w:rFonts w:ascii="Calibri" w:eastAsia="Calibri" w:hAnsi="Calibri" w:cs="Times New Roman"/>
        </w:rPr>
        <w:t>. ICP was monitored using an intraparenchymal probe with strain gauge sensors (Codman &amp; Shurtleff, M</w:t>
      </w:r>
      <w:r w:rsidR="001F343B">
        <w:rPr>
          <w:rFonts w:ascii="Calibri" w:eastAsia="Calibri" w:hAnsi="Calibri" w:cs="Times New Roman"/>
        </w:rPr>
        <w:t>.</w:t>
      </w:r>
      <w:r w:rsidRPr="001F343B">
        <w:rPr>
          <w:rFonts w:ascii="Calibri" w:eastAsia="Calibri" w:hAnsi="Calibri" w:cs="Times New Roman"/>
        </w:rPr>
        <w:t>A</w:t>
      </w:r>
      <w:r w:rsidR="001F343B">
        <w:rPr>
          <w:rFonts w:ascii="Calibri" w:eastAsia="Calibri" w:hAnsi="Calibri" w:cs="Times New Roman"/>
        </w:rPr>
        <w:t>.</w:t>
      </w:r>
      <w:r w:rsidRPr="001F343B">
        <w:rPr>
          <w:rFonts w:ascii="Calibri" w:eastAsia="Calibri" w:hAnsi="Calibri" w:cs="Times New Roman"/>
        </w:rPr>
        <w:t>, U</w:t>
      </w:r>
      <w:r w:rsidR="001F343B">
        <w:rPr>
          <w:rFonts w:ascii="Calibri" w:eastAsia="Calibri" w:hAnsi="Calibri" w:cs="Times New Roman"/>
        </w:rPr>
        <w:t>.</w:t>
      </w:r>
      <w:r w:rsidRPr="001F343B">
        <w:rPr>
          <w:rFonts w:ascii="Calibri" w:eastAsia="Calibri" w:hAnsi="Calibri" w:cs="Times New Roman"/>
        </w:rPr>
        <w:t>S</w:t>
      </w:r>
      <w:r w:rsidR="001F343B">
        <w:rPr>
          <w:rFonts w:ascii="Calibri" w:eastAsia="Calibri" w:hAnsi="Calibri" w:cs="Times New Roman"/>
        </w:rPr>
        <w:t>.</w:t>
      </w:r>
      <w:r w:rsidRPr="001F343B">
        <w:rPr>
          <w:rFonts w:ascii="Calibri" w:eastAsia="Calibri" w:hAnsi="Calibri" w:cs="Times New Roman"/>
        </w:rPr>
        <w:t>A</w:t>
      </w:r>
      <w:r w:rsidR="001F343B">
        <w:rPr>
          <w:rFonts w:ascii="Calibri" w:eastAsia="Calibri" w:hAnsi="Calibri" w:cs="Times New Roman"/>
        </w:rPr>
        <w:t>.</w:t>
      </w:r>
      <w:r w:rsidR="003974A7">
        <w:rPr>
          <w:rFonts w:ascii="Calibri" w:eastAsia="Calibri" w:hAnsi="Calibri" w:cs="Times New Roman"/>
        </w:rPr>
        <w:t xml:space="preserve">). </w:t>
      </w:r>
      <w:r w:rsidR="00E45568">
        <w:rPr>
          <w:rFonts w:ascii="Calibri" w:eastAsia="Calibri" w:hAnsi="Calibri" w:cs="Times New Roman"/>
        </w:rPr>
        <w:t>End-tidal CO</w:t>
      </w:r>
      <w:r w:rsidR="00E45568" w:rsidRPr="00E45568">
        <w:rPr>
          <w:rFonts w:ascii="Calibri" w:eastAsia="Calibri" w:hAnsi="Calibri" w:cs="Times New Roman"/>
          <w:vertAlign w:val="subscript"/>
        </w:rPr>
        <w:t>2</w:t>
      </w:r>
      <w:r w:rsidR="00E45568">
        <w:rPr>
          <w:rFonts w:ascii="Calibri" w:eastAsia="Calibri" w:hAnsi="Calibri" w:cs="Times New Roman"/>
        </w:rPr>
        <w:t xml:space="preserve"> (ETCO</w:t>
      </w:r>
      <w:r w:rsidR="00E45568" w:rsidRPr="00E45568">
        <w:rPr>
          <w:rFonts w:ascii="Calibri" w:eastAsia="Calibri" w:hAnsi="Calibri" w:cs="Times New Roman"/>
          <w:vertAlign w:val="subscript"/>
        </w:rPr>
        <w:t>2</w:t>
      </w:r>
      <w:r w:rsidR="00E45568">
        <w:rPr>
          <w:rFonts w:ascii="Calibri" w:eastAsia="Calibri" w:hAnsi="Calibri" w:cs="Times New Roman"/>
        </w:rPr>
        <w:t xml:space="preserve">) was measured in the patients experiencing periods of mild, controlled hypocapnia via capnograph </w:t>
      </w:r>
      <w:r w:rsidR="00E45568" w:rsidRPr="00E45568">
        <w:rPr>
          <w:rFonts w:ascii="Calibri" w:eastAsia="Calibri" w:hAnsi="Calibri" w:cs="Times New Roman"/>
        </w:rPr>
        <w:t>(Marquette Solar 8000 M, GE Medical Systems,</w:t>
      </w:r>
      <w:r w:rsidR="00E45568">
        <w:rPr>
          <w:rFonts w:ascii="Calibri" w:eastAsia="Calibri" w:hAnsi="Calibri" w:cs="Times New Roman"/>
        </w:rPr>
        <w:t xml:space="preserve"> </w:t>
      </w:r>
      <w:r w:rsidR="00E45568" w:rsidRPr="00E45568">
        <w:rPr>
          <w:rFonts w:ascii="Calibri" w:eastAsia="Calibri" w:hAnsi="Calibri" w:cs="Times New Roman"/>
        </w:rPr>
        <w:t>U</w:t>
      </w:r>
      <w:r w:rsidR="00E45568">
        <w:rPr>
          <w:rFonts w:ascii="Calibri" w:eastAsia="Calibri" w:hAnsi="Calibri" w:cs="Times New Roman"/>
        </w:rPr>
        <w:t>.</w:t>
      </w:r>
      <w:r w:rsidR="00E45568" w:rsidRPr="00E45568">
        <w:rPr>
          <w:rFonts w:ascii="Calibri" w:eastAsia="Calibri" w:hAnsi="Calibri" w:cs="Times New Roman"/>
        </w:rPr>
        <w:t>K</w:t>
      </w:r>
      <w:r w:rsidR="00E45568">
        <w:rPr>
          <w:rFonts w:ascii="Calibri" w:eastAsia="Calibri" w:hAnsi="Calibri" w:cs="Times New Roman"/>
        </w:rPr>
        <w:t>.</w:t>
      </w:r>
      <w:r w:rsidR="00E45568" w:rsidRPr="00E45568">
        <w:rPr>
          <w:rFonts w:ascii="Calibri" w:eastAsia="Calibri" w:hAnsi="Calibri" w:cs="Times New Roman"/>
        </w:rPr>
        <w:t>).</w:t>
      </w:r>
      <w:r w:rsidR="008A727D">
        <w:rPr>
          <w:rFonts w:ascii="Calibri" w:eastAsia="Calibri" w:hAnsi="Calibri" w:cs="Times New Roman"/>
        </w:rPr>
        <w:t xml:space="preserve"> Ce</w:t>
      </w:r>
      <w:r w:rsidR="00580645" w:rsidRPr="001F343B">
        <w:rPr>
          <w:rFonts w:ascii="Calibri" w:eastAsia="Calibri" w:hAnsi="Calibri" w:cs="Times New Roman"/>
        </w:rPr>
        <w:t xml:space="preserve">rebral blood flow velocity (FV) was </w:t>
      </w:r>
      <w:r w:rsidR="008A727D">
        <w:rPr>
          <w:rFonts w:ascii="Calibri" w:eastAsia="Calibri" w:hAnsi="Calibri" w:cs="Times New Roman"/>
        </w:rPr>
        <w:t>recorded</w:t>
      </w:r>
      <w:r w:rsidR="00580645" w:rsidRPr="001F343B">
        <w:rPr>
          <w:rFonts w:ascii="Calibri" w:eastAsia="Calibri" w:hAnsi="Calibri" w:cs="Times New Roman"/>
        </w:rPr>
        <w:t xml:space="preserve"> from</w:t>
      </w:r>
      <w:r w:rsidR="00E77AB0">
        <w:rPr>
          <w:rFonts w:ascii="Calibri" w:eastAsia="Calibri" w:hAnsi="Calibri" w:cs="Times New Roman"/>
        </w:rPr>
        <w:t xml:space="preserve"> both unilateral and</w:t>
      </w:r>
      <w:r w:rsidR="00580645" w:rsidRPr="001F343B">
        <w:rPr>
          <w:rFonts w:ascii="Calibri" w:eastAsia="Calibri" w:hAnsi="Calibri" w:cs="Times New Roman"/>
        </w:rPr>
        <w:t xml:space="preserve"> bilateral monitoring of </w:t>
      </w:r>
      <w:r w:rsidRPr="001F343B">
        <w:rPr>
          <w:rFonts w:ascii="Calibri" w:eastAsia="Calibri" w:hAnsi="Calibri" w:cs="Times New Roman"/>
        </w:rPr>
        <w:t>the middle cerebral artery (MCA) with a 2 MHz</w:t>
      </w:r>
      <w:r w:rsidR="00125E1E">
        <w:rPr>
          <w:rFonts w:ascii="Calibri" w:eastAsia="Calibri" w:hAnsi="Calibri" w:cs="Times New Roman"/>
        </w:rPr>
        <w:t xml:space="preserve"> TCD</w:t>
      </w:r>
      <w:r w:rsidRPr="001F343B">
        <w:rPr>
          <w:rFonts w:ascii="Calibri" w:eastAsia="Calibri" w:hAnsi="Calibri" w:cs="Times New Roman"/>
        </w:rPr>
        <w:t xml:space="preserve"> probe</w:t>
      </w:r>
      <w:r w:rsidR="00B1039D">
        <w:rPr>
          <w:rFonts w:ascii="Calibri" w:eastAsia="Calibri" w:hAnsi="Calibri" w:cs="Times New Roman"/>
        </w:rPr>
        <w:t xml:space="preserve"> </w:t>
      </w:r>
      <w:r w:rsidR="00B1039D" w:rsidRPr="00B1039D">
        <w:rPr>
          <w:rFonts w:ascii="Calibri" w:eastAsia="Calibri" w:hAnsi="Calibri" w:cs="Times New Roman"/>
        </w:rPr>
        <w:t>(Multi Dop X4, DWL</w:t>
      </w:r>
      <w:r w:rsidR="00B1039D">
        <w:rPr>
          <w:rFonts w:ascii="Calibri" w:eastAsia="Calibri" w:hAnsi="Calibri" w:cs="Times New Roman"/>
        </w:rPr>
        <w:t xml:space="preserve"> </w:t>
      </w:r>
      <w:r w:rsidR="00B1039D" w:rsidRPr="00B1039D">
        <w:rPr>
          <w:rFonts w:ascii="Calibri" w:eastAsia="Calibri" w:hAnsi="Calibri" w:cs="Times New Roman"/>
        </w:rPr>
        <w:t>Elektronische Systeme, Sipplingen, Germany)</w:t>
      </w:r>
      <w:r w:rsidRPr="001F343B">
        <w:rPr>
          <w:rFonts w:ascii="Calibri" w:eastAsia="Calibri" w:hAnsi="Calibri" w:cs="Times New Roman"/>
        </w:rPr>
        <w:t xml:space="preserve">. </w:t>
      </w:r>
      <w:r w:rsidR="003B582B" w:rsidRPr="003B582B">
        <w:rPr>
          <w:rFonts w:ascii="Calibri" w:eastAsia="Calibri" w:hAnsi="Calibri" w:cs="Times New Roman"/>
        </w:rPr>
        <w:t>Data were processed through a 16-bit, 100kHz analog-to-digital converter (DT9803 USB Data Acquisition (DAQ) Module, Measurement Computing Corporation, Norton, M.A., U.S.A.).</w:t>
      </w:r>
    </w:p>
    <w:p w14:paraId="51615BB0" w14:textId="3BDFDCE0" w:rsidR="00097047" w:rsidRPr="00097047" w:rsidRDefault="00DC3CB2" w:rsidP="00020ABC">
      <w:pPr>
        <w:spacing w:line="480" w:lineRule="auto"/>
        <w:ind w:firstLine="720"/>
        <w:rPr>
          <w:rFonts w:ascii="Calibri" w:eastAsia="Calibri" w:hAnsi="Calibri" w:cs="Times New Roman"/>
        </w:rPr>
      </w:pPr>
      <w:r w:rsidRPr="00EF09BA">
        <w:rPr>
          <w:rFonts w:ascii="Calibri" w:eastAsia="Calibri" w:hAnsi="Calibri" w:cs="Times New Roman"/>
        </w:rPr>
        <w:t>Raw</w:t>
      </w:r>
      <w:r w:rsidR="00ED0C32">
        <w:rPr>
          <w:rFonts w:ascii="Calibri" w:eastAsia="Calibri" w:hAnsi="Calibri" w:cs="Times New Roman"/>
        </w:rPr>
        <w:t xml:space="preserve"> TCD</w:t>
      </w:r>
      <w:r w:rsidRPr="00EF09BA">
        <w:rPr>
          <w:rFonts w:ascii="Calibri" w:eastAsia="Calibri" w:hAnsi="Calibri" w:cs="Times New Roman"/>
        </w:rPr>
        <w:t xml:space="preserve"> data sampled from the three types of events</w:t>
      </w:r>
      <w:r w:rsidR="00D05BAC" w:rsidRPr="00EF09BA">
        <w:rPr>
          <w:rFonts w:ascii="Calibri" w:eastAsia="Calibri" w:hAnsi="Calibri" w:cs="Times New Roman"/>
        </w:rPr>
        <w:t xml:space="preserve"> (ICP plateau waves, hypocapnia, and vasopressors)</w:t>
      </w:r>
      <w:r w:rsidRPr="00EF09BA">
        <w:rPr>
          <w:rFonts w:ascii="Calibri" w:eastAsia="Calibri" w:hAnsi="Calibri" w:cs="Times New Roman"/>
        </w:rPr>
        <w:t xml:space="preserve"> included in the study encapsulated the baseline readings, the entirety of the challenge/event, and the post-event recordings</w:t>
      </w:r>
      <w:r w:rsidR="00D05BAC" w:rsidRPr="00EF09BA">
        <w:rPr>
          <w:rFonts w:ascii="Calibri" w:eastAsia="Calibri" w:hAnsi="Calibri" w:cs="Times New Roman"/>
        </w:rPr>
        <w:t>.</w:t>
      </w:r>
      <w:r w:rsidR="00ED0C32" w:rsidRPr="00ED0C32">
        <w:t xml:space="preserve"> Signal artifact removal was achieved manually. CPP was determined from the difference between raw ABP and ICP signals. </w:t>
      </w:r>
      <w:r w:rsidR="00ED0C32" w:rsidRPr="00ED0C32">
        <w:rPr>
          <w:rFonts w:ascii="Calibri" w:eastAsia="Calibri" w:hAnsi="Calibri" w:cs="Times New Roman"/>
        </w:rPr>
        <w:t>The average duration of these TCD recordings was over 108.59±57.56 minutes, with a minimum of 18 minutes and maximum of 177 minutes captured per patient.</w:t>
      </w:r>
      <w:r w:rsidR="00D05BAC" w:rsidRPr="00EF09BA">
        <w:rPr>
          <w:rFonts w:ascii="Calibri" w:eastAsia="Calibri" w:hAnsi="Calibri" w:cs="Times New Roman"/>
        </w:rPr>
        <w:t xml:space="preserve"> 18-90 minutes of continuous </w:t>
      </w:r>
      <w:r w:rsidR="00E24A35">
        <w:rPr>
          <w:rFonts w:ascii="Calibri" w:eastAsia="Calibri" w:hAnsi="Calibri" w:cs="Times New Roman"/>
        </w:rPr>
        <w:t xml:space="preserve">TCD </w:t>
      </w:r>
      <w:r w:rsidR="00D05BAC" w:rsidRPr="00EF09BA">
        <w:rPr>
          <w:rFonts w:ascii="Calibri" w:eastAsia="Calibri" w:hAnsi="Calibri" w:cs="Times New Roman"/>
        </w:rPr>
        <w:t>data recordings were obtained from the plateau waves cohort, with 85-138 and 135-177 minutes each obtained from the hypocapnia and vasopressors cohorts, respectively.</w:t>
      </w:r>
      <w:r w:rsidR="00097047">
        <w:rPr>
          <w:rFonts w:ascii="Calibri" w:eastAsia="Calibri" w:hAnsi="Calibri" w:cs="Times New Roman"/>
        </w:rPr>
        <w:t xml:space="preserve"> </w:t>
      </w:r>
    </w:p>
    <w:p w14:paraId="12E9B449" w14:textId="04B64DD9" w:rsidR="008D7F32" w:rsidRDefault="008D7F32" w:rsidP="00020ABC">
      <w:pPr>
        <w:spacing w:line="480" w:lineRule="auto"/>
        <w:rPr>
          <w:rFonts w:ascii="Calibri" w:eastAsia="Calibri" w:hAnsi="Calibri" w:cs="Times New Roman"/>
        </w:rPr>
      </w:pPr>
    </w:p>
    <w:p w14:paraId="475A90ED" w14:textId="77777777" w:rsidR="00A90463" w:rsidRPr="00A90463" w:rsidRDefault="00A90463" w:rsidP="00020ABC">
      <w:pPr>
        <w:spacing w:line="480" w:lineRule="auto"/>
        <w:rPr>
          <w:rFonts w:ascii="Calibri" w:eastAsia="Calibri" w:hAnsi="Calibri" w:cs="Times New Roman"/>
          <w:highlight w:val="yellow"/>
        </w:rPr>
      </w:pPr>
    </w:p>
    <w:p w14:paraId="7876A398" w14:textId="25CBCFE8" w:rsidR="00A90463" w:rsidRDefault="00A90463" w:rsidP="00020ABC">
      <w:pPr>
        <w:spacing w:line="480" w:lineRule="auto"/>
        <w:rPr>
          <w:rFonts w:ascii="Calibri" w:eastAsia="Calibri" w:hAnsi="Calibri" w:cs="Times New Roman"/>
          <w:b/>
          <w:i/>
        </w:rPr>
      </w:pPr>
      <w:r w:rsidRPr="00994AEE">
        <w:rPr>
          <w:rFonts w:ascii="Calibri" w:eastAsia="Calibri" w:hAnsi="Calibri" w:cs="Times New Roman"/>
          <w:b/>
          <w:i/>
        </w:rPr>
        <w:t>Data Processing</w:t>
      </w:r>
    </w:p>
    <w:p w14:paraId="4155999B" w14:textId="77777777" w:rsidR="007A02FB" w:rsidRDefault="007A02FB" w:rsidP="00020ABC">
      <w:pPr>
        <w:spacing w:line="480" w:lineRule="auto"/>
        <w:rPr>
          <w:rFonts w:ascii="Calibri" w:eastAsia="Calibri" w:hAnsi="Calibri" w:cs="Times New Roman"/>
        </w:rPr>
      </w:pPr>
    </w:p>
    <w:p w14:paraId="2B451DC2" w14:textId="58E8789C" w:rsidR="0044666C" w:rsidRDefault="007A02FB" w:rsidP="00020ABC">
      <w:pPr>
        <w:spacing w:line="480" w:lineRule="auto"/>
        <w:rPr>
          <w:rFonts w:ascii="Calibri" w:eastAsia="Calibri" w:hAnsi="Calibri" w:cs="Times New Roman"/>
        </w:rPr>
      </w:pPr>
      <w:r>
        <w:rPr>
          <w:rFonts w:ascii="Calibri" w:eastAsia="Calibri" w:hAnsi="Calibri" w:cs="Times New Roman"/>
        </w:rPr>
        <w:t>Our previous study</w:t>
      </w:r>
      <w:r w:rsidR="003411DF" w:rsidRPr="003411DF">
        <w:rPr>
          <w:rFonts w:ascii="Calibri" w:eastAsia="Calibri" w:hAnsi="Calibri" w:cs="Times New Roman"/>
          <w:vertAlign w:val="superscript"/>
        </w:rPr>
        <w:fldChar w:fldCharType="begin" w:fldLock="1"/>
      </w:r>
      <w:r w:rsidR="00D95922">
        <w:rPr>
          <w:rFonts w:ascii="Calibri" w:eastAsia="Calibri" w:hAnsi="Calibri" w:cs="Times New Roman"/>
          <w:vertAlign w:val="superscript"/>
        </w:rPr>
        <w:instrText>ADDIN CSL_CITATION {"citationItems":[{"id":"ITEM-1","itemData":{"DOI":"10.1007/s12028-017-0404-9","ISSN":"15560961","abstract":"© 2017 The Author(s) Background: Determination of relationships between transcranial Doppler (TCD)-based spectral pulsatility index (sPI) and pulse amplitude (AMP) of intracranial pressure (ICP) in 2 groups of severe traumatic brain injury (TBI) patients (a) displaying plateau waves and (b) with unstable mean arterial pressure (MAP). Methods: We retrospectively reviewed patients with severe TBI and continuous TCD monitoring displaying either plateau waves or unstable MAP from 1992 to 1998. We utilized linear and nonlinear regression techniques to describ e both cohorts: cerebral perfusion pressure (CPP) versus AMP, CPP versus sPI, mean ICP versus ICP AMP, mean ICP versus sPI, and AMP versus sPI. Results: Nonlinear regression techniques were employed to analyze the relationships with CPP. In plateau wave and unstable MAP patients, CPP versus sPI displayed an inverse nonlinear relationship (R 2  = 0.820 vs. R 2  = 0.610, respectively), with the CPP versus sPI relationship best modeled by the following function in both cases: PI = a + (b/CPP). Similarly, in both groups, CPP versus AMP displayed an inverse nonlinear relationship (R 2  = 0.610 vs. R 2  = 0.360, respectively). Positive linear correlations were displayed in both the plateau wave and unstable MAP cohorts between: ICP versus AMP, ICP versus sPI, AMP versus sPI. Conclusions: There is an inverse relationship through nonlinear regression between CPP versus AMP and CPP versus sPI display. This provides evidence to support a previously-proposed model of TCD pulsatility index. ICP shows a positive linear correlation with AMP and sPI, which is also established between AMP and sPI.","author":[{"dropping-particle":"","family":"Calviello","given":"L.A.","non-dropping-particle":"","parse-names":false,"suffix":""},{"dropping-particle":"","family":"Riva","given":"N.","non-dropping-particle":"de","parse-names":false,"suffix":""},{"dropping-particle":"","family":"Donnelly","given":"J.","non-dropping-particle":"","parse-names":false,"suffix":""},{"dropping-particle":"","family":"Czosnyka","given":"M.","non-dropping-particle":"","parse-names":false,"suffix":""},{"dropping-particle":"","family":"Smielewski","given":"P.","non-dropping-particle":"","parse-names":false,"suffix":""},{"dropping-particle":"","family":"Menon","given":"D.K.","non-dropping-particle":"","parse-names":false,"suffix":""},{"dropping-particle":"","family":"Zeiler","given":"F.A.","non-dropping-particle":"","parse-names":false,"suffix":""}],"container-title":"Neurocritical Care","id":"ITEM-1","issued":{"date-parts":[["2017"]]},"title":"Relationship Between Brain Pulsatility and Cerebral Perfusion Pressure: Replicated Validation Using Different Drivers of CPP Change","type":"article-journal"},"uris":["http://www.mendeley.com/documents/?uuid=a382694f-6841-3d98-933a-f984fdb65bd3"]}],"mendeley":{"formattedCitation":"(10)","manualFormatting":"10, 25","plainTextFormattedCitation":"(10)","previouslyFormattedCitation":"(10)"},"properties":{"noteIndex":0},"schema":"https://github.com/citation-style-language/schema/raw/master/csl-citation.json"}</w:instrText>
      </w:r>
      <w:r w:rsidR="003411DF" w:rsidRPr="003411DF">
        <w:rPr>
          <w:rFonts w:ascii="Calibri" w:eastAsia="Calibri" w:hAnsi="Calibri" w:cs="Times New Roman"/>
          <w:vertAlign w:val="superscript"/>
        </w:rPr>
        <w:fldChar w:fldCharType="separate"/>
      </w:r>
      <w:r w:rsidR="003411DF" w:rsidRPr="003411DF">
        <w:rPr>
          <w:rFonts w:ascii="Calibri" w:eastAsia="Calibri" w:hAnsi="Calibri" w:cs="Times New Roman"/>
          <w:noProof/>
          <w:vertAlign w:val="superscript"/>
        </w:rPr>
        <w:t>10, 25</w:t>
      </w:r>
      <w:r w:rsidR="003411DF" w:rsidRPr="003411DF">
        <w:rPr>
          <w:rFonts w:ascii="Calibri" w:eastAsia="Calibri" w:hAnsi="Calibri" w:cs="Times New Roman"/>
          <w:vertAlign w:val="superscript"/>
        </w:rPr>
        <w:fldChar w:fldCharType="end"/>
      </w:r>
      <w:r w:rsidR="006847C0">
        <w:rPr>
          <w:rFonts w:ascii="Calibri" w:eastAsia="Calibri" w:hAnsi="Calibri" w:cs="Times New Roman"/>
        </w:rPr>
        <w:t xml:space="preserve"> </w:t>
      </w:r>
      <w:r>
        <w:rPr>
          <w:rFonts w:ascii="Calibri" w:eastAsia="Calibri" w:hAnsi="Calibri" w:cs="Times New Roman"/>
        </w:rPr>
        <w:t xml:space="preserve">allowed </w:t>
      </w:r>
      <w:r w:rsidR="00BD2E22">
        <w:rPr>
          <w:rFonts w:ascii="Calibri" w:eastAsia="Calibri" w:hAnsi="Calibri" w:cs="Times New Roman"/>
        </w:rPr>
        <w:t xml:space="preserve">the </w:t>
      </w:r>
      <w:r>
        <w:rPr>
          <w:rFonts w:ascii="Calibri" w:eastAsia="Calibri" w:hAnsi="Calibri" w:cs="Times New Roman"/>
        </w:rPr>
        <w:t>expression of TCD</w:t>
      </w:r>
      <w:r w:rsidR="00BD2E22">
        <w:rPr>
          <w:rFonts w:ascii="Calibri" w:eastAsia="Calibri" w:hAnsi="Calibri" w:cs="Times New Roman"/>
        </w:rPr>
        <w:t>-based “</w:t>
      </w:r>
      <w:r>
        <w:rPr>
          <w:rFonts w:ascii="Calibri" w:eastAsia="Calibri" w:hAnsi="Calibri" w:cs="Times New Roman"/>
        </w:rPr>
        <w:t>spectral pulsatility index</w:t>
      </w:r>
      <w:r w:rsidR="00BD2E22">
        <w:rPr>
          <w:rFonts w:ascii="Calibri" w:eastAsia="Calibri" w:hAnsi="Calibri" w:cs="Times New Roman"/>
        </w:rPr>
        <w:t xml:space="preserve">” (sPI), defined above as sPI </w:t>
      </w:r>
      <w:r>
        <w:rPr>
          <w:rFonts w:ascii="Calibri" w:eastAsia="Calibri" w:hAnsi="Calibri" w:cs="Times New Roman"/>
        </w:rPr>
        <w:t>= F1/FVm) using</w:t>
      </w:r>
      <w:r w:rsidR="00BD2E22">
        <w:rPr>
          <w:rFonts w:ascii="Calibri" w:eastAsia="Calibri" w:hAnsi="Calibri" w:cs="Times New Roman"/>
        </w:rPr>
        <w:t xml:space="preserve"> the following</w:t>
      </w:r>
      <w:r>
        <w:rPr>
          <w:rFonts w:ascii="Calibri" w:eastAsia="Calibri" w:hAnsi="Calibri" w:cs="Times New Roman"/>
        </w:rPr>
        <w:t xml:space="preserve"> </w:t>
      </w:r>
      <w:r w:rsidR="00BD2E22">
        <w:rPr>
          <w:rFonts w:ascii="Calibri" w:eastAsia="Calibri" w:hAnsi="Calibri" w:cs="Times New Roman"/>
        </w:rPr>
        <w:t xml:space="preserve">model presented below in Equation </w:t>
      </w:r>
      <w:r w:rsidR="000D084A">
        <w:rPr>
          <w:rFonts w:ascii="Calibri" w:eastAsia="Calibri" w:hAnsi="Calibri" w:cs="Times New Roman"/>
        </w:rPr>
        <w:t>4</w:t>
      </w:r>
      <w:r w:rsidR="0044666C">
        <w:rPr>
          <w:rFonts w:ascii="Calibri" w:eastAsia="Calibri" w:hAnsi="Calibri" w:cs="Times New Roman"/>
        </w:rPr>
        <w:t>.</w:t>
      </w:r>
      <w:r w:rsidR="00627096">
        <w:rPr>
          <w:rFonts w:ascii="Calibri" w:eastAsia="Calibri" w:hAnsi="Calibri" w:cs="Times New Roman"/>
        </w:rPr>
        <w:t xml:space="preserve"> This model describes the relationships among several cerebral hemodynamic parameters that would be expected to yield variations in CPP</w:t>
      </w:r>
      <w:r w:rsidR="00627096">
        <w:rPr>
          <w:rFonts w:ascii="Calibri" w:eastAsia="Calibri" w:hAnsi="Calibri" w:cs="Times New Roman"/>
          <w:vertAlign w:val="superscript"/>
        </w:rPr>
        <w:t>10</w:t>
      </w:r>
      <w:r w:rsidR="00627096">
        <w:rPr>
          <w:rFonts w:ascii="Calibri" w:eastAsia="Calibri" w:hAnsi="Calibri" w:cs="Times New Roman"/>
        </w:rPr>
        <w:t>.</w:t>
      </w:r>
      <w:r w:rsidR="0044666C" w:rsidRPr="0044666C">
        <w:rPr>
          <w:rFonts w:ascii="Calibri" w:eastAsia="Calibri" w:hAnsi="Calibri" w:cs="Times New Roman"/>
        </w:rPr>
        <w:t xml:space="preserve"> </w:t>
      </w:r>
      <w:r w:rsidR="0044666C">
        <w:rPr>
          <w:rFonts w:ascii="Calibri" w:eastAsia="Calibri" w:hAnsi="Calibri" w:cs="Times New Roman"/>
        </w:rPr>
        <w:t xml:space="preserve">Generally, our present task is to choose estimators for Ca and </w:t>
      </w:r>
      <w:r w:rsidR="00EA3631">
        <w:rPr>
          <w:rFonts w:ascii="Calibri" w:eastAsia="Calibri" w:hAnsi="Calibri" w:cs="Times New Roman"/>
        </w:rPr>
        <w:t>Δ</w:t>
      </w:r>
      <w:r w:rsidR="0044666C">
        <w:rPr>
          <w:rFonts w:ascii="Calibri" w:eastAsia="Calibri" w:hAnsi="Calibri" w:cs="Times New Roman"/>
        </w:rPr>
        <w:t>C</w:t>
      </w:r>
      <w:r w:rsidR="00872AC2">
        <w:rPr>
          <w:rFonts w:ascii="Calibri" w:eastAsia="Calibri" w:hAnsi="Calibri" w:cs="Times New Roman"/>
        </w:rPr>
        <w:t>a</w:t>
      </w:r>
      <w:r w:rsidR="0044666C">
        <w:rPr>
          <w:rFonts w:ascii="Calibri" w:eastAsia="Calibri" w:hAnsi="Calibri" w:cs="Times New Roman"/>
        </w:rPr>
        <w:t xml:space="preserve">BV, which produce the best agreement between the left and right sides of this equation. </w:t>
      </w:r>
    </w:p>
    <w:p w14:paraId="5F2702AA" w14:textId="602CA1B9" w:rsidR="007A02FB" w:rsidRDefault="007A02FB" w:rsidP="00020ABC">
      <w:pPr>
        <w:spacing w:line="480" w:lineRule="auto"/>
        <w:ind w:firstLine="720"/>
        <w:rPr>
          <w:rFonts w:ascii="Calibri" w:eastAsia="Calibri" w:hAnsi="Calibri" w:cs="Times New Roman"/>
        </w:rPr>
      </w:pPr>
    </w:p>
    <w:p w14:paraId="3D7977BF" w14:textId="77777777" w:rsidR="00BD2E22" w:rsidRPr="00BD2E22" w:rsidRDefault="007A02FB" w:rsidP="00020ABC">
      <w:pPr>
        <w:spacing w:line="480" w:lineRule="auto"/>
        <w:rPr>
          <w:rFonts w:ascii="Calibri" w:eastAsia="Calibri" w:hAnsi="Calibri" w:cs="Times New Roman"/>
        </w:rPr>
      </w:pPr>
      <m:oMathPara>
        <m:oMath>
          <m:r>
            <w:rPr>
              <w:rFonts w:ascii="Cambria Math" w:eastAsia="Calibri" w:hAnsi="Cambria Math" w:cs="Times New Roman"/>
            </w:rPr>
            <m:t xml:space="preserve">                    </m:t>
          </m:r>
        </m:oMath>
      </m:oMathPara>
    </w:p>
    <w:p w14:paraId="166E729D" w14:textId="2F8E1E60" w:rsidR="00BD2E22" w:rsidRDefault="00BD2E22" w:rsidP="00020ABC">
      <w:pPr>
        <w:spacing w:line="480" w:lineRule="auto"/>
        <w:rPr>
          <w:rFonts w:ascii="Calibri" w:eastAsia="Calibri" w:hAnsi="Calibri" w:cs="Times New Roman"/>
        </w:rPr>
      </w:pPr>
      <w:r>
        <w:rPr>
          <w:rFonts w:ascii="Calibri" w:eastAsia="Calibri" w:hAnsi="Calibri" w:cs="Times New Roman"/>
        </w:rPr>
        <w:t xml:space="preserve">                                        </w:t>
      </w:r>
      <m:oMath>
        <m:r>
          <w:rPr>
            <w:rFonts w:ascii="Cambria Math" w:eastAsia="Calibri" w:hAnsi="Cambria Math" w:cs="Times New Roman"/>
          </w:rPr>
          <m:t xml:space="preserve">      sPI= </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1</m:t>
                </m:r>
              </m:sub>
            </m:sSub>
          </m:num>
          <m:den>
            <m:sSub>
              <m:sSubPr>
                <m:ctrlPr>
                  <w:rPr>
                    <w:rFonts w:ascii="Cambria Math" w:eastAsia="Calibri" w:hAnsi="Cambria Math" w:cs="Times New Roman"/>
                    <w:i/>
                  </w:rPr>
                </m:ctrlPr>
              </m:sSubPr>
              <m:e>
                <m:r>
                  <w:rPr>
                    <w:rFonts w:ascii="Cambria Math" w:eastAsia="Calibri" w:hAnsi="Cambria Math" w:cs="Times New Roman"/>
                  </w:rPr>
                  <m:t>CPP</m:t>
                </m:r>
              </m:e>
              <m:sub>
                <m:r>
                  <w:rPr>
                    <w:rFonts w:ascii="Cambria Math" w:eastAsia="Calibri" w:hAnsi="Cambria Math" w:cs="Times New Roman"/>
                  </w:rPr>
                  <m:t>m</m:t>
                </m:r>
              </m:sub>
            </m:sSub>
          </m:den>
        </m:f>
        <m:r>
          <w:rPr>
            <w:rFonts w:ascii="Cambria Math" w:eastAsia="Calibri" w:hAnsi="Cambria Math" w:cs="Times New Roman"/>
          </w:rPr>
          <m:t xml:space="preserve"> × </m:t>
        </m:r>
        <m:rad>
          <m:radPr>
            <m:degHide m:val="1"/>
            <m:ctrlPr>
              <w:rPr>
                <w:rFonts w:ascii="Cambria Math" w:eastAsia="Calibri" w:hAnsi="Cambria Math" w:cs="Times New Roman"/>
                <w:i/>
              </w:rPr>
            </m:ctrlPr>
          </m:radPr>
          <m:deg/>
          <m:e>
            <m:sSup>
              <m:sSupPr>
                <m:ctrlPr>
                  <w:rPr>
                    <w:rFonts w:ascii="Cambria Math" w:eastAsia="Calibri" w:hAnsi="Cambria Math" w:cs="Times New Roman"/>
                    <w:i/>
                  </w:rPr>
                </m:ctrlPr>
              </m:sSupPr>
              <m:e>
                <m:r>
                  <w:rPr>
                    <w:rFonts w:ascii="Cambria Math" w:eastAsia="Calibri" w:hAnsi="Cambria Math" w:cs="Times New Roman"/>
                  </w:rPr>
                  <m:t>(CVR × Ca)</m:t>
                </m:r>
              </m:e>
              <m:sup>
                <m:r>
                  <w:rPr>
                    <w:rFonts w:ascii="Cambria Math" w:eastAsia="Calibri" w:hAnsi="Cambria Math" w:cs="Times New Roman"/>
                  </w:rPr>
                  <m:t>2</m:t>
                </m:r>
              </m:sup>
            </m:sSup>
            <m:r>
              <w:rPr>
                <w:rFonts w:ascii="Cambria Math" w:eastAsia="Calibri" w:hAnsi="Cambria Math" w:cs="Times New Roman"/>
              </w:rPr>
              <m:t xml:space="preserve"> × </m:t>
            </m:r>
            <m:sSup>
              <m:sSupPr>
                <m:ctrlPr>
                  <w:rPr>
                    <w:rFonts w:ascii="Cambria Math" w:eastAsia="Calibri" w:hAnsi="Cambria Math" w:cs="Times New Roman"/>
                    <w:i/>
                  </w:rPr>
                </m:ctrlPr>
              </m:sSupPr>
              <m:e>
                <m:r>
                  <w:rPr>
                    <w:rFonts w:ascii="Cambria Math" w:eastAsia="Calibri" w:hAnsi="Cambria Math" w:cs="Times New Roman"/>
                  </w:rPr>
                  <m:t>HR</m:t>
                </m:r>
              </m:e>
              <m:sup>
                <m:r>
                  <w:rPr>
                    <w:rFonts w:ascii="Cambria Math" w:eastAsia="Calibri" w:hAnsi="Cambria Math" w:cs="Times New Roman"/>
                  </w:rPr>
                  <m:t>2</m:t>
                </m:r>
              </m:sup>
            </m:sSup>
            <m:r>
              <w:rPr>
                <w:rFonts w:ascii="Cambria Math" w:eastAsia="Calibri" w:hAnsi="Cambria Math" w:cs="Times New Roman"/>
              </w:rPr>
              <m:t>× (</m:t>
            </m:r>
            <m:sSup>
              <m:sSupPr>
                <m:ctrlPr>
                  <w:rPr>
                    <w:rFonts w:ascii="Cambria Math" w:eastAsia="Calibri" w:hAnsi="Cambria Math" w:cs="Times New Roman"/>
                    <w:i/>
                  </w:rPr>
                </m:ctrlPr>
              </m:sSupPr>
              <m:e>
                <m:r>
                  <w:rPr>
                    <w:rFonts w:ascii="Cambria Math" w:eastAsia="Calibri" w:hAnsi="Cambria Math" w:cs="Times New Roman"/>
                  </w:rPr>
                  <m:t>2π)</m:t>
                </m:r>
              </m:e>
              <m:sup>
                <m:r>
                  <w:rPr>
                    <w:rFonts w:ascii="Cambria Math" w:eastAsia="Calibri" w:hAnsi="Cambria Math" w:cs="Times New Roman"/>
                  </w:rPr>
                  <m:t>2</m:t>
                </m:r>
              </m:sup>
            </m:sSup>
            <m:r>
              <w:rPr>
                <w:rFonts w:ascii="Cambria Math" w:eastAsia="Calibri" w:hAnsi="Cambria Math" w:cs="Times New Roman"/>
              </w:rPr>
              <m:t>+1</m:t>
            </m:r>
          </m:e>
        </m:rad>
      </m:oMath>
      <w:r>
        <w:rPr>
          <w:rFonts w:ascii="Calibri" w:eastAsia="Calibri" w:hAnsi="Calibri" w:cs="Times New Roman"/>
        </w:rPr>
        <w:t xml:space="preserve"> </w:t>
      </w:r>
      <w:r>
        <w:rPr>
          <w:rFonts w:ascii="Calibri" w:eastAsia="Calibri" w:hAnsi="Calibri" w:cs="Times New Roman"/>
        </w:rPr>
        <w:tab/>
        <w:t xml:space="preserve">              [</w:t>
      </w:r>
      <w:r w:rsidR="00635FF3">
        <w:rPr>
          <w:rFonts w:ascii="Calibri" w:eastAsia="Calibri" w:hAnsi="Calibri" w:cs="Times New Roman"/>
        </w:rPr>
        <w:t>4</w:t>
      </w:r>
      <w:r>
        <w:rPr>
          <w:rFonts w:ascii="Calibri" w:eastAsia="Calibri" w:hAnsi="Calibri" w:cs="Times New Roman"/>
        </w:rPr>
        <w:t>]</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14:paraId="1DAD2AEE" w14:textId="77777777" w:rsidR="0044666C" w:rsidRDefault="0044666C" w:rsidP="00020ABC">
      <w:pPr>
        <w:spacing w:line="480" w:lineRule="auto"/>
        <w:rPr>
          <w:rFonts w:ascii="Calibri" w:eastAsia="Calibri" w:hAnsi="Calibri" w:cs="Times New Roman"/>
        </w:rPr>
      </w:pPr>
    </w:p>
    <w:p w14:paraId="2905DA3E" w14:textId="7EA5DBDE" w:rsidR="0044666C" w:rsidRPr="0044666C" w:rsidRDefault="0044666C" w:rsidP="00020ABC">
      <w:pPr>
        <w:spacing w:line="480" w:lineRule="auto"/>
        <w:rPr>
          <w:rFonts w:ascii="Calibri" w:eastAsia="Calibri" w:hAnsi="Calibri" w:cs="Times New Roman"/>
        </w:rPr>
      </w:pPr>
      <w:r w:rsidRPr="0044666C">
        <w:rPr>
          <w:rFonts w:ascii="Calibri" w:eastAsia="Calibri" w:hAnsi="Calibri" w:cs="Times New Roman"/>
        </w:rPr>
        <w:t xml:space="preserve">where </w:t>
      </w:r>
      <w:r w:rsidRPr="0044666C">
        <w:rPr>
          <w:rFonts w:ascii="Calibri" w:eastAsia="Calibri" w:hAnsi="Calibri" w:cs="Times New Roman"/>
          <w:i/>
        </w:rPr>
        <w:t>A</w:t>
      </w:r>
      <w:r w:rsidRPr="0044666C">
        <w:rPr>
          <w:rFonts w:ascii="Calibri" w:eastAsia="Calibri" w:hAnsi="Calibri" w:cs="Times New Roman"/>
          <w:i/>
          <w:vertAlign w:val="subscript"/>
        </w:rPr>
        <w:t>1</w:t>
      </w:r>
      <w:r w:rsidRPr="0044666C">
        <w:rPr>
          <w:rFonts w:ascii="Calibri" w:eastAsia="Calibri" w:hAnsi="Calibri" w:cs="Times New Roman"/>
        </w:rPr>
        <w:t xml:space="preserve"> represents the fundamental harmonic of </w:t>
      </w:r>
      <w:r w:rsidR="006B4CA4">
        <w:rPr>
          <w:rFonts w:ascii="Calibri" w:eastAsia="Calibri" w:hAnsi="Calibri" w:cs="Times New Roman"/>
        </w:rPr>
        <w:t xml:space="preserve">the </w:t>
      </w:r>
      <w:r w:rsidRPr="0044666C">
        <w:rPr>
          <w:rFonts w:ascii="Calibri" w:eastAsia="Calibri" w:hAnsi="Calibri" w:cs="Times New Roman"/>
        </w:rPr>
        <w:t>ABP</w:t>
      </w:r>
      <w:r w:rsidR="006B4CA4">
        <w:rPr>
          <w:rFonts w:ascii="Calibri" w:eastAsia="Calibri" w:hAnsi="Calibri" w:cs="Times New Roman"/>
        </w:rPr>
        <w:t xml:space="preserve"> pulse waveform</w:t>
      </w:r>
      <w:r w:rsidR="008931B8">
        <w:rPr>
          <w:rFonts w:ascii="Calibri" w:eastAsia="Calibri" w:hAnsi="Calibri" w:cs="Times New Roman"/>
        </w:rPr>
        <w:t xml:space="preserve"> determined using Fourier transform</w:t>
      </w:r>
      <w:r w:rsidRPr="0044666C">
        <w:rPr>
          <w:rFonts w:ascii="Calibri" w:eastAsia="Calibri" w:hAnsi="Calibri" w:cs="Times New Roman"/>
        </w:rPr>
        <w:t>,</w:t>
      </w:r>
      <w:r>
        <w:rPr>
          <w:rFonts w:ascii="Calibri" w:eastAsia="Calibri" w:hAnsi="Calibri" w:cs="Times New Roman"/>
        </w:rPr>
        <w:t xml:space="preserve"> </w:t>
      </w:r>
      <w:r w:rsidRPr="0044666C">
        <w:rPr>
          <w:rFonts w:ascii="Calibri" w:eastAsia="Calibri" w:hAnsi="Calibri" w:cs="Times New Roman"/>
          <w:i/>
        </w:rPr>
        <w:t>Ca</w:t>
      </w:r>
      <w:r>
        <w:rPr>
          <w:rFonts w:ascii="Calibri" w:eastAsia="Calibri" w:hAnsi="Calibri" w:cs="Times New Roman"/>
        </w:rPr>
        <w:t xml:space="preserve"> the cerebral arterial compliance, </w:t>
      </w:r>
      <w:r w:rsidRPr="0044666C">
        <w:rPr>
          <w:rFonts w:ascii="Calibri" w:eastAsia="Calibri" w:hAnsi="Calibri" w:cs="Times New Roman"/>
          <w:i/>
        </w:rPr>
        <w:t>CPP</w:t>
      </w:r>
      <w:r w:rsidRPr="0044666C">
        <w:rPr>
          <w:rFonts w:ascii="Calibri" w:eastAsia="Calibri" w:hAnsi="Calibri" w:cs="Times New Roman"/>
          <w:i/>
          <w:vertAlign w:val="subscript"/>
        </w:rPr>
        <w:t>m</w:t>
      </w:r>
      <w:r w:rsidRPr="0044666C">
        <w:rPr>
          <w:rFonts w:ascii="Calibri" w:eastAsia="Calibri" w:hAnsi="Calibri" w:cs="Times New Roman"/>
        </w:rPr>
        <w:t xml:space="preserve"> the calculated mean of recorded CPP values, </w:t>
      </w:r>
      <w:r w:rsidRPr="0044666C">
        <w:rPr>
          <w:rFonts w:ascii="Calibri" w:eastAsia="Calibri" w:hAnsi="Calibri" w:cs="Times New Roman"/>
          <w:i/>
        </w:rPr>
        <w:t>CVR</w:t>
      </w:r>
      <w:r w:rsidRPr="0044666C">
        <w:rPr>
          <w:rFonts w:ascii="Calibri" w:eastAsia="Calibri" w:hAnsi="Calibri" w:cs="Times New Roman"/>
        </w:rPr>
        <w:t xml:space="preserve"> the cerebrovascular resistance, and </w:t>
      </w:r>
      <w:r w:rsidRPr="0044666C">
        <w:rPr>
          <w:rFonts w:ascii="Calibri" w:eastAsia="Calibri" w:hAnsi="Calibri" w:cs="Times New Roman"/>
          <w:i/>
        </w:rPr>
        <w:t>HR</w:t>
      </w:r>
      <w:r w:rsidRPr="0044666C">
        <w:rPr>
          <w:rFonts w:ascii="Calibri" w:eastAsia="Calibri" w:hAnsi="Calibri" w:cs="Times New Roman"/>
        </w:rPr>
        <w:t xml:space="preserve"> the heart rate</w:t>
      </w:r>
      <w:r>
        <w:rPr>
          <w:rFonts w:ascii="Calibri" w:eastAsia="Calibri" w:hAnsi="Calibri" w:cs="Times New Roman"/>
        </w:rPr>
        <w:t xml:space="preserve"> calculated in Hz</w:t>
      </w:r>
      <w:r w:rsidR="003411DF">
        <w:rPr>
          <w:rFonts w:ascii="Calibri" w:eastAsia="Calibri" w:hAnsi="Calibri" w:cs="Times New Roman"/>
          <w:vertAlign w:val="superscript"/>
        </w:rPr>
        <w:t>25</w:t>
      </w:r>
      <w:r w:rsidRPr="0044666C">
        <w:rPr>
          <w:rFonts w:ascii="Calibri" w:eastAsia="Calibri" w:hAnsi="Calibri" w:cs="Times New Roman"/>
        </w:rPr>
        <w:t>.</w:t>
      </w:r>
      <w:r w:rsidR="00464510">
        <w:rPr>
          <w:rFonts w:ascii="Calibri" w:eastAsia="Calibri" w:hAnsi="Calibri" w:cs="Times New Roman"/>
        </w:rPr>
        <w:t xml:space="preserve"> All parameters were calculated as averages over a 10-second time window.</w:t>
      </w:r>
    </w:p>
    <w:p w14:paraId="47242F25" w14:textId="77777777" w:rsidR="003B582B" w:rsidRDefault="003B582B" w:rsidP="00020ABC">
      <w:pPr>
        <w:spacing w:line="480" w:lineRule="auto"/>
        <w:rPr>
          <w:rFonts w:ascii="Calibri" w:eastAsia="Calibri" w:hAnsi="Calibri" w:cs="Times New Roman"/>
          <w:b/>
          <w:i/>
        </w:rPr>
      </w:pPr>
    </w:p>
    <w:p w14:paraId="049DB17D" w14:textId="59920729" w:rsidR="00080A3B" w:rsidRPr="00FB69EA" w:rsidRDefault="0051023B" w:rsidP="00020ABC">
      <w:pPr>
        <w:spacing w:line="480" w:lineRule="auto"/>
        <w:rPr>
          <w:rFonts w:ascii="Calibri" w:eastAsia="Calibri" w:hAnsi="Calibri" w:cs="Times New Roman"/>
        </w:rPr>
      </w:pPr>
      <w:r>
        <w:rPr>
          <w:rFonts w:ascii="Calibri" w:eastAsia="Calibri" w:hAnsi="Calibri" w:cs="Times New Roman"/>
        </w:rPr>
        <w:tab/>
      </w:r>
      <w:r w:rsidR="002D0504">
        <w:rPr>
          <w:rFonts w:ascii="Calibri" w:eastAsia="Calibri" w:hAnsi="Calibri" w:cs="Times New Roman"/>
        </w:rPr>
        <w:t>Within ICM+</w:t>
      </w:r>
      <w:r w:rsidR="002109EF" w:rsidRPr="002109EF">
        <w:rPr>
          <w:rFonts w:ascii="Calibri" w:eastAsia="Calibri" w:hAnsi="Calibri" w:cs="Times New Roman"/>
          <w:vertAlign w:val="superscript"/>
        </w:rPr>
        <w:t>TM</w:t>
      </w:r>
      <w:r w:rsidR="002D0504">
        <w:rPr>
          <w:rFonts w:ascii="Calibri" w:eastAsia="Calibri" w:hAnsi="Calibri" w:cs="Times New Roman"/>
        </w:rPr>
        <w:t xml:space="preserve">, </w:t>
      </w:r>
      <w:r w:rsidR="005C4EF6">
        <w:rPr>
          <w:rFonts w:ascii="Calibri" w:eastAsia="Calibri" w:hAnsi="Calibri" w:cs="Times New Roman"/>
        </w:rPr>
        <w:t>virtual signal</w:t>
      </w:r>
      <w:r w:rsidR="00FB69EA">
        <w:rPr>
          <w:rFonts w:ascii="Calibri" w:eastAsia="Calibri" w:hAnsi="Calibri" w:cs="Times New Roman"/>
        </w:rPr>
        <w:t xml:space="preserve">s </w:t>
      </w:r>
      <w:r w:rsidR="001F10EC">
        <w:rPr>
          <w:rFonts w:ascii="Calibri" w:eastAsia="Calibri" w:hAnsi="Calibri" w:cs="Times New Roman"/>
        </w:rPr>
        <w:t xml:space="preserve">from the </w:t>
      </w:r>
      <w:r w:rsidR="002D0504">
        <w:rPr>
          <w:rFonts w:ascii="Calibri" w:eastAsia="Calibri" w:hAnsi="Calibri" w:cs="Times New Roman"/>
        </w:rPr>
        <w:t>invasive monitoring (ABP and ICP)</w:t>
      </w:r>
      <w:r w:rsidR="001F10EC">
        <w:rPr>
          <w:rFonts w:ascii="Calibri" w:eastAsia="Calibri" w:hAnsi="Calibri" w:cs="Times New Roman"/>
        </w:rPr>
        <w:t xml:space="preserve"> devices</w:t>
      </w:r>
      <w:r w:rsidR="002D0504">
        <w:rPr>
          <w:rFonts w:ascii="Calibri" w:eastAsia="Calibri" w:hAnsi="Calibri" w:cs="Times New Roman"/>
        </w:rPr>
        <w:t xml:space="preserve"> and </w:t>
      </w:r>
      <w:r w:rsidR="001F10EC">
        <w:rPr>
          <w:rFonts w:ascii="Calibri" w:eastAsia="Calibri" w:hAnsi="Calibri" w:cs="Times New Roman"/>
        </w:rPr>
        <w:t xml:space="preserve">from </w:t>
      </w:r>
      <w:r w:rsidR="002D0504">
        <w:rPr>
          <w:rFonts w:ascii="Calibri" w:eastAsia="Calibri" w:hAnsi="Calibri" w:cs="Times New Roman"/>
        </w:rPr>
        <w:t xml:space="preserve">TCD </w:t>
      </w:r>
      <w:r w:rsidR="003B3480">
        <w:rPr>
          <w:rFonts w:ascii="Calibri" w:eastAsia="Calibri" w:hAnsi="Calibri" w:cs="Times New Roman"/>
        </w:rPr>
        <w:t xml:space="preserve">blood flow velocity monitoring </w:t>
      </w:r>
      <w:r w:rsidR="001F10EC">
        <w:rPr>
          <w:rFonts w:ascii="Calibri" w:eastAsia="Calibri" w:hAnsi="Calibri" w:cs="Times New Roman"/>
        </w:rPr>
        <w:t>(FV) w</w:t>
      </w:r>
      <w:r w:rsidR="003116A5">
        <w:rPr>
          <w:rFonts w:ascii="Calibri" w:eastAsia="Calibri" w:hAnsi="Calibri" w:cs="Times New Roman"/>
        </w:rPr>
        <w:t>ere</w:t>
      </w:r>
      <w:r w:rsidR="00447770">
        <w:rPr>
          <w:rFonts w:ascii="Calibri" w:eastAsia="Calibri" w:hAnsi="Calibri" w:cs="Times New Roman"/>
        </w:rPr>
        <w:t xml:space="preserve"> </w:t>
      </w:r>
      <w:r w:rsidR="001F10EC">
        <w:rPr>
          <w:rFonts w:ascii="Calibri" w:eastAsia="Calibri" w:hAnsi="Calibri" w:cs="Times New Roman"/>
        </w:rPr>
        <w:t xml:space="preserve">sampled at a frequency of 50 Hz to form the </w:t>
      </w:r>
      <w:r w:rsidR="008D2BB7">
        <w:rPr>
          <w:rFonts w:ascii="Calibri" w:eastAsia="Calibri" w:hAnsi="Calibri" w:cs="Times New Roman"/>
        </w:rPr>
        <w:t>backbone</w:t>
      </w:r>
      <w:r w:rsidR="002D0504">
        <w:rPr>
          <w:rFonts w:ascii="Calibri" w:eastAsia="Calibri" w:hAnsi="Calibri" w:cs="Times New Roman"/>
        </w:rPr>
        <w:t>s</w:t>
      </w:r>
      <w:r w:rsidR="008D2BB7">
        <w:rPr>
          <w:rFonts w:ascii="Calibri" w:eastAsia="Calibri" w:hAnsi="Calibri" w:cs="Times New Roman"/>
        </w:rPr>
        <w:t xml:space="preserve"> of the </w:t>
      </w:r>
      <w:r w:rsidR="00FB69EA">
        <w:rPr>
          <w:rFonts w:ascii="Calibri" w:eastAsia="Calibri" w:hAnsi="Calibri" w:cs="Times New Roman"/>
        </w:rPr>
        <w:lastRenderedPageBreak/>
        <w:t xml:space="preserve">three </w:t>
      </w:r>
      <w:r w:rsidR="008D2BB7">
        <w:rPr>
          <w:rFonts w:ascii="Calibri" w:eastAsia="Calibri" w:hAnsi="Calibri" w:cs="Times New Roman"/>
        </w:rPr>
        <w:t>C</w:t>
      </w:r>
      <w:r w:rsidR="00872AC2">
        <w:rPr>
          <w:rFonts w:ascii="Calibri" w:eastAsia="Calibri" w:hAnsi="Calibri" w:cs="Times New Roman"/>
        </w:rPr>
        <w:t>a</w:t>
      </w:r>
      <w:r w:rsidR="008D2BB7">
        <w:rPr>
          <w:rFonts w:ascii="Calibri" w:eastAsia="Calibri" w:hAnsi="Calibri" w:cs="Times New Roman"/>
        </w:rPr>
        <w:t>BV</w:t>
      </w:r>
      <w:r w:rsidR="00491F95">
        <w:rPr>
          <w:rFonts w:ascii="Calibri" w:eastAsia="Calibri" w:hAnsi="Calibri" w:cs="Times New Roman"/>
        </w:rPr>
        <w:t xml:space="preserve"> change</w:t>
      </w:r>
      <w:r w:rsidR="008D2BB7">
        <w:rPr>
          <w:rFonts w:ascii="Calibri" w:eastAsia="Calibri" w:hAnsi="Calibri" w:cs="Times New Roman"/>
        </w:rPr>
        <w:t xml:space="preserve"> </w:t>
      </w:r>
      <w:r w:rsidR="002D0504">
        <w:rPr>
          <w:rFonts w:ascii="Calibri" w:eastAsia="Calibri" w:hAnsi="Calibri" w:cs="Times New Roman"/>
        </w:rPr>
        <w:t xml:space="preserve">approximation </w:t>
      </w:r>
      <w:r w:rsidR="008D2BB7">
        <w:rPr>
          <w:rFonts w:ascii="Calibri" w:eastAsia="Calibri" w:hAnsi="Calibri" w:cs="Times New Roman"/>
        </w:rPr>
        <w:t>models</w:t>
      </w:r>
      <w:r w:rsidR="002D0504">
        <w:rPr>
          <w:rFonts w:ascii="Calibri" w:eastAsia="Calibri" w:hAnsi="Calibri" w:cs="Times New Roman"/>
        </w:rPr>
        <w:t>.</w:t>
      </w:r>
      <w:r w:rsidR="005C4EF6">
        <w:rPr>
          <w:rFonts w:ascii="Calibri" w:eastAsia="Calibri" w:hAnsi="Calibri" w:cs="Times New Roman"/>
        </w:rPr>
        <w:t xml:space="preserve"> </w:t>
      </w:r>
      <w:r w:rsidR="00FB69EA">
        <w:rPr>
          <w:rFonts w:ascii="Calibri" w:eastAsia="Calibri" w:hAnsi="Calibri" w:cs="Times New Roman"/>
        </w:rPr>
        <w:t>A</w:t>
      </w:r>
      <w:r w:rsidR="00B033AC">
        <w:rPr>
          <w:rFonts w:ascii="Calibri" w:eastAsia="Calibri" w:hAnsi="Calibri" w:cs="Times New Roman"/>
        </w:rPr>
        <w:t xml:space="preserve"> continuous flow </w:t>
      </w:r>
      <w:r w:rsidR="00FB69EA">
        <w:rPr>
          <w:rFonts w:ascii="Calibri" w:eastAsia="Calibri" w:hAnsi="Calibri" w:cs="Times New Roman"/>
        </w:rPr>
        <w:t xml:space="preserve">forward </w:t>
      </w:r>
      <w:r w:rsidR="00B033AC">
        <w:rPr>
          <w:rFonts w:ascii="Calibri" w:eastAsia="Calibri" w:hAnsi="Calibri" w:cs="Times New Roman"/>
        </w:rPr>
        <w:t>model (CFF)</w:t>
      </w:r>
      <w:r w:rsidR="00B716EA" w:rsidRPr="004D197F">
        <w:rPr>
          <w:rFonts w:ascii="Calibri" w:eastAsia="Calibri" w:hAnsi="Calibri" w:cs="Times New Roman"/>
          <w:vertAlign w:val="superscript"/>
        </w:rPr>
        <w:t xml:space="preserve"> </w:t>
      </w:r>
      <w:r w:rsidR="004E51B4" w:rsidRPr="004D197F">
        <w:rPr>
          <w:rFonts w:ascii="Calibri" w:eastAsia="Calibri" w:hAnsi="Calibri" w:cs="Times New Roman"/>
          <w:vertAlign w:val="superscript"/>
        </w:rPr>
        <w:fldChar w:fldCharType="begin" w:fldLock="1"/>
      </w:r>
      <w:r w:rsidR="00372DE7">
        <w:rPr>
          <w:rFonts w:ascii="Calibri" w:eastAsia="Calibri" w:hAnsi="Calibri" w:cs="Times New Roman"/>
          <w:vertAlign w:val="superscript"/>
        </w:rPr>
        <w:instrText>ADDIN CSL_CITATION {"citationItems":[{"id":"ITEM-1","itemData":{"author":[{"dropping-particle":"","family":"Uryga A","given":"","non-dropping-particle":"","parse-names":false,"suffix":""},{"dropping-particle":"","family":"M","given":"Kasprowicz","non-dropping-particle":"","parse-names":false,"suffix":""},{"dropping-particle":"","family":"R","given":"Diehl","non-dropping-particle":"","parse-names":false,"suffix":""},{"dropping-particle":"","family":"K","given":"Kaczmarska","non-dropping-particle":"","parse-names":false,"suffix":""},{"dropping-particle":"","family":"Calviello L","given":"Czosnyka M.","non-dropping-particle":"","parse-names":false,"suffix":""}],"container-title":"Ultrasound in Medicine &amp; Biology.","id":"ITEM-1","issue":"In Review","issued":{"date-parts":[["2017"]]},"title":"Assessment of cerebral hemodynamic parameters using pulsatile versus non-pulsatile blood outflow model.","type":"article-journal"},"uris":["http://www.mendeley.com/documents/?uuid=d57068ca-a79a-4d12-8a00-98a8decb029b"]},{"id":"ITEM-2","itemData":{"abstract":"The magnitude of the pulsatile intracranial pressure variations (CSF pulse pressure) is determined by the elastance of the craniospinal system and by the magnitude of the pulsatile variations in cerebral blood volume (CBV). The pulsatile change in CBV is, among other factors, determined by the com-pliance of the cerebral vascular bed which, in its turn, is dependent on the cerebral vasomotor tone. This concept has led the authors to devise a method for the assessment of both the elastance and the state of the cerebral vasomotor tone based on the rela-tionship between CSF pulse pressure and intracran-ial pressure. This relationship was found to be of a linear nature both in clinical patients and in experi-mental animals. A significant, positive correlation was found between the slope of this relationship and the value of the craniospinal volume-pressure rela-tionship: the elastance coefficient. During elevation of the intracranial pressure a breakpoint was ob-served in the relationship between CSF pulse pressure and the intracranial pressure above which the pulse pressure increased more rapidly. The elast-ance remained constant above this breakpoint. The same phenomenon was observed during plateau waves in clinical patients. Induced changes in sys-temic arterial pressure produced opposite effects on CSF pulse pressure and elastance coefficient. In these cases the discrepancy between pulse pressure and elastance was attributed to the pulsatile changes in CBV and this could be verified by means of electromagnetic flowmetry. The advantage of this method is that all the information is contained within the intracranial pressure signal itself, from which it can be extracted by simple means without the use of invasive tests.","author":[{"dropping-particle":"","family":"Avezaat","given":"Cees J J","non-dropping-particle":"","parse-names":false,"suffix":""},{"dropping-particle":"","family":"Eijndhoven","given":"John H M","non-dropping-particle":"Van","parse-names":false,"suffix":""}],"container-title":"Neurosurg. Rev","id":"ITEM-2","issued":{"date-parts":[["1986"]]},"page":"113-120","title":"The role of the pulsatile pressure variations in intracranial pressure monitoring","type":"article-journal","volume":"9"},"uris":["http://www.mendeley.com/documents/?uuid=b0018f8e-2a9f-35cf-8a9a-67b912293ceb"]},{"id":"ITEM-3","itemData":{"ISBN":"0065-1419 (Print)\\n0065-1419 (Linking)","ISSN":"0065-1419","PMID":"9779149","abstract":"OBJECTIVE: Cerebrovascular vasomotor reactivity reflects changes in smooth muscle tone in the arterial wall in response to changes in transmural pressure or concentration of carbon dioxide in blood. We have investigated whether slow waves in ABP and ICP may be used to derive an index which reflects reactivity of vessels to changes in arterial blood pressure. METHODS: A method for the continuous monitoring of the association between slow spontaneous waves in ICP and AP has been adopted in a group of 98 head injured patients. ABP, ICP and transcranial Doppler blood flow velocity (FV) in the middle cerebral artery was recorded daily (20 to 120 minutes time periods). A Pressure-Reactivity Index (PRx) was calculated as a moving correlation coefficient between 40 consecutive samples of values for ICP and ABP averaged over 5 seconds. A moving correlation coefficient between spontaneous fluctuations of mean FV and CPP (Mx), which was previously reported to describe cerebral blood flow autoregulation, was also calculated. In an additional 25 patients, PRx was calculated and recorded continuously along with mean ICP, ABP and parameters describing ICP waveform. RESULTS: A positive PRx correlated with high ICP (r = 0.366; p &lt; 0.001), low admission GCS (r = 0.29; p &lt; 0.01), and poor outcome at 6 months after injury (r = 0.48; p &lt; 0.00001). During the first two days following injury, PRx was positive (p &lt; 0.05) in patients with unfavourable outcome. The correlation between PRx and Mx (r = 0.63) was highly significant (p &lt; 0.000001). Continuous recordings demonstrated that PRx was able to indicate individual thresholds of vascular reactivity for CPP, ICP, and ventilation parameters. CONCLUSION: Computer analysis of slow waves in ABP and ICP is able to provide a continuous index of cerebrovascular reactivity to changes in arterial pressure, which is of prognostic significance.","author":[{"dropping-particle":"","family":"Czosnyka","given":"M","non-dropping-particle":"","parse-names":false,"suffix":""},{"dropping-particle":"","family":"Smielewski","given":"P","non-dropping-particle":"","parse-names":false,"suffix":""},{"dropping-particle":"","family":"Kirkpatrick","given":"P","non-dropping-particle":"","parse-names":false,"suffix":""},{"dropping-particle":"","family":"Piechnik","given":"S","non-dropping-particle":"","parse-names":false,"suffix":""},{"dropping-particle":"","family":"Laing","given":"R","non-dropping-particle":"","parse-names":false,"suffix":""},{"dropping-particle":"","family":"Pickard","given":"J D","non-dropping-particle":"","parse-names":false,"suffix":""}],"container-title":"Acta neurochirurgica. Supplement","id":"ITEM-3","issued":{"date-parts":[["1998"]]},"page":"74-77","title":"Continuous monitoring of cerebrovascular pressure-reactivity in head injury.","type":"article-journal","volume":"71"},"uris":["http://www.mendeley.com/documents/?uuid=add6240e-fb78-42dc-b56b-5444575b1e04"]},{"id":"ITEM-4","itemData":{"DOI":"10.1007/BF01411173","ISBN":"0001-6268","ISSN":"0001-6268","PMID":"8800328","abstract":"The authors have investigated the relationships between the amplitude of the ICP pulse wave, the mean values of ICP and CPP, and the outcome of 56 head injured ventilated patients. The ICP was monitored continuously using a Camino transducer (35 patients) or subdural catheter (21 patients). The mean Glasgow Coma Score was 6 (range 3-13; 5 patients had a GCS &gt; 8 after resuscitation). Patients were grouped according to their Glasgow Outcome Score assessed at 12 months after injury. The amplitude of ICP pulse waveform was assessed using the fundamental harmonic of the pulse waveform (AMP) to avoid distortion caused by different frequency responses of the pressure transducers used in the study. Statistical analysis revealed that in patients with fatal outcome the ICP pulse amplitude increased when the mean ICP increased to 25 mmHg and then began to decrease. The upper breakpoint of the AMP-ICP relationship was not present in patients with good/moderate outcome. The moving correlation coefficient between the fundamental harmonic of ICP pulse wave and the mean ICP (RAP: R-symbol of correlation between A-amplitude and P-pressure) was introduced to describe the time-dependent changes in correlation between amplitude and mean ICP. The RAP was significantly lower in patients who died or remained in the vegetative state. In 7 patients who died from uncontrollable intracranial hypertension RAP was oscillating or decreased to 0 or negative values well before brain-stem herniation. The combination of an ICP above 20 mmHg for a period longer than 6 hours with low correlation between the amplitude and pressure (RAP &lt; 0.5) was described as an predictive index of an unfavourable outcome.","author":[{"dropping-particle":"","family":"Czosnyka","given":"M.","non-dropping-particle":"","parse-names":false,"suffix":""},{"dropping-particle":"","family":"Guazzo","given":"E.","non-dropping-particle":"","parse-names":false,"suffix":""},{"dropping-particle":"","family":"Whitehouse","given":"M.","non-dropping-particle":"","parse-names":false,"suffix":""},{"dropping-particle":"","family":"Smielewski","given":"P.","non-dropping-particle":"","parse-names":false,"suffix":""},{"dropping-particle":"","family":"Czosnyka","given":"Z.","non-dropping-particle":"","parse-names":false,"suffix":""},{"dropping-particle":"","family":"Kirkpatrick","given":"P.","non-dropping-particle":"","parse-names":false,"suffix":""},{"dropping-particle":"","family":"Piechnik","given":"S.","non-dropping-particle":"","parse-names":false,"suffix":""},{"dropping-particle":"","family":"Pickard","given":"J. D.","non-dropping-particle":"","parse-names":false,"suffix":""}],"container-title":"Acta Neurochirurgica","id":"ITEM-4","issue":"5","issued":{"date-parts":[["1996","5"]]},"page":"531-542","title":"Significance of intracranial pressure waveform analysis after head injury","type":"article-journal","volume":"138"},"uris":["http://www.mendeley.com/documents/?uuid=3754f6c7-e4b9-4798-b6cc-aadd3986c474"]}],"mendeley":{"formattedCitation":"(5,7,8,25)","manualFormatting":"5,7,8,27","plainTextFormattedCitation":"(5,7,8,25)","previouslyFormattedCitation":"(5,7,8,25)"},"properties":{"noteIndex":0},"schema":"https://github.com/citation-style-language/schema/raw/master/csl-citation.json"}</w:instrText>
      </w:r>
      <w:r w:rsidR="004E51B4" w:rsidRPr="004D197F">
        <w:rPr>
          <w:rFonts w:ascii="Calibri" w:eastAsia="Calibri" w:hAnsi="Calibri" w:cs="Times New Roman"/>
          <w:vertAlign w:val="superscript"/>
        </w:rPr>
        <w:fldChar w:fldCharType="separate"/>
      </w:r>
      <w:r w:rsidR="00E42FFB" w:rsidRPr="004D197F">
        <w:rPr>
          <w:rFonts w:ascii="Calibri" w:eastAsia="Calibri" w:hAnsi="Calibri" w:cs="Times New Roman"/>
          <w:noProof/>
          <w:vertAlign w:val="superscript"/>
        </w:rPr>
        <w:t>5,7,</w:t>
      </w:r>
      <w:r w:rsidR="00B716EA" w:rsidRPr="00B716EA">
        <w:rPr>
          <w:rFonts w:ascii="Calibri" w:eastAsia="Calibri" w:hAnsi="Calibri" w:cs="Times New Roman"/>
          <w:noProof/>
          <w:vertAlign w:val="superscript"/>
        </w:rPr>
        <w:fldChar w:fldCharType="begin" w:fldLock="1"/>
      </w:r>
      <w:r w:rsidR="00372DE7">
        <w:rPr>
          <w:rFonts w:ascii="Calibri" w:eastAsia="Calibri" w:hAnsi="Calibri" w:cs="Times New Roman"/>
          <w:noProof/>
          <w:vertAlign w:val="superscript"/>
        </w:rPr>
        <w:instrText>ADDIN CSL_CITATION {"citationItems":[{"id":"ITEM-1","itemData":{"abstract":"The magnitude of the pulsatile intracranial pressure variations (CSF pulse pressure) is determined by the elastance of the craniospinal system and by the magnitude of the pulsatile variations in cerebral blood volume (CBV). The pulsatile change in CBV is, among other factors, determined by the com-pliance of the cerebral vascular bed which, in its turn, is dependent on the cerebral vasomotor tone. This concept has led the authors to devise a method for the assessment of both the elastance and the state of the cerebral vasomotor tone based on the rela-tionship between CSF pulse pressure and intracran-ial pressure. This relationship was found to be of a linear nature both in clinical patients and in experi-mental animals. A significant, positive correlation was found between the slope of this relationship and the value of the craniospinal volume-pressure rela-tionship: the elastance coefficient. During elevation of the intracranial pressure a breakpoint was ob-served in the relationship between CSF pulse pressure and the intracranial pressure above which the pulse pressure increased more rapidly. The elast-ance remained constant above this breakpoint. The same phenomenon was observed during plateau waves in clinical patients. Induced changes in sys-temic arterial pressure produced opposite effects on CSF pulse pressure and elastance coefficient. In these cases the discrepancy between pulse pressure and elastance was attributed to the pulsatile changes in CBV and this could be verified by means of electromagnetic flowmetry. The advantage of this method is that all the information is contained within the intracranial pressure signal itself, from which it can be extracted by simple means without the use of invasive tests.","author":[{"dropping-particle":"","family":"Avezaat","given":"Cees J J","non-dropping-particle":"","parse-names":false,"suffix":""},{"dropping-particle":"","family":"Eijndhoven","given":"John H M","non-dropping-particle":"Van","parse-names":false,"suffix":""}],"container-title":"Neurosurg. Rev","id":"ITEM-1","issued":{"date-parts":[["1986"]]},"page":"113-120","title":"The role of the pulsatile pressure variations in intracranial pressure monitoring","type":"article-journal","volume":"9"},"uris":["http://www.mendeley.com/documents/?uuid=b0018f8e-2a9f-35cf-8a9a-67b912293ceb"]},{"id":"ITEM-2","itemData":{"DOI":"10.1371/journal.pone.0063069","ISBN":"1932-6203 (Electronic)\\r1932-6203 (Linking)","ISSN":"19326203","PMID":"23700412","abstract":"BACKGROUND: Despite widespread use in sick infants, it is still debated whether vasopressor-inotropes have direct cerebral effects that might affect neurological outcome. We aimed to test direct cerebrovascular effects of three commonly used vasopressor-inotropes (adrenaline, dopamine and noradrenaline) by comparing the responses to those of nonpharmacologically induced increases in blood pressure. We also searched for reasons for a mismatch between the response in perfusion and oxygenation.\\n\\nMETHODS: Twenty-four piglets had long and short infusions of the three vasopressor-inotropes titrated to raise mean arterial blood pressure (MAP) 10 mmHg in random order. Nonpharmacological increases in MAP were induced by inflation of a balloon in the descending aorta. We measured cerebral oxygenation (near-infrared spectroscopy), perfusion (laser-Doppler), oxygen consumption (co-oximetry of arterial and superior sagittal sinus blood), and microvascular heterogeneity (side stream dark field video microscopy).\\n\\nRESULTS: Vasopressor-inotropes increased cerebral oxygenation significantly less (p≤0.01) compared to non-pharmacological MAP increases, whereas perfusion was similar. Furthermore, cerebral total hemoglobin concentration increased significantly less during vasopressor-inotrope infusions (p = 0.001). These physiologic responses were identical between the three vasopressor-inotropes (p&gt;0.05). Furthermore, they induced a mild, although insignificant increase in cerebral metabolism and microvascular heterogeneity (p&gt;0.05). Removal of the scalp tissue did not influence the mismatch (p&gt;0.05).\\n\\nCONCLUSION: We demonstrated a moderate vasopressor-inotrope induced mismatch between cerebral perfusion and oxygenation. Scalp removal did not affect this mismatch, why vasopressor-inotropes appear to have direct cerebral actions. The statistically nonsignificant increases in cerebral metabolism and/or microvascular heterogeneity may explain the mismatch. Alternatively, it may simply reflect a vasopressor-inotrope-induced decrease in the arterial-to-venous volume ratio as detected by near-infrared spectroscopy.","author":[{"dropping-particle":"","family":"Hahn","given":"Gitte H.","non-dropping-particle":"","parse-names":false,"suffix":""},{"dropping-particle":"","family":"Hyttel-Sorensen","given":"Simon","non-dropping-particle":"","parse-names":false,"suffix":""},{"dropping-particle":"","family":"Petersen","given":"Sandra M.","non-dropping-particle":"","parse-names":false,"suffix":""},{"dropping-particle":"","family":"Pryds","given":"Ole","non-dropping-particle":"","parse-names":false,"suffix":""},{"dropping-particle":"","family":"Greisen","given":"Gorm","non-dropping-particle":"","parse-names":false,"suffix":""}],"container-title":"PLoS ONE","id":"ITEM-2","issue":"5","issued":{"date-parts":[["2013"]]},"title":"Cerebral Effects of Commonly Used Vasopressor-Inotropes: A Study in Newborn Piglets","type":"article-journal","volume":"8"},"uris":["http://www.mendeley.com/documents/?uuid=dc00cc07-f6ed-4e4b-8253-34681a09d1f4"]}],"mendeley":{"formattedCitation":"(8,26)","manualFormatting":"8,27","plainTextFormattedCitation":"(8,26)","previouslyFormattedCitation":"(8,26)"},"properties":{"noteIndex":0},"schema":"https://github.com/citation-style-language/schema/raw/master/csl-citation.json"}</w:instrText>
      </w:r>
      <w:r w:rsidR="00B716EA" w:rsidRPr="00B716EA">
        <w:rPr>
          <w:rFonts w:ascii="Calibri" w:eastAsia="Calibri" w:hAnsi="Calibri" w:cs="Times New Roman"/>
          <w:noProof/>
          <w:vertAlign w:val="superscript"/>
        </w:rPr>
        <w:fldChar w:fldCharType="separate"/>
      </w:r>
      <w:r w:rsidR="00B716EA" w:rsidRPr="00B716EA">
        <w:rPr>
          <w:rFonts w:ascii="Calibri" w:eastAsia="Calibri" w:hAnsi="Calibri" w:cs="Times New Roman"/>
          <w:noProof/>
          <w:vertAlign w:val="superscript"/>
        </w:rPr>
        <w:t>8,2</w:t>
      </w:r>
      <w:r w:rsidR="003411DF">
        <w:rPr>
          <w:rFonts w:ascii="Calibri" w:eastAsia="Calibri" w:hAnsi="Calibri" w:cs="Times New Roman"/>
          <w:noProof/>
          <w:vertAlign w:val="superscript"/>
        </w:rPr>
        <w:t>7</w:t>
      </w:r>
      <w:r w:rsidR="00B716EA" w:rsidRPr="00B716EA">
        <w:rPr>
          <w:rFonts w:ascii="Calibri" w:eastAsia="Calibri" w:hAnsi="Calibri" w:cs="Times New Roman"/>
          <w:noProof/>
          <w:vertAlign w:val="superscript"/>
        </w:rPr>
        <w:fldChar w:fldCharType="end"/>
      </w:r>
      <w:r w:rsidR="004E51B4" w:rsidRPr="004D197F">
        <w:rPr>
          <w:rFonts w:ascii="Calibri" w:eastAsia="Calibri" w:hAnsi="Calibri" w:cs="Times New Roman"/>
          <w:vertAlign w:val="superscript"/>
        </w:rPr>
        <w:fldChar w:fldCharType="end"/>
      </w:r>
      <w:r w:rsidR="00B033AC">
        <w:rPr>
          <w:rFonts w:ascii="Calibri" w:eastAsia="Calibri" w:hAnsi="Calibri" w:cs="Times New Roman"/>
        </w:rPr>
        <w:t xml:space="preserve"> </w:t>
      </w:r>
      <w:r w:rsidR="005C4EF6">
        <w:rPr>
          <w:rFonts w:ascii="Calibri" w:eastAsia="Calibri" w:hAnsi="Calibri" w:cs="Times New Roman"/>
        </w:rPr>
        <w:t xml:space="preserve">was </w:t>
      </w:r>
      <w:r w:rsidR="00FB69EA">
        <w:rPr>
          <w:rFonts w:ascii="Calibri" w:eastAsia="Calibri" w:hAnsi="Calibri" w:cs="Times New Roman"/>
        </w:rPr>
        <w:t>applied as a</w:t>
      </w:r>
      <w:r w:rsidR="006360F2">
        <w:rPr>
          <w:rFonts w:ascii="Calibri" w:eastAsia="Calibri" w:hAnsi="Calibri" w:cs="Times New Roman"/>
        </w:rPr>
        <w:t xml:space="preserve"> </w:t>
      </w:r>
      <w:r w:rsidR="00FB69EA">
        <w:rPr>
          <w:rFonts w:ascii="Calibri" w:eastAsia="Calibri" w:hAnsi="Calibri" w:cs="Times New Roman"/>
        </w:rPr>
        <w:t xml:space="preserve">time-integral of FV to form </w:t>
      </w:r>
      <w:r w:rsidR="00EA3631">
        <w:rPr>
          <w:rFonts w:ascii="Calibri" w:eastAsia="Calibri" w:hAnsi="Calibri" w:cs="Times New Roman"/>
        </w:rPr>
        <w:t>Δ</w:t>
      </w:r>
      <w:r w:rsidR="00DB6B42">
        <w:rPr>
          <w:rFonts w:ascii="Calibri" w:eastAsia="Calibri" w:hAnsi="Calibri" w:cs="Times New Roman"/>
        </w:rPr>
        <w:t>CaBV</w:t>
      </w:r>
      <w:r w:rsidR="00DB6B42">
        <w:rPr>
          <w:rFonts w:ascii="Calibri" w:eastAsia="Calibri" w:hAnsi="Calibri" w:cs="Times New Roman"/>
          <w:vertAlign w:val="subscript"/>
        </w:rPr>
        <w:t xml:space="preserve">CFF </w:t>
      </w:r>
      <w:r w:rsidR="00DB6B42">
        <w:rPr>
          <w:rFonts w:ascii="Calibri" w:eastAsia="Calibri" w:hAnsi="Calibri" w:cs="Times New Roman"/>
        </w:rPr>
        <w:t>(CaBV</w:t>
      </w:r>
      <w:r w:rsidR="00DB6B42" w:rsidRPr="00D47164">
        <w:rPr>
          <w:rFonts w:ascii="Calibri" w:eastAsia="Calibri" w:hAnsi="Calibri" w:cs="Times New Roman"/>
          <w:vertAlign w:val="subscript"/>
        </w:rPr>
        <w:t>1</w:t>
      </w:r>
      <w:r w:rsidR="00D47164">
        <w:rPr>
          <w:rFonts w:ascii="Calibri" w:eastAsia="Calibri" w:hAnsi="Calibri" w:cs="Times New Roman"/>
        </w:rPr>
        <w:t>; Equation 5</w:t>
      </w:r>
      <w:r w:rsidR="00DB6B42">
        <w:rPr>
          <w:rFonts w:ascii="Calibri" w:eastAsia="Calibri" w:hAnsi="Calibri" w:cs="Times New Roman"/>
        </w:rPr>
        <w:t xml:space="preserve">) </w:t>
      </w:r>
      <w:r w:rsidR="006360F2">
        <w:rPr>
          <w:rFonts w:ascii="Calibri" w:eastAsia="Calibri" w:hAnsi="Calibri" w:cs="Times New Roman"/>
        </w:rPr>
        <w:t>sampled at a frequency of 50 Hz</w:t>
      </w:r>
      <w:r w:rsidR="0083313F">
        <w:rPr>
          <w:rFonts w:ascii="Calibri" w:eastAsia="Calibri" w:hAnsi="Calibri" w:cs="Times New Roman"/>
        </w:rPr>
        <w:t xml:space="preserve"> (Equation </w:t>
      </w:r>
      <w:r w:rsidR="00635FF3">
        <w:rPr>
          <w:rFonts w:ascii="Calibri" w:eastAsia="Calibri" w:hAnsi="Calibri" w:cs="Times New Roman"/>
        </w:rPr>
        <w:t>5</w:t>
      </w:r>
      <w:r w:rsidR="0083313F">
        <w:rPr>
          <w:rFonts w:ascii="Calibri" w:eastAsia="Calibri" w:hAnsi="Calibri" w:cs="Times New Roman"/>
        </w:rPr>
        <w:t>)</w:t>
      </w:r>
      <w:r w:rsidR="00FB69EA">
        <w:rPr>
          <w:rFonts w:ascii="Calibri" w:eastAsia="Calibri" w:hAnsi="Calibri" w:cs="Times New Roman"/>
        </w:rPr>
        <w:t>, whereas the two pulsatile flow forward models (PFF</w:t>
      </w:r>
      <w:r w:rsidR="00FB69EA">
        <w:rPr>
          <w:rFonts w:ascii="Calibri" w:eastAsia="Calibri" w:hAnsi="Calibri" w:cs="Times New Roman"/>
          <w:vertAlign w:val="subscript"/>
        </w:rPr>
        <w:t xml:space="preserve">ABP </w:t>
      </w:r>
      <w:r w:rsidR="00FB69EA">
        <w:rPr>
          <w:rFonts w:ascii="Calibri" w:eastAsia="Calibri" w:hAnsi="Calibri" w:cs="Times New Roman"/>
        </w:rPr>
        <w:t>and PFF</w:t>
      </w:r>
      <w:r w:rsidR="00FB69EA">
        <w:rPr>
          <w:rFonts w:ascii="Calibri" w:eastAsia="Calibri" w:hAnsi="Calibri" w:cs="Times New Roman"/>
          <w:vertAlign w:val="subscript"/>
        </w:rPr>
        <w:t>CPP</w:t>
      </w:r>
      <w:r w:rsidR="00FB69EA">
        <w:rPr>
          <w:rFonts w:ascii="Calibri" w:eastAsia="Calibri" w:hAnsi="Calibri" w:cs="Times New Roman"/>
        </w:rPr>
        <w:t xml:space="preserve">) were similarly derived using ABP and CPP as input, to form the respective </w:t>
      </w:r>
      <w:r w:rsidR="00EA3631">
        <w:rPr>
          <w:rFonts w:ascii="Calibri" w:eastAsia="Calibri" w:hAnsi="Calibri" w:cs="Times New Roman"/>
        </w:rPr>
        <w:t>Δ</w:t>
      </w:r>
      <w:r w:rsidR="00DB6B42">
        <w:rPr>
          <w:rFonts w:ascii="Calibri" w:eastAsia="Calibri" w:hAnsi="Calibri" w:cs="Times New Roman"/>
        </w:rPr>
        <w:t>CaBV</w:t>
      </w:r>
      <w:r w:rsidR="00DB6B42">
        <w:rPr>
          <w:rFonts w:ascii="Calibri" w:eastAsia="Calibri" w:hAnsi="Calibri" w:cs="Times New Roman"/>
          <w:vertAlign w:val="subscript"/>
        </w:rPr>
        <w:t>PFFABP</w:t>
      </w:r>
      <w:r w:rsidR="00DB6B42">
        <w:rPr>
          <w:rFonts w:ascii="Calibri" w:eastAsia="Calibri" w:hAnsi="Calibri" w:cs="Times New Roman"/>
        </w:rPr>
        <w:t xml:space="preserve"> </w:t>
      </w:r>
      <w:r w:rsidR="00C35FA3">
        <w:rPr>
          <w:rFonts w:ascii="Calibri" w:eastAsia="Calibri" w:hAnsi="Calibri" w:cs="Times New Roman"/>
        </w:rPr>
        <w:t>(</w:t>
      </w:r>
      <w:r w:rsidR="00DB6B42">
        <w:rPr>
          <w:rFonts w:ascii="Calibri" w:eastAsia="Calibri" w:hAnsi="Calibri" w:cs="Times New Roman"/>
        </w:rPr>
        <w:t>CaBV</w:t>
      </w:r>
      <w:r w:rsidR="00DB6B42" w:rsidRPr="00D47164">
        <w:rPr>
          <w:rFonts w:ascii="Calibri" w:eastAsia="Calibri" w:hAnsi="Calibri" w:cs="Times New Roman"/>
          <w:vertAlign w:val="subscript"/>
        </w:rPr>
        <w:t>2</w:t>
      </w:r>
      <w:r w:rsidR="00DB6B42">
        <w:rPr>
          <w:rFonts w:ascii="Calibri" w:eastAsia="Calibri" w:hAnsi="Calibri" w:cs="Times New Roman"/>
        </w:rPr>
        <w:t xml:space="preserve">; </w:t>
      </w:r>
      <w:r w:rsidR="00C35FA3">
        <w:rPr>
          <w:rFonts w:ascii="Calibri" w:eastAsia="Calibri" w:hAnsi="Calibri" w:cs="Times New Roman"/>
        </w:rPr>
        <w:t xml:space="preserve">Equation </w:t>
      </w:r>
      <w:r w:rsidR="00635FF3">
        <w:rPr>
          <w:rFonts w:ascii="Calibri" w:eastAsia="Calibri" w:hAnsi="Calibri" w:cs="Times New Roman"/>
        </w:rPr>
        <w:t>6</w:t>
      </w:r>
      <w:r w:rsidR="00C35FA3">
        <w:rPr>
          <w:rFonts w:ascii="Calibri" w:eastAsia="Calibri" w:hAnsi="Calibri" w:cs="Times New Roman"/>
        </w:rPr>
        <w:t xml:space="preserve">) </w:t>
      </w:r>
      <w:r w:rsidR="00FB69EA">
        <w:rPr>
          <w:rFonts w:ascii="Calibri" w:eastAsia="Calibri" w:hAnsi="Calibri" w:cs="Times New Roman"/>
        </w:rPr>
        <w:t xml:space="preserve">and </w:t>
      </w:r>
      <w:r w:rsidR="00EA3631">
        <w:rPr>
          <w:rFonts w:ascii="Calibri" w:eastAsia="Calibri" w:hAnsi="Calibri" w:cs="Times New Roman"/>
        </w:rPr>
        <w:t>Δ</w:t>
      </w:r>
      <w:r w:rsidR="00DB6B42">
        <w:rPr>
          <w:rFonts w:ascii="Calibri" w:eastAsia="Calibri" w:hAnsi="Calibri" w:cs="Times New Roman"/>
        </w:rPr>
        <w:t>CaBV</w:t>
      </w:r>
      <w:r w:rsidR="00DB6B42">
        <w:rPr>
          <w:rFonts w:ascii="Calibri" w:eastAsia="Calibri" w:hAnsi="Calibri" w:cs="Times New Roman"/>
          <w:vertAlign w:val="subscript"/>
        </w:rPr>
        <w:t>PFFCPP</w:t>
      </w:r>
      <w:r w:rsidR="00D47164">
        <w:rPr>
          <w:rFonts w:ascii="Calibri" w:eastAsia="Calibri" w:hAnsi="Calibri" w:cs="Times New Roman"/>
          <w:vertAlign w:val="subscript"/>
        </w:rPr>
        <w:t xml:space="preserve"> </w:t>
      </w:r>
      <w:r w:rsidR="00C35FA3">
        <w:rPr>
          <w:rFonts w:ascii="Calibri" w:eastAsia="Calibri" w:hAnsi="Calibri" w:cs="Times New Roman"/>
        </w:rPr>
        <w:t>(</w:t>
      </w:r>
      <w:r w:rsidR="00DB6B42">
        <w:rPr>
          <w:rFonts w:ascii="Calibri" w:eastAsia="Calibri" w:hAnsi="Calibri" w:cs="Times New Roman"/>
        </w:rPr>
        <w:t>CaBV</w:t>
      </w:r>
      <w:r w:rsidR="00DB6B42" w:rsidRPr="00D47164">
        <w:rPr>
          <w:rFonts w:ascii="Calibri" w:eastAsia="Calibri" w:hAnsi="Calibri" w:cs="Times New Roman"/>
          <w:vertAlign w:val="subscript"/>
        </w:rPr>
        <w:t>3</w:t>
      </w:r>
      <w:r w:rsidR="00DB6B42">
        <w:rPr>
          <w:rFonts w:ascii="Calibri" w:eastAsia="Calibri" w:hAnsi="Calibri" w:cs="Times New Roman"/>
        </w:rPr>
        <w:t xml:space="preserve">; </w:t>
      </w:r>
      <w:r w:rsidR="00C35FA3">
        <w:rPr>
          <w:rFonts w:ascii="Calibri" w:eastAsia="Calibri" w:hAnsi="Calibri" w:cs="Times New Roman"/>
        </w:rPr>
        <w:t xml:space="preserve">Equation </w:t>
      </w:r>
      <w:r w:rsidR="00635FF3">
        <w:rPr>
          <w:rFonts w:ascii="Calibri" w:eastAsia="Calibri" w:hAnsi="Calibri" w:cs="Times New Roman"/>
        </w:rPr>
        <w:t>7</w:t>
      </w:r>
      <w:r w:rsidR="00C35FA3">
        <w:rPr>
          <w:rFonts w:ascii="Calibri" w:eastAsia="Calibri" w:hAnsi="Calibri" w:cs="Times New Roman"/>
        </w:rPr>
        <w:t>)</w:t>
      </w:r>
      <w:r w:rsidR="00FB69EA">
        <w:rPr>
          <w:rFonts w:ascii="Calibri" w:eastAsia="Calibri" w:hAnsi="Calibri" w:cs="Times New Roman"/>
        </w:rPr>
        <w:t xml:space="preserve">. </w:t>
      </w:r>
    </w:p>
    <w:p w14:paraId="34CB9025" w14:textId="13B66C71" w:rsidR="00046917" w:rsidRDefault="0083313F" w:rsidP="00020ABC">
      <w:pPr>
        <w:spacing w:line="48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00C35FA3">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r>
    </w:p>
    <w:p w14:paraId="479163F0" w14:textId="6ABF6371" w:rsidR="00CE741A" w:rsidRDefault="00046917" w:rsidP="00020ABC">
      <w:pPr>
        <w:spacing w:line="480" w:lineRule="auto"/>
        <w:rPr>
          <w:rFonts w:ascii="Calibri" w:eastAsia="Calibri" w:hAnsi="Calibri" w:cs="Times New Roman"/>
        </w:rPr>
      </w:pPr>
      <w:bookmarkStart w:id="1" w:name="_Hlk505168142"/>
      <m:oMath>
        <m:r>
          <w:rPr>
            <w:rFonts w:ascii="Cambria Math" w:eastAsia="Calibri" w:hAnsi="Cambria Math" w:cs="Times New Roman"/>
            <w:sz w:val="24"/>
            <w:szCs w:val="26"/>
          </w:rPr>
          <m:t xml:space="preserve">                                </m:t>
        </m:r>
        <m:r>
          <m:rPr>
            <m:sty m:val="p"/>
          </m:rPr>
          <w:rPr>
            <w:rFonts w:ascii="Cambria Math" w:eastAsia="Calibri" w:hAnsi="Cambria Math" w:cs="Times New Roman"/>
            <w:sz w:val="24"/>
            <w:szCs w:val="26"/>
          </w:rPr>
          <m:t>Δ</m:t>
        </m:r>
        <m:r>
          <w:rPr>
            <w:rFonts w:ascii="Cambria Math" w:eastAsia="Calibri" w:hAnsi="Cambria Math" w:cs="Times New Roman"/>
            <w:sz w:val="24"/>
            <w:szCs w:val="26"/>
          </w:rPr>
          <m:t>CaB</m:t>
        </m:r>
        <m:sSub>
          <m:sSubPr>
            <m:ctrlPr>
              <w:rPr>
                <w:rFonts w:ascii="Cambria Math" w:eastAsia="Calibri" w:hAnsi="Cambria Math" w:cs="Times New Roman"/>
                <w:i/>
                <w:sz w:val="24"/>
                <w:szCs w:val="26"/>
              </w:rPr>
            </m:ctrlPr>
          </m:sSubPr>
          <m:e>
            <m:r>
              <w:rPr>
                <w:rFonts w:ascii="Cambria Math" w:eastAsia="Calibri" w:hAnsi="Cambria Math" w:cs="Times New Roman"/>
                <w:sz w:val="24"/>
                <w:szCs w:val="26"/>
              </w:rPr>
              <m:t>V</m:t>
            </m:r>
          </m:e>
          <m:sub>
            <m:r>
              <w:rPr>
                <w:rFonts w:ascii="Cambria Math" w:eastAsia="Calibri" w:hAnsi="Cambria Math" w:cs="Times New Roman"/>
                <w:sz w:val="24"/>
                <w:szCs w:val="26"/>
              </w:rPr>
              <m:t>CFF</m:t>
            </m:r>
          </m:sub>
        </m:sSub>
        <m:d>
          <m:dPr>
            <m:ctrlPr>
              <w:rPr>
                <w:rFonts w:ascii="Cambria Math" w:eastAsia="Calibri" w:hAnsi="Cambria Math" w:cs="Times New Roman"/>
                <w:i/>
                <w:sz w:val="24"/>
                <w:szCs w:val="26"/>
              </w:rPr>
            </m:ctrlPr>
          </m:dPr>
          <m:e>
            <m:r>
              <w:rPr>
                <w:rFonts w:ascii="Cambria Math" w:eastAsia="Calibri" w:hAnsi="Cambria Math" w:cs="Times New Roman"/>
                <w:sz w:val="24"/>
                <w:szCs w:val="26"/>
              </w:rPr>
              <m:t>t</m:t>
            </m:r>
          </m:e>
        </m:d>
        <m:r>
          <w:rPr>
            <w:rFonts w:ascii="Cambria Math" w:eastAsia="Calibri" w:hAnsi="Cambria Math" w:cs="Times New Roman"/>
            <w:sz w:val="24"/>
            <w:szCs w:val="26"/>
          </w:rPr>
          <m:t>=</m:t>
        </m:r>
        <m:nary>
          <m:naryPr>
            <m:limLoc m:val="subSup"/>
            <m:ctrlPr>
              <w:rPr>
                <w:rFonts w:ascii="Cambria Math" w:eastAsia="Calibri" w:hAnsi="Cambria Math" w:cs="Times New Roman"/>
                <w:i/>
                <w:sz w:val="24"/>
                <w:szCs w:val="26"/>
              </w:rPr>
            </m:ctrlPr>
          </m:naryPr>
          <m:sub>
            <m:r>
              <w:rPr>
                <w:rFonts w:ascii="Cambria Math" w:eastAsia="Calibri" w:hAnsi="Cambria Math" w:cs="Times New Roman"/>
                <w:sz w:val="24"/>
                <w:szCs w:val="26"/>
              </w:rPr>
              <m:t>to</m:t>
            </m:r>
          </m:sub>
          <m:sup>
            <m:r>
              <w:rPr>
                <w:rFonts w:ascii="Cambria Math" w:eastAsia="Calibri" w:hAnsi="Cambria Math" w:cs="Times New Roman"/>
                <w:sz w:val="24"/>
                <w:szCs w:val="26"/>
              </w:rPr>
              <m:t>t</m:t>
            </m:r>
          </m:sup>
          <m:e>
            <m:r>
              <w:rPr>
                <w:rFonts w:ascii="Cambria Math" w:eastAsia="Calibri" w:hAnsi="Cambria Math" w:cs="Times New Roman"/>
                <w:sz w:val="24"/>
                <w:szCs w:val="26"/>
              </w:rPr>
              <m:t xml:space="preserve"> </m:t>
            </m:r>
            <m:d>
              <m:dPr>
                <m:ctrlPr>
                  <w:rPr>
                    <w:rFonts w:ascii="Cambria Math" w:eastAsia="Calibri" w:hAnsi="Cambria Math" w:cs="Times New Roman"/>
                    <w:i/>
                    <w:sz w:val="24"/>
                    <w:szCs w:val="26"/>
                  </w:rPr>
                </m:ctrlPr>
              </m:dPr>
              <m:e>
                <m:r>
                  <w:rPr>
                    <w:rFonts w:ascii="Cambria Math" w:eastAsia="Calibri" w:hAnsi="Cambria Math" w:cs="Times New Roman"/>
                    <w:sz w:val="24"/>
                    <w:szCs w:val="26"/>
                  </w:rPr>
                  <m:t>F</m:t>
                </m:r>
                <m:sSub>
                  <m:sSubPr>
                    <m:ctrlPr>
                      <w:rPr>
                        <w:rFonts w:ascii="Cambria Math" w:eastAsia="Calibri" w:hAnsi="Cambria Math" w:cs="Times New Roman"/>
                        <w:i/>
                        <w:sz w:val="24"/>
                        <w:szCs w:val="26"/>
                      </w:rPr>
                    </m:ctrlPr>
                  </m:sSubPr>
                  <m:e>
                    <m:r>
                      <w:rPr>
                        <w:rFonts w:ascii="Cambria Math" w:eastAsia="Calibri" w:hAnsi="Cambria Math" w:cs="Times New Roman"/>
                        <w:sz w:val="24"/>
                        <w:szCs w:val="26"/>
                      </w:rPr>
                      <m:t>V</m:t>
                    </m:r>
                  </m:e>
                  <m:sub/>
                </m:sSub>
                <m:r>
                  <w:rPr>
                    <w:rFonts w:ascii="Cambria Math" w:eastAsia="Calibri" w:hAnsi="Cambria Math" w:cs="Times New Roman"/>
                    <w:sz w:val="24"/>
                    <w:szCs w:val="26"/>
                  </w:rPr>
                  <m:t>(i)-</m:t>
                </m:r>
                <w:bookmarkStart w:id="2" w:name="_Hlk505166625"/>
                <w:bookmarkStart w:id="3" w:name="_Hlk505166598"/>
                <m:sSub>
                  <m:sSubPr>
                    <m:ctrlPr>
                      <w:rPr>
                        <w:rFonts w:ascii="Cambria Math" w:eastAsia="Calibri" w:hAnsi="Cambria Math" w:cs="Times New Roman"/>
                        <w:i/>
                        <w:sz w:val="24"/>
                        <w:szCs w:val="26"/>
                      </w:rPr>
                    </m:ctrlPr>
                  </m:sSubPr>
                  <m:e>
                    <m:r>
                      <w:rPr>
                        <w:rFonts w:ascii="Cambria Math" w:eastAsia="Calibri" w:hAnsi="Cambria Math" w:cs="Times New Roman"/>
                        <w:sz w:val="24"/>
                        <w:szCs w:val="26"/>
                      </w:rPr>
                      <m:t>FV</m:t>
                    </m:r>
                  </m:e>
                  <m:sub>
                    <m:r>
                      <w:rPr>
                        <w:rFonts w:ascii="Cambria Math" w:eastAsia="Calibri" w:hAnsi="Cambria Math" w:cs="Times New Roman"/>
                        <w:sz w:val="24"/>
                        <w:szCs w:val="26"/>
                      </w:rPr>
                      <m:t>m</m:t>
                    </m:r>
                  </m:sub>
                </m:sSub>
                <w:bookmarkEnd w:id="2"/>
                <m:r>
                  <w:rPr>
                    <w:rFonts w:ascii="Cambria Math" w:eastAsia="Calibri" w:hAnsi="Cambria Math" w:cs="Times New Roman"/>
                    <w:sz w:val="24"/>
                    <w:szCs w:val="26"/>
                  </w:rPr>
                  <m:t xml:space="preserve"> </m:t>
                </m:r>
                <w:bookmarkEnd w:id="3"/>
              </m:e>
            </m:d>
            <m:r>
              <w:rPr>
                <w:rFonts w:ascii="Cambria Math" w:eastAsia="Calibri" w:hAnsi="Cambria Math" w:cs="Times New Roman"/>
                <w:sz w:val="24"/>
                <w:szCs w:val="26"/>
              </w:rPr>
              <m:t xml:space="preserve"> di</m:t>
            </m:r>
          </m:e>
        </m:nary>
      </m:oMath>
      <w:bookmarkEnd w:id="1"/>
      <w:r w:rsidRPr="003B4C18">
        <w:rPr>
          <w:rFonts w:ascii="Calibri" w:eastAsia="Calibri" w:hAnsi="Calibri" w:cs="Times New Roman"/>
          <w:sz w:val="26"/>
          <w:szCs w:val="26"/>
        </w:rPr>
        <w:t xml:space="preserve">           </w:t>
      </w:r>
      <w:r w:rsidR="00F80BC7">
        <w:rPr>
          <w:rFonts w:ascii="Calibri" w:eastAsia="Calibri" w:hAnsi="Calibri" w:cs="Times New Roman"/>
          <w:sz w:val="26"/>
          <w:szCs w:val="26"/>
        </w:rPr>
        <w:t xml:space="preserve">           </w:t>
      </w:r>
      <w:r w:rsidR="00122755">
        <w:rPr>
          <w:rFonts w:ascii="Calibri" w:eastAsia="Calibri" w:hAnsi="Calibri" w:cs="Times New Roman"/>
          <w:sz w:val="26"/>
          <w:szCs w:val="26"/>
        </w:rPr>
        <w:t xml:space="preserve">    </w:t>
      </w:r>
      <w:r w:rsidR="00CE4E51">
        <w:rPr>
          <w:rFonts w:ascii="Calibri" w:eastAsia="Calibri" w:hAnsi="Calibri" w:cs="Times New Roman"/>
          <w:sz w:val="26"/>
          <w:szCs w:val="26"/>
        </w:rPr>
        <w:t xml:space="preserve">        </w:t>
      </w:r>
      <w:r w:rsidR="00F80BC7">
        <w:rPr>
          <w:rFonts w:ascii="Calibri" w:eastAsia="Calibri" w:hAnsi="Calibri" w:cs="Times New Roman"/>
          <w:sz w:val="26"/>
          <w:szCs w:val="26"/>
        </w:rPr>
        <w:t xml:space="preserve"> </w:t>
      </w:r>
      <w:r w:rsidRPr="003B4C18">
        <w:rPr>
          <w:rFonts w:ascii="Calibri" w:eastAsia="Calibri" w:hAnsi="Calibri" w:cs="Times New Roman"/>
          <w:sz w:val="26"/>
          <w:szCs w:val="26"/>
        </w:rPr>
        <w:t xml:space="preserve"> </w:t>
      </w:r>
      <w:r w:rsidR="008949E0">
        <w:rPr>
          <w:rFonts w:ascii="Calibri" w:eastAsia="Calibri" w:hAnsi="Calibri" w:cs="Times New Roman"/>
          <w:sz w:val="26"/>
          <w:szCs w:val="26"/>
        </w:rPr>
        <w:t xml:space="preserve"> </w:t>
      </w:r>
      <w:r w:rsidR="00BD2E22">
        <w:rPr>
          <w:rFonts w:ascii="Calibri" w:eastAsia="Calibri" w:hAnsi="Calibri" w:cs="Times New Roman"/>
          <w:sz w:val="26"/>
          <w:szCs w:val="26"/>
        </w:rPr>
        <w:t xml:space="preserve"> </w:t>
      </w:r>
      <w:r w:rsidR="008949E0">
        <w:rPr>
          <w:rFonts w:ascii="Calibri" w:eastAsia="Calibri" w:hAnsi="Calibri" w:cs="Times New Roman"/>
          <w:sz w:val="26"/>
          <w:szCs w:val="26"/>
        </w:rPr>
        <w:t xml:space="preserve"> </w:t>
      </w:r>
      <w:r w:rsidR="00C578FC">
        <w:rPr>
          <w:rFonts w:ascii="Calibri" w:eastAsia="Calibri" w:hAnsi="Calibri" w:cs="Times New Roman"/>
          <w:sz w:val="26"/>
          <w:szCs w:val="26"/>
        </w:rPr>
        <w:t xml:space="preserve"> </w:t>
      </w:r>
      <w:r>
        <w:rPr>
          <w:rFonts w:ascii="Calibri" w:eastAsia="Calibri" w:hAnsi="Calibri" w:cs="Times New Roman"/>
        </w:rPr>
        <w:t>[</w:t>
      </w:r>
      <w:r w:rsidR="00635FF3">
        <w:rPr>
          <w:rFonts w:ascii="Calibri" w:eastAsia="Calibri" w:hAnsi="Calibri" w:cs="Times New Roman"/>
        </w:rPr>
        <w:t>5</w:t>
      </w:r>
      <w:r w:rsidR="00CE741A">
        <w:rPr>
          <w:rFonts w:ascii="Calibri" w:eastAsia="Calibri" w:hAnsi="Calibri" w:cs="Times New Roman"/>
        </w:rPr>
        <w:t>]</w:t>
      </w:r>
    </w:p>
    <w:p w14:paraId="28B74DA7" w14:textId="419CF90E" w:rsidR="002720FD" w:rsidRPr="002720FD" w:rsidRDefault="00CE741A" w:rsidP="00020ABC">
      <w:pPr>
        <w:spacing w:line="480" w:lineRule="auto"/>
        <w:rPr>
          <w:rFonts w:ascii="Calibri" w:eastAsia="Calibri" w:hAnsi="Calibri" w:cs="Times New Roman"/>
        </w:rPr>
      </w:pPr>
      <m:oMath>
        <m:r>
          <m:rPr>
            <m:sty m:val="p"/>
          </m:rPr>
          <w:rPr>
            <w:rFonts w:ascii="Cambria Math" w:eastAsia="Calibri" w:hAnsi="Cambria Math" w:cstheme="minorHAnsi"/>
            <w:szCs w:val="26"/>
          </w:rPr>
          <m:t xml:space="preserve">                                   Δ</m:t>
        </m:r>
        <w:bookmarkStart w:id="4" w:name="_Hlk511561742"/>
        <m:r>
          <w:rPr>
            <w:rFonts w:ascii="Cambria Math" w:eastAsia="Calibri" w:hAnsi="Cambria Math" w:cstheme="minorHAnsi"/>
            <w:szCs w:val="26"/>
          </w:rPr>
          <m:t>CaB</m:t>
        </m:r>
        <m:sSub>
          <m:sSubPr>
            <m:ctrlPr>
              <w:rPr>
                <w:rFonts w:ascii="Cambria Math" w:eastAsia="Calibri" w:hAnsi="Cambria Math" w:cstheme="minorHAnsi"/>
                <w:i/>
                <w:szCs w:val="26"/>
              </w:rPr>
            </m:ctrlPr>
          </m:sSubPr>
          <m:e>
            <m:r>
              <w:rPr>
                <w:rFonts w:ascii="Cambria Math" w:eastAsia="Calibri" w:hAnsi="Cambria Math" w:cstheme="minorHAnsi"/>
                <w:szCs w:val="26"/>
              </w:rPr>
              <m:t>V</m:t>
            </m:r>
          </m:e>
          <m:sub>
            <w:bookmarkStart w:id="5" w:name="_Hlk511562557"/>
            <m:sSub>
              <m:sSubPr>
                <m:ctrlPr>
                  <w:rPr>
                    <w:rFonts w:ascii="Cambria Math" w:eastAsia="Calibri" w:hAnsi="Cambria Math" w:cstheme="minorHAnsi"/>
                    <w:i/>
                    <w:szCs w:val="26"/>
                  </w:rPr>
                </m:ctrlPr>
              </m:sSubPr>
              <m:e>
                <m:r>
                  <w:rPr>
                    <w:rFonts w:ascii="Cambria Math" w:eastAsia="Calibri" w:hAnsi="Cambria Math" w:cstheme="minorHAnsi"/>
                    <w:szCs w:val="26"/>
                  </w:rPr>
                  <m:t>PFF</m:t>
                </m:r>
              </m:e>
              <m:sub>
                <m:r>
                  <w:rPr>
                    <w:rFonts w:ascii="Cambria Math" w:eastAsia="Calibri" w:hAnsi="Cambria Math" w:cstheme="minorHAnsi"/>
                    <w:szCs w:val="26"/>
                  </w:rPr>
                  <m:t>ABP</m:t>
                </m:r>
              </m:sub>
            </m:sSub>
            <w:bookmarkEnd w:id="5"/>
          </m:sub>
        </m:sSub>
        <w:bookmarkEnd w:id="4"/>
        <m:d>
          <m:dPr>
            <m:ctrlPr>
              <w:rPr>
                <w:rFonts w:ascii="Cambria Math" w:eastAsia="Calibri" w:hAnsi="Cambria Math" w:cstheme="minorHAnsi"/>
                <w:i/>
                <w:szCs w:val="26"/>
              </w:rPr>
            </m:ctrlPr>
          </m:dPr>
          <m:e>
            <m:r>
              <w:rPr>
                <w:rFonts w:ascii="Cambria Math" w:eastAsia="Calibri" w:hAnsi="Cambria Math" w:cstheme="minorHAnsi"/>
                <w:szCs w:val="26"/>
              </w:rPr>
              <m:t>t</m:t>
            </m:r>
          </m:e>
        </m:d>
        <m:r>
          <w:rPr>
            <w:rFonts w:ascii="Cambria Math" w:eastAsia="Calibri" w:hAnsi="Cambria Math" w:cstheme="minorHAnsi"/>
            <w:szCs w:val="26"/>
          </w:rPr>
          <m:t xml:space="preserve">= </m:t>
        </m:r>
        <m:nary>
          <m:naryPr>
            <m:limLoc m:val="subSup"/>
            <m:ctrlPr>
              <w:rPr>
                <w:rFonts w:ascii="Cambria Math" w:eastAsia="Calibri" w:hAnsi="Cambria Math" w:cstheme="minorHAnsi"/>
                <w:i/>
                <w:szCs w:val="26"/>
              </w:rPr>
            </m:ctrlPr>
          </m:naryPr>
          <m:sub>
            <m:r>
              <w:rPr>
                <w:rFonts w:ascii="Cambria Math" w:eastAsia="Calibri" w:hAnsi="Cambria Math" w:cstheme="minorHAnsi"/>
                <w:szCs w:val="26"/>
              </w:rPr>
              <m:t>to</m:t>
            </m:r>
          </m:sub>
          <m:sup>
            <m:r>
              <w:rPr>
                <w:rFonts w:ascii="Cambria Math" w:eastAsia="Calibri" w:hAnsi="Cambria Math" w:cstheme="minorHAnsi"/>
                <w:szCs w:val="26"/>
              </w:rPr>
              <m:t>t</m:t>
            </m:r>
          </m:sup>
          <m:e>
            <m:r>
              <w:rPr>
                <w:rFonts w:ascii="Cambria Math" w:eastAsia="Calibri" w:hAnsi="Cambria Math" w:cstheme="minorHAnsi"/>
                <w:szCs w:val="26"/>
              </w:rPr>
              <m:t>(FV</m:t>
            </m:r>
            <m:d>
              <m:dPr>
                <m:ctrlPr>
                  <w:rPr>
                    <w:rFonts w:ascii="Cambria Math" w:eastAsia="Calibri" w:hAnsi="Cambria Math" w:cstheme="minorHAnsi"/>
                    <w:i/>
                    <w:szCs w:val="26"/>
                  </w:rPr>
                </m:ctrlPr>
              </m:dPr>
              <m:e>
                <m:r>
                  <w:rPr>
                    <w:rFonts w:ascii="Cambria Math" w:eastAsia="Calibri" w:hAnsi="Cambria Math" w:cstheme="minorHAnsi"/>
                    <w:szCs w:val="26"/>
                  </w:rPr>
                  <m:t>i</m:t>
                </m:r>
              </m:e>
            </m:d>
            <m:r>
              <w:rPr>
                <w:rFonts w:ascii="Cambria Math" w:eastAsia="Calibri" w:hAnsi="Cambria Math" w:cstheme="minorHAnsi"/>
                <w:szCs w:val="26"/>
              </w:rPr>
              <m:t>-</m:t>
            </m:r>
            <m:d>
              <m:dPr>
                <m:ctrlPr>
                  <w:rPr>
                    <w:rFonts w:ascii="Cambria Math" w:eastAsia="Calibri" w:hAnsi="Cambria Math" w:cstheme="minorHAnsi"/>
                    <w:i/>
                    <w:szCs w:val="26"/>
                  </w:rPr>
                </m:ctrlPr>
              </m:dPr>
              <m:e>
                <m:f>
                  <m:fPr>
                    <m:ctrlPr>
                      <w:rPr>
                        <w:rFonts w:ascii="Cambria Math" w:eastAsia="Calibri" w:hAnsi="Cambria Math" w:cstheme="minorHAnsi"/>
                        <w:i/>
                        <w:szCs w:val="26"/>
                      </w:rPr>
                    </m:ctrlPr>
                  </m:fPr>
                  <m:num>
                    <m:sSub>
                      <m:sSubPr>
                        <m:ctrlPr>
                          <w:rPr>
                            <w:rFonts w:ascii="Cambria Math" w:eastAsia="Calibri" w:hAnsi="Cambria Math" w:cstheme="minorHAnsi"/>
                            <w:i/>
                            <w:szCs w:val="26"/>
                          </w:rPr>
                        </m:ctrlPr>
                      </m:sSubPr>
                      <m:e>
                        <m:r>
                          <w:rPr>
                            <w:rFonts w:ascii="Cambria Math" w:eastAsia="Calibri" w:hAnsi="Cambria Math" w:cstheme="minorHAnsi"/>
                            <w:szCs w:val="26"/>
                          </w:rPr>
                          <m:t>ABP</m:t>
                        </m:r>
                      </m:e>
                      <m:sub>
                        <m:d>
                          <m:dPr>
                            <m:ctrlPr>
                              <w:rPr>
                                <w:rFonts w:ascii="Cambria Math" w:eastAsia="Calibri" w:hAnsi="Cambria Math" w:cstheme="minorHAnsi"/>
                                <w:i/>
                                <w:szCs w:val="26"/>
                              </w:rPr>
                            </m:ctrlPr>
                          </m:dPr>
                          <m:e>
                            <m:r>
                              <w:rPr>
                                <w:rFonts w:ascii="Cambria Math" w:eastAsia="Calibri" w:hAnsi="Cambria Math" w:cstheme="minorHAnsi"/>
                                <w:szCs w:val="26"/>
                              </w:rPr>
                              <m:t>i</m:t>
                            </m:r>
                          </m:e>
                        </m:d>
                      </m:sub>
                    </m:sSub>
                  </m:num>
                  <m:den>
                    <m:f>
                      <m:fPr>
                        <m:ctrlPr>
                          <w:rPr>
                            <w:rFonts w:ascii="Cambria Math" w:eastAsia="Calibri" w:hAnsi="Cambria Math" w:cstheme="minorHAnsi"/>
                            <w:i/>
                            <w:szCs w:val="26"/>
                          </w:rPr>
                        </m:ctrlPr>
                      </m:fPr>
                      <m:num>
                        <m:r>
                          <w:rPr>
                            <w:rFonts w:ascii="Cambria Math" w:eastAsia="Calibri" w:hAnsi="Cambria Math" w:cstheme="minorHAnsi"/>
                            <w:szCs w:val="26"/>
                          </w:rPr>
                          <m:t>ABPm</m:t>
                        </m:r>
                      </m:num>
                      <m:den>
                        <m:r>
                          <w:rPr>
                            <w:rFonts w:ascii="Cambria Math" w:eastAsia="Calibri" w:hAnsi="Cambria Math" w:cstheme="minorHAnsi"/>
                            <w:szCs w:val="26"/>
                          </w:rPr>
                          <m:t>FVm</m:t>
                        </m:r>
                      </m:den>
                    </m:f>
                  </m:den>
                </m:f>
              </m:e>
            </m:d>
          </m:e>
        </m:nary>
        <m:r>
          <w:rPr>
            <w:rFonts w:ascii="Cambria Math" w:eastAsia="Calibri" w:hAnsi="Cambria Math" w:cstheme="minorHAnsi"/>
            <w:szCs w:val="26"/>
          </w:rPr>
          <m:t xml:space="preserve"> di                                              </m:t>
        </m:r>
      </m:oMath>
      <w:r w:rsidR="002720FD">
        <w:rPr>
          <w:rFonts w:ascii="Calibri" w:eastAsia="Calibri" w:hAnsi="Calibri" w:cs="Times New Roman"/>
          <w:szCs w:val="26"/>
        </w:rPr>
        <w:t>[</w:t>
      </w:r>
      <w:r w:rsidR="00635FF3">
        <w:rPr>
          <w:rFonts w:ascii="Calibri" w:eastAsia="Calibri" w:hAnsi="Calibri" w:cs="Times New Roman"/>
          <w:szCs w:val="26"/>
        </w:rPr>
        <w:t>6</w:t>
      </w:r>
      <w:r w:rsidR="002720FD">
        <w:rPr>
          <w:rFonts w:ascii="Calibri" w:eastAsia="Calibri" w:hAnsi="Calibri" w:cs="Times New Roman"/>
          <w:szCs w:val="26"/>
        </w:rPr>
        <w:t>]</w:t>
      </w:r>
    </w:p>
    <w:p w14:paraId="2B0A6BF9" w14:textId="0B5223FA" w:rsidR="002720FD" w:rsidRPr="002720FD" w:rsidRDefault="002720FD" w:rsidP="00020ABC">
      <w:pPr>
        <w:spacing w:line="480" w:lineRule="auto"/>
        <w:rPr>
          <w:rFonts w:eastAsiaTheme="minorEastAsia"/>
          <w:sz w:val="24"/>
          <w:szCs w:val="26"/>
        </w:rPr>
      </w:pPr>
      <m:oMath>
        <m:r>
          <m:rPr>
            <m:sty m:val="p"/>
          </m:rPr>
          <w:rPr>
            <w:rFonts w:ascii="Cambria Math" w:eastAsia="Calibri" w:hAnsi="Cambria Math" w:cs="Times New Roman"/>
            <w:sz w:val="24"/>
            <w:szCs w:val="26"/>
          </w:rPr>
          <m:t xml:space="preserve">                                Δ</m:t>
        </m:r>
        <m:r>
          <w:rPr>
            <w:rFonts w:ascii="Cambria Math" w:eastAsia="Calibri" w:hAnsi="Cambria Math" w:cs="Times New Roman"/>
            <w:sz w:val="24"/>
            <w:szCs w:val="26"/>
          </w:rPr>
          <m:t>CaB</m:t>
        </m:r>
        <m:sSub>
          <m:sSubPr>
            <m:ctrlPr>
              <w:rPr>
                <w:rFonts w:ascii="Cambria Math" w:eastAsia="Calibri" w:hAnsi="Cambria Math" w:cs="Times New Roman"/>
                <w:i/>
                <w:sz w:val="24"/>
                <w:szCs w:val="26"/>
              </w:rPr>
            </m:ctrlPr>
          </m:sSubPr>
          <m:e>
            <m:r>
              <w:rPr>
                <w:rFonts w:ascii="Cambria Math" w:eastAsia="Calibri" w:hAnsi="Cambria Math" w:cs="Times New Roman"/>
                <w:sz w:val="24"/>
                <w:szCs w:val="26"/>
              </w:rPr>
              <m:t>V</m:t>
            </m:r>
          </m:e>
          <m:sub>
            <m:sSub>
              <m:sSubPr>
                <m:ctrlPr>
                  <w:rPr>
                    <w:rFonts w:ascii="Cambria Math" w:eastAsia="Calibri" w:hAnsi="Cambria Math" w:cs="Times New Roman"/>
                    <w:i/>
                    <w:sz w:val="24"/>
                    <w:szCs w:val="26"/>
                  </w:rPr>
                </m:ctrlPr>
              </m:sSubPr>
              <m:e>
                <m:r>
                  <w:rPr>
                    <w:rFonts w:ascii="Cambria Math" w:eastAsia="Calibri" w:hAnsi="Cambria Math" w:cs="Times New Roman"/>
                    <w:sz w:val="24"/>
                    <w:szCs w:val="26"/>
                  </w:rPr>
                  <m:t>PFF</m:t>
                </m:r>
              </m:e>
              <m:sub>
                <m:r>
                  <w:rPr>
                    <w:rFonts w:ascii="Cambria Math" w:eastAsia="Calibri" w:hAnsi="Cambria Math" w:cs="Times New Roman"/>
                    <w:sz w:val="24"/>
                    <w:szCs w:val="26"/>
                  </w:rPr>
                  <m:t>CPP</m:t>
                </m:r>
              </m:sub>
            </m:sSub>
          </m:sub>
        </m:sSub>
        <m:d>
          <m:dPr>
            <m:ctrlPr>
              <w:rPr>
                <w:rFonts w:ascii="Cambria Math" w:eastAsia="Calibri" w:hAnsi="Cambria Math" w:cs="Times New Roman"/>
                <w:i/>
                <w:sz w:val="24"/>
                <w:szCs w:val="26"/>
              </w:rPr>
            </m:ctrlPr>
          </m:dPr>
          <m:e>
            <m:r>
              <w:rPr>
                <w:rFonts w:ascii="Cambria Math" w:eastAsia="Calibri" w:hAnsi="Cambria Math" w:cs="Times New Roman"/>
                <w:sz w:val="24"/>
                <w:szCs w:val="26"/>
              </w:rPr>
              <m:t>t</m:t>
            </m:r>
          </m:e>
        </m:d>
        <m:r>
          <w:rPr>
            <w:rFonts w:ascii="Cambria Math" w:eastAsia="Calibri" w:hAnsi="Cambria Math" w:cs="Times New Roman"/>
            <w:sz w:val="24"/>
            <w:szCs w:val="26"/>
          </w:rPr>
          <m:t xml:space="preserve">= </m:t>
        </m:r>
        <m:nary>
          <m:naryPr>
            <m:limLoc m:val="subSup"/>
            <m:ctrlPr>
              <w:rPr>
                <w:rFonts w:ascii="Cambria Math" w:eastAsia="Calibri" w:hAnsi="Cambria Math" w:cs="Times New Roman"/>
                <w:i/>
                <w:sz w:val="24"/>
                <w:szCs w:val="26"/>
              </w:rPr>
            </m:ctrlPr>
          </m:naryPr>
          <m:sub>
            <m:r>
              <w:rPr>
                <w:rFonts w:ascii="Cambria Math" w:eastAsia="Calibri" w:hAnsi="Cambria Math" w:cs="Times New Roman"/>
                <w:sz w:val="24"/>
                <w:szCs w:val="26"/>
              </w:rPr>
              <m:t>to</m:t>
            </m:r>
          </m:sub>
          <m:sup>
            <m:r>
              <w:rPr>
                <w:rFonts w:ascii="Cambria Math" w:eastAsia="Calibri" w:hAnsi="Cambria Math" w:cs="Times New Roman"/>
                <w:sz w:val="24"/>
                <w:szCs w:val="26"/>
              </w:rPr>
              <m:t>t</m:t>
            </m:r>
          </m:sup>
          <m:e>
            <m:r>
              <w:rPr>
                <w:rFonts w:ascii="Cambria Math" w:eastAsia="Calibri" w:hAnsi="Cambria Math" w:cs="Times New Roman"/>
                <w:sz w:val="24"/>
                <w:szCs w:val="26"/>
              </w:rPr>
              <m:t>(FV</m:t>
            </m:r>
            <m:d>
              <m:dPr>
                <m:ctrlPr>
                  <w:rPr>
                    <w:rFonts w:ascii="Cambria Math" w:eastAsia="Calibri" w:hAnsi="Cambria Math" w:cs="Times New Roman"/>
                    <w:i/>
                    <w:sz w:val="24"/>
                    <w:szCs w:val="26"/>
                  </w:rPr>
                </m:ctrlPr>
              </m:dPr>
              <m:e>
                <m:r>
                  <w:rPr>
                    <w:rFonts w:ascii="Cambria Math" w:eastAsia="Calibri" w:hAnsi="Cambria Math" w:cs="Times New Roman"/>
                    <w:sz w:val="24"/>
                    <w:szCs w:val="26"/>
                  </w:rPr>
                  <m:t>i</m:t>
                </m:r>
              </m:e>
            </m:d>
            <m:r>
              <w:rPr>
                <w:rFonts w:ascii="Cambria Math" w:eastAsia="Calibri" w:hAnsi="Cambria Math" w:cs="Times New Roman"/>
                <w:sz w:val="24"/>
                <w:szCs w:val="26"/>
              </w:rPr>
              <m:t>-</m:t>
            </m:r>
            <m:d>
              <m:dPr>
                <m:ctrlPr>
                  <w:rPr>
                    <w:rFonts w:ascii="Cambria Math" w:eastAsia="Calibri" w:hAnsi="Cambria Math" w:cs="Times New Roman"/>
                    <w:i/>
                    <w:sz w:val="24"/>
                    <w:szCs w:val="26"/>
                  </w:rPr>
                </m:ctrlPr>
              </m:dPr>
              <m:e>
                <m:f>
                  <m:fPr>
                    <m:ctrlPr>
                      <w:rPr>
                        <w:rFonts w:ascii="Cambria Math" w:eastAsia="Calibri" w:hAnsi="Cambria Math" w:cs="Times New Roman"/>
                        <w:i/>
                        <w:sz w:val="24"/>
                        <w:szCs w:val="26"/>
                      </w:rPr>
                    </m:ctrlPr>
                  </m:fPr>
                  <m:num>
                    <m:sSub>
                      <m:sSubPr>
                        <m:ctrlPr>
                          <w:rPr>
                            <w:rFonts w:ascii="Cambria Math" w:eastAsia="Calibri" w:hAnsi="Cambria Math" w:cs="Times New Roman"/>
                            <w:i/>
                            <w:sz w:val="24"/>
                            <w:szCs w:val="26"/>
                          </w:rPr>
                        </m:ctrlPr>
                      </m:sSubPr>
                      <m:e>
                        <m:r>
                          <w:rPr>
                            <w:rFonts w:ascii="Cambria Math" w:eastAsia="Calibri" w:hAnsi="Cambria Math" w:cs="Times New Roman"/>
                            <w:sz w:val="24"/>
                            <w:szCs w:val="26"/>
                          </w:rPr>
                          <m:t>ABP</m:t>
                        </m:r>
                      </m:e>
                      <m:sub>
                        <m:d>
                          <m:dPr>
                            <m:ctrlPr>
                              <w:rPr>
                                <w:rFonts w:ascii="Cambria Math" w:eastAsia="Calibri" w:hAnsi="Cambria Math" w:cs="Times New Roman"/>
                                <w:i/>
                                <w:sz w:val="24"/>
                                <w:szCs w:val="26"/>
                              </w:rPr>
                            </m:ctrlPr>
                          </m:dPr>
                          <m:e>
                            <m:r>
                              <w:rPr>
                                <w:rFonts w:ascii="Cambria Math" w:eastAsia="Calibri" w:hAnsi="Cambria Math" w:cs="Times New Roman"/>
                                <w:sz w:val="24"/>
                                <w:szCs w:val="26"/>
                              </w:rPr>
                              <m:t>i</m:t>
                            </m:r>
                          </m:e>
                        </m:d>
                      </m:sub>
                    </m:sSub>
                    <m:r>
                      <w:rPr>
                        <w:rFonts w:ascii="Cambria Math" w:eastAsia="Calibri" w:hAnsi="Cambria Math" w:cs="Times New Roman"/>
                        <w:sz w:val="24"/>
                        <w:szCs w:val="26"/>
                      </w:rPr>
                      <m:t>-</m:t>
                    </m:r>
                    <m:sSub>
                      <m:sSubPr>
                        <m:ctrlPr>
                          <w:rPr>
                            <w:rFonts w:ascii="Cambria Math" w:eastAsia="Calibri" w:hAnsi="Cambria Math" w:cs="Times New Roman"/>
                            <w:i/>
                            <w:sz w:val="24"/>
                            <w:szCs w:val="26"/>
                          </w:rPr>
                        </m:ctrlPr>
                      </m:sSubPr>
                      <m:e>
                        <m:r>
                          <w:rPr>
                            <w:rFonts w:ascii="Cambria Math" w:eastAsia="Calibri" w:hAnsi="Cambria Math" w:cs="Times New Roman"/>
                            <w:sz w:val="24"/>
                            <w:szCs w:val="26"/>
                          </w:rPr>
                          <m:t>ICP</m:t>
                        </m:r>
                      </m:e>
                      <m:sub>
                        <m:r>
                          <w:rPr>
                            <w:rFonts w:ascii="Cambria Math" w:eastAsia="Calibri" w:hAnsi="Cambria Math" w:cs="Times New Roman"/>
                            <w:sz w:val="24"/>
                            <w:szCs w:val="26"/>
                          </w:rPr>
                          <m:t>(i)</m:t>
                        </m:r>
                      </m:sub>
                    </m:sSub>
                  </m:num>
                  <m:den>
                    <m:f>
                      <m:fPr>
                        <m:ctrlPr>
                          <w:rPr>
                            <w:rFonts w:ascii="Cambria Math" w:eastAsia="Calibri" w:hAnsi="Cambria Math" w:cs="Times New Roman"/>
                            <w:i/>
                            <w:sz w:val="24"/>
                            <w:szCs w:val="26"/>
                          </w:rPr>
                        </m:ctrlPr>
                      </m:fPr>
                      <m:num>
                        <m:r>
                          <w:rPr>
                            <w:rFonts w:ascii="Cambria Math" w:eastAsia="Calibri" w:hAnsi="Cambria Math" w:cs="Times New Roman"/>
                            <w:sz w:val="24"/>
                            <w:szCs w:val="26"/>
                          </w:rPr>
                          <m:t>ABPm-ICPm</m:t>
                        </m:r>
                      </m:num>
                      <m:den>
                        <m:r>
                          <w:rPr>
                            <w:rFonts w:ascii="Cambria Math" w:eastAsia="Calibri" w:hAnsi="Cambria Math" w:cs="Times New Roman"/>
                            <w:sz w:val="24"/>
                            <w:szCs w:val="26"/>
                          </w:rPr>
                          <m:t>FVm</m:t>
                        </m:r>
                      </m:den>
                    </m:f>
                  </m:den>
                </m:f>
                <m:r>
                  <w:rPr>
                    <w:rFonts w:ascii="Cambria Math" w:eastAsia="Calibri" w:hAnsi="Cambria Math" w:cs="Times New Roman"/>
                    <w:sz w:val="24"/>
                    <w:szCs w:val="26"/>
                  </w:rPr>
                  <m:t xml:space="preserve"> </m:t>
                </m:r>
              </m:e>
            </m:d>
          </m:e>
        </m:nary>
        <m:r>
          <w:rPr>
            <w:rFonts w:ascii="Cambria Math" w:eastAsia="Calibri" w:hAnsi="Cambria Math" w:cs="Times New Roman"/>
            <w:sz w:val="24"/>
            <w:szCs w:val="26"/>
          </w:rPr>
          <m:t xml:space="preserve">) ds                  </m:t>
        </m:r>
      </m:oMath>
      <w:r>
        <w:rPr>
          <w:rFonts w:eastAsiaTheme="minorEastAsia"/>
          <w:sz w:val="24"/>
          <w:szCs w:val="26"/>
        </w:rPr>
        <w:t xml:space="preserve">   </w:t>
      </w:r>
      <w:r w:rsidR="00BD2E22">
        <w:rPr>
          <w:rFonts w:eastAsiaTheme="minorEastAsia"/>
          <w:sz w:val="24"/>
          <w:szCs w:val="26"/>
        </w:rPr>
        <w:t xml:space="preserve"> </w:t>
      </w:r>
      <w:r>
        <w:rPr>
          <w:rFonts w:eastAsiaTheme="minorEastAsia"/>
          <w:sz w:val="24"/>
          <w:szCs w:val="26"/>
        </w:rPr>
        <w:t xml:space="preserve"> </w:t>
      </w:r>
      <w:r w:rsidRPr="002720FD">
        <w:rPr>
          <w:rFonts w:eastAsiaTheme="minorEastAsia"/>
          <w:szCs w:val="26"/>
        </w:rPr>
        <w:t>[</w:t>
      </w:r>
      <w:r w:rsidR="00635FF3">
        <w:rPr>
          <w:rFonts w:eastAsiaTheme="minorEastAsia"/>
          <w:szCs w:val="26"/>
        </w:rPr>
        <w:t>7</w:t>
      </w:r>
      <w:r w:rsidRPr="002720FD">
        <w:rPr>
          <w:rFonts w:eastAsiaTheme="minorEastAsia"/>
          <w:szCs w:val="26"/>
        </w:rPr>
        <w:t>]</w:t>
      </w:r>
    </w:p>
    <w:p w14:paraId="13241C50" w14:textId="176F3F56" w:rsidR="00134C2B" w:rsidRDefault="00134C2B" w:rsidP="00020ABC">
      <w:pPr>
        <w:spacing w:line="480" w:lineRule="auto"/>
        <w:rPr>
          <w:rFonts w:ascii="Calibri" w:eastAsia="Calibri" w:hAnsi="Calibri" w:cs="Times New Roman"/>
        </w:rPr>
      </w:pPr>
    </w:p>
    <w:p w14:paraId="4D89ECE1" w14:textId="09B8C86E" w:rsidR="00874B46" w:rsidRPr="00874B46" w:rsidRDefault="00874B46" w:rsidP="00020ABC">
      <w:pPr>
        <w:spacing w:line="480" w:lineRule="auto"/>
        <w:rPr>
          <w:rFonts w:ascii="Calibri" w:eastAsia="Calibri" w:hAnsi="Calibri" w:cs="Times New Roman"/>
        </w:rPr>
      </w:pPr>
      <w:r>
        <w:rPr>
          <w:rFonts w:ascii="Calibri" w:eastAsia="Calibri" w:hAnsi="Calibri" w:cs="Times New Roman"/>
        </w:rPr>
        <w:t>where</w:t>
      </w:r>
      <w:r w:rsidR="0091047B">
        <w:rPr>
          <w:rFonts w:ascii="Calibri" w:eastAsia="Calibri" w:hAnsi="Calibri" w:cs="Times New Roman"/>
        </w:rPr>
        <w:t>:</w:t>
      </w:r>
      <w:r>
        <w:rPr>
          <w:rFonts w:ascii="Calibri" w:eastAsia="Calibri" w:hAnsi="Calibri" w:cs="Times New Roman"/>
        </w:rPr>
        <w:t xml:space="preserve"> </w:t>
      </w:r>
      <w:r w:rsidRPr="00874B46">
        <w:rPr>
          <w:rFonts w:ascii="Calibri" w:eastAsia="Calibri" w:hAnsi="Calibri" w:cs="Times New Roman"/>
          <w:i/>
        </w:rPr>
        <w:t>t</w:t>
      </w:r>
      <w:r w:rsidRPr="00874B46">
        <w:rPr>
          <w:rFonts w:ascii="Calibri" w:eastAsia="Calibri" w:hAnsi="Calibri" w:cs="Times New Roman"/>
          <w:i/>
          <w:vertAlign w:val="subscript"/>
        </w:rPr>
        <w:t>0</w:t>
      </w:r>
      <w:r>
        <w:rPr>
          <w:rFonts w:ascii="Calibri" w:eastAsia="Calibri" w:hAnsi="Calibri" w:cs="Times New Roman"/>
        </w:rPr>
        <w:t xml:space="preserve"> and </w:t>
      </w:r>
      <w:r w:rsidRPr="00874B46">
        <w:rPr>
          <w:rFonts w:ascii="Calibri" w:eastAsia="Calibri" w:hAnsi="Calibri" w:cs="Times New Roman"/>
          <w:i/>
        </w:rPr>
        <w:t>t</w:t>
      </w:r>
      <w:r>
        <w:rPr>
          <w:rFonts w:ascii="Calibri" w:eastAsia="Calibri" w:hAnsi="Calibri" w:cs="Times New Roman"/>
        </w:rPr>
        <w:t xml:space="preserve"> are the respective beginning and end of a single cardiac cycle,</w:t>
      </w:r>
      <w:r w:rsidRPr="00EF099E">
        <w:rPr>
          <w:rFonts w:ascii="Calibri" w:eastAsia="Calibri" w:hAnsi="Calibri" w:cs="Times New Roman"/>
          <w:i/>
        </w:rPr>
        <w:t xml:space="preserve"> </w:t>
      </w:r>
      <m:oMath>
        <m:r>
          <m:rPr>
            <m:sty m:val="p"/>
          </m:rPr>
          <w:rPr>
            <w:rFonts w:ascii="Cambria Math" w:eastAsia="Calibri" w:hAnsi="Cambria Math" w:cs="Times New Roman"/>
          </w:rPr>
          <m:t>∆</m:t>
        </m:r>
        <m:r>
          <w:rPr>
            <w:rFonts w:ascii="Cambria Math" w:eastAsia="Calibri" w:hAnsi="Cambria Math" w:cs="Times New Roman"/>
          </w:rPr>
          <m:t>t</m:t>
        </m:r>
      </m:oMath>
      <w:r w:rsidR="00D13FD9">
        <w:rPr>
          <w:rFonts w:ascii="Calibri" w:eastAsia="Calibri" w:hAnsi="Calibri" w:cs="Times New Roman"/>
          <w:i/>
        </w:rPr>
        <w:t xml:space="preserve"> </w:t>
      </w:r>
      <w:r w:rsidR="00D13FD9" w:rsidRPr="00D13FD9">
        <w:rPr>
          <w:rFonts w:ascii="Calibri" w:eastAsia="Calibri" w:hAnsi="Calibri" w:cs="Times New Roman"/>
        </w:rPr>
        <w:t>is the</w:t>
      </w:r>
      <w:r w:rsidR="00D13FD9">
        <w:rPr>
          <w:rFonts w:ascii="Calibri" w:eastAsia="Calibri" w:hAnsi="Calibri" w:cs="Times New Roman"/>
        </w:rPr>
        <w:t xml:space="preserve"> time interval between two consecutive samples</w:t>
      </w:r>
      <m:oMath>
        <m:r>
          <w:rPr>
            <w:rFonts w:ascii="Cambria Math" w:eastAsia="Calibri" w:hAnsi="Cambria Math" w:cs="Times New Roman"/>
          </w:rPr>
          <m:t>, FV</m:t>
        </m:r>
        <m:d>
          <m:dPr>
            <m:ctrlPr>
              <w:rPr>
                <w:rFonts w:ascii="Cambria Math" w:eastAsia="Calibri" w:hAnsi="Cambria Math" w:cs="Times New Roman"/>
                <w:i/>
              </w:rPr>
            </m:ctrlPr>
          </m:dPr>
          <m:e>
            <m:r>
              <w:rPr>
                <w:rFonts w:ascii="Cambria Math" w:eastAsia="Calibri" w:hAnsi="Cambria Math" w:cs="Times New Roman"/>
              </w:rPr>
              <m:t>i</m:t>
            </m:r>
          </m:e>
        </m:d>
        <m:r>
          <w:rPr>
            <w:rFonts w:ascii="Cambria Math" w:eastAsia="Calibri" w:hAnsi="Cambria Math" w:cs="Times New Roman"/>
          </w:rPr>
          <m:t>, ABP</m:t>
        </m:r>
        <m:d>
          <m:dPr>
            <m:ctrlPr>
              <w:rPr>
                <w:rFonts w:ascii="Cambria Math" w:eastAsia="Calibri" w:hAnsi="Cambria Math" w:cs="Times New Roman"/>
                <w:i/>
              </w:rPr>
            </m:ctrlPr>
          </m:dPr>
          <m:e>
            <m:r>
              <w:rPr>
                <w:rFonts w:ascii="Cambria Math" w:eastAsia="Calibri" w:hAnsi="Cambria Math" w:cs="Times New Roman"/>
              </w:rPr>
              <m:t>i</m:t>
            </m:r>
          </m:e>
        </m:d>
        <m:r>
          <w:rPr>
            <w:rFonts w:ascii="Cambria Math" w:eastAsia="Calibri" w:hAnsi="Cambria Math" w:cs="Times New Roman"/>
          </w:rPr>
          <m:t>, and ICP(i)</m:t>
        </m:r>
      </m:oMath>
      <w:r w:rsidR="00D13FD9" w:rsidRPr="00D13FD9">
        <w:rPr>
          <w:rFonts w:ascii="Calibri" w:eastAsia="Calibri" w:hAnsi="Calibri" w:cs="Times New Roman"/>
          <w:sz w:val="24"/>
        </w:rPr>
        <w:t xml:space="preserve"> </w:t>
      </w:r>
      <w:r w:rsidR="00284757">
        <w:rPr>
          <w:rFonts w:ascii="Calibri" w:eastAsia="Calibri" w:hAnsi="Calibri" w:cs="Times New Roman"/>
          <w:sz w:val="24"/>
        </w:rPr>
        <w:t>are the</w:t>
      </w:r>
      <w:r w:rsidR="00EF099E">
        <w:rPr>
          <w:rFonts w:ascii="Calibri" w:eastAsia="Calibri" w:hAnsi="Calibri" w:cs="Times New Roman"/>
        </w:rPr>
        <w:t xml:space="preserve"> </w:t>
      </w:r>
      <w:r w:rsidR="00D13FD9">
        <w:rPr>
          <w:rFonts w:ascii="Calibri" w:eastAsia="Calibri" w:hAnsi="Calibri" w:cs="Times New Roman"/>
        </w:rPr>
        <w:t>moving average</w:t>
      </w:r>
      <w:r w:rsidR="00284757">
        <w:rPr>
          <w:rFonts w:ascii="Calibri" w:eastAsia="Calibri" w:hAnsi="Calibri" w:cs="Times New Roman"/>
        </w:rPr>
        <w:t>s</w:t>
      </w:r>
      <w:r w:rsidR="00D13FD9">
        <w:rPr>
          <w:rFonts w:ascii="Calibri" w:eastAsia="Calibri" w:hAnsi="Calibri" w:cs="Times New Roman"/>
        </w:rPr>
        <w:t xml:space="preserve"> of FV</w:t>
      </w:r>
      <w:r w:rsidR="00284757">
        <w:rPr>
          <w:rFonts w:ascii="Calibri" w:eastAsia="Calibri" w:hAnsi="Calibri" w:cs="Times New Roman"/>
        </w:rPr>
        <w:t xml:space="preserve">, ABP, and </w:t>
      </w:r>
      <w:r w:rsidR="00326DA6">
        <w:rPr>
          <w:rFonts w:ascii="Calibri" w:eastAsia="Calibri" w:hAnsi="Calibri" w:cs="Times New Roman"/>
        </w:rPr>
        <w:t>ICP</w:t>
      </w:r>
      <w:r w:rsidR="00D13FD9">
        <w:rPr>
          <w:rFonts w:ascii="Calibri" w:eastAsia="Calibri" w:hAnsi="Calibri" w:cs="Times New Roman"/>
        </w:rPr>
        <w:t xml:space="preserve"> over a </w:t>
      </w:r>
      <w:r w:rsidR="00284757">
        <w:rPr>
          <w:rFonts w:ascii="Calibri" w:eastAsia="Calibri" w:hAnsi="Calibri" w:cs="Times New Roman"/>
        </w:rPr>
        <w:t xml:space="preserve">specified time </w:t>
      </w:r>
      <w:r w:rsidR="00D13FD9">
        <w:rPr>
          <w:rFonts w:ascii="Calibri" w:eastAsia="Calibri" w:hAnsi="Calibri" w:cs="Times New Roman"/>
        </w:rPr>
        <w:t xml:space="preserve">window including previous cardiac cycles (a </w:t>
      </w:r>
      <w:r w:rsidR="00BB5F9E">
        <w:rPr>
          <w:rFonts w:ascii="Calibri" w:eastAsia="Calibri" w:hAnsi="Calibri" w:cs="Times New Roman"/>
        </w:rPr>
        <w:t xml:space="preserve">moving average </w:t>
      </w:r>
      <w:r w:rsidR="00D67D57">
        <w:rPr>
          <w:rFonts w:ascii="Calibri" w:eastAsia="Calibri" w:hAnsi="Calibri" w:cs="Times New Roman"/>
        </w:rPr>
        <w:t>filter</w:t>
      </w:r>
      <w:r w:rsidR="00D13FD9">
        <w:rPr>
          <w:rFonts w:ascii="Calibri" w:eastAsia="Calibri" w:hAnsi="Calibri" w:cs="Times New Roman"/>
        </w:rPr>
        <w:t xml:space="preserve"> of 600 seconds was applied),</w:t>
      </w:r>
      <w:r w:rsidR="00B17E4E">
        <w:rPr>
          <w:rFonts w:ascii="Calibri" w:eastAsia="Calibri" w:hAnsi="Calibri" w:cs="Times New Roman"/>
        </w:rPr>
        <w:t xml:space="preserve"> </w:t>
      </w:r>
      <w:r w:rsidR="00B17E4E" w:rsidRPr="00B17E4E">
        <w:rPr>
          <w:rFonts w:ascii="Calibri" w:eastAsia="Calibri" w:hAnsi="Calibri" w:cs="Times New Roman"/>
          <w:i/>
        </w:rPr>
        <w:t xml:space="preserve">FVm </w:t>
      </w:r>
      <w:r w:rsidR="00B17E4E">
        <w:rPr>
          <w:rFonts w:ascii="Calibri" w:eastAsia="Calibri" w:hAnsi="Calibri" w:cs="Times New Roman"/>
        </w:rPr>
        <w:t>is the mean value of FV,</w:t>
      </w:r>
      <w:r w:rsidR="008949E0">
        <w:rPr>
          <w:rFonts w:ascii="Calibri" w:eastAsia="Calibri" w:hAnsi="Calibri" w:cs="Times New Roman"/>
        </w:rPr>
        <w:t xml:space="preserve"> </w:t>
      </w:r>
      <w:r w:rsidR="008949E0" w:rsidRPr="00B17E4E">
        <w:rPr>
          <w:rFonts w:ascii="Calibri" w:eastAsia="Calibri" w:hAnsi="Calibri" w:cs="Times New Roman"/>
          <w:i/>
        </w:rPr>
        <w:t>ABPm</w:t>
      </w:r>
      <w:r w:rsidR="008949E0">
        <w:rPr>
          <w:rFonts w:ascii="Calibri" w:eastAsia="Calibri" w:hAnsi="Calibri" w:cs="Times New Roman"/>
        </w:rPr>
        <w:t xml:space="preserve"> is the mean value of ABP,</w:t>
      </w:r>
      <w:r w:rsidR="008949E0" w:rsidRPr="008949E0">
        <w:rPr>
          <w:rFonts w:ascii="Calibri" w:eastAsia="Calibri" w:hAnsi="Calibri" w:cs="Times New Roman"/>
          <w:i/>
        </w:rPr>
        <w:t xml:space="preserve"> ICPm</w:t>
      </w:r>
      <w:r w:rsidR="008949E0">
        <w:rPr>
          <w:rFonts w:ascii="Calibri" w:eastAsia="Calibri" w:hAnsi="Calibri" w:cs="Times New Roman"/>
        </w:rPr>
        <w:t xml:space="preserve"> is the mean value of ICP,</w:t>
      </w:r>
      <w:r w:rsidR="00D13FD9">
        <w:rPr>
          <w:rFonts w:ascii="Calibri" w:eastAsia="Calibri" w:hAnsi="Calibri" w:cs="Times New Roman"/>
        </w:rPr>
        <w:t xml:space="preserve"> </w:t>
      </w:r>
      <w:r w:rsidRPr="00EF099E">
        <w:rPr>
          <w:rFonts w:ascii="Calibri" w:eastAsia="Calibri" w:hAnsi="Calibri" w:cs="Times New Roman"/>
        </w:rPr>
        <w:t>and</w:t>
      </w:r>
      <w:r>
        <w:rPr>
          <w:rFonts w:ascii="Calibri" w:eastAsia="Calibri" w:hAnsi="Calibri" w:cs="Times New Roman"/>
        </w:rPr>
        <w:t xml:space="preserve"> </w:t>
      </w:r>
      <w:r w:rsidRPr="00874B46">
        <w:rPr>
          <w:rFonts w:ascii="Calibri" w:eastAsia="Calibri" w:hAnsi="Calibri" w:cs="Times New Roman"/>
          <w:i/>
        </w:rPr>
        <w:t>s</w:t>
      </w:r>
      <w:r>
        <w:rPr>
          <w:rFonts w:ascii="Calibri" w:eastAsia="Calibri" w:hAnsi="Calibri" w:cs="Times New Roman"/>
        </w:rPr>
        <w:t xml:space="preserve"> is the arbitrary variable of integration.</w:t>
      </w:r>
      <w:r w:rsidR="00EF099E">
        <w:rPr>
          <w:rFonts w:ascii="Calibri" w:eastAsia="Calibri" w:hAnsi="Calibri" w:cs="Times New Roman"/>
        </w:rPr>
        <w:t xml:space="preserve"> </w:t>
      </w:r>
    </w:p>
    <w:p w14:paraId="685CD3CE" w14:textId="0B0C28B7" w:rsidR="00943DB3" w:rsidRPr="007225C2" w:rsidRDefault="00EF099E" w:rsidP="00020ABC">
      <w:pPr>
        <w:spacing w:line="480" w:lineRule="auto"/>
        <w:rPr>
          <w:rFonts w:ascii="Calibri" w:eastAsia="Calibri" w:hAnsi="Calibri" w:cs="Times New Roman"/>
        </w:rPr>
      </w:pPr>
      <w:r>
        <w:rPr>
          <w:rFonts w:ascii="Calibri" w:eastAsia="Calibri" w:hAnsi="Calibri" w:cs="Times New Roman"/>
        </w:rPr>
        <w:t xml:space="preserve"> </w:t>
      </w:r>
      <w:r w:rsidR="00AD7D06">
        <w:rPr>
          <w:rFonts w:ascii="Calibri" w:eastAsia="Calibri" w:hAnsi="Calibri" w:cs="Times New Roman"/>
        </w:rPr>
        <w:tab/>
        <w:t xml:space="preserve">Primary analysis </w:t>
      </w:r>
      <w:r w:rsidR="00CD7499">
        <w:rPr>
          <w:rFonts w:ascii="Calibri" w:eastAsia="Calibri" w:hAnsi="Calibri" w:cs="Times New Roman"/>
        </w:rPr>
        <w:t xml:space="preserve">involved the </w:t>
      </w:r>
      <w:r w:rsidR="00AF05D7">
        <w:rPr>
          <w:rFonts w:ascii="Calibri" w:eastAsia="Calibri" w:hAnsi="Calibri" w:cs="Times New Roman"/>
        </w:rPr>
        <w:t>determination</w:t>
      </w:r>
      <w:r w:rsidR="00CD7499">
        <w:rPr>
          <w:rFonts w:ascii="Calibri" w:eastAsia="Calibri" w:hAnsi="Calibri" w:cs="Times New Roman"/>
        </w:rPr>
        <w:t xml:space="preserve"> of </w:t>
      </w:r>
      <w:r w:rsidR="000511C1">
        <w:rPr>
          <w:rFonts w:ascii="Calibri" w:eastAsia="Calibri" w:hAnsi="Calibri" w:cs="Times New Roman"/>
        </w:rPr>
        <w:t>time-averaged mean values for ABP, CPP</w:t>
      </w:r>
      <w:r w:rsidR="00846D13">
        <w:rPr>
          <w:rFonts w:ascii="Calibri" w:eastAsia="Calibri" w:hAnsi="Calibri" w:cs="Times New Roman"/>
        </w:rPr>
        <w:t xml:space="preserve">, </w:t>
      </w:r>
      <w:r w:rsidR="00816AEC">
        <w:rPr>
          <w:rFonts w:ascii="Calibri" w:eastAsia="Calibri" w:hAnsi="Calibri" w:cs="Times New Roman"/>
        </w:rPr>
        <w:t xml:space="preserve">FV, ICP, </w:t>
      </w:r>
      <w:r w:rsidR="00BB5F9E">
        <w:rPr>
          <w:rFonts w:ascii="Calibri" w:eastAsia="Calibri" w:hAnsi="Calibri" w:cs="Calibri"/>
        </w:rPr>
        <w:t>Δ</w:t>
      </w:r>
      <w:r w:rsidR="00816AEC">
        <w:rPr>
          <w:rFonts w:ascii="Calibri" w:eastAsia="Calibri" w:hAnsi="Calibri" w:cs="Times New Roman"/>
        </w:rPr>
        <w:t>C</w:t>
      </w:r>
      <w:r w:rsidR="004D197F">
        <w:rPr>
          <w:rFonts w:ascii="Calibri" w:eastAsia="Calibri" w:hAnsi="Calibri" w:cs="Times New Roman"/>
        </w:rPr>
        <w:t>a</w:t>
      </w:r>
      <w:r w:rsidR="00816AEC">
        <w:rPr>
          <w:rFonts w:ascii="Calibri" w:eastAsia="Calibri" w:hAnsi="Calibri" w:cs="Times New Roman"/>
        </w:rPr>
        <w:t>BV</w:t>
      </w:r>
      <w:r w:rsidR="00816AEC">
        <w:rPr>
          <w:rFonts w:ascii="Calibri" w:eastAsia="Calibri" w:hAnsi="Calibri" w:cs="Times New Roman"/>
          <w:vertAlign w:val="subscript"/>
        </w:rPr>
        <w:t xml:space="preserve">1, </w:t>
      </w:r>
      <w:r w:rsidR="00BB5F9E">
        <w:rPr>
          <w:rFonts w:ascii="Calibri" w:eastAsia="Calibri" w:hAnsi="Calibri" w:cs="Calibri"/>
        </w:rPr>
        <w:t>Δ</w:t>
      </w:r>
      <w:r w:rsidR="00816AEC">
        <w:rPr>
          <w:rFonts w:ascii="Calibri" w:eastAsia="Calibri" w:hAnsi="Calibri" w:cs="Times New Roman"/>
        </w:rPr>
        <w:t>C</w:t>
      </w:r>
      <w:r w:rsidR="004D197F">
        <w:rPr>
          <w:rFonts w:ascii="Calibri" w:eastAsia="Calibri" w:hAnsi="Calibri" w:cs="Times New Roman"/>
        </w:rPr>
        <w:t>a</w:t>
      </w:r>
      <w:r w:rsidR="00816AEC">
        <w:rPr>
          <w:rFonts w:ascii="Calibri" w:eastAsia="Calibri" w:hAnsi="Calibri" w:cs="Times New Roman"/>
        </w:rPr>
        <w:t>BV</w:t>
      </w:r>
      <w:r w:rsidR="00816AEC">
        <w:rPr>
          <w:rFonts w:ascii="Calibri" w:eastAsia="Calibri" w:hAnsi="Calibri" w:cs="Times New Roman"/>
          <w:vertAlign w:val="subscript"/>
        </w:rPr>
        <w:t>2</w:t>
      </w:r>
      <w:r w:rsidR="00816AEC">
        <w:rPr>
          <w:rFonts w:ascii="Calibri" w:eastAsia="Calibri" w:hAnsi="Calibri" w:cs="Times New Roman"/>
        </w:rPr>
        <w:t xml:space="preserve">, and </w:t>
      </w:r>
      <w:r w:rsidR="00BB5F9E">
        <w:rPr>
          <w:rFonts w:ascii="Calibri" w:eastAsia="Calibri" w:hAnsi="Calibri" w:cs="Calibri"/>
        </w:rPr>
        <w:t>Δ</w:t>
      </w:r>
      <w:r w:rsidR="00816AEC">
        <w:rPr>
          <w:rFonts w:ascii="Calibri" w:eastAsia="Calibri" w:hAnsi="Calibri" w:cs="Times New Roman"/>
        </w:rPr>
        <w:t>C</w:t>
      </w:r>
      <w:r w:rsidR="004D197F">
        <w:rPr>
          <w:rFonts w:ascii="Calibri" w:eastAsia="Calibri" w:hAnsi="Calibri" w:cs="Times New Roman"/>
        </w:rPr>
        <w:t>a</w:t>
      </w:r>
      <w:r w:rsidR="00816AEC">
        <w:rPr>
          <w:rFonts w:ascii="Calibri" w:eastAsia="Calibri" w:hAnsi="Calibri" w:cs="Times New Roman"/>
        </w:rPr>
        <w:t>BV</w:t>
      </w:r>
      <w:r w:rsidR="00816AEC">
        <w:rPr>
          <w:rFonts w:ascii="Calibri" w:eastAsia="Calibri" w:hAnsi="Calibri" w:cs="Times New Roman"/>
          <w:vertAlign w:val="subscript"/>
        </w:rPr>
        <w:t>3</w:t>
      </w:r>
      <w:r w:rsidR="00816AEC">
        <w:rPr>
          <w:rFonts w:ascii="Calibri" w:eastAsia="Calibri" w:hAnsi="Calibri" w:cs="Times New Roman"/>
        </w:rPr>
        <w:t xml:space="preserve">. </w:t>
      </w:r>
      <w:r w:rsidR="00AF05D7">
        <w:rPr>
          <w:rFonts w:ascii="Calibri" w:eastAsia="Calibri" w:hAnsi="Calibri" w:cs="Times New Roman"/>
        </w:rPr>
        <w:t>Each mean was calculated during 10-second time windows and continuously updated every 10 seconds</w:t>
      </w:r>
      <w:r w:rsidR="003B3480">
        <w:rPr>
          <w:rFonts w:ascii="Calibri" w:eastAsia="Calibri" w:hAnsi="Calibri" w:cs="Times New Roman"/>
        </w:rPr>
        <w:t>.</w:t>
      </w:r>
      <w:r w:rsidR="00943DB3">
        <w:rPr>
          <w:rFonts w:ascii="Calibri" w:eastAsia="Calibri" w:hAnsi="Calibri" w:cs="Times New Roman"/>
        </w:rPr>
        <w:t xml:space="preserve"> For the CFF model, Fourier transform was employed to determine the fundamental frequencies of </w:t>
      </w:r>
      <w:r w:rsidR="008D43B7">
        <w:rPr>
          <w:rFonts w:ascii="Calibri" w:eastAsia="Calibri" w:hAnsi="Calibri" w:cs="Times New Roman"/>
        </w:rPr>
        <w:t xml:space="preserve">each </w:t>
      </w:r>
      <w:r w:rsidR="00587C79">
        <w:rPr>
          <w:rFonts w:ascii="Calibri" w:eastAsia="Calibri" w:hAnsi="Calibri" w:cs="Times New Roman"/>
        </w:rPr>
        <w:t>of the above parameters</w:t>
      </w:r>
      <w:r w:rsidR="008D43B7">
        <w:rPr>
          <w:rFonts w:ascii="Calibri" w:eastAsia="Calibri" w:hAnsi="Calibri" w:cs="Times New Roman"/>
        </w:rPr>
        <w:t xml:space="preserve">, to use as scaffolds for more extensive </w:t>
      </w:r>
      <w:r w:rsidR="00491F95">
        <w:rPr>
          <w:rFonts w:ascii="Calibri" w:eastAsia="Calibri" w:hAnsi="Calibri" w:cs="Times New Roman"/>
        </w:rPr>
        <w:t xml:space="preserve">evaluation of </w:t>
      </w:r>
      <w:r w:rsidR="00C242B8">
        <w:rPr>
          <w:rFonts w:ascii="Calibri" w:eastAsia="Calibri" w:hAnsi="Calibri" w:cs="Times New Roman"/>
        </w:rPr>
        <w:t xml:space="preserve">spectral </w:t>
      </w:r>
      <w:r w:rsidR="00491F95">
        <w:rPr>
          <w:rFonts w:ascii="Calibri" w:eastAsia="Calibri" w:hAnsi="Calibri" w:cs="Times New Roman"/>
        </w:rPr>
        <w:t xml:space="preserve">changes in </w:t>
      </w:r>
      <w:r w:rsidR="00BB5F9E">
        <w:rPr>
          <w:rFonts w:ascii="Calibri" w:eastAsia="Calibri" w:hAnsi="Calibri" w:cs="Calibri"/>
        </w:rPr>
        <w:t>Δ</w:t>
      </w:r>
      <w:r w:rsidR="004D197F">
        <w:rPr>
          <w:rFonts w:ascii="Calibri" w:eastAsia="Calibri" w:hAnsi="Calibri" w:cs="Times New Roman"/>
        </w:rPr>
        <w:t>CaBV</w:t>
      </w:r>
      <w:r w:rsidR="0001645C">
        <w:rPr>
          <w:rFonts w:ascii="Calibri" w:eastAsia="Calibri" w:hAnsi="Calibri" w:cs="Times New Roman"/>
        </w:rPr>
        <w:t>, yielding AmpCaBV</w:t>
      </w:r>
      <w:r w:rsidR="0001645C" w:rsidRPr="00E83B3D">
        <w:rPr>
          <w:rFonts w:ascii="Calibri" w:eastAsia="Calibri" w:hAnsi="Calibri" w:cs="Times New Roman"/>
          <w:vertAlign w:val="subscript"/>
        </w:rPr>
        <w:t>CFF</w:t>
      </w:r>
      <w:r w:rsidR="00E83B3D">
        <w:rPr>
          <w:rFonts w:ascii="Calibri" w:eastAsia="Calibri" w:hAnsi="Calibri" w:cs="Times New Roman"/>
        </w:rPr>
        <w:t>.</w:t>
      </w:r>
      <w:r w:rsidR="00453585">
        <w:rPr>
          <w:rFonts w:ascii="Calibri" w:eastAsia="Calibri" w:hAnsi="Calibri" w:cs="Times New Roman"/>
        </w:rPr>
        <w:t xml:space="preserve"> </w:t>
      </w:r>
      <w:r w:rsidR="00943DB3">
        <w:rPr>
          <w:rFonts w:ascii="Calibri" w:eastAsia="Calibri" w:hAnsi="Calibri" w:cs="Times New Roman"/>
        </w:rPr>
        <w:t xml:space="preserve">For the PFF models, we instead calculated the fundamental amplitudes with Equation </w:t>
      </w:r>
      <w:r w:rsidR="00635FF3">
        <w:rPr>
          <w:rFonts w:ascii="Calibri" w:eastAsia="Calibri" w:hAnsi="Calibri" w:cs="Times New Roman"/>
        </w:rPr>
        <w:t>8</w:t>
      </w:r>
      <w:r w:rsidR="00943DB3">
        <w:rPr>
          <w:rFonts w:ascii="Calibri" w:eastAsia="Calibri" w:hAnsi="Calibri" w:cs="Times New Roman"/>
        </w:rPr>
        <w:t xml:space="preserve"> </w:t>
      </w:r>
      <w:r w:rsidR="00B71DBB">
        <w:rPr>
          <w:rFonts w:ascii="Calibri" w:eastAsia="Calibri" w:hAnsi="Calibri" w:cs="Times New Roman"/>
        </w:rPr>
        <w:t>(see Appendix A</w:t>
      </w:r>
      <w:r w:rsidR="00943DB3">
        <w:rPr>
          <w:rFonts w:ascii="Calibri" w:eastAsia="Calibri" w:hAnsi="Calibri" w:cs="Times New Roman"/>
        </w:rPr>
        <w:t xml:space="preserve">); </w:t>
      </w:r>
      <m:oMath>
        <m:sSub>
          <m:sSubPr>
            <m:ctrlPr>
              <w:rPr>
                <w:rFonts w:ascii="Cambria Math" w:eastAsia="Calibri" w:hAnsi="Cambria Math" w:cstheme="minorHAnsi"/>
              </w:rPr>
            </m:ctrlPr>
          </m:sSubPr>
          <m:e>
            <m:r>
              <m:rPr>
                <m:sty m:val="p"/>
              </m:rPr>
              <w:rPr>
                <w:rFonts w:ascii="Cambria Math" w:eastAsia="Calibri" w:hAnsi="Cambria Math" w:cstheme="minorHAnsi"/>
              </w:rPr>
              <m:t>AmpCaBV</m:t>
            </m:r>
          </m:e>
          <m:sub>
            <m:sSub>
              <m:sSubPr>
                <m:ctrlPr>
                  <w:rPr>
                    <w:rFonts w:ascii="Cambria Math" w:eastAsia="Calibri" w:hAnsi="Cambria Math" w:cstheme="minorHAnsi"/>
                  </w:rPr>
                </m:ctrlPr>
              </m:sSubPr>
              <m:e>
                <m:r>
                  <m:rPr>
                    <m:sty m:val="p"/>
                  </m:rPr>
                  <w:rPr>
                    <w:rFonts w:ascii="Cambria Math" w:eastAsia="Calibri" w:hAnsi="Cambria Math" w:cstheme="minorHAnsi"/>
                  </w:rPr>
                  <m:t>PFF</m:t>
                </m:r>
              </m:e>
              <m:sub>
                <m:r>
                  <m:rPr>
                    <m:sty m:val="p"/>
                  </m:rPr>
                  <w:rPr>
                    <w:rFonts w:ascii="Cambria Math" w:eastAsia="Calibri" w:hAnsi="Cambria Math" w:cstheme="minorHAnsi"/>
                  </w:rPr>
                  <m:t>CPP</m:t>
                </m:r>
              </m:sub>
            </m:sSub>
          </m:sub>
        </m:sSub>
      </m:oMath>
      <w:r w:rsidR="00B118A7">
        <w:rPr>
          <w:rFonts w:eastAsia="Calibri" w:cstheme="minorHAnsi"/>
        </w:rPr>
        <w:t xml:space="preserve"> </w:t>
      </w:r>
      <w:r w:rsidR="00943DB3">
        <w:rPr>
          <w:rFonts w:ascii="Calibri" w:eastAsia="Calibri" w:hAnsi="Calibri" w:cs="Times New Roman"/>
        </w:rPr>
        <w:t xml:space="preserve">was </w:t>
      </w:r>
      <w:r w:rsidR="00943DB3">
        <w:rPr>
          <w:rFonts w:ascii="Calibri" w:eastAsia="Calibri" w:hAnsi="Calibri" w:cs="Times New Roman"/>
        </w:rPr>
        <w:lastRenderedPageBreak/>
        <w:t>obtained with this same formula</w:t>
      </w:r>
      <w:r w:rsidR="007225C2">
        <w:rPr>
          <w:rFonts w:ascii="Calibri" w:eastAsia="Calibri" w:hAnsi="Calibri" w:cs="Times New Roman"/>
        </w:rPr>
        <w:t xml:space="preserve"> </w:t>
      </w:r>
      <w:r w:rsidR="00943DB3">
        <w:rPr>
          <w:rFonts w:ascii="Calibri" w:eastAsia="Calibri" w:hAnsi="Calibri" w:cs="Times New Roman"/>
        </w:rPr>
        <w:t>but required Amp</w:t>
      </w:r>
      <w:r w:rsidR="0001645C">
        <w:rPr>
          <w:rFonts w:ascii="Calibri" w:eastAsia="Calibri" w:hAnsi="Calibri" w:cs="Times New Roman"/>
        </w:rPr>
        <w:t>CPP</w:t>
      </w:r>
      <w:r w:rsidR="00943DB3">
        <w:rPr>
          <w:rFonts w:ascii="Calibri" w:eastAsia="Calibri" w:hAnsi="Calibri" w:cs="Times New Roman"/>
        </w:rPr>
        <w:t xml:space="preserve"> as input</w:t>
      </w:r>
      <w:r w:rsidR="00E83B3D">
        <w:rPr>
          <w:rFonts w:ascii="Calibri" w:eastAsia="Calibri" w:hAnsi="Calibri" w:cs="Times New Roman"/>
        </w:rPr>
        <w:t xml:space="preserve"> rather than AmpABP</w:t>
      </w:r>
      <w:r w:rsidR="006E37D0">
        <w:rPr>
          <w:rFonts w:ascii="Calibri" w:eastAsia="Calibri" w:hAnsi="Calibri" w:cs="Times New Roman"/>
        </w:rPr>
        <w:t xml:space="preserve"> (</w:t>
      </w:r>
      <w:r w:rsidR="00B71DBB">
        <w:rPr>
          <w:rFonts w:ascii="Calibri" w:eastAsia="Calibri" w:hAnsi="Calibri" w:cs="Times New Roman"/>
        </w:rPr>
        <w:t>see Appendix A</w:t>
      </w:r>
      <w:r w:rsidR="006E37D0">
        <w:rPr>
          <w:rFonts w:ascii="Calibri" w:eastAsia="Calibri" w:hAnsi="Calibri" w:cs="Times New Roman"/>
        </w:rPr>
        <w:t>)</w:t>
      </w:r>
      <w:r w:rsidR="00943DB3">
        <w:rPr>
          <w:rFonts w:ascii="Calibri" w:eastAsia="Calibri" w:hAnsi="Calibri" w:cs="Times New Roman"/>
        </w:rPr>
        <w:t>.</w:t>
      </w:r>
      <w:r w:rsidR="004D197F" w:rsidRPr="004D197F">
        <w:rPr>
          <w:rFonts w:ascii="Calibri" w:eastAsia="Calibri" w:hAnsi="Calibri" w:cs="Times New Roman"/>
        </w:rPr>
        <w:t xml:space="preserve"> </w:t>
      </w:r>
      <w:r w:rsidR="004D197F">
        <w:rPr>
          <w:rFonts w:ascii="Calibri" w:eastAsia="Calibri" w:hAnsi="Calibri" w:cs="Times New Roman"/>
        </w:rPr>
        <w:t xml:space="preserve">Each of these calculations was similarly sampled and updated over a 10-second time window. </w:t>
      </w:r>
      <w:r w:rsidR="00AD37EE">
        <w:rPr>
          <w:rFonts w:ascii="Times New Roman" w:hAnsi="Times New Roman" w:cs="Times New Roman"/>
          <w:color w:val="FF0000"/>
          <w:sz w:val="24"/>
          <w:szCs w:val="24"/>
          <w:lang w:val="en-GB"/>
        </w:rPr>
        <w:t xml:space="preserve"> </w:t>
      </w:r>
    </w:p>
    <w:p w14:paraId="6DE6F367" w14:textId="189FBD07" w:rsidR="006C0F40" w:rsidRPr="00C578FC" w:rsidRDefault="00B135D5" w:rsidP="00020ABC">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C578FC">
        <w:rPr>
          <w:rFonts w:ascii="Times New Roman" w:hAnsi="Times New Roman" w:cs="Times New Roman"/>
          <w:sz w:val="24"/>
          <w:szCs w:val="24"/>
          <w:lang w:val="en-GB"/>
        </w:rPr>
        <w:tab/>
      </w:r>
      <w:r w:rsidR="00E228CD">
        <w:rPr>
          <w:rFonts w:ascii="Calibri" w:eastAsia="Calibri" w:hAnsi="Calibri" w:cs="Times New Roman"/>
        </w:rPr>
        <w:t xml:space="preserve">The secondary phase of analysis computed time-averaged mean values </w:t>
      </w:r>
      <w:r w:rsidR="00C242B8">
        <w:rPr>
          <w:rFonts w:ascii="Calibri" w:eastAsia="Calibri" w:hAnsi="Calibri" w:cs="Times New Roman"/>
        </w:rPr>
        <w:t>of all of the above parameters, sampled and updated over a 10-second time window</w:t>
      </w:r>
      <w:r w:rsidR="00F21348">
        <w:rPr>
          <w:rFonts w:ascii="Calibri" w:eastAsia="Calibri" w:hAnsi="Calibri" w:cs="Times New Roman"/>
        </w:rPr>
        <w:t xml:space="preserve">, with the introduction of time-averaged mean values of </w:t>
      </w:r>
      <w:r w:rsidR="00BB5F9E">
        <w:rPr>
          <w:rFonts w:ascii="Calibri" w:eastAsia="Calibri" w:hAnsi="Calibri" w:cs="Calibri"/>
        </w:rPr>
        <w:t>Δ</w:t>
      </w:r>
      <w:r w:rsidR="00F21348">
        <w:rPr>
          <w:rFonts w:ascii="Calibri" w:eastAsia="Calibri" w:hAnsi="Calibri" w:cs="Times New Roman"/>
        </w:rPr>
        <w:t>CABV</w:t>
      </w:r>
      <w:r w:rsidR="00F21348" w:rsidRPr="00F21348">
        <w:rPr>
          <w:rFonts w:ascii="Calibri" w:eastAsia="Calibri" w:hAnsi="Calibri" w:cs="Times New Roman"/>
          <w:vertAlign w:val="subscript"/>
        </w:rPr>
        <w:t>1</w:t>
      </w:r>
      <w:r w:rsidR="00F21348">
        <w:rPr>
          <w:rFonts w:ascii="Calibri" w:eastAsia="Calibri" w:hAnsi="Calibri" w:cs="Times New Roman"/>
        </w:rPr>
        <w:t xml:space="preserve">, </w:t>
      </w:r>
      <w:r w:rsidR="00BB5F9E">
        <w:rPr>
          <w:rFonts w:ascii="Calibri" w:eastAsia="Calibri" w:hAnsi="Calibri" w:cs="Calibri"/>
        </w:rPr>
        <w:t>Δ</w:t>
      </w:r>
      <w:r w:rsidR="00F21348">
        <w:rPr>
          <w:rFonts w:ascii="Calibri" w:eastAsia="Calibri" w:hAnsi="Calibri" w:cs="Times New Roman"/>
        </w:rPr>
        <w:t>CABV</w:t>
      </w:r>
      <w:r w:rsidR="00F21348" w:rsidRPr="00F21348">
        <w:rPr>
          <w:rFonts w:ascii="Calibri" w:eastAsia="Calibri" w:hAnsi="Calibri" w:cs="Times New Roman"/>
          <w:vertAlign w:val="subscript"/>
        </w:rPr>
        <w:t>2</w:t>
      </w:r>
      <w:r w:rsidR="00F21348">
        <w:rPr>
          <w:rFonts w:ascii="Calibri" w:eastAsia="Calibri" w:hAnsi="Calibri" w:cs="Times New Roman"/>
        </w:rPr>
        <w:t xml:space="preserve">, and </w:t>
      </w:r>
      <w:r w:rsidR="00BB5F9E">
        <w:rPr>
          <w:rFonts w:ascii="Calibri" w:eastAsia="Calibri" w:hAnsi="Calibri" w:cs="Calibri"/>
        </w:rPr>
        <w:t>Δ</w:t>
      </w:r>
      <w:r w:rsidR="00F21348">
        <w:rPr>
          <w:rFonts w:ascii="Calibri" w:eastAsia="Calibri" w:hAnsi="Calibri" w:cs="Times New Roman"/>
        </w:rPr>
        <w:t>CABV</w:t>
      </w:r>
      <w:r w:rsidR="00F21348" w:rsidRPr="00F21348">
        <w:rPr>
          <w:rFonts w:ascii="Calibri" w:eastAsia="Calibri" w:hAnsi="Calibri" w:cs="Times New Roman"/>
          <w:vertAlign w:val="subscript"/>
        </w:rPr>
        <w:t>3</w:t>
      </w:r>
      <w:r w:rsidR="00BF4C38">
        <w:rPr>
          <w:rFonts w:ascii="Calibri" w:eastAsia="Calibri" w:hAnsi="Calibri" w:cs="Times New Roman"/>
          <w:vertAlign w:val="subscript"/>
        </w:rPr>
        <w:t xml:space="preserve"> </w:t>
      </w:r>
      <w:r w:rsidR="00BF4C38">
        <w:rPr>
          <w:rFonts w:ascii="Calibri" w:eastAsia="Calibri" w:hAnsi="Calibri" w:cs="Times New Roman"/>
        </w:rPr>
        <w:t>resolved into the spectral domain to yield the respective CABV</w:t>
      </w:r>
      <w:r w:rsidR="00BF4C38" w:rsidRPr="00BF4C38">
        <w:rPr>
          <w:rFonts w:ascii="Calibri" w:eastAsia="Calibri" w:hAnsi="Calibri" w:cs="Times New Roman"/>
          <w:vertAlign w:val="subscript"/>
        </w:rPr>
        <w:t>1S</w:t>
      </w:r>
      <w:r w:rsidR="00BF4C38">
        <w:rPr>
          <w:rFonts w:ascii="Calibri" w:eastAsia="Calibri" w:hAnsi="Calibri" w:cs="Times New Roman"/>
        </w:rPr>
        <w:t>, CABV</w:t>
      </w:r>
      <w:r w:rsidR="00BF4C38" w:rsidRPr="00BF4C38">
        <w:rPr>
          <w:rFonts w:ascii="Calibri" w:eastAsia="Calibri" w:hAnsi="Calibri" w:cs="Times New Roman"/>
          <w:vertAlign w:val="subscript"/>
        </w:rPr>
        <w:t>2S</w:t>
      </w:r>
      <w:r w:rsidR="00BF4C38">
        <w:rPr>
          <w:rFonts w:ascii="Calibri" w:eastAsia="Calibri" w:hAnsi="Calibri" w:cs="Times New Roman"/>
        </w:rPr>
        <w:t>, and CABV</w:t>
      </w:r>
      <w:r w:rsidR="00BF4C38" w:rsidRPr="00BF4C38">
        <w:rPr>
          <w:rFonts w:ascii="Calibri" w:eastAsia="Calibri" w:hAnsi="Calibri" w:cs="Times New Roman"/>
          <w:vertAlign w:val="subscript"/>
        </w:rPr>
        <w:t>3S</w:t>
      </w:r>
      <w:r w:rsidR="00F21348">
        <w:rPr>
          <w:rFonts w:ascii="Calibri" w:eastAsia="Calibri" w:hAnsi="Calibri" w:cs="Times New Roman"/>
        </w:rPr>
        <w:t xml:space="preserve">. </w:t>
      </w:r>
      <w:r w:rsidR="006D4B65">
        <w:rPr>
          <w:rFonts w:ascii="Calibri" w:eastAsia="Calibri" w:hAnsi="Calibri" w:cs="Times New Roman"/>
        </w:rPr>
        <w:t xml:space="preserve">These spectral components were included in the final analysis to create </w:t>
      </w:r>
      <w:r w:rsidR="004B5B47">
        <w:rPr>
          <w:rFonts w:ascii="Calibri" w:eastAsia="Calibri" w:hAnsi="Calibri" w:cs="Times New Roman"/>
        </w:rPr>
        <w:t>nine</w:t>
      </w:r>
      <w:r w:rsidR="006D4B65">
        <w:rPr>
          <w:rFonts w:ascii="Calibri" w:eastAsia="Calibri" w:hAnsi="Calibri" w:cs="Times New Roman"/>
        </w:rPr>
        <w:t xml:space="preserve"> separate models of </w:t>
      </w:r>
      <w:r w:rsidR="003051F0">
        <w:rPr>
          <w:rFonts w:ascii="Calibri" w:eastAsia="Calibri" w:hAnsi="Calibri" w:cs="Times New Roman"/>
        </w:rPr>
        <w:t>CaBV</w:t>
      </w:r>
      <w:r w:rsidR="00A3139F">
        <w:rPr>
          <w:rFonts w:ascii="Calibri" w:eastAsia="Calibri" w:hAnsi="Calibri" w:cs="Times New Roman"/>
        </w:rPr>
        <w:t xml:space="preserve"> </w:t>
      </w:r>
      <w:r w:rsidR="00AD4530">
        <w:rPr>
          <w:rFonts w:ascii="Calibri" w:eastAsia="Calibri" w:hAnsi="Calibri" w:cs="Times New Roman"/>
        </w:rPr>
        <w:t xml:space="preserve">approximation </w:t>
      </w:r>
      <w:r w:rsidR="00A3139F">
        <w:rPr>
          <w:rFonts w:ascii="Calibri" w:eastAsia="Calibri" w:hAnsi="Calibri" w:cs="Times New Roman"/>
        </w:rPr>
        <w:t xml:space="preserve">to be validated against </w:t>
      </w:r>
      <w:r w:rsidR="00BD2E22">
        <w:rPr>
          <w:rFonts w:ascii="Calibri" w:eastAsia="Calibri" w:hAnsi="Calibri" w:cs="Times New Roman"/>
        </w:rPr>
        <w:t>the existing sPI model</w:t>
      </w:r>
      <w:r w:rsidR="00B716EA" w:rsidRPr="00B716EA">
        <w:rPr>
          <w:rFonts w:ascii="Calibri" w:eastAsia="Calibri" w:hAnsi="Calibri" w:cs="Times New Roman"/>
          <w:vertAlign w:val="superscript"/>
        </w:rPr>
        <w:fldChar w:fldCharType="begin" w:fldLock="1"/>
      </w:r>
      <w:r w:rsidR="00372DE7">
        <w:rPr>
          <w:rFonts w:ascii="Calibri" w:eastAsia="Calibri" w:hAnsi="Calibri" w:cs="Times New Roman"/>
          <w:vertAlign w:val="superscript"/>
        </w:rPr>
        <w:instrText>ADDIN CSL_CITATION {"citationItems":[{"id":"ITEM-1","itemData":{"DOI":"10.1007/s12028-017-0404-9","ISSN":"15560961","abstract":"© 2017 The Author(s) Background: Determination of relationships between transcranial Doppler (TCD)-based spectral pulsatility index (sPI) and pulse amplitude (AMP) of intracranial pressure (ICP) in 2 groups of severe traumatic brain injury (TBI) patients (a) displaying plateau waves and (b) with unstable mean arterial pressure (MAP). Methods: We retrospectively reviewed patients with severe TBI and continuous TCD monitoring displaying either plateau waves or unstable MAP from 1992 to 1998. We utilized linear and nonlinear regression techniques to describ e both cohorts: cerebral perfusion pressure (CPP) versus AMP, CPP versus sPI, mean ICP versus ICP AMP, mean ICP versus sPI, and AMP versus sPI. Results: Nonlinear regression techniques were employed to analyze the relationships with CPP. In plateau wave and unstable MAP patients, CPP versus sPI displayed an inverse nonlinear relationship (R 2  = 0.820 vs. R 2  = 0.610, respectively), with the CPP versus sPI relationship best modeled by the following function in both cases: PI = a + (b/CPP). Similarly, in both groups, CPP versus AMP displayed an inverse nonlinear relationship (R 2  = 0.610 vs. R 2  = 0.360, respectively). Positive linear correlations were displayed in both the plateau wave and unstable MAP cohorts between: ICP versus AMP, ICP versus sPI, AMP versus sPI. Conclusions: There is an inverse relationship through nonlinear regression between CPP versus AMP and CPP versus sPI display. This provides evidence to support a previously-proposed model of TCD pulsatility index. ICP shows a positive linear correlation with AMP and sPI, which is also established between AMP and sPI.","author":[{"dropping-particle":"","family":"Calviello","given":"L.A.","non-dropping-particle":"","parse-names":false,"suffix":""},{"dropping-particle":"","family":"Riva","given":"N.","non-dropping-particle":"de","parse-names":false,"suffix":""},{"dropping-particle":"","family":"Donnelly","given":"J.","non-dropping-particle":"","parse-names":false,"suffix":""},{"dropping-particle":"","family":"Czosnyka","given":"M.","non-dropping-particle":"","parse-names":false,"suffix":""},{"dropping-particle":"","family":"Smielewski","given":"P.","non-dropping-particle":"","parse-names":false,"suffix":""},{"dropping-particle":"","family":"Menon","given":"D.K.","non-dropping-particle":"","parse-names":false,"suffix":""},{"dropping-particle":"","family":"Zeiler","given":"F.A.","non-dropping-particle":"","parse-names":false,"suffix":""}],"container-title":"Neurocritical Care","id":"ITEM-1","issued":{"date-parts":[["2017"]]},"title":"Relationship Between Brain Pulsatility and Cerebral Perfusion Pressure: Replicated Validation Using Different Drivers of CPP Change","type":"article-journal"},"uris":["http://www.mendeley.com/documents/?uuid=a382694f-6841-3d98-933a-f984fdb65bd3"]},{"id":"ITEM-2","itemData":{"DOI":"10.1007/s12028-012-9672-6","ISBN":"1541-6933","ISSN":"15416933","PMID":"22311229","abstract":"BACKGROUND: Transcranial Doppler (TCD) pulsatility index (PI) has traditionally been interpreted as a descriptor of distal cerebrovascular resistance (CVR). We sought to evaluate the relationship between PI and CVR in situations, where CVR increases (mild hypocapnia) and decreases (plateau waves of intracranial pressure-ICP).\\n\\nMETHODS: Recordings from patients with head-injury undergoing monitoring of arterial blood pressure (ABP), ICP, cerebral perfusion pressure (CPP), and TCD assessed cerebral blood flow velocities (FV) were analyzed. The Gosling pulsatility index (PI) was compared between baseline and ICP plateau waves (n = 20 patients) or short term (30-60 min) hypocapnia (n = 31). In addition, a modeling study was conducted with the \"spectral\" PI (calculated using fundamental harmonic of FV) resulting in a theoretical formula expressing the dependence of PI on balance of cerebrovascular impedances.\\n\\nRESULTS: PI increased significantly (p &lt; 0.001) while CVR decreased (p &lt; 0.001) during plateau waves. During hypocapnia PI and CVR increased (p &lt; 0.001). The modeling formula explained more than 65% of the variability of Gosling PI and 90% of the variability of the \"spectral\" PI (R = 0.81 and R = 0.95, respectively).\\n\\nCONCLUSION: TCD pulsatility index can be easily and quickly assessed but is usually misinterpreted as a descriptor of CVR. The mathematical model presents a complex relationship between PI and multiple haemodynamic variables.","author":[{"dropping-particle":"","family":"Riva","given":"Nicolás","non-dropping-particle":"De","parse-names":false,"suffix":""},{"dropping-particle":"","family":"Budohoski","given":"Karol P.","non-dropping-particle":"","parse-names":false,"suffix":""},{"dropping-particle":"","family":"Smielewski","given":"Peter","non-dropping-particle":"","parse-names":false,"suffix":""},{"dropping-particle":"","family":"Kasprowicz","given":"Magdalena","non-dropping-particle":"","parse-names":false,"suffix":""},{"dropping-particle":"","family":"Zweifel","given":"Christian","non-dropping-particle":"","parse-names":false,"suffix":""},{"dropping-particle":"","family":"Steiner","given":"Luzius A.","non-dropping-particle":"","parse-names":false,"suffix":""},{"dropping-particle":"","family":"Reinhard","given":"Matthias","non-dropping-particle":"","parse-names":false,"suffix":""},{"dropping-particle":"","family":"Fábregas","given":"Neus","non-dropping-particle":"","parse-names":false,"suffix":""},{"dropping-particle":"","family":"Pickard","given":"John D.","non-dropping-particle":"","parse-names":false,"suffix":""},{"dropping-particle":"","family":"Czosnyka","given":"Marek","non-dropping-particle":"","parse-names":false,"suffix":""}],"container-title":"Neurocritical Care","id":"ITEM-2","issue":"1","issued":{"date-parts":[["2012"]]},"page":"58-66","title":"Transcranial doppler pulsatility index: What it is and what it isn't","type":"article-journal","volume":"17"},"uris":["http://www.mendeley.com/documents/?uuid=63e7545f-3bfa-463a-8b5d-ea9ac928a360"]}],"mendeley":{"formattedCitation":"(10,27)","manualFormatting":"10,25","plainTextFormattedCitation":"(10,27)","previouslyFormattedCitation":"(10,27)"},"properties":{"noteIndex":0},"schema":"https://github.com/citation-style-language/schema/raw/master/csl-citation.json"}</w:instrText>
      </w:r>
      <w:r w:rsidR="00B716EA" w:rsidRPr="00B716EA">
        <w:rPr>
          <w:rFonts w:ascii="Calibri" w:eastAsia="Calibri" w:hAnsi="Calibri" w:cs="Times New Roman"/>
          <w:vertAlign w:val="superscript"/>
        </w:rPr>
        <w:fldChar w:fldCharType="separate"/>
      </w:r>
      <w:r w:rsidR="00B716EA" w:rsidRPr="00B716EA">
        <w:rPr>
          <w:rFonts w:ascii="Calibri" w:eastAsia="Calibri" w:hAnsi="Calibri" w:cs="Times New Roman"/>
          <w:noProof/>
          <w:vertAlign w:val="superscript"/>
        </w:rPr>
        <w:t>10,2</w:t>
      </w:r>
      <w:r w:rsidR="003411DF">
        <w:rPr>
          <w:rFonts w:ascii="Calibri" w:eastAsia="Calibri" w:hAnsi="Calibri" w:cs="Times New Roman"/>
          <w:noProof/>
          <w:vertAlign w:val="superscript"/>
        </w:rPr>
        <w:t>5</w:t>
      </w:r>
      <w:r w:rsidR="00B716EA" w:rsidRPr="00B716EA">
        <w:rPr>
          <w:rFonts w:ascii="Calibri" w:eastAsia="Calibri" w:hAnsi="Calibri" w:cs="Times New Roman"/>
          <w:vertAlign w:val="superscript"/>
        </w:rPr>
        <w:fldChar w:fldCharType="end"/>
      </w:r>
      <w:r w:rsidR="00B716EA" w:rsidRPr="00B716EA">
        <w:rPr>
          <w:rFonts w:ascii="Calibri" w:eastAsia="Calibri" w:hAnsi="Calibri" w:cs="Times New Roman"/>
        </w:rPr>
        <w:t xml:space="preserve"> </w:t>
      </w:r>
      <w:r w:rsidR="00A3139F" w:rsidRPr="00A3139F">
        <w:rPr>
          <w:rFonts w:ascii="Calibri" w:eastAsia="Calibri" w:hAnsi="Calibri" w:cs="Times New Roman"/>
        </w:rPr>
        <w:t xml:space="preserve">describing </w:t>
      </w:r>
      <w:r w:rsidR="00A3139F">
        <w:rPr>
          <w:rFonts w:ascii="Calibri" w:eastAsia="Calibri" w:hAnsi="Calibri" w:cs="Times New Roman"/>
        </w:rPr>
        <w:t>changes in CPP as a result of extreme pathology</w:t>
      </w:r>
      <w:r w:rsidR="001111BA">
        <w:rPr>
          <w:rFonts w:ascii="Calibri" w:eastAsia="Calibri" w:hAnsi="Calibri" w:cs="Times New Roman"/>
        </w:rPr>
        <w:t xml:space="preserve"> that were directly observed by TCD</w:t>
      </w:r>
      <w:r w:rsidR="00A3139F">
        <w:rPr>
          <w:rFonts w:ascii="Calibri" w:eastAsia="Calibri" w:hAnsi="Calibri" w:cs="Times New Roman"/>
        </w:rPr>
        <w:t>.</w:t>
      </w:r>
      <w:r w:rsidR="00AA4B4B">
        <w:rPr>
          <w:rFonts w:ascii="Calibri" w:eastAsia="Calibri" w:hAnsi="Calibri" w:cs="Times New Roman"/>
        </w:rPr>
        <w:t xml:space="preserve"> </w:t>
      </w:r>
    </w:p>
    <w:p w14:paraId="46AA9E5F" w14:textId="1174A978" w:rsidR="00E40A28" w:rsidRDefault="000423B1" w:rsidP="00020ABC">
      <w:pPr>
        <w:spacing w:line="480" w:lineRule="auto"/>
        <w:ind w:firstLine="720"/>
      </w:pPr>
      <w:r>
        <w:rPr>
          <w:rFonts w:ascii="Calibri" w:eastAsia="Calibri" w:hAnsi="Calibri" w:cs="Times New Roman"/>
        </w:rPr>
        <w:t xml:space="preserve">Final data processing </w:t>
      </w:r>
      <w:r w:rsidR="00B922CA">
        <w:rPr>
          <w:rFonts w:ascii="Calibri" w:eastAsia="Calibri" w:hAnsi="Calibri" w:cs="Times New Roman"/>
        </w:rPr>
        <w:t xml:space="preserve">efforts continued to determine the </w:t>
      </w:r>
      <w:r w:rsidR="00D37A5D">
        <w:rPr>
          <w:rFonts w:ascii="Calibri" w:eastAsia="Calibri" w:hAnsi="Calibri" w:cs="Times New Roman"/>
        </w:rPr>
        <w:t xml:space="preserve">time-averaged mean values from previous analytic phases, </w:t>
      </w:r>
      <w:r w:rsidR="004562C8">
        <w:rPr>
          <w:rFonts w:ascii="Calibri" w:eastAsia="Calibri" w:hAnsi="Calibri" w:cs="Times New Roman"/>
        </w:rPr>
        <w:t xml:space="preserve">each </w:t>
      </w:r>
      <w:r w:rsidR="00D37A5D">
        <w:rPr>
          <w:rFonts w:ascii="Calibri" w:eastAsia="Calibri" w:hAnsi="Calibri" w:cs="Times New Roman"/>
        </w:rPr>
        <w:t xml:space="preserve">sampled and updated over a 10-second time window. </w:t>
      </w:r>
      <w:r w:rsidR="001111BA">
        <w:rPr>
          <w:rFonts w:ascii="Calibri" w:eastAsia="Calibri" w:hAnsi="Calibri" w:cs="Times New Roman"/>
        </w:rPr>
        <w:t>Several new derived parameters were introduced here, including</w:t>
      </w:r>
      <w:r w:rsidR="00E545AA">
        <w:rPr>
          <w:rFonts w:ascii="Calibri" w:eastAsia="Calibri" w:hAnsi="Calibri" w:cs="Times New Roman"/>
        </w:rPr>
        <w:t>:</w:t>
      </w:r>
      <w:r w:rsidR="001111BA">
        <w:rPr>
          <w:rFonts w:ascii="Calibri" w:eastAsia="Calibri" w:hAnsi="Calibri" w:cs="Times New Roman"/>
        </w:rPr>
        <w:t xml:space="preserve"> sPI as the quotient of the means of F1 and FV</w:t>
      </w:r>
      <w:r w:rsidR="00E545AA">
        <w:rPr>
          <w:rFonts w:ascii="Calibri" w:eastAsia="Calibri" w:hAnsi="Calibri" w:cs="Times New Roman"/>
        </w:rPr>
        <w:t xml:space="preserve">, </w:t>
      </w:r>
      <w:r w:rsidR="001111BA">
        <w:rPr>
          <w:rFonts w:ascii="Calibri" w:eastAsia="Calibri" w:hAnsi="Calibri" w:cs="Times New Roman"/>
        </w:rPr>
        <w:t>mean CABV</w:t>
      </w:r>
      <w:r w:rsidR="001111BA" w:rsidRPr="007B0CF0">
        <w:rPr>
          <w:rFonts w:ascii="Calibri" w:eastAsia="Calibri" w:hAnsi="Calibri" w:cs="Times New Roman"/>
          <w:vertAlign w:val="subscript"/>
        </w:rPr>
        <w:t>1S</w:t>
      </w:r>
      <w:r w:rsidR="001111BA">
        <w:rPr>
          <w:rFonts w:ascii="Calibri" w:eastAsia="Calibri" w:hAnsi="Calibri" w:cs="Times New Roman"/>
        </w:rPr>
        <w:t>, CABV</w:t>
      </w:r>
      <w:r w:rsidR="001111BA" w:rsidRPr="007B0CF0">
        <w:rPr>
          <w:rFonts w:ascii="Calibri" w:eastAsia="Calibri" w:hAnsi="Calibri" w:cs="Times New Roman"/>
          <w:vertAlign w:val="subscript"/>
        </w:rPr>
        <w:t>2S</w:t>
      </w:r>
      <w:r w:rsidR="001111BA">
        <w:rPr>
          <w:rFonts w:ascii="Calibri" w:eastAsia="Calibri" w:hAnsi="Calibri" w:cs="Times New Roman"/>
        </w:rPr>
        <w:t xml:space="preserve">, </w:t>
      </w:r>
      <w:r w:rsidR="00E545AA">
        <w:rPr>
          <w:rFonts w:ascii="Calibri" w:eastAsia="Calibri" w:hAnsi="Calibri" w:cs="Times New Roman"/>
        </w:rPr>
        <w:t xml:space="preserve">and </w:t>
      </w:r>
      <w:r w:rsidR="001111BA">
        <w:rPr>
          <w:rFonts w:ascii="Calibri" w:eastAsia="Calibri" w:hAnsi="Calibri" w:cs="Times New Roman"/>
        </w:rPr>
        <w:t>CABV</w:t>
      </w:r>
      <w:r w:rsidR="001111BA" w:rsidRPr="007B0CF0">
        <w:rPr>
          <w:rFonts w:ascii="Calibri" w:eastAsia="Calibri" w:hAnsi="Calibri" w:cs="Times New Roman"/>
          <w:vertAlign w:val="subscript"/>
        </w:rPr>
        <w:t>3S</w:t>
      </w:r>
      <w:r w:rsidR="00E545AA">
        <w:rPr>
          <w:rFonts w:ascii="Calibri" w:eastAsia="Calibri" w:hAnsi="Calibri" w:cs="Times New Roman"/>
        </w:rPr>
        <w:t>, and</w:t>
      </w:r>
      <w:r w:rsidR="001111BA">
        <w:rPr>
          <w:rFonts w:ascii="Calibri" w:eastAsia="Calibri" w:hAnsi="Calibri" w:cs="Times New Roman"/>
        </w:rPr>
        <w:t xml:space="preserve"> </w:t>
      </w:r>
      <w:r w:rsidR="00E545AA">
        <w:rPr>
          <w:rFonts w:ascii="Calibri" w:eastAsia="Calibri" w:hAnsi="Calibri" w:cs="Times New Roman"/>
        </w:rPr>
        <w:t xml:space="preserve">the time constant of the cerebral arterial bed (tau, </w:t>
      </w:r>
      <w:r w:rsidR="00E545AA">
        <w:rPr>
          <w:rFonts w:ascii="Calibri" w:eastAsia="Calibri" w:hAnsi="Calibri" w:cs="Calibri"/>
        </w:rPr>
        <w:t>τ</w:t>
      </w:r>
      <w:r w:rsidR="00E545AA">
        <w:rPr>
          <w:rFonts w:ascii="Calibri" w:eastAsia="Calibri" w:hAnsi="Calibri" w:cs="Times New Roman"/>
        </w:rPr>
        <w:t xml:space="preserve">). </w:t>
      </w:r>
      <w:r w:rsidR="00266021">
        <w:rPr>
          <w:rFonts w:ascii="Calibri" w:eastAsia="Calibri" w:hAnsi="Calibri" w:cs="Times New Roman"/>
        </w:rPr>
        <w:t xml:space="preserve">Commonly interpreted as a simplified electronic circuit model consisting of a single resistor and capacitor, </w:t>
      </w:r>
      <w:r w:rsidR="00E545AA">
        <w:rPr>
          <w:rFonts w:ascii="Calibri" w:eastAsia="Calibri" w:hAnsi="Calibri" w:cs="Calibri"/>
        </w:rPr>
        <w:t>τ</w:t>
      </w:r>
      <w:r w:rsidR="00E545AA">
        <w:rPr>
          <w:rFonts w:ascii="Calibri" w:eastAsia="Calibri" w:hAnsi="Calibri" w:cs="Times New Roman"/>
        </w:rPr>
        <w:t xml:space="preserve"> </w:t>
      </w:r>
      <w:r w:rsidR="00266021">
        <w:rPr>
          <w:rFonts w:ascii="Calibri" w:eastAsia="Calibri" w:hAnsi="Calibri" w:cs="Times New Roman"/>
        </w:rPr>
        <w:t>is</w:t>
      </w:r>
      <w:r w:rsidR="00E545AA">
        <w:rPr>
          <w:rFonts w:ascii="Calibri" w:eastAsia="Calibri" w:hAnsi="Calibri" w:cs="Times New Roman"/>
        </w:rPr>
        <w:t xml:space="preserve"> evaluated </w:t>
      </w:r>
      <w:r w:rsidR="00266021">
        <w:rPr>
          <w:rFonts w:ascii="Calibri" w:eastAsia="Calibri" w:hAnsi="Calibri" w:cs="Times New Roman"/>
        </w:rPr>
        <w:t>as</w:t>
      </w:r>
      <w:r w:rsidR="004562C8">
        <w:rPr>
          <w:rFonts w:ascii="Calibri" w:eastAsia="Calibri" w:hAnsi="Calibri" w:cs="Times New Roman"/>
        </w:rPr>
        <w:t xml:space="preserve"> the relative time period required to fill the </w:t>
      </w:r>
      <w:r w:rsidR="001D4FAC">
        <w:rPr>
          <w:rFonts w:ascii="Calibri" w:eastAsia="Calibri" w:hAnsi="Calibri" w:cs="Times New Roman"/>
        </w:rPr>
        <w:t xml:space="preserve">cerebral </w:t>
      </w:r>
      <w:r w:rsidR="004562C8">
        <w:rPr>
          <w:rFonts w:ascii="Calibri" w:eastAsia="Calibri" w:hAnsi="Calibri" w:cs="Times New Roman"/>
        </w:rPr>
        <w:t>arterial bed</w:t>
      </w:r>
      <w:r w:rsidR="00FD660D" w:rsidRPr="00935DA6">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{"citationItems":[{"id":"ITEM-1","itemData":{"ISBN":"0065-1419 (Print)\\n0065-1419 (Linking)","ISSN":"0065-1419","PMID":"9779149","abstract":"OBJECTIVE: Cerebrovascular vasomotor reactivity reflects changes in smooth muscle tone in the arterial wall in response to changes in transmural pressure or concentration of carbon dioxide in blood. We have investigated whether slow waves in ABP and ICP may be used to derive an index which reflects reactivity of vessels to changes in arterial blood pressure. METHODS: A method for the continuous monitoring of the association between slow spontaneous waves in ICP and AP has been adopted in a group of 98 head injured patients. ABP, ICP and transcranial Doppler blood flow velocity (FV) in the middle cerebral artery was recorded daily (20 to 120 minutes time periods). A Pressure-Reactivity Index (PRx) was calculated as a moving correlation coefficient between 40 consecutive samples of values for ICP and ABP averaged over 5 seconds. A moving correlation coefficient between spontaneous fluctuations of mean FV and CPP (Mx), which was previously reported to describe cerebral blood flow autoregulation, was also calculated. In an additional 25 patients, PRx was calculated and recorded continuously along with mean ICP, ABP and parameters describing ICP waveform. RESULTS: A positive PRx correlated with high ICP (r = 0.366; p &lt; 0.001), low admission GCS (r = 0.29; p &lt; 0.01), and poor outcome at 6 months after injury (r = 0.48; p &lt; 0.00001). During the first two days following injury, PRx was positive (p &lt; 0.05) in patients with unfavourable outcome. The correlation between PRx and Mx (r = 0.63) was highly significant (p &lt; 0.000001). Continuous recordings demonstrated that PRx was able to indicate individual thresholds of vascular reactivity for CPP, ICP, and ventilation parameters. CONCLUSION: Computer analysis of slow waves in ABP and ICP is able to provide a continuous index of cerebrovascular reactivity to changes in arterial pressure, which is of prognostic significance.","author":[{"dropping-particle":"","family":"Czosnyka","given":"M","non-dropping-particle":"","parse-names":false,"suffix":""},{"dropping-particle":"","family":"Smielewski","given":"P","non-dropping-particle":"","parse-names":false,"suffix":""},{"dropping-particle":"","family":"Kirkpatrick","given":"P","non-dropping-particle":"","parse-names":false,"suffix":""},{"dropping-particle":"","family":"Piechnik","given":"S","non-dropping-particle":"","parse-names":false,"suffix":""},{"dropping-particle":"","family":"Laing","given":"R","non-dropping-particle":"","parse-names":false,"suffix":""},{"dropping-particle":"","family":"Pickard","given":"J D","non-dropping-particle":"","parse-names":false,"suffix":""}],"container-title":"Acta neurochirurgica. Supplement","id":"ITEM-1","issued":{"date-parts":[["1998"]]},"page":"74-77","title":"Continuous monitoring of cerebrovascular pressure-reactivity in head injury.","type":"article-journal","volume":"71"},"uris":["http://www.mendeley.com/documents/?uuid=add6240e-fb78-42dc-b56b-5444575b1e04"]},{"id":"ITEM-2","itemData":{"author":[{"dropping-particle":"","family":"Uryga A","given":"","non-dropping-particle":"","parse-names":false,"suffix":""},{"dropping-particle":"","family":"M","given":"Kasprowicz","non-dropping-particle":"","parse-names":false,"suffix":""},{"dropping-particle":"","family":"R","given":"Diehl","non-dropping-particle":"","parse-names":false,"suffix":""},{"dropping-particle":"","family":"K","given":"Kaczmarska","non-dropping-particle":"","parse-names":false,"suffix":""},{"dropping-particle":"","family":"Calviello L","given":"Czosnyka M.","non-dropping-particle":"","parse-names":false,"suffix":""}],"container-title":"Ultrasound in Medicine &amp; Biology.","id":"ITEM-2","issue":"In Review","issued":{"date-parts":[["2017"]]},"title":"Assessment of cerebral hemodynamic parameters using pulsatile versus non-pulsatile blood outflow model.","type":"article-journal"},"uris":["http://www.mendeley.com/documents/?uuid=d57068ca-a79a-4d12-8a00-98a8decb029b"]}],"mendeley":{"formattedCitation":"(5,7)","manualFormatting":"5,7","plainTextFormattedCitation":"(5,7)","previouslyFormattedCitation":"(5,7)"},"properties":{"noteIndex":0},"schema":"https://github.com/citation-style-language/schema/raw/master/csl-citation.json"}</w:instrText>
      </w:r>
      <w:r w:rsidR="00FD660D" w:rsidRPr="00935DA6">
        <w:rPr>
          <w:rFonts w:ascii="Calibri" w:eastAsia="Calibri" w:hAnsi="Calibri" w:cs="Times New Roman"/>
          <w:vertAlign w:val="superscript"/>
        </w:rPr>
        <w:fldChar w:fldCharType="separate"/>
      </w:r>
      <w:r w:rsidR="00C54931" w:rsidRPr="00935DA6">
        <w:rPr>
          <w:rFonts w:ascii="Calibri" w:eastAsia="Calibri" w:hAnsi="Calibri" w:cs="Times New Roman"/>
          <w:noProof/>
          <w:vertAlign w:val="superscript"/>
        </w:rPr>
        <w:t>5,7</w:t>
      </w:r>
      <w:r w:rsidR="00FD660D" w:rsidRPr="00935DA6">
        <w:rPr>
          <w:rFonts w:ascii="Calibri" w:eastAsia="Calibri" w:hAnsi="Calibri" w:cs="Times New Roman"/>
          <w:vertAlign w:val="superscript"/>
        </w:rPr>
        <w:fldChar w:fldCharType="end"/>
      </w:r>
      <w:r w:rsidR="00FD660D">
        <w:rPr>
          <w:rFonts w:ascii="Calibri" w:eastAsia="Calibri" w:hAnsi="Calibri" w:cs="Times New Roman"/>
        </w:rPr>
        <w:t xml:space="preserve">. </w:t>
      </w:r>
      <w:r w:rsidR="00D55F5E">
        <w:rPr>
          <w:rFonts w:cstheme="minorHAnsi"/>
        </w:rPr>
        <w:t>τ</w:t>
      </w:r>
      <w:r w:rsidR="00E40A28">
        <w:t xml:space="preserve"> is the product of Ca and CVR</w:t>
      </w:r>
      <w:r w:rsidR="002C6499">
        <w:t xml:space="preserve"> </w:t>
      </w:r>
      <w:r w:rsidR="00E40A28">
        <w:t>and emphasizes the “mutual interdependence” of these parameters from an absolute value of ABP</w:t>
      </w:r>
      <w:r w:rsidR="00B2659D" w:rsidRPr="00B2659D">
        <w:rPr>
          <w:vertAlign w:val="superscript"/>
        </w:rPr>
        <w:fldChar w:fldCharType="begin" w:fldLock="1"/>
      </w:r>
      <w:r w:rsidR="00BF7794">
        <w:rPr>
          <w:vertAlign w:val="superscript"/>
        </w:rPr>
        <w:instrText>ADDIN CSL_CITATION {"citationItems":[{"id":"ITEM-1","itemData":{"DOI":"10.1007/s12028-011-9653-1","ISBN":"1202801196","ISSN":"15416933","PMID":"22108783","abstract":"BACKGROUND: Cerebrovascular time constant (τ) estimates how fast cerebral blood arrives in cerebral arterial bed after each heart stroke. We investigate the pattern of changes in τ following subarachnoid hemorrhage (SAH), with specific emphasis on the temporal profile of changes in relation to the development of cerebral vasospasm. METHODS: Simultaneous recordings of arterial blood pressure (ABP) and transcranial Doppler (TCD) blood flow velocity (CBFV) in MCA were performed daily in patients after SAH. In 22 patients (10 males and 12 females; median age: 48 years, range: 34-84 years) recordings done before spasm were compared to those done during spasm. Vasospasm was confirmed with TCD (mean CBFV in MCA &gt; 120 cm/s and Lindegaard ratio &gt; 3). τ was estimated as a product of compliance of cerebral arteries (C (a)) and cerebrovascular resistance (CVR). C (a) and CVR were estimated using mathematical transformations of ABP and CBFV waveforms. RESULTS: Vasospasm caused shortening of τ on both the spastic (before: 0.20 ± 0.05 s vs. spasm: 0.14 ± 0.04 s, P &lt; 0.0008) and contralateral side (before: 0.22 ± 0.05 s vs. spasm: 0.16 ± 0.04 s, P &lt; 0.0008). Before TCD signs of vasospasm were detected, τ demonstrated asymmetry with lower values on ipsilateral side to aneurysm, in comparison to contralateral side (P &lt; 0.009), CONCLUSIONS: Cerebral vasospasm causes shortening of τ. Shorter τ at the side of aneurysm can be observed before formal TCD signs of vasospasm are observed, therefore, potentially reducing time to escalation of treatment.","author":[{"dropping-particle":"","family":"Kasprowicz","given":"Magdalena","non-dropping-particle":"","parse-names":false,"suffix":""},{"dropping-particle":"","family":"Czosnyka","given":"Marek","non-dropping-particle":"","parse-names":false,"suffix":""},{"dropping-particle":"","family":"Soehle","given":"Martin","non-dropping-particle":"","parse-names":false,"suffix":""},{"dropping-particle":"","family":"Smielewski","given":"Peter","non-dropping-particle":"","parse-names":false,"suffix":""},{"dropping-particle":"","family":"Kirkpatrick","given":"Peter J.","non-dropping-particle":"","parse-names":false,"suffix":""},{"dropping-particle":"","family":"Pickard","given":"John D.","non-dropping-particle":"","parse-names":false,"suffix":""},{"dropping-particle":"","family":"Budohoski","given":"Karol P.","non-dropping-particle":"","parse-names":false,"suffix":""}],"container-title":"Neurocritical Care","id":"ITEM-1","issued":{"date-parts":[["2012"]]},"title":"Vasospasm shortens cerebral arterial time constant","type":"article-journal"},"uris":["http://www.mendeley.com/documents/?uuid=9a67b514-a782-3d94-8f60-216a954bbb1d"]},{"id":"ITEM-2","itemData":{"ISBN":"0065-1419 (Print)\\r0065-1419 (Linking)","ISSN":"0065-1419","PMID":"9779192","abstract":"INTRODUCTION: Transcranial Doppler pulsatility index was reported clinically to increase when cerebral perfusion pressure decreased, hypothetically marking the lower limit of cerebral autoregulation. We sought to investigate the relationship between pulsatility index, cerenbrovascular resistance, and cerebral perfusion pressure in various states of autoregulation in an animal model of moderate intracranial hypertension. METHOD: Eight New-Zealand White Rabbits were studied with basilar artery blood flow velocity (ultrasound Doppler) and cortical blood flow (laser Doppler) monitored continuously during subarachnoid saline infusion to increase intracranial pressure (&lt; 55 mm Hg). Four animals demonstrated a stable cortical blood flow, and four demonstrated decreasing blood flow when cerebral perfusion pressure decreased. RESULTS: Pulsatility index showed the same pattern of increase when cerebral perfusion pressure decreased, independent on whether cortical blood flow was stable or falling. The percentage rate of increase in the pulsatility index was not different in autoregulating and non autoregulating animals. The rate of decrease in cerebrovascular resistance was significantly lower (p &lt; 0.05) in non-autoregulating than in autoregulating animals. CONCLUSION: The increase in transcranial Doppler pulsatility index when cerebral perfusion pressure falls cannot be interpreted as a phenomenon able to mark the lower limit of cerebral autoregulation.","author":[{"dropping-particle":"","family":"Richards","given":"H K","non-dropping-particle":"","parse-names":false,"suffix":""},{"dropping-particle":"","family":"Czosnyka","given":"M","non-dropping-particle":"","parse-names":false,"suffix":""},{"dropping-particle":"","family":"Whitehouse","given":"H","non-dropping-particle":"","parse-names":false,"suffix":""},{"dropping-particle":"","family":"Pickard","given":"J D","non-dropping-particle":"","parse-names":false,"suffix":""}],"container-title":"Acta Neurochir Suppl","id":"ITEM-2","issued":{"date-parts":[["1998"]]},"page":"229-232","title":"Increase in transcranial Doppler pulsatility index does not indicate the lower limit of cerebral autoregulation","type":"article-journal","volume":"71"},"uris":["http://www.mendeley.com/documents/?uuid=24a46e10-0e14-4fb5-ade6-b87ef1af36f1"]}],"mendeley":{"formattedCitation":"(28,29)","manualFormatting":"28,29","plainTextFormattedCitation":"(28,29)","previouslyFormattedCitation":"(28,29)"},"properties":{"noteIndex":0},"schema":"https://github.com/citation-style-language/schema/raw/master/csl-citation.json"}</w:instrText>
      </w:r>
      <w:r w:rsidR="00B2659D" w:rsidRPr="00B2659D">
        <w:rPr>
          <w:vertAlign w:val="superscript"/>
        </w:rPr>
        <w:fldChar w:fldCharType="separate"/>
      </w:r>
      <w:r w:rsidR="00B2659D" w:rsidRPr="00B2659D">
        <w:rPr>
          <w:noProof/>
          <w:vertAlign w:val="superscript"/>
        </w:rPr>
        <w:t>2</w:t>
      </w:r>
      <w:r w:rsidR="00BF7794">
        <w:rPr>
          <w:noProof/>
          <w:vertAlign w:val="superscript"/>
        </w:rPr>
        <w:t>8</w:t>
      </w:r>
      <w:r w:rsidR="00B2659D" w:rsidRPr="00B2659D">
        <w:rPr>
          <w:noProof/>
          <w:vertAlign w:val="superscript"/>
        </w:rPr>
        <w:t>,2</w:t>
      </w:r>
      <w:r w:rsidR="00BF7794">
        <w:rPr>
          <w:noProof/>
          <w:vertAlign w:val="superscript"/>
        </w:rPr>
        <w:t>9</w:t>
      </w:r>
      <w:r w:rsidR="00B2659D" w:rsidRPr="00B2659D">
        <w:rPr>
          <w:vertAlign w:val="superscript"/>
        </w:rPr>
        <w:fldChar w:fldCharType="end"/>
      </w:r>
      <w:r w:rsidR="00FD660D">
        <w:t>.</w:t>
      </w:r>
      <w:r w:rsidR="00E40A28">
        <w:t xml:space="preserve"> </w:t>
      </w:r>
      <w:r w:rsidR="00D55F5E">
        <w:t xml:space="preserve">Additionally, </w:t>
      </w:r>
      <w:r w:rsidR="00D55F5E">
        <w:rPr>
          <w:rFonts w:cstheme="minorHAnsi"/>
        </w:rPr>
        <w:t>τ</w:t>
      </w:r>
      <w:r w:rsidR="00E40A28">
        <w:t xml:space="preserve"> is not affected by </w:t>
      </w:r>
      <w:r w:rsidR="00D55F5E">
        <w:t>the surface area</w:t>
      </w:r>
      <w:r w:rsidR="00E40A28">
        <w:t xml:space="preserve"> of the </w:t>
      </w:r>
      <w:r w:rsidR="00FE5E7B">
        <w:t>middle cerebral artery (</w:t>
      </w:r>
      <w:r w:rsidR="00E40A28">
        <w:t>MCA</w:t>
      </w:r>
      <w:r w:rsidR="00FE5E7B">
        <w:t>)</w:t>
      </w:r>
      <w:r w:rsidR="00E40A28">
        <w:t xml:space="preserve">, so </w:t>
      </w:r>
      <w:r w:rsidR="00D55F5E">
        <w:t>challenges to the long-held</w:t>
      </w:r>
      <w:r w:rsidR="00E40A28">
        <w:t xml:space="preserve"> assumption </w:t>
      </w:r>
      <w:r w:rsidR="00D55F5E">
        <w:t>of its constant value do not pose a threat to this parameter’s applicability to patient data.</w:t>
      </w:r>
    </w:p>
    <w:p w14:paraId="44A73B07" w14:textId="1A22133A" w:rsidR="001A73F9" w:rsidRPr="00A23031" w:rsidRDefault="003268FD" w:rsidP="00020ABC">
      <w:pPr>
        <w:spacing w:line="480" w:lineRule="auto"/>
        <w:ind w:firstLine="720"/>
        <w:rPr>
          <w:rFonts w:ascii="Calibri" w:eastAsia="Calibri" w:hAnsi="Calibri" w:cs="Times New Roman"/>
        </w:rPr>
      </w:pPr>
      <w:r w:rsidRPr="00C51689">
        <w:rPr>
          <w:rFonts w:ascii="Calibri" w:eastAsia="Calibri" w:hAnsi="Calibri" w:cs="Times New Roman"/>
        </w:rPr>
        <w:t xml:space="preserve">Although </w:t>
      </w:r>
      <w:r w:rsidR="00C51689">
        <w:rPr>
          <w:rFonts w:ascii="Calibri" w:eastAsia="Calibri" w:hAnsi="Calibri" w:cs="Times New Roman"/>
        </w:rPr>
        <w:t xml:space="preserve">the calculation of </w:t>
      </w:r>
      <w:r w:rsidRPr="00C51689">
        <w:rPr>
          <w:rFonts w:ascii="Calibri" w:eastAsia="Calibri" w:hAnsi="Calibri" w:cs="Calibri"/>
        </w:rPr>
        <w:t>τ</w:t>
      </w:r>
      <w:r w:rsidRPr="00C51689">
        <w:rPr>
          <w:rFonts w:ascii="Calibri" w:eastAsia="Calibri" w:hAnsi="Calibri" w:cs="Times New Roman"/>
        </w:rPr>
        <w:t xml:space="preserve"> was not the primary feature of this report, </w:t>
      </w:r>
      <w:r w:rsidR="00C51689" w:rsidRPr="00C51689">
        <w:rPr>
          <w:rFonts w:ascii="Calibri" w:eastAsia="Calibri" w:hAnsi="Calibri" w:cs="Times New Roman"/>
        </w:rPr>
        <w:t xml:space="preserve">its inclusion in the final analysis supports its utility for </w:t>
      </w:r>
      <w:r w:rsidR="00C51689">
        <w:rPr>
          <w:rFonts w:ascii="Calibri" w:eastAsia="Calibri" w:hAnsi="Calibri" w:cs="Times New Roman"/>
        </w:rPr>
        <w:t xml:space="preserve">further description of changes in </w:t>
      </w:r>
      <w:r w:rsidR="00EA3631">
        <w:rPr>
          <w:rFonts w:ascii="Calibri" w:eastAsia="Calibri" w:hAnsi="Calibri" w:cs="Times New Roman"/>
        </w:rPr>
        <w:t xml:space="preserve">pulsatile </w:t>
      </w:r>
      <w:r w:rsidR="003051F0">
        <w:rPr>
          <w:rFonts w:ascii="Calibri" w:eastAsia="Calibri" w:hAnsi="Calibri" w:cs="Times New Roman"/>
        </w:rPr>
        <w:t>CaBV</w:t>
      </w:r>
      <w:r w:rsidR="00C51689">
        <w:rPr>
          <w:rFonts w:ascii="Calibri" w:eastAsia="Calibri" w:hAnsi="Calibri" w:cs="Times New Roman"/>
        </w:rPr>
        <w:t>.</w:t>
      </w:r>
      <w:r w:rsidR="00432813">
        <w:rPr>
          <w:rFonts w:ascii="Calibri" w:eastAsia="Calibri" w:hAnsi="Calibri" w:cs="Times New Roman"/>
        </w:rPr>
        <w:t xml:space="preserve"> </w:t>
      </w:r>
      <w:r w:rsidR="00AF4C1C">
        <w:rPr>
          <w:rFonts w:ascii="Calibri" w:eastAsia="Calibri" w:hAnsi="Calibri" w:cs="Calibri"/>
        </w:rPr>
        <w:t>τ</w:t>
      </w:r>
      <w:r w:rsidR="00D55F5E">
        <w:rPr>
          <w:rFonts w:ascii="Calibri" w:eastAsia="Calibri" w:hAnsi="Calibri" w:cs="Times New Roman"/>
        </w:rPr>
        <w:t xml:space="preserve"> </w:t>
      </w:r>
      <w:r w:rsidR="00432813">
        <w:rPr>
          <w:rFonts w:ascii="Calibri" w:eastAsia="Calibri" w:hAnsi="Calibri" w:cs="Times New Roman"/>
        </w:rPr>
        <w:t>varies inversely with fluctuations in ABP or CPP, which are c</w:t>
      </w:r>
      <w:r w:rsidR="00D55F5E">
        <w:rPr>
          <w:rFonts w:ascii="Calibri" w:eastAsia="Calibri" w:hAnsi="Calibri" w:cs="Times New Roman"/>
        </w:rPr>
        <w:t>rucial components of our interpretation of CFF and PFF models</w:t>
      </w:r>
      <w:r w:rsidR="00B2659D" w:rsidRPr="00B2659D">
        <w:rPr>
          <w:rFonts w:ascii="Calibri" w:eastAsia="Calibri" w:hAnsi="Calibri" w:cs="Times New Roman"/>
          <w:vertAlign w:val="superscript"/>
        </w:rPr>
        <w:fldChar w:fldCharType="begin" w:fldLock="1"/>
      </w:r>
      <w:r w:rsidR="00BF7794">
        <w:rPr>
          <w:rFonts w:ascii="Calibri" w:eastAsia="Calibri" w:hAnsi="Calibri" w:cs="Times New Roman"/>
          <w:vertAlign w:val="superscript"/>
        </w:rPr>
        <w:instrText>ADDIN CSL_CITATION {"citationItems":[{"id":"ITEM-1","itemData":{"DOI":"10.1007/s12028-011-9653-1","ISBN":"1202801196","ISSN":"15416933","PMID":"22108783","abstract":"BACKGROUND: Cerebrovascular time constant (τ) estimates how fast cerebral blood arrives in cerebral arterial bed after each heart stroke. We investigate the pattern of changes in τ following subarachnoid hemorrhage (SAH), with specific emphasis on the temporal profile of changes in relation to the development of cerebral vasospasm. METHODS: Simultaneous recordings of arterial blood pressure (ABP) and transcranial Doppler (TCD) blood flow velocity (CBFV) in MCA were performed daily in patients after SAH. In 22 patients (10 males and 12 females; median age: 48 years, range: 34-84 years) recordings done before spasm were compared to those done during spasm. Vasospasm was confirmed with TCD (mean CBFV in MCA &gt; 120 cm/s and Lindegaard ratio &gt; 3). τ was estimated as a product of compliance of cerebral arteries (C (a)) and cerebrovascular resistance (CVR). C (a) and CVR were estimated using mathematical transformations of ABP and CBFV waveforms. RESULTS: Vasospasm caused shortening of τ on both the spastic (before: 0.20 ± 0.05 s vs. spasm: 0.14 ± 0.04 s, P &lt; 0.0008) and contralateral side (before: 0.22 ± 0.05 s vs. spasm: 0.16 ± 0.04 s, P &lt; 0.0008). Before TCD signs of vasospasm were detected, τ demonstrated asymmetry with lower values on ipsilateral side to aneurysm, in comparison to contralateral side (P &lt; 0.009), CONCLUSIONS: Cerebral vasospasm causes shortening of τ. Shorter τ at the side of aneurysm can be observed before formal TCD signs of vasospasm are observed, therefore, potentially reducing time to escalation of treatment.","author":[{"dropping-particle":"","family":"Kasprowicz","given":"Magdalena","non-dropping-particle":"","parse-names":false,"suffix":""},{"dropping-particle":"","family":"Czosnyka","given":"Marek","non-dropping-particle":"","parse-names":false,"suffix":""},{"dropping-particle":"","family":"Soehle","given":"Martin","non-dropping-particle":"","parse-names":false,"suffix":""},{"dropping-particle":"","family":"Smielewski","given":"Peter","non-dropping-particle":"","parse-names":false,"suffix":""},{"dropping-particle":"","family":"Kirkpatrick","given":"Peter J.","non-dropping-particle":"","parse-names":false,"suffix":""},{"dropping-particle":"","family":"Pickard","given":"John D.","non-dropping-particle":"","parse-names":false,"suffix":""},{"dropping-particle":"","family":"Budohoski","given":"Karol P.","non-dropping-particle":"","parse-names":false,"suffix":""}],"container-title":"Neurocritical Care","id":"ITEM-1","issued":{"date-parts":[["2012"]]},"title":"Vasospasm shortens cerebral arterial time constant","type":"article-journal"},"uris":["http://www.mendeley.com/documents/?uuid=9a67b514-a782-3d94-8f60-216a954bbb1d"]},{"id":"ITEM-2","itemData":{"ISBN":"0065-1419 (Print)\\r0065-1419 (Linking)","ISSN":"0065-1419","PMID":"9779192","abstract":"INTRODUCTION: Transcranial Doppler pulsatility index was reported clinically to increase when cerebral perfusion pressure decreased, hypothetically marking the lower limit of cerebral autoregulation. We sought to investigate the relationship between pulsatility index, cerenbrovascular resistance, and cerebral perfusion pressure in various states of autoregulation in an animal model of moderate intracranial hypertension. METHOD: Eight New-Zealand White Rabbits were studied with basilar artery blood flow velocity (ultrasound Doppler) and cortical blood flow (laser Doppler) monitored continuously during subarachnoid saline infusion to increase intracranial pressure (&lt; 55 mm Hg). Four animals demonstrated a stable cortical blood flow, and four demonstrated decreasing blood flow when cerebral perfusion pressure decreased. RESULTS: Pulsatility index showed the same pattern of increase when cerebral perfusion pressure decreased, independent on whether cortical blood flow was stable or falling. The percentage rate of increase in the pulsatility index was not different in autoregulating and non autoregulating animals. The rate of decrease in cerebrovascular resistance was significantly lower (p &lt; 0.05) in non-autoregulating than in autoregulating animals. CONCLUSION: The increase in transcranial Doppler pulsatility index when cerebral perfusion pressure falls cannot be interpreted as a phenomenon able to mark the lower limit of cerebral autoregulation.","author":[{"dropping-particle":"","family":"Richards","given":"H K","non-dropping-particle":"","parse-names":false,"suffix":""},{"dropping-particle":"","family":"Czosnyka","given":"M","non-dropping-particle":"","parse-names":false,"suffix":""},{"dropping-particle":"","family":"Whitehouse","given":"H","non-dropping-particle":"","parse-names":false,"suffix":""},{"dropping-particle":"","family":"Pickard","given":"J D","non-dropping-particle":"","parse-names":false,"suffix":""}],"container-title":"Acta Neurochir Suppl","id":"ITEM-2","issued":{"date-parts":[["1998"]]},"page":"229-232","title":"Increase in transcranial Doppler pulsatility index does not indicate the lower limit of cerebral autoregulation","type":"article-journal","volume":"71"},"uris":["http://www.mendeley.com/documents/?uuid=24a46e10-0e14-4fb5-ade6-b87ef1af36f1"]}],"mendeley":{"formattedCitation":"(28,29)","manualFormatting":"28,29","plainTextFormattedCitation":"(28,29)","previouslyFormattedCitation":"(28,29)"},"properties":{"noteIndex":0},"schema":"https://github.com/citation-style-language/schema/raw/master/csl-citation.json"}</w:instrText>
      </w:r>
      <w:r w:rsidR="00B2659D" w:rsidRPr="00B2659D">
        <w:rPr>
          <w:rFonts w:ascii="Calibri" w:eastAsia="Calibri" w:hAnsi="Calibri" w:cs="Times New Roman"/>
          <w:vertAlign w:val="superscript"/>
        </w:rPr>
        <w:fldChar w:fldCharType="separate"/>
      </w:r>
      <w:r w:rsidR="00B2659D" w:rsidRPr="00B2659D">
        <w:rPr>
          <w:rFonts w:ascii="Calibri" w:eastAsia="Calibri" w:hAnsi="Calibri" w:cs="Times New Roman"/>
          <w:noProof/>
          <w:vertAlign w:val="superscript"/>
        </w:rPr>
        <w:t>2</w:t>
      </w:r>
      <w:r w:rsidR="00BF7794">
        <w:rPr>
          <w:rFonts w:ascii="Calibri" w:eastAsia="Calibri" w:hAnsi="Calibri" w:cs="Times New Roman"/>
          <w:noProof/>
          <w:vertAlign w:val="superscript"/>
        </w:rPr>
        <w:t>8</w:t>
      </w:r>
      <w:r w:rsidR="00B2659D" w:rsidRPr="00B2659D">
        <w:rPr>
          <w:rFonts w:ascii="Calibri" w:eastAsia="Calibri" w:hAnsi="Calibri" w:cs="Times New Roman"/>
          <w:noProof/>
          <w:vertAlign w:val="superscript"/>
        </w:rPr>
        <w:t>,2</w:t>
      </w:r>
      <w:r w:rsidR="00BF7794">
        <w:rPr>
          <w:rFonts w:ascii="Calibri" w:eastAsia="Calibri" w:hAnsi="Calibri" w:cs="Times New Roman"/>
          <w:noProof/>
          <w:vertAlign w:val="superscript"/>
        </w:rPr>
        <w:t>9</w:t>
      </w:r>
      <w:r w:rsidR="00B2659D" w:rsidRPr="00B2659D">
        <w:rPr>
          <w:rFonts w:ascii="Calibri" w:eastAsia="Calibri" w:hAnsi="Calibri" w:cs="Times New Roman"/>
          <w:vertAlign w:val="superscript"/>
        </w:rPr>
        <w:fldChar w:fldCharType="end"/>
      </w:r>
      <w:r w:rsidR="00FD660D">
        <w:rPr>
          <w:rFonts w:ascii="Calibri" w:eastAsia="Calibri" w:hAnsi="Calibri" w:cs="Times New Roman"/>
        </w:rPr>
        <w:t xml:space="preserve">. </w:t>
      </w:r>
      <w:r w:rsidR="00A43B66">
        <w:rPr>
          <w:rFonts w:ascii="Calibri" w:eastAsia="Calibri" w:hAnsi="Calibri" w:cs="Times New Roman"/>
        </w:rPr>
        <w:t xml:space="preserve">Our </w:t>
      </w:r>
      <w:r w:rsidR="004B5B47">
        <w:rPr>
          <w:rFonts w:ascii="Calibri" w:eastAsia="Calibri" w:hAnsi="Calibri" w:cs="Times New Roman"/>
        </w:rPr>
        <w:t>nine</w:t>
      </w:r>
      <w:r w:rsidR="00655F6A">
        <w:rPr>
          <w:rFonts w:ascii="Calibri" w:eastAsia="Calibri" w:hAnsi="Calibri" w:cs="Times New Roman"/>
        </w:rPr>
        <w:t xml:space="preserve"> derived</w:t>
      </w:r>
      <w:r w:rsidR="00A43B66">
        <w:rPr>
          <w:rFonts w:ascii="Calibri" w:eastAsia="Calibri" w:hAnsi="Calibri" w:cs="Times New Roman"/>
        </w:rPr>
        <w:t xml:space="preserve"> estimators of </w:t>
      </w:r>
      <w:r w:rsidR="003F3409">
        <w:rPr>
          <w:rFonts w:ascii="Calibri" w:eastAsia="Calibri" w:hAnsi="Calibri" w:cs="Times New Roman"/>
        </w:rPr>
        <w:t>CaBV pulsatility</w:t>
      </w:r>
      <w:r w:rsidR="00A43B66">
        <w:rPr>
          <w:rFonts w:ascii="Calibri" w:eastAsia="Calibri" w:hAnsi="Calibri" w:cs="Times New Roman"/>
        </w:rPr>
        <w:t xml:space="preserve"> each employ a similar </w:t>
      </w:r>
      <w:r w:rsidR="00655F6A">
        <w:rPr>
          <w:rFonts w:ascii="Calibri" w:eastAsia="Calibri" w:hAnsi="Calibri" w:cs="Times New Roman"/>
        </w:rPr>
        <w:t xml:space="preserve">circuit model to </w:t>
      </w:r>
      <w:r w:rsidR="00655F6A">
        <w:rPr>
          <w:rFonts w:ascii="Calibri" w:eastAsia="Calibri" w:hAnsi="Calibri" w:cs="Calibri"/>
        </w:rPr>
        <w:t>τ</w:t>
      </w:r>
      <w:r w:rsidR="00655F6A">
        <w:rPr>
          <w:rFonts w:ascii="Calibri" w:eastAsia="Calibri" w:hAnsi="Calibri" w:cs="Times New Roman"/>
        </w:rPr>
        <w:t>,</w:t>
      </w:r>
      <w:r w:rsidR="00D8448C">
        <w:rPr>
          <w:rFonts w:ascii="Calibri" w:eastAsia="Calibri" w:hAnsi="Calibri" w:cs="Times New Roman"/>
        </w:rPr>
        <w:t xml:space="preserve"> with single resistors</w:t>
      </w:r>
      <w:r w:rsidR="00A40524">
        <w:rPr>
          <w:rFonts w:ascii="Calibri" w:eastAsia="Calibri" w:hAnsi="Calibri" w:cs="Times New Roman"/>
        </w:rPr>
        <w:t xml:space="preserve"> (R</w:t>
      </w:r>
      <w:r w:rsidR="00412D83">
        <w:rPr>
          <w:rFonts w:ascii="Calibri" w:eastAsia="Calibri" w:hAnsi="Calibri" w:cs="Times New Roman"/>
        </w:rPr>
        <w:t>a</w:t>
      </w:r>
      <w:r w:rsidR="00A40524">
        <w:rPr>
          <w:rFonts w:ascii="Calibri" w:eastAsia="Calibri" w:hAnsi="Calibri" w:cs="Times New Roman"/>
        </w:rPr>
        <w:t>1-R</w:t>
      </w:r>
      <w:r w:rsidR="00412D83">
        <w:rPr>
          <w:rFonts w:ascii="Calibri" w:eastAsia="Calibri" w:hAnsi="Calibri" w:cs="Times New Roman"/>
        </w:rPr>
        <w:t>a</w:t>
      </w:r>
      <w:r w:rsidR="00A40524">
        <w:rPr>
          <w:rFonts w:ascii="Calibri" w:eastAsia="Calibri" w:hAnsi="Calibri" w:cs="Times New Roman"/>
        </w:rPr>
        <w:t>3)</w:t>
      </w:r>
      <w:r w:rsidR="00D8448C">
        <w:rPr>
          <w:rFonts w:ascii="Calibri" w:eastAsia="Calibri" w:hAnsi="Calibri" w:cs="Times New Roman"/>
        </w:rPr>
        <w:t xml:space="preserve"> and capacitors represented by manipulated combinations</w:t>
      </w:r>
      <w:r w:rsidR="00B46935">
        <w:rPr>
          <w:rFonts w:ascii="Calibri" w:eastAsia="Calibri" w:hAnsi="Calibri" w:cs="Times New Roman"/>
        </w:rPr>
        <w:t xml:space="preserve"> </w:t>
      </w:r>
      <w:r w:rsidR="00D8448C">
        <w:rPr>
          <w:rFonts w:ascii="Calibri" w:eastAsia="Calibri" w:hAnsi="Calibri" w:cs="Times New Roman"/>
        </w:rPr>
        <w:t>of aspects of either</w:t>
      </w:r>
      <w:r w:rsidR="00773EAE">
        <w:rPr>
          <w:rFonts w:ascii="Calibri" w:eastAsia="Calibri" w:hAnsi="Calibri" w:cs="Times New Roman"/>
        </w:rPr>
        <w:t xml:space="preserve"> </w:t>
      </w:r>
      <w:r w:rsidR="00773EAE">
        <w:rPr>
          <w:rFonts w:ascii="Calibri" w:eastAsia="Calibri" w:hAnsi="Calibri" w:cs="Times New Roman"/>
        </w:rPr>
        <w:lastRenderedPageBreak/>
        <w:t>the</w:t>
      </w:r>
      <w:r w:rsidR="00D8448C">
        <w:rPr>
          <w:rFonts w:ascii="Calibri" w:eastAsia="Calibri" w:hAnsi="Calibri" w:cs="Times New Roman"/>
        </w:rPr>
        <w:t xml:space="preserve"> continuous or pulsatile flow forward models</w:t>
      </w:r>
      <w:r w:rsidR="00F94FC5">
        <w:rPr>
          <w:rFonts w:ascii="Calibri" w:eastAsia="Calibri" w:hAnsi="Calibri" w:cs="Times New Roman"/>
        </w:rPr>
        <w:t xml:space="preserve"> and cerebral hemodynamic parameters</w:t>
      </w:r>
      <w:r w:rsidR="008E4B79">
        <w:rPr>
          <w:rFonts w:ascii="Calibri" w:eastAsia="Calibri" w:hAnsi="Calibri" w:cs="Times New Roman"/>
        </w:rPr>
        <w:t xml:space="preserve"> (ABP, CPP, FV)</w:t>
      </w:r>
      <w:r w:rsidR="00F94FC5">
        <w:rPr>
          <w:rFonts w:ascii="Calibri" w:eastAsia="Calibri" w:hAnsi="Calibri" w:cs="Times New Roman"/>
        </w:rPr>
        <w:t xml:space="preserve"> </w:t>
      </w:r>
      <w:r w:rsidR="008E4B79">
        <w:rPr>
          <w:rFonts w:ascii="Calibri" w:eastAsia="Calibri" w:hAnsi="Calibri" w:cs="Times New Roman"/>
        </w:rPr>
        <w:t>sourced</w:t>
      </w:r>
      <w:r w:rsidR="00F94FC5">
        <w:rPr>
          <w:rFonts w:ascii="Calibri" w:eastAsia="Calibri" w:hAnsi="Calibri" w:cs="Times New Roman"/>
        </w:rPr>
        <w:t xml:space="preserve"> through ICM+</w:t>
      </w:r>
      <w:r w:rsidR="002109EF" w:rsidRPr="002109EF">
        <w:rPr>
          <w:rFonts w:ascii="Calibri" w:eastAsia="Calibri" w:hAnsi="Calibri" w:cs="Times New Roman"/>
          <w:vertAlign w:val="superscript"/>
        </w:rPr>
        <w:t>TM</w:t>
      </w:r>
      <w:r w:rsidR="00F94FC5" w:rsidRPr="00B46935">
        <w:rPr>
          <w:rFonts w:ascii="Calibri" w:eastAsia="Calibri" w:hAnsi="Calibri" w:cs="Times New Roman"/>
        </w:rPr>
        <w:t>.</w:t>
      </w:r>
      <w:r w:rsidR="00F94FC5">
        <w:rPr>
          <w:rFonts w:ascii="Calibri" w:eastAsia="Calibri" w:hAnsi="Calibri" w:cs="Times New Roman"/>
        </w:rPr>
        <w:t xml:space="preserve"> </w:t>
      </w:r>
      <w:r w:rsidR="008E4B79">
        <w:rPr>
          <w:rFonts w:ascii="Calibri" w:eastAsia="Calibri" w:hAnsi="Calibri" w:cs="Times New Roman"/>
        </w:rPr>
        <w:t>The resistors and capacitors “available”</w:t>
      </w:r>
      <w:r w:rsidR="003D7D88" w:rsidRPr="003D7D88">
        <w:rPr>
          <w:rFonts w:ascii="Calibri" w:eastAsia="Calibri" w:hAnsi="Calibri" w:cs="Times New Roman"/>
        </w:rPr>
        <w:t xml:space="preserve"> </w:t>
      </w:r>
      <w:r w:rsidR="003D7D88">
        <w:rPr>
          <w:rFonts w:ascii="Calibri" w:eastAsia="Calibri" w:hAnsi="Calibri" w:cs="Times New Roman"/>
        </w:rPr>
        <w:t>(listed as PI_CxR</w:t>
      </w:r>
      <w:r w:rsidR="00412D83">
        <w:rPr>
          <w:rFonts w:ascii="Calibri" w:eastAsia="Calibri" w:hAnsi="Calibri" w:cs="Times New Roman"/>
        </w:rPr>
        <w:t>a</w:t>
      </w:r>
      <w:r w:rsidR="003D7D88">
        <w:rPr>
          <w:rFonts w:ascii="Calibri" w:eastAsia="Calibri" w:hAnsi="Calibri" w:cs="Times New Roman"/>
        </w:rPr>
        <w:t>x )</w:t>
      </w:r>
      <w:r w:rsidR="008E4B79">
        <w:rPr>
          <w:rFonts w:ascii="Calibri" w:eastAsia="Calibri" w:hAnsi="Calibri" w:cs="Times New Roman"/>
        </w:rPr>
        <w:t xml:space="preserve"> for the creation of each of these models are listed below, with the full formulaic characterizations to be found in Appendix </w:t>
      </w:r>
      <w:r w:rsidR="00C578FC">
        <w:rPr>
          <w:rFonts w:ascii="Calibri" w:eastAsia="Calibri" w:hAnsi="Calibri" w:cs="Times New Roman"/>
        </w:rPr>
        <w:t>B</w:t>
      </w:r>
      <w:r w:rsidR="008E4B79">
        <w:rPr>
          <w:rFonts w:ascii="Calibri" w:eastAsia="Calibri" w:hAnsi="Calibri" w:cs="Times New Roman"/>
        </w:rPr>
        <w:t xml:space="preserve">. </w:t>
      </w:r>
    </w:p>
    <w:p w14:paraId="5C82A695" w14:textId="74BB93A5" w:rsidR="00A90463" w:rsidRPr="00D27D81" w:rsidRDefault="00A90463" w:rsidP="00020ABC">
      <w:pPr>
        <w:spacing w:line="480" w:lineRule="auto"/>
        <w:ind w:firstLine="720"/>
        <w:rPr>
          <w:rFonts w:ascii="Calibri" w:eastAsia="Calibri" w:hAnsi="Calibri" w:cs="Times New Roman"/>
        </w:rPr>
      </w:pPr>
      <w:r w:rsidRPr="00D27D81">
        <w:rPr>
          <w:rFonts w:ascii="Calibri" w:eastAsia="Calibri" w:hAnsi="Calibri" w:cs="Times New Roman"/>
        </w:rPr>
        <w:t>All data post-processing was exported from each patient to separate comma-separated variable (CSV) files for further statistical analysis.</w:t>
      </w:r>
    </w:p>
    <w:p w14:paraId="1B3D94FF" w14:textId="39F5D992" w:rsidR="00A90463" w:rsidRPr="00A90463" w:rsidRDefault="00A90463" w:rsidP="00020ABC">
      <w:pPr>
        <w:spacing w:line="480" w:lineRule="auto"/>
        <w:jc w:val="right"/>
        <w:rPr>
          <w:rFonts w:ascii="Calibri" w:eastAsia="Calibri" w:hAnsi="Calibri" w:cs="Times New Roman"/>
          <w:highlight w:val="yellow"/>
        </w:rPr>
      </w:pPr>
    </w:p>
    <w:p w14:paraId="2489BF93" w14:textId="1DCADC10" w:rsidR="00A90463" w:rsidRDefault="00A90463" w:rsidP="00020ABC">
      <w:pPr>
        <w:spacing w:line="480" w:lineRule="auto"/>
        <w:rPr>
          <w:rFonts w:ascii="Calibri" w:eastAsia="Calibri" w:hAnsi="Calibri" w:cs="Times New Roman"/>
          <w:b/>
          <w:i/>
        </w:rPr>
      </w:pPr>
      <w:r w:rsidRPr="00BF6462">
        <w:rPr>
          <w:rFonts w:ascii="Calibri" w:eastAsia="Calibri" w:hAnsi="Calibri" w:cs="Times New Roman"/>
          <w:b/>
          <w:i/>
        </w:rPr>
        <w:t>Statistics</w:t>
      </w:r>
    </w:p>
    <w:p w14:paraId="0A691CAB" w14:textId="77777777" w:rsidR="00FA46DF" w:rsidRPr="00BF6462" w:rsidRDefault="00FA46DF" w:rsidP="00020ABC">
      <w:pPr>
        <w:spacing w:line="480" w:lineRule="auto"/>
        <w:rPr>
          <w:rFonts w:ascii="Calibri" w:eastAsia="Calibri" w:hAnsi="Calibri" w:cs="Times New Roman"/>
          <w:b/>
          <w:i/>
        </w:rPr>
      </w:pPr>
    </w:p>
    <w:p w14:paraId="2BBE802D" w14:textId="23689CDB" w:rsidR="00E80F53" w:rsidRDefault="00A90463" w:rsidP="00020ABC">
      <w:pPr>
        <w:spacing w:line="480" w:lineRule="auto"/>
        <w:rPr>
          <w:rFonts w:ascii="Calibri" w:eastAsia="Calibri" w:hAnsi="Calibri" w:cs="Times New Roman"/>
        </w:rPr>
      </w:pPr>
      <w:r w:rsidRPr="00BF6462">
        <w:rPr>
          <w:rFonts w:ascii="Calibri" w:eastAsia="Calibri" w:hAnsi="Calibri" w:cs="Times New Roman"/>
          <w:i/>
        </w:rPr>
        <w:tab/>
      </w:r>
      <w:r w:rsidRPr="00BF6462">
        <w:rPr>
          <w:rFonts w:ascii="Calibri" w:eastAsia="Calibri" w:hAnsi="Calibri" w:cs="Times New Roman"/>
        </w:rPr>
        <w:t>All statistical analyses were conducted</w:t>
      </w:r>
      <w:r w:rsidR="00A066F2" w:rsidRPr="00BF6462">
        <w:rPr>
          <w:rFonts w:ascii="Calibri" w:eastAsia="Calibri" w:hAnsi="Calibri" w:cs="Times New Roman"/>
        </w:rPr>
        <w:t xml:space="preserve"> utilizing R</w:t>
      </w:r>
      <w:r w:rsidR="00143BEB">
        <w:rPr>
          <w:rFonts w:ascii="Calibri" w:eastAsia="Calibri" w:hAnsi="Calibri" w:cs="Times New Roman"/>
        </w:rPr>
        <w:t xml:space="preserve"> </w:t>
      </w:r>
      <w:r w:rsidR="00055696">
        <w:t>(R Core Team [2017]; R: a language and environment for statistical computing. R Foundation for Statistical Computing, Vienna, Austria. URL https://www.R-project.org/).</w:t>
      </w:r>
      <w:r w:rsidR="00143BEB">
        <w:rPr>
          <w:rFonts w:ascii="Calibri" w:eastAsia="Calibri" w:hAnsi="Calibri" w:cs="Times New Roman"/>
        </w:rPr>
        <w:t xml:space="preserve"> </w:t>
      </w:r>
      <w:r w:rsidRPr="0011682B">
        <w:rPr>
          <w:rFonts w:ascii="Calibri" w:eastAsia="Calibri" w:hAnsi="Calibri" w:cs="Times New Roman"/>
        </w:rPr>
        <w:t>Post-processing</w:t>
      </w:r>
      <w:r w:rsidR="009561B3">
        <w:rPr>
          <w:rFonts w:ascii="Calibri" w:eastAsia="Calibri" w:hAnsi="Calibri" w:cs="Times New Roman"/>
        </w:rPr>
        <w:t>,</w:t>
      </w:r>
      <w:r w:rsidRPr="0011682B">
        <w:rPr>
          <w:rFonts w:ascii="Calibri" w:eastAsia="Calibri" w:hAnsi="Calibri" w:cs="Times New Roman"/>
        </w:rPr>
        <w:t xml:space="preserve"> </w:t>
      </w:r>
      <w:r w:rsidR="00B047F1">
        <w:rPr>
          <w:rFonts w:ascii="Calibri" w:eastAsia="Calibri" w:hAnsi="Calibri" w:cs="Times New Roman"/>
        </w:rPr>
        <w:t xml:space="preserve">individual </w:t>
      </w:r>
      <w:r w:rsidRPr="0011682B">
        <w:rPr>
          <w:rFonts w:ascii="Calibri" w:eastAsia="Calibri" w:hAnsi="Calibri" w:cs="Times New Roman"/>
        </w:rPr>
        <w:t>CSV documents</w:t>
      </w:r>
      <w:r w:rsidR="00B047F1">
        <w:rPr>
          <w:rFonts w:ascii="Calibri" w:eastAsia="Calibri" w:hAnsi="Calibri" w:cs="Times New Roman"/>
        </w:rPr>
        <w:t xml:space="preserve"> containing the data of each patient</w:t>
      </w:r>
      <w:r w:rsidRPr="0011682B">
        <w:rPr>
          <w:rFonts w:ascii="Calibri" w:eastAsia="Calibri" w:hAnsi="Calibri" w:cs="Times New Roman"/>
        </w:rPr>
        <w:t>, were compiled into one CSV document</w:t>
      </w:r>
      <w:r w:rsidR="005351AE">
        <w:rPr>
          <w:rFonts w:ascii="Calibri" w:eastAsia="Calibri" w:hAnsi="Calibri" w:cs="Times New Roman"/>
        </w:rPr>
        <w:t xml:space="preserve"> per cohort</w:t>
      </w:r>
      <w:r w:rsidRPr="0011682B">
        <w:rPr>
          <w:rFonts w:ascii="Calibri" w:eastAsia="Calibri" w:hAnsi="Calibri" w:cs="Times New Roman"/>
        </w:rPr>
        <w:t xml:space="preserve"> containing </w:t>
      </w:r>
      <w:r w:rsidR="002B5510">
        <w:rPr>
          <w:rFonts w:ascii="Calibri" w:eastAsia="Calibri" w:hAnsi="Calibri" w:cs="Times New Roman"/>
        </w:rPr>
        <w:t xml:space="preserve">the relevant </w:t>
      </w:r>
      <w:r w:rsidRPr="0011682B">
        <w:rPr>
          <w:rFonts w:ascii="Calibri" w:eastAsia="Calibri" w:hAnsi="Calibri" w:cs="Times New Roman"/>
        </w:rPr>
        <w:t>patients and</w:t>
      </w:r>
      <w:r w:rsidR="002B5510">
        <w:rPr>
          <w:rFonts w:ascii="Calibri" w:eastAsia="Calibri" w:hAnsi="Calibri" w:cs="Times New Roman"/>
        </w:rPr>
        <w:t xml:space="preserve"> all of the</w:t>
      </w:r>
      <w:r w:rsidRPr="0011682B">
        <w:rPr>
          <w:rFonts w:ascii="Calibri" w:eastAsia="Calibri" w:hAnsi="Calibri" w:cs="Times New Roman"/>
        </w:rPr>
        <w:t xml:space="preserve"> signals described </w:t>
      </w:r>
      <w:r w:rsidR="00323D20">
        <w:rPr>
          <w:rFonts w:ascii="Calibri" w:eastAsia="Calibri" w:hAnsi="Calibri" w:cs="Times New Roman"/>
        </w:rPr>
        <w:t>above</w:t>
      </w:r>
      <w:r w:rsidRPr="0011682B">
        <w:rPr>
          <w:rFonts w:ascii="Calibri" w:eastAsia="Calibri" w:hAnsi="Calibri" w:cs="Times New Roman"/>
        </w:rPr>
        <w:t xml:space="preserve">.  </w:t>
      </w:r>
      <w:r w:rsidR="004A128E">
        <w:rPr>
          <w:rFonts w:ascii="Calibri" w:eastAsia="Calibri" w:hAnsi="Calibri" w:cs="Times New Roman"/>
        </w:rPr>
        <w:t xml:space="preserve">Cerebral hemodynamic trends were separately analyzed for each of the three patient cohorts </w:t>
      </w:r>
      <w:r w:rsidR="003F1021">
        <w:rPr>
          <w:rFonts w:ascii="Calibri" w:eastAsia="Calibri" w:hAnsi="Calibri" w:cs="Times New Roman"/>
        </w:rPr>
        <w:t xml:space="preserve">(as </w:t>
      </w:r>
      <w:r w:rsidR="004A128E">
        <w:rPr>
          <w:rFonts w:ascii="Calibri" w:eastAsia="Calibri" w:hAnsi="Calibri" w:cs="Times New Roman"/>
        </w:rPr>
        <w:t xml:space="preserve">plateau waves, hypocapnia, and vasopressors) to appreciate the physiological differences </w:t>
      </w:r>
      <w:r w:rsidR="00A049E8">
        <w:rPr>
          <w:rFonts w:ascii="Calibri" w:eastAsia="Calibri" w:hAnsi="Calibri" w:cs="Times New Roman"/>
        </w:rPr>
        <w:t>between clinical</w:t>
      </w:r>
      <w:r w:rsidR="004A128E">
        <w:rPr>
          <w:rFonts w:ascii="Calibri" w:eastAsia="Calibri" w:hAnsi="Calibri" w:cs="Times New Roman"/>
        </w:rPr>
        <w:t xml:space="preserve"> profile</w:t>
      </w:r>
      <w:r w:rsidR="00A049E8">
        <w:rPr>
          <w:rFonts w:ascii="Calibri" w:eastAsia="Calibri" w:hAnsi="Calibri" w:cs="Times New Roman"/>
        </w:rPr>
        <w:t>s</w:t>
      </w:r>
      <w:r w:rsidR="004A128E">
        <w:rPr>
          <w:rFonts w:ascii="Calibri" w:eastAsia="Calibri" w:hAnsi="Calibri" w:cs="Times New Roman"/>
        </w:rPr>
        <w:t>.</w:t>
      </w:r>
      <w:r w:rsidR="002B5510">
        <w:rPr>
          <w:rFonts w:ascii="Calibri" w:eastAsia="Calibri" w:hAnsi="Calibri" w:cs="Times New Roman"/>
        </w:rPr>
        <w:t xml:space="preserve"> </w:t>
      </w:r>
      <w:r w:rsidR="00F109C2">
        <w:rPr>
          <w:rFonts w:ascii="Calibri" w:eastAsia="Calibri" w:hAnsi="Calibri" w:cs="Times New Roman"/>
        </w:rPr>
        <w:t>A visual</w:t>
      </w:r>
      <w:r w:rsidR="002B5510">
        <w:rPr>
          <w:rFonts w:ascii="Calibri" w:eastAsia="Calibri" w:hAnsi="Calibri" w:cs="Times New Roman"/>
        </w:rPr>
        <w:t xml:space="preserve"> example of the trends exhibited by a patient</w:t>
      </w:r>
      <w:r w:rsidR="003F1021">
        <w:rPr>
          <w:rFonts w:ascii="Calibri" w:eastAsia="Calibri" w:hAnsi="Calibri" w:cs="Times New Roman"/>
        </w:rPr>
        <w:t xml:space="preserve"> from</w:t>
      </w:r>
      <w:r w:rsidR="002B5510">
        <w:rPr>
          <w:rFonts w:ascii="Calibri" w:eastAsia="Calibri" w:hAnsi="Calibri" w:cs="Times New Roman"/>
        </w:rPr>
        <w:t xml:space="preserve"> </w:t>
      </w:r>
      <w:r w:rsidR="007B135B">
        <w:rPr>
          <w:rFonts w:ascii="Calibri" w:eastAsia="Calibri" w:hAnsi="Calibri" w:cs="Times New Roman"/>
        </w:rPr>
        <w:t xml:space="preserve">each group </w:t>
      </w:r>
      <w:r w:rsidR="00F109C2">
        <w:rPr>
          <w:rFonts w:ascii="Calibri" w:eastAsia="Calibri" w:hAnsi="Calibri" w:cs="Times New Roman"/>
        </w:rPr>
        <w:t>was exported from ICM+</w:t>
      </w:r>
      <w:r w:rsidR="002109EF" w:rsidRPr="002109EF">
        <w:rPr>
          <w:rFonts w:ascii="Calibri" w:eastAsia="Calibri" w:hAnsi="Calibri" w:cs="Times New Roman"/>
          <w:vertAlign w:val="superscript"/>
        </w:rPr>
        <w:t>TM</w:t>
      </w:r>
      <w:r w:rsidR="00F109C2">
        <w:rPr>
          <w:rFonts w:ascii="Calibri" w:eastAsia="Calibri" w:hAnsi="Calibri" w:cs="Times New Roman"/>
        </w:rPr>
        <w:t xml:space="preserve">, provided </w:t>
      </w:r>
      <w:r w:rsidR="002B5510">
        <w:rPr>
          <w:rFonts w:ascii="Calibri" w:eastAsia="Calibri" w:hAnsi="Calibri" w:cs="Times New Roman"/>
        </w:rPr>
        <w:t>in Figure 1</w:t>
      </w:r>
      <w:r w:rsidR="004A128E">
        <w:rPr>
          <w:rFonts w:ascii="Calibri" w:eastAsia="Calibri" w:hAnsi="Calibri" w:cs="Times New Roman"/>
        </w:rPr>
        <w:t xml:space="preserve"> </w:t>
      </w:r>
      <w:r w:rsidR="007A5CAA">
        <w:rPr>
          <w:rFonts w:ascii="Calibri" w:eastAsia="Calibri" w:hAnsi="Calibri" w:cs="Times New Roman"/>
        </w:rPr>
        <w:t>below</w:t>
      </w:r>
      <w:r w:rsidR="002B5510">
        <w:rPr>
          <w:rFonts w:ascii="Calibri" w:eastAsia="Calibri" w:hAnsi="Calibri" w:cs="Times New Roman"/>
        </w:rPr>
        <w:t>.</w:t>
      </w:r>
    </w:p>
    <w:p w14:paraId="34215CF4" w14:textId="22838CD5" w:rsidR="001A1B17" w:rsidRDefault="001A1B17" w:rsidP="00B047F1">
      <w:pPr>
        <w:rPr>
          <w:rFonts w:ascii="Calibri" w:eastAsia="Calibri" w:hAnsi="Calibri" w:cs="Times New Roman"/>
        </w:rPr>
        <w:sectPr w:rsidR="001A1B17" w:rsidSect="0035019E">
          <w:headerReference w:type="default" r:id="rId20"/>
          <w:type w:val="continuous"/>
          <w:pgSz w:w="12240" w:h="15840"/>
          <w:pgMar w:top="1440" w:right="1440" w:bottom="1440" w:left="1440" w:header="720" w:footer="720" w:gutter="0"/>
          <w:lnNumType w:countBy="1" w:restart="continuous"/>
          <w:cols w:space="720"/>
          <w:docGrid w:linePitch="360"/>
        </w:sectPr>
      </w:pPr>
    </w:p>
    <w:p w14:paraId="78E98D94" w14:textId="52BC154D" w:rsidR="001A1B17" w:rsidRDefault="00C45DF6" w:rsidP="00B35647">
      <w:pPr>
        <w:rPr>
          <w:rFonts w:ascii="Calibri" w:eastAsia="Calibri" w:hAnsi="Calibri" w:cs="Times New Roman"/>
        </w:rPr>
        <w:sectPr w:rsidR="001A1B17" w:rsidSect="0035019E">
          <w:type w:val="continuous"/>
          <w:pgSz w:w="15840" w:h="12240" w:orient="landscape"/>
          <w:pgMar w:top="1440" w:right="1440" w:bottom="1440" w:left="1440" w:header="720" w:footer="720" w:gutter="0"/>
          <w:lnNumType w:countBy="1" w:restart="continuous"/>
          <w:cols w:space="720"/>
          <w:docGrid w:linePitch="360"/>
        </w:sectPr>
      </w:pPr>
      <w:r>
        <w:rPr>
          <w:rFonts w:ascii="Calibri" w:eastAsia="Calibri" w:hAnsi="Calibri" w:cs="Times New Roman"/>
          <w:noProof/>
        </w:rPr>
        <w:lastRenderedPageBreak/>
        <w:drawing>
          <wp:inline distT="0" distB="0" distL="0" distR="0" wp14:anchorId="148A05B7" wp14:editId="4F6BB2FE">
            <wp:extent cx="8029575" cy="5943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nds for All Cohorts_v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29575" cy="5943600"/>
                    </a:xfrm>
                    <a:prstGeom prst="rect">
                      <a:avLst/>
                    </a:prstGeom>
                  </pic:spPr>
                </pic:pic>
              </a:graphicData>
            </a:graphic>
          </wp:inline>
        </w:drawing>
      </w:r>
    </w:p>
    <w:p w14:paraId="49D873F4" w14:textId="4F332A46" w:rsidR="00D4242E" w:rsidRDefault="00D4242E" w:rsidP="00B047F1">
      <w:pPr>
        <w:rPr>
          <w:rFonts w:ascii="Calibri" w:eastAsia="Calibri" w:hAnsi="Calibri" w:cs="Times New Roman"/>
        </w:rPr>
      </w:pPr>
    </w:p>
    <w:p w14:paraId="19BCC07B" w14:textId="77777777" w:rsidR="00D4242E" w:rsidRDefault="00D4242E" w:rsidP="00B047F1">
      <w:pPr>
        <w:rPr>
          <w:rFonts w:ascii="Calibri" w:eastAsia="Calibri" w:hAnsi="Calibri" w:cs="Times New Roman"/>
        </w:rPr>
      </w:pPr>
    </w:p>
    <w:p w14:paraId="24695256" w14:textId="550E2A61" w:rsidR="00F109C2" w:rsidRDefault="00D4147A" w:rsidP="00020ABC">
      <w:pPr>
        <w:spacing w:line="480" w:lineRule="auto"/>
        <w:rPr>
          <w:rFonts w:ascii="Calibri" w:eastAsia="Calibri" w:hAnsi="Calibri" w:cs="Times New Roman"/>
        </w:rPr>
      </w:pPr>
      <w:bookmarkStart w:id="6" w:name="_Hlk507421025"/>
      <w:r w:rsidRPr="00D4147A">
        <w:rPr>
          <w:rFonts w:ascii="Calibri" w:eastAsia="Calibri" w:hAnsi="Calibri" w:cs="Times New Roman"/>
          <w:b/>
        </w:rPr>
        <w:t>Figure 1</w:t>
      </w:r>
      <w:r>
        <w:rPr>
          <w:rFonts w:ascii="Calibri" w:eastAsia="Calibri" w:hAnsi="Calibri" w:cs="Times New Roman"/>
        </w:rPr>
        <w:t xml:space="preserve">. </w:t>
      </w:r>
      <w:r w:rsidR="00B30088">
        <w:rPr>
          <w:rFonts w:ascii="Calibri" w:eastAsia="Calibri" w:hAnsi="Calibri" w:cs="Times New Roman"/>
        </w:rPr>
        <w:t>E</w:t>
      </w:r>
      <w:r w:rsidR="00AD2C4B">
        <w:rPr>
          <w:rFonts w:ascii="Calibri" w:eastAsia="Calibri" w:hAnsi="Calibri" w:cs="Times New Roman"/>
        </w:rPr>
        <w:t>xamples of s</w:t>
      </w:r>
      <w:r>
        <w:rPr>
          <w:rFonts w:ascii="Calibri" w:eastAsia="Calibri" w:hAnsi="Calibri" w:cs="Times New Roman"/>
        </w:rPr>
        <w:t xml:space="preserve">PI, ABP, CPP, FV, and ICP </w:t>
      </w:r>
      <w:r w:rsidR="00351A90">
        <w:rPr>
          <w:rFonts w:ascii="Calibri" w:eastAsia="Calibri" w:hAnsi="Calibri" w:cs="Times New Roman"/>
        </w:rPr>
        <w:t xml:space="preserve">dynamic </w:t>
      </w:r>
      <w:r>
        <w:rPr>
          <w:rFonts w:ascii="Calibri" w:eastAsia="Calibri" w:hAnsi="Calibri" w:cs="Times New Roman"/>
        </w:rPr>
        <w:t>trends</w:t>
      </w:r>
      <w:r w:rsidRPr="00D4147A">
        <w:rPr>
          <w:rFonts w:ascii="Calibri" w:eastAsia="Calibri" w:hAnsi="Calibri" w:cs="Times New Roman"/>
        </w:rPr>
        <w:t xml:space="preserve"> </w:t>
      </w:r>
      <w:r w:rsidR="00365A10">
        <w:rPr>
          <w:rFonts w:ascii="Calibri" w:eastAsia="Calibri" w:hAnsi="Calibri" w:cs="Times New Roman"/>
        </w:rPr>
        <w:t>exported directly from ICM+</w:t>
      </w:r>
      <w:r w:rsidR="002109EF" w:rsidRPr="002109EF">
        <w:rPr>
          <w:rFonts w:ascii="Calibri" w:eastAsia="Calibri" w:hAnsi="Calibri" w:cs="Times New Roman"/>
          <w:vertAlign w:val="superscript"/>
        </w:rPr>
        <w:t>TM</w:t>
      </w:r>
      <w:r w:rsidR="00365A10">
        <w:rPr>
          <w:rFonts w:ascii="Calibri" w:eastAsia="Calibri" w:hAnsi="Calibri" w:cs="Times New Roman"/>
        </w:rPr>
        <w:t xml:space="preserve"> for</w:t>
      </w:r>
      <w:r w:rsidRPr="00D4147A">
        <w:rPr>
          <w:rFonts w:ascii="Calibri" w:eastAsia="Calibri" w:hAnsi="Calibri" w:cs="Times New Roman"/>
        </w:rPr>
        <w:t xml:space="preserve"> </w:t>
      </w:r>
      <w:r>
        <w:rPr>
          <w:rFonts w:ascii="Calibri" w:eastAsia="Calibri" w:hAnsi="Calibri" w:cs="Times New Roman"/>
        </w:rPr>
        <w:t xml:space="preserve">a single patient in the </w:t>
      </w:r>
      <w:r w:rsidR="00221D23">
        <w:rPr>
          <w:rFonts w:ascii="Calibri" w:eastAsia="Calibri" w:hAnsi="Calibri" w:cs="Times New Roman"/>
        </w:rPr>
        <w:t xml:space="preserve">A) </w:t>
      </w:r>
      <w:r>
        <w:rPr>
          <w:rFonts w:ascii="Calibri" w:eastAsia="Calibri" w:hAnsi="Calibri" w:cs="Times New Roman"/>
        </w:rPr>
        <w:t>plateau waves cohort</w:t>
      </w:r>
      <w:r w:rsidR="000F26BB">
        <w:rPr>
          <w:rFonts w:ascii="Calibri" w:eastAsia="Calibri" w:hAnsi="Calibri" w:cs="Times New Roman"/>
        </w:rPr>
        <w:t>, B) mild hypocapnia, and C) arterial hypertension</w:t>
      </w:r>
      <w:r>
        <w:rPr>
          <w:rFonts w:ascii="Calibri" w:eastAsia="Calibri" w:hAnsi="Calibri" w:cs="Times New Roman"/>
        </w:rPr>
        <w:t>.</w:t>
      </w:r>
      <w:r w:rsidRPr="00365A10">
        <w:rPr>
          <w:rFonts w:ascii="Calibri" w:eastAsia="Calibri" w:hAnsi="Calibri" w:cs="Times New Roman"/>
          <w:i/>
        </w:rPr>
        <w:t xml:space="preserve"> sPI</w:t>
      </w:r>
      <w:r>
        <w:rPr>
          <w:rFonts w:ascii="Calibri" w:eastAsia="Calibri" w:hAnsi="Calibri" w:cs="Times New Roman"/>
        </w:rPr>
        <w:t xml:space="preserve">- spectral pulsatility index, </w:t>
      </w:r>
      <w:r w:rsidRPr="00365A10">
        <w:rPr>
          <w:rFonts w:ascii="Calibri" w:eastAsia="Calibri" w:hAnsi="Calibri" w:cs="Times New Roman"/>
          <w:i/>
        </w:rPr>
        <w:t>ABP</w:t>
      </w:r>
      <w:r>
        <w:rPr>
          <w:rFonts w:ascii="Calibri" w:eastAsia="Calibri" w:hAnsi="Calibri" w:cs="Times New Roman"/>
        </w:rPr>
        <w:t>-</w:t>
      </w:r>
      <w:r w:rsidRPr="00D4147A">
        <w:rPr>
          <w:rFonts w:ascii="Calibri" w:eastAsia="Calibri" w:hAnsi="Calibri" w:cs="Times New Roman"/>
        </w:rPr>
        <w:t xml:space="preserve"> arterial blood pressure, </w:t>
      </w:r>
      <w:r w:rsidRPr="00365A10">
        <w:rPr>
          <w:rFonts w:ascii="Calibri" w:eastAsia="Calibri" w:hAnsi="Calibri" w:cs="Times New Roman"/>
          <w:i/>
        </w:rPr>
        <w:t>CPP</w:t>
      </w:r>
      <w:r>
        <w:rPr>
          <w:rFonts w:ascii="Calibri" w:eastAsia="Calibri" w:hAnsi="Calibri" w:cs="Times New Roman"/>
        </w:rPr>
        <w:t>-</w:t>
      </w:r>
      <w:r w:rsidRPr="00D4147A">
        <w:rPr>
          <w:rFonts w:ascii="Calibri" w:eastAsia="Calibri" w:hAnsi="Calibri" w:cs="Times New Roman"/>
        </w:rPr>
        <w:t xml:space="preserve"> cerebral perfusion</w:t>
      </w:r>
      <w:r>
        <w:rPr>
          <w:rFonts w:ascii="Calibri" w:eastAsia="Calibri" w:hAnsi="Calibri" w:cs="Times New Roman"/>
        </w:rPr>
        <w:t xml:space="preserve"> </w:t>
      </w:r>
      <w:r w:rsidRPr="00D4147A">
        <w:rPr>
          <w:rFonts w:ascii="Calibri" w:eastAsia="Calibri" w:hAnsi="Calibri" w:cs="Times New Roman"/>
        </w:rPr>
        <w:t xml:space="preserve">pressure, </w:t>
      </w:r>
      <w:r w:rsidRPr="00365A10">
        <w:rPr>
          <w:rFonts w:ascii="Calibri" w:eastAsia="Calibri" w:hAnsi="Calibri" w:cs="Times New Roman"/>
          <w:i/>
        </w:rPr>
        <w:t>FV</w:t>
      </w:r>
      <w:r w:rsidR="00365A10">
        <w:rPr>
          <w:rFonts w:ascii="Calibri" w:eastAsia="Calibri" w:hAnsi="Calibri" w:cs="Times New Roman"/>
        </w:rPr>
        <w:t>-</w:t>
      </w:r>
      <w:r w:rsidRPr="00D4147A">
        <w:rPr>
          <w:rFonts w:ascii="Calibri" w:eastAsia="Calibri" w:hAnsi="Calibri" w:cs="Times New Roman"/>
        </w:rPr>
        <w:t xml:space="preserve"> flow velocity,</w:t>
      </w:r>
      <w:r w:rsidRPr="00365A10">
        <w:rPr>
          <w:rFonts w:ascii="Calibri" w:eastAsia="Calibri" w:hAnsi="Calibri" w:cs="Times New Roman"/>
          <w:i/>
        </w:rPr>
        <w:t xml:space="preserve"> ICP</w:t>
      </w:r>
      <w:r w:rsidR="00365A10">
        <w:rPr>
          <w:rFonts w:ascii="Calibri" w:eastAsia="Calibri" w:hAnsi="Calibri" w:cs="Times New Roman"/>
        </w:rPr>
        <w:t>-</w:t>
      </w:r>
      <w:r w:rsidRPr="00D4147A">
        <w:rPr>
          <w:rFonts w:ascii="Calibri" w:eastAsia="Calibri" w:hAnsi="Calibri" w:cs="Times New Roman"/>
        </w:rPr>
        <w:t xml:space="preserve"> intracranial pressure, </w:t>
      </w:r>
      <w:r w:rsidRPr="00365A10">
        <w:rPr>
          <w:rFonts w:ascii="Calibri" w:eastAsia="Calibri" w:hAnsi="Calibri" w:cs="Times New Roman"/>
          <w:i/>
        </w:rPr>
        <w:t>mm Hg</w:t>
      </w:r>
      <w:r w:rsidR="00365A10" w:rsidRPr="00365A10">
        <w:rPr>
          <w:rFonts w:ascii="Calibri" w:eastAsia="Calibri" w:hAnsi="Calibri" w:cs="Times New Roman"/>
          <w:i/>
        </w:rPr>
        <w:t>-</w:t>
      </w:r>
      <w:r w:rsidRPr="00D4147A">
        <w:rPr>
          <w:rFonts w:ascii="Calibri" w:eastAsia="Calibri" w:hAnsi="Calibri" w:cs="Times New Roman"/>
        </w:rPr>
        <w:t xml:space="preserve"> millimeters of mercury</w:t>
      </w:r>
      <w:r w:rsidR="00365A10">
        <w:rPr>
          <w:rFonts w:ascii="Calibri" w:eastAsia="Calibri" w:hAnsi="Calibri" w:cs="Times New Roman"/>
        </w:rPr>
        <w:t>.</w:t>
      </w:r>
      <w:r w:rsidR="001A1B17">
        <w:rPr>
          <w:rFonts w:ascii="Calibri" w:eastAsia="Calibri" w:hAnsi="Calibri" w:cs="Times New Roman"/>
        </w:rPr>
        <w:t xml:space="preserve"> </w:t>
      </w:r>
    </w:p>
    <w:p w14:paraId="7B04A974" w14:textId="77777777" w:rsidR="001A1B17" w:rsidRPr="00143BEB" w:rsidRDefault="001A1B17" w:rsidP="00020ABC">
      <w:pPr>
        <w:spacing w:line="480" w:lineRule="auto"/>
        <w:jc w:val="center"/>
        <w:rPr>
          <w:rFonts w:ascii="Calibri" w:eastAsia="Calibri" w:hAnsi="Calibri" w:cs="Times New Roman"/>
        </w:rPr>
      </w:pPr>
    </w:p>
    <w:bookmarkEnd w:id="6"/>
    <w:p w14:paraId="161DF237" w14:textId="0924E83E" w:rsidR="00E201E5" w:rsidRDefault="000B5B84" w:rsidP="00020ABC">
      <w:pPr>
        <w:spacing w:line="480" w:lineRule="auto"/>
        <w:ind w:firstLine="720"/>
        <w:rPr>
          <w:rFonts w:ascii="Calibri" w:eastAsia="Calibri" w:hAnsi="Calibri" w:cs="Times New Roman"/>
        </w:rPr>
      </w:pPr>
      <w:r>
        <w:rPr>
          <w:rFonts w:ascii="Calibri" w:eastAsia="Calibri" w:hAnsi="Calibri" w:cs="Times New Roman"/>
        </w:rPr>
        <w:t xml:space="preserve"> </w:t>
      </w:r>
      <w:r w:rsidR="00A90463" w:rsidRPr="002F1D02">
        <w:rPr>
          <w:rFonts w:ascii="Calibri" w:eastAsia="Calibri" w:hAnsi="Calibri" w:cs="Times New Roman"/>
        </w:rPr>
        <w:t xml:space="preserve">Various statistical techniques were employed to describe the </w:t>
      </w:r>
      <w:r w:rsidR="002F1D02">
        <w:rPr>
          <w:rFonts w:ascii="Calibri" w:eastAsia="Calibri" w:hAnsi="Calibri" w:cs="Times New Roman"/>
        </w:rPr>
        <w:t xml:space="preserve">strength of the following relationships </w:t>
      </w:r>
      <w:r w:rsidR="00A90463" w:rsidRPr="002F1D02">
        <w:rPr>
          <w:rFonts w:ascii="Calibri" w:eastAsia="Calibri" w:hAnsi="Calibri" w:cs="Times New Roman"/>
        </w:rPr>
        <w:t xml:space="preserve">in </w:t>
      </w:r>
      <w:r w:rsidR="002F1D02" w:rsidRPr="002F1D02">
        <w:rPr>
          <w:rFonts w:ascii="Calibri" w:eastAsia="Calibri" w:hAnsi="Calibri" w:cs="Times New Roman"/>
        </w:rPr>
        <w:t xml:space="preserve">all three </w:t>
      </w:r>
      <w:r w:rsidR="00A90463" w:rsidRPr="002F1D02">
        <w:rPr>
          <w:rFonts w:ascii="Calibri" w:eastAsia="Calibri" w:hAnsi="Calibri" w:cs="Times New Roman"/>
        </w:rPr>
        <w:t xml:space="preserve">patient cohorts: </w:t>
      </w:r>
      <w:r w:rsidR="002F1D02" w:rsidRPr="002F1D02">
        <w:rPr>
          <w:rFonts w:ascii="Calibri" w:eastAsia="Calibri" w:hAnsi="Calibri" w:cs="Times New Roman"/>
        </w:rPr>
        <w:t>sPI vs. PI_C1R</w:t>
      </w:r>
      <w:r w:rsidR="00412D83">
        <w:rPr>
          <w:rFonts w:ascii="Calibri" w:eastAsia="Calibri" w:hAnsi="Calibri" w:cs="Times New Roman"/>
        </w:rPr>
        <w:t>a</w:t>
      </w:r>
      <w:r w:rsidR="002F1D02" w:rsidRPr="002F1D02">
        <w:rPr>
          <w:rFonts w:ascii="Calibri" w:eastAsia="Calibri" w:hAnsi="Calibri" w:cs="Times New Roman"/>
        </w:rPr>
        <w:t>1, PI_C1R</w:t>
      </w:r>
      <w:r w:rsidR="00412D83">
        <w:rPr>
          <w:rFonts w:ascii="Calibri" w:eastAsia="Calibri" w:hAnsi="Calibri" w:cs="Times New Roman"/>
        </w:rPr>
        <w:t>a</w:t>
      </w:r>
      <w:r w:rsidR="002F1D02" w:rsidRPr="002F1D02">
        <w:rPr>
          <w:rFonts w:ascii="Calibri" w:eastAsia="Calibri" w:hAnsi="Calibri" w:cs="Times New Roman"/>
        </w:rPr>
        <w:t>2, PI_C1R</w:t>
      </w:r>
      <w:r w:rsidR="00412D83">
        <w:rPr>
          <w:rFonts w:ascii="Calibri" w:eastAsia="Calibri" w:hAnsi="Calibri" w:cs="Times New Roman"/>
        </w:rPr>
        <w:t>a</w:t>
      </w:r>
      <w:r w:rsidR="002F1D02" w:rsidRPr="002F1D02">
        <w:rPr>
          <w:rFonts w:ascii="Calibri" w:eastAsia="Calibri" w:hAnsi="Calibri" w:cs="Times New Roman"/>
        </w:rPr>
        <w:t>3, PI_C2R</w:t>
      </w:r>
      <w:r w:rsidR="00412D83">
        <w:rPr>
          <w:rFonts w:ascii="Calibri" w:eastAsia="Calibri" w:hAnsi="Calibri" w:cs="Times New Roman"/>
        </w:rPr>
        <w:t>a</w:t>
      </w:r>
      <w:r w:rsidR="002F1D02" w:rsidRPr="002F1D02">
        <w:rPr>
          <w:rFonts w:ascii="Calibri" w:eastAsia="Calibri" w:hAnsi="Calibri" w:cs="Times New Roman"/>
        </w:rPr>
        <w:t>1, PI_C2R</w:t>
      </w:r>
      <w:r w:rsidR="00412D83">
        <w:rPr>
          <w:rFonts w:ascii="Calibri" w:eastAsia="Calibri" w:hAnsi="Calibri" w:cs="Times New Roman"/>
        </w:rPr>
        <w:t>a</w:t>
      </w:r>
      <w:r w:rsidR="002F1D02" w:rsidRPr="002F1D02">
        <w:rPr>
          <w:rFonts w:ascii="Calibri" w:eastAsia="Calibri" w:hAnsi="Calibri" w:cs="Times New Roman"/>
        </w:rPr>
        <w:t>2, PI_C2R</w:t>
      </w:r>
      <w:r w:rsidR="00412D83">
        <w:rPr>
          <w:rFonts w:ascii="Calibri" w:eastAsia="Calibri" w:hAnsi="Calibri" w:cs="Times New Roman"/>
        </w:rPr>
        <w:t>a</w:t>
      </w:r>
      <w:r w:rsidR="002F1D02" w:rsidRPr="002F1D02">
        <w:rPr>
          <w:rFonts w:ascii="Calibri" w:eastAsia="Calibri" w:hAnsi="Calibri" w:cs="Times New Roman"/>
        </w:rPr>
        <w:t>3, PI_C3R</w:t>
      </w:r>
      <w:r w:rsidR="00412D83">
        <w:rPr>
          <w:rFonts w:ascii="Calibri" w:eastAsia="Calibri" w:hAnsi="Calibri" w:cs="Times New Roman"/>
        </w:rPr>
        <w:t>a</w:t>
      </w:r>
      <w:r w:rsidR="002F1D02" w:rsidRPr="002F1D02">
        <w:rPr>
          <w:rFonts w:ascii="Calibri" w:eastAsia="Calibri" w:hAnsi="Calibri" w:cs="Times New Roman"/>
        </w:rPr>
        <w:t>1, PI_C3R</w:t>
      </w:r>
      <w:r w:rsidR="00412D83">
        <w:rPr>
          <w:rFonts w:ascii="Calibri" w:eastAsia="Calibri" w:hAnsi="Calibri" w:cs="Times New Roman"/>
        </w:rPr>
        <w:t>a</w:t>
      </w:r>
      <w:r w:rsidR="002F1D02" w:rsidRPr="002F1D02">
        <w:rPr>
          <w:rFonts w:ascii="Calibri" w:eastAsia="Calibri" w:hAnsi="Calibri" w:cs="Times New Roman"/>
        </w:rPr>
        <w:t>2, and PI_C3R</w:t>
      </w:r>
      <w:r w:rsidR="00412D83">
        <w:rPr>
          <w:rFonts w:ascii="Calibri" w:eastAsia="Calibri" w:hAnsi="Calibri" w:cs="Times New Roman"/>
        </w:rPr>
        <w:t>a</w:t>
      </w:r>
      <w:r w:rsidR="002F1D02" w:rsidRPr="002F1D02">
        <w:rPr>
          <w:rFonts w:ascii="Calibri" w:eastAsia="Calibri" w:hAnsi="Calibri" w:cs="Times New Roman"/>
        </w:rPr>
        <w:t>3.</w:t>
      </w:r>
      <w:r w:rsidR="007A5544">
        <w:rPr>
          <w:rFonts w:ascii="Calibri" w:eastAsia="Calibri" w:hAnsi="Calibri" w:cs="Times New Roman"/>
        </w:rPr>
        <w:t xml:space="preserve"> </w:t>
      </w:r>
      <w:r w:rsidR="006A4D9D">
        <w:rPr>
          <w:rFonts w:ascii="Calibri" w:eastAsia="Calibri" w:hAnsi="Calibri" w:cs="Times New Roman"/>
        </w:rPr>
        <w:t xml:space="preserve"> </w:t>
      </w:r>
      <w:r w:rsidR="00C471CB">
        <w:rPr>
          <w:rFonts w:ascii="Calibri" w:eastAsia="Calibri" w:hAnsi="Calibri" w:cs="Times New Roman"/>
        </w:rPr>
        <w:t>Goodness of fit</w:t>
      </w:r>
      <w:r w:rsidR="004B5B47">
        <w:rPr>
          <w:rFonts w:ascii="Calibri" w:eastAsia="Calibri" w:hAnsi="Calibri" w:cs="Times New Roman"/>
        </w:rPr>
        <w:t xml:space="preserve"> between the metric of sPI and each of the nine </w:t>
      </w:r>
      <w:r w:rsidR="00262AE0">
        <w:rPr>
          <w:rFonts w:ascii="Calibri" w:eastAsia="Calibri" w:hAnsi="Calibri" w:cs="Times New Roman"/>
        </w:rPr>
        <w:t>Δ</w:t>
      </w:r>
      <w:r w:rsidR="00F15658">
        <w:rPr>
          <w:rFonts w:ascii="Calibri" w:eastAsia="Calibri" w:hAnsi="Calibri" w:cs="Times New Roman"/>
        </w:rPr>
        <w:t>C</w:t>
      </w:r>
      <w:r w:rsidR="00872AC2">
        <w:rPr>
          <w:rFonts w:ascii="Calibri" w:eastAsia="Calibri" w:hAnsi="Calibri" w:cs="Times New Roman"/>
        </w:rPr>
        <w:t>a</w:t>
      </w:r>
      <w:r w:rsidR="00F15658">
        <w:rPr>
          <w:rFonts w:ascii="Calibri" w:eastAsia="Calibri" w:hAnsi="Calibri" w:cs="Times New Roman"/>
        </w:rPr>
        <w:t>BV</w:t>
      </w:r>
      <w:r w:rsidR="004B5B47">
        <w:rPr>
          <w:rFonts w:ascii="Calibri" w:eastAsia="Calibri" w:hAnsi="Calibri" w:cs="Times New Roman"/>
        </w:rPr>
        <w:t xml:space="preserve"> estimator models was assessed via linear regression in R; this was </w:t>
      </w:r>
      <w:r w:rsidR="00C471CB">
        <w:rPr>
          <w:rFonts w:ascii="Calibri" w:eastAsia="Calibri" w:hAnsi="Calibri" w:cs="Times New Roman"/>
        </w:rPr>
        <w:t>achieved</w:t>
      </w:r>
      <w:r w:rsidR="004B5B47">
        <w:rPr>
          <w:rFonts w:ascii="Calibri" w:eastAsia="Calibri" w:hAnsi="Calibri" w:cs="Times New Roman"/>
        </w:rPr>
        <w:t xml:space="preserve"> </w:t>
      </w:r>
      <w:r w:rsidR="00C471CB">
        <w:rPr>
          <w:rFonts w:ascii="Calibri" w:eastAsia="Calibri" w:hAnsi="Calibri" w:cs="Times New Roman"/>
        </w:rPr>
        <w:t>with</w:t>
      </w:r>
      <w:r w:rsidR="004B5B47">
        <w:rPr>
          <w:rFonts w:ascii="Calibri" w:eastAsia="Calibri" w:hAnsi="Calibri" w:cs="Times New Roman"/>
        </w:rPr>
        <w:t xml:space="preserve"> the Pearson correlation coefficient (</w:t>
      </w:r>
      <w:r w:rsidR="004B5B47" w:rsidRPr="00822A45">
        <w:rPr>
          <w:rFonts w:ascii="Calibri" w:eastAsia="Calibri" w:hAnsi="Calibri" w:cs="Times New Roman"/>
          <w:i/>
        </w:rPr>
        <w:t>r</w:t>
      </w:r>
      <w:r w:rsidR="004B5B47">
        <w:rPr>
          <w:rFonts w:ascii="Calibri" w:eastAsia="Calibri" w:hAnsi="Calibri" w:cs="Times New Roman"/>
        </w:rPr>
        <w:t>) and the determination coefficient (</w:t>
      </w:r>
      <w:r w:rsidR="004B5B47" w:rsidRPr="00822A45">
        <w:rPr>
          <w:rFonts w:ascii="Calibri" w:eastAsia="Calibri" w:hAnsi="Calibri" w:cs="Times New Roman"/>
          <w:i/>
        </w:rPr>
        <w:t>R</w:t>
      </w:r>
      <w:r w:rsidR="004B5B47" w:rsidRPr="00822A45">
        <w:rPr>
          <w:rFonts w:ascii="Calibri" w:eastAsia="Calibri" w:hAnsi="Calibri" w:cs="Times New Roman"/>
          <w:i/>
          <w:vertAlign w:val="superscript"/>
        </w:rPr>
        <w:t>2</w:t>
      </w:r>
      <w:r w:rsidR="004B5B47">
        <w:rPr>
          <w:rFonts w:ascii="Calibri" w:eastAsia="Calibri" w:hAnsi="Calibri" w:cs="Times New Roman"/>
        </w:rPr>
        <w:t>).</w:t>
      </w:r>
      <w:r>
        <w:rPr>
          <w:rFonts w:ascii="Calibri" w:eastAsia="Calibri" w:hAnsi="Calibri" w:cs="Times New Roman"/>
        </w:rPr>
        <w:t xml:space="preserve"> </w:t>
      </w:r>
    </w:p>
    <w:p w14:paraId="02330B2C" w14:textId="1C6759F7" w:rsidR="00A90463" w:rsidRDefault="004B5B47" w:rsidP="00020ABC">
      <w:pPr>
        <w:spacing w:line="480" w:lineRule="auto"/>
        <w:ind w:firstLine="720"/>
        <w:rPr>
          <w:rFonts w:ascii="Calibri" w:eastAsia="Calibri" w:hAnsi="Calibri" w:cs="Times New Roman"/>
        </w:rPr>
      </w:pPr>
      <w:r>
        <w:rPr>
          <w:rFonts w:ascii="Calibri" w:eastAsia="Calibri" w:hAnsi="Calibri" w:cs="Times New Roman"/>
        </w:rPr>
        <w:t xml:space="preserve"> </w:t>
      </w:r>
      <w:r w:rsidR="00C471CB">
        <w:rPr>
          <w:rFonts w:ascii="Calibri" w:eastAsia="Calibri" w:hAnsi="Calibri" w:cs="Times New Roman"/>
        </w:rPr>
        <w:t xml:space="preserve">The Bland Altman method was applied, also in R, to measure the agreement between sPI and </w:t>
      </w:r>
      <w:r w:rsidR="007F1ECE">
        <w:rPr>
          <w:rFonts w:ascii="Calibri" w:eastAsia="Calibri" w:hAnsi="Calibri" w:cs="Times New Roman"/>
        </w:rPr>
        <w:t xml:space="preserve">each </w:t>
      </w:r>
      <w:r w:rsidR="00745232">
        <w:rPr>
          <w:rFonts w:ascii="Calibri" w:eastAsia="Calibri" w:hAnsi="Calibri" w:cs="Times New Roman"/>
        </w:rPr>
        <w:t>respective</w:t>
      </w:r>
      <w:r w:rsidR="00C471CB">
        <w:rPr>
          <w:rFonts w:ascii="Calibri" w:eastAsia="Calibri" w:hAnsi="Calibri" w:cs="Times New Roman"/>
        </w:rPr>
        <w:t xml:space="preserve"> estimator model for the purpose of explaining</w:t>
      </w:r>
      <w:r w:rsidR="0084357D">
        <w:rPr>
          <w:rFonts w:ascii="Calibri" w:eastAsia="Calibri" w:hAnsi="Calibri" w:cs="Times New Roman"/>
        </w:rPr>
        <w:t xml:space="preserve"> changes in </w:t>
      </w:r>
      <w:r w:rsidR="00262AE0">
        <w:rPr>
          <w:rFonts w:ascii="Calibri" w:eastAsia="Calibri" w:hAnsi="Calibri" w:cs="Times New Roman"/>
        </w:rPr>
        <w:t xml:space="preserve">pulsatile </w:t>
      </w:r>
      <w:r w:rsidR="003051F0">
        <w:rPr>
          <w:rFonts w:ascii="Calibri" w:eastAsia="Calibri" w:hAnsi="Calibri" w:cs="Times New Roman"/>
        </w:rPr>
        <w:t xml:space="preserve">CaBV </w:t>
      </w:r>
      <w:r w:rsidR="0084357D">
        <w:rPr>
          <w:rFonts w:ascii="Calibri" w:eastAsia="Calibri" w:hAnsi="Calibri" w:cs="Times New Roman"/>
        </w:rPr>
        <w:t xml:space="preserve">demonstrated by each </w:t>
      </w:r>
      <w:r w:rsidR="00745232">
        <w:rPr>
          <w:rFonts w:ascii="Calibri" w:eastAsia="Calibri" w:hAnsi="Calibri" w:cs="Times New Roman"/>
        </w:rPr>
        <w:t>pathology</w:t>
      </w:r>
      <w:r w:rsidR="0084357D">
        <w:rPr>
          <w:rFonts w:ascii="Calibri" w:eastAsia="Calibri" w:hAnsi="Calibri" w:cs="Times New Roman"/>
        </w:rPr>
        <w:t>.</w:t>
      </w:r>
      <w:r w:rsidR="00745232">
        <w:rPr>
          <w:rFonts w:ascii="Calibri" w:eastAsia="Calibri" w:hAnsi="Calibri" w:cs="Times New Roman"/>
        </w:rPr>
        <w:t xml:space="preserve"> Descriptive statistics for each of the three patient cohorts, along with the results of the linear regression and Bland Al</w:t>
      </w:r>
      <w:r w:rsidR="004A473C">
        <w:rPr>
          <w:rFonts w:ascii="Calibri" w:eastAsia="Calibri" w:hAnsi="Calibri" w:cs="Times New Roman"/>
        </w:rPr>
        <w:t>t</w:t>
      </w:r>
      <w:r w:rsidR="00745232">
        <w:rPr>
          <w:rFonts w:ascii="Calibri" w:eastAsia="Calibri" w:hAnsi="Calibri" w:cs="Times New Roman"/>
        </w:rPr>
        <w:t xml:space="preserve">man analyses, are reported for in Tables </w:t>
      </w:r>
      <w:r w:rsidR="005B36FA">
        <w:rPr>
          <w:rFonts w:ascii="Calibri" w:eastAsia="Calibri" w:hAnsi="Calibri" w:cs="Times New Roman"/>
        </w:rPr>
        <w:t>2</w:t>
      </w:r>
      <w:r w:rsidR="00745232">
        <w:rPr>
          <w:rFonts w:ascii="Calibri" w:eastAsia="Calibri" w:hAnsi="Calibri" w:cs="Times New Roman"/>
        </w:rPr>
        <w:t>-</w:t>
      </w:r>
      <w:r w:rsidR="005B36FA">
        <w:rPr>
          <w:rFonts w:ascii="Calibri" w:eastAsia="Calibri" w:hAnsi="Calibri" w:cs="Times New Roman"/>
        </w:rPr>
        <w:t>4</w:t>
      </w:r>
      <w:r w:rsidR="00A911F0">
        <w:rPr>
          <w:rFonts w:ascii="Calibri" w:eastAsia="Calibri" w:hAnsi="Calibri" w:cs="Times New Roman"/>
        </w:rPr>
        <w:t xml:space="preserve">. </w:t>
      </w:r>
      <w:r w:rsidR="00745232">
        <w:rPr>
          <w:rFonts w:ascii="Calibri" w:eastAsia="Calibri" w:hAnsi="Calibri" w:cs="Times New Roman"/>
        </w:rPr>
        <w:t xml:space="preserve"> </w:t>
      </w:r>
    </w:p>
    <w:p w14:paraId="66786E21" w14:textId="77777777" w:rsidR="00A90463" w:rsidRDefault="00A90463" w:rsidP="00020ABC">
      <w:pPr>
        <w:spacing w:line="480" w:lineRule="auto"/>
      </w:pPr>
    </w:p>
    <w:p w14:paraId="5FE977B7" w14:textId="70A18BD7" w:rsidR="001F2CDC" w:rsidRDefault="008B63D9" w:rsidP="00450286">
      <w:pPr>
        <w:tabs>
          <w:tab w:val="left" w:pos="2805"/>
        </w:tabs>
        <w:rPr>
          <w:rFonts w:ascii="Calibri" w:eastAsia="Calibri" w:hAnsi="Calibri" w:cs="Times New Roman"/>
          <w:b/>
          <w:u w:val="single"/>
        </w:rPr>
      </w:pPr>
      <w:r w:rsidRPr="00EE0F17">
        <w:rPr>
          <w:rFonts w:ascii="Calibri" w:eastAsia="Calibri" w:hAnsi="Calibri" w:cs="Times New Roman"/>
          <w:b/>
          <w:u w:val="single"/>
        </w:rPr>
        <w:t>Results</w:t>
      </w:r>
      <w:r w:rsidR="00384A3B">
        <w:rPr>
          <w:rFonts w:ascii="Calibri" w:eastAsia="Calibri" w:hAnsi="Calibri" w:cs="Times New Roman"/>
          <w:b/>
          <w:u w:val="single"/>
        </w:rPr>
        <w:t>:</w:t>
      </w:r>
      <w:r w:rsidR="00450286">
        <w:rPr>
          <w:rFonts w:ascii="Calibri" w:eastAsia="Calibri" w:hAnsi="Calibri" w:cs="Times New Roman"/>
          <w:b/>
          <w:u w:val="single"/>
        </w:rPr>
        <w:tab/>
      </w:r>
    </w:p>
    <w:p w14:paraId="007EB045" w14:textId="173CEF9B" w:rsidR="00450286" w:rsidRPr="00450286" w:rsidRDefault="00450286" w:rsidP="00450286">
      <w:pPr>
        <w:tabs>
          <w:tab w:val="left" w:pos="2805"/>
        </w:tabs>
        <w:rPr>
          <w:rFonts w:ascii="Calibri" w:eastAsia="Calibri" w:hAnsi="Calibri" w:cs="Times New Roman"/>
          <w:u w:val="single"/>
        </w:rPr>
      </w:pPr>
    </w:p>
    <w:p w14:paraId="23561B1B" w14:textId="323EB2CC" w:rsidR="00450286" w:rsidRPr="00450286" w:rsidRDefault="00450286" w:rsidP="00450286">
      <w:pPr>
        <w:tabs>
          <w:tab w:val="left" w:pos="2805"/>
        </w:tabs>
        <w:rPr>
          <w:rFonts w:ascii="Calibri" w:eastAsia="Calibri" w:hAnsi="Calibri" w:cs="Times New Roman"/>
          <w:i/>
          <w:iCs/>
          <w:u w:val="single"/>
        </w:rPr>
      </w:pPr>
      <w:r w:rsidRPr="00450286">
        <w:rPr>
          <w:rFonts w:ascii="Calibri" w:eastAsia="Calibri" w:hAnsi="Calibri" w:cs="Times New Roman"/>
          <w:i/>
          <w:iCs/>
          <w:u w:val="single"/>
        </w:rPr>
        <w:t xml:space="preserve">Table </w:t>
      </w:r>
      <w:r w:rsidRPr="00450286">
        <w:rPr>
          <w:rFonts w:ascii="Calibri" w:eastAsia="Calibri" w:hAnsi="Calibri" w:cs="Times New Roman"/>
          <w:i/>
          <w:iCs/>
          <w:u w:val="single"/>
        </w:rPr>
        <w:fldChar w:fldCharType="begin"/>
      </w:r>
      <w:r w:rsidRPr="00450286">
        <w:rPr>
          <w:rFonts w:ascii="Calibri" w:eastAsia="Calibri" w:hAnsi="Calibri" w:cs="Times New Roman"/>
          <w:i/>
          <w:iCs/>
          <w:u w:val="single"/>
        </w:rPr>
        <w:instrText xml:space="preserve"> SEQ Table \* ARABIC </w:instrText>
      </w:r>
      <w:r w:rsidRPr="00450286">
        <w:rPr>
          <w:rFonts w:ascii="Calibri" w:eastAsia="Calibri" w:hAnsi="Calibri" w:cs="Times New Roman"/>
          <w:i/>
          <w:iCs/>
          <w:u w:val="single"/>
        </w:rPr>
        <w:fldChar w:fldCharType="separate"/>
      </w:r>
      <w:r w:rsidRPr="00450286">
        <w:rPr>
          <w:rFonts w:ascii="Calibri" w:eastAsia="Calibri" w:hAnsi="Calibri" w:cs="Times New Roman"/>
          <w:i/>
          <w:iCs/>
          <w:u w:val="single"/>
        </w:rPr>
        <w:t>1</w:t>
      </w:r>
      <w:r w:rsidRPr="00450286">
        <w:rPr>
          <w:rFonts w:ascii="Calibri" w:eastAsia="Calibri" w:hAnsi="Calibri" w:cs="Times New Roman"/>
          <w:u w:val="single"/>
        </w:rPr>
        <w:fldChar w:fldCharType="end"/>
      </w:r>
      <w:r w:rsidRPr="00450286">
        <w:rPr>
          <w:rFonts w:ascii="Calibri" w:eastAsia="Calibri" w:hAnsi="Calibri" w:cs="Times New Roman"/>
          <w:i/>
          <w:iCs/>
          <w:u w:val="single"/>
        </w:rPr>
        <w:t>: Patient Demographics</w:t>
      </w:r>
      <w:r w:rsidR="00E054B1">
        <w:rPr>
          <w:rFonts w:ascii="Calibri" w:eastAsia="Calibri" w:hAnsi="Calibri" w:cs="Times New Roman"/>
          <w:i/>
          <w:iCs/>
          <w:u w:val="single"/>
        </w:rPr>
        <w:t xml:space="preserve"> and Outcomes</w:t>
      </w:r>
    </w:p>
    <w:tbl>
      <w:tblPr>
        <w:tblW w:w="0" w:type="auto"/>
        <w:tblLook w:val="04A0" w:firstRow="1" w:lastRow="0" w:firstColumn="1" w:lastColumn="0" w:noHBand="0" w:noVBand="1"/>
      </w:tblPr>
      <w:tblGrid>
        <w:gridCol w:w="1474"/>
        <w:gridCol w:w="1347"/>
        <w:gridCol w:w="1354"/>
        <w:gridCol w:w="1597"/>
        <w:gridCol w:w="1459"/>
        <w:gridCol w:w="1127"/>
        <w:gridCol w:w="1002"/>
      </w:tblGrid>
      <w:tr w:rsidR="00367E95" w:rsidRPr="00450286" w14:paraId="716A4568" w14:textId="77777777" w:rsidTr="00E12B89">
        <w:tc>
          <w:tcPr>
            <w:tcW w:w="1500" w:type="dxa"/>
            <w:tcBorders>
              <w:top w:val="single" w:sz="4" w:space="0" w:color="auto"/>
              <w:left w:val="nil"/>
              <w:bottom w:val="double" w:sz="4" w:space="0" w:color="auto"/>
              <w:right w:val="nil"/>
            </w:tcBorders>
            <w:shd w:val="clear" w:color="auto" w:fill="auto"/>
            <w:hideMark/>
          </w:tcPr>
          <w:p w14:paraId="395A922E" w14:textId="77777777" w:rsidR="00450286" w:rsidRPr="00450286" w:rsidRDefault="00450286" w:rsidP="00450286">
            <w:pPr>
              <w:tabs>
                <w:tab w:val="left" w:pos="2805"/>
              </w:tabs>
              <w:rPr>
                <w:rFonts w:ascii="Calibri" w:eastAsia="Calibri" w:hAnsi="Calibri" w:cs="Times New Roman"/>
                <w:b/>
                <w:u w:val="single"/>
              </w:rPr>
            </w:pPr>
            <w:r w:rsidRPr="00450286">
              <w:rPr>
                <w:rFonts w:ascii="Calibri" w:eastAsia="Calibri" w:hAnsi="Calibri" w:cs="Times New Roman"/>
                <w:b/>
                <w:u w:val="single"/>
              </w:rPr>
              <w:t>Patient Cohort</w:t>
            </w:r>
          </w:p>
        </w:tc>
        <w:tc>
          <w:tcPr>
            <w:tcW w:w="1475" w:type="dxa"/>
            <w:tcBorders>
              <w:top w:val="single" w:sz="4" w:space="0" w:color="auto"/>
              <w:left w:val="nil"/>
              <w:bottom w:val="double" w:sz="4" w:space="0" w:color="auto"/>
              <w:right w:val="nil"/>
            </w:tcBorders>
            <w:shd w:val="clear" w:color="auto" w:fill="auto"/>
            <w:hideMark/>
          </w:tcPr>
          <w:p w14:paraId="62A6D177" w14:textId="77777777" w:rsidR="00450286" w:rsidRPr="00450286" w:rsidRDefault="00450286" w:rsidP="00450286">
            <w:pPr>
              <w:tabs>
                <w:tab w:val="left" w:pos="2805"/>
              </w:tabs>
              <w:rPr>
                <w:rFonts w:ascii="Calibri" w:eastAsia="Calibri" w:hAnsi="Calibri" w:cs="Times New Roman"/>
                <w:b/>
                <w:u w:val="single"/>
              </w:rPr>
            </w:pPr>
            <w:r w:rsidRPr="00450286">
              <w:rPr>
                <w:rFonts w:ascii="Calibri" w:eastAsia="Calibri" w:hAnsi="Calibri" w:cs="Times New Roman"/>
                <w:b/>
                <w:u w:val="single"/>
              </w:rPr>
              <w:t>Number of Patients</w:t>
            </w:r>
          </w:p>
        </w:tc>
        <w:tc>
          <w:tcPr>
            <w:tcW w:w="1242" w:type="dxa"/>
            <w:tcBorders>
              <w:top w:val="single" w:sz="4" w:space="0" w:color="auto"/>
              <w:left w:val="nil"/>
              <w:bottom w:val="double" w:sz="4" w:space="0" w:color="auto"/>
              <w:right w:val="nil"/>
            </w:tcBorders>
            <w:shd w:val="clear" w:color="auto" w:fill="auto"/>
            <w:hideMark/>
          </w:tcPr>
          <w:p w14:paraId="34BEAB81" w14:textId="77777777" w:rsidR="00450286" w:rsidRPr="00450286" w:rsidRDefault="00450286" w:rsidP="00450286">
            <w:pPr>
              <w:tabs>
                <w:tab w:val="left" w:pos="2805"/>
              </w:tabs>
              <w:rPr>
                <w:rFonts w:ascii="Calibri" w:eastAsia="Calibri" w:hAnsi="Calibri" w:cs="Times New Roman"/>
                <w:b/>
                <w:u w:val="single"/>
              </w:rPr>
            </w:pPr>
            <w:r w:rsidRPr="00450286">
              <w:rPr>
                <w:rFonts w:ascii="Calibri" w:eastAsia="Calibri" w:hAnsi="Calibri" w:cs="Times New Roman"/>
                <w:b/>
                <w:u w:val="single"/>
              </w:rPr>
              <w:t>Mean Age (years)</w:t>
            </w:r>
          </w:p>
        </w:tc>
        <w:tc>
          <w:tcPr>
            <w:tcW w:w="1661" w:type="dxa"/>
            <w:tcBorders>
              <w:top w:val="single" w:sz="4" w:space="0" w:color="auto"/>
              <w:left w:val="nil"/>
              <w:bottom w:val="double" w:sz="4" w:space="0" w:color="auto"/>
              <w:right w:val="nil"/>
            </w:tcBorders>
            <w:shd w:val="clear" w:color="auto" w:fill="auto"/>
            <w:hideMark/>
          </w:tcPr>
          <w:p w14:paraId="11C65593" w14:textId="77777777" w:rsidR="00450286" w:rsidRPr="00450286" w:rsidRDefault="00450286" w:rsidP="00450286">
            <w:pPr>
              <w:tabs>
                <w:tab w:val="left" w:pos="2805"/>
              </w:tabs>
              <w:rPr>
                <w:rFonts w:ascii="Calibri" w:eastAsia="Calibri" w:hAnsi="Calibri" w:cs="Times New Roman"/>
                <w:b/>
                <w:u w:val="single"/>
              </w:rPr>
            </w:pPr>
            <w:r w:rsidRPr="00450286">
              <w:rPr>
                <w:rFonts w:ascii="Calibri" w:eastAsia="Calibri" w:hAnsi="Calibri" w:cs="Times New Roman"/>
                <w:b/>
                <w:u w:val="single"/>
              </w:rPr>
              <w:t>Male:Female Ratio</w:t>
            </w:r>
          </w:p>
        </w:tc>
        <w:tc>
          <w:tcPr>
            <w:tcW w:w="1557" w:type="dxa"/>
            <w:tcBorders>
              <w:top w:val="single" w:sz="4" w:space="0" w:color="auto"/>
              <w:left w:val="nil"/>
              <w:bottom w:val="double" w:sz="4" w:space="0" w:color="auto"/>
              <w:right w:val="nil"/>
            </w:tcBorders>
            <w:shd w:val="clear" w:color="auto" w:fill="auto"/>
            <w:hideMark/>
          </w:tcPr>
          <w:p w14:paraId="00CD967D" w14:textId="77777777" w:rsidR="00450286" w:rsidRPr="00450286" w:rsidRDefault="00450286" w:rsidP="00450286">
            <w:pPr>
              <w:tabs>
                <w:tab w:val="left" w:pos="2805"/>
              </w:tabs>
              <w:rPr>
                <w:rFonts w:ascii="Calibri" w:eastAsia="Calibri" w:hAnsi="Calibri" w:cs="Times New Roman"/>
                <w:b/>
                <w:u w:val="single"/>
              </w:rPr>
            </w:pPr>
            <w:r w:rsidRPr="00450286">
              <w:rPr>
                <w:rFonts w:ascii="Calibri" w:eastAsia="Calibri" w:hAnsi="Calibri" w:cs="Times New Roman"/>
                <w:b/>
                <w:u w:val="single"/>
              </w:rPr>
              <w:t xml:space="preserve">Median Admission GCS </w:t>
            </w:r>
          </w:p>
        </w:tc>
        <w:tc>
          <w:tcPr>
            <w:tcW w:w="2141" w:type="dxa"/>
            <w:gridSpan w:val="2"/>
            <w:tcBorders>
              <w:top w:val="single" w:sz="4" w:space="0" w:color="auto"/>
              <w:left w:val="nil"/>
              <w:bottom w:val="double" w:sz="4" w:space="0" w:color="auto"/>
              <w:right w:val="nil"/>
            </w:tcBorders>
            <w:shd w:val="clear" w:color="auto" w:fill="auto"/>
            <w:hideMark/>
          </w:tcPr>
          <w:p w14:paraId="6A12E1B8" w14:textId="77777777" w:rsidR="00450286" w:rsidRPr="00450286" w:rsidRDefault="00450286" w:rsidP="00450286">
            <w:pPr>
              <w:tabs>
                <w:tab w:val="left" w:pos="2805"/>
              </w:tabs>
              <w:rPr>
                <w:rFonts w:ascii="Calibri" w:eastAsia="Calibri" w:hAnsi="Calibri" w:cs="Times New Roman"/>
                <w:b/>
                <w:u w:val="single"/>
              </w:rPr>
            </w:pPr>
            <w:r w:rsidRPr="00450286">
              <w:rPr>
                <w:rFonts w:ascii="Calibri" w:eastAsia="Calibri" w:hAnsi="Calibri" w:cs="Times New Roman"/>
                <w:b/>
                <w:u w:val="single"/>
              </w:rPr>
              <w:t>Glasgow Outcome Scale at Discharge</w:t>
            </w:r>
          </w:p>
        </w:tc>
      </w:tr>
      <w:tr w:rsidR="00367E95" w:rsidRPr="00450286" w14:paraId="1188DE12" w14:textId="77777777" w:rsidTr="00E12B89">
        <w:trPr>
          <w:trHeight w:val="270"/>
        </w:trPr>
        <w:tc>
          <w:tcPr>
            <w:tcW w:w="1500" w:type="dxa"/>
            <w:vMerge w:val="restart"/>
            <w:tcBorders>
              <w:top w:val="double" w:sz="4" w:space="0" w:color="auto"/>
              <w:left w:val="nil"/>
              <w:bottom w:val="nil"/>
              <w:right w:val="nil"/>
            </w:tcBorders>
            <w:shd w:val="clear" w:color="auto" w:fill="auto"/>
            <w:hideMark/>
          </w:tcPr>
          <w:p w14:paraId="14F58BDD" w14:textId="12C30D3F" w:rsidR="00450286" w:rsidRPr="00450286" w:rsidRDefault="00450286" w:rsidP="00450286">
            <w:pPr>
              <w:tabs>
                <w:tab w:val="left" w:pos="2805"/>
              </w:tabs>
              <w:rPr>
                <w:rFonts w:ascii="Calibri" w:eastAsia="Calibri" w:hAnsi="Calibri" w:cs="Times New Roman"/>
                <w:i/>
                <w:u w:val="single"/>
              </w:rPr>
            </w:pPr>
            <w:r w:rsidRPr="00450286">
              <w:rPr>
                <w:rFonts w:ascii="Calibri" w:eastAsia="Calibri" w:hAnsi="Calibri" w:cs="Times New Roman"/>
                <w:i/>
                <w:u w:val="single"/>
              </w:rPr>
              <w:t>Plateau Wave</w:t>
            </w:r>
            <w:r w:rsidR="00E054B1">
              <w:rPr>
                <w:rFonts w:ascii="Calibri" w:eastAsia="Calibri" w:hAnsi="Calibri" w:cs="Times New Roman"/>
                <w:i/>
                <w:u w:val="single"/>
              </w:rPr>
              <w:t>s</w:t>
            </w:r>
          </w:p>
        </w:tc>
        <w:tc>
          <w:tcPr>
            <w:tcW w:w="1475" w:type="dxa"/>
            <w:vMerge w:val="restart"/>
            <w:tcBorders>
              <w:top w:val="double" w:sz="4" w:space="0" w:color="auto"/>
              <w:left w:val="nil"/>
              <w:bottom w:val="nil"/>
              <w:right w:val="nil"/>
            </w:tcBorders>
            <w:shd w:val="clear" w:color="auto" w:fill="auto"/>
            <w:hideMark/>
          </w:tcPr>
          <w:p w14:paraId="152043F0" w14:textId="2A5E19EC" w:rsidR="00450286" w:rsidRDefault="00450286" w:rsidP="00450286">
            <w:pPr>
              <w:tabs>
                <w:tab w:val="left" w:pos="2805"/>
              </w:tabs>
              <w:rPr>
                <w:rFonts w:ascii="Calibri" w:eastAsia="Calibri" w:hAnsi="Calibri" w:cs="Times New Roman"/>
                <w:u w:val="single"/>
              </w:rPr>
            </w:pPr>
            <w:r w:rsidRPr="00450286">
              <w:rPr>
                <w:rFonts w:ascii="Calibri" w:eastAsia="Calibri" w:hAnsi="Calibri" w:cs="Times New Roman"/>
                <w:u w:val="single"/>
              </w:rPr>
              <w:t>1</w:t>
            </w:r>
            <w:r w:rsidR="00E054B1">
              <w:rPr>
                <w:rFonts w:ascii="Calibri" w:eastAsia="Calibri" w:hAnsi="Calibri" w:cs="Times New Roman"/>
                <w:u w:val="single"/>
              </w:rPr>
              <w:t xml:space="preserve">6 </w:t>
            </w:r>
          </w:p>
          <w:p w14:paraId="77153618" w14:textId="62F63F29" w:rsidR="00E054B1" w:rsidRDefault="00E054B1" w:rsidP="00450286">
            <w:pPr>
              <w:tabs>
                <w:tab w:val="left" w:pos="2805"/>
              </w:tabs>
              <w:rPr>
                <w:rFonts w:ascii="Calibri" w:eastAsia="Calibri" w:hAnsi="Calibri" w:cs="Times New Roman"/>
                <w:u w:val="single"/>
              </w:rPr>
            </w:pPr>
            <w:r>
              <w:rPr>
                <w:rFonts w:ascii="Calibri" w:eastAsia="Calibri" w:hAnsi="Calibri" w:cs="Times New Roman"/>
                <w:u w:val="single"/>
              </w:rPr>
              <w:lastRenderedPageBreak/>
              <w:t>(5/16 lost to follow-up)</w:t>
            </w:r>
          </w:p>
          <w:p w14:paraId="2B03521C" w14:textId="1D8D5DE2" w:rsidR="00E054B1" w:rsidRPr="00450286" w:rsidRDefault="00E054B1" w:rsidP="00450286">
            <w:pPr>
              <w:tabs>
                <w:tab w:val="left" w:pos="2805"/>
              </w:tabs>
              <w:rPr>
                <w:rFonts w:ascii="Calibri" w:eastAsia="Calibri" w:hAnsi="Calibri" w:cs="Times New Roman"/>
                <w:u w:val="single"/>
              </w:rPr>
            </w:pPr>
          </w:p>
        </w:tc>
        <w:tc>
          <w:tcPr>
            <w:tcW w:w="1242" w:type="dxa"/>
            <w:vMerge w:val="restart"/>
            <w:tcBorders>
              <w:top w:val="double" w:sz="4" w:space="0" w:color="auto"/>
              <w:left w:val="nil"/>
              <w:bottom w:val="nil"/>
              <w:right w:val="nil"/>
            </w:tcBorders>
            <w:shd w:val="clear" w:color="auto" w:fill="auto"/>
            <w:hideMark/>
          </w:tcPr>
          <w:p w14:paraId="3971D82F" w14:textId="41E3ED55" w:rsidR="00450286" w:rsidRPr="00450286" w:rsidRDefault="00450286" w:rsidP="00450286">
            <w:pPr>
              <w:tabs>
                <w:tab w:val="left" w:pos="2805"/>
              </w:tabs>
              <w:rPr>
                <w:rFonts w:ascii="Calibri" w:eastAsia="Calibri" w:hAnsi="Calibri" w:cs="Times New Roman"/>
                <w:u w:val="single"/>
              </w:rPr>
            </w:pPr>
            <w:r w:rsidRPr="00450286">
              <w:rPr>
                <w:rFonts w:ascii="Calibri" w:eastAsia="Calibri" w:hAnsi="Calibri" w:cs="Times New Roman"/>
                <w:u w:val="single"/>
              </w:rPr>
              <w:lastRenderedPageBreak/>
              <w:t>27.</w:t>
            </w:r>
            <w:r w:rsidR="00E054B1">
              <w:rPr>
                <w:rFonts w:ascii="Calibri" w:eastAsia="Calibri" w:hAnsi="Calibri" w:cs="Times New Roman"/>
                <w:u w:val="single"/>
              </w:rPr>
              <w:t>18</w:t>
            </w:r>
            <w:r w:rsidRPr="00450286">
              <w:rPr>
                <w:rFonts w:ascii="Calibri" w:eastAsia="Calibri" w:hAnsi="Calibri" w:cs="Times New Roman"/>
                <w:u w:val="single"/>
              </w:rPr>
              <w:t xml:space="preserve"> (range: 17 to </w:t>
            </w:r>
            <w:r w:rsidR="00E054B1">
              <w:rPr>
                <w:rFonts w:ascii="Calibri" w:eastAsia="Calibri" w:hAnsi="Calibri" w:cs="Times New Roman"/>
                <w:u w:val="single"/>
              </w:rPr>
              <w:t>32</w:t>
            </w:r>
            <w:r w:rsidRPr="00450286">
              <w:rPr>
                <w:rFonts w:ascii="Calibri" w:eastAsia="Calibri" w:hAnsi="Calibri" w:cs="Times New Roman"/>
                <w:u w:val="single"/>
              </w:rPr>
              <w:t>)</w:t>
            </w:r>
          </w:p>
        </w:tc>
        <w:tc>
          <w:tcPr>
            <w:tcW w:w="1661" w:type="dxa"/>
            <w:vMerge w:val="restart"/>
            <w:tcBorders>
              <w:top w:val="double" w:sz="4" w:space="0" w:color="auto"/>
              <w:left w:val="nil"/>
              <w:bottom w:val="nil"/>
              <w:right w:val="nil"/>
            </w:tcBorders>
            <w:shd w:val="clear" w:color="auto" w:fill="auto"/>
            <w:hideMark/>
          </w:tcPr>
          <w:p w14:paraId="49F51D26" w14:textId="1338825B" w:rsidR="00450286" w:rsidRDefault="00E377C3" w:rsidP="00450286">
            <w:pPr>
              <w:tabs>
                <w:tab w:val="left" w:pos="2805"/>
              </w:tabs>
              <w:rPr>
                <w:rFonts w:ascii="Calibri" w:eastAsia="Calibri" w:hAnsi="Calibri" w:cs="Times New Roman"/>
                <w:u w:val="single"/>
              </w:rPr>
            </w:pPr>
            <w:r>
              <w:rPr>
                <w:rFonts w:ascii="Calibri" w:eastAsia="Calibri" w:hAnsi="Calibri" w:cs="Times New Roman"/>
                <w:u w:val="single"/>
              </w:rPr>
              <w:t>12</w:t>
            </w:r>
            <w:r w:rsidR="00450286" w:rsidRPr="00450286">
              <w:rPr>
                <w:rFonts w:ascii="Calibri" w:eastAsia="Calibri" w:hAnsi="Calibri" w:cs="Times New Roman"/>
                <w:u w:val="single"/>
              </w:rPr>
              <w:t>:</w:t>
            </w:r>
            <w:r>
              <w:rPr>
                <w:rFonts w:ascii="Calibri" w:eastAsia="Calibri" w:hAnsi="Calibri" w:cs="Times New Roman"/>
                <w:u w:val="single"/>
              </w:rPr>
              <w:t>4</w:t>
            </w:r>
          </w:p>
          <w:p w14:paraId="5F7F5F02" w14:textId="5E189BD3" w:rsidR="00E054B1" w:rsidRPr="00450286" w:rsidRDefault="00E054B1" w:rsidP="00450286">
            <w:pPr>
              <w:tabs>
                <w:tab w:val="left" w:pos="2805"/>
              </w:tabs>
              <w:rPr>
                <w:rFonts w:ascii="Calibri" w:eastAsia="Calibri" w:hAnsi="Calibri" w:cs="Times New Roman"/>
                <w:u w:val="single"/>
              </w:rPr>
            </w:pPr>
          </w:p>
        </w:tc>
        <w:tc>
          <w:tcPr>
            <w:tcW w:w="1557" w:type="dxa"/>
            <w:vMerge w:val="restart"/>
            <w:tcBorders>
              <w:top w:val="double" w:sz="4" w:space="0" w:color="auto"/>
              <w:left w:val="nil"/>
              <w:bottom w:val="nil"/>
              <w:right w:val="nil"/>
            </w:tcBorders>
            <w:shd w:val="clear" w:color="auto" w:fill="auto"/>
            <w:hideMark/>
          </w:tcPr>
          <w:p w14:paraId="346CCB0F" w14:textId="2581DA11" w:rsidR="00450286" w:rsidRPr="00450286" w:rsidRDefault="00450286" w:rsidP="00450286">
            <w:pPr>
              <w:tabs>
                <w:tab w:val="left" w:pos="2805"/>
              </w:tabs>
              <w:rPr>
                <w:rFonts w:ascii="Calibri" w:eastAsia="Calibri" w:hAnsi="Calibri" w:cs="Times New Roman"/>
                <w:u w:val="single"/>
              </w:rPr>
            </w:pPr>
            <w:r w:rsidRPr="00450286">
              <w:rPr>
                <w:rFonts w:ascii="Calibri" w:eastAsia="Calibri" w:hAnsi="Calibri" w:cs="Times New Roman"/>
                <w:u w:val="single"/>
              </w:rPr>
              <w:lastRenderedPageBreak/>
              <w:t xml:space="preserve">5 (range: </w:t>
            </w:r>
            <w:r w:rsidR="00E054B1">
              <w:rPr>
                <w:rFonts w:ascii="Calibri" w:eastAsia="Calibri" w:hAnsi="Calibri" w:cs="Times New Roman"/>
                <w:u w:val="single"/>
              </w:rPr>
              <w:t>1</w:t>
            </w:r>
            <w:r w:rsidRPr="00450286">
              <w:rPr>
                <w:rFonts w:ascii="Calibri" w:eastAsia="Calibri" w:hAnsi="Calibri" w:cs="Times New Roman"/>
                <w:u w:val="single"/>
              </w:rPr>
              <w:t xml:space="preserve"> to 10)</w:t>
            </w:r>
          </w:p>
        </w:tc>
        <w:tc>
          <w:tcPr>
            <w:tcW w:w="1127" w:type="dxa"/>
            <w:tcBorders>
              <w:top w:val="double" w:sz="4" w:space="0" w:color="auto"/>
              <w:left w:val="nil"/>
              <w:bottom w:val="single" w:sz="4" w:space="0" w:color="auto"/>
              <w:right w:val="nil"/>
            </w:tcBorders>
            <w:shd w:val="clear" w:color="auto" w:fill="auto"/>
            <w:hideMark/>
          </w:tcPr>
          <w:p w14:paraId="4CB6D78A" w14:textId="77777777" w:rsidR="00450286" w:rsidRPr="00450286" w:rsidRDefault="00450286" w:rsidP="00450286">
            <w:pPr>
              <w:tabs>
                <w:tab w:val="left" w:pos="2805"/>
              </w:tabs>
              <w:rPr>
                <w:rFonts w:ascii="Calibri" w:eastAsia="Calibri" w:hAnsi="Calibri" w:cs="Times New Roman"/>
                <w:b/>
                <w:i/>
                <w:u w:val="single"/>
              </w:rPr>
            </w:pPr>
            <w:r w:rsidRPr="00450286">
              <w:rPr>
                <w:rFonts w:ascii="Calibri" w:eastAsia="Calibri" w:hAnsi="Calibri" w:cs="Times New Roman"/>
                <w:b/>
                <w:i/>
                <w:u w:val="single"/>
              </w:rPr>
              <w:t xml:space="preserve">GOS </w:t>
            </w:r>
          </w:p>
        </w:tc>
        <w:tc>
          <w:tcPr>
            <w:tcW w:w="1014" w:type="dxa"/>
            <w:tcBorders>
              <w:top w:val="double" w:sz="4" w:space="0" w:color="auto"/>
              <w:left w:val="nil"/>
              <w:bottom w:val="single" w:sz="4" w:space="0" w:color="auto"/>
              <w:right w:val="nil"/>
            </w:tcBorders>
            <w:shd w:val="clear" w:color="auto" w:fill="auto"/>
            <w:hideMark/>
          </w:tcPr>
          <w:p w14:paraId="1D77A1DA" w14:textId="77777777" w:rsidR="00450286" w:rsidRPr="00450286" w:rsidRDefault="00450286" w:rsidP="00450286">
            <w:pPr>
              <w:tabs>
                <w:tab w:val="left" w:pos="2805"/>
              </w:tabs>
              <w:rPr>
                <w:rFonts w:ascii="Calibri" w:eastAsia="Calibri" w:hAnsi="Calibri" w:cs="Times New Roman"/>
                <w:b/>
                <w:i/>
                <w:u w:val="single"/>
              </w:rPr>
            </w:pPr>
            <w:r w:rsidRPr="00450286">
              <w:rPr>
                <w:rFonts w:ascii="Calibri" w:eastAsia="Calibri" w:hAnsi="Calibri" w:cs="Times New Roman"/>
                <w:b/>
                <w:i/>
                <w:u w:val="single"/>
              </w:rPr>
              <w:t># of Patients</w:t>
            </w:r>
          </w:p>
        </w:tc>
      </w:tr>
      <w:tr w:rsidR="00367E95" w:rsidRPr="00450286" w14:paraId="2CDEC521" w14:textId="77777777" w:rsidTr="00E12B89">
        <w:trPr>
          <w:trHeight w:val="56"/>
        </w:trPr>
        <w:tc>
          <w:tcPr>
            <w:tcW w:w="0" w:type="auto"/>
            <w:vMerge/>
            <w:tcBorders>
              <w:top w:val="double" w:sz="4" w:space="0" w:color="auto"/>
              <w:left w:val="nil"/>
              <w:bottom w:val="nil"/>
              <w:right w:val="nil"/>
            </w:tcBorders>
            <w:shd w:val="clear" w:color="auto" w:fill="auto"/>
            <w:vAlign w:val="center"/>
            <w:hideMark/>
          </w:tcPr>
          <w:p w14:paraId="4ABC2304" w14:textId="77777777" w:rsidR="00450286" w:rsidRPr="00450286" w:rsidRDefault="00450286" w:rsidP="00450286">
            <w:pPr>
              <w:tabs>
                <w:tab w:val="left" w:pos="2805"/>
              </w:tabs>
              <w:rPr>
                <w:rFonts w:ascii="Calibri" w:eastAsia="Calibri" w:hAnsi="Calibri" w:cs="Times New Roman"/>
                <w:i/>
                <w:u w:val="single"/>
              </w:rPr>
            </w:pPr>
          </w:p>
        </w:tc>
        <w:tc>
          <w:tcPr>
            <w:tcW w:w="0" w:type="auto"/>
            <w:vMerge/>
            <w:tcBorders>
              <w:top w:val="double" w:sz="4" w:space="0" w:color="auto"/>
              <w:left w:val="nil"/>
              <w:bottom w:val="nil"/>
              <w:right w:val="nil"/>
            </w:tcBorders>
            <w:shd w:val="clear" w:color="auto" w:fill="auto"/>
            <w:vAlign w:val="center"/>
            <w:hideMark/>
          </w:tcPr>
          <w:p w14:paraId="2E983F6C"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21C5EC73"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410CC5EE"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2212003F" w14:textId="77777777" w:rsidR="00450286" w:rsidRPr="00450286" w:rsidRDefault="00450286" w:rsidP="00450286">
            <w:pPr>
              <w:tabs>
                <w:tab w:val="left" w:pos="2805"/>
              </w:tabs>
              <w:rPr>
                <w:rFonts w:ascii="Calibri" w:eastAsia="Calibri" w:hAnsi="Calibri" w:cs="Times New Roman"/>
                <w:u w:val="single"/>
              </w:rPr>
            </w:pPr>
          </w:p>
        </w:tc>
        <w:tc>
          <w:tcPr>
            <w:tcW w:w="1127" w:type="dxa"/>
            <w:tcBorders>
              <w:top w:val="single" w:sz="4" w:space="0" w:color="auto"/>
              <w:left w:val="nil"/>
              <w:bottom w:val="nil"/>
              <w:right w:val="nil"/>
            </w:tcBorders>
            <w:shd w:val="clear" w:color="auto" w:fill="auto"/>
            <w:hideMark/>
          </w:tcPr>
          <w:p w14:paraId="27A040FD" w14:textId="77777777" w:rsidR="00450286" w:rsidRPr="00450286" w:rsidRDefault="00450286" w:rsidP="00450286">
            <w:pPr>
              <w:tabs>
                <w:tab w:val="left" w:pos="2805"/>
              </w:tabs>
              <w:rPr>
                <w:rFonts w:ascii="Calibri" w:eastAsia="Calibri" w:hAnsi="Calibri" w:cs="Times New Roman"/>
                <w:b/>
                <w:i/>
                <w:u w:val="single"/>
              </w:rPr>
            </w:pPr>
            <w:r w:rsidRPr="00450286">
              <w:rPr>
                <w:rFonts w:ascii="Calibri" w:eastAsia="Calibri" w:hAnsi="Calibri" w:cs="Times New Roman"/>
                <w:b/>
                <w:i/>
                <w:u w:val="single"/>
              </w:rPr>
              <w:t>Dead</w:t>
            </w:r>
          </w:p>
        </w:tc>
        <w:tc>
          <w:tcPr>
            <w:tcW w:w="1014" w:type="dxa"/>
            <w:tcBorders>
              <w:top w:val="single" w:sz="4" w:space="0" w:color="auto"/>
              <w:left w:val="nil"/>
              <w:bottom w:val="nil"/>
              <w:right w:val="nil"/>
            </w:tcBorders>
            <w:shd w:val="clear" w:color="auto" w:fill="auto"/>
            <w:hideMark/>
          </w:tcPr>
          <w:p w14:paraId="49E9E40E" w14:textId="2F92E46B" w:rsidR="00450286" w:rsidRPr="00450286" w:rsidRDefault="00E054B1" w:rsidP="00450286">
            <w:pPr>
              <w:tabs>
                <w:tab w:val="left" w:pos="2805"/>
              </w:tabs>
              <w:rPr>
                <w:rFonts w:ascii="Calibri" w:eastAsia="Calibri" w:hAnsi="Calibri" w:cs="Times New Roman"/>
                <w:b/>
                <w:u w:val="single"/>
              </w:rPr>
            </w:pPr>
            <w:r>
              <w:rPr>
                <w:rFonts w:ascii="Calibri" w:eastAsia="Calibri" w:hAnsi="Calibri" w:cs="Times New Roman"/>
                <w:b/>
                <w:u w:val="single"/>
              </w:rPr>
              <w:t>0</w:t>
            </w:r>
          </w:p>
        </w:tc>
      </w:tr>
      <w:tr w:rsidR="00367E95" w:rsidRPr="00450286" w14:paraId="79138F3B" w14:textId="77777777" w:rsidTr="00E12B89">
        <w:trPr>
          <w:trHeight w:val="55"/>
        </w:trPr>
        <w:tc>
          <w:tcPr>
            <w:tcW w:w="0" w:type="auto"/>
            <w:vMerge/>
            <w:tcBorders>
              <w:top w:val="double" w:sz="4" w:space="0" w:color="auto"/>
              <w:left w:val="nil"/>
              <w:bottom w:val="nil"/>
              <w:right w:val="nil"/>
            </w:tcBorders>
            <w:shd w:val="clear" w:color="auto" w:fill="auto"/>
            <w:vAlign w:val="center"/>
            <w:hideMark/>
          </w:tcPr>
          <w:p w14:paraId="793D46DF" w14:textId="77777777" w:rsidR="00450286" w:rsidRPr="00450286" w:rsidRDefault="00450286" w:rsidP="00450286">
            <w:pPr>
              <w:tabs>
                <w:tab w:val="left" w:pos="2805"/>
              </w:tabs>
              <w:rPr>
                <w:rFonts w:ascii="Calibri" w:eastAsia="Calibri" w:hAnsi="Calibri" w:cs="Times New Roman"/>
                <w:i/>
                <w:u w:val="single"/>
              </w:rPr>
            </w:pPr>
          </w:p>
        </w:tc>
        <w:tc>
          <w:tcPr>
            <w:tcW w:w="0" w:type="auto"/>
            <w:vMerge/>
            <w:tcBorders>
              <w:top w:val="double" w:sz="4" w:space="0" w:color="auto"/>
              <w:left w:val="nil"/>
              <w:bottom w:val="nil"/>
              <w:right w:val="nil"/>
            </w:tcBorders>
            <w:shd w:val="clear" w:color="auto" w:fill="auto"/>
            <w:vAlign w:val="center"/>
            <w:hideMark/>
          </w:tcPr>
          <w:p w14:paraId="3ED4C895"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041FC171"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514CC033"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08764E8E" w14:textId="77777777" w:rsidR="00450286" w:rsidRPr="00450286" w:rsidRDefault="00450286" w:rsidP="00450286">
            <w:pPr>
              <w:tabs>
                <w:tab w:val="left" w:pos="2805"/>
              </w:tabs>
              <w:rPr>
                <w:rFonts w:ascii="Calibri" w:eastAsia="Calibri" w:hAnsi="Calibri" w:cs="Times New Roman"/>
                <w:u w:val="single"/>
              </w:rPr>
            </w:pPr>
          </w:p>
        </w:tc>
        <w:tc>
          <w:tcPr>
            <w:tcW w:w="1127" w:type="dxa"/>
            <w:shd w:val="clear" w:color="auto" w:fill="auto"/>
            <w:hideMark/>
          </w:tcPr>
          <w:p w14:paraId="3DB051E3" w14:textId="77777777" w:rsidR="00450286" w:rsidRPr="00450286" w:rsidRDefault="00450286" w:rsidP="00450286">
            <w:pPr>
              <w:tabs>
                <w:tab w:val="left" w:pos="2805"/>
              </w:tabs>
              <w:rPr>
                <w:rFonts w:ascii="Calibri" w:eastAsia="Calibri" w:hAnsi="Calibri" w:cs="Times New Roman"/>
                <w:b/>
                <w:i/>
                <w:u w:val="single"/>
              </w:rPr>
            </w:pPr>
            <w:r w:rsidRPr="00450286">
              <w:rPr>
                <w:rFonts w:ascii="Calibri" w:eastAsia="Calibri" w:hAnsi="Calibri" w:cs="Times New Roman"/>
                <w:b/>
                <w:i/>
                <w:u w:val="single"/>
              </w:rPr>
              <w:t>PVS</w:t>
            </w:r>
          </w:p>
        </w:tc>
        <w:tc>
          <w:tcPr>
            <w:tcW w:w="1014" w:type="dxa"/>
            <w:shd w:val="clear" w:color="auto" w:fill="auto"/>
            <w:hideMark/>
          </w:tcPr>
          <w:p w14:paraId="30424310" w14:textId="27373D27" w:rsidR="00450286" w:rsidRPr="00450286" w:rsidRDefault="00E054B1" w:rsidP="00450286">
            <w:pPr>
              <w:tabs>
                <w:tab w:val="left" w:pos="2805"/>
              </w:tabs>
              <w:rPr>
                <w:rFonts w:ascii="Calibri" w:eastAsia="Calibri" w:hAnsi="Calibri" w:cs="Times New Roman"/>
                <w:b/>
                <w:u w:val="single"/>
              </w:rPr>
            </w:pPr>
            <w:r>
              <w:rPr>
                <w:rFonts w:ascii="Calibri" w:eastAsia="Calibri" w:hAnsi="Calibri" w:cs="Times New Roman"/>
                <w:b/>
                <w:u w:val="single"/>
              </w:rPr>
              <w:t>4</w:t>
            </w:r>
          </w:p>
        </w:tc>
      </w:tr>
      <w:tr w:rsidR="00367E95" w:rsidRPr="00450286" w14:paraId="0B169088" w14:textId="77777777" w:rsidTr="00E12B89">
        <w:trPr>
          <w:trHeight w:val="55"/>
        </w:trPr>
        <w:tc>
          <w:tcPr>
            <w:tcW w:w="0" w:type="auto"/>
            <w:vMerge/>
            <w:tcBorders>
              <w:top w:val="double" w:sz="4" w:space="0" w:color="auto"/>
              <w:left w:val="nil"/>
              <w:bottom w:val="nil"/>
              <w:right w:val="nil"/>
            </w:tcBorders>
            <w:shd w:val="clear" w:color="auto" w:fill="auto"/>
            <w:vAlign w:val="center"/>
            <w:hideMark/>
          </w:tcPr>
          <w:p w14:paraId="7E6AC324" w14:textId="77777777" w:rsidR="00450286" w:rsidRPr="00450286" w:rsidRDefault="00450286" w:rsidP="00450286">
            <w:pPr>
              <w:tabs>
                <w:tab w:val="left" w:pos="2805"/>
              </w:tabs>
              <w:rPr>
                <w:rFonts w:ascii="Calibri" w:eastAsia="Calibri" w:hAnsi="Calibri" w:cs="Times New Roman"/>
                <w:i/>
                <w:u w:val="single"/>
              </w:rPr>
            </w:pPr>
          </w:p>
        </w:tc>
        <w:tc>
          <w:tcPr>
            <w:tcW w:w="0" w:type="auto"/>
            <w:vMerge/>
            <w:tcBorders>
              <w:top w:val="double" w:sz="4" w:space="0" w:color="auto"/>
              <w:left w:val="nil"/>
              <w:bottom w:val="nil"/>
              <w:right w:val="nil"/>
            </w:tcBorders>
            <w:shd w:val="clear" w:color="auto" w:fill="auto"/>
            <w:vAlign w:val="center"/>
            <w:hideMark/>
          </w:tcPr>
          <w:p w14:paraId="60CD2DE4"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3A6680BC"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09657E46"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15A9EBF8" w14:textId="77777777" w:rsidR="00450286" w:rsidRPr="00450286" w:rsidRDefault="00450286" w:rsidP="00450286">
            <w:pPr>
              <w:tabs>
                <w:tab w:val="left" w:pos="2805"/>
              </w:tabs>
              <w:rPr>
                <w:rFonts w:ascii="Calibri" w:eastAsia="Calibri" w:hAnsi="Calibri" w:cs="Times New Roman"/>
                <w:u w:val="single"/>
              </w:rPr>
            </w:pPr>
          </w:p>
        </w:tc>
        <w:tc>
          <w:tcPr>
            <w:tcW w:w="1127" w:type="dxa"/>
            <w:shd w:val="clear" w:color="auto" w:fill="auto"/>
            <w:hideMark/>
          </w:tcPr>
          <w:p w14:paraId="32CE46D6" w14:textId="77777777" w:rsidR="00450286" w:rsidRPr="00450286" w:rsidRDefault="00450286" w:rsidP="00450286">
            <w:pPr>
              <w:tabs>
                <w:tab w:val="left" w:pos="2805"/>
              </w:tabs>
              <w:rPr>
                <w:rFonts w:ascii="Calibri" w:eastAsia="Calibri" w:hAnsi="Calibri" w:cs="Times New Roman"/>
                <w:b/>
                <w:i/>
                <w:u w:val="single"/>
              </w:rPr>
            </w:pPr>
            <w:r w:rsidRPr="00450286">
              <w:rPr>
                <w:rFonts w:ascii="Calibri" w:eastAsia="Calibri" w:hAnsi="Calibri" w:cs="Times New Roman"/>
                <w:b/>
                <w:i/>
                <w:u w:val="single"/>
              </w:rPr>
              <w:t>Severe disability</w:t>
            </w:r>
          </w:p>
        </w:tc>
        <w:tc>
          <w:tcPr>
            <w:tcW w:w="1014" w:type="dxa"/>
            <w:shd w:val="clear" w:color="auto" w:fill="auto"/>
            <w:hideMark/>
          </w:tcPr>
          <w:p w14:paraId="2E804CFF" w14:textId="77777777" w:rsidR="00450286" w:rsidRPr="00450286" w:rsidRDefault="00450286" w:rsidP="00450286">
            <w:pPr>
              <w:tabs>
                <w:tab w:val="left" w:pos="2805"/>
              </w:tabs>
              <w:rPr>
                <w:rFonts w:ascii="Calibri" w:eastAsia="Calibri" w:hAnsi="Calibri" w:cs="Times New Roman"/>
                <w:b/>
                <w:u w:val="single"/>
              </w:rPr>
            </w:pPr>
            <w:r w:rsidRPr="00450286">
              <w:rPr>
                <w:rFonts w:ascii="Calibri" w:eastAsia="Calibri" w:hAnsi="Calibri" w:cs="Times New Roman"/>
                <w:b/>
                <w:u w:val="single"/>
              </w:rPr>
              <w:t>5</w:t>
            </w:r>
          </w:p>
        </w:tc>
      </w:tr>
      <w:tr w:rsidR="00367E95" w:rsidRPr="00450286" w14:paraId="45E35A90" w14:textId="77777777" w:rsidTr="00E12B89">
        <w:trPr>
          <w:trHeight w:val="55"/>
        </w:trPr>
        <w:tc>
          <w:tcPr>
            <w:tcW w:w="0" w:type="auto"/>
            <w:vMerge/>
            <w:tcBorders>
              <w:top w:val="double" w:sz="4" w:space="0" w:color="auto"/>
              <w:left w:val="nil"/>
              <w:bottom w:val="nil"/>
              <w:right w:val="nil"/>
            </w:tcBorders>
            <w:shd w:val="clear" w:color="auto" w:fill="auto"/>
            <w:vAlign w:val="center"/>
            <w:hideMark/>
          </w:tcPr>
          <w:p w14:paraId="7BB3663A" w14:textId="77777777" w:rsidR="00450286" w:rsidRPr="00450286" w:rsidRDefault="00450286" w:rsidP="00450286">
            <w:pPr>
              <w:tabs>
                <w:tab w:val="left" w:pos="2805"/>
              </w:tabs>
              <w:rPr>
                <w:rFonts w:ascii="Calibri" w:eastAsia="Calibri" w:hAnsi="Calibri" w:cs="Times New Roman"/>
                <w:i/>
                <w:u w:val="single"/>
              </w:rPr>
            </w:pPr>
          </w:p>
        </w:tc>
        <w:tc>
          <w:tcPr>
            <w:tcW w:w="0" w:type="auto"/>
            <w:vMerge/>
            <w:tcBorders>
              <w:top w:val="double" w:sz="4" w:space="0" w:color="auto"/>
              <w:left w:val="nil"/>
              <w:bottom w:val="nil"/>
              <w:right w:val="nil"/>
            </w:tcBorders>
            <w:shd w:val="clear" w:color="auto" w:fill="auto"/>
            <w:vAlign w:val="center"/>
            <w:hideMark/>
          </w:tcPr>
          <w:p w14:paraId="2C65C172"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56BB0E5A"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612267AA"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7FEFBDD8" w14:textId="77777777" w:rsidR="00450286" w:rsidRPr="00450286" w:rsidRDefault="00450286" w:rsidP="00450286">
            <w:pPr>
              <w:tabs>
                <w:tab w:val="left" w:pos="2805"/>
              </w:tabs>
              <w:rPr>
                <w:rFonts w:ascii="Calibri" w:eastAsia="Calibri" w:hAnsi="Calibri" w:cs="Times New Roman"/>
                <w:u w:val="single"/>
              </w:rPr>
            </w:pPr>
          </w:p>
        </w:tc>
        <w:tc>
          <w:tcPr>
            <w:tcW w:w="1127" w:type="dxa"/>
            <w:shd w:val="clear" w:color="auto" w:fill="auto"/>
            <w:hideMark/>
          </w:tcPr>
          <w:p w14:paraId="2B53068C" w14:textId="77777777" w:rsidR="00450286" w:rsidRPr="00450286" w:rsidRDefault="00450286" w:rsidP="00450286">
            <w:pPr>
              <w:tabs>
                <w:tab w:val="left" w:pos="2805"/>
              </w:tabs>
              <w:rPr>
                <w:rFonts w:ascii="Calibri" w:eastAsia="Calibri" w:hAnsi="Calibri" w:cs="Times New Roman"/>
                <w:b/>
                <w:i/>
                <w:u w:val="single"/>
              </w:rPr>
            </w:pPr>
            <w:r w:rsidRPr="00450286">
              <w:rPr>
                <w:rFonts w:ascii="Calibri" w:eastAsia="Calibri" w:hAnsi="Calibri" w:cs="Times New Roman"/>
                <w:b/>
                <w:i/>
                <w:u w:val="single"/>
              </w:rPr>
              <w:t>Moderate disability</w:t>
            </w:r>
          </w:p>
        </w:tc>
        <w:tc>
          <w:tcPr>
            <w:tcW w:w="1014" w:type="dxa"/>
            <w:shd w:val="clear" w:color="auto" w:fill="auto"/>
            <w:hideMark/>
          </w:tcPr>
          <w:p w14:paraId="2B2F0519" w14:textId="4C4881DC" w:rsidR="00450286" w:rsidRPr="00450286" w:rsidRDefault="00E054B1" w:rsidP="00450286">
            <w:pPr>
              <w:tabs>
                <w:tab w:val="left" w:pos="2805"/>
              </w:tabs>
              <w:rPr>
                <w:rFonts w:ascii="Calibri" w:eastAsia="Calibri" w:hAnsi="Calibri" w:cs="Times New Roman"/>
                <w:b/>
                <w:u w:val="single"/>
              </w:rPr>
            </w:pPr>
            <w:r>
              <w:rPr>
                <w:rFonts w:ascii="Calibri" w:eastAsia="Calibri" w:hAnsi="Calibri" w:cs="Times New Roman"/>
                <w:b/>
                <w:u w:val="single"/>
              </w:rPr>
              <w:t>0</w:t>
            </w:r>
          </w:p>
        </w:tc>
      </w:tr>
      <w:tr w:rsidR="00367E95" w:rsidRPr="00450286" w14:paraId="2EB86BAA" w14:textId="77777777" w:rsidTr="00E12B89">
        <w:trPr>
          <w:trHeight w:val="55"/>
        </w:trPr>
        <w:tc>
          <w:tcPr>
            <w:tcW w:w="0" w:type="auto"/>
            <w:vMerge/>
            <w:tcBorders>
              <w:top w:val="double" w:sz="4" w:space="0" w:color="auto"/>
              <w:left w:val="nil"/>
              <w:bottom w:val="nil"/>
              <w:right w:val="nil"/>
            </w:tcBorders>
            <w:shd w:val="clear" w:color="auto" w:fill="auto"/>
            <w:vAlign w:val="center"/>
            <w:hideMark/>
          </w:tcPr>
          <w:p w14:paraId="3E160EEB" w14:textId="77777777" w:rsidR="00450286" w:rsidRPr="00450286" w:rsidRDefault="00450286" w:rsidP="00450286">
            <w:pPr>
              <w:tabs>
                <w:tab w:val="left" w:pos="2805"/>
              </w:tabs>
              <w:rPr>
                <w:rFonts w:ascii="Calibri" w:eastAsia="Calibri" w:hAnsi="Calibri" w:cs="Times New Roman"/>
                <w:i/>
                <w:u w:val="single"/>
              </w:rPr>
            </w:pPr>
          </w:p>
        </w:tc>
        <w:tc>
          <w:tcPr>
            <w:tcW w:w="0" w:type="auto"/>
            <w:vMerge/>
            <w:tcBorders>
              <w:top w:val="double" w:sz="4" w:space="0" w:color="auto"/>
              <w:left w:val="nil"/>
              <w:bottom w:val="nil"/>
              <w:right w:val="nil"/>
            </w:tcBorders>
            <w:shd w:val="clear" w:color="auto" w:fill="auto"/>
            <w:vAlign w:val="center"/>
            <w:hideMark/>
          </w:tcPr>
          <w:p w14:paraId="6F472795"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17C673A5"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334F45CD"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0335A08B" w14:textId="77777777" w:rsidR="00450286" w:rsidRPr="00450286" w:rsidRDefault="00450286" w:rsidP="00450286">
            <w:pPr>
              <w:tabs>
                <w:tab w:val="left" w:pos="2805"/>
              </w:tabs>
              <w:rPr>
                <w:rFonts w:ascii="Calibri" w:eastAsia="Calibri" w:hAnsi="Calibri" w:cs="Times New Roman"/>
                <w:u w:val="single"/>
              </w:rPr>
            </w:pPr>
          </w:p>
        </w:tc>
        <w:tc>
          <w:tcPr>
            <w:tcW w:w="1127" w:type="dxa"/>
            <w:tcBorders>
              <w:top w:val="nil"/>
              <w:left w:val="nil"/>
              <w:bottom w:val="single" w:sz="4" w:space="0" w:color="auto"/>
              <w:right w:val="nil"/>
            </w:tcBorders>
            <w:shd w:val="clear" w:color="auto" w:fill="auto"/>
            <w:hideMark/>
          </w:tcPr>
          <w:p w14:paraId="3B5CAA85" w14:textId="77777777" w:rsidR="00450286" w:rsidRPr="00450286" w:rsidRDefault="00450286" w:rsidP="00450286">
            <w:pPr>
              <w:tabs>
                <w:tab w:val="left" w:pos="2805"/>
              </w:tabs>
              <w:rPr>
                <w:rFonts w:ascii="Calibri" w:eastAsia="Calibri" w:hAnsi="Calibri" w:cs="Times New Roman"/>
                <w:b/>
                <w:i/>
                <w:u w:val="single"/>
              </w:rPr>
            </w:pPr>
            <w:r w:rsidRPr="00450286">
              <w:rPr>
                <w:rFonts w:ascii="Calibri" w:eastAsia="Calibri" w:hAnsi="Calibri" w:cs="Times New Roman"/>
                <w:b/>
                <w:i/>
                <w:u w:val="single"/>
              </w:rPr>
              <w:t>Good</w:t>
            </w:r>
          </w:p>
        </w:tc>
        <w:tc>
          <w:tcPr>
            <w:tcW w:w="1014" w:type="dxa"/>
            <w:tcBorders>
              <w:top w:val="nil"/>
              <w:left w:val="nil"/>
              <w:bottom w:val="single" w:sz="4" w:space="0" w:color="auto"/>
              <w:right w:val="nil"/>
            </w:tcBorders>
            <w:shd w:val="clear" w:color="auto" w:fill="auto"/>
            <w:hideMark/>
          </w:tcPr>
          <w:p w14:paraId="72DE9479" w14:textId="21BA530A" w:rsidR="00450286" w:rsidRDefault="00E054B1" w:rsidP="00450286">
            <w:pPr>
              <w:tabs>
                <w:tab w:val="left" w:pos="2805"/>
              </w:tabs>
              <w:rPr>
                <w:rFonts w:ascii="Calibri" w:eastAsia="Calibri" w:hAnsi="Calibri" w:cs="Times New Roman"/>
                <w:b/>
                <w:u w:val="single"/>
              </w:rPr>
            </w:pPr>
            <w:r>
              <w:rPr>
                <w:rFonts w:ascii="Calibri" w:eastAsia="Calibri" w:hAnsi="Calibri" w:cs="Times New Roman"/>
                <w:b/>
                <w:u w:val="single"/>
              </w:rPr>
              <w:t>2</w:t>
            </w:r>
          </w:p>
          <w:p w14:paraId="47521ED1" w14:textId="32F1037C" w:rsidR="00367E95" w:rsidRDefault="00E054B1" w:rsidP="00450286">
            <w:pPr>
              <w:tabs>
                <w:tab w:val="left" w:pos="2805"/>
              </w:tabs>
              <w:rPr>
                <w:rFonts w:ascii="Calibri" w:eastAsia="Calibri" w:hAnsi="Calibri" w:cs="Times New Roman"/>
                <w:b/>
              </w:rPr>
            </w:pPr>
            <w:r>
              <w:rPr>
                <w:rFonts w:ascii="Calibri" w:eastAsia="Calibri" w:hAnsi="Calibri" w:cs="Times New Roman"/>
                <w:b/>
                <w:u w:val="single"/>
              </w:rPr>
              <w:t>N.A.</w:t>
            </w:r>
            <w:r w:rsidRPr="00E054B1">
              <w:rPr>
                <w:rFonts w:ascii="Calibri" w:eastAsia="Calibri" w:hAnsi="Calibri" w:cs="Times New Roman"/>
                <w:b/>
              </w:rPr>
              <w:t>: 5</w:t>
            </w:r>
          </w:p>
          <w:p w14:paraId="0CFF2711" w14:textId="77777777" w:rsidR="00367E95" w:rsidRDefault="00367E95" w:rsidP="00450286">
            <w:pPr>
              <w:tabs>
                <w:tab w:val="left" w:pos="2805"/>
              </w:tabs>
              <w:rPr>
                <w:rFonts w:ascii="Calibri" w:eastAsia="Calibri" w:hAnsi="Calibri" w:cs="Times New Roman"/>
                <w:b/>
                <w:u w:val="single"/>
              </w:rPr>
            </w:pPr>
          </w:p>
          <w:p w14:paraId="3B81631B" w14:textId="77777777" w:rsidR="00E054B1" w:rsidRDefault="00E054B1" w:rsidP="00E054B1">
            <w:pPr>
              <w:tabs>
                <w:tab w:val="left" w:pos="2805"/>
              </w:tabs>
              <w:rPr>
                <w:rFonts w:ascii="Calibri" w:eastAsia="Calibri" w:hAnsi="Calibri" w:cs="Times New Roman"/>
                <w:b/>
                <w:u w:val="single"/>
              </w:rPr>
            </w:pPr>
          </w:p>
          <w:p w14:paraId="6D0688BB" w14:textId="319D1941" w:rsidR="00E054B1" w:rsidRPr="00450286" w:rsidRDefault="00E054B1" w:rsidP="00450286">
            <w:pPr>
              <w:tabs>
                <w:tab w:val="left" w:pos="2805"/>
              </w:tabs>
              <w:rPr>
                <w:rFonts w:ascii="Calibri" w:eastAsia="Calibri" w:hAnsi="Calibri" w:cs="Times New Roman"/>
                <w:b/>
                <w:u w:val="single"/>
              </w:rPr>
            </w:pPr>
          </w:p>
        </w:tc>
      </w:tr>
      <w:tr w:rsidR="00367E95" w:rsidRPr="00450286" w14:paraId="2415AF08" w14:textId="77777777" w:rsidTr="00E12B89">
        <w:trPr>
          <w:trHeight w:val="270"/>
        </w:trPr>
        <w:tc>
          <w:tcPr>
            <w:tcW w:w="1500" w:type="dxa"/>
            <w:vMerge w:val="restart"/>
            <w:tcBorders>
              <w:top w:val="double" w:sz="4" w:space="0" w:color="auto"/>
              <w:left w:val="nil"/>
              <w:bottom w:val="nil"/>
              <w:right w:val="nil"/>
            </w:tcBorders>
            <w:shd w:val="clear" w:color="auto" w:fill="auto"/>
            <w:hideMark/>
          </w:tcPr>
          <w:p w14:paraId="6B6ABDDE" w14:textId="4DDA09B6" w:rsidR="00367E95" w:rsidRPr="00450286" w:rsidRDefault="00367E95" w:rsidP="00E12B89">
            <w:pPr>
              <w:tabs>
                <w:tab w:val="left" w:pos="2805"/>
              </w:tabs>
              <w:rPr>
                <w:rFonts w:ascii="Calibri" w:eastAsia="Calibri" w:hAnsi="Calibri" w:cs="Times New Roman"/>
                <w:i/>
                <w:u w:val="single"/>
              </w:rPr>
            </w:pPr>
            <w:r>
              <w:rPr>
                <w:rFonts w:ascii="Calibri" w:eastAsia="Calibri" w:hAnsi="Calibri" w:cs="Times New Roman"/>
                <w:i/>
                <w:u w:val="single"/>
              </w:rPr>
              <w:t>Hypocapnia</w:t>
            </w:r>
          </w:p>
        </w:tc>
        <w:tc>
          <w:tcPr>
            <w:tcW w:w="1475" w:type="dxa"/>
            <w:vMerge w:val="restart"/>
            <w:tcBorders>
              <w:top w:val="double" w:sz="4" w:space="0" w:color="auto"/>
              <w:left w:val="nil"/>
              <w:bottom w:val="nil"/>
              <w:right w:val="nil"/>
            </w:tcBorders>
            <w:shd w:val="clear" w:color="auto" w:fill="auto"/>
            <w:hideMark/>
          </w:tcPr>
          <w:p w14:paraId="7902EAB3" w14:textId="4BDA4E33" w:rsidR="00367E95" w:rsidRDefault="00367E95" w:rsidP="00E12B89">
            <w:pPr>
              <w:tabs>
                <w:tab w:val="left" w:pos="2805"/>
              </w:tabs>
              <w:rPr>
                <w:rFonts w:ascii="Calibri" w:eastAsia="Calibri" w:hAnsi="Calibri" w:cs="Times New Roman"/>
                <w:u w:val="single"/>
              </w:rPr>
            </w:pPr>
            <w:r w:rsidRPr="00450286">
              <w:rPr>
                <w:rFonts w:ascii="Calibri" w:eastAsia="Calibri" w:hAnsi="Calibri" w:cs="Times New Roman"/>
                <w:u w:val="single"/>
              </w:rPr>
              <w:t>1</w:t>
            </w:r>
            <w:r>
              <w:rPr>
                <w:rFonts w:ascii="Calibri" w:eastAsia="Calibri" w:hAnsi="Calibri" w:cs="Times New Roman"/>
                <w:u w:val="single"/>
              </w:rPr>
              <w:t>9</w:t>
            </w:r>
          </w:p>
          <w:p w14:paraId="7FF2DB5F" w14:textId="5B3DEC06" w:rsidR="00367E95" w:rsidRDefault="00367E95" w:rsidP="00E12B89">
            <w:pPr>
              <w:tabs>
                <w:tab w:val="left" w:pos="2805"/>
              </w:tabs>
              <w:rPr>
                <w:rFonts w:ascii="Calibri" w:eastAsia="Calibri" w:hAnsi="Calibri" w:cs="Times New Roman"/>
                <w:u w:val="single"/>
              </w:rPr>
            </w:pPr>
            <w:r>
              <w:rPr>
                <w:rFonts w:ascii="Calibri" w:eastAsia="Calibri" w:hAnsi="Calibri" w:cs="Times New Roman"/>
                <w:u w:val="single"/>
              </w:rPr>
              <w:t>(4/19 lost to follow-up)</w:t>
            </w:r>
          </w:p>
          <w:p w14:paraId="22D6BF94" w14:textId="77777777" w:rsidR="00367E95" w:rsidRPr="00450286" w:rsidRDefault="00367E95" w:rsidP="00E12B89">
            <w:pPr>
              <w:tabs>
                <w:tab w:val="left" w:pos="2805"/>
              </w:tabs>
              <w:rPr>
                <w:rFonts w:ascii="Calibri" w:eastAsia="Calibri" w:hAnsi="Calibri" w:cs="Times New Roman"/>
                <w:u w:val="single"/>
              </w:rPr>
            </w:pPr>
          </w:p>
        </w:tc>
        <w:tc>
          <w:tcPr>
            <w:tcW w:w="1242" w:type="dxa"/>
            <w:vMerge w:val="restart"/>
            <w:tcBorders>
              <w:top w:val="double" w:sz="4" w:space="0" w:color="auto"/>
              <w:left w:val="nil"/>
              <w:bottom w:val="nil"/>
              <w:right w:val="nil"/>
            </w:tcBorders>
            <w:shd w:val="clear" w:color="auto" w:fill="auto"/>
            <w:hideMark/>
          </w:tcPr>
          <w:p w14:paraId="2380522E" w14:textId="4270C8AA" w:rsidR="00367E95" w:rsidRPr="00450286" w:rsidRDefault="00367E95" w:rsidP="00E12B89">
            <w:pPr>
              <w:tabs>
                <w:tab w:val="left" w:pos="2805"/>
              </w:tabs>
              <w:rPr>
                <w:rFonts w:ascii="Calibri" w:eastAsia="Calibri" w:hAnsi="Calibri" w:cs="Times New Roman"/>
                <w:u w:val="single"/>
              </w:rPr>
            </w:pPr>
            <w:r>
              <w:rPr>
                <w:rFonts w:ascii="Calibri" w:eastAsia="Calibri" w:hAnsi="Calibri" w:cs="Times New Roman"/>
                <w:u w:val="single"/>
              </w:rPr>
              <w:t>39</w:t>
            </w:r>
            <w:r w:rsidRPr="00450286">
              <w:rPr>
                <w:rFonts w:ascii="Calibri" w:eastAsia="Calibri" w:hAnsi="Calibri" w:cs="Times New Roman"/>
                <w:u w:val="single"/>
              </w:rPr>
              <w:t>.</w:t>
            </w:r>
            <w:r>
              <w:rPr>
                <w:rFonts w:ascii="Calibri" w:eastAsia="Calibri" w:hAnsi="Calibri" w:cs="Times New Roman"/>
                <w:u w:val="single"/>
              </w:rPr>
              <w:t>1=38</w:t>
            </w:r>
            <w:r w:rsidRPr="00450286">
              <w:rPr>
                <w:rFonts w:ascii="Calibri" w:eastAsia="Calibri" w:hAnsi="Calibri" w:cs="Times New Roman"/>
                <w:u w:val="single"/>
              </w:rPr>
              <w:t xml:space="preserve"> (range: </w:t>
            </w:r>
            <w:r>
              <w:rPr>
                <w:rFonts w:ascii="Calibri" w:eastAsia="Calibri" w:hAnsi="Calibri" w:cs="Times New Roman"/>
                <w:u w:val="single"/>
              </w:rPr>
              <w:t>17</w:t>
            </w:r>
            <w:r w:rsidRPr="00450286">
              <w:rPr>
                <w:rFonts w:ascii="Calibri" w:eastAsia="Calibri" w:hAnsi="Calibri" w:cs="Times New Roman"/>
                <w:u w:val="single"/>
              </w:rPr>
              <w:t xml:space="preserve"> to </w:t>
            </w:r>
            <w:r>
              <w:rPr>
                <w:rFonts w:ascii="Calibri" w:eastAsia="Calibri" w:hAnsi="Calibri" w:cs="Times New Roman"/>
                <w:u w:val="single"/>
              </w:rPr>
              <w:t>70</w:t>
            </w:r>
            <w:r w:rsidRPr="00450286">
              <w:rPr>
                <w:rFonts w:ascii="Calibri" w:eastAsia="Calibri" w:hAnsi="Calibri" w:cs="Times New Roman"/>
                <w:u w:val="single"/>
              </w:rPr>
              <w:t>)</w:t>
            </w:r>
          </w:p>
        </w:tc>
        <w:tc>
          <w:tcPr>
            <w:tcW w:w="1661" w:type="dxa"/>
            <w:vMerge w:val="restart"/>
            <w:tcBorders>
              <w:top w:val="double" w:sz="4" w:space="0" w:color="auto"/>
              <w:left w:val="nil"/>
              <w:bottom w:val="nil"/>
              <w:right w:val="nil"/>
            </w:tcBorders>
            <w:shd w:val="clear" w:color="auto" w:fill="auto"/>
            <w:hideMark/>
          </w:tcPr>
          <w:p w14:paraId="0CDD7825" w14:textId="67B5FCD1" w:rsidR="00367E95" w:rsidRDefault="00367E95" w:rsidP="00E12B89">
            <w:pPr>
              <w:tabs>
                <w:tab w:val="left" w:pos="2805"/>
              </w:tabs>
              <w:rPr>
                <w:rFonts w:ascii="Calibri" w:eastAsia="Calibri" w:hAnsi="Calibri" w:cs="Times New Roman"/>
                <w:u w:val="single"/>
              </w:rPr>
            </w:pPr>
            <w:r>
              <w:rPr>
                <w:rFonts w:ascii="Calibri" w:eastAsia="Calibri" w:hAnsi="Calibri" w:cs="Times New Roman"/>
                <w:u w:val="single"/>
              </w:rPr>
              <w:t>14</w:t>
            </w:r>
            <w:r w:rsidRPr="00450286">
              <w:rPr>
                <w:rFonts w:ascii="Calibri" w:eastAsia="Calibri" w:hAnsi="Calibri" w:cs="Times New Roman"/>
                <w:u w:val="single"/>
              </w:rPr>
              <w:t>:</w:t>
            </w:r>
            <w:r>
              <w:rPr>
                <w:rFonts w:ascii="Calibri" w:eastAsia="Calibri" w:hAnsi="Calibri" w:cs="Times New Roman"/>
                <w:u w:val="single"/>
              </w:rPr>
              <w:t>5</w:t>
            </w:r>
          </w:p>
          <w:p w14:paraId="2756D738" w14:textId="77777777" w:rsidR="00367E95" w:rsidRPr="00450286" w:rsidRDefault="00367E95" w:rsidP="00E12B89">
            <w:pPr>
              <w:tabs>
                <w:tab w:val="left" w:pos="2805"/>
              </w:tabs>
              <w:rPr>
                <w:rFonts w:ascii="Calibri" w:eastAsia="Calibri" w:hAnsi="Calibri" w:cs="Times New Roman"/>
                <w:u w:val="single"/>
              </w:rPr>
            </w:pPr>
          </w:p>
        </w:tc>
        <w:tc>
          <w:tcPr>
            <w:tcW w:w="1557" w:type="dxa"/>
            <w:vMerge w:val="restart"/>
            <w:tcBorders>
              <w:top w:val="double" w:sz="4" w:space="0" w:color="auto"/>
              <w:left w:val="nil"/>
              <w:bottom w:val="nil"/>
              <w:right w:val="nil"/>
            </w:tcBorders>
            <w:shd w:val="clear" w:color="auto" w:fill="auto"/>
            <w:hideMark/>
          </w:tcPr>
          <w:p w14:paraId="498B4686" w14:textId="3A8315B8" w:rsidR="00367E95" w:rsidRPr="00450286" w:rsidRDefault="00367E95" w:rsidP="00E12B89">
            <w:pPr>
              <w:tabs>
                <w:tab w:val="left" w:pos="2805"/>
              </w:tabs>
              <w:rPr>
                <w:rFonts w:ascii="Calibri" w:eastAsia="Calibri" w:hAnsi="Calibri" w:cs="Times New Roman"/>
                <w:u w:val="single"/>
              </w:rPr>
            </w:pPr>
            <w:r>
              <w:rPr>
                <w:rFonts w:ascii="Calibri" w:eastAsia="Calibri" w:hAnsi="Calibri" w:cs="Times New Roman"/>
                <w:u w:val="single"/>
              </w:rPr>
              <w:t>6</w:t>
            </w:r>
            <w:r w:rsidRPr="00450286">
              <w:rPr>
                <w:rFonts w:ascii="Calibri" w:eastAsia="Calibri" w:hAnsi="Calibri" w:cs="Times New Roman"/>
                <w:u w:val="single"/>
              </w:rPr>
              <w:t xml:space="preserve"> (range: </w:t>
            </w:r>
            <w:r>
              <w:rPr>
                <w:rFonts w:ascii="Calibri" w:eastAsia="Calibri" w:hAnsi="Calibri" w:cs="Times New Roman"/>
                <w:u w:val="single"/>
              </w:rPr>
              <w:t>3</w:t>
            </w:r>
            <w:r w:rsidRPr="00450286">
              <w:rPr>
                <w:rFonts w:ascii="Calibri" w:eastAsia="Calibri" w:hAnsi="Calibri" w:cs="Times New Roman"/>
                <w:u w:val="single"/>
              </w:rPr>
              <w:t xml:space="preserve"> to </w:t>
            </w:r>
            <w:r>
              <w:rPr>
                <w:rFonts w:ascii="Calibri" w:eastAsia="Calibri" w:hAnsi="Calibri" w:cs="Times New Roman"/>
                <w:u w:val="single"/>
              </w:rPr>
              <w:t>12</w:t>
            </w:r>
            <w:r w:rsidRPr="00450286">
              <w:rPr>
                <w:rFonts w:ascii="Calibri" w:eastAsia="Calibri" w:hAnsi="Calibri" w:cs="Times New Roman"/>
                <w:u w:val="single"/>
              </w:rPr>
              <w:t>)</w:t>
            </w:r>
          </w:p>
        </w:tc>
        <w:tc>
          <w:tcPr>
            <w:tcW w:w="1127" w:type="dxa"/>
            <w:tcBorders>
              <w:top w:val="double" w:sz="4" w:space="0" w:color="auto"/>
              <w:left w:val="nil"/>
              <w:bottom w:val="single" w:sz="4" w:space="0" w:color="auto"/>
              <w:right w:val="nil"/>
            </w:tcBorders>
            <w:shd w:val="clear" w:color="auto" w:fill="auto"/>
            <w:hideMark/>
          </w:tcPr>
          <w:p w14:paraId="7F1D71F2" w14:textId="77777777" w:rsidR="00367E95" w:rsidRPr="00450286" w:rsidRDefault="00367E95" w:rsidP="00E12B89">
            <w:pPr>
              <w:tabs>
                <w:tab w:val="left" w:pos="2805"/>
              </w:tabs>
              <w:rPr>
                <w:rFonts w:ascii="Calibri" w:eastAsia="Calibri" w:hAnsi="Calibri" w:cs="Times New Roman"/>
                <w:b/>
                <w:i/>
                <w:u w:val="single"/>
              </w:rPr>
            </w:pPr>
            <w:r w:rsidRPr="00450286">
              <w:rPr>
                <w:rFonts w:ascii="Calibri" w:eastAsia="Calibri" w:hAnsi="Calibri" w:cs="Times New Roman"/>
                <w:b/>
                <w:i/>
                <w:u w:val="single"/>
              </w:rPr>
              <w:t xml:space="preserve">GOS </w:t>
            </w:r>
          </w:p>
        </w:tc>
        <w:tc>
          <w:tcPr>
            <w:tcW w:w="1014" w:type="dxa"/>
            <w:tcBorders>
              <w:top w:val="double" w:sz="4" w:space="0" w:color="auto"/>
              <w:left w:val="nil"/>
              <w:bottom w:val="single" w:sz="4" w:space="0" w:color="auto"/>
              <w:right w:val="nil"/>
            </w:tcBorders>
            <w:shd w:val="clear" w:color="auto" w:fill="auto"/>
            <w:hideMark/>
          </w:tcPr>
          <w:p w14:paraId="27A94701" w14:textId="77777777" w:rsidR="00367E95" w:rsidRPr="00450286" w:rsidRDefault="00367E95" w:rsidP="00E12B89">
            <w:pPr>
              <w:tabs>
                <w:tab w:val="left" w:pos="2805"/>
              </w:tabs>
              <w:rPr>
                <w:rFonts w:ascii="Calibri" w:eastAsia="Calibri" w:hAnsi="Calibri" w:cs="Times New Roman"/>
                <w:b/>
                <w:i/>
                <w:u w:val="single"/>
              </w:rPr>
            </w:pPr>
            <w:r w:rsidRPr="00450286">
              <w:rPr>
                <w:rFonts w:ascii="Calibri" w:eastAsia="Calibri" w:hAnsi="Calibri" w:cs="Times New Roman"/>
                <w:b/>
                <w:i/>
                <w:u w:val="single"/>
              </w:rPr>
              <w:t># of Patients</w:t>
            </w:r>
          </w:p>
        </w:tc>
      </w:tr>
      <w:tr w:rsidR="00367E95" w:rsidRPr="00450286" w14:paraId="628298F0" w14:textId="77777777" w:rsidTr="00E12B89">
        <w:trPr>
          <w:trHeight w:val="56"/>
        </w:trPr>
        <w:tc>
          <w:tcPr>
            <w:tcW w:w="0" w:type="auto"/>
            <w:vMerge/>
            <w:tcBorders>
              <w:top w:val="double" w:sz="4" w:space="0" w:color="auto"/>
              <w:left w:val="nil"/>
              <w:bottom w:val="nil"/>
              <w:right w:val="nil"/>
            </w:tcBorders>
            <w:shd w:val="clear" w:color="auto" w:fill="auto"/>
            <w:vAlign w:val="center"/>
            <w:hideMark/>
          </w:tcPr>
          <w:p w14:paraId="6EE88C30" w14:textId="77777777" w:rsidR="00367E95" w:rsidRPr="00450286" w:rsidRDefault="00367E95" w:rsidP="00E12B89">
            <w:pPr>
              <w:tabs>
                <w:tab w:val="left" w:pos="2805"/>
              </w:tabs>
              <w:rPr>
                <w:rFonts w:ascii="Calibri" w:eastAsia="Calibri" w:hAnsi="Calibri" w:cs="Times New Roman"/>
                <w:i/>
                <w:u w:val="single"/>
              </w:rPr>
            </w:pPr>
          </w:p>
        </w:tc>
        <w:tc>
          <w:tcPr>
            <w:tcW w:w="0" w:type="auto"/>
            <w:vMerge/>
            <w:tcBorders>
              <w:top w:val="double" w:sz="4" w:space="0" w:color="auto"/>
              <w:left w:val="nil"/>
              <w:bottom w:val="nil"/>
              <w:right w:val="nil"/>
            </w:tcBorders>
            <w:shd w:val="clear" w:color="auto" w:fill="auto"/>
            <w:vAlign w:val="center"/>
            <w:hideMark/>
          </w:tcPr>
          <w:p w14:paraId="6A56F5CF"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25210774"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7F27AD47"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302F6937" w14:textId="77777777" w:rsidR="00367E95" w:rsidRPr="00450286" w:rsidRDefault="00367E95" w:rsidP="00E12B89">
            <w:pPr>
              <w:tabs>
                <w:tab w:val="left" w:pos="2805"/>
              </w:tabs>
              <w:rPr>
                <w:rFonts w:ascii="Calibri" w:eastAsia="Calibri" w:hAnsi="Calibri" w:cs="Times New Roman"/>
                <w:u w:val="single"/>
              </w:rPr>
            </w:pPr>
          </w:p>
        </w:tc>
        <w:tc>
          <w:tcPr>
            <w:tcW w:w="1127" w:type="dxa"/>
            <w:tcBorders>
              <w:top w:val="single" w:sz="4" w:space="0" w:color="auto"/>
              <w:left w:val="nil"/>
              <w:bottom w:val="nil"/>
              <w:right w:val="nil"/>
            </w:tcBorders>
            <w:shd w:val="clear" w:color="auto" w:fill="auto"/>
            <w:hideMark/>
          </w:tcPr>
          <w:p w14:paraId="25E43687" w14:textId="77777777" w:rsidR="00367E95" w:rsidRPr="00450286" w:rsidRDefault="00367E95" w:rsidP="00E12B89">
            <w:pPr>
              <w:tabs>
                <w:tab w:val="left" w:pos="2805"/>
              </w:tabs>
              <w:rPr>
                <w:rFonts w:ascii="Calibri" w:eastAsia="Calibri" w:hAnsi="Calibri" w:cs="Times New Roman"/>
                <w:b/>
                <w:i/>
                <w:u w:val="single"/>
              </w:rPr>
            </w:pPr>
            <w:r w:rsidRPr="00450286">
              <w:rPr>
                <w:rFonts w:ascii="Calibri" w:eastAsia="Calibri" w:hAnsi="Calibri" w:cs="Times New Roman"/>
                <w:b/>
                <w:i/>
                <w:u w:val="single"/>
              </w:rPr>
              <w:t>Dead</w:t>
            </w:r>
          </w:p>
        </w:tc>
        <w:tc>
          <w:tcPr>
            <w:tcW w:w="1014" w:type="dxa"/>
            <w:tcBorders>
              <w:top w:val="single" w:sz="4" w:space="0" w:color="auto"/>
              <w:left w:val="nil"/>
              <w:bottom w:val="nil"/>
              <w:right w:val="nil"/>
            </w:tcBorders>
            <w:shd w:val="clear" w:color="auto" w:fill="auto"/>
            <w:hideMark/>
          </w:tcPr>
          <w:p w14:paraId="3F0CA0D3" w14:textId="4891418F" w:rsidR="00367E95" w:rsidRPr="00450286" w:rsidRDefault="00367E95" w:rsidP="00E12B89">
            <w:pPr>
              <w:tabs>
                <w:tab w:val="left" w:pos="2805"/>
              </w:tabs>
              <w:rPr>
                <w:rFonts w:ascii="Calibri" w:eastAsia="Calibri" w:hAnsi="Calibri" w:cs="Times New Roman"/>
                <w:b/>
                <w:u w:val="single"/>
              </w:rPr>
            </w:pPr>
            <w:r>
              <w:rPr>
                <w:rFonts w:ascii="Calibri" w:eastAsia="Calibri" w:hAnsi="Calibri" w:cs="Times New Roman"/>
                <w:b/>
                <w:u w:val="single"/>
              </w:rPr>
              <w:t>1</w:t>
            </w:r>
          </w:p>
        </w:tc>
      </w:tr>
      <w:tr w:rsidR="00367E95" w:rsidRPr="00450286" w14:paraId="6E1EAEA7" w14:textId="77777777" w:rsidTr="00E12B89">
        <w:trPr>
          <w:trHeight w:val="55"/>
        </w:trPr>
        <w:tc>
          <w:tcPr>
            <w:tcW w:w="0" w:type="auto"/>
            <w:vMerge/>
            <w:tcBorders>
              <w:top w:val="double" w:sz="4" w:space="0" w:color="auto"/>
              <w:left w:val="nil"/>
              <w:bottom w:val="nil"/>
              <w:right w:val="nil"/>
            </w:tcBorders>
            <w:shd w:val="clear" w:color="auto" w:fill="auto"/>
            <w:vAlign w:val="center"/>
            <w:hideMark/>
          </w:tcPr>
          <w:p w14:paraId="47322AAB" w14:textId="77777777" w:rsidR="00367E95" w:rsidRPr="00450286" w:rsidRDefault="00367E95" w:rsidP="00E12B89">
            <w:pPr>
              <w:tabs>
                <w:tab w:val="left" w:pos="2805"/>
              </w:tabs>
              <w:rPr>
                <w:rFonts w:ascii="Calibri" w:eastAsia="Calibri" w:hAnsi="Calibri" w:cs="Times New Roman"/>
                <w:i/>
                <w:u w:val="single"/>
              </w:rPr>
            </w:pPr>
          </w:p>
        </w:tc>
        <w:tc>
          <w:tcPr>
            <w:tcW w:w="0" w:type="auto"/>
            <w:vMerge/>
            <w:tcBorders>
              <w:top w:val="double" w:sz="4" w:space="0" w:color="auto"/>
              <w:left w:val="nil"/>
              <w:bottom w:val="nil"/>
              <w:right w:val="nil"/>
            </w:tcBorders>
            <w:shd w:val="clear" w:color="auto" w:fill="auto"/>
            <w:vAlign w:val="center"/>
            <w:hideMark/>
          </w:tcPr>
          <w:p w14:paraId="6A9BC925"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75808746"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5ED28BC7"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4E493B2B" w14:textId="77777777" w:rsidR="00367E95" w:rsidRPr="00450286" w:rsidRDefault="00367E95" w:rsidP="00E12B89">
            <w:pPr>
              <w:tabs>
                <w:tab w:val="left" w:pos="2805"/>
              </w:tabs>
              <w:rPr>
                <w:rFonts w:ascii="Calibri" w:eastAsia="Calibri" w:hAnsi="Calibri" w:cs="Times New Roman"/>
                <w:u w:val="single"/>
              </w:rPr>
            </w:pPr>
          </w:p>
        </w:tc>
        <w:tc>
          <w:tcPr>
            <w:tcW w:w="1127" w:type="dxa"/>
            <w:shd w:val="clear" w:color="auto" w:fill="auto"/>
            <w:hideMark/>
          </w:tcPr>
          <w:p w14:paraId="6A6FAD58" w14:textId="77777777" w:rsidR="00367E95" w:rsidRPr="00450286" w:rsidRDefault="00367E95" w:rsidP="00E12B89">
            <w:pPr>
              <w:tabs>
                <w:tab w:val="left" w:pos="2805"/>
              </w:tabs>
              <w:rPr>
                <w:rFonts w:ascii="Calibri" w:eastAsia="Calibri" w:hAnsi="Calibri" w:cs="Times New Roman"/>
                <w:b/>
                <w:i/>
                <w:u w:val="single"/>
              </w:rPr>
            </w:pPr>
            <w:r w:rsidRPr="00450286">
              <w:rPr>
                <w:rFonts w:ascii="Calibri" w:eastAsia="Calibri" w:hAnsi="Calibri" w:cs="Times New Roman"/>
                <w:b/>
                <w:i/>
                <w:u w:val="single"/>
              </w:rPr>
              <w:t>PVS</w:t>
            </w:r>
          </w:p>
        </w:tc>
        <w:tc>
          <w:tcPr>
            <w:tcW w:w="1014" w:type="dxa"/>
            <w:shd w:val="clear" w:color="auto" w:fill="auto"/>
            <w:hideMark/>
          </w:tcPr>
          <w:p w14:paraId="595A092B" w14:textId="4400E1BE" w:rsidR="00367E95" w:rsidRPr="00450286" w:rsidRDefault="00367E95" w:rsidP="00E12B89">
            <w:pPr>
              <w:tabs>
                <w:tab w:val="left" w:pos="2805"/>
              </w:tabs>
              <w:rPr>
                <w:rFonts w:ascii="Calibri" w:eastAsia="Calibri" w:hAnsi="Calibri" w:cs="Times New Roman"/>
                <w:b/>
                <w:u w:val="single"/>
              </w:rPr>
            </w:pPr>
            <w:r>
              <w:rPr>
                <w:rFonts w:ascii="Calibri" w:eastAsia="Calibri" w:hAnsi="Calibri" w:cs="Times New Roman"/>
                <w:b/>
                <w:u w:val="single"/>
              </w:rPr>
              <w:t>0</w:t>
            </w:r>
          </w:p>
        </w:tc>
      </w:tr>
      <w:tr w:rsidR="00367E95" w:rsidRPr="00450286" w14:paraId="517FAF50" w14:textId="77777777" w:rsidTr="00E12B89">
        <w:trPr>
          <w:trHeight w:val="55"/>
        </w:trPr>
        <w:tc>
          <w:tcPr>
            <w:tcW w:w="0" w:type="auto"/>
            <w:vMerge/>
            <w:tcBorders>
              <w:top w:val="double" w:sz="4" w:space="0" w:color="auto"/>
              <w:left w:val="nil"/>
              <w:bottom w:val="nil"/>
              <w:right w:val="nil"/>
            </w:tcBorders>
            <w:shd w:val="clear" w:color="auto" w:fill="auto"/>
            <w:vAlign w:val="center"/>
            <w:hideMark/>
          </w:tcPr>
          <w:p w14:paraId="2A1F3C6C" w14:textId="77777777" w:rsidR="00367E95" w:rsidRPr="00450286" w:rsidRDefault="00367E95" w:rsidP="00E12B89">
            <w:pPr>
              <w:tabs>
                <w:tab w:val="left" w:pos="2805"/>
              </w:tabs>
              <w:rPr>
                <w:rFonts w:ascii="Calibri" w:eastAsia="Calibri" w:hAnsi="Calibri" w:cs="Times New Roman"/>
                <w:i/>
                <w:u w:val="single"/>
              </w:rPr>
            </w:pPr>
          </w:p>
        </w:tc>
        <w:tc>
          <w:tcPr>
            <w:tcW w:w="0" w:type="auto"/>
            <w:vMerge/>
            <w:tcBorders>
              <w:top w:val="double" w:sz="4" w:space="0" w:color="auto"/>
              <w:left w:val="nil"/>
              <w:bottom w:val="nil"/>
              <w:right w:val="nil"/>
            </w:tcBorders>
            <w:shd w:val="clear" w:color="auto" w:fill="auto"/>
            <w:vAlign w:val="center"/>
            <w:hideMark/>
          </w:tcPr>
          <w:p w14:paraId="0B5DC98A"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28095F7E"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0AA12CA2"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6439FDBE" w14:textId="77777777" w:rsidR="00367E95" w:rsidRPr="00450286" w:rsidRDefault="00367E95" w:rsidP="00E12B89">
            <w:pPr>
              <w:tabs>
                <w:tab w:val="left" w:pos="2805"/>
              </w:tabs>
              <w:rPr>
                <w:rFonts w:ascii="Calibri" w:eastAsia="Calibri" w:hAnsi="Calibri" w:cs="Times New Roman"/>
                <w:u w:val="single"/>
              </w:rPr>
            </w:pPr>
          </w:p>
        </w:tc>
        <w:tc>
          <w:tcPr>
            <w:tcW w:w="1127" w:type="dxa"/>
            <w:shd w:val="clear" w:color="auto" w:fill="auto"/>
            <w:hideMark/>
          </w:tcPr>
          <w:p w14:paraId="1FC85963" w14:textId="77777777" w:rsidR="00367E95" w:rsidRPr="00450286" w:rsidRDefault="00367E95" w:rsidP="00E12B89">
            <w:pPr>
              <w:tabs>
                <w:tab w:val="left" w:pos="2805"/>
              </w:tabs>
              <w:rPr>
                <w:rFonts w:ascii="Calibri" w:eastAsia="Calibri" w:hAnsi="Calibri" w:cs="Times New Roman"/>
                <w:b/>
                <w:i/>
                <w:u w:val="single"/>
              </w:rPr>
            </w:pPr>
            <w:r w:rsidRPr="00450286">
              <w:rPr>
                <w:rFonts w:ascii="Calibri" w:eastAsia="Calibri" w:hAnsi="Calibri" w:cs="Times New Roman"/>
                <w:b/>
                <w:i/>
                <w:u w:val="single"/>
              </w:rPr>
              <w:t>Severe disability</w:t>
            </w:r>
          </w:p>
        </w:tc>
        <w:tc>
          <w:tcPr>
            <w:tcW w:w="1014" w:type="dxa"/>
            <w:shd w:val="clear" w:color="auto" w:fill="auto"/>
            <w:hideMark/>
          </w:tcPr>
          <w:p w14:paraId="6419EC00" w14:textId="7007E76D" w:rsidR="00367E95" w:rsidRPr="00450286" w:rsidRDefault="00367E95" w:rsidP="00E12B89">
            <w:pPr>
              <w:tabs>
                <w:tab w:val="left" w:pos="2805"/>
              </w:tabs>
              <w:rPr>
                <w:rFonts w:ascii="Calibri" w:eastAsia="Calibri" w:hAnsi="Calibri" w:cs="Times New Roman"/>
                <w:b/>
                <w:u w:val="single"/>
              </w:rPr>
            </w:pPr>
            <w:r>
              <w:rPr>
                <w:rFonts w:ascii="Calibri" w:eastAsia="Calibri" w:hAnsi="Calibri" w:cs="Times New Roman"/>
                <w:b/>
                <w:u w:val="single"/>
              </w:rPr>
              <w:t>5</w:t>
            </w:r>
          </w:p>
        </w:tc>
      </w:tr>
      <w:tr w:rsidR="00367E95" w:rsidRPr="00450286" w14:paraId="51D59BE6" w14:textId="77777777" w:rsidTr="00E12B89">
        <w:trPr>
          <w:trHeight w:val="55"/>
        </w:trPr>
        <w:tc>
          <w:tcPr>
            <w:tcW w:w="0" w:type="auto"/>
            <w:vMerge/>
            <w:tcBorders>
              <w:top w:val="double" w:sz="4" w:space="0" w:color="auto"/>
              <w:left w:val="nil"/>
              <w:bottom w:val="nil"/>
              <w:right w:val="nil"/>
            </w:tcBorders>
            <w:shd w:val="clear" w:color="auto" w:fill="auto"/>
            <w:vAlign w:val="center"/>
            <w:hideMark/>
          </w:tcPr>
          <w:p w14:paraId="2A757ECF" w14:textId="77777777" w:rsidR="00367E95" w:rsidRPr="00450286" w:rsidRDefault="00367E95" w:rsidP="00E12B89">
            <w:pPr>
              <w:tabs>
                <w:tab w:val="left" w:pos="2805"/>
              </w:tabs>
              <w:rPr>
                <w:rFonts w:ascii="Calibri" w:eastAsia="Calibri" w:hAnsi="Calibri" w:cs="Times New Roman"/>
                <w:i/>
                <w:u w:val="single"/>
              </w:rPr>
            </w:pPr>
          </w:p>
        </w:tc>
        <w:tc>
          <w:tcPr>
            <w:tcW w:w="0" w:type="auto"/>
            <w:vMerge/>
            <w:tcBorders>
              <w:top w:val="double" w:sz="4" w:space="0" w:color="auto"/>
              <w:left w:val="nil"/>
              <w:bottom w:val="nil"/>
              <w:right w:val="nil"/>
            </w:tcBorders>
            <w:shd w:val="clear" w:color="auto" w:fill="auto"/>
            <w:vAlign w:val="center"/>
            <w:hideMark/>
          </w:tcPr>
          <w:p w14:paraId="788E9081"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104AA5BE"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1AC52DB0"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19766D3D" w14:textId="77777777" w:rsidR="00367E95" w:rsidRPr="00450286" w:rsidRDefault="00367E95" w:rsidP="00E12B89">
            <w:pPr>
              <w:tabs>
                <w:tab w:val="left" w:pos="2805"/>
              </w:tabs>
              <w:rPr>
                <w:rFonts w:ascii="Calibri" w:eastAsia="Calibri" w:hAnsi="Calibri" w:cs="Times New Roman"/>
                <w:u w:val="single"/>
              </w:rPr>
            </w:pPr>
          </w:p>
        </w:tc>
        <w:tc>
          <w:tcPr>
            <w:tcW w:w="1127" w:type="dxa"/>
            <w:shd w:val="clear" w:color="auto" w:fill="auto"/>
            <w:hideMark/>
          </w:tcPr>
          <w:p w14:paraId="6F498EC1" w14:textId="77777777" w:rsidR="00367E95" w:rsidRPr="00450286" w:rsidRDefault="00367E95" w:rsidP="00E12B89">
            <w:pPr>
              <w:tabs>
                <w:tab w:val="left" w:pos="2805"/>
              </w:tabs>
              <w:rPr>
                <w:rFonts w:ascii="Calibri" w:eastAsia="Calibri" w:hAnsi="Calibri" w:cs="Times New Roman"/>
                <w:b/>
                <w:i/>
                <w:u w:val="single"/>
              </w:rPr>
            </w:pPr>
            <w:r w:rsidRPr="00450286">
              <w:rPr>
                <w:rFonts w:ascii="Calibri" w:eastAsia="Calibri" w:hAnsi="Calibri" w:cs="Times New Roman"/>
                <w:b/>
                <w:i/>
                <w:u w:val="single"/>
              </w:rPr>
              <w:t>Moderate disability</w:t>
            </w:r>
          </w:p>
        </w:tc>
        <w:tc>
          <w:tcPr>
            <w:tcW w:w="1014" w:type="dxa"/>
            <w:shd w:val="clear" w:color="auto" w:fill="auto"/>
            <w:hideMark/>
          </w:tcPr>
          <w:p w14:paraId="73F67AE5" w14:textId="7ADEED46" w:rsidR="00367E95" w:rsidRPr="00450286" w:rsidRDefault="00367E95" w:rsidP="00E12B89">
            <w:pPr>
              <w:tabs>
                <w:tab w:val="left" w:pos="2805"/>
              </w:tabs>
              <w:rPr>
                <w:rFonts w:ascii="Calibri" w:eastAsia="Calibri" w:hAnsi="Calibri" w:cs="Times New Roman"/>
                <w:b/>
                <w:u w:val="single"/>
              </w:rPr>
            </w:pPr>
            <w:r>
              <w:rPr>
                <w:rFonts w:ascii="Calibri" w:eastAsia="Calibri" w:hAnsi="Calibri" w:cs="Times New Roman"/>
                <w:b/>
                <w:u w:val="single"/>
              </w:rPr>
              <w:t>8</w:t>
            </w:r>
          </w:p>
        </w:tc>
      </w:tr>
      <w:tr w:rsidR="00367E95" w:rsidRPr="00450286" w14:paraId="46EAA60C" w14:textId="77777777" w:rsidTr="00E12B89">
        <w:trPr>
          <w:trHeight w:val="55"/>
        </w:trPr>
        <w:tc>
          <w:tcPr>
            <w:tcW w:w="0" w:type="auto"/>
            <w:vMerge/>
            <w:tcBorders>
              <w:top w:val="double" w:sz="4" w:space="0" w:color="auto"/>
              <w:left w:val="nil"/>
              <w:bottom w:val="nil"/>
              <w:right w:val="nil"/>
            </w:tcBorders>
            <w:shd w:val="clear" w:color="auto" w:fill="auto"/>
            <w:vAlign w:val="center"/>
            <w:hideMark/>
          </w:tcPr>
          <w:p w14:paraId="0ACAB860" w14:textId="77777777" w:rsidR="00367E95" w:rsidRPr="00450286" w:rsidRDefault="00367E95" w:rsidP="00E12B89">
            <w:pPr>
              <w:tabs>
                <w:tab w:val="left" w:pos="2805"/>
              </w:tabs>
              <w:rPr>
                <w:rFonts w:ascii="Calibri" w:eastAsia="Calibri" w:hAnsi="Calibri" w:cs="Times New Roman"/>
                <w:i/>
                <w:u w:val="single"/>
              </w:rPr>
            </w:pPr>
          </w:p>
        </w:tc>
        <w:tc>
          <w:tcPr>
            <w:tcW w:w="0" w:type="auto"/>
            <w:vMerge/>
            <w:tcBorders>
              <w:top w:val="double" w:sz="4" w:space="0" w:color="auto"/>
              <w:left w:val="nil"/>
              <w:bottom w:val="nil"/>
              <w:right w:val="nil"/>
            </w:tcBorders>
            <w:shd w:val="clear" w:color="auto" w:fill="auto"/>
            <w:vAlign w:val="center"/>
            <w:hideMark/>
          </w:tcPr>
          <w:p w14:paraId="1E0FEAFB"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63B66A2F"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68148675" w14:textId="77777777" w:rsidR="00367E95" w:rsidRPr="00450286" w:rsidRDefault="00367E95" w:rsidP="00E12B89">
            <w:pPr>
              <w:tabs>
                <w:tab w:val="left" w:pos="2805"/>
              </w:tabs>
              <w:rPr>
                <w:rFonts w:ascii="Calibri" w:eastAsia="Calibri" w:hAnsi="Calibri" w:cs="Times New Roman"/>
                <w:u w:val="single"/>
              </w:rPr>
            </w:pPr>
          </w:p>
        </w:tc>
        <w:tc>
          <w:tcPr>
            <w:tcW w:w="0" w:type="auto"/>
            <w:vMerge/>
            <w:tcBorders>
              <w:top w:val="double" w:sz="4" w:space="0" w:color="auto"/>
              <w:left w:val="nil"/>
              <w:bottom w:val="nil"/>
              <w:right w:val="nil"/>
            </w:tcBorders>
            <w:shd w:val="clear" w:color="auto" w:fill="auto"/>
            <w:vAlign w:val="center"/>
            <w:hideMark/>
          </w:tcPr>
          <w:p w14:paraId="76771A3B" w14:textId="77777777" w:rsidR="00367E95" w:rsidRPr="00450286" w:rsidRDefault="00367E95" w:rsidP="00E12B89">
            <w:pPr>
              <w:tabs>
                <w:tab w:val="left" w:pos="2805"/>
              </w:tabs>
              <w:rPr>
                <w:rFonts w:ascii="Calibri" w:eastAsia="Calibri" w:hAnsi="Calibri" w:cs="Times New Roman"/>
                <w:u w:val="single"/>
              </w:rPr>
            </w:pPr>
          </w:p>
        </w:tc>
        <w:tc>
          <w:tcPr>
            <w:tcW w:w="1127" w:type="dxa"/>
            <w:tcBorders>
              <w:top w:val="nil"/>
              <w:left w:val="nil"/>
              <w:bottom w:val="single" w:sz="4" w:space="0" w:color="auto"/>
              <w:right w:val="nil"/>
            </w:tcBorders>
            <w:shd w:val="clear" w:color="auto" w:fill="auto"/>
            <w:hideMark/>
          </w:tcPr>
          <w:p w14:paraId="52364092" w14:textId="77777777" w:rsidR="00367E95" w:rsidRPr="00450286" w:rsidRDefault="00367E95" w:rsidP="00E12B89">
            <w:pPr>
              <w:tabs>
                <w:tab w:val="left" w:pos="2805"/>
              </w:tabs>
              <w:rPr>
                <w:rFonts w:ascii="Calibri" w:eastAsia="Calibri" w:hAnsi="Calibri" w:cs="Times New Roman"/>
                <w:b/>
                <w:i/>
                <w:u w:val="single"/>
              </w:rPr>
            </w:pPr>
            <w:r w:rsidRPr="00450286">
              <w:rPr>
                <w:rFonts w:ascii="Calibri" w:eastAsia="Calibri" w:hAnsi="Calibri" w:cs="Times New Roman"/>
                <w:b/>
                <w:i/>
                <w:u w:val="single"/>
              </w:rPr>
              <w:t>Good</w:t>
            </w:r>
          </w:p>
        </w:tc>
        <w:tc>
          <w:tcPr>
            <w:tcW w:w="1014" w:type="dxa"/>
            <w:tcBorders>
              <w:top w:val="nil"/>
              <w:left w:val="nil"/>
              <w:bottom w:val="single" w:sz="4" w:space="0" w:color="auto"/>
              <w:right w:val="nil"/>
            </w:tcBorders>
            <w:shd w:val="clear" w:color="auto" w:fill="auto"/>
            <w:hideMark/>
          </w:tcPr>
          <w:p w14:paraId="0657F3B0" w14:textId="0103A552" w:rsidR="00367E95" w:rsidRDefault="00367E95" w:rsidP="00E12B89">
            <w:pPr>
              <w:tabs>
                <w:tab w:val="left" w:pos="2805"/>
              </w:tabs>
              <w:rPr>
                <w:rFonts w:ascii="Calibri" w:eastAsia="Calibri" w:hAnsi="Calibri" w:cs="Times New Roman"/>
                <w:b/>
                <w:u w:val="single"/>
              </w:rPr>
            </w:pPr>
            <w:r>
              <w:rPr>
                <w:rFonts w:ascii="Calibri" w:eastAsia="Calibri" w:hAnsi="Calibri" w:cs="Times New Roman"/>
                <w:b/>
                <w:u w:val="single"/>
              </w:rPr>
              <w:t>1</w:t>
            </w:r>
          </w:p>
          <w:p w14:paraId="03E9EBB9" w14:textId="18AD181B" w:rsidR="00E377C3" w:rsidRDefault="00E377C3" w:rsidP="00E12B89">
            <w:pPr>
              <w:tabs>
                <w:tab w:val="left" w:pos="2805"/>
              </w:tabs>
              <w:rPr>
                <w:rFonts w:ascii="Calibri" w:eastAsia="Calibri" w:hAnsi="Calibri" w:cs="Times New Roman"/>
                <w:b/>
                <w:u w:val="single"/>
              </w:rPr>
            </w:pPr>
            <w:r>
              <w:rPr>
                <w:rFonts w:ascii="Calibri" w:eastAsia="Calibri" w:hAnsi="Calibri" w:cs="Times New Roman"/>
                <w:b/>
                <w:u w:val="single"/>
              </w:rPr>
              <w:t>N.A.</w:t>
            </w:r>
            <w:r w:rsidRPr="00745A3E">
              <w:rPr>
                <w:rFonts w:ascii="Calibri" w:eastAsia="Calibri" w:hAnsi="Calibri" w:cs="Times New Roman"/>
                <w:b/>
              </w:rPr>
              <w:t>: 4</w:t>
            </w:r>
          </w:p>
          <w:p w14:paraId="772C67D3" w14:textId="7B0371D3" w:rsidR="00367E95" w:rsidRDefault="00367E95" w:rsidP="00E12B89">
            <w:pPr>
              <w:tabs>
                <w:tab w:val="left" w:pos="2805"/>
              </w:tabs>
              <w:rPr>
                <w:rFonts w:ascii="Calibri" w:eastAsia="Calibri" w:hAnsi="Calibri" w:cs="Times New Roman"/>
                <w:b/>
              </w:rPr>
            </w:pPr>
          </w:p>
          <w:p w14:paraId="7D97EF07" w14:textId="77777777" w:rsidR="00367E95" w:rsidRDefault="00367E95" w:rsidP="00E12B89">
            <w:pPr>
              <w:tabs>
                <w:tab w:val="left" w:pos="2805"/>
              </w:tabs>
              <w:rPr>
                <w:rFonts w:ascii="Calibri" w:eastAsia="Calibri" w:hAnsi="Calibri" w:cs="Times New Roman"/>
                <w:b/>
                <w:u w:val="single"/>
              </w:rPr>
            </w:pPr>
          </w:p>
          <w:p w14:paraId="48B9D69B" w14:textId="77777777" w:rsidR="00367E95" w:rsidRDefault="00367E95" w:rsidP="00E12B89">
            <w:pPr>
              <w:tabs>
                <w:tab w:val="left" w:pos="2805"/>
              </w:tabs>
              <w:rPr>
                <w:rFonts w:ascii="Calibri" w:eastAsia="Calibri" w:hAnsi="Calibri" w:cs="Times New Roman"/>
                <w:b/>
                <w:u w:val="single"/>
              </w:rPr>
            </w:pPr>
          </w:p>
          <w:p w14:paraId="1C6AC3EA" w14:textId="77777777" w:rsidR="00367E95" w:rsidRPr="00450286" w:rsidRDefault="00367E95" w:rsidP="00E12B89">
            <w:pPr>
              <w:tabs>
                <w:tab w:val="left" w:pos="2805"/>
              </w:tabs>
              <w:rPr>
                <w:rFonts w:ascii="Calibri" w:eastAsia="Calibri" w:hAnsi="Calibri" w:cs="Times New Roman"/>
                <w:b/>
                <w:u w:val="single"/>
              </w:rPr>
            </w:pPr>
          </w:p>
        </w:tc>
      </w:tr>
      <w:tr w:rsidR="00367E95" w:rsidRPr="00450286" w14:paraId="7712D0D7" w14:textId="77777777" w:rsidTr="00E12B89">
        <w:trPr>
          <w:trHeight w:val="402"/>
        </w:trPr>
        <w:tc>
          <w:tcPr>
            <w:tcW w:w="1500" w:type="dxa"/>
            <w:vMerge w:val="restart"/>
            <w:tcBorders>
              <w:top w:val="nil"/>
              <w:left w:val="nil"/>
              <w:bottom w:val="single" w:sz="4" w:space="0" w:color="auto"/>
              <w:right w:val="nil"/>
            </w:tcBorders>
            <w:shd w:val="clear" w:color="auto" w:fill="auto"/>
            <w:hideMark/>
          </w:tcPr>
          <w:p w14:paraId="74072ACD" w14:textId="281AE38C" w:rsidR="00450286" w:rsidRPr="00450286" w:rsidRDefault="00367E95" w:rsidP="00450286">
            <w:pPr>
              <w:tabs>
                <w:tab w:val="left" w:pos="2805"/>
              </w:tabs>
              <w:rPr>
                <w:rFonts w:ascii="Calibri" w:eastAsia="Calibri" w:hAnsi="Calibri" w:cs="Times New Roman"/>
                <w:i/>
                <w:u w:val="single"/>
              </w:rPr>
            </w:pPr>
            <w:r>
              <w:rPr>
                <w:rFonts w:ascii="Calibri" w:eastAsia="Calibri" w:hAnsi="Calibri" w:cs="Times New Roman"/>
                <w:i/>
                <w:u w:val="single"/>
              </w:rPr>
              <w:t>Vasopressors</w:t>
            </w:r>
          </w:p>
        </w:tc>
        <w:tc>
          <w:tcPr>
            <w:tcW w:w="1475" w:type="dxa"/>
            <w:vMerge w:val="restart"/>
            <w:tcBorders>
              <w:top w:val="nil"/>
              <w:left w:val="nil"/>
              <w:bottom w:val="single" w:sz="4" w:space="0" w:color="auto"/>
              <w:right w:val="nil"/>
            </w:tcBorders>
            <w:shd w:val="clear" w:color="auto" w:fill="auto"/>
            <w:hideMark/>
          </w:tcPr>
          <w:p w14:paraId="799DEFA7" w14:textId="77777777" w:rsidR="00450286" w:rsidRDefault="005B36FA" w:rsidP="00450286">
            <w:pPr>
              <w:tabs>
                <w:tab w:val="left" w:pos="2805"/>
              </w:tabs>
              <w:rPr>
                <w:rFonts w:ascii="Calibri" w:eastAsia="Calibri" w:hAnsi="Calibri" w:cs="Times New Roman"/>
                <w:u w:val="single"/>
              </w:rPr>
            </w:pPr>
            <w:r>
              <w:rPr>
                <w:rFonts w:ascii="Calibri" w:eastAsia="Calibri" w:hAnsi="Calibri" w:cs="Times New Roman"/>
                <w:u w:val="single"/>
              </w:rPr>
              <w:t>17</w:t>
            </w:r>
          </w:p>
          <w:p w14:paraId="5201F6B4" w14:textId="6CF7C654" w:rsidR="00E377C3" w:rsidRPr="00450286" w:rsidRDefault="00E377C3" w:rsidP="00450286">
            <w:pPr>
              <w:tabs>
                <w:tab w:val="left" w:pos="2805"/>
              </w:tabs>
              <w:rPr>
                <w:rFonts w:ascii="Calibri" w:eastAsia="Calibri" w:hAnsi="Calibri" w:cs="Times New Roman"/>
                <w:u w:val="single"/>
              </w:rPr>
            </w:pPr>
            <w:r>
              <w:rPr>
                <w:rFonts w:ascii="Calibri" w:eastAsia="Calibri" w:hAnsi="Calibri" w:cs="Times New Roman"/>
                <w:u w:val="single"/>
              </w:rPr>
              <w:t>(5/17 lost to follow-up)</w:t>
            </w:r>
          </w:p>
        </w:tc>
        <w:tc>
          <w:tcPr>
            <w:tcW w:w="1242" w:type="dxa"/>
            <w:vMerge w:val="restart"/>
            <w:tcBorders>
              <w:top w:val="nil"/>
              <w:left w:val="nil"/>
              <w:bottom w:val="single" w:sz="4" w:space="0" w:color="auto"/>
              <w:right w:val="nil"/>
            </w:tcBorders>
            <w:shd w:val="clear" w:color="auto" w:fill="auto"/>
            <w:hideMark/>
          </w:tcPr>
          <w:p w14:paraId="30623786" w14:textId="301E0253" w:rsidR="00450286" w:rsidRPr="00154547" w:rsidRDefault="00154547" w:rsidP="00450286">
            <w:pPr>
              <w:tabs>
                <w:tab w:val="left" w:pos="2805"/>
              </w:tabs>
              <w:rPr>
                <w:rFonts w:ascii="Calibri" w:eastAsia="Calibri" w:hAnsi="Calibri" w:cs="Times New Roman"/>
                <w:u w:val="single"/>
              </w:rPr>
            </w:pPr>
            <w:r>
              <w:rPr>
                <w:rFonts w:ascii="Calibri" w:eastAsia="Calibri" w:hAnsi="Calibri" w:cs="Times New Roman"/>
                <w:u w:val="single"/>
              </w:rPr>
              <w:t>32.79</w:t>
            </w:r>
            <w:r w:rsidR="00450286" w:rsidRPr="00154547">
              <w:rPr>
                <w:rFonts w:ascii="Calibri" w:eastAsia="Calibri" w:hAnsi="Calibri" w:cs="Times New Roman"/>
                <w:u w:val="single"/>
              </w:rPr>
              <w:t>(range: 1</w:t>
            </w:r>
            <w:r>
              <w:rPr>
                <w:rFonts w:ascii="Calibri" w:eastAsia="Calibri" w:hAnsi="Calibri" w:cs="Times New Roman"/>
                <w:u w:val="single"/>
              </w:rPr>
              <w:t>8</w:t>
            </w:r>
            <w:r w:rsidR="00450286" w:rsidRPr="00154547">
              <w:rPr>
                <w:rFonts w:ascii="Calibri" w:eastAsia="Calibri" w:hAnsi="Calibri" w:cs="Times New Roman"/>
                <w:u w:val="single"/>
              </w:rPr>
              <w:t xml:space="preserve"> to 6</w:t>
            </w:r>
            <w:r>
              <w:rPr>
                <w:rFonts w:ascii="Calibri" w:eastAsia="Calibri" w:hAnsi="Calibri" w:cs="Times New Roman"/>
                <w:u w:val="single"/>
              </w:rPr>
              <w:t>9</w:t>
            </w:r>
            <w:r w:rsidR="00450286" w:rsidRPr="00154547">
              <w:rPr>
                <w:rFonts w:ascii="Calibri" w:eastAsia="Calibri" w:hAnsi="Calibri" w:cs="Times New Roman"/>
                <w:u w:val="single"/>
              </w:rPr>
              <w:t>)</w:t>
            </w:r>
          </w:p>
        </w:tc>
        <w:tc>
          <w:tcPr>
            <w:tcW w:w="1661" w:type="dxa"/>
            <w:vMerge w:val="restart"/>
            <w:tcBorders>
              <w:top w:val="nil"/>
              <w:left w:val="nil"/>
              <w:bottom w:val="single" w:sz="4" w:space="0" w:color="auto"/>
              <w:right w:val="nil"/>
            </w:tcBorders>
            <w:shd w:val="clear" w:color="auto" w:fill="auto"/>
            <w:hideMark/>
          </w:tcPr>
          <w:p w14:paraId="42F8EB3E" w14:textId="12411005" w:rsidR="00450286" w:rsidRPr="00154547" w:rsidRDefault="00E377C3" w:rsidP="00450286">
            <w:pPr>
              <w:tabs>
                <w:tab w:val="left" w:pos="2805"/>
              </w:tabs>
              <w:rPr>
                <w:rFonts w:ascii="Calibri" w:eastAsia="Calibri" w:hAnsi="Calibri" w:cs="Times New Roman"/>
                <w:u w:val="single"/>
              </w:rPr>
            </w:pPr>
            <w:r>
              <w:rPr>
                <w:rFonts w:ascii="Calibri" w:eastAsia="Calibri" w:hAnsi="Calibri" w:cs="Times New Roman"/>
                <w:u w:val="single"/>
              </w:rPr>
              <w:t>13:4</w:t>
            </w:r>
          </w:p>
        </w:tc>
        <w:tc>
          <w:tcPr>
            <w:tcW w:w="1557" w:type="dxa"/>
            <w:vMerge w:val="restart"/>
            <w:tcBorders>
              <w:top w:val="nil"/>
              <w:left w:val="nil"/>
              <w:bottom w:val="single" w:sz="4" w:space="0" w:color="auto"/>
              <w:right w:val="nil"/>
            </w:tcBorders>
            <w:shd w:val="clear" w:color="auto" w:fill="auto"/>
            <w:hideMark/>
          </w:tcPr>
          <w:p w14:paraId="62658203" w14:textId="0C040BB0" w:rsidR="00450286" w:rsidRPr="00154547" w:rsidRDefault="00450286" w:rsidP="00450286">
            <w:pPr>
              <w:tabs>
                <w:tab w:val="left" w:pos="2805"/>
              </w:tabs>
              <w:rPr>
                <w:rFonts w:ascii="Calibri" w:eastAsia="Calibri" w:hAnsi="Calibri" w:cs="Times New Roman"/>
                <w:u w:val="single"/>
              </w:rPr>
            </w:pPr>
            <w:r w:rsidRPr="00154547">
              <w:rPr>
                <w:rFonts w:ascii="Calibri" w:eastAsia="Calibri" w:hAnsi="Calibri" w:cs="Times New Roman"/>
                <w:u w:val="single"/>
              </w:rPr>
              <w:t xml:space="preserve">5 (range: 3 to </w:t>
            </w:r>
            <w:r w:rsidR="00E377C3">
              <w:rPr>
                <w:rFonts w:ascii="Calibri" w:eastAsia="Calibri" w:hAnsi="Calibri" w:cs="Times New Roman"/>
                <w:u w:val="single"/>
              </w:rPr>
              <w:t>9</w:t>
            </w:r>
            <w:r w:rsidRPr="00154547">
              <w:rPr>
                <w:rFonts w:ascii="Calibri" w:eastAsia="Calibri" w:hAnsi="Calibri" w:cs="Times New Roman"/>
                <w:u w:val="single"/>
              </w:rPr>
              <w:t>)</w:t>
            </w:r>
          </w:p>
        </w:tc>
        <w:tc>
          <w:tcPr>
            <w:tcW w:w="1127" w:type="dxa"/>
            <w:tcBorders>
              <w:top w:val="single" w:sz="4" w:space="0" w:color="auto"/>
              <w:left w:val="nil"/>
              <w:bottom w:val="single" w:sz="4" w:space="0" w:color="auto"/>
              <w:right w:val="nil"/>
            </w:tcBorders>
            <w:shd w:val="clear" w:color="auto" w:fill="auto"/>
            <w:hideMark/>
          </w:tcPr>
          <w:p w14:paraId="6B399AC8" w14:textId="77777777" w:rsidR="00450286" w:rsidRPr="00154547" w:rsidRDefault="00450286" w:rsidP="00450286">
            <w:pPr>
              <w:tabs>
                <w:tab w:val="left" w:pos="2805"/>
              </w:tabs>
              <w:rPr>
                <w:rFonts w:ascii="Calibri" w:eastAsia="Calibri" w:hAnsi="Calibri" w:cs="Times New Roman"/>
                <w:b/>
                <w:i/>
                <w:u w:val="single"/>
              </w:rPr>
            </w:pPr>
            <w:r w:rsidRPr="00154547">
              <w:rPr>
                <w:rFonts w:ascii="Calibri" w:eastAsia="Calibri" w:hAnsi="Calibri" w:cs="Times New Roman"/>
                <w:b/>
                <w:i/>
                <w:u w:val="single"/>
              </w:rPr>
              <w:t xml:space="preserve">GOS </w:t>
            </w:r>
          </w:p>
        </w:tc>
        <w:tc>
          <w:tcPr>
            <w:tcW w:w="1014" w:type="dxa"/>
            <w:tcBorders>
              <w:top w:val="single" w:sz="4" w:space="0" w:color="auto"/>
              <w:left w:val="nil"/>
              <w:bottom w:val="single" w:sz="4" w:space="0" w:color="auto"/>
              <w:right w:val="nil"/>
            </w:tcBorders>
            <w:shd w:val="clear" w:color="auto" w:fill="auto"/>
            <w:hideMark/>
          </w:tcPr>
          <w:p w14:paraId="1BF3E7DD" w14:textId="77777777" w:rsidR="00450286" w:rsidRPr="00154547" w:rsidRDefault="00450286" w:rsidP="00450286">
            <w:pPr>
              <w:tabs>
                <w:tab w:val="left" w:pos="2805"/>
              </w:tabs>
              <w:rPr>
                <w:rFonts w:ascii="Calibri" w:eastAsia="Calibri" w:hAnsi="Calibri" w:cs="Times New Roman"/>
                <w:b/>
                <w:i/>
                <w:u w:val="single"/>
              </w:rPr>
            </w:pPr>
            <w:r w:rsidRPr="00154547">
              <w:rPr>
                <w:rFonts w:ascii="Calibri" w:eastAsia="Calibri" w:hAnsi="Calibri" w:cs="Times New Roman"/>
                <w:b/>
                <w:i/>
                <w:u w:val="single"/>
              </w:rPr>
              <w:t># of Patients</w:t>
            </w:r>
          </w:p>
        </w:tc>
      </w:tr>
      <w:tr w:rsidR="00367E95" w:rsidRPr="00450286" w14:paraId="45E2AF27" w14:textId="77777777" w:rsidTr="00E12B89">
        <w:trPr>
          <w:trHeight w:val="84"/>
        </w:trPr>
        <w:tc>
          <w:tcPr>
            <w:tcW w:w="0" w:type="auto"/>
            <w:vMerge/>
            <w:tcBorders>
              <w:top w:val="nil"/>
              <w:left w:val="nil"/>
              <w:bottom w:val="single" w:sz="4" w:space="0" w:color="auto"/>
              <w:right w:val="nil"/>
            </w:tcBorders>
            <w:shd w:val="clear" w:color="auto" w:fill="auto"/>
            <w:vAlign w:val="center"/>
            <w:hideMark/>
          </w:tcPr>
          <w:p w14:paraId="27E2B3DB" w14:textId="77777777" w:rsidR="00450286" w:rsidRPr="00450286" w:rsidRDefault="00450286" w:rsidP="00450286">
            <w:pPr>
              <w:tabs>
                <w:tab w:val="left" w:pos="2805"/>
              </w:tabs>
              <w:rPr>
                <w:rFonts w:ascii="Calibri" w:eastAsia="Calibri" w:hAnsi="Calibri" w:cs="Times New Roman"/>
                <w:i/>
                <w:u w:val="single"/>
              </w:rPr>
            </w:pPr>
          </w:p>
        </w:tc>
        <w:tc>
          <w:tcPr>
            <w:tcW w:w="0" w:type="auto"/>
            <w:vMerge/>
            <w:tcBorders>
              <w:top w:val="nil"/>
              <w:left w:val="nil"/>
              <w:bottom w:val="single" w:sz="4" w:space="0" w:color="auto"/>
              <w:right w:val="nil"/>
            </w:tcBorders>
            <w:shd w:val="clear" w:color="auto" w:fill="auto"/>
            <w:vAlign w:val="center"/>
            <w:hideMark/>
          </w:tcPr>
          <w:p w14:paraId="3F1A93D4"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79A5F97D" w14:textId="77777777" w:rsidR="00450286" w:rsidRPr="00E377C3"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6F612991" w14:textId="77777777" w:rsidR="00450286" w:rsidRPr="00E377C3"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7D8494EF" w14:textId="77777777" w:rsidR="00450286" w:rsidRPr="00E377C3" w:rsidRDefault="00450286" w:rsidP="00450286">
            <w:pPr>
              <w:tabs>
                <w:tab w:val="left" w:pos="2805"/>
              </w:tabs>
              <w:rPr>
                <w:rFonts w:ascii="Calibri" w:eastAsia="Calibri" w:hAnsi="Calibri" w:cs="Times New Roman"/>
                <w:u w:val="single"/>
              </w:rPr>
            </w:pPr>
          </w:p>
        </w:tc>
        <w:tc>
          <w:tcPr>
            <w:tcW w:w="1127" w:type="dxa"/>
            <w:tcBorders>
              <w:top w:val="single" w:sz="4" w:space="0" w:color="auto"/>
              <w:left w:val="nil"/>
              <w:bottom w:val="nil"/>
              <w:right w:val="nil"/>
            </w:tcBorders>
            <w:shd w:val="clear" w:color="auto" w:fill="auto"/>
            <w:hideMark/>
          </w:tcPr>
          <w:p w14:paraId="62529F5D" w14:textId="77777777" w:rsidR="00450286" w:rsidRPr="00E377C3" w:rsidRDefault="00450286" w:rsidP="00450286">
            <w:pPr>
              <w:tabs>
                <w:tab w:val="left" w:pos="2805"/>
              </w:tabs>
              <w:rPr>
                <w:rFonts w:ascii="Calibri" w:eastAsia="Calibri" w:hAnsi="Calibri" w:cs="Times New Roman"/>
                <w:b/>
                <w:i/>
                <w:u w:val="single"/>
              </w:rPr>
            </w:pPr>
            <w:r w:rsidRPr="00E377C3">
              <w:rPr>
                <w:rFonts w:ascii="Calibri" w:eastAsia="Calibri" w:hAnsi="Calibri" w:cs="Times New Roman"/>
                <w:b/>
                <w:i/>
                <w:u w:val="single"/>
              </w:rPr>
              <w:t>Dead</w:t>
            </w:r>
          </w:p>
        </w:tc>
        <w:tc>
          <w:tcPr>
            <w:tcW w:w="1014" w:type="dxa"/>
            <w:tcBorders>
              <w:top w:val="single" w:sz="4" w:space="0" w:color="auto"/>
              <w:left w:val="nil"/>
              <w:bottom w:val="nil"/>
              <w:right w:val="nil"/>
            </w:tcBorders>
            <w:shd w:val="clear" w:color="auto" w:fill="auto"/>
            <w:hideMark/>
          </w:tcPr>
          <w:p w14:paraId="16B8AD72" w14:textId="77777777" w:rsidR="00450286" w:rsidRPr="00E377C3" w:rsidRDefault="00450286" w:rsidP="00450286">
            <w:pPr>
              <w:tabs>
                <w:tab w:val="left" w:pos="2805"/>
              </w:tabs>
              <w:rPr>
                <w:rFonts w:ascii="Calibri" w:eastAsia="Calibri" w:hAnsi="Calibri" w:cs="Times New Roman"/>
                <w:b/>
                <w:u w:val="single"/>
              </w:rPr>
            </w:pPr>
            <w:r w:rsidRPr="00E377C3">
              <w:rPr>
                <w:rFonts w:ascii="Calibri" w:eastAsia="Calibri" w:hAnsi="Calibri" w:cs="Times New Roman"/>
                <w:b/>
                <w:u w:val="single"/>
              </w:rPr>
              <w:t>2</w:t>
            </w:r>
          </w:p>
        </w:tc>
      </w:tr>
      <w:tr w:rsidR="00367E95" w:rsidRPr="00450286" w14:paraId="4CEB913C" w14:textId="77777777" w:rsidTr="00E12B89">
        <w:trPr>
          <w:trHeight w:val="81"/>
        </w:trPr>
        <w:tc>
          <w:tcPr>
            <w:tcW w:w="0" w:type="auto"/>
            <w:vMerge/>
            <w:tcBorders>
              <w:top w:val="nil"/>
              <w:left w:val="nil"/>
              <w:bottom w:val="single" w:sz="4" w:space="0" w:color="auto"/>
              <w:right w:val="nil"/>
            </w:tcBorders>
            <w:shd w:val="clear" w:color="auto" w:fill="auto"/>
            <w:vAlign w:val="center"/>
            <w:hideMark/>
          </w:tcPr>
          <w:p w14:paraId="2466429C" w14:textId="77777777" w:rsidR="00450286" w:rsidRPr="00450286" w:rsidRDefault="00450286" w:rsidP="00450286">
            <w:pPr>
              <w:tabs>
                <w:tab w:val="left" w:pos="2805"/>
              </w:tabs>
              <w:rPr>
                <w:rFonts w:ascii="Calibri" w:eastAsia="Calibri" w:hAnsi="Calibri" w:cs="Times New Roman"/>
                <w:i/>
                <w:u w:val="single"/>
              </w:rPr>
            </w:pPr>
          </w:p>
        </w:tc>
        <w:tc>
          <w:tcPr>
            <w:tcW w:w="0" w:type="auto"/>
            <w:vMerge/>
            <w:tcBorders>
              <w:top w:val="nil"/>
              <w:left w:val="nil"/>
              <w:bottom w:val="single" w:sz="4" w:space="0" w:color="auto"/>
              <w:right w:val="nil"/>
            </w:tcBorders>
            <w:shd w:val="clear" w:color="auto" w:fill="auto"/>
            <w:vAlign w:val="center"/>
            <w:hideMark/>
          </w:tcPr>
          <w:p w14:paraId="0216338A"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28C3F8F2" w14:textId="77777777" w:rsidR="00450286" w:rsidRPr="00E377C3"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01321E28" w14:textId="77777777" w:rsidR="00450286" w:rsidRPr="00E377C3"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7ABB9E86" w14:textId="77777777" w:rsidR="00450286" w:rsidRPr="00E377C3" w:rsidRDefault="00450286" w:rsidP="00450286">
            <w:pPr>
              <w:tabs>
                <w:tab w:val="left" w:pos="2805"/>
              </w:tabs>
              <w:rPr>
                <w:rFonts w:ascii="Calibri" w:eastAsia="Calibri" w:hAnsi="Calibri" w:cs="Times New Roman"/>
                <w:u w:val="single"/>
              </w:rPr>
            </w:pPr>
          </w:p>
        </w:tc>
        <w:tc>
          <w:tcPr>
            <w:tcW w:w="1127" w:type="dxa"/>
            <w:shd w:val="clear" w:color="auto" w:fill="auto"/>
            <w:hideMark/>
          </w:tcPr>
          <w:p w14:paraId="0ABD6B27" w14:textId="77777777" w:rsidR="00450286" w:rsidRPr="00E377C3" w:rsidRDefault="00450286" w:rsidP="00450286">
            <w:pPr>
              <w:tabs>
                <w:tab w:val="left" w:pos="2805"/>
              </w:tabs>
              <w:rPr>
                <w:rFonts w:ascii="Calibri" w:eastAsia="Calibri" w:hAnsi="Calibri" w:cs="Times New Roman"/>
                <w:b/>
                <w:i/>
                <w:u w:val="single"/>
              </w:rPr>
            </w:pPr>
            <w:r w:rsidRPr="00E377C3">
              <w:rPr>
                <w:rFonts w:ascii="Calibri" w:eastAsia="Calibri" w:hAnsi="Calibri" w:cs="Times New Roman"/>
                <w:b/>
                <w:i/>
                <w:u w:val="single"/>
              </w:rPr>
              <w:t>PVS</w:t>
            </w:r>
          </w:p>
        </w:tc>
        <w:tc>
          <w:tcPr>
            <w:tcW w:w="1014" w:type="dxa"/>
            <w:shd w:val="clear" w:color="auto" w:fill="auto"/>
            <w:hideMark/>
          </w:tcPr>
          <w:p w14:paraId="1FC4688C" w14:textId="545CA3C5" w:rsidR="00450286" w:rsidRPr="00E377C3" w:rsidRDefault="00E377C3" w:rsidP="00450286">
            <w:pPr>
              <w:tabs>
                <w:tab w:val="left" w:pos="2805"/>
              </w:tabs>
              <w:rPr>
                <w:rFonts w:ascii="Calibri" w:eastAsia="Calibri" w:hAnsi="Calibri" w:cs="Times New Roman"/>
                <w:b/>
                <w:u w:val="single"/>
              </w:rPr>
            </w:pPr>
            <w:r>
              <w:rPr>
                <w:rFonts w:ascii="Calibri" w:eastAsia="Calibri" w:hAnsi="Calibri" w:cs="Times New Roman"/>
                <w:b/>
                <w:u w:val="single"/>
              </w:rPr>
              <w:t>0</w:t>
            </w:r>
          </w:p>
        </w:tc>
      </w:tr>
      <w:tr w:rsidR="00367E95" w:rsidRPr="00450286" w14:paraId="27040C3B" w14:textId="77777777" w:rsidTr="00E12B89">
        <w:trPr>
          <w:trHeight w:val="81"/>
        </w:trPr>
        <w:tc>
          <w:tcPr>
            <w:tcW w:w="0" w:type="auto"/>
            <w:vMerge/>
            <w:tcBorders>
              <w:top w:val="nil"/>
              <w:left w:val="nil"/>
              <w:bottom w:val="single" w:sz="4" w:space="0" w:color="auto"/>
              <w:right w:val="nil"/>
            </w:tcBorders>
            <w:shd w:val="clear" w:color="auto" w:fill="auto"/>
            <w:vAlign w:val="center"/>
            <w:hideMark/>
          </w:tcPr>
          <w:p w14:paraId="042F847D" w14:textId="77777777" w:rsidR="00450286" w:rsidRPr="00450286" w:rsidRDefault="00450286" w:rsidP="00450286">
            <w:pPr>
              <w:tabs>
                <w:tab w:val="left" w:pos="2805"/>
              </w:tabs>
              <w:rPr>
                <w:rFonts w:ascii="Calibri" w:eastAsia="Calibri" w:hAnsi="Calibri" w:cs="Times New Roman"/>
                <w:i/>
                <w:u w:val="single"/>
              </w:rPr>
            </w:pPr>
          </w:p>
        </w:tc>
        <w:tc>
          <w:tcPr>
            <w:tcW w:w="0" w:type="auto"/>
            <w:vMerge/>
            <w:tcBorders>
              <w:top w:val="nil"/>
              <w:left w:val="nil"/>
              <w:bottom w:val="single" w:sz="4" w:space="0" w:color="auto"/>
              <w:right w:val="nil"/>
            </w:tcBorders>
            <w:shd w:val="clear" w:color="auto" w:fill="auto"/>
            <w:vAlign w:val="center"/>
            <w:hideMark/>
          </w:tcPr>
          <w:p w14:paraId="2DFA7326"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7C203412" w14:textId="77777777" w:rsidR="00450286" w:rsidRPr="00E377C3"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7A7A8A60" w14:textId="77777777" w:rsidR="00450286" w:rsidRPr="00E377C3"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4A1B7E2F" w14:textId="77777777" w:rsidR="00450286" w:rsidRPr="00E377C3" w:rsidRDefault="00450286" w:rsidP="00450286">
            <w:pPr>
              <w:tabs>
                <w:tab w:val="left" w:pos="2805"/>
              </w:tabs>
              <w:rPr>
                <w:rFonts w:ascii="Calibri" w:eastAsia="Calibri" w:hAnsi="Calibri" w:cs="Times New Roman"/>
                <w:u w:val="single"/>
              </w:rPr>
            </w:pPr>
          </w:p>
        </w:tc>
        <w:tc>
          <w:tcPr>
            <w:tcW w:w="1127" w:type="dxa"/>
            <w:shd w:val="clear" w:color="auto" w:fill="auto"/>
            <w:hideMark/>
          </w:tcPr>
          <w:p w14:paraId="1BC4ADEA" w14:textId="77777777" w:rsidR="00450286" w:rsidRPr="00E377C3" w:rsidRDefault="00450286" w:rsidP="00450286">
            <w:pPr>
              <w:tabs>
                <w:tab w:val="left" w:pos="2805"/>
              </w:tabs>
              <w:rPr>
                <w:rFonts w:ascii="Calibri" w:eastAsia="Calibri" w:hAnsi="Calibri" w:cs="Times New Roman"/>
                <w:b/>
                <w:i/>
                <w:u w:val="single"/>
              </w:rPr>
            </w:pPr>
            <w:r w:rsidRPr="00E377C3">
              <w:rPr>
                <w:rFonts w:ascii="Calibri" w:eastAsia="Calibri" w:hAnsi="Calibri" w:cs="Times New Roman"/>
                <w:b/>
                <w:i/>
                <w:u w:val="single"/>
              </w:rPr>
              <w:t>Severe disability</w:t>
            </w:r>
          </w:p>
        </w:tc>
        <w:tc>
          <w:tcPr>
            <w:tcW w:w="1014" w:type="dxa"/>
            <w:shd w:val="clear" w:color="auto" w:fill="auto"/>
            <w:hideMark/>
          </w:tcPr>
          <w:p w14:paraId="63509F81" w14:textId="3EE78EC3" w:rsidR="00450286" w:rsidRPr="00E377C3" w:rsidRDefault="00E377C3" w:rsidP="00450286">
            <w:pPr>
              <w:tabs>
                <w:tab w:val="left" w:pos="2805"/>
              </w:tabs>
              <w:rPr>
                <w:rFonts w:ascii="Calibri" w:eastAsia="Calibri" w:hAnsi="Calibri" w:cs="Times New Roman"/>
                <w:b/>
                <w:u w:val="single"/>
              </w:rPr>
            </w:pPr>
            <w:r>
              <w:rPr>
                <w:rFonts w:ascii="Calibri" w:eastAsia="Calibri" w:hAnsi="Calibri" w:cs="Times New Roman"/>
                <w:b/>
                <w:u w:val="single"/>
              </w:rPr>
              <w:t>2</w:t>
            </w:r>
          </w:p>
        </w:tc>
      </w:tr>
      <w:tr w:rsidR="00367E95" w:rsidRPr="00450286" w14:paraId="4F824AEE" w14:textId="77777777" w:rsidTr="00E12B89">
        <w:trPr>
          <w:trHeight w:val="81"/>
        </w:trPr>
        <w:tc>
          <w:tcPr>
            <w:tcW w:w="0" w:type="auto"/>
            <w:vMerge/>
            <w:tcBorders>
              <w:top w:val="nil"/>
              <w:left w:val="nil"/>
              <w:bottom w:val="single" w:sz="4" w:space="0" w:color="auto"/>
              <w:right w:val="nil"/>
            </w:tcBorders>
            <w:shd w:val="clear" w:color="auto" w:fill="auto"/>
            <w:vAlign w:val="center"/>
            <w:hideMark/>
          </w:tcPr>
          <w:p w14:paraId="6155EA48" w14:textId="77777777" w:rsidR="00450286" w:rsidRPr="00450286" w:rsidRDefault="00450286" w:rsidP="00450286">
            <w:pPr>
              <w:tabs>
                <w:tab w:val="left" w:pos="2805"/>
              </w:tabs>
              <w:rPr>
                <w:rFonts w:ascii="Calibri" w:eastAsia="Calibri" w:hAnsi="Calibri" w:cs="Times New Roman"/>
                <w:i/>
                <w:u w:val="single"/>
              </w:rPr>
            </w:pPr>
          </w:p>
        </w:tc>
        <w:tc>
          <w:tcPr>
            <w:tcW w:w="0" w:type="auto"/>
            <w:vMerge/>
            <w:tcBorders>
              <w:top w:val="nil"/>
              <w:left w:val="nil"/>
              <w:bottom w:val="single" w:sz="4" w:space="0" w:color="auto"/>
              <w:right w:val="nil"/>
            </w:tcBorders>
            <w:shd w:val="clear" w:color="auto" w:fill="auto"/>
            <w:vAlign w:val="center"/>
            <w:hideMark/>
          </w:tcPr>
          <w:p w14:paraId="3809A47F"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64F87BE5" w14:textId="77777777" w:rsidR="00450286" w:rsidRPr="00E377C3"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2BB5DF47" w14:textId="77777777" w:rsidR="00450286" w:rsidRPr="00E377C3"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7B436D86" w14:textId="77777777" w:rsidR="00450286" w:rsidRPr="00E377C3" w:rsidRDefault="00450286" w:rsidP="00450286">
            <w:pPr>
              <w:tabs>
                <w:tab w:val="left" w:pos="2805"/>
              </w:tabs>
              <w:rPr>
                <w:rFonts w:ascii="Calibri" w:eastAsia="Calibri" w:hAnsi="Calibri" w:cs="Times New Roman"/>
                <w:u w:val="single"/>
              </w:rPr>
            </w:pPr>
          </w:p>
        </w:tc>
        <w:tc>
          <w:tcPr>
            <w:tcW w:w="1127" w:type="dxa"/>
            <w:shd w:val="clear" w:color="auto" w:fill="auto"/>
            <w:hideMark/>
          </w:tcPr>
          <w:p w14:paraId="64CD9980" w14:textId="77777777" w:rsidR="00450286" w:rsidRPr="00E377C3" w:rsidRDefault="00450286" w:rsidP="00450286">
            <w:pPr>
              <w:tabs>
                <w:tab w:val="left" w:pos="2805"/>
              </w:tabs>
              <w:rPr>
                <w:rFonts w:ascii="Calibri" w:eastAsia="Calibri" w:hAnsi="Calibri" w:cs="Times New Roman"/>
                <w:b/>
                <w:i/>
                <w:u w:val="single"/>
              </w:rPr>
            </w:pPr>
            <w:r w:rsidRPr="00E377C3">
              <w:rPr>
                <w:rFonts w:ascii="Calibri" w:eastAsia="Calibri" w:hAnsi="Calibri" w:cs="Times New Roman"/>
                <w:b/>
                <w:i/>
                <w:u w:val="single"/>
              </w:rPr>
              <w:t>Moderate disability</w:t>
            </w:r>
          </w:p>
        </w:tc>
        <w:tc>
          <w:tcPr>
            <w:tcW w:w="1014" w:type="dxa"/>
            <w:shd w:val="clear" w:color="auto" w:fill="auto"/>
            <w:hideMark/>
          </w:tcPr>
          <w:p w14:paraId="3E86AC06" w14:textId="1F8B5278" w:rsidR="00450286" w:rsidRPr="00E377C3" w:rsidRDefault="00E377C3" w:rsidP="00450286">
            <w:pPr>
              <w:tabs>
                <w:tab w:val="left" w:pos="2805"/>
              </w:tabs>
              <w:rPr>
                <w:rFonts w:ascii="Calibri" w:eastAsia="Calibri" w:hAnsi="Calibri" w:cs="Times New Roman"/>
                <w:b/>
                <w:u w:val="single"/>
              </w:rPr>
            </w:pPr>
            <w:r>
              <w:rPr>
                <w:rFonts w:ascii="Calibri" w:eastAsia="Calibri" w:hAnsi="Calibri" w:cs="Times New Roman"/>
                <w:b/>
                <w:u w:val="single"/>
              </w:rPr>
              <w:t>4</w:t>
            </w:r>
          </w:p>
        </w:tc>
      </w:tr>
      <w:tr w:rsidR="00367E95" w:rsidRPr="00450286" w14:paraId="2F116B75" w14:textId="77777777" w:rsidTr="00E12B89">
        <w:trPr>
          <w:trHeight w:val="81"/>
        </w:trPr>
        <w:tc>
          <w:tcPr>
            <w:tcW w:w="0" w:type="auto"/>
            <w:vMerge/>
            <w:tcBorders>
              <w:top w:val="nil"/>
              <w:left w:val="nil"/>
              <w:bottom w:val="single" w:sz="4" w:space="0" w:color="auto"/>
              <w:right w:val="nil"/>
            </w:tcBorders>
            <w:shd w:val="clear" w:color="auto" w:fill="auto"/>
            <w:vAlign w:val="center"/>
            <w:hideMark/>
          </w:tcPr>
          <w:p w14:paraId="548163C0" w14:textId="77777777" w:rsidR="00450286" w:rsidRPr="00450286" w:rsidRDefault="00450286" w:rsidP="00450286">
            <w:pPr>
              <w:tabs>
                <w:tab w:val="left" w:pos="2805"/>
              </w:tabs>
              <w:rPr>
                <w:rFonts w:ascii="Calibri" w:eastAsia="Calibri" w:hAnsi="Calibri" w:cs="Times New Roman"/>
                <w:i/>
                <w:u w:val="single"/>
              </w:rPr>
            </w:pPr>
          </w:p>
        </w:tc>
        <w:tc>
          <w:tcPr>
            <w:tcW w:w="0" w:type="auto"/>
            <w:vMerge/>
            <w:tcBorders>
              <w:top w:val="nil"/>
              <w:left w:val="nil"/>
              <w:bottom w:val="single" w:sz="4" w:space="0" w:color="auto"/>
              <w:right w:val="nil"/>
            </w:tcBorders>
            <w:shd w:val="clear" w:color="auto" w:fill="auto"/>
            <w:vAlign w:val="center"/>
            <w:hideMark/>
          </w:tcPr>
          <w:p w14:paraId="02DCAE0C" w14:textId="77777777" w:rsidR="00450286" w:rsidRPr="00450286"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670DA80C" w14:textId="77777777" w:rsidR="00450286" w:rsidRPr="00E377C3"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11F4BC37" w14:textId="77777777" w:rsidR="00450286" w:rsidRPr="00E377C3" w:rsidRDefault="00450286" w:rsidP="00450286">
            <w:pPr>
              <w:tabs>
                <w:tab w:val="left" w:pos="2805"/>
              </w:tabs>
              <w:rPr>
                <w:rFonts w:ascii="Calibri" w:eastAsia="Calibri" w:hAnsi="Calibri" w:cs="Times New Roman"/>
                <w:u w:val="single"/>
              </w:rPr>
            </w:pPr>
          </w:p>
        </w:tc>
        <w:tc>
          <w:tcPr>
            <w:tcW w:w="0" w:type="auto"/>
            <w:vMerge/>
            <w:tcBorders>
              <w:top w:val="nil"/>
              <w:left w:val="nil"/>
              <w:bottom w:val="single" w:sz="4" w:space="0" w:color="auto"/>
              <w:right w:val="nil"/>
            </w:tcBorders>
            <w:shd w:val="clear" w:color="auto" w:fill="auto"/>
            <w:vAlign w:val="center"/>
            <w:hideMark/>
          </w:tcPr>
          <w:p w14:paraId="74E54B04" w14:textId="77777777" w:rsidR="00450286" w:rsidRPr="00E377C3" w:rsidRDefault="00450286" w:rsidP="00450286">
            <w:pPr>
              <w:tabs>
                <w:tab w:val="left" w:pos="2805"/>
              </w:tabs>
              <w:rPr>
                <w:rFonts w:ascii="Calibri" w:eastAsia="Calibri" w:hAnsi="Calibri" w:cs="Times New Roman"/>
                <w:u w:val="single"/>
              </w:rPr>
            </w:pPr>
          </w:p>
        </w:tc>
        <w:tc>
          <w:tcPr>
            <w:tcW w:w="1127" w:type="dxa"/>
            <w:tcBorders>
              <w:top w:val="nil"/>
              <w:left w:val="nil"/>
              <w:bottom w:val="single" w:sz="4" w:space="0" w:color="auto"/>
              <w:right w:val="nil"/>
            </w:tcBorders>
            <w:shd w:val="clear" w:color="auto" w:fill="auto"/>
            <w:hideMark/>
          </w:tcPr>
          <w:p w14:paraId="1B7BCBC5" w14:textId="77777777" w:rsidR="00450286" w:rsidRPr="00E377C3" w:rsidRDefault="00450286" w:rsidP="00450286">
            <w:pPr>
              <w:tabs>
                <w:tab w:val="left" w:pos="2805"/>
              </w:tabs>
              <w:rPr>
                <w:rFonts w:ascii="Calibri" w:eastAsia="Calibri" w:hAnsi="Calibri" w:cs="Times New Roman"/>
                <w:b/>
                <w:i/>
                <w:u w:val="single"/>
              </w:rPr>
            </w:pPr>
            <w:r w:rsidRPr="00E377C3">
              <w:rPr>
                <w:rFonts w:ascii="Calibri" w:eastAsia="Calibri" w:hAnsi="Calibri" w:cs="Times New Roman"/>
                <w:b/>
                <w:i/>
                <w:u w:val="single"/>
              </w:rPr>
              <w:t>Good</w:t>
            </w:r>
          </w:p>
        </w:tc>
        <w:tc>
          <w:tcPr>
            <w:tcW w:w="1014" w:type="dxa"/>
            <w:tcBorders>
              <w:top w:val="nil"/>
              <w:left w:val="nil"/>
              <w:bottom w:val="single" w:sz="4" w:space="0" w:color="auto"/>
              <w:right w:val="nil"/>
            </w:tcBorders>
            <w:shd w:val="clear" w:color="auto" w:fill="auto"/>
            <w:hideMark/>
          </w:tcPr>
          <w:p w14:paraId="716866F1" w14:textId="06EF25D7" w:rsidR="00450286" w:rsidRDefault="00E377C3" w:rsidP="00450286">
            <w:pPr>
              <w:tabs>
                <w:tab w:val="left" w:pos="2805"/>
              </w:tabs>
              <w:rPr>
                <w:rFonts w:ascii="Calibri" w:eastAsia="Calibri" w:hAnsi="Calibri" w:cs="Times New Roman"/>
                <w:b/>
                <w:u w:val="single"/>
              </w:rPr>
            </w:pPr>
            <w:r>
              <w:rPr>
                <w:rFonts w:ascii="Calibri" w:eastAsia="Calibri" w:hAnsi="Calibri" w:cs="Times New Roman"/>
                <w:b/>
                <w:u w:val="single"/>
              </w:rPr>
              <w:t>4</w:t>
            </w:r>
          </w:p>
          <w:p w14:paraId="77450D05" w14:textId="010A65C7" w:rsidR="00E377C3" w:rsidRPr="00E377C3" w:rsidRDefault="00E377C3" w:rsidP="00450286">
            <w:pPr>
              <w:tabs>
                <w:tab w:val="left" w:pos="2805"/>
              </w:tabs>
              <w:rPr>
                <w:rFonts w:ascii="Calibri" w:eastAsia="Calibri" w:hAnsi="Calibri" w:cs="Times New Roman"/>
                <w:b/>
                <w:u w:val="single"/>
              </w:rPr>
            </w:pPr>
            <w:r>
              <w:rPr>
                <w:rFonts w:ascii="Calibri" w:eastAsia="Calibri" w:hAnsi="Calibri" w:cs="Times New Roman"/>
                <w:b/>
                <w:u w:val="single"/>
              </w:rPr>
              <w:t>N.A.</w:t>
            </w:r>
            <w:r w:rsidRPr="00745A3E">
              <w:rPr>
                <w:rFonts w:ascii="Calibri" w:eastAsia="Calibri" w:hAnsi="Calibri" w:cs="Times New Roman"/>
                <w:b/>
              </w:rPr>
              <w:t>: 5</w:t>
            </w:r>
          </w:p>
        </w:tc>
      </w:tr>
    </w:tbl>
    <w:p w14:paraId="4A543E0C" w14:textId="2EB8FC79" w:rsidR="00450286" w:rsidRPr="00450286" w:rsidRDefault="00450286" w:rsidP="00450286">
      <w:pPr>
        <w:tabs>
          <w:tab w:val="left" w:pos="2805"/>
        </w:tabs>
        <w:rPr>
          <w:rFonts w:ascii="Calibri" w:eastAsia="Calibri" w:hAnsi="Calibri" w:cs="Times New Roman"/>
          <w:i/>
          <w:iCs/>
          <w:u w:val="single"/>
        </w:rPr>
      </w:pPr>
      <w:r w:rsidRPr="00450286">
        <w:rPr>
          <w:rFonts w:ascii="Calibri" w:eastAsia="Calibri" w:hAnsi="Calibri" w:cs="Times New Roman"/>
          <w:i/>
          <w:iCs/>
          <w:u w:val="single"/>
        </w:rPr>
        <w:t xml:space="preserve">GCS = Glasgow Coma Scale, GOS = Glasgow Outcome Scale, # = number, </w:t>
      </w:r>
      <w:r w:rsidR="005B36FA">
        <w:rPr>
          <w:rFonts w:ascii="Calibri" w:eastAsia="Calibri" w:hAnsi="Calibri" w:cs="Times New Roman"/>
          <w:i/>
          <w:iCs/>
          <w:u w:val="single"/>
        </w:rPr>
        <w:t>PVS – persistent vegetative state</w:t>
      </w:r>
      <w:r w:rsidRPr="00450286">
        <w:rPr>
          <w:rFonts w:ascii="Calibri" w:eastAsia="Calibri" w:hAnsi="Calibri" w:cs="Times New Roman"/>
          <w:i/>
          <w:iCs/>
          <w:u w:val="single"/>
        </w:rPr>
        <w:t xml:space="preserve">.  </w:t>
      </w:r>
    </w:p>
    <w:p w14:paraId="17C0CB0E" w14:textId="5A3A8A79" w:rsidR="00450286" w:rsidRDefault="00450286" w:rsidP="00450286">
      <w:pPr>
        <w:tabs>
          <w:tab w:val="left" w:pos="2805"/>
        </w:tabs>
        <w:rPr>
          <w:rFonts w:ascii="Calibri" w:eastAsia="Calibri" w:hAnsi="Calibri" w:cs="Times New Roman"/>
          <w:b/>
          <w:u w:val="single"/>
        </w:rPr>
      </w:pPr>
    </w:p>
    <w:p w14:paraId="12DF36DD" w14:textId="77777777" w:rsidR="00450286" w:rsidRDefault="00450286" w:rsidP="00450286">
      <w:pPr>
        <w:tabs>
          <w:tab w:val="left" w:pos="2805"/>
        </w:tabs>
        <w:rPr>
          <w:rFonts w:ascii="Calibri" w:eastAsia="Calibri" w:hAnsi="Calibri" w:cs="Times New Roman"/>
          <w:b/>
          <w:u w:val="single"/>
        </w:rPr>
      </w:pPr>
    </w:p>
    <w:p w14:paraId="76380F8B" w14:textId="77777777" w:rsidR="00F65E98" w:rsidRPr="00F65E98" w:rsidRDefault="00F65E98" w:rsidP="00F65E98">
      <w:pPr>
        <w:rPr>
          <w:rFonts w:ascii="Calibri" w:eastAsia="Calibri" w:hAnsi="Calibri" w:cs="Times New Roman"/>
          <w:b/>
          <w:u w:val="single"/>
        </w:rPr>
      </w:pPr>
    </w:p>
    <w:p w14:paraId="0BD34B32" w14:textId="0A4994C2" w:rsidR="00F65E98" w:rsidRDefault="00F65E98" w:rsidP="00020ABC">
      <w:pPr>
        <w:spacing w:line="480" w:lineRule="auto"/>
        <w:rPr>
          <w:rFonts w:ascii="Calibri" w:eastAsia="Calibri" w:hAnsi="Calibri" w:cs="Times New Roman"/>
          <w:b/>
          <w:i/>
        </w:rPr>
      </w:pPr>
      <w:r w:rsidRPr="0049682C">
        <w:rPr>
          <w:rFonts w:ascii="Calibri" w:eastAsia="Calibri" w:hAnsi="Calibri" w:cs="Times New Roman"/>
          <w:b/>
          <w:i/>
        </w:rPr>
        <w:t>Relationships between sPI and C</w:t>
      </w:r>
      <w:r w:rsidR="003051F0">
        <w:rPr>
          <w:rFonts w:ascii="Calibri" w:eastAsia="Calibri" w:hAnsi="Calibri" w:cs="Times New Roman"/>
          <w:b/>
          <w:i/>
        </w:rPr>
        <w:t>a</w:t>
      </w:r>
      <w:r w:rsidRPr="0049682C">
        <w:rPr>
          <w:rFonts w:ascii="Calibri" w:eastAsia="Calibri" w:hAnsi="Calibri" w:cs="Times New Roman"/>
          <w:b/>
          <w:i/>
        </w:rPr>
        <w:t xml:space="preserve">BV Estimators </w:t>
      </w:r>
    </w:p>
    <w:p w14:paraId="5E1A48B7" w14:textId="77777777" w:rsidR="00F65E98" w:rsidRPr="00F65E98" w:rsidRDefault="00F65E98" w:rsidP="00020ABC">
      <w:pPr>
        <w:spacing w:line="480" w:lineRule="auto"/>
        <w:rPr>
          <w:rFonts w:ascii="Calibri" w:eastAsia="Calibri" w:hAnsi="Calibri" w:cs="Times New Roman"/>
          <w:b/>
          <w:i/>
        </w:rPr>
      </w:pPr>
    </w:p>
    <w:p w14:paraId="1CD03FD1" w14:textId="2147C431" w:rsidR="007B2DAB" w:rsidRPr="00F65E98" w:rsidRDefault="00A045C0" w:rsidP="00020ABC">
      <w:pPr>
        <w:spacing w:line="480" w:lineRule="auto"/>
        <w:ind w:firstLine="720"/>
        <w:rPr>
          <w:rFonts w:ascii="Calibri" w:eastAsia="Calibri" w:hAnsi="Calibri" w:cs="Times New Roman"/>
        </w:rPr>
      </w:pPr>
      <w:r>
        <w:rPr>
          <w:rFonts w:ascii="Calibri" w:eastAsia="Calibri" w:hAnsi="Calibri" w:cs="Times New Roman"/>
        </w:rPr>
        <w:t xml:space="preserve">Tables </w:t>
      </w:r>
      <w:r w:rsidR="005B36FA">
        <w:rPr>
          <w:rFonts w:ascii="Calibri" w:eastAsia="Calibri" w:hAnsi="Calibri" w:cs="Times New Roman"/>
        </w:rPr>
        <w:t>2</w:t>
      </w:r>
      <w:r>
        <w:rPr>
          <w:rFonts w:ascii="Calibri" w:eastAsia="Calibri" w:hAnsi="Calibri" w:cs="Times New Roman"/>
        </w:rPr>
        <w:t xml:space="preserve"> (plateau waves), </w:t>
      </w:r>
      <w:r w:rsidR="005B36FA">
        <w:rPr>
          <w:rFonts w:ascii="Calibri" w:eastAsia="Calibri" w:hAnsi="Calibri" w:cs="Times New Roman"/>
        </w:rPr>
        <w:t>3</w:t>
      </w:r>
      <w:r>
        <w:rPr>
          <w:rFonts w:ascii="Calibri" w:eastAsia="Calibri" w:hAnsi="Calibri" w:cs="Times New Roman"/>
        </w:rPr>
        <w:t xml:space="preserve"> (hypocapnia), and </w:t>
      </w:r>
      <w:r w:rsidR="005B36FA">
        <w:rPr>
          <w:rFonts w:ascii="Calibri" w:eastAsia="Calibri" w:hAnsi="Calibri" w:cs="Times New Roman"/>
        </w:rPr>
        <w:t>4</w:t>
      </w:r>
      <w:r>
        <w:rPr>
          <w:rFonts w:ascii="Calibri" w:eastAsia="Calibri" w:hAnsi="Calibri" w:cs="Times New Roman"/>
        </w:rPr>
        <w:t xml:space="preserve"> (vasopressors) </w:t>
      </w:r>
      <w:r w:rsidR="00822A45">
        <w:rPr>
          <w:rFonts w:ascii="Calibri" w:eastAsia="Calibri" w:hAnsi="Calibri" w:cs="Times New Roman"/>
        </w:rPr>
        <w:t xml:space="preserve">summarize </w:t>
      </w:r>
      <w:r>
        <w:rPr>
          <w:rFonts w:ascii="Calibri" w:eastAsia="Calibri" w:hAnsi="Calibri" w:cs="Times New Roman"/>
        </w:rPr>
        <w:t xml:space="preserve">the </w:t>
      </w:r>
      <w:r w:rsidR="00822A45">
        <w:rPr>
          <w:rFonts w:ascii="Calibri" w:eastAsia="Calibri" w:hAnsi="Calibri" w:cs="Times New Roman"/>
        </w:rPr>
        <w:t>mean values and standard deviations of sPI</w:t>
      </w:r>
      <w:r>
        <w:rPr>
          <w:rFonts w:ascii="Calibri" w:eastAsia="Calibri" w:hAnsi="Calibri" w:cs="Times New Roman"/>
        </w:rPr>
        <w:t xml:space="preserve"> and of the</w:t>
      </w:r>
      <w:r w:rsidR="00822A45">
        <w:rPr>
          <w:rFonts w:ascii="Calibri" w:eastAsia="Calibri" w:hAnsi="Calibri" w:cs="Times New Roman"/>
        </w:rPr>
        <w:t xml:space="preserve"> estimator model</w:t>
      </w:r>
      <w:r>
        <w:rPr>
          <w:rFonts w:ascii="Calibri" w:eastAsia="Calibri" w:hAnsi="Calibri" w:cs="Times New Roman"/>
        </w:rPr>
        <w:t>s.</w:t>
      </w:r>
      <w:r w:rsidR="00CF38A9">
        <w:rPr>
          <w:rFonts w:ascii="Calibri" w:eastAsia="Calibri" w:hAnsi="Calibri" w:cs="Times New Roman"/>
        </w:rPr>
        <w:t>; they</w:t>
      </w:r>
      <w:r w:rsidR="00230B64">
        <w:rPr>
          <w:rFonts w:ascii="Calibri" w:eastAsia="Calibri" w:hAnsi="Calibri" w:cs="Times New Roman"/>
        </w:rPr>
        <w:t xml:space="preserve"> additionally feature summary statistics</w:t>
      </w:r>
      <w:r w:rsidR="00DB7147">
        <w:rPr>
          <w:rFonts w:ascii="Calibri" w:eastAsia="Calibri" w:hAnsi="Calibri" w:cs="Times New Roman"/>
        </w:rPr>
        <w:t xml:space="preserve"> da</w:t>
      </w:r>
      <w:r w:rsidR="00822A45">
        <w:rPr>
          <w:rFonts w:ascii="Calibri" w:eastAsia="Calibri" w:hAnsi="Calibri" w:cs="Times New Roman"/>
        </w:rPr>
        <w:t xml:space="preserve">ta for all </w:t>
      </w:r>
      <w:r w:rsidR="00BB57E4">
        <w:rPr>
          <w:rFonts w:ascii="Calibri" w:eastAsia="Calibri" w:hAnsi="Calibri" w:cs="Times New Roman"/>
        </w:rPr>
        <w:t xml:space="preserve">TCD recordings comprising each of the patient </w:t>
      </w:r>
      <w:r w:rsidR="00822A45">
        <w:rPr>
          <w:rFonts w:ascii="Calibri" w:eastAsia="Calibri" w:hAnsi="Calibri" w:cs="Times New Roman"/>
        </w:rPr>
        <w:t>cohorts</w:t>
      </w:r>
      <w:r w:rsidR="00CF38A9">
        <w:rPr>
          <w:rFonts w:ascii="Calibri" w:eastAsia="Calibri" w:hAnsi="Calibri" w:cs="Times New Roman"/>
        </w:rPr>
        <w:t xml:space="preserve">, and </w:t>
      </w:r>
      <w:r w:rsidR="00822A45">
        <w:rPr>
          <w:rFonts w:ascii="Calibri" w:eastAsia="Calibri" w:hAnsi="Calibri" w:cs="Times New Roman"/>
        </w:rPr>
        <w:t>Bland Altman means and critical differences for sPI</w:t>
      </w:r>
      <w:r w:rsidR="00230B64">
        <w:rPr>
          <w:rFonts w:ascii="Calibri" w:eastAsia="Calibri" w:hAnsi="Calibri" w:cs="Times New Roman"/>
        </w:rPr>
        <w:t xml:space="preserve"> and </w:t>
      </w:r>
      <w:r w:rsidR="00822A45">
        <w:rPr>
          <w:rFonts w:ascii="Calibri" w:eastAsia="Calibri" w:hAnsi="Calibri" w:cs="Times New Roman"/>
        </w:rPr>
        <w:t xml:space="preserve">each estimator model. </w:t>
      </w:r>
      <w:r w:rsidR="00707FED">
        <w:rPr>
          <w:rFonts w:ascii="Calibri" w:eastAsia="Calibri" w:hAnsi="Calibri" w:cs="Times New Roman"/>
        </w:rPr>
        <w:t xml:space="preserve">To appreciate </w:t>
      </w:r>
      <w:r w:rsidR="00020C44">
        <w:rPr>
          <w:rFonts w:ascii="Calibri" w:eastAsia="Calibri" w:hAnsi="Calibri" w:cs="Times New Roman"/>
        </w:rPr>
        <w:t xml:space="preserve">the </w:t>
      </w:r>
      <w:r w:rsidR="00707FED">
        <w:rPr>
          <w:rFonts w:ascii="Calibri" w:eastAsia="Calibri" w:hAnsi="Calibri" w:cs="Times New Roman"/>
        </w:rPr>
        <w:t xml:space="preserve">agreement between </w:t>
      </w:r>
      <w:r w:rsidR="00AB42E9">
        <w:rPr>
          <w:rFonts w:ascii="Calibri" w:eastAsia="Calibri" w:hAnsi="Calibri" w:cs="Times New Roman"/>
        </w:rPr>
        <w:t xml:space="preserve">the </w:t>
      </w:r>
      <w:r w:rsidR="00707FED">
        <w:rPr>
          <w:rFonts w:ascii="Calibri" w:eastAsia="Calibri" w:hAnsi="Calibri" w:cs="Times New Roman"/>
        </w:rPr>
        <w:t>sPI and each estimator model, th</w:t>
      </w:r>
      <w:r w:rsidR="00822A45">
        <w:rPr>
          <w:rFonts w:ascii="Calibri" w:eastAsia="Calibri" w:hAnsi="Calibri" w:cs="Times New Roman"/>
        </w:rPr>
        <w:t>e Pearson correlation coefficient</w:t>
      </w:r>
      <w:r w:rsidR="00707FED">
        <w:rPr>
          <w:rFonts w:ascii="Calibri" w:eastAsia="Calibri" w:hAnsi="Calibri" w:cs="Times New Roman"/>
        </w:rPr>
        <w:t>s</w:t>
      </w:r>
      <w:r w:rsidR="00822A45">
        <w:rPr>
          <w:rFonts w:ascii="Calibri" w:eastAsia="Calibri" w:hAnsi="Calibri" w:cs="Times New Roman"/>
        </w:rPr>
        <w:t xml:space="preserve"> (</w:t>
      </w:r>
      <w:r w:rsidR="00822A45" w:rsidRPr="00822A45">
        <w:rPr>
          <w:rFonts w:ascii="Calibri" w:eastAsia="Calibri" w:hAnsi="Calibri" w:cs="Times New Roman"/>
          <w:i/>
        </w:rPr>
        <w:t>r</w:t>
      </w:r>
      <w:r w:rsidR="00822A45">
        <w:rPr>
          <w:rFonts w:ascii="Calibri" w:eastAsia="Calibri" w:hAnsi="Calibri" w:cs="Times New Roman"/>
        </w:rPr>
        <w:t>) w</w:t>
      </w:r>
      <w:r w:rsidR="00707FED">
        <w:rPr>
          <w:rFonts w:ascii="Calibri" w:eastAsia="Calibri" w:hAnsi="Calibri" w:cs="Times New Roman"/>
        </w:rPr>
        <w:t>ere</w:t>
      </w:r>
      <w:r w:rsidR="00822A45">
        <w:rPr>
          <w:rFonts w:ascii="Calibri" w:eastAsia="Calibri" w:hAnsi="Calibri" w:cs="Times New Roman"/>
        </w:rPr>
        <w:t xml:space="preserve"> also listed </w:t>
      </w:r>
      <w:r w:rsidR="00AB23AE">
        <w:rPr>
          <w:rFonts w:ascii="Calibri" w:eastAsia="Calibri" w:hAnsi="Calibri" w:cs="Times New Roman"/>
        </w:rPr>
        <w:t>per respective cohort</w:t>
      </w:r>
      <w:r w:rsidR="00707FED">
        <w:rPr>
          <w:rFonts w:ascii="Calibri" w:eastAsia="Calibri" w:hAnsi="Calibri" w:cs="Times New Roman"/>
        </w:rPr>
        <w:t xml:space="preserve">. </w:t>
      </w:r>
    </w:p>
    <w:p w14:paraId="1E8B76E7" w14:textId="5EEEAAE7" w:rsidR="004F50C7" w:rsidRDefault="00A32D64" w:rsidP="00020ABC">
      <w:pPr>
        <w:spacing w:line="480" w:lineRule="auto"/>
        <w:ind w:firstLine="720"/>
        <w:rPr>
          <w:rFonts w:ascii="Calibri" w:eastAsia="Calibri" w:hAnsi="Calibri" w:cs="Times New Roman"/>
        </w:rPr>
      </w:pPr>
      <w:r>
        <w:rPr>
          <w:rFonts w:ascii="Calibri" w:eastAsia="Calibri" w:hAnsi="Calibri" w:cs="Times New Roman"/>
        </w:rPr>
        <w:t>The results of the final analyses indicated that</w:t>
      </w:r>
      <w:r w:rsidR="003A4D66">
        <w:rPr>
          <w:rFonts w:ascii="Calibri" w:eastAsia="Calibri" w:hAnsi="Calibri" w:cs="Times New Roman"/>
        </w:rPr>
        <w:t xml:space="preserve"> irrespective of</w:t>
      </w:r>
      <w:r w:rsidR="00E76A52">
        <w:rPr>
          <w:rFonts w:ascii="Calibri" w:eastAsia="Calibri" w:hAnsi="Calibri" w:cs="Times New Roman"/>
        </w:rPr>
        <w:t xml:space="preserve"> the</w:t>
      </w:r>
      <w:r w:rsidR="003A4D66">
        <w:rPr>
          <w:rFonts w:ascii="Calibri" w:eastAsia="Calibri" w:hAnsi="Calibri" w:cs="Times New Roman"/>
        </w:rPr>
        <w:t xml:space="preserve"> patient cohort, </w:t>
      </w:r>
      <w:r>
        <w:rPr>
          <w:rFonts w:ascii="Calibri" w:eastAsia="Calibri" w:hAnsi="Calibri" w:cs="Times New Roman"/>
        </w:rPr>
        <w:t xml:space="preserve">each of the nine </w:t>
      </w:r>
      <w:r w:rsidR="00262AE0">
        <w:rPr>
          <w:rFonts w:ascii="Calibri" w:eastAsia="Calibri" w:hAnsi="Calibri" w:cs="Times New Roman"/>
        </w:rPr>
        <w:t>Δ</w:t>
      </w:r>
      <w:r w:rsidR="00896946">
        <w:rPr>
          <w:rFonts w:ascii="Calibri" w:eastAsia="Calibri" w:hAnsi="Calibri" w:cs="Times New Roman"/>
        </w:rPr>
        <w:t>C</w:t>
      </w:r>
      <w:r w:rsidR="00872AC2">
        <w:rPr>
          <w:rFonts w:ascii="Calibri" w:eastAsia="Calibri" w:hAnsi="Calibri" w:cs="Times New Roman"/>
        </w:rPr>
        <w:t>a</w:t>
      </w:r>
      <w:r w:rsidR="00896946">
        <w:rPr>
          <w:rFonts w:ascii="Calibri" w:eastAsia="Calibri" w:hAnsi="Calibri" w:cs="Times New Roman"/>
        </w:rPr>
        <w:t>BV</w:t>
      </w:r>
      <w:r>
        <w:rPr>
          <w:rFonts w:ascii="Calibri" w:eastAsia="Calibri" w:hAnsi="Calibri" w:cs="Times New Roman"/>
        </w:rPr>
        <w:t xml:space="preserve"> estimator models was robustly correlated with sPI.</w:t>
      </w:r>
      <w:r w:rsidR="001416E3">
        <w:rPr>
          <w:rFonts w:ascii="Calibri" w:eastAsia="Calibri" w:hAnsi="Calibri" w:cs="Times New Roman"/>
        </w:rPr>
        <w:t xml:space="preserve"> </w:t>
      </w:r>
      <w:r w:rsidR="003A4D66">
        <w:rPr>
          <w:rFonts w:ascii="Calibri" w:eastAsia="Calibri" w:hAnsi="Calibri" w:cs="Times New Roman"/>
        </w:rPr>
        <w:t xml:space="preserve">However, the best-fit estimator model that was superior </w:t>
      </w:r>
      <w:r w:rsidR="0033117A">
        <w:rPr>
          <w:rFonts w:ascii="Calibri" w:eastAsia="Calibri" w:hAnsi="Calibri" w:cs="Times New Roman"/>
        </w:rPr>
        <w:t xml:space="preserve">in approximating changes in </w:t>
      </w:r>
      <w:r w:rsidR="00262AE0">
        <w:rPr>
          <w:rFonts w:ascii="Calibri" w:eastAsia="Calibri" w:hAnsi="Calibri" w:cs="Times New Roman"/>
        </w:rPr>
        <w:t xml:space="preserve">pulsatile </w:t>
      </w:r>
      <w:r w:rsidR="003051F0">
        <w:rPr>
          <w:rFonts w:ascii="Calibri" w:eastAsia="Calibri" w:hAnsi="Calibri" w:cs="Times New Roman"/>
        </w:rPr>
        <w:t>CaBV</w:t>
      </w:r>
      <w:r w:rsidR="008A2BEE">
        <w:rPr>
          <w:rFonts w:ascii="Calibri" w:eastAsia="Calibri" w:hAnsi="Calibri" w:cs="Times New Roman"/>
        </w:rPr>
        <w:t xml:space="preserve"> throughout the entire recording</w:t>
      </w:r>
      <w:r w:rsidR="0033117A">
        <w:rPr>
          <w:rFonts w:ascii="Calibri" w:eastAsia="Calibri" w:hAnsi="Calibri" w:cs="Times New Roman"/>
        </w:rPr>
        <w:t xml:space="preserve"> varied as a result of the distinct clinical profiles of these patients. </w:t>
      </w:r>
      <w:r w:rsidR="00A87DC3">
        <w:rPr>
          <w:rFonts w:ascii="Calibri" w:eastAsia="Calibri" w:hAnsi="Calibri" w:cs="Times New Roman"/>
        </w:rPr>
        <w:t xml:space="preserve">Tables </w:t>
      </w:r>
      <w:r w:rsidR="005B36FA">
        <w:rPr>
          <w:rFonts w:ascii="Calibri" w:eastAsia="Calibri" w:hAnsi="Calibri" w:cs="Times New Roman"/>
        </w:rPr>
        <w:t>2</w:t>
      </w:r>
      <w:r w:rsidR="00A87DC3">
        <w:rPr>
          <w:rFonts w:ascii="Calibri" w:eastAsia="Calibri" w:hAnsi="Calibri" w:cs="Times New Roman"/>
        </w:rPr>
        <w:t xml:space="preserve">, </w:t>
      </w:r>
      <w:r w:rsidR="005B36FA">
        <w:rPr>
          <w:rFonts w:ascii="Calibri" w:eastAsia="Calibri" w:hAnsi="Calibri" w:cs="Times New Roman"/>
        </w:rPr>
        <w:t>3</w:t>
      </w:r>
      <w:r w:rsidR="00A87DC3">
        <w:rPr>
          <w:rFonts w:ascii="Calibri" w:eastAsia="Calibri" w:hAnsi="Calibri" w:cs="Times New Roman"/>
        </w:rPr>
        <w:t xml:space="preserve">, and </w:t>
      </w:r>
      <w:r w:rsidR="005B36FA">
        <w:rPr>
          <w:rFonts w:ascii="Calibri" w:eastAsia="Calibri" w:hAnsi="Calibri" w:cs="Times New Roman"/>
        </w:rPr>
        <w:t>4</w:t>
      </w:r>
      <w:r w:rsidR="00A87DC3">
        <w:rPr>
          <w:rFonts w:ascii="Calibri" w:eastAsia="Calibri" w:hAnsi="Calibri" w:cs="Times New Roman"/>
        </w:rPr>
        <w:t xml:space="preserve"> demonstrate these trends.</w:t>
      </w:r>
    </w:p>
    <w:p w14:paraId="6A131877" w14:textId="77777777" w:rsidR="00F65E98" w:rsidRDefault="00F65E98" w:rsidP="00020ABC">
      <w:pPr>
        <w:spacing w:line="480" w:lineRule="auto"/>
        <w:ind w:firstLine="720"/>
        <w:rPr>
          <w:rFonts w:ascii="Calibri" w:eastAsia="Calibri" w:hAnsi="Calibri" w:cs="Times New Roman"/>
        </w:rPr>
      </w:pPr>
    </w:p>
    <w:p w14:paraId="1C23F00A" w14:textId="3A10878D" w:rsidR="0049682C" w:rsidRDefault="0049682C" w:rsidP="00020ABC">
      <w:pPr>
        <w:spacing w:line="480" w:lineRule="auto"/>
        <w:rPr>
          <w:rFonts w:ascii="Calibri" w:eastAsia="Calibri" w:hAnsi="Calibri" w:cs="Times New Roman"/>
          <w:i/>
        </w:rPr>
      </w:pPr>
      <w:r w:rsidRPr="0049682C">
        <w:rPr>
          <w:rFonts w:ascii="Calibri" w:eastAsia="Calibri" w:hAnsi="Calibri" w:cs="Times New Roman"/>
          <w:i/>
        </w:rPr>
        <w:t xml:space="preserve">Plateau </w:t>
      </w:r>
      <w:r w:rsidR="00442EB2">
        <w:rPr>
          <w:rFonts w:ascii="Calibri" w:eastAsia="Calibri" w:hAnsi="Calibri" w:cs="Times New Roman"/>
          <w:i/>
        </w:rPr>
        <w:t>Waves</w:t>
      </w:r>
    </w:p>
    <w:p w14:paraId="43F2FCCD" w14:textId="778A682B" w:rsidR="00200256" w:rsidRDefault="009F57BD" w:rsidP="00020ABC">
      <w:pPr>
        <w:spacing w:line="480" w:lineRule="auto"/>
        <w:rPr>
          <w:rFonts w:ascii="Calibri" w:eastAsia="Calibri" w:hAnsi="Calibri" w:cs="Times New Roman"/>
        </w:rPr>
      </w:pPr>
      <w:r>
        <w:rPr>
          <w:rFonts w:ascii="Calibri" w:eastAsia="Calibri" w:hAnsi="Calibri" w:cs="Times New Roman"/>
        </w:rPr>
        <w:lastRenderedPageBreak/>
        <w:tab/>
      </w:r>
      <w:r w:rsidR="00486286">
        <w:rPr>
          <w:rFonts w:ascii="Calibri" w:eastAsia="Calibri" w:hAnsi="Calibri" w:cs="Times New Roman"/>
        </w:rPr>
        <w:t>This cohort demonstrated high agreement between the derived and the “traditional” parameters</w:t>
      </w:r>
      <w:r w:rsidR="00F17DCD">
        <w:rPr>
          <w:rFonts w:ascii="Calibri" w:eastAsia="Calibri" w:hAnsi="Calibri" w:cs="Times New Roman"/>
        </w:rPr>
        <w:t xml:space="preserve"> </w:t>
      </w:r>
      <w:r w:rsidR="00486286">
        <w:rPr>
          <w:rFonts w:ascii="Calibri" w:eastAsia="Calibri" w:hAnsi="Calibri" w:cs="Times New Roman"/>
        </w:rPr>
        <w:t xml:space="preserve">comprising </w:t>
      </w:r>
      <w:r w:rsidR="007D331F">
        <w:rPr>
          <w:rFonts w:ascii="Calibri" w:eastAsia="Calibri" w:hAnsi="Calibri" w:cs="Times New Roman"/>
        </w:rPr>
        <w:t xml:space="preserve">the electronic circuit-inspired estimator models. </w:t>
      </w:r>
      <w:r w:rsidR="007F37F1">
        <w:rPr>
          <w:rFonts w:ascii="Calibri" w:eastAsia="Calibri" w:hAnsi="Calibri" w:cs="Times New Roman"/>
        </w:rPr>
        <w:t>The readings</w:t>
      </w:r>
      <w:r w:rsidR="00F17DCD">
        <w:rPr>
          <w:rFonts w:ascii="Calibri" w:eastAsia="Calibri" w:hAnsi="Calibri" w:cs="Times New Roman"/>
        </w:rPr>
        <w:t xml:space="preserve"> from each subgroup</w:t>
      </w:r>
      <w:r w:rsidR="007F37F1">
        <w:rPr>
          <w:rFonts w:ascii="Calibri" w:eastAsia="Calibri" w:hAnsi="Calibri" w:cs="Times New Roman"/>
        </w:rPr>
        <w:t xml:space="preserve"> were closely approximated</w:t>
      </w:r>
      <w:r w:rsidR="00F17DCD">
        <w:rPr>
          <w:rFonts w:ascii="Calibri" w:eastAsia="Calibri" w:hAnsi="Calibri" w:cs="Times New Roman"/>
        </w:rPr>
        <w:t xml:space="preserve"> to sPI</w:t>
      </w:r>
      <w:r w:rsidR="007F37F1">
        <w:rPr>
          <w:rFonts w:ascii="Calibri" w:eastAsia="Calibri" w:hAnsi="Calibri" w:cs="Times New Roman"/>
        </w:rPr>
        <w:t xml:space="preserve"> by </w:t>
      </w:r>
      <w:r w:rsidR="00F17DCD">
        <w:rPr>
          <w:rFonts w:ascii="Calibri" w:eastAsia="Calibri" w:hAnsi="Calibri" w:cs="Times New Roman"/>
        </w:rPr>
        <w:t>all of the models</w:t>
      </w:r>
      <w:r w:rsidR="00200256">
        <w:rPr>
          <w:rFonts w:ascii="Calibri" w:eastAsia="Calibri" w:hAnsi="Calibri" w:cs="Times New Roman"/>
        </w:rPr>
        <w:t xml:space="preserve"> (fully detailed in Appendix A)</w:t>
      </w:r>
      <w:r w:rsidR="00A103A6">
        <w:rPr>
          <w:rFonts w:ascii="Calibri" w:eastAsia="Calibri" w:hAnsi="Calibri" w:cs="Times New Roman"/>
        </w:rPr>
        <w:t xml:space="preserve"> </w:t>
      </w:r>
      <w:r w:rsidR="00F17DCD">
        <w:rPr>
          <w:rFonts w:ascii="Calibri" w:eastAsia="Calibri" w:hAnsi="Calibri" w:cs="Times New Roman"/>
        </w:rPr>
        <w:t>but were most strongly determined by</w:t>
      </w:r>
      <w:r w:rsidR="00783000">
        <w:rPr>
          <w:rFonts w:ascii="Calibri" w:eastAsia="Calibri" w:hAnsi="Calibri" w:cs="Times New Roman"/>
        </w:rPr>
        <w:t xml:space="preserve"> </w:t>
      </w:r>
      <w:r w:rsidR="00F17DCD">
        <w:rPr>
          <w:rFonts w:ascii="Calibri" w:eastAsia="Calibri" w:hAnsi="Calibri" w:cs="Times New Roman"/>
        </w:rPr>
        <w:t>PI_C1R</w:t>
      </w:r>
      <w:r w:rsidR="00412D83">
        <w:rPr>
          <w:rFonts w:ascii="Calibri" w:eastAsia="Calibri" w:hAnsi="Calibri" w:cs="Times New Roman"/>
        </w:rPr>
        <w:t>a</w:t>
      </w:r>
      <w:r w:rsidR="00F17DCD">
        <w:rPr>
          <w:rFonts w:ascii="Calibri" w:eastAsia="Calibri" w:hAnsi="Calibri" w:cs="Times New Roman"/>
        </w:rPr>
        <w:t xml:space="preserve">3 with an average </w:t>
      </w:r>
      <w:r w:rsidR="00F17DCD" w:rsidRPr="00F17DCD">
        <w:rPr>
          <w:rFonts w:ascii="Calibri" w:eastAsia="Calibri" w:hAnsi="Calibri" w:cs="Times New Roman"/>
          <w:i/>
        </w:rPr>
        <w:t>r</w:t>
      </w:r>
      <w:r w:rsidR="00F17DCD">
        <w:rPr>
          <w:rFonts w:ascii="Calibri" w:eastAsia="Calibri" w:hAnsi="Calibri" w:cs="Times New Roman"/>
        </w:rPr>
        <w:t>-value of 0.915 for the entire recording</w:t>
      </w:r>
      <w:r w:rsidR="00B97FBB">
        <w:rPr>
          <w:rFonts w:ascii="Calibri" w:eastAsia="Calibri" w:hAnsi="Calibri" w:cs="Times New Roman"/>
        </w:rPr>
        <w:t xml:space="preserve"> (</w:t>
      </w:r>
      <w:r w:rsidR="00C97EA0">
        <w:rPr>
          <w:rFonts w:ascii="Calibri" w:eastAsia="Calibri" w:hAnsi="Calibri" w:cs="Times New Roman"/>
        </w:rPr>
        <w:t>Figure 2)</w:t>
      </w:r>
      <w:r w:rsidR="00F17DCD">
        <w:rPr>
          <w:rFonts w:ascii="Calibri" w:eastAsia="Calibri" w:hAnsi="Calibri" w:cs="Times New Roman"/>
        </w:rPr>
        <w:t xml:space="preserve">. </w:t>
      </w:r>
      <w:r w:rsidR="00200256">
        <w:rPr>
          <w:rFonts w:ascii="Calibri" w:eastAsia="Calibri" w:hAnsi="Calibri" w:cs="Times New Roman"/>
        </w:rPr>
        <w:t xml:space="preserve">The strengths of each estimator as measured against sPI are reported in Table </w:t>
      </w:r>
      <w:r w:rsidR="005B36FA">
        <w:rPr>
          <w:rFonts w:ascii="Calibri" w:eastAsia="Calibri" w:hAnsi="Calibri" w:cs="Times New Roman"/>
        </w:rPr>
        <w:t>2</w:t>
      </w:r>
      <w:r w:rsidR="00200256">
        <w:rPr>
          <w:rFonts w:ascii="Calibri" w:eastAsia="Calibri" w:hAnsi="Calibri" w:cs="Times New Roman"/>
        </w:rPr>
        <w:t xml:space="preserve">, below. </w:t>
      </w:r>
    </w:p>
    <w:p w14:paraId="1F01547D" w14:textId="11130F49" w:rsidR="00A07FC8" w:rsidRDefault="00A07FC8" w:rsidP="00020ABC">
      <w:pPr>
        <w:spacing w:line="480" w:lineRule="auto"/>
        <w:rPr>
          <w:rFonts w:ascii="Calibri" w:eastAsia="Calibri" w:hAnsi="Calibri" w:cs="Times New Roman"/>
        </w:rPr>
      </w:pPr>
    </w:p>
    <w:p w14:paraId="233E2F20" w14:textId="77777777" w:rsidR="00A07FC8" w:rsidRDefault="00A07FC8" w:rsidP="00020ABC">
      <w:pPr>
        <w:spacing w:line="480" w:lineRule="auto"/>
        <w:rPr>
          <w:rFonts w:ascii="Calibri" w:eastAsia="Calibri" w:hAnsi="Calibri" w:cs="Times New Roman"/>
        </w:rPr>
      </w:pPr>
    </w:p>
    <w:p w14:paraId="7024B22E" w14:textId="77777777" w:rsidR="00A07FC8" w:rsidRDefault="00A07FC8" w:rsidP="00CA716A">
      <w:pPr>
        <w:rPr>
          <w:rFonts w:ascii="Calibri" w:eastAsia="Calibri" w:hAnsi="Calibri" w:cs="Times New Roman"/>
        </w:rPr>
        <w:sectPr w:rsidR="00A07FC8" w:rsidSect="0035019E">
          <w:type w:val="continuous"/>
          <w:pgSz w:w="12240" w:h="15840"/>
          <w:pgMar w:top="1440" w:right="1440" w:bottom="1440" w:left="1440" w:header="720" w:footer="720" w:gutter="0"/>
          <w:lnNumType w:countBy="1" w:restart="continuous"/>
          <w:cols w:space="720"/>
          <w:docGrid w:linePitch="360"/>
        </w:sectPr>
      </w:pPr>
    </w:p>
    <w:p w14:paraId="08EA7501" w14:textId="13CB358E" w:rsidR="00747EF8" w:rsidRDefault="00747EF8" w:rsidP="00747EF8">
      <w:bookmarkStart w:id="7" w:name="_Hlk511568223"/>
      <w:r>
        <w:lastRenderedPageBreak/>
        <w:t xml:space="preserve">Table </w:t>
      </w:r>
      <w:r w:rsidR="00367E95">
        <w:t>2</w:t>
      </w:r>
      <w:r>
        <w:t>. sPI vs. Derived PI Models in the Plateau Waves Cohort</w:t>
      </w:r>
    </w:p>
    <w:p w14:paraId="259753DF" w14:textId="77777777" w:rsidR="00747EF8" w:rsidRDefault="00747EF8" w:rsidP="00747EF8"/>
    <w:tbl>
      <w:tblPr>
        <w:tblStyle w:val="TableGrid"/>
        <w:tblW w:w="130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1010"/>
        <w:gridCol w:w="1074"/>
        <w:gridCol w:w="1074"/>
        <w:gridCol w:w="1074"/>
        <w:gridCol w:w="1083"/>
        <w:gridCol w:w="1083"/>
        <w:gridCol w:w="1074"/>
        <w:gridCol w:w="1074"/>
        <w:gridCol w:w="1074"/>
        <w:gridCol w:w="1074"/>
      </w:tblGrid>
      <w:tr w:rsidR="00747EF8" w14:paraId="6AD96164" w14:textId="77777777" w:rsidTr="00412D83">
        <w:trPr>
          <w:trHeight w:val="300"/>
        </w:trPr>
        <w:tc>
          <w:tcPr>
            <w:tcW w:w="2392" w:type="dxa"/>
            <w:noWrap/>
            <w:hideMark/>
          </w:tcPr>
          <w:p w14:paraId="397967CE" w14:textId="4C524C39" w:rsidR="00747EF8" w:rsidRDefault="00412D83">
            <w:bookmarkStart w:id="8" w:name="_Hlk511568617"/>
            <w:r>
              <w:t xml:space="preserve">                                                              </w:t>
            </w:r>
          </w:p>
        </w:tc>
        <w:tc>
          <w:tcPr>
            <w:tcW w:w="1010" w:type="dxa"/>
            <w:noWrap/>
            <w:hideMark/>
          </w:tcPr>
          <w:p w14:paraId="019022DB" w14:textId="77777777" w:rsidR="00747EF8" w:rsidRDefault="00747EF8" w:rsidP="00412D83">
            <w:pPr>
              <w:jc w:val="center"/>
              <w:rPr>
                <w:b/>
                <w:bCs/>
              </w:rPr>
            </w:pPr>
            <w:r>
              <w:rPr>
                <w:b/>
                <w:bCs/>
              </w:rPr>
              <w:t>sPI</w:t>
            </w:r>
          </w:p>
        </w:tc>
        <w:tc>
          <w:tcPr>
            <w:tcW w:w="1074" w:type="dxa"/>
            <w:noWrap/>
            <w:hideMark/>
          </w:tcPr>
          <w:p w14:paraId="1195D6F2" w14:textId="5EF4FDD4" w:rsidR="00747EF8" w:rsidRDefault="00747EF8" w:rsidP="00412D83">
            <w:pPr>
              <w:jc w:val="center"/>
              <w:rPr>
                <w:b/>
                <w:bCs/>
              </w:rPr>
            </w:pPr>
            <w:r>
              <w:rPr>
                <w:b/>
                <w:bCs/>
              </w:rPr>
              <w:t>PI_C1R</w:t>
            </w:r>
            <w:r w:rsidR="00412D83">
              <w:rPr>
                <w:b/>
                <w:bCs/>
              </w:rPr>
              <w:t>a</w:t>
            </w:r>
            <w:r>
              <w:rPr>
                <w:b/>
                <w:bCs/>
              </w:rPr>
              <w:t>1</w:t>
            </w:r>
          </w:p>
        </w:tc>
        <w:tc>
          <w:tcPr>
            <w:tcW w:w="1074" w:type="dxa"/>
            <w:noWrap/>
            <w:hideMark/>
          </w:tcPr>
          <w:p w14:paraId="3C63BBE9" w14:textId="5C33BCDE" w:rsidR="00747EF8" w:rsidRDefault="00747EF8" w:rsidP="00412D83">
            <w:pPr>
              <w:jc w:val="center"/>
              <w:rPr>
                <w:b/>
                <w:bCs/>
              </w:rPr>
            </w:pPr>
            <w:r>
              <w:rPr>
                <w:b/>
                <w:bCs/>
              </w:rPr>
              <w:t>PI_C1R</w:t>
            </w:r>
            <w:r w:rsidR="00412D83">
              <w:rPr>
                <w:b/>
                <w:bCs/>
              </w:rPr>
              <w:t>a</w:t>
            </w:r>
            <w:r>
              <w:rPr>
                <w:b/>
                <w:bCs/>
              </w:rPr>
              <w:t>2</w:t>
            </w:r>
          </w:p>
        </w:tc>
        <w:tc>
          <w:tcPr>
            <w:tcW w:w="1074" w:type="dxa"/>
            <w:noWrap/>
            <w:hideMark/>
          </w:tcPr>
          <w:p w14:paraId="592CAF40" w14:textId="44DCBC22" w:rsidR="00747EF8" w:rsidRDefault="00747EF8" w:rsidP="00412D83">
            <w:pPr>
              <w:jc w:val="center"/>
              <w:rPr>
                <w:b/>
                <w:bCs/>
              </w:rPr>
            </w:pPr>
            <w:r>
              <w:rPr>
                <w:b/>
                <w:bCs/>
              </w:rPr>
              <w:t>PI_C1R</w:t>
            </w:r>
            <w:r w:rsidR="00412D83">
              <w:rPr>
                <w:b/>
                <w:bCs/>
              </w:rPr>
              <w:t>a</w:t>
            </w:r>
            <w:r>
              <w:rPr>
                <w:b/>
                <w:bCs/>
              </w:rPr>
              <w:t>3</w:t>
            </w:r>
          </w:p>
        </w:tc>
        <w:tc>
          <w:tcPr>
            <w:tcW w:w="1083" w:type="dxa"/>
            <w:noWrap/>
            <w:hideMark/>
          </w:tcPr>
          <w:p w14:paraId="224C0511" w14:textId="43B0B8F9" w:rsidR="00747EF8" w:rsidRDefault="00747EF8" w:rsidP="00412D83">
            <w:pPr>
              <w:jc w:val="center"/>
              <w:rPr>
                <w:b/>
                <w:bCs/>
              </w:rPr>
            </w:pPr>
            <w:r>
              <w:rPr>
                <w:b/>
                <w:bCs/>
              </w:rPr>
              <w:t>PI_C2R</w:t>
            </w:r>
            <w:r w:rsidR="00412D83">
              <w:rPr>
                <w:b/>
                <w:bCs/>
              </w:rPr>
              <w:t>a</w:t>
            </w:r>
            <w:r>
              <w:rPr>
                <w:b/>
                <w:bCs/>
              </w:rPr>
              <w:t>1</w:t>
            </w:r>
          </w:p>
        </w:tc>
        <w:tc>
          <w:tcPr>
            <w:tcW w:w="1083" w:type="dxa"/>
            <w:noWrap/>
            <w:hideMark/>
          </w:tcPr>
          <w:p w14:paraId="596B1658" w14:textId="6DB4FD0C" w:rsidR="00747EF8" w:rsidRDefault="00747EF8" w:rsidP="00412D83">
            <w:pPr>
              <w:jc w:val="center"/>
              <w:rPr>
                <w:b/>
                <w:bCs/>
              </w:rPr>
            </w:pPr>
            <w:r>
              <w:rPr>
                <w:b/>
                <w:bCs/>
              </w:rPr>
              <w:t>PI_C2R</w:t>
            </w:r>
            <w:r w:rsidR="00412D83">
              <w:rPr>
                <w:b/>
                <w:bCs/>
              </w:rPr>
              <w:t>a</w:t>
            </w:r>
            <w:r>
              <w:rPr>
                <w:b/>
                <w:bCs/>
              </w:rPr>
              <w:t>2</w:t>
            </w:r>
          </w:p>
        </w:tc>
        <w:tc>
          <w:tcPr>
            <w:tcW w:w="1074" w:type="dxa"/>
            <w:noWrap/>
            <w:hideMark/>
          </w:tcPr>
          <w:p w14:paraId="7C451E82" w14:textId="535CB855" w:rsidR="00747EF8" w:rsidRDefault="00747EF8" w:rsidP="00412D83">
            <w:pPr>
              <w:jc w:val="center"/>
              <w:rPr>
                <w:b/>
                <w:bCs/>
              </w:rPr>
            </w:pPr>
            <w:r>
              <w:rPr>
                <w:b/>
                <w:bCs/>
              </w:rPr>
              <w:t>PI_C2R</w:t>
            </w:r>
            <w:r w:rsidR="00412D83">
              <w:rPr>
                <w:b/>
                <w:bCs/>
              </w:rPr>
              <w:t>a</w:t>
            </w:r>
            <w:r>
              <w:rPr>
                <w:b/>
                <w:bCs/>
              </w:rPr>
              <w:t>3</w:t>
            </w:r>
          </w:p>
        </w:tc>
        <w:tc>
          <w:tcPr>
            <w:tcW w:w="1074" w:type="dxa"/>
            <w:noWrap/>
            <w:hideMark/>
          </w:tcPr>
          <w:p w14:paraId="02B05AB0" w14:textId="6B5099FC" w:rsidR="00747EF8" w:rsidRDefault="00747EF8" w:rsidP="00412D83">
            <w:pPr>
              <w:jc w:val="center"/>
              <w:rPr>
                <w:b/>
                <w:bCs/>
              </w:rPr>
            </w:pPr>
            <w:r>
              <w:rPr>
                <w:b/>
                <w:bCs/>
              </w:rPr>
              <w:t>PI_C3R</w:t>
            </w:r>
            <w:r w:rsidR="00412D83">
              <w:rPr>
                <w:b/>
                <w:bCs/>
              </w:rPr>
              <w:t>a</w:t>
            </w:r>
            <w:r>
              <w:rPr>
                <w:b/>
                <w:bCs/>
              </w:rPr>
              <w:t>1</w:t>
            </w:r>
          </w:p>
        </w:tc>
        <w:tc>
          <w:tcPr>
            <w:tcW w:w="1074" w:type="dxa"/>
            <w:noWrap/>
            <w:hideMark/>
          </w:tcPr>
          <w:p w14:paraId="4293D659" w14:textId="2FA88207" w:rsidR="00747EF8" w:rsidRDefault="00747EF8" w:rsidP="00412D83">
            <w:pPr>
              <w:jc w:val="center"/>
              <w:rPr>
                <w:b/>
                <w:bCs/>
              </w:rPr>
            </w:pPr>
            <w:r>
              <w:rPr>
                <w:b/>
                <w:bCs/>
              </w:rPr>
              <w:t>PI_C3R</w:t>
            </w:r>
            <w:r w:rsidR="00412D83">
              <w:rPr>
                <w:b/>
                <w:bCs/>
              </w:rPr>
              <w:t>a</w:t>
            </w:r>
            <w:r>
              <w:rPr>
                <w:b/>
                <w:bCs/>
              </w:rPr>
              <w:t>2</w:t>
            </w:r>
          </w:p>
        </w:tc>
        <w:tc>
          <w:tcPr>
            <w:tcW w:w="1074" w:type="dxa"/>
            <w:noWrap/>
            <w:hideMark/>
          </w:tcPr>
          <w:p w14:paraId="3C92E7F4" w14:textId="5121F4FE" w:rsidR="00747EF8" w:rsidRDefault="00747EF8" w:rsidP="00412D83">
            <w:pPr>
              <w:jc w:val="center"/>
              <w:rPr>
                <w:b/>
                <w:bCs/>
              </w:rPr>
            </w:pPr>
            <w:r>
              <w:rPr>
                <w:b/>
                <w:bCs/>
              </w:rPr>
              <w:t>PI_C3R</w:t>
            </w:r>
            <w:r w:rsidR="00412D83">
              <w:rPr>
                <w:b/>
                <w:bCs/>
              </w:rPr>
              <w:t>a</w:t>
            </w:r>
            <w:r>
              <w:rPr>
                <w:b/>
                <w:bCs/>
              </w:rPr>
              <w:t>3</w:t>
            </w:r>
          </w:p>
        </w:tc>
        <w:bookmarkEnd w:id="8"/>
      </w:tr>
      <w:tr w:rsidR="00747EF8" w14:paraId="67824200" w14:textId="77777777" w:rsidTr="00412D83">
        <w:trPr>
          <w:trHeight w:val="300"/>
        </w:trPr>
        <w:tc>
          <w:tcPr>
            <w:tcW w:w="2392" w:type="dxa"/>
            <w:noWrap/>
            <w:hideMark/>
          </w:tcPr>
          <w:p w14:paraId="307A2CCB" w14:textId="77777777" w:rsidR="00747EF8" w:rsidRDefault="00747EF8">
            <w:pPr>
              <w:rPr>
                <w:b/>
                <w:bCs/>
              </w:rPr>
            </w:pPr>
          </w:p>
        </w:tc>
        <w:tc>
          <w:tcPr>
            <w:tcW w:w="1010" w:type="dxa"/>
            <w:noWrap/>
            <w:hideMark/>
          </w:tcPr>
          <w:p w14:paraId="5A153E23" w14:textId="77777777" w:rsidR="00747EF8" w:rsidRDefault="00747EF8">
            <w:pPr>
              <w:rPr>
                <w:sz w:val="20"/>
                <w:szCs w:val="20"/>
              </w:rPr>
            </w:pPr>
          </w:p>
        </w:tc>
        <w:tc>
          <w:tcPr>
            <w:tcW w:w="1074" w:type="dxa"/>
            <w:noWrap/>
            <w:hideMark/>
          </w:tcPr>
          <w:p w14:paraId="7BFDAF1C" w14:textId="77777777" w:rsidR="00747EF8" w:rsidRDefault="00747EF8">
            <w:pPr>
              <w:rPr>
                <w:sz w:val="20"/>
                <w:szCs w:val="20"/>
              </w:rPr>
            </w:pPr>
          </w:p>
        </w:tc>
        <w:tc>
          <w:tcPr>
            <w:tcW w:w="1074" w:type="dxa"/>
            <w:noWrap/>
            <w:hideMark/>
          </w:tcPr>
          <w:p w14:paraId="4E33C2AD" w14:textId="77777777" w:rsidR="00747EF8" w:rsidRDefault="00747EF8">
            <w:pPr>
              <w:rPr>
                <w:sz w:val="20"/>
                <w:szCs w:val="20"/>
              </w:rPr>
            </w:pPr>
          </w:p>
        </w:tc>
        <w:tc>
          <w:tcPr>
            <w:tcW w:w="1074" w:type="dxa"/>
            <w:noWrap/>
            <w:hideMark/>
          </w:tcPr>
          <w:p w14:paraId="32C04A47" w14:textId="77777777" w:rsidR="00747EF8" w:rsidRDefault="00747EF8">
            <w:pPr>
              <w:rPr>
                <w:sz w:val="20"/>
                <w:szCs w:val="20"/>
              </w:rPr>
            </w:pPr>
          </w:p>
        </w:tc>
        <w:tc>
          <w:tcPr>
            <w:tcW w:w="1083" w:type="dxa"/>
            <w:noWrap/>
            <w:hideMark/>
          </w:tcPr>
          <w:p w14:paraId="15EE610F" w14:textId="77777777" w:rsidR="00747EF8" w:rsidRDefault="00747EF8">
            <w:pPr>
              <w:rPr>
                <w:sz w:val="20"/>
                <w:szCs w:val="20"/>
              </w:rPr>
            </w:pPr>
          </w:p>
        </w:tc>
        <w:tc>
          <w:tcPr>
            <w:tcW w:w="1083" w:type="dxa"/>
            <w:noWrap/>
            <w:hideMark/>
          </w:tcPr>
          <w:p w14:paraId="750E3910" w14:textId="77777777" w:rsidR="00747EF8" w:rsidRDefault="00747EF8">
            <w:pPr>
              <w:rPr>
                <w:sz w:val="20"/>
                <w:szCs w:val="20"/>
              </w:rPr>
            </w:pPr>
          </w:p>
        </w:tc>
        <w:tc>
          <w:tcPr>
            <w:tcW w:w="1074" w:type="dxa"/>
            <w:noWrap/>
            <w:hideMark/>
          </w:tcPr>
          <w:p w14:paraId="3DB018FE" w14:textId="77777777" w:rsidR="00747EF8" w:rsidRDefault="00747EF8">
            <w:pPr>
              <w:rPr>
                <w:sz w:val="20"/>
                <w:szCs w:val="20"/>
              </w:rPr>
            </w:pPr>
          </w:p>
        </w:tc>
        <w:tc>
          <w:tcPr>
            <w:tcW w:w="1074" w:type="dxa"/>
            <w:noWrap/>
            <w:hideMark/>
          </w:tcPr>
          <w:p w14:paraId="27BB9D9E" w14:textId="77777777" w:rsidR="00747EF8" w:rsidRDefault="00747EF8">
            <w:pPr>
              <w:rPr>
                <w:sz w:val="20"/>
                <w:szCs w:val="20"/>
              </w:rPr>
            </w:pPr>
          </w:p>
        </w:tc>
        <w:tc>
          <w:tcPr>
            <w:tcW w:w="1074" w:type="dxa"/>
            <w:noWrap/>
            <w:hideMark/>
          </w:tcPr>
          <w:p w14:paraId="639A8BF7" w14:textId="77777777" w:rsidR="00747EF8" w:rsidRDefault="00747EF8">
            <w:pPr>
              <w:rPr>
                <w:sz w:val="20"/>
                <w:szCs w:val="20"/>
              </w:rPr>
            </w:pPr>
          </w:p>
        </w:tc>
        <w:tc>
          <w:tcPr>
            <w:tcW w:w="1074" w:type="dxa"/>
            <w:noWrap/>
            <w:hideMark/>
          </w:tcPr>
          <w:p w14:paraId="3AF86D34" w14:textId="77777777" w:rsidR="00747EF8" w:rsidRDefault="00747EF8">
            <w:pPr>
              <w:rPr>
                <w:sz w:val="20"/>
                <w:szCs w:val="20"/>
              </w:rPr>
            </w:pPr>
          </w:p>
        </w:tc>
      </w:tr>
    </w:tbl>
    <w:p w14:paraId="0B2AD93D" w14:textId="77777777" w:rsidR="00747EF8" w:rsidRDefault="00747EF8" w:rsidP="00747EF8"/>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1026"/>
        <w:gridCol w:w="1042"/>
        <w:gridCol w:w="1057"/>
        <w:gridCol w:w="1042"/>
        <w:gridCol w:w="1101"/>
        <w:gridCol w:w="1101"/>
        <w:gridCol w:w="1057"/>
        <w:gridCol w:w="1057"/>
        <w:gridCol w:w="1027"/>
        <w:gridCol w:w="1013"/>
      </w:tblGrid>
      <w:tr w:rsidR="00747EF8" w14:paraId="654FE396" w14:textId="77777777" w:rsidTr="00747EF8">
        <w:trPr>
          <w:trHeight w:val="300"/>
        </w:trPr>
        <w:tc>
          <w:tcPr>
            <w:tcW w:w="2437" w:type="dxa"/>
            <w:noWrap/>
            <w:hideMark/>
          </w:tcPr>
          <w:p w14:paraId="05DCA778" w14:textId="77777777" w:rsidR="00747EF8" w:rsidRDefault="00747EF8">
            <w:pPr>
              <w:rPr>
                <w:i/>
                <w:iCs/>
              </w:rPr>
            </w:pPr>
            <w:r>
              <w:rPr>
                <w:i/>
                <w:iCs/>
              </w:rPr>
              <w:t>Entire Recording</w:t>
            </w:r>
          </w:p>
        </w:tc>
        <w:tc>
          <w:tcPr>
            <w:tcW w:w="1026" w:type="dxa"/>
            <w:noWrap/>
            <w:hideMark/>
          </w:tcPr>
          <w:p w14:paraId="7D1163CF" w14:textId="77777777" w:rsidR="00747EF8" w:rsidRDefault="00747EF8">
            <w:pPr>
              <w:rPr>
                <w:i/>
                <w:iCs/>
              </w:rPr>
            </w:pPr>
          </w:p>
        </w:tc>
        <w:tc>
          <w:tcPr>
            <w:tcW w:w="1042" w:type="dxa"/>
            <w:noWrap/>
            <w:hideMark/>
          </w:tcPr>
          <w:p w14:paraId="1F2EE567" w14:textId="77777777" w:rsidR="00747EF8" w:rsidRDefault="00747EF8">
            <w:pPr>
              <w:rPr>
                <w:sz w:val="20"/>
                <w:szCs w:val="20"/>
              </w:rPr>
            </w:pPr>
          </w:p>
        </w:tc>
        <w:tc>
          <w:tcPr>
            <w:tcW w:w="1057" w:type="dxa"/>
            <w:noWrap/>
            <w:hideMark/>
          </w:tcPr>
          <w:p w14:paraId="652354CA" w14:textId="77777777" w:rsidR="00747EF8" w:rsidRDefault="00747EF8">
            <w:pPr>
              <w:rPr>
                <w:sz w:val="20"/>
                <w:szCs w:val="20"/>
              </w:rPr>
            </w:pPr>
          </w:p>
        </w:tc>
        <w:tc>
          <w:tcPr>
            <w:tcW w:w="1042" w:type="dxa"/>
            <w:noWrap/>
            <w:hideMark/>
          </w:tcPr>
          <w:p w14:paraId="1778C850" w14:textId="77777777" w:rsidR="00747EF8" w:rsidRDefault="00747EF8">
            <w:pPr>
              <w:rPr>
                <w:sz w:val="20"/>
                <w:szCs w:val="20"/>
              </w:rPr>
            </w:pPr>
          </w:p>
        </w:tc>
        <w:tc>
          <w:tcPr>
            <w:tcW w:w="1101" w:type="dxa"/>
            <w:noWrap/>
            <w:hideMark/>
          </w:tcPr>
          <w:p w14:paraId="0FA9735E" w14:textId="77777777" w:rsidR="00747EF8" w:rsidRDefault="00747EF8">
            <w:pPr>
              <w:rPr>
                <w:sz w:val="20"/>
                <w:szCs w:val="20"/>
              </w:rPr>
            </w:pPr>
          </w:p>
        </w:tc>
        <w:tc>
          <w:tcPr>
            <w:tcW w:w="1101" w:type="dxa"/>
            <w:noWrap/>
            <w:hideMark/>
          </w:tcPr>
          <w:p w14:paraId="72BB8981" w14:textId="77777777" w:rsidR="00747EF8" w:rsidRDefault="00747EF8">
            <w:pPr>
              <w:rPr>
                <w:sz w:val="20"/>
                <w:szCs w:val="20"/>
              </w:rPr>
            </w:pPr>
          </w:p>
        </w:tc>
        <w:tc>
          <w:tcPr>
            <w:tcW w:w="1057" w:type="dxa"/>
            <w:noWrap/>
            <w:hideMark/>
          </w:tcPr>
          <w:p w14:paraId="1F970816" w14:textId="77777777" w:rsidR="00747EF8" w:rsidRDefault="00747EF8">
            <w:pPr>
              <w:rPr>
                <w:sz w:val="20"/>
                <w:szCs w:val="20"/>
              </w:rPr>
            </w:pPr>
          </w:p>
        </w:tc>
        <w:tc>
          <w:tcPr>
            <w:tcW w:w="1057" w:type="dxa"/>
            <w:noWrap/>
            <w:hideMark/>
          </w:tcPr>
          <w:p w14:paraId="001DEEF7" w14:textId="77777777" w:rsidR="00747EF8" w:rsidRDefault="00747EF8">
            <w:pPr>
              <w:rPr>
                <w:sz w:val="20"/>
                <w:szCs w:val="20"/>
              </w:rPr>
            </w:pPr>
          </w:p>
        </w:tc>
        <w:tc>
          <w:tcPr>
            <w:tcW w:w="1027" w:type="dxa"/>
            <w:noWrap/>
            <w:hideMark/>
          </w:tcPr>
          <w:p w14:paraId="17652B56" w14:textId="77777777" w:rsidR="00747EF8" w:rsidRDefault="00747EF8">
            <w:pPr>
              <w:rPr>
                <w:sz w:val="20"/>
                <w:szCs w:val="20"/>
              </w:rPr>
            </w:pPr>
          </w:p>
        </w:tc>
        <w:tc>
          <w:tcPr>
            <w:tcW w:w="1013" w:type="dxa"/>
            <w:noWrap/>
            <w:hideMark/>
          </w:tcPr>
          <w:p w14:paraId="1F3C3F2A" w14:textId="77777777" w:rsidR="00747EF8" w:rsidRDefault="00747EF8">
            <w:pPr>
              <w:rPr>
                <w:sz w:val="20"/>
                <w:szCs w:val="20"/>
              </w:rPr>
            </w:pPr>
          </w:p>
        </w:tc>
      </w:tr>
      <w:tr w:rsidR="00747EF8" w14:paraId="13447029" w14:textId="77777777" w:rsidTr="00747EF8">
        <w:trPr>
          <w:trHeight w:val="198"/>
        </w:trPr>
        <w:tc>
          <w:tcPr>
            <w:tcW w:w="2437" w:type="dxa"/>
            <w:noWrap/>
            <w:hideMark/>
          </w:tcPr>
          <w:p w14:paraId="44DADFC9" w14:textId="77777777" w:rsidR="00747EF8" w:rsidRDefault="00747EF8">
            <w:pPr>
              <w:rPr>
                <w:sz w:val="20"/>
                <w:szCs w:val="20"/>
              </w:rPr>
            </w:pPr>
          </w:p>
        </w:tc>
        <w:tc>
          <w:tcPr>
            <w:tcW w:w="1026" w:type="dxa"/>
            <w:noWrap/>
            <w:hideMark/>
          </w:tcPr>
          <w:p w14:paraId="1BC80A3F" w14:textId="77777777" w:rsidR="00747EF8" w:rsidRDefault="00747EF8">
            <w:pPr>
              <w:rPr>
                <w:sz w:val="20"/>
                <w:szCs w:val="20"/>
              </w:rPr>
            </w:pPr>
          </w:p>
        </w:tc>
        <w:tc>
          <w:tcPr>
            <w:tcW w:w="1042" w:type="dxa"/>
            <w:noWrap/>
            <w:hideMark/>
          </w:tcPr>
          <w:p w14:paraId="643DDFC3" w14:textId="77777777" w:rsidR="00747EF8" w:rsidRDefault="00747EF8">
            <w:pPr>
              <w:rPr>
                <w:sz w:val="20"/>
                <w:szCs w:val="20"/>
              </w:rPr>
            </w:pPr>
          </w:p>
        </w:tc>
        <w:tc>
          <w:tcPr>
            <w:tcW w:w="1057" w:type="dxa"/>
            <w:noWrap/>
            <w:hideMark/>
          </w:tcPr>
          <w:p w14:paraId="34BE239E" w14:textId="77777777" w:rsidR="00747EF8" w:rsidRDefault="00747EF8">
            <w:pPr>
              <w:rPr>
                <w:sz w:val="20"/>
                <w:szCs w:val="20"/>
              </w:rPr>
            </w:pPr>
          </w:p>
        </w:tc>
        <w:tc>
          <w:tcPr>
            <w:tcW w:w="1042" w:type="dxa"/>
            <w:noWrap/>
            <w:hideMark/>
          </w:tcPr>
          <w:p w14:paraId="7D692DD3" w14:textId="77777777" w:rsidR="00747EF8" w:rsidRDefault="00747EF8">
            <w:pPr>
              <w:rPr>
                <w:sz w:val="20"/>
                <w:szCs w:val="20"/>
              </w:rPr>
            </w:pPr>
          </w:p>
        </w:tc>
        <w:tc>
          <w:tcPr>
            <w:tcW w:w="1101" w:type="dxa"/>
            <w:noWrap/>
            <w:hideMark/>
          </w:tcPr>
          <w:p w14:paraId="470FF827" w14:textId="77777777" w:rsidR="00747EF8" w:rsidRDefault="00747EF8">
            <w:pPr>
              <w:rPr>
                <w:sz w:val="20"/>
                <w:szCs w:val="20"/>
              </w:rPr>
            </w:pPr>
          </w:p>
        </w:tc>
        <w:tc>
          <w:tcPr>
            <w:tcW w:w="1101" w:type="dxa"/>
            <w:noWrap/>
            <w:hideMark/>
          </w:tcPr>
          <w:p w14:paraId="4AAFDDCA" w14:textId="77777777" w:rsidR="00747EF8" w:rsidRDefault="00747EF8">
            <w:pPr>
              <w:rPr>
                <w:sz w:val="20"/>
                <w:szCs w:val="20"/>
              </w:rPr>
            </w:pPr>
          </w:p>
        </w:tc>
        <w:tc>
          <w:tcPr>
            <w:tcW w:w="1057" w:type="dxa"/>
            <w:noWrap/>
            <w:hideMark/>
          </w:tcPr>
          <w:p w14:paraId="57DC5E41" w14:textId="77777777" w:rsidR="00747EF8" w:rsidRDefault="00747EF8">
            <w:pPr>
              <w:rPr>
                <w:sz w:val="20"/>
                <w:szCs w:val="20"/>
              </w:rPr>
            </w:pPr>
          </w:p>
        </w:tc>
        <w:tc>
          <w:tcPr>
            <w:tcW w:w="1057" w:type="dxa"/>
            <w:noWrap/>
            <w:hideMark/>
          </w:tcPr>
          <w:p w14:paraId="3C18D594" w14:textId="77777777" w:rsidR="00747EF8" w:rsidRDefault="00747EF8">
            <w:pPr>
              <w:rPr>
                <w:sz w:val="20"/>
                <w:szCs w:val="20"/>
              </w:rPr>
            </w:pPr>
          </w:p>
        </w:tc>
        <w:tc>
          <w:tcPr>
            <w:tcW w:w="1027" w:type="dxa"/>
            <w:noWrap/>
            <w:hideMark/>
          </w:tcPr>
          <w:p w14:paraId="1FC6732C" w14:textId="77777777" w:rsidR="00747EF8" w:rsidRDefault="00747EF8">
            <w:pPr>
              <w:rPr>
                <w:sz w:val="20"/>
                <w:szCs w:val="20"/>
              </w:rPr>
            </w:pPr>
          </w:p>
        </w:tc>
        <w:tc>
          <w:tcPr>
            <w:tcW w:w="1013" w:type="dxa"/>
            <w:noWrap/>
            <w:hideMark/>
          </w:tcPr>
          <w:p w14:paraId="1B3D21C0" w14:textId="77777777" w:rsidR="00747EF8" w:rsidRDefault="00747EF8">
            <w:pPr>
              <w:rPr>
                <w:sz w:val="20"/>
                <w:szCs w:val="20"/>
              </w:rPr>
            </w:pPr>
          </w:p>
        </w:tc>
      </w:tr>
      <w:tr w:rsidR="00747EF8" w14:paraId="7F211DEF" w14:textId="77777777" w:rsidTr="00747EF8">
        <w:trPr>
          <w:trHeight w:val="300"/>
        </w:trPr>
        <w:tc>
          <w:tcPr>
            <w:tcW w:w="2437" w:type="dxa"/>
            <w:noWrap/>
            <w:hideMark/>
          </w:tcPr>
          <w:p w14:paraId="438F8B38" w14:textId="77777777" w:rsidR="00747EF8" w:rsidRDefault="00747EF8">
            <w:pPr>
              <w:rPr>
                <w:sz w:val="20"/>
                <w:szCs w:val="20"/>
              </w:rPr>
            </w:pPr>
          </w:p>
        </w:tc>
        <w:tc>
          <w:tcPr>
            <w:tcW w:w="1026" w:type="dxa"/>
            <w:noWrap/>
            <w:hideMark/>
          </w:tcPr>
          <w:p w14:paraId="74DCB144" w14:textId="77777777" w:rsidR="00747EF8" w:rsidRDefault="00747EF8">
            <w:pPr>
              <w:rPr>
                <w:sz w:val="20"/>
                <w:szCs w:val="20"/>
              </w:rPr>
            </w:pPr>
          </w:p>
        </w:tc>
        <w:tc>
          <w:tcPr>
            <w:tcW w:w="1042" w:type="dxa"/>
            <w:noWrap/>
            <w:hideMark/>
          </w:tcPr>
          <w:p w14:paraId="51897A4F" w14:textId="77777777" w:rsidR="00747EF8" w:rsidRDefault="00747EF8">
            <w:pPr>
              <w:rPr>
                <w:sz w:val="20"/>
                <w:szCs w:val="20"/>
              </w:rPr>
            </w:pPr>
          </w:p>
        </w:tc>
        <w:tc>
          <w:tcPr>
            <w:tcW w:w="1057" w:type="dxa"/>
            <w:noWrap/>
            <w:hideMark/>
          </w:tcPr>
          <w:p w14:paraId="2226053D" w14:textId="77777777" w:rsidR="00747EF8" w:rsidRDefault="00747EF8">
            <w:pPr>
              <w:rPr>
                <w:sz w:val="20"/>
                <w:szCs w:val="20"/>
              </w:rPr>
            </w:pPr>
          </w:p>
        </w:tc>
        <w:tc>
          <w:tcPr>
            <w:tcW w:w="1042" w:type="dxa"/>
            <w:noWrap/>
            <w:hideMark/>
          </w:tcPr>
          <w:p w14:paraId="27A3B527" w14:textId="77777777" w:rsidR="00747EF8" w:rsidRDefault="00747EF8">
            <w:pPr>
              <w:rPr>
                <w:sz w:val="20"/>
                <w:szCs w:val="20"/>
              </w:rPr>
            </w:pPr>
          </w:p>
        </w:tc>
        <w:tc>
          <w:tcPr>
            <w:tcW w:w="1101" w:type="dxa"/>
            <w:noWrap/>
            <w:hideMark/>
          </w:tcPr>
          <w:p w14:paraId="4E69514A" w14:textId="77777777" w:rsidR="00747EF8" w:rsidRDefault="00747EF8">
            <w:pPr>
              <w:rPr>
                <w:sz w:val="20"/>
                <w:szCs w:val="20"/>
              </w:rPr>
            </w:pPr>
          </w:p>
        </w:tc>
        <w:tc>
          <w:tcPr>
            <w:tcW w:w="1101" w:type="dxa"/>
            <w:noWrap/>
            <w:hideMark/>
          </w:tcPr>
          <w:p w14:paraId="39605F99" w14:textId="77777777" w:rsidR="00747EF8" w:rsidRDefault="00747EF8">
            <w:pPr>
              <w:rPr>
                <w:sz w:val="20"/>
                <w:szCs w:val="20"/>
              </w:rPr>
            </w:pPr>
          </w:p>
        </w:tc>
        <w:tc>
          <w:tcPr>
            <w:tcW w:w="1057" w:type="dxa"/>
            <w:noWrap/>
            <w:hideMark/>
          </w:tcPr>
          <w:p w14:paraId="414030A5" w14:textId="77777777" w:rsidR="00747EF8" w:rsidRDefault="00747EF8">
            <w:pPr>
              <w:rPr>
                <w:sz w:val="20"/>
                <w:szCs w:val="20"/>
              </w:rPr>
            </w:pPr>
          </w:p>
        </w:tc>
        <w:tc>
          <w:tcPr>
            <w:tcW w:w="1057" w:type="dxa"/>
            <w:noWrap/>
            <w:hideMark/>
          </w:tcPr>
          <w:p w14:paraId="56970F65" w14:textId="77777777" w:rsidR="00747EF8" w:rsidRDefault="00747EF8">
            <w:pPr>
              <w:rPr>
                <w:sz w:val="20"/>
                <w:szCs w:val="20"/>
              </w:rPr>
            </w:pPr>
          </w:p>
        </w:tc>
        <w:tc>
          <w:tcPr>
            <w:tcW w:w="1027" w:type="dxa"/>
            <w:noWrap/>
            <w:hideMark/>
          </w:tcPr>
          <w:p w14:paraId="7C366D47" w14:textId="77777777" w:rsidR="00747EF8" w:rsidRDefault="00747EF8">
            <w:pPr>
              <w:rPr>
                <w:sz w:val="20"/>
                <w:szCs w:val="20"/>
              </w:rPr>
            </w:pPr>
          </w:p>
        </w:tc>
        <w:tc>
          <w:tcPr>
            <w:tcW w:w="1013" w:type="dxa"/>
            <w:noWrap/>
            <w:hideMark/>
          </w:tcPr>
          <w:p w14:paraId="4F0B49F5" w14:textId="77777777" w:rsidR="00747EF8" w:rsidRDefault="00747EF8">
            <w:pPr>
              <w:rPr>
                <w:sz w:val="20"/>
                <w:szCs w:val="20"/>
              </w:rPr>
            </w:pPr>
          </w:p>
        </w:tc>
      </w:tr>
      <w:tr w:rsidR="00747EF8" w14:paraId="44802A59" w14:textId="77777777" w:rsidTr="00747EF8">
        <w:trPr>
          <w:trHeight w:val="300"/>
        </w:trPr>
        <w:tc>
          <w:tcPr>
            <w:tcW w:w="2437" w:type="dxa"/>
            <w:noWrap/>
            <w:hideMark/>
          </w:tcPr>
          <w:p w14:paraId="3486432D" w14:textId="77777777" w:rsidR="00747EF8" w:rsidRDefault="00747EF8">
            <w:r>
              <w:t>Mean</w:t>
            </w:r>
          </w:p>
        </w:tc>
        <w:tc>
          <w:tcPr>
            <w:tcW w:w="1026" w:type="dxa"/>
            <w:noWrap/>
            <w:hideMark/>
          </w:tcPr>
          <w:p w14:paraId="1DCBD7D0" w14:textId="77777777" w:rsidR="00747EF8" w:rsidRDefault="00747EF8">
            <w:pPr>
              <w:jc w:val="center"/>
            </w:pPr>
            <w:r>
              <w:t>0.340</w:t>
            </w:r>
          </w:p>
        </w:tc>
        <w:tc>
          <w:tcPr>
            <w:tcW w:w="1042" w:type="dxa"/>
            <w:noWrap/>
            <w:hideMark/>
          </w:tcPr>
          <w:p w14:paraId="3022FE76" w14:textId="77777777" w:rsidR="00747EF8" w:rsidRDefault="00747EF8">
            <w:pPr>
              <w:jc w:val="center"/>
            </w:pPr>
            <w:r>
              <w:t>0.639</w:t>
            </w:r>
          </w:p>
        </w:tc>
        <w:tc>
          <w:tcPr>
            <w:tcW w:w="1057" w:type="dxa"/>
            <w:noWrap/>
            <w:hideMark/>
          </w:tcPr>
          <w:p w14:paraId="4988BBAD" w14:textId="77777777" w:rsidR="00747EF8" w:rsidRDefault="00747EF8">
            <w:pPr>
              <w:jc w:val="center"/>
            </w:pPr>
            <w:r>
              <w:t>0.369</w:t>
            </w:r>
          </w:p>
        </w:tc>
        <w:tc>
          <w:tcPr>
            <w:tcW w:w="1042" w:type="dxa"/>
            <w:noWrap/>
            <w:hideMark/>
          </w:tcPr>
          <w:p w14:paraId="1D94A847" w14:textId="77777777" w:rsidR="00747EF8" w:rsidRDefault="00747EF8">
            <w:pPr>
              <w:jc w:val="center"/>
            </w:pPr>
            <w:r>
              <w:t>0.448</w:t>
            </w:r>
          </w:p>
        </w:tc>
        <w:tc>
          <w:tcPr>
            <w:tcW w:w="1101" w:type="dxa"/>
            <w:noWrap/>
            <w:hideMark/>
          </w:tcPr>
          <w:p w14:paraId="6B0869C2" w14:textId="77777777" w:rsidR="00747EF8" w:rsidRDefault="00747EF8">
            <w:pPr>
              <w:jc w:val="center"/>
            </w:pPr>
            <w:r>
              <w:t>0.459</w:t>
            </w:r>
          </w:p>
        </w:tc>
        <w:tc>
          <w:tcPr>
            <w:tcW w:w="1101" w:type="dxa"/>
            <w:noWrap/>
            <w:hideMark/>
          </w:tcPr>
          <w:p w14:paraId="3CCE19A2" w14:textId="77777777" w:rsidR="00747EF8" w:rsidRDefault="00747EF8">
            <w:pPr>
              <w:jc w:val="center"/>
            </w:pPr>
            <w:r>
              <w:t>0.326</w:t>
            </w:r>
          </w:p>
        </w:tc>
        <w:tc>
          <w:tcPr>
            <w:tcW w:w="1057" w:type="dxa"/>
            <w:noWrap/>
            <w:hideMark/>
          </w:tcPr>
          <w:p w14:paraId="49BA33E4" w14:textId="77777777" w:rsidR="00747EF8" w:rsidRDefault="00747EF8">
            <w:pPr>
              <w:jc w:val="center"/>
            </w:pPr>
            <w:r>
              <w:t>0.343</w:t>
            </w:r>
          </w:p>
        </w:tc>
        <w:tc>
          <w:tcPr>
            <w:tcW w:w="1057" w:type="dxa"/>
            <w:noWrap/>
            <w:hideMark/>
          </w:tcPr>
          <w:p w14:paraId="07659C15" w14:textId="77777777" w:rsidR="00747EF8" w:rsidRDefault="00747EF8">
            <w:pPr>
              <w:jc w:val="center"/>
            </w:pPr>
            <w:r>
              <w:t>0.428</w:t>
            </w:r>
          </w:p>
        </w:tc>
        <w:tc>
          <w:tcPr>
            <w:tcW w:w="1027" w:type="dxa"/>
            <w:noWrap/>
            <w:hideMark/>
          </w:tcPr>
          <w:p w14:paraId="60217478" w14:textId="77777777" w:rsidR="00747EF8" w:rsidRDefault="00747EF8">
            <w:pPr>
              <w:jc w:val="center"/>
            </w:pPr>
            <w:r>
              <w:t>0.325</w:t>
            </w:r>
          </w:p>
        </w:tc>
        <w:tc>
          <w:tcPr>
            <w:tcW w:w="1013" w:type="dxa"/>
            <w:noWrap/>
            <w:hideMark/>
          </w:tcPr>
          <w:p w14:paraId="7E7E0B30" w14:textId="77777777" w:rsidR="00747EF8" w:rsidRDefault="00747EF8">
            <w:pPr>
              <w:jc w:val="center"/>
            </w:pPr>
            <w:r>
              <w:t>0.329</w:t>
            </w:r>
          </w:p>
        </w:tc>
      </w:tr>
      <w:tr w:rsidR="00747EF8" w14:paraId="1ADA9B91" w14:textId="77777777" w:rsidTr="00747EF8">
        <w:trPr>
          <w:trHeight w:val="300"/>
        </w:trPr>
        <w:tc>
          <w:tcPr>
            <w:tcW w:w="2437" w:type="dxa"/>
            <w:noWrap/>
            <w:hideMark/>
          </w:tcPr>
          <w:p w14:paraId="03E56031" w14:textId="77777777" w:rsidR="00747EF8" w:rsidRDefault="00747EF8"/>
        </w:tc>
        <w:tc>
          <w:tcPr>
            <w:tcW w:w="1026" w:type="dxa"/>
            <w:noWrap/>
            <w:hideMark/>
          </w:tcPr>
          <w:p w14:paraId="11A7F2B3" w14:textId="77777777" w:rsidR="00747EF8" w:rsidRDefault="00747EF8">
            <w:pPr>
              <w:rPr>
                <w:sz w:val="20"/>
                <w:szCs w:val="20"/>
              </w:rPr>
            </w:pPr>
          </w:p>
        </w:tc>
        <w:tc>
          <w:tcPr>
            <w:tcW w:w="1042" w:type="dxa"/>
            <w:noWrap/>
            <w:hideMark/>
          </w:tcPr>
          <w:p w14:paraId="731667A9" w14:textId="77777777" w:rsidR="00747EF8" w:rsidRDefault="00747EF8">
            <w:pPr>
              <w:rPr>
                <w:sz w:val="20"/>
                <w:szCs w:val="20"/>
              </w:rPr>
            </w:pPr>
          </w:p>
        </w:tc>
        <w:tc>
          <w:tcPr>
            <w:tcW w:w="1057" w:type="dxa"/>
            <w:noWrap/>
            <w:hideMark/>
          </w:tcPr>
          <w:p w14:paraId="3D93A5CC" w14:textId="77777777" w:rsidR="00747EF8" w:rsidRDefault="00747EF8">
            <w:pPr>
              <w:rPr>
                <w:sz w:val="20"/>
                <w:szCs w:val="20"/>
              </w:rPr>
            </w:pPr>
          </w:p>
        </w:tc>
        <w:tc>
          <w:tcPr>
            <w:tcW w:w="1042" w:type="dxa"/>
            <w:noWrap/>
            <w:hideMark/>
          </w:tcPr>
          <w:p w14:paraId="644C500F" w14:textId="77777777" w:rsidR="00747EF8" w:rsidRDefault="00747EF8">
            <w:pPr>
              <w:rPr>
                <w:sz w:val="20"/>
                <w:szCs w:val="20"/>
              </w:rPr>
            </w:pPr>
          </w:p>
        </w:tc>
        <w:tc>
          <w:tcPr>
            <w:tcW w:w="1101" w:type="dxa"/>
            <w:noWrap/>
            <w:hideMark/>
          </w:tcPr>
          <w:p w14:paraId="5EA83E31" w14:textId="77777777" w:rsidR="00747EF8" w:rsidRDefault="00747EF8">
            <w:pPr>
              <w:rPr>
                <w:sz w:val="20"/>
                <w:szCs w:val="20"/>
              </w:rPr>
            </w:pPr>
          </w:p>
        </w:tc>
        <w:tc>
          <w:tcPr>
            <w:tcW w:w="1101" w:type="dxa"/>
            <w:noWrap/>
            <w:hideMark/>
          </w:tcPr>
          <w:p w14:paraId="7766C978" w14:textId="77777777" w:rsidR="00747EF8" w:rsidRDefault="00747EF8">
            <w:pPr>
              <w:rPr>
                <w:sz w:val="20"/>
                <w:szCs w:val="20"/>
              </w:rPr>
            </w:pPr>
          </w:p>
        </w:tc>
        <w:tc>
          <w:tcPr>
            <w:tcW w:w="1057" w:type="dxa"/>
            <w:noWrap/>
            <w:hideMark/>
          </w:tcPr>
          <w:p w14:paraId="3D4C0179" w14:textId="77777777" w:rsidR="00747EF8" w:rsidRDefault="00747EF8">
            <w:pPr>
              <w:rPr>
                <w:sz w:val="20"/>
                <w:szCs w:val="20"/>
              </w:rPr>
            </w:pPr>
          </w:p>
        </w:tc>
        <w:tc>
          <w:tcPr>
            <w:tcW w:w="1057" w:type="dxa"/>
            <w:noWrap/>
            <w:hideMark/>
          </w:tcPr>
          <w:p w14:paraId="27E1429E" w14:textId="77777777" w:rsidR="00747EF8" w:rsidRDefault="00747EF8">
            <w:pPr>
              <w:rPr>
                <w:sz w:val="20"/>
                <w:szCs w:val="20"/>
              </w:rPr>
            </w:pPr>
          </w:p>
        </w:tc>
        <w:tc>
          <w:tcPr>
            <w:tcW w:w="1027" w:type="dxa"/>
            <w:noWrap/>
            <w:hideMark/>
          </w:tcPr>
          <w:p w14:paraId="07C58211" w14:textId="77777777" w:rsidR="00747EF8" w:rsidRDefault="00747EF8">
            <w:pPr>
              <w:rPr>
                <w:sz w:val="20"/>
                <w:szCs w:val="20"/>
              </w:rPr>
            </w:pPr>
          </w:p>
        </w:tc>
        <w:tc>
          <w:tcPr>
            <w:tcW w:w="1013" w:type="dxa"/>
            <w:noWrap/>
            <w:hideMark/>
          </w:tcPr>
          <w:p w14:paraId="3F1B7169" w14:textId="77777777" w:rsidR="00747EF8" w:rsidRDefault="00747EF8">
            <w:pPr>
              <w:rPr>
                <w:sz w:val="20"/>
                <w:szCs w:val="20"/>
              </w:rPr>
            </w:pPr>
          </w:p>
        </w:tc>
      </w:tr>
      <w:tr w:rsidR="00747EF8" w14:paraId="2A1C3DDC" w14:textId="77777777" w:rsidTr="00747EF8">
        <w:trPr>
          <w:trHeight w:val="300"/>
        </w:trPr>
        <w:tc>
          <w:tcPr>
            <w:tcW w:w="2437" w:type="dxa"/>
            <w:noWrap/>
            <w:hideMark/>
          </w:tcPr>
          <w:p w14:paraId="4F8EDC05" w14:textId="77777777" w:rsidR="00747EF8" w:rsidRDefault="00747EF8">
            <w:r>
              <w:t>Standard Deviation</w:t>
            </w:r>
          </w:p>
        </w:tc>
        <w:tc>
          <w:tcPr>
            <w:tcW w:w="1026" w:type="dxa"/>
            <w:noWrap/>
            <w:hideMark/>
          </w:tcPr>
          <w:p w14:paraId="369B9D8F" w14:textId="77777777" w:rsidR="00747EF8" w:rsidRDefault="00747EF8">
            <w:pPr>
              <w:jc w:val="center"/>
            </w:pPr>
            <w:r>
              <w:t>0.176</w:t>
            </w:r>
          </w:p>
        </w:tc>
        <w:tc>
          <w:tcPr>
            <w:tcW w:w="1042" w:type="dxa"/>
            <w:noWrap/>
            <w:hideMark/>
          </w:tcPr>
          <w:p w14:paraId="0AF84674" w14:textId="77777777" w:rsidR="00747EF8" w:rsidRDefault="00747EF8">
            <w:pPr>
              <w:jc w:val="center"/>
            </w:pPr>
            <w:r>
              <w:t>0.392</w:t>
            </w:r>
          </w:p>
        </w:tc>
        <w:tc>
          <w:tcPr>
            <w:tcW w:w="1057" w:type="dxa"/>
            <w:noWrap/>
            <w:hideMark/>
          </w:tcPr>
          <w:p w14:paraId="71B378E6" w14:textId="77777777" w:rsidR="00747EF8" w:rsidRDefault="00747EF8">
            <w:pPr>
              <w:jc w:val="center"/>
            </w:pPr>
            <w:r>
              <w:t>0.119</w:t>
            </w:r>
          </w:p>
        </w:tc>
        <w:tc>
          <w:tcPr>
            <w:tcW w:w="1042" w:type="dxa"/>
            <w:noWrap/>
            <w:hideMark/>
          </w:tcPr>
          <w:p w14:paraId="0D320891" w14:textId="77777777" w:rsidR="00747EF8" w:rsidRDefault="00747EF8">
            <w:pPr>
              <w:jc w:val="center"/>
            </w:pPr>
            <w:r>
              <w:t>0.147</w:t>
            </w:r>
          </w:p>
        </w:tc>
        <w:tc>
          <w:tcPr>
            <w:tcW w:w="1101" w:type="dxa"/>
            <w:noWrap/>
            <w:hideMark/>
          </w:tcPr>
          <w:p w14:paraId="537F63A3" w14:textId="77777777" w:rsidR="00747EF8" w:rsidRDefault="00747EF8">
            <w:pPr>
              <w:jc w:val="center"/>
            </w:pPr>
            <w:r>
              <w:t>0.311</w:t>
            </w:r>
          </w:p>
        </w:tc>
        <w:tc>
          <w:tcPr>
            <w:tcW w:w="1101" w:type="dxa"/>
            <w:noWrap/>
            <w:hideMark/>
          </w:tcPr>
          <w:p w14:paraId="591E508F" w14:textId="77777777" w:rsidR="00747EF8" w:rsidRDefault="00747EF8">
            <w:pPr>
              <w:jc w:val="center"/>
            </w:pPr>
            <w:r>
              <w:t>0.182</w:t>
            </w:r>
          </w:p>
        </w:tc>
        <w:tc>
          <w:tcPr>
            <w:tcW w:w="1057" w:type="dxa"/>
            <w:noWrap/>
            <w:hideMark/>
          </w:tcPr>
          <w:p w14:paraId="7B0570D0" w14:textId="77777777" w:rsidR="00747EF8" w:rsidRDefault="00747EF8">
            <w:pPr>
              <w:jc w:val="center"/>
            </w:pPr>
            <w:r>
              <w:t>0.134</w:t>
            </w:r>
          </w:p>
        </w:tc>
        <w:tc>
          <w:tcPr>
            <w:tcW w:w="1057" w:type="dxa"/>
            <w:noWrap/>
            <w:hideMark/>
          </w:tcPr>
          <w:p w14:paraId="1AC5C6DD" w14:textId="77777777" w:rsidR="00747EF8" w:rsidRDefault="00747EF8">
            <w:pPr>
              <w:jc w:val="center"/>
            </w:pPr>
            <w:r>
              <w:t>0.281</w:t>
            </w:r>
          </w:p>
        </w:tc>
        <w:tc>
          <w:tcPr>
            <w:tcW w:w="1027" w:type="dxa"/>
            <w:noWrap/>
            <w:hideMark/>
          </w:tcPr>
          <w:p w14:paraId="306AC3F5" w14:textId="77777777" w:rsidR="00747EF8" w:rsidRDefault="00747EF8">
            <w:pPr>
              <w:jc w:val="center"/>
            </w:pPr>
            <w:r>
              <w:t>0.212</w:t>
            </w:r>
          </w:p>
        </w:tc>
        <w:tc>
          <w:tcPr>
            <w:tcW w:w="1013" w:type="dxa"/>
            <w:noWrap/>
            <w:hideMark/>
          </w:tcPr>
          <w:p w14:paraId="0AEC6646" w14:textId="77777777" w:rsidR="00747EF8" w:rsidRDefault="00747EF8">
            <w:pPr>
              <w:jc w:val="center"/>
            </w:pPr>
            <w:r>
              <w:t>0.128</w:t>
            </w:r>
          </w:p>
        </w:tc>
      </w:tr>
      <w:tr w:rsidR="00747EF8" w14:paraId="2E43ACE7" w14:textId="77777777" w:rsidTr="00747EF8">
        <w:trPr>
          <w:trHeight w:val="300"/>
        </w:trPr>
        <w:tc>
          <w:tcPr>
            <w:tcW w:w="2437" w:type="dxa"/>
            <w:noWrap/>
            <w:hideMark/>
          </w:tcPr>
          <w:p w14:paraId="187DDDC4" w14:textId="77777777" w:rsidR="00747EF8" w:rsidRDefault="00747EF8"/>
        </w:tc>
        <w:tc>
          <w:tcPr>
            <w:tcW w:w="1026" w:type="dxa"/>
            <w:noWrap/>
            <w:hideMark/>
          </w:tcPr>
          <w:p w14:paraId="2FB16E90" w14:textId="77777777" w:rsidR="00747EF8" w:rsidRDefault="00747EF8">
            <w:pPr>
              <w:rPr>
                <w:sz w:val="20"/>
                <w:szCs w:val="20"/>
              </w:rPr>
            </w:pPr>
          </w:p>
        </w:tc>
        <w:tc>
          <w:tcPr>
            <w:tcW w:w="1042" w:type="dxa"/>
            <w:noWrap/>
            <w:hideMark/>
          </w:tcPr>
          <w:p w14:paraId="44EB534B" w14:textId="77777777" w:rsidR="00747EF8" w:rsidRDefault="00747EF8">
            <w:pPr>
              <w:rPr>
                <w:sz w:val="20"/>
                <w:szCs w:val="20"/>
              </w:rPr>
            </w:pPr>
          </w:p>
        </w:tc>
        <w:tc>
          <w:tcPr>
            <w:tcW w:w="1057" w:type="dxa"/>
            <w:noWrap/>
            <w:hideMark/>
          </w:tcPr>
          <w:p w14:paraId="12E73AF1" w14:textId="77777777" w:rsidR="00747EF8" w:rsidRDefault="00747EF8">
            <w:pPr>
              <w:rPr>
                <w:sz w:val="20"/>
                <w:szCs w:val="20"/>
              </w:rPr>
            </w:pPr>
          </w:p>
        </w:tc>
        <w:tc>
          <w:tcPr>
            <w:tcW w:w="1042" w:type="dxa"/>
            <w:noWrap/>
            <w:hideMark/>
          </w:tcPr>
          <w:p w14:paraId="4BCCE918" w14:textId="77777777" w:rsidR="00747EF8" w:rsidRDefault="00747EF8">
            <w:pPr>
              <w:rPr>
                <w:sz w:val="20"/>
                <w:szCs w:val="20"/>
              </w:rPr>
            </w:pPr>
          </w:p>
        </w:tc>
        <w:tc>
          <w:tcPr>
            <w:tcW w:w="1101" w:type="dxa"/>
            <w:noWrap/>
            <w:hideMark/>
          </w:tcPr>
          <w:p w14:paraId="0F172ABE" w14:textId="77777777" w:rsidR="00747EF8" w:rsidRDefault="00747EF8">
            <w:pPr>
              <w:rPr>
                <w:sz w:val="20"/>
                <w:szCs w:val="20"/>
              </w:rPr>
            </w:pPr>
          </w:p>
        </w:tc>
        <w:tc>
          <w:tcPr>
            <w:tcW w:w="1101" w:type="dxa"/>
            <w:noWrap/>
            <w:hideMark/>
          </w:tcPr>
          <w:p w14:paraId="06CF7984" w14:textId="77777777" w:rsidR="00747EF8" w:rsidRDefault="00747EF8">
            <w:pPr>
              <w:rPr>
                <w:sz w:val="20"/>
                <w:szCs w:val="20"/>
              </w:rPr>
            </w:pPr>
          </w:p>
        </w:tc>
        <w:tc>
          <w:tcPr>
            <w:tcW w:w="1057" w:type="dxa"/>
            <w:noWrap/>
            <w:hideMark/>
          </w:tcPr>
          <w:p w14:paraId="60758329" w14:textId="77777777" w:rsidR="00747EF8" w:rsidRDefault="00747EF8">
            <w:pPr>
              <w:rPr>
                <w:sz w:val="20"/>
                <w:szCs w:val="20"/>
              </w:rPr>
            </w:pPr>
          </w:p>
        </w:tc>
        <w:tc>
          <w:tcPr>
            <w:tcW w:w="1057" w:type="dxa"/>
            <w:noWrap/>
            <w:hideMark/>
          </w:tcPr>
          <w:p w14:paraId="17359D4E" w14:textId="77777777" w:rsidR="00747EF8" w:rsidRDefault="00747EF8">
            <w:pPr>
              <w:rPr>
                <w:sz w:val="20"/>
                <w:szCs w:val="20"/>
              </w:rPr>
            </w:pPr>
          </w:p>
        </w:tc>
        <w:tc>
          <w:tcPr>
            <w:tcW w:w="1027" w:type="dxa"/>
            <w:noWrap/>
            <w:hideMark/>
          </w:tcPr>
          <w:p w14:paraId="7EE071E7" w14:textId="77777777" w:rsidR="00747EF8" w:rsidRDefault="00747EF8">
            <w:pPr>
              <w:rPr>
                <w:sz w:val="20"/>
                <w:szCs w:val="20"/>
              </w:rPr>
            </w:pPr>
          </w:p>
        </w:tc>
        <w:tc>
          <w:tcPr>
            <w:tcW w:w="1013" w:type="dxa"/>
            <w:noWrap/>
            <w:hideMark/>
          </w:tcPr>
          <w:p w14:paraId="037EB072" w14:textId="77777777" w:rsidR="00747EF8" w:rsidRDefault="00747EF8">
            <w:pPr>
              <w:rPr>
                <w:sz w:val="20"/>
                <w:szCs w:val="20"/>
              </w:rPr>
            </w:pPr>
          </w:p>
        </w:tc>
      </w:tr>
      <w:tr w:rsidR="00747EF8" w14:paraId="1C43B728" w14:textId="77777777" w:rsidTr="00747EF8">
        <w:trPr>
          <w:trHeight w:val="300"/>
        </w:trPr>
        <w:tc>
          <w:tcPr>
            <w:tcW w:w="2437" w:type="dxa"/>
            <w:noWrap/>
            <w:hideMark/>
          </w:tcPr>
          <w:p w14:paraId="754CE930" w14:textId="77777777" w:rsidR="00747EF8" w:rsidRDefault="00747EF8">
            <w:r>
              <w:t>Bland Altman Mean</w:t>
            </w:r>
          </w:p>
        </w:tc>
        <w:tc>
          <w:tcPr>
            <w:tcW w:w="1026" w:type="dxa"/>
            <w:noWrap/>
            <w:hideMark/>
          </w:tcPr>
          <w:p w14:paraId="229ADD63" w14:textId="77777777" w:rsidR="00747EF8" w:rsidRDefault="00747EF8">
            <w:pPr>
              <w:jc w:val="center"/>
            </w:pPr>
            <w:r>
              <w:t>---</w:t>
            </w:r>
          </w:p>
        </w:tc>
        <w:tc>
          <w:tcPr>
            <w:tcW w:w="1042" w:type="dxa"/>
            <w:noWrap/>
            <w:hideMark/>
          </w:tcPr>
          <w:p w14:paraId="2A2BD7B0" w14:textId="77777777" w:rsidR="00747EF8" w:rsidRDefault="00747EF8">
            <w:pPr>
              <w:jc w:val="center"/>
            </w:pPr>
            <w:r>
              <w:t>-0.299</w:t>
            </w:r>
          </w:p>
        </w:tc>
        <w:tc>
          <w:tcPr>
            <w:tcW w:w="1057" w:type="dxa"/>
            <w:noWrap/>
            <w:hideMark/>
          </w:tcPr>
          <w:p w14:paraId="6EFE41AB" w14:textId="77777777" w:rsidR="00747EF8" w:rsidRDefault="00747EF8">
            <w:pPr>
              <w:jc w:val="center"/>
            </w:pPr>
            <w:r>
              <w:t>-0.028</w:t>
            </w:r>
          </w:p>
        </w:tc>
        <w:tc>
          <w:tcPr>
            <w:tcW w:w="1042" w:type="dxa"/>
            <w:noWrap/>
            <w:hideMark/>
          </w:tcPr>
          <w:p w14:paraId="2B2A28F2" w14:textId="170AA704" w:rsidR="00747EF8" w:rsidRDefault="00747EF8">
            <w:pPr>
              <w:jc w:val="center"/>
            </w:pPr>
            <w:r>
              <w:t>-0.08</w:t>
            </w:r>
            <w:r w:rsidR="00611552">
              <w:t>4</w:t>
            </w:r>
          </w:p>
        </w:tc>
        <w:tc>
          <w:tcPr>
            <w:tcW w:w="1101" w:type="dxa"/>
            <w:noWrap/>
            <w:hideMark/>
          </w:tcPr>
          <w:p w14:paraId="0B718E14" w14:textId="77777777" w:rsidR="00747EF8" w:rsidRDefault="00747EF8">
            <w:pPr>
              <w:jc w:val="center"/>
            </w:pPr>
            <w:r>
              <w:t>-0.119</w:t>
            </w:r>
          </w:p>
        </w:tc>
        <w:tc>
          <w:tcPr>
            <w:tcW w:w="1101" w:type="dxa"/>
            <w:noWrap/>
            <w:hideMark/>
          </w:tcPr>
          <w:p w14:paraId="1E6457A8" w14:textId="77777777" w:rsidR="00747EF8" w:rsidRDefault="00747EF8">
            <w:pPr>
              <w:jc w:val="center"/>
            </w:pPr>
            <w:r>
              <w:t>0.014</w:t>
            </w:r>
          </w:p>
        </w:tc>
        <w:tc>
          <w:tcPr>
            <w:tcW w:w="1057" w:type="dxa"/>
            <w:noWrap/>
            <w:hideMark/>
          </w:tcPr>
          <w:p w14:paraId="0A8378F7" w14:textId="77777777" w:rsidR="00747EF8" w:rsidRDefault="00747EF8">
            <w:pPr>
              <w:jc w:val="center"/>
            </w:pPr>
            <w:r>
              <w:t>-0.002</w:t>
            </w:r>
          </w:p>
        </w:tc>
        <w:tc>
          <w:tcPr>
            <w:tcW w:w="1057" w:type="dxa"/>
            <w:noWrap/>
            <w:hideMark/>
          </w:tcPr>
          <w:p w14:paraId="70C4404B" w14:textId="77777777" w:rsidR="00747EF8" w:rsidRDefault="00747EF8">
            <w:pPr>
              <w:jc w:val="center"/>
            </w:pPr>
            <w:r>
              <w:t>-0.088</w:t>
            </w:r>
          </w:p>
        </w:tc>
        <w:tc>
          <w:tcPr>
            <w:tcW w:w="1027" w:type="dxa"/>
            <w:noWrap/>
            <w:hideMark/>
          </w:tcPr>
          <w:p w14:paraId="33E36FAA" w14:textId="77777777" w:rsidR="00747EF8" w:rsidRDefault="00747EF8">
            <w:pPr>
              <w:jc w:val="center"/>
            </w:pPr>
            <w:r>
              <w:t>-0.015</w:t>
            </w:r>
          </w:p>
        </w:tc>
        <w:tc>
          <w:tcPr>
            <w:tcW w:w="1013" w:type="dxa"/>
            <w:noWrap/>
            <w:hideMark/>
          </w:tcPr>
          <w:p w14:paraId="373F8E52" w14:textId="77777777" w:rsidR="00747EF8" w:rsidRDefault="00747EF8">
            <w:pPr>
              <w:jc w:val="center"/>
            </w:pPr>
            <w:r>
              <w:t>0.012</w:t>
            </w:r>
          </w:p>
        </w:tc>
      </w:tr>
      <w:tr w:rsidR="00747EF8" w14:paraId="16908A65" w14:textId="77777777" w:rsidTr="00747EF8">
        <w:trPr>
          <w:trHeight w:val="300"/>
        </w:trPr>
        <w:tc>
          <w:tcPr>
            <w:tcW w:w="2437" w:type="dxa"/>
            <w:noWrap/>
            <w:hideMark/>
          </w:tcPr>
          <w:p w14:paraId="6CD64B6D" w14:textId="77777777" w:rsidR="00747EF8" w:rsidRDefault="00747EF8"/>
        </w:tc>
        <w:tc>
          <w:tcPr>
            <w:tcW w:w="1026" w:type="dxa"/>
            <w:noWrap/>
            <w:hideMark/>
          </w:tcPr>
          <w:p w14:paraId="741882E4" w14:textId="77777777" w:rsidR="00747EF8" w:rsidRDefault="00747EF8">
            <w:pPr>
              <w:rPr>
                <w:sz w:val="20"/>
                <w:szCs w:val="20"/>
              </w:rPr>
            </w:pPr>
          </w:p>
        </w:tc>
        <w:tc>
          <w:tcPr>
            <w:tcW w:w="1042" w:type="dxa"/>
            <w:noWrap/>
            <w:hideMark/>
          </w:tcPr>
          <w:p w14:paraId="6B624D0D" w14:textId="77777777" w:rsidR="00747EF8" w:rsidRDefault="00747EF8">
            <w:pPr>
              <w:rPr>
                <w:sz w:val="20"/>
                <w:szCs w:val="20"/>
              </w:rPr>
            </w:pPr>
          </w:p>
        </w:tc>
        <w:tc>
          <w:tcPr>
            <w:tcW w:w="1057" w:type="dxa"/>
            <w:noWrap/>
            <w:hideMark/>
          </w:tcPr>
          <w:p w14:paraId="3532DF0A" w14:textId="77777777" w:rsidR="00747EF8" w:rsidRDefault="00747EF8">
            <w:pPr>
              <w:rPr>
                <w:sz w:val="20"/>
                <w:szCs w:val="20"/>
              </w:rPr>
            </w:pPr>
          </w:p>
        </w:tc>
        <w:tc>
          <w:tcPr>
            <w:tcW w:w="1042" w:type="dxa"/>
            <w:noWrap/>
            <w:hideMark/>
          </w:tcPr>
          <w:p w14:paraId="7BA34B16" w14:textId="77777777" w:rsidR="00747EF8" w:rsidRDefault="00747EF8">
            <w:pPr>
              <w:rPr>
                <w:sz w:val="20"/>
                <w:szCs w:val="20"/>
              </w:rPr>
            </w:pPr>
          </w:p>
        </w:tc>
        <w:tc>
          <w:tcPr>
            <w:tcW w:w="1101" w:type="dxa"/>
            <w:noWrap/>
            <w:hideMark/>
          </w:tcPr>
          <w:p w14:paraId="42847DA2" w14:textId="77777777" w:rsidR="00747EF8" w:rsidRDefault="00747EF8">
            <w:pPr>
              <w:rPr>
                <w:sz w:val="20"/>
                <w:szCs w:val="20"/>
              </w:rPr>
            </w:pPr>
          </w:p>
        </w:tc>
        <w:tc>
          <w:tcPr>
            <w:tcW w:w="1101" w:type="dxa"/>
            <w:noWrap/>
            <w:hideMark/>
          </w:tcPr>
          <w:p w14:paraId="6FD48664" w14:textId="77777777" w:rsidR="00747EF8" w:rsidRDefault="00747EF8">
            <w:pPr>
              <w:rPr>
                <w:sz w:val="20"/>
                <w:szCs w:val="20"/>
              </w:rPr>
            </w:pPr>
          </w:p>
        </w:tc>
        <w:tc>
          <w:tcPr>
            <w:tcW w:w="1057" w:type="dxa"/>
            <w:noWrap/>
            <w:hideMark/>
          </w:tcPr>
          <w:p w14:paraId="4734A2AA" w14:textId="77777777" w:rsidR="00747EF8" w:rsidRDefault="00747EF8">
            <w:pPr>
              <w:rPr>
                <w:sz w:val="20"/>
                <w:szCs w:val="20"/>
              </w:rPr>
            </w:pPr>
          </w:p>
        </w:tc>
        <w:tc>
          <w:tcPr>
            <w:tcW w:w="1057" w:type="dxa"/>
            <w:noWrap/>
            <w:hideMark/>
          </w:tcPr>
          <w:p w14:paraId="495122CF" w14:textId="77777777" w:rsidR="00747EF8" w:rsidRDefault="00747EF8">
            <w:pPr>
              <w:rPr>
                <w:sz w:val="20"/>
                <w:szCs w:val="20"/>
              </w:rPr>
            </w:pPr>
          </w:p>
        </w:tc>
        <w:tc>
          <w:tcPr>
            <w:tcW w:w="1027" w:type="dxa"/>
            <w:noWrap/>
            <w:hideMark/>
          </w:tcPr>
          <w:p w14:paraId="48B12AE0" w14:textId="77777777" w:rsidR="00747EF8" w:rsidRDefault="00747EF8">
            <w:pPr>
              <w:rPr>
                <w:sz w:val="20"/>
                <w:szCs w:val="20"/>
              </w:rPr>
            </w:pPr>
          </w:p>
        </w:tc>
        <w:tc>
          <w:tcPr>
            <w:tcW w:w="1013" w:type="dxa"/>
            <w:noWrap/>
            <w:hideMark/>
          </w:tcPr>
          <w:p w14:paraId="4FC6BEBF" w14:textId="77777777" w:rsidR="00747EF8" w:rsidRDefault="00747EF8">
            <w:pPr>
              <w:rPr>
                <w:sz w:val="20"/>
                <w:szCs w:val="20"/>
              </w:rPr>
            </w:pPr>
          </w:p>
        </w:tc>
      </w:tr>
      <w:tr w:rsidR="00747EF8" w14:paraId="13CABB4B" w14:textId="77777777" w:rsidTr="00747EF8">
        <w:trPr>
          <w:trHeight w:val="300"/>
        </w:trPr>
        <w:tc>
          <w:tcPr>
            <w:tcW w:w="2437" w:type="dxa"/>
            <w:noWrap/>
            <w:hideMark/>
          </w:tcPr>
          <w:p w14:paraId="4219F279" w14:textId="77777777" w:rsidR="00747EF8" w:rsidRDefault="00747EF8">
            <w:r>
              <w:t>Bland Altman Critical Difference</w:t>
            </w:r>
          </w:p>
        </w:tc>
        <w:tc>
          <w:tcPr>
            <w:tcW w:w="1026" w:type="dxa"/>
            <w:noWrap/>
            <w:hideMark/>
          </w:tcPr>
          <w:p w14:paraId="7877E51E" w14:textId="77777777" w:rsidR="00747EF8" w:rsidRDefault="00747EF8">
            <w:pPr>
              <w:jc w:val="center"/>
            </w:pPr>
            <w:r>
              <w:t>---</w:t>
            </w:r>
          </w:p>
        </w:tc>
        <w:tc>
          <w:tcPr>
            <w:tcW w:w="1042" w:type="dxa"/>
            <w:noWrap/>
            <w:hideMark/>
          </w:tcPr>
          <w:p w14:paraId="2A9DB5F2" w14:textId="77777777" w:rsidR="00747EF8" w:rsidRDefault="00747EF8">
            <w:pPr>
              <w:jc w:val="center"/>
            </w:pPr>
            <w:r>
              <w:t>0.548</w:t>
            </w:r>
          </w:p>
        </w:tc>
        <w:tc>
          <w:tcPr>
            <w:tcW w:w="1057" w:type="dxa"/>
            <w:noWrap/>
            <w:hideMark/>
          </w:tcPr>
          <w:p w14:paraId="7F59DD1A" w14:textId="77777777" w:rsidR="00747EF8" w:rsidRDefault="00747EF8">
            <w:pPr>
              <w:jc w:val="center"/>
            </w:pPr>
            <w:r>
              <w:t>0.337</w:t>
            </w:r>
          </w:p>
        </w:tc>
        <w:tc>
          <w:tcPr>
            <w:tcW w:w="1042" w:type="dxa"/>
            <w:noWrap/>
            <w:hideMark/>
          </w:tcPr>
          <w:p w14:paraId="358426A2" w14:textId="2778760F" w:rsidR="00747EF8" w:rsidRDefault="00747EF8">
            <w:pPr>
              <w:jc w:val="center"/>
            </w:pPr>
            <w:r>
              <w:t>0.</w:t>
            </w:r>
            <w:r w:rsidR="00611552">
              <w:t>17</w:t>
            </w:r>
          </w:p>
        </w:tc>
        <w:tc>
          <w:tcPr>
            <w:tcW w:w="1101" w:type="dxa"/>
            <w:noWrap/>
            <w:hideMark/>
          </w:tcPr>
          <w:p w14:paraId="29CAD5D1" w14:textId="77777777" w:rsidR="00747EF8" w:rsidRDefault="00747EF8">
            <w:pPr>
              <w:jc w:val="center"/>
            </w:pPr>
            <w:r>
              <w:t>0.506</w:t>
            </w:r>
          </w:p>
        </w:tc>
        <w:tc>
          <w:tcPr>
            <w:tcW w:w="1101" w:type="dxa"/>
            <w:noWrap/>
            <w:hideMark/>
          </w:tcPr>
          <w:p w14:paraId="657978E8" w14:textId="77777777" w:rsidR="00747EF8" w:rsidRDefault="00747EF8">
            <w:pPr>
              <w:jc w:val="center"/>
            </w:pPr>
            <w:r>
              <w:t>0.538</w:t>
            </w:r>
          </w:p>
        </w:tc>
        <w:tc>
          <w:tcPr>
            <w:tcW w:w="1057" w:type="dxa"/>
            <w:noWrap/>
            <w:hideMark/>
          </w:tcPr>
          <w:p w14:paraId="00204F27" w14:textId="77777777" w:rsidR="00747EF8" w:rsidRDefault="00747EF8">
            <w:pPr>
              <w:jc w:val="center"/>
            </w:pPr>
            <w:r>
              <w:t>0.306</w:t>
            </w:r>
          </w:p>
        </w:tc>
        <w:tc>
          <w:tcPr>
            <w:tcW w:w="1057" w:type="dxa"/>
            <w:noWrap/>
            <w:hideMark/>
          </w:tcPr>
          <w:p w14:paraId="728929BC" w14:textId="77777777" w:rsidR="00747EF8" w:rsidRDefault="00747EF8">
            <w:pPr>
              <w:jc w:val="center"/>
            </w:pPr>
            <w:r>
              <w:t>0.501</w:t>
            </w:r>
          </w:p>
        </w:tc>
        <w:tc>
          <w:tcPr>
            <w:tcW w:w="1027" w:type="dxa"/>
            <w:noWrap/>
            <w:hideMark/>
          </w:tcPr>
          <w:p w14:paraId="131315B3" w14:textId="77777777" w:rsidR="00747EF8" w:rsidRDefault="00747EF8">
            <w:pPr>
              <w:jc w:val="center"/>
            </w:pPr>
            <w:r>
              <w:t>0.610</w:t>
            </w:r>
          </w:p>
        </w:tc>
        <w:tc>
          <w:tcPr>
            <w:tcW w:w="1013" w:type="dxa"/>
            <w:noWrap/>
            <w:hideMark/>
          </w:tcPr>
          <w:p w14:paraId="5E343464" w14:textId="77777777" w:rsidR="00747EF8" w:rsidRDefault="00747EF8">
            <w:pPr>
              <w:jc w:val="center"/>
            </w:pPr>
            <w:r>
              <w:t>0.333</w:t>
            </w:r>
          </w:p>
        </w:tc>
      </w:tr>
      <w:tr w:rsidR="00747EF8" w14:paraId="2FFA0D4A" w14:textId="77777777" w:rsidTr="00747EF8">
        <w:trPr>
          <w:trHeight w:val="300"/>
        </w:trPr>
        <w:tc>
          <w:tcPr>
            <w:tcW w:w="2437" w:type="dxa"/>
            <w:noWrap/>
            <w:hideMark/>
          </w:tcPr>
          <w:p w14:paraId="637FF35A" w14:textId="77777777" w:rsidR="00747EF8" w:rsidRDefault="00747EF8"/>
        </w:tc>
        <w:tc>
          <w:tcPr>
            <w:tcW w:w="1026" w:type="dxa"/>
            <w:noWrap/>
            <w:hideMark/>
          </w:tcPr>
          <w:p w14:paraId="3EA7ABFF" w14:textId="77777777" w:rsidR="00747EF8" w:rsidRDefault="00747EF8">
            <w:pPr>
              <w:rPr>
                <w:sz w:val="20"/>
                <w:szCs w:val="20"/>
              </w:rPr>
            </w:pPr>
          </w:p>
        </w:tc>
        <w:tc>
          <w:tcPr>
            <w:tcW w:w="1042" w:type="dxa"/>
            <w:noWrap/>
            <w:hideMark/>
          </w:tcPr>
          <w:p w14:paraId="417E297B" w14:textId="77777777" w:rsidR="00747EF8" w:rsidRDefault="00747EF8">
            <w:pPr>
              <w:rPr>
                <w:sz w:val="20"/>
                <w:szCs w:val="20"/>
              </w:rPr>
            </w:pPr>
          </w:p>
        </w:tc>
        <w:tc>
          <w:tcPr>
            <w:tcW w:w="1057" w:type="dxa"/>
            <w:noWrap/>
            <w:hideMark/>
          </w:tcPr>
          <w:p w14:paraId="200A3757" w14:textId="77777777" w:rsidR="00747EF8" w:rsidRDefault="00747EF8">
            <w:pPr>
              <w:rPr>
                <w:sz w:val="20"/>
                <w:szCs w:val="20"/>
              </w:rPr>
            </w:pPr>
          </w:p>
        </w:tc>
        <w:tc>
          <w:tcPr>
            <w:tcW w:w="1042" w:type="dxa"/>
            <w:noWrap/>
            <w:hideMark/>
          </w:tcPr>
          <w:p w14:paraId="42F9CE69" w14:textId="77777777" w:rsidR="00747EF8" w:rsidRDefault="00747EF8">
            <w:pPr>
              <w:rPr>
                <w:sz w:val="20"/>
                <w:szCs w:val="20"/>
              </w:rPr>
            </w:pPr>
          </w:p>
        </w:tc>
        <w:tc>
          <w:tcPr>
            <w:tcW w:w="1101" w:type="dxa"/>
            <w:noWrap/>
            <w:hideMark/>
          </w:tcPr>
          <w:p w14:paraId="047068C4" w14:textId="77777777" w:rsidR="00747EF8" w:rsidRDefault="00747EF8">
            <w:pPr>
              <w:rPr>
                <w:sz w:val="20"/>
                <w:szCs w:val="20"/>
              </w:rPr>
            </w:pPr>
          </w:p>
        </w:tc>
        <w:tc>
          <w:tcPr>
            <w:tcW w:w="1101" w:type="dxa"/>
            <w:noWrap/>
            <w:hideMark/>
          </w:tcPr>
          <w:p w14:paraId="676FD9C7" w14:textId="77777777" w:rsidR="00747EF8" w:rsidRDefault="00747EF8">
            <w:pPr>
              <w:rPr>
                <w:sz w:val="20"/>
                <w:szCs w:val="20"/>
              </w:rPr>
            </w:pPr>
          </w:p>
        </w:tc>
        <w:tc>
          <w:tcPr>
            <w:tcW w:w="1057" w:type="dxa"/>
            <w:noWrap/>
            <w:hideMark/>
          </w:tcPr>
          <w:p w14:paraId="4902986F" w14:textId="77777777" w:rsidR="00747EF8" w:rsidRDefault="00747EF8">
            <w:pPr>
              <w:rPr>
                <w:sz w:val="20"/>
                <w:szCs w:val="20"/>
              </w:rPr>
            </w:pPr>
          </w:p>
        </w:tc>
        <w:tc>
          <w:tcPr>
            <w:tcW w:w="1057" w:type="dxa"/>
            <w:noWrap/>
            <w:hideMark/>
          </w:tcPr>
          <w:p w14:paraId="039EBECF" w14:textId="77777777" w:rsidR="00747EF8" w:rsidRDefault="00747EF8">
            <w:pPr>
              <w:rPr>
                <w:sz w:val="20"/>
                <w:szCs w:val="20"/>
              </w:rPr>
            </w:pPr>
          </w:p>
        </w:tc>
        <w:tc>
          <w:tcPr>
            <w:tcW w:w="1027" w:type="dxa"/>
            <w:noWrap/>
            <w:hideMark/>
          </w:tcPr>
          <w:p w14:paraId="7C0AAE90" w14:textId="77777777" w:rsidR="00747EF8" w:rsidRDefault="00747EF8">
            <w:pPr>
              <w:rPr>
                <w:sz w:val="20"/>
                <w:szCs w:val="20"/>
              </w:rPr>
            </w:pPr>
          </w:p>
        </w:tc>
        <w:tc>
          <w:tcPr>
            <w:tcW w:w="1013" w:type="dxa"/>
            <w:noWrap/>
            <w:hideMark/>
          </w:tcPr>
          <w:p w14:paraId="40D7C053" w14:textId="77777777" w:rsidR="00747EF8" w:rsidRDefault="00747EF8">
            <w:pPr>
              <w:rPr>
                <w:sz w:val="20"/>
                <w:szCs w:val="20"/>
              </w:rPr>
            </w:pPr>
          </w:p>
        </w:tc>
      </w:tr>
      <w:tr w:rsidR="00747EF8" w14:paraId="4ABE3505" w14:textId="77777777" w:rsidTr="00747EF8">
        <w:trPr>
          <w:trHeight w:val="300"/>
        </w:trPr>
        <w:tc>
          <w:tcPr>
            <w:tcW w:w="2437" w:type="dxa"/>
            <w:noWrap/>
            <w:hideMark/>
          </w:tcPr>
          <w:p w14:paraId="26DCA142" w14:textId="77777777" w:rsidR="00747EF8" w:rsidRDefault="00747EF8">
            <w:r>
              <w:t xml:space="preserve">Pearson Correlation Coefficient </w:t>
            </w:r>
          </w:p>
        </w:tc>
        <w:tc>
          <w:tcPr>
            <w:tcW w:w="1026" w:type="dxa"/>
            <w:noWrap/>
            <w:hideMark/>
          </w:tcPr>
          <w:p w14:paraId="79231E7D" w14:textId="77777777" w:rsidR="00747EF8" w:rsidRDefault="00747EF8">
            <w:pPr>
              <w:jc w:val="center"/>
            </w:pPr>
            <w:r>
              <w:t>---</w:t>
            </w:r>
          </w:p>
        </w:tc>
        <w:tc>
          <w:tcPr>
            <w:tcW w:w="1042" w:type="dxa"/>
            <w:noWrap/>
            <w:hideMark/>
          </w:tcPr>
          <w:p w14:paraId="5355A67B" w14:textId="77777777" w:rsidR="00747EF8" w:rsidRDefault="00747EF8">
            <w:pPr>
              <w:jc w:val="center"/>
            </w:pPr>
            <w:r>
              <w:t>0.888</w:t>
            </w:r>
          </w:p>
        </w:tc>
        <w:tc>
          <w:tcPr>
            <w:tcW w:w="1057" w:type="dxa"/>
            <w:noWrap/>
            <w:hideMark/>
          </w:tcPr>
          <w:p w14:paraId="17E0AD4E" w14:textId="77777777" w:rsidR="00747EF8" w:rsidRDefault="00747EF8">
            <w:pPr>
              <w:jc w:val="center"/>
            </w:pPr>
            <w:r>
              <w:t>0.843</w:t>
            </w:r>
          </w:p>
        </w:tc>
        <w:tc>
          <w:tcPr>
            <w:tcW w:w="1042" w:type="dxa"/>
            <w:noWrap/>
            <w:hideMark/>
          </w:tcPr>
          <w:p w14:paraId="21653D0A" w14:textId="77777777" w:rsidR="00747EF8" w:rsidRDefault="00747EF8">
            <w:pPr>
              <w:jc w:val="center"/>
            </w:pPr>
            <w:r>
              <w:t>0.915</w:t>
            </w:r>
          </w:p>
        </w:tc>
        <w:tc>
          <w:tcPr>
            <w:tcW w:w="1101" w:type="dxa"/>
            <w:noWrap/>
            <w:hideMark/>
          </w:tcPr>
          <w:p w14:paraId="43E368D9" w14:textId="77777777" w:rsidR="00747EF8" w:rsidRDefault="00747EF8">
            <w:pPr>
              <w:jc w:val="center"/>
            </w:pPr>
            <w:r>
              <w:t>0.886</w:t>
            </w:r>
          </w:p>
        </w:tc>
        <w:tc>
          <w:tcPr>
            <w:tcW w:w="1101" w:type="dxa"/>
            <w:noWrap/>
            <w:hideMark/>
          </w:tcPr>
          <w:p w14:paraId="063A19DD" w14:textId="77777777" w:rsidR="00747EF8" w:rsidRDefault="00747EF8">
            <w:pPr>
              <w:jc w:val="center"/>
            </w:pPr>
            <w:r>
              <w:t>0.888</w:t>
            </w:r>
          </w:p>
        </w:tc>
        <w:tc>
          <w:tcPr>
            <w:tcW w:w="1057" w:type="dxa"/>
            <w:noWrap/>
            <w:hideMark/>
          </w:tcPr>
          <w:p w14:paraId="7DFEDC44" w14:textId="77777777" w:rsidR="00747EF8" w:rsidRDefault="00747EF8">
            <w:pPr>
              <w:jc w:val="center"/>
              <w:rPr>
                <w:rFonts w:ascii="Calibri" w:hAnsi="Calibri" w:cs="Calibri"/>
                <w:color w:val="000000"/>
              </w:rPr>
            </w:pPr>
            <w:r>
              <w:rPr>
                <w:rFonts w:ascii="Calibri" w:hAnsi="Calibri" w:cs="Calibri"/>
                <w:color w:val="000000"/>
              </w:rPr>
              <w:t>0.889</w:t>
            </w:r>
          </w:p>
        </w:tc>
        <w:tc>
          <w:tcPr>
            <w:tcW w:w="1057" w:type="dxa"/>
            <w:noWrap/>
            <w:hideMark/>
          </w:tcPr>
          <w:p w14:paraId="35552A9E" w14:textId="77777777" w:rsidR="00747EF8" w:rsidRDefault="00747EF8">
            <w:pPr>
              <w:jc w:val="center"/>
            </w:pPr>
            <w:r>
              <w:t>0.887</w:t>
            </w:r>
          </w:p>
        </w:tc>
        <w:tc>
          <w:tcPr>
            <w:tcW w:w="1027" w:type="dxa"/>
            <w:noWrap/>
            <w:hideMark/>
          </w:tcPr>
          <w:p w14:paraId="1F50CA70" w14:textId="77777777" w:rsidR="00747EF8" w:rsidRDefault="00747EF8">
            <w:pPr>
              <w:jc w:val="center"/>
            </w:pPr>
            <w:r>
              <w:t>0.882</w:t>
            </w:r>
          </w:p>
        </w:tc>
        <w:tc>
          <w:tcPr>
            <w:tcW w:w="1013" w:type="dxa"/>
            <w:noWrap/>
            <w:hideMark/>
          </w:tcPr>
          <w:p w14:paraId="7972F8C2" w14:textId="77777777" w:rsidR="00747EF8" w:rsidRDefault="00747EF8">
            <w:pPr>
              <w:jc w:val="center"/>
            </w:pPr>
            <w:r>
              <w:t>0.886</w:t>
            </w:r>
          </w:p>
        </w:tc>
      </w:tr>
      <w:bookmarkEnd w:id="7"/>
    </w:tbl>
    <w:p w14:paraId="7E04D51B" w14:textId="77777777" w:rsidR="00747EF8" w:rsidRDefault="00747EF8" w:rsidP="00747EF8"/>
    <w:p w14:paraId="4061736C" w14:textId="33BEA0D7" w:rsidR="00A07FC8" w:rsidRDefault="00A07FC8" w:rsidP="00CA716A">
      <w:pPr>
        <w:rPr>
          <w:rFonts w:ascii="Calibri" w:eastAsia="Calibri" w:hAnsi="Calibri" w:cs="Times New Roman"/>
        </w:rPr>
        <w:sectPr w:rsidR="00A07FC8" w:rsidSect="0035019E">
          <w:type w:val="continuous"/>
          <w:pgSz w:w="15840" w:h="12240" w:orient="landscape"/>
          <w:pgMar w:top="1440" w:right="1440" w:bottom="1440" w:left="1440" w:header="720" w:footer="720" w:gutter="0"/>
          <w:lnNumType w:countBy="1" w:restart="continuous"/>
          <w:cols w:space="720"/>
          <w:docGrid w:linePitch="360"/>
        </w:sectPr>
      </w:pPr>
    </w:p>
    <w:p w14:paraId="35B15A9D" w14:textId="1008E5B8" w:rsidR="00200256" w:rsidRDefault="00200256" w:rsidP="00CA716A">
      <w:pPr>
        <w:rPr>
          <w:rFonts w:ascii="Calibri" w:eastAsia="Calibri" w:hAnsi="Calibri" w:cs="Times New Roman"/>
        </w:rPr>
      </w:pPr>
    </w:p>
    <w:p w14:paraId="16682C3B" w14:textId="24A9ED5C" w:rsidR="00CA716A" w:rsidRDefault="00CA716A" w:rsidP="00CA716A">
      <w:pPr>
        <w:rPr>
          <w:rFonts w:ascii="Calibri" w:eastAsia="Calibri" w:hAnsi="Calibri" w:cs="Times New Roman"/>
        </w:rPr>
      </w:pPr>
    </w:p>
    <w:p w14:paraId="4FA1504A" w14:textId="2F61A502" w:rsidR="00BA3478" w:rsidRPr="00D71DBC" w:rsidRDefault="00400824" w:rsidP="00400824">
      <w:pPr>
        <w:rPr>
          <w:rFonts w:ascii="Calibri" w:eastAsia="Calibri" w:hAnsi="Calibri" w:cs="Times New Roman"/>
        </w:rPr>
      </w:pPr>
      <w:r>
        <w:rPr>
          <w:rFonts w:ascii="Calibri" w:eastAsia="Calibri" w:hAnsi="Calibri" w:cs="Times New Roman"/>
        </w:rPr>
        <w:t xml:space="preserve">          </w:t>
      </w:r>
      <w:r>
        <w:rPr>
          <w:rFonts w:ascii="Calibri" w:eastAsia="Calibri" w:hAnsi="Calibri" w:cs="Times New Roman"/>
          <w:noProof/>
        </w:rPr>
        <w:drawing>
          <wp:inline distT="0" distB="0" distL="0" distR="0" wp14:anchorId="214B9516" wp14:editId="3AB0E055">
            <wp:extent cx="5036960" cy="29202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 plot_plateau_v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6960" cy="2920201"/>
                    </a:xfrm>
                    <a:prstGeom prst="rect">
                      <a:avLst/>
                    </a:prstGeom>
                  </pic:spPr>
                </pic:pic>
              </a:graphicData>
            </a:graphic>
          </wp:inline>
        </w:drawing>
      </w:r>
    </w:p>
    <w:p w14:paraId="437B04AA" w14:textId="77777777" w:rsidR="000F7004" w:rsidRDefault="000F7004" w:rsidP="002A4939">
      <w:pPr>
        <w:jc w:val="center"/>
        <w:rPr>
          <w:rFonts w:ascii="Calibri" w:eastAsia="Calibri" w:hAnsi="Calibri" w:cs="Times New Roman"/>
          <w:b/>
        </w:rPr>
      </w:pPr>
    </w:p>
    <w:p w14:paraId="6743DB05" w14:textId="62136C2C" w:rsidR="002A4939" w:rsidRPr="00143BEB" w:rsidRDefault="002A4939" w:rsidP="00020ABC">
      <w:pPr>
        <w:spacing w:line="480" w:lineRule="auto"/>
        <w:rPr>
          <w:rFonts w:ascii="Calibri" w:eastAsia="Calibri" w:hAnsi="Calibri" w:cs="Times New Roman"/>
        </w:rPr>
      </w:pPr>
      <w:r w:rsidRPr="00D4147A">
        <w:rPr>
          <w:rFonts w:ascii="Calibri" w:eastAsia="Calibri" w:hAnsi="Calibri" w:cs="Times New Roman"/>
          <w:b/>
        </w:rPr>
        <w:t xml:space="preserve">Figure </w:t>
      </w:r>
      <w:r>
        <w:rPr>
          <w:rFonts w:ascii="Calibri" w:eastAsia="Calibri" w:hAnsi="Calibri" w:cs="Times New Roman"/>
          <w:b/>
        </w:rPr>
        <w:t>2</w:t>
      </w:r>
      <w:r>
        <w:rPr>
          <w:rFonts w:ascii="Calibri" w:eastAsia="Calibri" w:hAnsi="Calibri" w:cs="Times New Roman"/>
        </w:rPr>
        <w:t>. A Bland Altman plot representing the compatibility between sPI and PI_C1R</w:t>
      </w:r>
      <w:r w:rsidR="005F4D03">
        <w:rPr>
          <w:rFonts w:ascii="Calibri" w:eastAsia="Calibri" w:hAnsi="Calibri" w:cs="Times New Roman"/>
        </w:rPr>
        <w:t>a</w:t>
      </w:r>
      <w:r>
        <w:rPr>
          <w:rFonts w:ascii="Calibri" w:eastAsia="Calibri" w:hAnsi="Calibri" w:cs="Times New Roman"/>
        </w:rPr>
        <w:t xml:space="preserve">3 to estimate changes in </w:t>
      </w:r>
      <w:r w:rsidR="00262AE0">
        <w:rPr>
          <w:rFonts w:ascii="Calibri" w:eastAsia="Calibri" w:hAnsi="Calibri" w:cs="Times New Roman"/>
        </w:rPr>
        <w:t xml:space="preserve">pulsatile </w:t>
      </w:r>
      <w:r w:rsidR="003051F0">
        <w:rPr>
          <w:rFonts w:ascii="Calibri" w:eastAsia="Calibri" w:hAnsi="Calibri" w:cs="Times New Roman"/>
        </w:rPr>
        <w:t>CaBV</w:t>
      </w:r>
      <w:r>
        <w:rPr>
          <w:rFonts w:ascii="Calibri" w:eastAsia="Calibri" w:hAnsi="Calibri" w:cs="Times New Roman"/>
        </w:rPr>
        <w:t xml:space="preserve"> in the plateau waves patient cohort. The </w:t>
      </w:r>
      <w:r w:rsidR="0021566E">
        <w:rPr>
          <w:rFonts w:ascii="Calibri" w:eastAsia="Calibri" w:hAnsi="Calibri" w:cs="Times New Roman"/>
        </w:rPr>
        <w:t>bold</w:t>
      </w:r>
      <w:r>
        <w:rPr>
          <w:rFonts w:ascii="Calibri" w:eastAsia="Calibri" w:hAnsi="Calibri" w:cs="Times New Roman"/>
        </w:rPr>
        <w:t xml:space="preserve"> lines indicate the limits of agreement</w:t>
      </w:r>
      <w:r w:rsidR="0025573B">
        <w:rPr>
          <w:rFonts w:ascii="Calibri" w:eastAsia="Calibri" w:hAnsi="Calibri" w:cs="Times New Roman"/>
        </w:rPr>
        <w:t xml:space="preserve"> as</w:t>
      </w:r>
      <w:r w:rsidR="00002902">
        <w:rPr>
          <w:rFonts w:ascii="Calibri" w:eastAsia="Calibri" w:hAnsi="Calibri" w:cs="Times New Roman"/>
        </w:rPr>
        <w:t xml:space="preserve"> measured with a confidence interval of 95%</w:t>
      </w:r>
      <w:r>
        <w:rPr>
          <w:rFonts w:ascii="Calibri" w:eastAsia="Calibri" w:hAnsi="Calibri" w:cs="Times New Roman"/>
        </w:rPr>
        <w:t xml:space="preserve">, </w:t>
      </w:r>
      <w:r w:rsidR="00002902">
        <w:rPr>
          <w:rFonts w:ascii="Calibri" w:eastAsia="Calibri" w:hAnsi="Calibri" w:cs="Times New Roman"/>
        </w:rPr>
        <w:t>yielding</w:t>
      </w:r>
      <w:r>
        <w:rPr>
          <w:rFonts w:ascii="Calibri" w:eastAsia="Calibri" w:hAnsi="Calibri" w:cs="Times New Roman"/>
        </w:rPr>
        <w:t xml:space="preserve"> a bias of -0</w:t>
      </w:r>
      <w:r w:rsidR="00136E40">
        <w:rPr>
          <w:rFonts w:ascii="Calibri" w:eastAsia="Calibri" w:hAnsi="Calibri" w:cs="Times New Roman"/>
        </w:rPr>
        <w:t>.0836</w:t>
      </w:r>
      <w:r>
        <w:rPr>
          <w:rFonts w:ascii="Calibri" w:eastAsia="Calibri" w:hAnsi="Calibri" w:cs="Times New Roman"/>
        </w:rPr>
        <w:t xml:space="preserve">. </w:t>
      </w:r>
      <w:r w:rsidR="00D71DBC">
        <w:rPr>
          <w:rFonts w:ascii="Calibri" w:eastAsia="Calibri" w:hAnsi="Calibri" w:cs="Times New Roman"/>
        </w:rPr>
        <w:t xml:space="preserve"> </w:t>
      </w:r>
    </w:p>
    <w:p w14:paraId="0144BA16" w14:textId="77777777" w:rsidR="00CA716A" w:rsidRPr="006F4A79" w:rsidRDefault="00CA716A" w:rsidP="00020ABC">
      <w:pPr>
        <w:spacing w:line="480" w:lineRule="auto"/>
        <w:rPr>
          <w:rFonts w:ascii="Calibri" w:eastAsia="Calibri" w:hAnsi="Calibri" w:cs="Times New Roman"/>
          <w:i/>
        </w:rPr>
      </w:pPr>
    </w:p>
    <w:p w14:paraId="5C8DBA59" w14:textId="45BA00DA" w:rsidR="0049682C" w:rsidRDefault="0049682C" w:rsidP="00020ABC">
      <w:pPr>
        <w:spacing w:line="480" w:lineRule="auto"/>
        <w:rPr>
          <w:rFonts w:ascii="Calibri" w:eastAsia="Calibri" w:hAnsi="Calibri" w:cs="Times New Roman"/>
          <w:i/>
        </w:rPr>
      </w:pPr>
      <w:r w:rsidRPr="0049682C">
        <w:rPr>
          <w:rFonts w:ascii="Calibri" w:eastAsia="Calibri" w:hAnsi="Calibri" w:cs="Times New Roman"/>
          <w:i/>
        </w:rPr>
        <w:t>Hypocapnia Cohort</w:t>
      </w:r>
    </w:p>
    <w:p w14:paraId="2623C556" w14:textId="1A6B0E33" w:rsidR="00132484" w:rsidRDefault="003206A4" w:rsidP="00020ABC">
      <w:pPr>
        <w:spacing w:line="480" w:lineRule="auto"/>
        <w:ind w:firstLine="720"/>
        <w:rPr>
          <w:rFonts w:ascii="Calibri" w:eastAsia="Calibri" w:hAnsi="Calibri" w:cs="Times New Roman"/>
        </w:rPr>
      </w:pPr>
      <w:r>
        <w:rPr>
          <w:rFonts w:ascii="Calibri" w:eastAsia="Calibri" w:hAnsi="Calibri" w:cs="Times New Roman"/>
        </w:rPr>
        <w:t xml:space="preserve">The hypocapnia patient cohort provided a similar example of high agreement between </w:t>
      </w:r>
      <w:r w:rsidR="00FD6E19">
        <w:rPr>
          <w:rFonts w:ascii="Calibri" w:eastAsia="Calibri" w:hAnsi="Calibri" w:cs="Times New Roman"/>
        </w:rPr>
        <w:t xml:space="preserve">parameters </w:t>
      </w:r>
      <w:r w:rsidR="003223BB">
        <w:rPr>
          <w:rFonts w:ascii="Calibri" w:eastAsia="Calibri" w:hAnsi="Calibri" w:cs="Times New Roman"/>
        </w:rPr>
        <w:t>determined both invasively and non-invasively. In conjunction with the results from the plateau waves cohort, sPI was closely approximated by all of the models, in particular by PI_C1R</w:t>
      </w:r>
      <w:r w:rsidR="005F4D03">
        <w:rPr>
          <w:rFonts w:ascii="Calibri" w:eastAsia="Calibri" w:hAnsi="Calibri" w:cs="Times New Roman"/>
        </w:rPr>
        <w:t>a</w:t>
      </w:r>
      <w:r w:rsidR="003223BB">
        <w:rPr>
          <w:rFonts w:ascii="Calibri" w:eastAsia="Calibri" w:hAnsi="Calibri" w:cs="Times New Roman"/>
        </w:rPr>
        <w:t xml:space="preserve">3 with an average </w:t>
      </w:r>
      <w:r w:rsidR="003223BB" w:rsidRPr="003223BB">
        <w:rPr>
          <w:rFonts w:ascii="Calibri" w:eastAsia="Calibri" w:hAnsi="Calibri" w:cs="Times New Roman"/>
          <w:i/>
        </w:rPr>
        <w:t>r</w:t>
      </w:r>
      <w:r w:rsidR="003223BB">
        <w:rPr>
          <w:rFonts w:ascii="Calibri" w:eastAsia="Calibri" w:hAnsi="Calibri" w:cs="Times New Roman"/>
        </w:rPr>
        <w:t>-value of 0.955 for the entire recording</w:t>
      </w:r>
      <w:r w:rsidR="00747EF8">
        <w:rPr>
          <w:rFonts w:ascii="Calibri" w:eastAsia="Calibri" w:hAnsi="Calibri" w:cs="Times New Roman"/>
        </w:rPr>
        <w:t xml:space="preserve"> (see Table </w:t>
      </w:r>
      <w:r w:rsidR="005B36FA">
        <w:rPr>
          <w:rFonts w:ascii="Calibri" w:eastAsia="Calibri" w:hAnsi="Calibri" w:cs="Times New Roman"/>
        </w:rPr>
        <w:t>3</w:t>
      </w:r>
      <w:r w:rsidR="00747EF8">
        <w:rPr>
          <w:rFonts w:ascii="Calibri" w:eastAsia="Calibri" w:hAnsi="Calibri" w:cs="Times New Roman"/>
        </w:rPr>
        <w:t>, below)</w:t>
      </w:r>
      <w:r w:rsidR="003223BB">
        <w:rPr>
          <w:rFonts w:ascii="Calibri" w:eastAsia="Calibri" w:hAnsi="Calibri" w:cs="Times New Roman"/>
        </w:rPr>
        <w:t>.</w:t>
      </w:r>
      <w:r w:rsidR="001B6407">
        <w:rPr>
          <w:rFonts w:ascii="Calibri" w:eastAsia="Calibri" w:hAnsi="Calibri" w:cs="Times New Roman"/>
        </w:rPr>
        <w:t xml:space="preserve"> PI_C1R</w:t>
      </w:r>
      <w:r w:rsidR="005F4D03">
        <w:rPr>
          <w:rFonts w:ascii="Calibri" w:eastAsia="Calibri" w:hAnsi="Calibri" w:cs="Times New Roman"/>
        </w:rPr>
        <w:t>a</w:t>
      </w:r>
      <w:r w:rsidR="001B6407">
        <w:rPr>
          <w:rFonts w:ascii="Calibri" w:eastAsia="Calibri" w:hAnsi="Calibri" w:cs="Times New Roman"/>
        </w:rPr>
        <w:t>3 was overwhelming</w:t>
      </w:r>
      <w:r w:rsidR="00BD48A8">
        <w:rPr>
          <w:rFonts w:ascii="Calibri" w:eastAsia="Calibri" w:hAnsi="Calibri" w:cs="Times New Roman"/>
        </w:rPr>
        <w:t>ly</w:t>
      </w:r>
      <w:r w:rsidR="001B6407">
        <w:rPr>
          <w:rFonts w:ascii="Calibri" w:eastAsia="Calibri" w:hAnsi="Calibri" w:cs="Times New Roman"/>
        </w:rPr>
        <w:t xml:space="preserve"> </w:t>
      </w:r>
      <w:r w:rsidR="00BD48A8">
        <w:rPr>
          <w:rFonts w:ascii="Calibri" w:eastAsia="Calibri" w:hAnsi="Calibri" w:cs="Times New Roman"/>
        </w:rPr>
        <w:t xml:space="preserve">found to be </w:t>
      </w:r>
      <w:r w:rsidR="001B6407">
        <w:rPr>
          <w:rFonts w:ascii="Calibri" w:eastAsia="Calibri" w:hAnsi="Calibri" w:cs="Times New Roman"/>
        </w:rPr>
        <w:t xml:space="preserve">the superior </w:t>
      </w:r>
      <w:r w:rsidR="00862BEF">
        <w:rPr>
          <w:rFonts w:ascii="Calibri" w:eastAsia="Calibri" w:hAnsi="Calibri" w:cs="Times New Roman"/>
        </w:rPr>
        <w:t>estimator</w:t>
      </w:r>
      <w:r w:rsidR="00BD48A8">
        <w:rPr>
          <w:rFonts w:ascii="Calibri" w:eastAsia="Calibri" w:hAnsi="Calibri" w:cs="Times New Roman"/>
        </w:rPr>
        <w:t xml:space="preserve"> of the volumetric changes in cerebral arterial blood </w:t>
      </w:r>
      <w:r w:rsidR="00862BEF">
        <w:rPr>
          <w:rFonts w:ascii="Calibri" w:eastAsia="Calibri" w:hAnsi="Calibri" w:cs="Times New Roman"/>
        </w:rPr>
        <w:t>within the hypocapnia patient cohor</w:t>
      </w:r>
      <w:r w:rsidR="0092721A">
        <w:rPr>
          <w:rFonts w:ascii="Calibri" w:eastAsia="Calibri" w:hAnsi="Calibri" w:cs="Times New Roman"/>
        </w:rPr>
        <w:t>t. As above, complete descriptions of each of the models are contained in Appendix A</w:t>
      </w:r>
      <w:r w:rsidR="000661BF">
        <w:rPr>
          <w:rFonts w:ascii="Calibri" w:eastAsia="Calibri" w:hAnsi="Calibri" w:cs="Times New Roman"/>
        </w:rPr>
        <w:t xml:space="preserve">. </w:t>
      </w:r>
    </w:p>
    <w:p w14:paraId="3462BEA9" w14:textId="77777777" w:rsidR="00747EF8" w:rsidRDefault="00747EF8" w:rsidP="000661BF">
      <w:pPr>
        <w:ind w:firstLine="720"/>
        <w:rPr>
          <w:rFonts w:ascii="Calibri" w:eastAsia="Calibri" w:hAnsi="Calibri" w:cs="Times New Roman"/>
        </w:rPr>
        <w:sectPr w:rsidR="00747EF8" w:rsidSect="0035019E">
          <w:type w:val="continuous"/>
          <w:pgSz w:w="12240" w:h="15840"/>
          <w:pgMar w:top="1440" w:right="1440" w:bottom="1440" w:left="1440" w:header="720" w:footer="720" w:gutter="0"/>
          <w:lnNumType w:countBy="1" w:restart="continuous"/>
          <w:cols w:space="720"/>
          <w:docGrid w:linePitch="360"/>
        </w:sectPr>
      </w:pPr>
    </w:p>
    <w:p w14:paraId="4A14F835" w14:textId="180C7B45" w:rsidR="00747EF8" w:rsidRDefault="00747EF8" w:rsidP="00747EF8">
      <w:r>
        <w:lastRenderedPageBreak/>
        <w:t xml:space="preserve">Table </w:t>
      </w:r>
      <w:r w:rsidR="005B36FA">
        <w:t>3</w:t>
      </w:r>
      <w:r>
        <w:t>. sPI vs. Derived PI Models in the Hypocapnia Cohort</w:t>
      </w:r>
    </w:p>
    <w:p w14:paraId="2182EB0A" w14:textId="77777777" w:rsidR="00747EF8" w:rsidRDefault="00747EF8" w:rsidP="00747EF8"/>
    <w:tbl>
      <w:tblPr>
        <w:tblStyle w:val="TableGrid"/>
        <w:tblW w:w="1334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337"/>
        <w:gridCol w:w="810"/>
        <w:gridCol w:w="89"/>
        <w:gridCol w:w="985"/>
        <w:gridCol w:w="224"/>
        <w:gridCol w:w="850"/>
        <w:gridCol w:w="224"/>
        <w:gridCol w:w="850"/>
        <w:gridCol w:w="224"/>
        <w:gridCol w:w="850"/>
        <w:gridCol w:w="224"/>
        <w:gridCol w:w="850"/>
        <w:gridCol w:w="222"/>
        <w:gridCol w:w="852"/>
        <w:gridCol w:w="224"/>
        <w:gridCol w:w="850"/>
        <w:gridCol w:w="224"/>
        <w:gridCol w:w="850"/>
        <w:gridCol w:w="216"/>
        <w:gridCol w:w="933"/>
      </w:tblGrid>
      <w:tr w:rsidR="005F4D03" w14:paraId="0B4AD41E" w14:textId="77777777" w:rsidTr="005F4D03">
        <w:trPr>
          <w:trHeight w:val="300"/>
        </w:trPr>
        <w:tc>
          <w:tcPr>
            <w:tcW w:w="2453" w:type="dxa"/>
            <w:noWrap/>
            <w:hideMark/>
          </w:tcPr>
          <w:p w14:paraId="367F93AF" w14:textId="77777777" w:rsidR="00747EF8" w:rsidRDefault="00747EF8"/>
        </w:tc>
        <w:tc>
          <w:tcPr>
            <w:tcW w:w="1147" w:type="dxa"/>
            <w:gridSpan w:val="2"/>
            <w:noWrap/>
            <w:hideMark/>
          </w:tcPr>
          <w:p w14:paraId="57516B20" w14:textId="77777777" w:rsidR="00747EF8" w:rsidRDefault="00747EF8">
            <w:pPr>
              <w:jc w:val="center"/>
              <w:rPr>
                <w:b/>
                <w:bCs/>
              </w:rPr>
            </w:pPr>
            <w:r>
              <w:rPr>
                <w:b/>
                <w:bCs/>
              </w:rPr>
              <w:t>sPI</w:t>
            </w:r>
          </w:p>
        </w:tc>
        <w:tc>
          <w:tcPr>
            <w:tcW w:w="1074" w:type="dxa"/>
            <w:gridSpan w:val="2"/>
            <w:noWrap/>
            <w:hideMark/>
          </w:tcPr>
          <w:p w14:paraId="6987A08F" w14:textId="2871557A" w:rsidR="00747EF8" w:rsidRDefault="00747EF8">
            <w:pPr>
              <w:rPr>
                <w:b/>
                <w:bCs/>
              </w:rPr>
            </w:pPr>
            <w:r>
              <w:rPr>
                <w:b/>
                <w:bCs/>
              </w:rPr>
              <w:t>PI_C1R</w:t>
            </w:r>
            <w:r w:rsidR="005F4D03">
              <w:rPr>
                <w:b/>
                <w:bCs/>
              </w:rPr>
              <w:t>a</w:t>
            </w:r>
            <w:r>
              <w:rPr>
                <w:b/>
                <w:bCs/>
              </w:rPr>
              <w:t>1</w:t>
            </w:r>
          </w:p>
        </w:tc>
        <w:tc>
          <w:tcPr>
            <w:tcW w:w="1074" w:type="dxa"/>
            <w:gridSpan w:val="2"/>
            <w:noWrap/>
            <w:hideMark/>
          </w:tcPr>
          <w:p w14:paraId="13278A68" w14:textId="1EE8EE7B" w:rsidR="00747EF8" w:rsidRDefault="00747EF8">
            <w:pPr>
              <w:rPr>
                <w:b/>
                <w:bCs/>
              </w:rPr>
            </w:pPr>
            <w:r>
              <w:rPr>
                <w:b/>
                <w:bCs/>
              </w:rPr>
              <w:t>PI_C1R</w:t>
            </w:r>
            <w:r w:rsidR="005F4D03">
              <w:rPr>
                <w:b/>
                <w:bCs/>
              </w:rPr>
              <w:t>a</w:t>
            </w:r>
            <w:r>
              <w:rPr>
                <w:b/>
                <w:bCs/>
              </w:rPr>
              <w:t>2</w:t>
            </w:r>
          </w:p>
        </w:tc>
        <w:tc>
          <w:tcPr>
            <w:tcW w:w="1074" w:type="dxa"/>
            <w:gridSpan w:val="2"/>
            <w:noWrap/>
            <w:hideMark/>
          </w:tcPr>
          <w:p w14:paraId="6EF5864E" w14:textId="6911B142" w:rsidR="00747EF8" w:rsidRDefault="00747EF8">
            <w:pPr>
              <w:rPr>
                <w:b/>
                <w:bCs/>
              </w:rPr>
            </w:pPr>
            <w:r>
              <w:rPr>
                <w:b/>
                <w:bCs/>
              </w:rPr>
              <w:t>PI_C1R</w:t>
            </w:r>
            <w:r w:rsidR="005F4D03">
              <w:rPr>
                <w:b/>
                <w:bCs/>
              </w:rPr>
              <w:t>a</w:t>
            </w:r>
            <w:r>
              <w:rPr>
                <w:b/>
                <w:bCs/>
              </w:rPr>
              <w:t>3</w:t>
            </w:r>
          </w:p>
        </w:tc>
        <w:tc>
          <w:tcPr>
            <w:tcW w:w="1074" w:type="dxa"/>
            <w:gridSpan w:val="2"/>
            <w:noWrap/>
            <w:hideMark/>
          </w:tcPr>
          <w:p w14:paraId="5C2E45F6" w14:textId="66CA233D" w:rsidR="00747EF8" w:rsidRDefault="00747EF8">
            <w:pPr>
              <w:rPr>
                <w:b/>
                <w:bCs/>
              </w:rPr>
            </w:pPr>
            <w:r>
              <w:rPr>
                <w:b/>
                <w:bCs/>
              </w:rPr>
              <w:t>PI_C2R</w:t>
            </w:r>
            <w:r w:rsidR="005F4D03">
              <w:rPr>
                <w:b/>
                <w:bCs/>
              </w:rPr>
              <w:t>a</w:t>
            </w:r>
            <w:r>
              <w:rPr>
                <w:b/>
                <w:bCs/>
              </w:rPr>
              <w:t>1</w:t>
            </w:r>
          </w:p>
        </w:tc>
        <w:tc>
          <w:tcPr>
            <w:tcW w:w="1074" w:type="dxa"/>
            <w:gridSpan w:val="2"/>
            <w:noWrap/>
            <w:hideMark/>
          </w:tcPr>
          <w:p w14:paraId="763ED04C" w14:textId="73B6DB6F" w:rsidR="00747EF8" w:rsidRDefault="00747EF8">
            <w:pPr>
              <w:rPr>
                <w:b/>
                <w:bCs/>
              </w:rPr>
            </w:pPr>
            <w:r>
              <w:rPr>
                <w:b/>
                <w:bCs/>
              </w:rPr>
              <w:t>PI_C2R</w:t>
            </w:r>
            <w:r w:rsidR="005F4D03">
              <w:rPr>
                <w:b/>
                <w:bCs/>
              </w:rPr>
              <w:t>a</w:t>
            </w:r>
            <w:r>
              <w:rPr>
                <w:b/>
                <w:bCs/>
              </w:rPr>
              <w:t>2</w:t>
            </w:r>
          </w:p>
        </w:tc>
        <w:tc>
          <w:tcPr>
            <w:tcW w:w="1074" w:type="dxa"/>
            <w:gridSpan w:val="2"/>
            <w:noWrap/>
            <w:hideMark/>
          </w:tcPr>
          <w:p w14:paraId="62C9DCF5" w14:textId="490D3054" w:rsidR="00747EF8" w:rsidRDefault="00747EF8">
            <w:pPr>
              <w:rPr>
                <w:b/>
                <w:bCs/>
              </w:rPr>
            </w:pPr>
            <w:r>
              <w:rPr>
                <w:b/>
                <w:bCs/>
              </w:rPr>
              <w:t>PI_C2R</w:t>
            </w:r>
            <w:r w:rsidR="005F4D03">
              <w:rPr>
                <w:b/>
                <w:bCs/>
              </w:rPr>
              <w:t>a</w:t>
            </w:r>
            <w:r>
              <w:rPr>
                <w:b/>
                <w:bCs/>
              </w:rPr>
              <w:t>3</w:t>
            </w:r>
          </w:p>
        </w:tc>
        <w:tc>
          <w:tcPr>
            <w:tcW w:w="1074" w:type="dxa"/>
            <w:gridSpan w:val="2"/>
            <w:noWrap/>
            <w:hideMark/>
          </w:tcPr>
          <w:p w14:paraId="752E8BD3" w14:textId="1A03DBDD" w:rsidR="00747EF8" w:rsidRDefault="00747EF8">
            <w:pPr>
              <w:rPr>
                <w:b/>
                <w:bCs/>
              </w:rPr>
            </w:pPr>
            <w:r>
              <w:rPr>
                <w:b/>
                <w:bCs/>
              </w:rPr>
              <w:t>PI_C3R</w:t>
            </w:r>
            <w:r w:rsidR="005F4D03">
              <w:rPr>
                <w:b/>
                <w:bCs/>
              </w:rPr>
              <w:t>a</w:t>
            </w:r>
            <w:r>
              <w:rPr>
                <w:b/>
                <w:bCs/>
              </w:rPr>
              <w:t>1</w:t>
            </w:r>
          </w:p>
        </w:tc>
        <w:tc>
          <w:tcPr>
            <w:tcW w:w="1074" w:type="dxa"/>
            <w:gridSpan w:val="2"/>
            <w:noWrap/>
            <w:hideMark/>
          </w:tcPr>
          <w:p w14:paraId="15B72247" w14:textId="21165C7E" w:rsidR="00747EF8" w:rsidRDefault="00747EF8">
            <w:pPr>
              <w:rPr>
                <w:b/>
                <w:bCs/>
              </w:rPr>
            </w:pPr>
            <w:r>
              <w:rPr>
                <w:b/>
                <w:bCs/>
              </w:rPr>
              <w:t>PI_C3R</w:t>
            </w:r>
            <w:r w:rsidR="005F4D03">
              <w:rPr>
                <w:b/>
                <w:bCs/>
              </w:rPr>
              <w:t>a</w:t>
            </w:r>
            <w:r>
              <w:rPr>
                <w:b/>
                <w:bCs/>
              </w:rPr>
              <w:t>2</w:t>
            </w:r>
          </w:p>
        </w:tc>
        <w:tc>
          <w:tcPr>
            <w:tcW w:w="1149" w:type="dxa"/>
            <w:gridSpan w:val="2"/>
            <w:noWrap/>
            <w:hideMark/>
          </w:tcPr>
          <w:p w14:paraId="2DAAC4C0" w14:textId="71E711E1" w:rsidR="00747EF8" w:rsidRDefault="00747EF8">
            <w:pPr>
              <w:rPr>
                <w:b/>
                <w:bCs/>
              </w:rPr>
            </w:pPr>
            <w:r>
              <w:rPr>
                <w:b/>
                <w:bCs/>
              </w:rPr>
              <w:t>PI_C3R</w:t>
            </w:r>
            <w:r w:rsidR="005F4D03">
              <w:rPr>
                <w:b/>
                <w:bCs/>
              </w:rPr>
              <w:t>a</w:t>
            </w:r>
            <w:r>
              <w:rPr>
                <w:b/>
                <w:bCs/>
              </w:rPr>
              <w:t>3</w:t>
            </w:r>
          </w:p>
        </w:tc>
      </w:tr>
      <w:tr w:rsidR="005F4D03" w14:paraId="4374EDBF" w14:textId="77777777" w:rsidTr="005F4D03">
        <w:trPr>
          <w:trHeight w:val="300"/>
        </w:trPr>
        <w:tc>
          <w:tcPr>
            <w:tcW w:w="2453" w:type="dxa"/>
            <w:noWrap/>
            <w:hideMark/>
          </w:tcPr>
          <w:p w14:paraId="50B8389F" w14:textId="77777777" w:rsidR="00747EF8" w:rsidRDefault="00747EF8"/>
        </w:tc>
        <w:tc>
          <w:tcPr>
            <w:tcW w:w="1147" w:type="dxa"/>
            <w:gridSpan w:val="2"/>
            <w:noWrap/>
            <w:hideMark/>
          </w:tcPr>
          <w:p w14:paraId="46610EAB" w14:textId="77777777" w:rsidR="00747EF8" w:rsidRDefault="00747EF8">
            <w:pPr>
              <w:rPr>
                <w:sz w:val="20"/>
                <w:szCs w:val="20"/>
              </w:rPr>
            </w:pPr>
          </w:p>
        </w:tc>
        <w:tc>
          <w:tcPr>
            <w:tcW w:w="1074" w:type="dxa"/>
            <w:gridSpan w:val="2"/>
            <w:noWrap/>
            <w:hideMark/>
          </w:tcPr>
          <w:p w14:paraId="147C86F9" w14:textId="77777777" w:rsidR="00747EF8" w:rsidRDefault="00747EF8">
            <w:pPr>
              <w:rPr>
                <w:sz w:val="20"/>
                <w:szCs w:val="20"/>
              </w:rPr>
            </w:pPr>
          </w:p>
        </w:tc>
        <w:tc>
          <w:tcPr>
            <w:tcW w:w="1074" w:type="dxa"/>
            <w:gridSpan w:val="2"/>
            <w:noWrap/>
            <w:hideMark/>
          </w:tcPr>
          <w:p w14:paraId="0852B190" w14:textId="77777777" w:rsidR="00747EF8" w:rsidRDefault="00747EF8">
            <w:pPr>
              <w:rPr>
                <w:sz w:val="20"/>
                <w:szCs w:val="20"/>
              </w:rPr>
            </w:pPr>
          </w:p>
        </w:tc>
        <w:tc>
          <w:tcPr>
            <w:tcW w:w="1074" w:type="dxa"/>
            <w:gridSpan w:val="2"/>
            <w:noWrap/>
            <w:hideMark/>
          </w:tcPr>
          <w:p w14:paraId="67729024" w14:textId="77777777" w:rsidR="00747EF8" w:rsidRDefault="00747EF8">
            <w:pPr>
              <w:rPr>
                <w:sz w:val="20"/>
                <w:szCs w:val="20"/>
              </w:rPr>
            </w:pPr>
          </w:p>
        </w:tc>
        <w:tc>
          <w:tcPr>
            <w:tcW w:w="1074" w:type="dxa"/>
            <w:gridSpan w:val="2"/>
            <w:noWrap/>
            <w:hideMark/>
          </w:tcPr>
          <w:p w14:paraId="3110A313" w14:textId="77777777" w:rsidR="00747EF8" w:rsidRDefault="00747EF8">
            <w:pPr>
              <w:rPr>
                <w:sz w:val="20"/>
                <w:szCs w:val="20"/>
              </w:rPr>
            </w:pPr>
          </w:p>
        </w:tc>
        <w:tc>
          <w:tcPr>
            <w:tcW w:w="1074" w:type="dxa"/>
            <w:gridSpan w:val="2"/>
            <w:noWrap/>
            <w:hideMark/>
          </w:tcPr>
          <w:p w14:paraId="664CDC41" w14:textId="77777777" w:rsidR="00747EF8" w:rsidRDefault="00747EF8">
            <w:pPr>
              <w:rPr>
                <w:sz w:val="20"/>
                <w:szCs w:val="20"/>
              </w:rPr>
            </w:pPr>
          </w:p>
        </w:tc>
        <w:tc>
          <w:tcPr>
            <w:tcW w:w="1074" w:type="dxa"/>
            <w:gridSpan w:val="2"/>
            <w:noWrap/>
            <w:hideMark/>
          </w:tcPr>
          <w:p w14:paraId="2DAA86FA" w14:textId="77777777" w:rsidR="00747EF8" w:rsidRDefault="00747EF8">
            <w:pPr>
              <w:rPr>
                <w:sz w:val="20"/>
                <w:szCs w:val="20"/>
              </w:rPr>
            </w:pPr>
          </w:p>
        </w:tc>
        <w:tc>
          <w:tcPr>
            <w:tcW w:w="1074" w:type="dxa"/>
            <w:gridSpan w:val="2"/>
            <w:noWrap/>
            <w:hideMark/>
          </w:tcPr>
          <w:p w14:paraId="0208E4BD" w14:textId="77777777" w:rsidR="00747EF8" w:rsidRDefault="00747EF8">
            <w:pPr>
              <w:rPr>
                <w:sz w:val="20"/>
                <w:szCs w:val="20"/>
              </w:rPr>
            </w:pPr>
          </w:p>
        </w:tc>
        <w:tc>
          <w:tcPr>
            <w:tcW w:w="1074" w:type="dxa"/>
            <w:gridSpan w:val="2"/>
            <w:noWrap/>
            <w:hideMark/>
          </w:tcPr>
          <w:p w14:paraId="2A3BD7D1" w14:textId="77777777" w:rsidR="00747EF8" w:rsidRDefault="00747EF8">
            <w:pPr>
              <w:rPr>
                <w:sz w:val="20"/>
                <w:szCs w:val="20"/>
              </w:rPr>
            </w:pPr>
          </w:p>
        </w:tc>
        <w:tc>
          <w:tcPr>
            <w:tcW w:w="1149" w:type="dxa"/>
            <w:gridSpan w:val="2"/>
            <w:noWrap/>
            <w:hideMark/>
          </w:tcPr>
          <w:p w14:paraId="54D32666" w14:textId="77777777" w:rsidR="00747EF8" w:rsidRDefault="00747EF8">
            <w:pPr>
              <w:rPr>
                <w:sz w:val="20"/>
                <w:szCs w:val="20"/>
              </w:rPr>
            </w:pPr>
          </w:p>
        </w:tc>
      </w:tr>
      <w:tr w:rsidR="005F4D03" w14:paraId="13C66AE9" w14:textId="77777777" w:rsidTr="005F4D03">
        <w:trPr>
          <w:trHeight w:val="300"/>
        </w:trPr>
        <w:tc>
          <w:tcPr>
            <w:tcW w:w="2790" w:type="dxa"/>
            <w:gridSpan w:val="2"/>
            <w:noWrap/>
            <w:hideMark/>
          </w:tcPr>
          <w:p w14:paraId="1682DADC" w14:textId="77777777" w:rsidR="000D513C" w:rsidRDefault="000D513C">
            <w:pPr>
              <w:rPr>
                <w:i/>
                <w:iCs/>
              </w:rPr>
            </w:pPr>
          </w:p>
          <w:p w14:paraId="77D1984B" w14:textId="55F797AE" w:rsidR="00747EF8" w:rsidRDefault="00747EF8">
            <w:pPr>
              <w:rPr>
                <w:i/>
                <w:iCs/>
              </w:rPr>
            </w:pPr>
            <w:r>
              <w:rPr>
                <w:i/>
                <w:iCs/>
              </w:rPr>
              <w:t>Entire Recording</w:t>
            </w:r>
          </w:p>
        </w:tc>
        <w:tc>
          <w:tcPr>
            <w:tcW w:w="899" w:type="dxa"/>
            <w:gridSpan w:val="2"/>
            <w:noWrap/>
            <w:hideMark/>
          </w:tcPr>
          <w:p w14:paraId="3ECC6244" w14:textId="77777777" w:rsidR="00747EF8" w:rsidRDefault="00747EF8">
            <w:pPr>
              <w:rPr>
                <w:i/>
                <w:iCs/>
              </w:rPr>
            </w:pPr>
          </w:p>
        </w:tc>
        <w:tc>
          <w:tcPr>
            <w:tcW w:w="1209" w:type="dxa"/>
            <w:gridSpan w:val="2"/>
            <w:noWrap/>
            <w:hideMark/>
          </w:tcPr>
          <w:p w14:paraId="41E2AFA2" w14:textId="77777777" w:rsidR="00747EF8" w:rsidRDefault="00747EF8">
            <w:pPr>
              <w:rPr>
                <w:sz w:val="20"/>
                <w:szCs w:val="20"/>
              </w:rPr>
            </w:pPr>
          </w:p>
        </w:tc>
        <w:tc>
          <w:tcPr>
            <w:tcW w:w="1074" w:type="dxa"/>
            <w:gridSpan w:val="2"/>
            <w:noWrap/>
            <w:hideMark/>
          </w:tcPr>
          <w:p w14:paraId="3078A707" w14:textId="77777777" w:rsidR="00747EF8" w:rsidRDefault="00747EF8">
            <w:pPr>
              <w:rPr>
                <w:sz w:val="20"/>
                <w:szCs w:val="20"/>
              </w:rPr>
            </w:pPr>
          </w:p>
        </w:tc>
        <w:tc>
          <w:tcPr>
            <w:tcW w:w="1074" w:type="dxa"/>
            <w:gridSpan w:val="2"/>
            <w:noWrap/>
            <w:hideMark/>
          </w:tcPr>
          <w:p w14:paraId="1FAC94D5" w14:textId="77777777" w:rsidR="00747EF8" w:rsidRDefault="00747EF8">
            <w:pPr>
              <w:rPr>
                <w:sz w:val="20"/>
                <w:szCs w:val="20"/>
              </w:rPr>
            </w:pPr>
          </w:p>
        </w:tc>
        <w:tc>
          <w:tcPr>
            <w:tcW w:w="1074" w:type="dxa"/>
            <w:gridSpan w:val="2"/>
            <w:noWrap/>
            <w:hideMark/>
          </w:tcPr>
          <w:p w14:paraId="3AD66853" w14:textId="77777777" w:rsidR="00747EF8" w:rsidRDefault="00747EF8">
            <w:pPr>
              <w:rPr>
                <w:sz w:val="20"/>
                <w:szCs w:val="20"/>
              </w:rPr>
            </w:pPr>
          </w:p>
        </w:tc>
        <w:tc>
          <w:tcPr>
            <w:tcW w:w="1072" w:type="dxa"/>
            <w:gridSpan w:val="2"/>
            <w:noWrap/>
            <w:hideMark/>
          </w:tcPr>
          <w:p w14:paraId="4E6D13CA" w14:textId="77777777" w:rsidR="00747EF8" w:rsidRDefault="00747EF8">
            <w:pPr>
              <w:rPr>
                <w:sz w:val="20"/>
                <w:szCs w:val="20"/>
              </w:rPr>
            </w:pPr>
          </w:p>
        </w:tc>
        <w:tc>
          <w:tcPr>
            <w:tcW w:w="1076" w:type="dxa"/>
            <w:gridSpan w:val="2"/>
            <w:noWrap/>
            <w:hideMark/>
          </w:tcPr>
          <w:p w14:paraId="499D0BD7" w14:textId="77777777" w:rsidR="00747EF8" w:rsidRDefault="00747EF8">
            <w:pPr>
              <w:rPr>
                <w:sz w:val="20"/>
                <w:szCs w:val="20"/>
              </w:rPr>
            </w:pPr>
          </w:p>
        </w:tc>
        <w:tc>
          <w:tcPr>
            <w:tcW w:w="1074" w:type="dxa"/>
            <w:gridSpan w:val="2"/>
            <w:noWrap/>
            <w:hideMark/>
          </w:tcPr>
          <w:p w14:paraId="28DC20AE" w14:textId="77777777" w:rsidR="00747EF8" w:rsidRDefault="00747EF8">
            <w:pPr>
              <w:rPr>
                <w:sz w:val="20"/>
                <w:szCs w:val="20"/>
              </w:rPr>
            </w:pPr>
          </w:p>
        </w:tc>
        <w:tc>
          <w:tcPr>
            <w:tcW w:w="1066" w:type="dxa"/>
            <w:gridSpan w:val="2"/>
            <w:noWrap/>
            <w:hideMark/>
          </w:tcPr>
          <w:p w14:paraId="1FDE8A6E" w14:textId="77777777" w:rsidR="00747EF8" w:rsidRDefault="00747EF8">
            <w:pPr>
              <w:rPr>
                <w:sz w:val="20"/>
                <w:szCs w:val="20"/>
              </w:rPr>
            </w:pPr>
          </w:p>
        </w:tc>
        <w:tc>
          <w:tcPr>
            <w:tcW w:w="933" w:type="dxa"/>
            <w:noWrap/>
            <w:hideMark/>
          </w:tcPr>
          <w:p w14:paraId="377161EC" w14:textId="77777777" w:rsidR="00747EF8" w:rsidRDefault="00747EF8">
            <w:pPr>
              <w:rPr>
                <w:sz w:val="20"/>
                <w:szCs w:val="20"/>
              </w:rPr>
            </w:pPr>
          </w:p>
        </w:tc>
      </w:tr>
      <w:tr w:rsidR="005F4D03" w14:paraId="6E6E27B5" w14:textId="77777777" w:rsidTr="005F4D03">
        <w:trPr>
          <w:trHeight w:val="300"/>
        </w:trPr>
        <w:tc>
          <w:tcPr>
            <w:tcW w:w="2790" w:type="dxa"/>
            <w:gridSpan w:val="2"/>
            <w:noWrap/>
            <w:hideMark/>
          </w:tcPr>
          <w:p w14:paraId="3E002DC2" w14:textId="77777777" w:rsidR="00747EF8" w:rsidRDefault="00747EF8">
            <w:pPr>
              <w:rPr>
                <w:sz w:val="20"/>
                <w:szCs w:val="20"/>
              </w:rPr>
            </w:pPr>
          </w:p>
        </w:tc>
        <w:tc>
          <w:tcPr>
            <w:tcW w:w="899" w:type="dxa"/>
            <w:gridSpan w:val="2"/>
            <w:noWrap/>
            <w:hideMark/>
          </w:tcPr>
          <w:p w14:paraId="27E83F66" w14:textId="77777777" w:rsidR="00747EF8" w:rsidRDefault="00747EF8">
            <w:pPr>
              <w:rPr>
                <w:sz w:val="20"/>
                <w:szCs w:val="20"/>
              </w:rPr>
            </w:pPr>
          </w:p>
        </w:tc>
        <w:tc>
          <w:tcPr>
            <w:tcW w:w="1209" w:type="dxa"/>
            <w:gridSpan w:val="2"/>
            <w:noWrap/>
            <w:hideMark/>
          </w:tcPr>
          <w:p w14:paraId="13D4F051" w14:textId="77777777" w:rsidR="00747EF8" w:rsidRDefault="00747EF8">
            <w:pPr>
              <w:rPr>
                <w:sz w:val="20"/>
                <w:szCs w:val="20"/>
              </w:rPr>
            </w:pPr>
          </w:p>
        </w:tc>
        <w:tc>
          <w:tcPr>
            <w:tcW w:w="1074" w:type="dxa"/>
            <w:gridSpan w:val="2"/>
            <w:noWrap/>
            <w:hideMark/>
          </w:tcPr>
          <w:p w14:paraId="6B14191B" w14:textId="77777777" w:rsidR="00747EF8" w:rsidRDefault="00747EF8">
            <w:pPr>
              <w:rPr>
                <w:sz w:val="20"/>
                <w:szCs w:val="20"/>
              </w:rPr>
            </w:pPr>
          </w:p>
        </w:tc>
        <w:tc>
          <w:tcPr>
            <w:tcW w:w="1074" w:type="dxa"/>
            <w:gridSpan w:val="2"/>
            <w:noWrap/>
            <w:hideMark/>
          </w:tcPr>
          <w:p w14:paraId="7D141E29" w14:textId="77777777" w:rsidR="00747EF8" w:rsidRDefault="00747EF8">
            <w:pPr>
              <w:rPr>
                <w:sz w:val="20"/>
                <w:szCs w:val="20"/>
              </w:rPr>
            </w:pPr>
          </w:p>
        </w:tc>
        <w:tc>
          <w:tcPr>
            <w:tcW w:w="1074" w:type="dxa"/>
            <w:gridSpan w:val="2"/>
            <w:noWrap/>
            <w:hideMark/>
          </w:tcPr>
          <w:p w14:paraId="07D606C1" w14:textId="77777777" w:rsidR="00747EF8" w:rsidRDefault="00747EF8">
            <w:pPr>
              <w:rPr>
                <w:sz w:val="20"/>
                <w:szCs w:val="20"/>
              </w:rPr>
            </w:pPr>
          </w:p>
        </w:tc>
        <w:tc>
          <w:tcPr>
            <w:tcW w:w="1072" w:type="dxa"/>
            <w:gridSpan w:val="2"/>
            <w:noWrap/>
            <w:hideMark/>
          </w:tcPr>
          <w:p w14:paraId="38CDD755" w14:textId="77777777" w:rsidR="00747EF8" w:rsidRDefault="00747EF8">
            <w:pPr>
              <w:rPr>
                <w:sz w:val="20"/>
                <w:szCs w:val="20"/>
              </w:rPr>
            </w:pPr>
          </w:p>
        </w:tc>
        <w:tc>
          <w:tcPr>
            <w:tcW w:w="1076" w:type="dxa"/>
            <w:gridSpan w:val="2"/>
            <w:noWrap/>
            <w:hideMark/>
          </w:tcPr>
          <w:p w14:paraId="4BCA9AB7" w14:textId="77777777" w:rsidR="00747EF8" w:rsidRDefault="00747EF8">
            <w:pPr>
              <w:rPr>
                <w:sz w:val="20"/>
                <w:szCs w:val="20"/>
              </w:rPr>
            </w:pPr>
          </w:p>
        </w:tc>
        <w:tc>
          <w:tcPr>
            <w:tcW w:w="1074" w:type="dxa"/>
            <w:gridSpan w:val="2"/>
            <w:noWrap/>
            <w:hideMark/>
          </w:tcPr>
          <w:p w14:paraId="369E3938" w14:textId="77777777" w:rsidR="00747EF8" w:rsidRDefault="00747EF8">
            <w:pPr>
              <w:rPr>
                <w:sz w:val="20"/>
                <w:szCs w:val="20"/>
              </w:rPr>
            </w:pPr>
          </w:p>
        </w:tc>
        <w:tc>
          <w:tcPr>
            <w:tcW w:w="1066" w:type="dxa"/>
            <w:gridSpan w:val="2"/>
            <w:noWrap/>
            <w:hideMark/>
          </w:tcPr>
          <w:p w14:paraId="6F05F1E8" w14:textId="77777777" w:rsidR="00747EF8" w:rsidRDefault="00747EF8">
            <w:pPr>
              <w:rPr>
                <w:sz w:val="20"/>
                <w:szCs w:val="20"/>
              </w:rPr>
            </w:pPr>
          </w:p>
        </w:tc>
        <w:tc>
          <w:tcPr>
            <w:tcW w:w="933" w:type="dxa"/>
            <w:noWrap/>
            <w:hideMark/>
          </w:tcPr>
          <w:p w14:paraId="521E45F2" w14:textId="77777777" w:rsidR="00747EF8" w:rsidRDefault="00747EF8">
            <w:pPr>
              <w:rPr>
                <w:sz w:val="20"/>
                <w:szCs w:val="20"/>
              </w:rPr>
            </w:pPr>
          </w:p>
        </w:tc>
      </w:tr>
      <w:tr w:rsidR="005F4D03" w14:paraId="2BC836DA" w14:textId="77777777" w:rsidTr="005F4D03">
        <w:trPr>
          <w:trHeight w:val="300"/>
        </w:trPr>
        <w:tc>
          <w:tcPr>
            <w:tcW w:w="2790" w:type="dxa"/>
            <w:gridSpan w:val="2"/>
            <w:noWrap/>
            <w:hideMark/>
          </w:tcPr>
          <w:p w14:paraId="12F63FF2" w14:textId="77777777" w:rsidR="00747EF8" w:rsidRDefault="00747EF8">
            <w:pPr>
              <w:rPr>
                <w:sz w:val="20"/>
                <w:szCs w:val="20"/>
              </w:rPr>
            </w:pPr>
          </w:p>
        </w:tc>
        <w:tc>
          <w:tcPr>
            <w:tcW w:w="899" w:type="dxa"/>
            <w:gridSpan w:val="2"/>
            <w:noWrap/>
            <w:hideMark/>
          </w:tcPr>
          <w:p w14:paraId="0BFFDDB1" w14:textId="77777777" w:rsidR="00747EF8" w:rsidRDefault="00747EF8">
            <w:pPr>
              <w:rPr>
                <w:sz w:val="20"/>
                <w:szCs w:val="20"/>
              </w:rPr>
            </w:pPr>
          </w:p>
        </w:tc>
        <w:tc>
          <w:tcPr>
            <w:tcW w:w="1209" w:type="dxa"/>
            <w:gridSpan w:val="2"/>
            <w:noWrap/>
            <w:hideMark/>
          </w:tcPr>
          <w:p w14:paraId="71E87A4F" w14:textId="77777777" w:rsidR="00747EF8" w:rsidRDefault="00747EF8">
            <w:pPr>
              <w:rPr>
                <w:sz w:val="20"/>
                <w:szCs w:val="20"/>
              </w:rPr>
            </w:pPr>
          </w:p>
        </w:tc>
        <w:tc>
          <w:tcPr>
            <w:tcW w:w="1074" w:type="dxa"/>
            <w:gridSpan w:val="2"/>
            <w:noWrap/>
            <w:hideMark/>
          </w:tcPr>
          <w:p w14:paraId="7EA90C93" w14:textId="77777777" w:rsidR="00747EF8" w:rsidRDefault="00747EF8">
            <w:pPr>
              <w:rPr>
                <w:sz w:val="20"/>
                <w:szCs w:val="20"/>
              </w:rPr>
            </w:pPr>
          </w:p>
        </w:tc>
        <w:tc>
          <w:tcPr>
            <w:tcW w:w="1074" w:type="dxa"/>
            <w:gridSpan w:val="2"/>
            <w:noWrap/>
            <w:hideMark/>
          </w:tcPr>
          <w:p w14:paraId="3654688D" w14:textId="77777777" w:rsidR="00747EF8" w:rsidRDefault="00747EF8">
            <w:pPr>
              <w:rPr>
                <w:sz w:val="20"/>
                <w:szCs w:val="20"/>
              </w:rPr>
            </w:pPr>
          </w:p>
        </w:tc>
        <w:tc>
          <w:tcPr>
            <w:tcW w:w="1074" w:type="dxa"/>
            <w:gridSpan w:val="2"/>
            <w:noWrap/>
            <w:hideMark/>
          </w:tcPr>
          <w:p w14:paraId="5F3BBA85" w14:textId="77777777" w:rsidR="00747EF8" w:rsidRDefault="00747EF8">
            <w:pPr>
              <w:rPr>
                <w:sz w:val="20"/>
                <w:szCs w:val="20"/>
              </w:rPr>
            </w:pPr>
          </w:p>
        </w:tc>
        <w:tc>
          <w:tcPr>
            <w:tcW w:w="1072" w:type="dxa"/>
            <w:gridSpan w:val="2"/>
            <w:noWrap/>
            <w:hideMark/>
          </w:tcPr>
          <w:p w14:paraId="116F5D3B" w14:textId="77777777" w:rsidR="00747EF8" w:rsidRDefault="00747EF8">
            <w:pPr>
              <w:rPr>
                <w:sz w:val="20"/>
                <w:szCs w:val="20"/>
              </w:rPr>
            </w:pPr>
          </w:p>
        </w:tc>
        <w:tc>
          <w:tcPr>
            <w:tcW w:w="1076" w:type="dxa"/>
            <w:gridSpan w:val="2"/>
            <w:noWrap/>
            <w:hideMark/>
          </w:tcPr>
          <w:p w14:paraId="78585CE6" w14:textId="77777777" w:rsidR="00747EF8" w:rsidRDefault="00747EF8">
            <w:pPr>
              <w:rPr>
                <w:sz w:val="20"/>
                <w:szCs w:val="20"/>
              </w:rPr>
            </w:pPr>
          </w:p>
        </w:tc>
        <w:tc>
          <w:tcPr>
            <w:tcW w:w="1074" w:type="dxa"/>
            <w:gridSpan w:val="2"/>
            <w:noWrap/>
            <w:hideMark/>
          </w:tcPr>
          <w:p w14:paraId="70F0D3CB" w14:textId="77777777" w:rsidR="00747EF8" w:rsidRDefault="00747EF8">
            <w:pPr>
              <w:rPr>
                <w:sz w:val="20"/>
                <w:szCs w:val="20"/>
              </w:rPr>
            </w:pPr>
          </w:p>
        </w:tc>
        <w:tc>
          <w:tcPr>
            <w:tcW w:w="1066" w:type="dxa"/>
            <w:gridSpan w:val="2"/>
            <w:noWrap/>
            <w:hideMark/>
          </w:tcPr>
          <w:p w14:paraId="61FA16D8" w14:textId="77777777" w:rsidR="00747EF8" w:rsidRDefault="00747EF8">
            <w:pPr>
              <w:rPr>
                <w:sz w:val="20"/>
                <w:szCs w:val="20"/>
              </w:rPr>
            </w:pPr>
          </w:p>
        </w:tc>
        <w:tc>
          <w:tcPr>
            <w:tcW w:w="933" w:type="dxa"/>
            <w:noWrap/>
            <w:hideMark/>
          </w:tcPr>
          <w:p w14:paraId="524B3F4C" w14:textId="77777777" w:rsidR="00747EF8" w:rsidRDefault="00747EF8">
            <w:pPr>
              <w:rPr>
                <w:sz w:val="20"/>
                <w:szCs w:val="20"/>
              </w:rPr>
            </w:pPr>
          </w:p>
        </w:tc>
      </w:tr>
      <w:tr w:rsidR="005F4D03" w14:paraId="1F235CF3" w14:textId="77777777" w:rsidTr="005F4D03">
        <w:trPr>
          <w:trHeight w:val="300"/>
        </w:trPr>
        <w:tc>
          <w:tcPr>
            <w:tcW w:w="2790" w:type="dxa"/>
            <w:gridSpan w:val="2"/>
            <w:noWrap/>
            <w:hideMark/>
          </w:tcPr>
          <w:p w14:paraId="3AED26C8" w14:textId="77777777" w:rsidR="00747EF8" w:rsidRDefault="00747EF8">
            <w:r>
              <w:t>Mean</w:t>
            </w:r>
          </w:p>
        </w:tc>
        <w:tc>
          <w:tcPr>
            <w:tcW w:w="899" w:type="dxa"/>
            <w:gridSpan w:val="2"/>
            <w:noWrap/>
            <w:hideMark/>
          </w:tcPr>
          <w:p w14:paraId="36F59B7A" w14:textId="77777777" w:rsidR="00747EF8" w:rsidRDefault="00747EF8">
            <w:pPr>
              <w:jc w:val="center"/>
            </w:pPr>
            <w:r>
              <w:t>0.301</w:t>
            </w:r>
          </w:p>
        </w:tc>
        <w:tc>
          <w:tcPr>
            <w:tcW w:w="1209" w:type="dxa"/>
            <w:gridSpan w:val="2"/>
            <w:noWrap/>
            <w:hideMark/>
          </w:tcPr>
          <w:p w14:paraId="075A627A" w14:textId="77777777" w:rsidR="00747EF8" w:rsidRDefault="00747EF8">
            <w:pPr>
              <w:jc w:val="center"/>
            </w:pPr>
            <w:r>
              <w:t>0.432</w:t>
            </w:r>
          </w:p>
        </w:tc>
        <w:tc>
          <w:tcPr>
            <w:tcW w:w="1074" w:type="dxa"/>
            <w:gridSpan w:val="2"/>
            <w:noWrap/>
            <w:hideMark/>
          </w:tcPr>
          <w:p w14:paraId="31809CEA" w14:textId="77777777" w:rsidR="00747EF8" w:rsidRDefault="00747EF8">
            <w:pPr>
              <w:jc w:val="center"/>
            </w:pPr>
            <w:r>
              <w:t>0.337</w:t>
            </w:r>
          </w:p>
        </w:tc>
        <w:tc>
          <w:tcPr>
            <w:tcW w:w="1074" w:type="dxa"/>
            <w:gridSpan w:val="2"/>
            <w:noWrap/>
            <w:hideMark/>
          </w:tcPr>
          <w:p w14:paraId="2E10987F" w14:textId="77777777" w:rsidR="00747EF8" w:rsidRDefault="00747EF8">
            <w:pPr>
              <w:jc w:val="center"/>
            </w:pPr>
            <w:r>
              <w:t>0.385</w:t>
            </w:r>
          </w:p>
        </w:tc>
        <w:tc>
          <w:tcPr>
            <w:tcW w:w="1074" w:type="dxa"/>
            <w:gridSpan w:val="2"/>
            <w:noWrap/>
            <w:hideMark/>
          </w:tcPr>
          <w:p w14:paraId="4DB711A8" w14:textId="77777777" w:rsidR="00747EF8" w:rsidRDefault="00747EF8">
            <w:pPr>
              <w:jc w:val="center"/>
            </w:pPr>
            <w:r>
              <w:t>0.273</w:t>
            </w:r>
          </w:p>
        </w:tc>
        <w:tc>
          <w:tcPr>
            <w:tcW w:w="1072" w:type="dxa"/>
            <w:gridSpan w:val="2"/>
            <w:noWrap/>
            <w:hideMark/>
          </w:tcPr>
          <w:p w14:paraId="032D4BDA" w14:textId="77777777" w:rsidR="00747EF8" w:rsidRDefault="00747EF8">
            <w:pPr>
              <w:jc w:val="center"/>
            </w:pPr>
            <w:r>
              <w:t>0.253</w:t>
            </w:r>
          </w:p>
        </w:tc>
        <w:tc>
          <w:tcPr>
            <w:tcW w:w="1076" w:type="dxa"/>
            <w:gridSpan w:val="2"/>
            <w:noWrap/>
            <w:hideMark/>
          </w:tcPr>
          <w:p w14:paraId="7BC39A4C" w14:textId="77777777" w:rsidR="00747EF8" w:rsidRDefault="00747EF8">
            <w:pPr>
              <w:jc w:val="center"/>
            </w:pPr>
            <w:r>
              <w:t>0.262</w:t>
            </w:r>
          </w:p>
        </w:tc>
        <w:tc>
          <w:tcPr>
            <w:tcW w:w="1074" w:type="dxa"/>
            <w:gridSpan w:val="2"/>
            <w:noWrap/>
            <w:hideMark/>
          </w:tcPr>
          <w:p w14:paraId="1A0346FB" w14:textId="77777777" w:rsidR="00747EF8" w:rsidRDefault="00747EF8">
            <w:pPr>
              <w:jc w:val="center"/>
            </w:pPr>
            <w:r>
              <w:t>0.265</w:t>
            </w:r>
          </w:p>
        </w:tc>
        <w:tc>
          <w:tcPr>
            <w:tcW w:w="1066" w:type="dxa"/>
            <w:gridSpan w:val="2"/>
            <w:noWrap/>
            <w:hideMark/>
          </w:tcPr>
          <w:p w14:paraId="0AC6CED9" w14:textId="77777777" w:rsidR="00747EF8" w:rsidRDefault="00747EF8">
            <w:pPr>
              <w:jc w:val="center"/>
            </w:pPr>
            <w:r>
              <w:t>0.250</w:t>
            </w:r>
          </w:p>
        </w:tc>
        <w:tc>
          <w:tcPr>
            <w:tcW w:w="933" w:type="dxa"/>
            <w:noWrap/>
            <w:hideMark/>
          </w:tcPr>
          <w:p w14:paraId="07FA0F23" w14:textId="77777777" w:rsidR="00747EF8" w:rsidRDefault="00747EF8">
            <w:pPr>
              <w:jc w:val="center"/>
            </w:pPr>
            <w:r>
              <w:t>0.257</w:t>
            </w:r>
          </w:p>
        </w:tc>
      </w:tr>
      <w:tr w:rsidR="005F4D03" w14:paraId="70203ADF" w14:textId="77777777" w:rsidTr="005F4D03">
        <w:trPr>
          <w:trHeight w:val="300"/>
        </w:trPr>
        <w:tc>
          <w:tcPr>
            <w:tcW w:w="2790" w:type="dxa"/>
            <w:gridSpan w:val="2"/>
            <w:noWrap/>
            <w:hideMark/>
          </w:tcPr>
          <w:p w14:paraId="2AB1A8B3" w14:textId="77777777" w:rsidR="00747EF8" w:rsidRDefault="00747EF8"/>
        </w:tc>
        <w:tc>
          <w:tcPr>
            <w:tcW w:w="899" w:type="dxa"/>
            <w:gridSpan w:val="2"/>
            <w:noWrap/>
            <w:hideMark/>
          </w:tcPr>
          <w:p w14:paraId="7CA1AD5F" w14:textId="77777777" w:rsidR="00747EF8" w:rsidRDefault="00747EF8">
            <w:pPr>
              <w:rPr>
                <w:sz w:val="20"/>
                <w:szCs w:val="20"/>
              </w:rPr>
            </w:pPr>
          </w:p>
        </w:tc>
        <w:tc>
          <w:tcPr>
            <w:tcW w:w="1209" w:type="dxa"/>
            <w:gridSpan w:val="2"/>
            <w:noWrap/>
            <w:hideMark/>
          </w:tcPr>
          <w:p w14:paraId="61850740" w14:textId="77777777" w:rsidR="00747EF8" w:rsidRDefault="00747EF8">
            <w:pPr>
              <w:rPr>
                <w:sz w:val="20"/>
                <w:szCs w:val="20"/>
              </w:rPr>
            </w:pPr>
          </w:p>
        </w:tc>
        <w:tc>
          <w:tcPr>
            <w:tcW w:w="1074" w:type="dxa"/>
            <w:gridSpan w:val="2"/>
            <w:noWrap/>
            <w:hideMark/>
          </w:tcPr>
          <w:p w14:paraId="47741843" w14:textId="77777777" w:rsidR="00747EF8" w:rsidRDefault="00747EF8">
            <w:pPr>
              <w:rPr>
                <w:sz w:val="20"/>
                <w:szCs w:val="20"/>
              </w:rPr>
            </w:pPr>
          </w:p>
        </w:tc>
        <w:tc>
          <w:tcPr>
            <w:tcW w:w="1074" w:type="dxa"/>
            <w:gridSpan w:val="2"/>
            <w:noWrap/>
            <w:hideMark/>
          </w:tcPr>
          <w:p w14:paraId="4BD39F66" w14:textId="77777777" w:rsidR="00747EF8" w:rsidRDefault="00747EF8">
            <w:pPr>
              <w:rPr>
                <w:sz w:val="20"/>
                <w:szCs w:val="20"/>
              </w:rPr>
            </w:pPr>
          </w:p>
        </w:tc>
        <w:tc>
          <w:tcPr>
            <w:tcW w:w="1074" w:type="dxa"/>
            <w:gridSpan w:val="2"/>
            <w:noWrap/>
            <w:hideMark/>
          </w:tcPr>
          <w:p w14:paraId="1096FCD3" w14:textId="77777777" w:rsidR="00747EF8" w:rsidRDefault="00747EF8">
            <w:pPr>
              <w:rPr>
                <w:sz w:val="20"/>
                <w:szCs w:val="20"/>
              </w:rPr>
            </w:pPr>
          </w:p>
        </w:tc>
        <w:tc>
          <w:tcPr>
            <w:tcW w:w="1072" w:type="dxa"/>
            <w:gridSpan w:val="2"/>
            <w:noWrap/>
            <w:hideMark/>
          </w:tcPr>
          <w:p w14:paraId="0B6DEC4B" w14:textId="77777777" w:rsidR="00747EF8" w:rsidRDefault="00747EF8">
            <w:pPr>
              <w:rPr>
                <w:sz w:val="20"/>
                <w:szCs w:val="20"/>
              </w:rPr>
            </w:pPr>
          </w:p>
        </w:tc>
        <w:tc>
          <w:tcPr>
            <w:tcW w:w="1076" w:type="dxa"/>
            <w:gridSpan w:val="2"/>
            <w:noWrap/>
            <w:hideMark/>
          </w:tcPr>
          <w:p w14:paraId="130EB138" w14:textId="77777777" w:rsidR="00747EF8" w:rsidRDefault="00747EF8">
            <w:pPr>
              <w:rPr>
                <w:sz w:val="20"/>
                <w:szCs w:val="20"/>
              </w:rPr>
            </w:pPr>
          </w:p>
        </w:tc>
        <w:tc>
          <w:tcPr>
            <w:tcW w:w="1074" w:type="dxa"/>
            <w:gridSpan w:val="2"/>
            <w:noWrap/>
            <w:hideMark/>
          </w:tcPr>
          <w:p w14:paraId="35B17F1F" w14:textId="77777777" w:rsidR="00747EF8" w:rsidRDefault="00747EF8">
            <w:pPr>
              <w:rPr>
                <w:sz w:val="20"/>
                <w:szCs w:val="20"/>
              </w:rPr>
            </w:pPr>
          </w:p>
        </w:tc>
        <w:tc>
          <w:tcPr>
            <w:tcW w:w="1066" w:type="dxa"/>
            <w:gridSpan w:val="2"/>
            <w:noWrap/>
            <w:hideMark/>
          </w:tcPr>
          <w:p w14:paraId="75669091" w14:textId="77777777" w:rsidR="00747EF8" w:rsidRDefault="00747EF8">
            <w:pPr>
              <w:rPr>
                <w:sz w:val="20"/>
                <w:szCs w:val="20"/>
              </w:rPr>
            </w:pPr>
          </w:p>
        </w:tc>
        <w:tc>
          <w:tcPr>
            <w:tcW w:w="933" w:type="dxa"/>
            <w:noWrap/>
            <w:hideMark/>
          </w:tcPr>
          <w:p w14:paraId="7AC4EF60" w14:textId="77777777" w:rsidR="00747EF8" w:rsidRDefault="00747EF8">
            <w:pPr>
              <w:rPr>
                <w:sz w:val="20"/>
                <w:szCs w:val="20"/>
              </w:rPr>
            </w:pPr>
          </w:p>
        </w:tc>
      </w:tr>
      <w:tr w:rsidR="005F4D03" w14:paraId="54F417A5" w14:textId="77777777" w:rsidTr="005F4D03">
        <w:trPr>
          <w:trHeight w:val="300"/>
        </w:trPr>
        <w:tc>
          <w:tcPr>
            <w:tcW w:w="2790" w:type="dxa"/>
            <w:gridSpan w:val="2"/>
            <w:noWrap/>
            <w:hideMark/>
          </w:tcPr>
          <w:p w14:paraId="1F7F66BD" w14:textId="77777777" w:rsidR="00747EF8" w:rsidRDefault="00747EF8">
            <w:r>
              <w:t>Standard Deviation</w:t>
            </w:r>
          </w:p>
        </w:tc>
        <w:tc>
          <w:tcPr>
            <w:tcW w:w="899" w:type="dxa"/>
            <w:gridSpan w:val="2"/>
            <w:noWrap/>
            <w:hideMark/>
          </w:tcPr>
          <w:p w14:paraId="75951F86" w14:textId="77777777" w:rsidR="00747EF8" w:rsidRDefault="00747EF8">
            <w:pPr>
              <w:jc w:val="center"/>
            </w:pPr>
            <w:r>
              <w:t>0.102</w:t>
            </w:r>
          </w:p>
        </w:tc>
        <w:tc>
          <w:tcPr>
            <w:tcW w:w="1209" w:type="dxa"/>
            <w:gridSpan w:val="2"/>
            <w:noWrap/>
            <w:hideMark/>
          </w:tcPr>
          <w:p w14:paraId="74E740BA" w14:textId="77777777" w:rsidR="00747EF8" w:rsidRDefault="00747EF8">
            <w:pPr>
              <w:jc w:val="center"/>
            </w:pPr>
            <w:r>
              <w:t>0.150</w:t>
            </w:r>
          </w:p>
        </w:tc>
        <w:tc>
          <w:tcPr>
            <w:tcW w:w="1074" w:type="dxa"/>
            <w:gridSpan w:val="2"/>
            <w:noWrap/>
            <w:hideMark/>
          </w:tcPr>
          <w:p w14:paraId="66AB12E2" w14:textId="77777777" w:rsidR="00747EF8" w:rsidRDefault="00747EF8">
            <w:pPr>
              <w:jc w:val="center"/>
            </w:pPr>
            <w:r>
              <w:t>0.109</w:t>
            </w:r>
          </w:p>
        </w:tc>
        <w:tc>
          <w:tcPr>
            <w:tcW w:w="1074" w:type="dxa"/>
            <w:gridSpan w:val="2"/>
            <w:noWrap/>
            <w:hideMark/>
          </w:tcPr>
          <w:p w14:paraId="4C0056EC" w14:textId="77777777" w:rsidR="00747EF8" w:rsidRDefault="00747EF8">
            <w:pPr>
              <w:jc w:val="center"/>
            </w:pPr>
            <w:r>
              <w:t>0.124</w:t>
            </w:r>
          </w:p>
        </w:tc>
        <w:tc>
          <w:tcPr>
            <w:tcW w:w="1074" w:type="dxa"/>
            <w:gridSpan w:val="2"/>
            <w:noWrap/>
            <w:hideMark/>
          </w:tcPr>
          <w:p w14:paraId="44136803" w14:textId="77777777" w:rsidR="00747EF8" w:rsidRDefault="00747EF8">
            <w:pPr>
              <w:jc w:val="center"/>
            </w:pPr>
            <w:r>
              <w:t>0.094</w:t>
            </w:r>
          </w:p>
        </w:tc>
        <w:tc>
          <w:tcPr>
            <w:tcW w:w="1072" w:type="dxa"/>
            <w:gridSpan w:val="2"/>
            <w:noWrap/>
            <w:hideMark/>
          </w:tcPr>
          <w:p w14:paraId="378A117C" w14:textId="77777777" w:rsidR="00747EF8" w:rsidRDefault="00747EF8">
            <w:pPr>
              <w:jc w:val="center"/>
            </w:pPr>
            <w:r>
              <w:t>0.104</w:t>
            </w:r>
          </w:p>
        </w:tc>
        <w:tc>
          <w:tcPr>
            <w:tcW w:w="1076" w:type="dxa"/>
            <w:gridSpan w:val="2"/>
            <w:noWrap/>
            <w:hideMark/>
          </w:tcPr>
          <w:p w14:paraId="46CD8615" w14:textId="77777777" w:rsidR="00747EF8" w:rsidRDefault="00747EF8">
            <w:pPr>
              <w:jc w:val="center"/>
            </w:pPr>
            <w:r>
              <w:t>0.086</w:t>
            </w:r>
          </w:p>
        </w:tc>
        <w:tc>
          <w:tcPr>
            <w:tcW w:w="1074" w:type="dxa"/>
            <w:gridSpan w:val="2"/>
            <w:noWrap/>
            <w:hideMark/>
          </w:tcPr>
          <w:p w14:paraId="559DAAC5" w14:textId="77777777" w:rsidR="00747EF8" w:rsidRDefault="00747EF8">
            <w:pPr>
              <w:jc w:val="center"/>
            </w:pPr>
            <w:r>
              <w:t>0.087</w:t>
            </w:r>
          </w:p>
        </w:tc>
        <w:tc>
          <w:tcPr>
            <w:tcW w:w="1066" w:type="dxa"/>
            <w:gridSpan w:val="2"/>
            <w:noWrap/>
            <w:hideMark/>
          </w:tcPr>
          <w:p w14:paraId="1CAD2AEC" w14:textId="77777777" w:rsidR="00747EF8" w:rsidRDefault="00747EF8">
            <w:pPr>
              <w:jc w:val="center"/>
            </w:pPr>
            <w:r>
              <w:t>0.103</w:t>
            </w:r>
          </w:p>
        </w:tc>
        <w:tc>
          <w:tcPr>
            <w:tcW w:w="933" w:type="dxa"/>
            <w:noWrap/>
            <w:hideMark/>
          </w:tcPr>
          <w:p w14:paraId="3A547408" w14:textId="77777777" w:rsidR="00747EF8" w:rsidRDefault="00747EF8">
            <w:pPr>
              <w:jc w:val="center"/>
            </w:pPr>
            <w:r>
              <w:t>0.082</w:t>
            </w:r>
          </w:p>
        </w:tc>
      </w:tr>
      <w:tr w:rsidR="005F4D03" w14:paraId="31662421" w14:textId="77777777" w:rsidTr="005F4D03">
        <w:trPr>
          <w:trHeight w:val="300"/>
        </w:trPr>
        <w:tc>
          <w:tcPr>
            <w:tcW w:w="2790" w:type="dxa"/>
            <w:gridSpan w:val="2"/>
            <w:noWrap/>
            <w:hideMark/>
          </w:tcPr>
          <w:p w14:paraId="333BEC62" w14:textId="77777777" w:rsidR="00747EF8" w:rsidRDefault="00747EF8"/>
        </w:tc>
        <w:tc>
          <w:tcPr>
            <w:tcW w:w="899" w:type="dxa"/>
            <w:gridSpan w:val="2"/>
            <w:noWrap/>
            <w:hideMark/>
          </w:tcPr>
          <w:p w14:paraId="1CE84478" w14:textId="77777777" w:rsidR="00747EF8" w:rsidRDefault="00747EF8">
            <w:pPr>
              <w:rPr>
                <w:sz w:val="20"/>
                <w:szCs w:val="20"/>
              </w:rPr>
            </w:pPr>
          </w:p>
        </w:tc>
        <w:tc>
          <w:tcPr>
            <w:tcW w:w="1209" w:type="dxa"/>
            <w:gridSpan w:val="2"/>
            <w:noWrap/>
            <w:hideMark/>
          </w:tcPr>
          <w:p w14:paraId="15977368" w14:textId="77777777" w:rsidR="00747EF8" w:rsidRDefault="00747EF8">
            <w:pPr>
              <w:rPr>
                <w:sz w:val="20"/>
                <w:szCs w:val="20"/>
              </w:rPr>
            </w:pPr>
          </w:p>
        </w:tc>
        <w:tc>
          <w:tcPr>
            <w:tcW w:w="1074" w:type="dxa"/>
            <w:gridSpan w:val="2"/>
            <w:noWrap/>
            <w:hideMark/>
          </w:tcPr>
          <w:p w14:paraId="6E331F04" w14:textId="77777777" w:rsidR="00747EF8" w:rsidRDefault="00747EF8">
            <w:pPr>
              <w:rPr>
                <w:sz w:val="20"/>
                <w:szCs w:val="20"/>
              </w:rPr>
            </w:pPr>
          </w:p>
        </w:tc>
        <w:tc>
          <w:tcPr>
            <w:tcW w:w="1074" w:type="dxa"/>
            <w:gridSpan w:val="2"/>
            <w:noWrap/>
            <w:hideMark/>
          </w:tcPr>
          <w:p w14:paraId="3A39CC2C" w14:textId="77777777" w:rsidR="00747EF8" w:rsidRDefault="00747EF8">
            <w:pPr>
              <w:rPr>
                <w:sz w:val="20"/>
                <w:szCs w:val="20"/>
              </w:rPr>
            </w:pPr>
          </w:p>
        </w:tc>
        <w:tc>
          <w:tcPr>
            <w:tcW w:w="1074" w:type="dxa"/>
            <w:gridSpan w:val="2"/>
            <w:noWrap/>
            <w:hideMark/>
          </w:tcPr>
          <w:p w14:paraId="565A873B" w14:textId="77777777" w:rsidR="00747EF8" w:rsidRDefault="00747EF8">
            <w:pPr>
              <w:rPr>
                <w:sz w:val="20"/>
                <w:szCs w:val="20"/>
              </w:rPr>
            </w:pPr>
          </w:p>
        </w:tc>
        <w:tc>
          <w:tcPr>
            <w:tcW w:w="1072" w:type="dxa"/>
            <w:gridSpan w:val="2"/>
            <w:noWrap/>
            <w:hideMark/>
          </w:tcPr>
          <w:p w14:paraId="6A02B4B4" w14:textId="77777777" w:rsidR="00747EF8" w:rsidRDefault="00747EF8">
            <w:pPr>
              <w:rPr>
                <w:sz w:val="20"/>
                <w:szCs w:val="20"/>
              </w:rPr>
            </w:pPr>
          </w:p>
        </w:tc>
        <w:tc>
          <w:tcPr>
            <w:tcW w:w="1076" w:type="dxa"/>
            <w:gridSpan w:val="2"/>
            <w:noWrap/>
            <w:hideMark/>
          </w:tcPr>
          <w:p w14:paraId="04DB482B" w14:textId="77777777" w:rsidR="00747EF8" w:rsidRDefault="00747EF8">
            <w:pPr>
              <w:rPr>
                <w:sz w:val="20"/>
                <w:szCs w:val="20"/>
              </w:rPr>
            </w:pPr>
          </w:p>
        </w:tc>
        <w:tc>
          <w:tcPr>
            <w:tcW w:w="1074" w:type="dxa"/>
            <w:gridSpan w:val="2"/>
            <w:noWrap/>
            <w:hideMark/>
          </w:tcPr>
          <w:p w14:paraId="6B6C46E0" w14:textId="77777777" w:rsidR="00747EF8" w:rsidRDefault="00747EF8">
            <w:pPr>
              <w:rPr>
                <w:sz w:val="20"/>
                <w:szCs w:val="20"/>
              </w:rPr>
            </w:pPr>
          </w:p>
        </w:tc>
        <w:tc>
          <w:tcPr>
            <w:tcW w:w="1066" w:type="dxa"/>
            <w:gridSpan w:val="2"/>
            <w:noWrap/>
            <w:hideMark/>
          </w:tcPr>
          <w:p w14:paraId="33E7F47D" w14:textId="77777777" w:rsidR="00747EF8" w:rsidRDefault="00747EF8">
            <w:pPr>
              <w:rPr>
                <w:sz w:val="20"/>
                <w:szCs w:val="20"/>
              </w:rPr>
            </w:pPr>
          </w:p>
        </w:tc>
        <w:tc>
          <w:tcPr>
            <w:tcW w:w="933" w:type="dxa"/>
            <w:noWrap/>
            <w:hideMark/>
          </w:tcPr>
          <w:p w14:paraId="649B35A7" w14:textId="77777777" w:rsidR="00747EF8" w:rsidRDefault="00747EF8">
            <w:pPr>
              <w:rPr>
                <w:sz w:val="20"/>
                <w:szCs w:val="20"/>
              </w:rPr>
            </w:pPr>
          </w:p>
        </w:tc>
      </w:tr>
      <w:tr w:rsidR="005F4D03" w14:paraId="60C2AA78" w14:textId="77777777" w:rsidTr="005F4D03">
        <w:trPr>
          <w:trHeight w:val="300"/>
        </w:trPr>
        <w:tc>
          <w:tcPr>
            <w:tcW w:w="2790" w:type="dxa"/>
            <w:gridSpan w:val="2"/>
            <w:noWrap/>
            <w:hideMark/>
          </w:tcPr>
          <w:p w14:paraId="3684E55F" w14:textId="77777777" w:rsidR="00747EF8" w:rsidRDefault="00747EF8">
            <w:r>
              <w:t>Bland Altman Mean</w:t>
            </w:r>
          </w:p>
        </w:tc>
        <w:tc>
          <w:tcPr>
            <w:tcW w:w="899" w:type="dxa"/>
            <w:gridSpan w:val="2"/>
            <w:noWrap/>
            <w:hideMark/>
          </w:tcPr>
          <w:p w14:paraId="2360501F" w14:textId="77777777" w:rsidR="00747EF8" w:rsidRDefault="00747EF8">
            <w:pPr>
              <w:jc w:val="center"/>
            </w:pPr>
            <w:r>
              <w:t>---</w:t>
            </w:r>
          </w:p>
        </w:tc>
        <w:tc>
          <w:tcPr>
            <w:tcW w:w="1209" w:type="dxa"/>
            <w:gridSpan w:val="2"/>
            <w:noWrap/>
            <w:hideMark/>
          </w:tcPr>
          <w:p w14:paraId="40EE6A3C" w14:textId="77777777" w:rsidR="00747EF8" w:rsidRDefault="00747EF8">
            <w:pPr>
              <w:jc w:val="center"/>
            </w:pPr>
            <w:r>
              <w:t>-0.131</w:t>
            </w:r>
          </w:p>
        </w:tc>
        <w:tc>
          <w:tcPr>
            <w:tcW w:w="1074" w:type="dxa"/>
            <w:gridSpan w:val="2"/>
            <w:noWrap/>
            <w:hideMark/>
          </w:tcPr>
          <w:p w14:paraId="156E69C0" w14:textId="77777777" w:rsidR="00747EF8" w:rsidRDefault="00747EF8">
            <w:pPr>
              <w:jc w:val="center"/>
            </w:pPr>
            <w:r>
              <w:t>-0.036</w:t>
            </w:r>
          </w:p>
        </w:tc>
        <w:tc>
          <w:tcPr>
            <w:tcW w:w="1074" w:type="dxa"/>
            <w:gridSpan w:val="2"/>
            <w:noWrap/>
            <w:hideMark/>
          </w:tcPr>
          <w:p w14:paraId="47DB9815" w14:textId="77777777" w:rsidR="00747EF8" w:rsidRDefault="00747EF8">
            <w:pPr>
              <w:jc w:val="center"/>
            </w:pPr>
            <w:r>
              <w:t>-0.084</w:t>
            </w:r>
          </w:p>
        </w:tc>
        <w:tc>
          <w:tcPr>
            <w:tcW w:w="1074" w:type="dxa"/>
            <w:gridSpan w:val="2"/>
            <w:noWrap/>
            <w:hideMark/>
          </w:tcPr>
          <w:p w14:paraId="4E663359" w14:textId="77777777" w:rsidR="00747EF8" w:rsidRDefault="00747EF8">
            <w:pPr>
              <w:jc w:val="center"/>
            </w:pPr>
            <w:r>
              <w:t>0.029</w:t>
            </w:r>
          </w:p>
        </w:tc>
        <w:tc>
          <w:tcPr>
            <w:tcW w:w="1072" w:type="dxa"/>
            <w:gridSpan w:val="2"/>
            <w:noWrap/>
            <w:hideMark/>
          </w:tcPr>
          <w:p w14:paraId="41CCAF61" w14:textId="77777777" w:rsidR="00747EF8" w:rsidRDefault="00747EF8">
            <w:pPr>
              <w:jc w:val="center"/>
            </w:pPr>
            <w:r>
              <w:t>0.048</w:t>
            </w:r>
          </w:p>
        </w:tc>
        <w:tc>
          <w:tcPr>
            <w:tcW w:w="1076" w:type="dxa"/>
            <w:gridSpan w:val="2"/>
            <w:noWrap/>
            <w:hideMark/>
          </w:tcPr>
          <w:p w14:paraId="6470F21B" w14:textId="77777777" w:rsidR="00747EF8" w:rsidRDefault="00747EF8">
            <w:pPr>
              <w:jc w:val="center"/>
            </w:pPr>
            <w:r>
              <w:t>0.039</w:t>
            </w:r>
          </w:p>
        </w:tc>
        <w:tc>
          <w:tcPr>
            <w:tcW w:w="1074" w:type="dxa"/>
            <w:gridSpan w:val="2"/>
            <w:noWrap/>
            <w:hideMark/>
          </w:tcPr>
          <w:p w14:paraId="5C04D5CA" w14:textId="77777777" w:rsidR="00747EF8" w:rsidRDefault="00747EF8">
            <w:pPr>
              <w:jc w:val="center"/>
            </w:pPr>
            <w:r>
              <w:t>0.036</w:t>
            </w:r>
          </w:p>
        </w:tc>
        <w:tc>
          <w:tcPr>
            <w:tcW w:w="1066" w:type="dxa"/>
            <w:gridSpan w:val="2"/>
            <w:noWrap/>
            <w:hideMark/>
          </w:tcPr>
          <w:p w14:paraId="408A9A5F" w14:textId="77777777" w:rsidR="00747EF8" w:rsidRDefault="00747EF8">
            <w:pPr>
              <w:jc w:val="center"/>
            </w:pPr>
            <w:r>
              <w:t>0.051</w:t>
            </w:r>
          </w:p>
        </w:tc>
        <w:tc>
          <w:tcPr>
            <w:tcW w:w="933" w:type="dxa"/>
            <w:noWrap/>
            <w:hideMark/>
          </w:tcPr>
          <w:p w14:paraId="20510F3F" w14:textId="77777777" w:rsidR="00747EF8" w:rsidRDefault="00747EF8">
            <w:pPr>
              <w:jc w:val="center"/>
            </w:pPr>
            <w:r>
              <w:t>0.044</w:t>
            </w:r>
          </w:p>
        </w:tc>
      </w:tr>
      <w:tr w:rsidR="005F4D03" w14:paraId="78DBAA86" w14:textId="77777777" w:rsidTr="005F4D03">
        <w:trPr>
          <w:trHeight w:val="300"/>
        </w:trPr>
        <w:tc>
          <w:tcPr>
            <w:tcW w:w="2790" w:type="dxa"/>
            <w:gridSpan w:val="2"/>
            <w:noWrap/>
            <w:hideMark/>
          </w:tcPr>
          <w:p w14:paraId="27129B7B" w14:textId="77777777" w:rsidR="00747EF8" w:rsidRDefault="00747EF8"/>
        </w:tc>
        <w:tc>
          <w:tcPr>
            <w:tcW w:w="899" w:type="dxa"/>
            <w:gridSpan w:val="2"/>
            <w:noWrap/>
            <w:hideMark/>
          </w:tcPr>
          <w:p w14:paraId="0FE38804" w14:textId="77777777" w:rsidR="00747EF8" w:rsidRDefault="00747EF8">
            <w:pPr>
              <w:rPr>
                <w:sz w:val="20"/>
                <w:szCs w:val="20"/>
              </w:rPr>
            </w:pPr>
          </w:p>
        </w:tc>
        <w:tc>
          <w:tcPr>
            <w:tcW w:w="1209" w:type="dxa"/>
            <w:gridSpan w:val="2"/>
            <w:noWrap/>
            <w:hideMark/>
          </w:tcPr>
          <w:p w14:paraId="26E5BC20" w14:textId="77777777" w:rsidR="00747EF8" w:rsidRDefault="00747EF8">
            <w:pPr>
              <w:rPr>
                <w:sz w:val="20"/>
                <w:szCs w:val="20"/>
              </w:rPr>
            </w:pPr>
          </w:p>
        </w:tc>
        <w:tc>
          <w:tcPr>
            <w:tcW w:w="1074" w:type="dxa"/>
            <w:gridSpan w:val="2"/>
            <w:noWrap/>
            <w:hideMark/>
          </w:tcPr>
          <w:p w14:paraId="566ED3B7" w14:textId="77777777" w:rsidR="00747EF8" w:rsidRDefault="00747EF8">
            <w:pPr>
              <w:rPr>
                <w:sz w:val="20"/>
                <w:szCs w:val="20"/>
              </w:rPr>
            </w:pPr>
          </w:p>
        </w:tc>
        <w:tc>
          <w:tcPr>
            <w:tcW w:w="1074" w:type="dxa"/>
            <w:gridSpan w:val="2"/>
            <w:noWrap/>
            <w:hideMark/>
          </w:tcPr>
          <w:p w14:paraId="74BD073E" w14:textId="77777777" w:rsidR="00747EF8" w:rsidRDefault="00747EF8">
            <w:pPr>
              <w:rPr>
                <w:sz w:val="20"/>
                <w:szCs w:val="20"/>
              </w:rPr>
            </w:pPr>
          </w:p>
        </w:tc>
        <w:tc>
          <w:tcPr>
            <w:tcW w:w="1074" w:type="dxa"/>
            <w:gridSpan w:val="2"/>
            <w:noWrap/>
            <w:hideMark/>
          </w:tcPr>
          <w:p w14:paraId="12CBC7B8" w14:textId="77777777" w:rsidR="00747EF8" w:rsidRDefault="00747EF8">
            <w:pPr>
              <w:rPr>
                <w:sz w:val="20"/>
                <w:szCs w:val="20"/>
              </w:rPr>
            </w:pPr>
          </w:p>
        </w:tc>
        <w:tc>
          <w:tcPr>
            <w:tcW w:w="1072" w:type="dxa"/>
            <w:gridSpan w:val="2"/>
            <w:noWrap/>
            <w:hideMark/>
          </w:tcPr>
          <w:p w14:paraId="2EB98A6D" w14:textId="77777777" w:rsidR="00747EF8" w:rsidRDefault="00747EF8">
            <w:pPr>
              <w:rPr>
                <w:sz w:val="20"/>
                <w:szCs w:val="20"/>
              </w:rPr>
            </w:pPr>
          </w:p>
        </w:tc>
        <w:tc>
          <w:tcPr>
            <w:tcW w:w="1076" w:type="dxa"/>
            <w:gridSpan w:val="2"/>
            <w:noWrap/>
            <w:hideMark/>
          </w:tcPr>
          <w:p w14:paraId="1F00545C" w14:textId="77777777" w:rsidR="00747EF8" w:rsidRDefault="00747EF8">
            <w:pPr>
              <w:rPr>
                <w:sz w:val="20"/>
                <w:szCs w:val="20"/>
              </w:rPr>
            </w:pPr>
          </w:p>
        </w:tc>
        <w:tc>
          <w:tcPr>
            <w:tcW w:w="1074" w:type="dxa"/>
            <w:gridSpan w:val="2"/>
            <w:noWrap/>
            <w:hideMark/>
          </w:tcPr>
          <w:p w14:paraId="6AB12250" w14:textId="77777777" w:rsidR="00747EF8" w:rsidRDefault="00747EF8">
            <w:pPr>
              <w:rPr>
                <w:sz w:val="20"/>
                <w:szCs w:val="20"/>
              </w:rPr>
            </w:pPr>
          </w:p>
        </w:tc>
        <w:tc>
          <w:tcPr>
            <w:tcW w:w="1066" w:type="dxa"/>
            <w:gridSpan w:val="2"/>
            <w:noWrap/>
            <w:hideMark/>
          </w:tcPr>
          <w:p w14:paraId="287E4F8D" w14:textId="77777777" w:rsidR="00747EF8" w:rsidRDefault="00747EF8">
            <w:pPr>
              <w:rPr>
                <w:sz w:val="20"/>
                <w:szCs w:val="20"/>
              </w:rPr>
            </w:pPr>
          </w:p>
        </w:tc>
        <w:tc>
          <w:tcPr>
            <w:tcW w:w="933" w:type="dxa"/>
            <w:noWrap/>
            <w:hideMark/>
          </w:tcPr>
          <w:p w14:paraId="10BE8AB3" w14:textId="77777777" w:rsidR="00747EF8" w:rsidRDefault="00747EF8">
            <w:pPr>
              <w:rPr>
                <w:sz w:val="20"/>
                <w:szCs w:val="20"/>
              </w:rPr>
            </w:pPr>
          </w:p>
        </w:tc>
      </w:tr>
      <w:tr w:rsidR="005F4D03" w14:paraId="6D0F339D" w14:textId="77777777" w:rsidTr="005F4D03">
        <w:trPr>
          <w:trHeight w:val="300"/>
        </w:trPr>
        <w:tc>
          <w:tcPr>
            <w:tcW w:w="2790" w:type="dxa"/>
            <w:gridSpan w:val="2"/>
            <w:noWrap/>
            <w:hideMark/>
          </w:tcPr>
          <w:p w14:paraId="1E29CB0C" w14:textId="77777777" w:rsidR="00747EF8" w:rsidRDefault="00747EF8">
            <w:r>
              <w:t>Bland Altman Critical Difference</w:t>
            </w:r>
          </w:p>
        </w:tc>
        <w:tc>
          <w:tcPr>
            <w:tcW w:w="899" w:type="dxa"/>
            <w:gridSpan w:val="2"/>
            <w:noWrap/>
            <w:hideMark/>
          </w:tcPr>
          <w:p w14:paraId="445F4248" w14:textId="77777777" w:rsidR="00747EF8" w:rsidRDefault="00747EF8">
            <w:pPr>
              <w:jc w:val="center"/>
            </w:pPr>
            <w:r>
              <w:t>---</w:t>
            </w:r>
          </w:p>
        </w:tc>
        <w:tc>
          <w:tcPr>
            <w:tcW w:w="1209" w:type="dxa"/>
            <w:gridSpan w:val="2"/>
            <w:noWrap/>
            <w:hideMark/>
          </w:tcPr>
          <w:p w14:paraId="157EA378" w14:textId="77777777" w:rsidR="00747EF8" w:rsidRDefault="00747EF8">
            <w:pPr>
              <w:jc w:val="center"/>
            </w:pPr>
            <w:r>
              <w:t>0.117</w:t>
            </w:r>
          </w:p>
        </w:tc>
        <w:tc>
          <w:tcPr>
            <w:tcW w:w="1074" w:type="dxa"/>
            <w:gridSpan w:val="2"/>
            <w:noWrap/>
            <w:hideMark/>
          </w:tcPr>
          <w:p w14:paraId="3651E7DE" w14:textId="77777777" w:rsidR="00747EF8" w:rsidRDefault="00747EF8">
            <w:pPr>
              <w:jc w:val="center"/>
            </w:pPr>
            <w:r>
              <w:t>0.102</w:t>
            </w:r>
          </w:p>
        </w:tc>
        <w:tc>
          <w:tcPr>
            <w:tcW w:w="1074" w:type="dxa"/>
            <w:gridSpan w:val="2"/>
            <w:noWrap/>
            <w:hideMark/>
          </w:tcPr>
          <w:p w14:paraId="7F390F1B" w14:textId="77777777" w:rsidR="00747EF8" w:rsidRDefault="00747EF8">
            <w:pPr>
              <w:jc w:val="center"/>
            </w:pPr>
            <w:r>
              <w:t>0.061</w:t>
            </w:r>
          </w:p>
        </w:tc>
        <w:tc>
          <w:tcPr>
            <w:tcW w:w="1074" w:type="dxa"/>
            <w:gridSpan w:val="2"/>
            <w:noWrap/>
            <w:hideMark/>
          </w:tcPr>
          <w:p w14:paraId="4B056862" w14:textId="77777777" w:rsidR="00747EF8" w:rsidRDefault="00747EF8">
            <w:pPr>
              <w:jc w:val="center"/>
            </w:pPr>
            <w:r>
              <w:t>0.065</w:t>
            </w:r>
          </w:p>
        </w:tc>
        <w:tc>
          <w:tcPr>
            <w:tcW w:w="1072" w:type="dxa"/>
            <w:gridSpan w:val="2"/>
            <w:noWrap/>
            <w:hideMark/>
          </w:tcPr>
          <w:p w14:paraId="29824EE5" w14:textId="77777777" w:rsidR="00747EF8" w:rsidRDefault="00747EF8">
            <w:pPr>
              <w:jc w:val="center"/>
            </w:pPr>
            <w:r>
              <w:t>0.161</w:t>
            </w:r>
          </w:p>
        </w:tc>
        <w:tc>
          <w:tcPr>
            <w:tcW w:w="1076" w:type="dxa"/>
            <w:gridSpan w:val="2"/>
            <w:noWrap/>
            <w:hideMark/>
          </w:tcPr>
          <w:p w14:paraId="07197220" w14:textId="77777777" w:rsidR="00747EF8" w:rsidRDefault="00747EF8">
            <w:pPr>
              <w:jc w:val="center"/>
            </w:pPr>
            <w:r>
              <w:t>0.065</w:t>
            </w:r>
          </w:p>
        </w:tc>
        <w:tc>
          <w:tcPr>
            <w:tcW w:w="1074" w:type="dxa"/>
            <w:gridSpan w:val="2"/>
            <w:noWrap/>
            <w:hideMark/>
          </w:tcPr>
          <w:p w14:paraId="763BDB50" w14:textId="77777777" w:rsidR="00747EF8" w:rsidRDefault="00747EF8">
            <w:pPr>
              <w:jc w:val="center"/>
            </w:pPr>
            <w:r>
              <w:t>0.068</w:t>
            </w:r>
          </w:p>
        </w:tc>
        <w:tc>
          <w:tcPr>
            <w:tcW w:w="1066" w:type="dxa"/>
            <w:gridSpan w:val="2"/>
            <w:noWrap/>
            <w:hideMark/>
          </w:tcPr>
          <w:p w14:paraId="715973E9" w14:textId="77777777" w:rsidR="00747EF8" w:rsidRDefault="00747EF8">
            <w:pPr>
              <w:jc w:val="center"/>
            </w:pPr>
            <w:r>
              <w:t>0.165</w:t>
            </w:r>
          </w:p>
        </w:tc>
        <w:tc>
          <w:tcPr>
            <w:tcW w:w="933" w:type="dxa"/>
            <w:noWrap/>
            <w:hideMark/>
          </w:tcPr>
          <w:p w14:paraId="0FC0A88F" w14:textId="77777777" w:rsidR="00747EF8" w:rsidRDefault="00747EF8">
            <w:pPr>
              <w:jc w:val="center"/>
            </w:pPr>
            <w:r>
              <w:t>0.072</w:t>
            </w:r>
          </w:p>
        </w:tc>
      </w:tr>
      <w:tr w:rsidR="005F4D03" w14:paraId="02BBC739" w14:textId="77777777" w:rsidTr="005F4D03">
        <w:trPr>
          <w:trHeight w:val="300"/>
        </w:trPr>
        <w:tc>
          <w:tcPr>
            <w:tcW w:w="2790" w:type="dxa"/>
            <w:gridSpan w:val="2"/>
            <w:noWrap/>
            <w:hideMark/>
          </w:tcPr>
          <w:p w14:paraId="7B3BFAAE" w14:textId="77777777" w:rsidR="00747EF8" w:rsidRDefault="00747EF8"/>
        </w:tc>
        <w:tc>
          <w:tcPr>
            <w:tcW w:w="899" w:type="dxa"/>
            <w:gridSpan w:val="2"/>
            <w:noWrap/>
            <w:hideMark/>
          </w:tcPr>
          <w:p w14:paraId="470CCDBC" w14:textId="77777777" w:rsidR="00747EF8" w:rsidRDefault="00747EF8">
            <w:pPr>
              <w:rPr>
                <w:sz w:val="20"/>
                <w:szCs w:val="20"/>
              </w:rPr>
            </w:pPr>
          </w:p>
        </w:tc>
        <w:tc>
          <w:tcPr>
            <w:tcW w:w="1209" w:type="dxa"/>
            <w:gridSpan w:val="2"/>
            <w:noWrap/>
            <w:hideMark/>
          </w:tcPr>
          <w:p w14:paraId="513D8E1F" w14:textId="77777777" w:rsidR="00747EF8" w:rsidRDefault="00747EF8">
            <w:pPr>
              <w:rPr>
                <w:sz w:val="20"/>
                <w:szCs w:val="20"/>
              </w:rPr>
            </w:pPr>
          </w:p>
        </w:tc>
        <w:tc>
          <w:tcPr>
            <w:tcW w:w="1074" w:type="dxa"/>
            <w:gridSpan w:val="2"/>
            <w:noWrap/>
            <w:hideMark/>
          </w:tcPr>
          <w:p w14:paraId="41821986" w14:textId="77777777" w:rsidR="00747EF8" w:rsidRDefault="00747EF8">
            <w:pPr>
              <w:rPr>
                <w:sz w:val="20"/>
                <w:szCs w:val="20"/>
              </w:rPr>
            </w:pPr>
          </w:p>
        </w:tc>
        <w:tc>
          <w:tcPr>
            <w:tcW w:w="1074" w:type="dxa"/>
            <w:gridSpan w:val="2"/>
            <w:noWrap/>
            <w:hideMark/>
          </w:tcPr>
          <w:p w14:paraId="3719F07D" w14:textId="77777777" w:rsidR="00747EF8" w:rsidRDefault="00747EF8">
            <w:pPr>
              <w:rPr>
                <w:sz w:val="20"/>
                <w:szCs w:val="20"/>
              </w:rPr>
            </w:pPr>
          </w:p>
        </w:tc>
        <w:tc>
          <w:tcPr>
            <w:tcW w:w="1074" w:type="dxa"/>
            <w:gridSpan w:val="2"/>
            <w:noWrap/>
            <w:hideMark/>
          </w:tcPr>
          <w:p w14:paraId="792BB7D5" w14:textId="77777777" w:rsidR="00747EF8" w:rsidRDefault="00747EF8">
            <w:pPr>
              <w:rPr>
                <w:sz w:val="20"/>
                <w:szCs w:val="20"/>
              </w:rPr>
            </w:pPr>
          </w:p>
        </w:tc>
        <w:tc>
          <w:tcPr>
            <w:tcW w:w="1072" w:type="dxa"/>
            <w:gridSpan w:val="2"/>
            <w:noWrap/>
            <w:hideMark/>
          </w:tcPr>
          <w:p w14:paraId="1D387113" w14:textId="77777777" w:rsidR="00747EF8" w:rsidRDefault="00747EF8">
            <w:pPr>
              <w:rPr>
                <w:sz w:val="20"/>
                <w:szCs w:val="20"/>
              </w:rPr>
            </w:pPr>
          </w:p>
        </w:tc>
        <w:tc>
          <w:tcPr>
            <w:tcW w:w="1076" w:type="dxa"/>
            <w:gridSpan w:val="2"/>
            <w:noWrap/>
            <w:hideMark/>
          </w:tcPr>
          <w:p w14:paraId="1956A1C6" w14:textId="77777777" w:rsidR="00747EF8" w:rsidRDefault="00747EF8">
            <w:pPr>
              <w:rPr>
                <w:sz w:val="20"/>
                <w:szCs w:val="20"/>
              </w:rPr>
            </w:pPr>
          </w:p>
        </w:tc>
        <w:tc>
          <w:tcPr>
            <w:tcW w:w="1074" w:type="dxa"/>
            <w:gridSpan w:val="2"/>
            <w:noWrap/>
            <w:hideMark/>
          </w:tcPr>
          <w:p w14:paraId="2B88E16D" w14:textId="77777777" w:rsidR="00747EF8" w:rsidRDefault="00747EF8">
            <w:pPr>
              <w:rPr>
                <w:sz w:val="20"/>
                <w:szCs w:val="20"/>
              </w:rPr>
            </w:pPr>
          </w:p>
        </w:tc>
        <w:tc>
          <w:tcPr>
            <w:tcW w:w="1066" w:type="dxa"/>
            <w:gridSpan w:val="2"/>
            <w:noWrap/>
            <w:hideMark/>
          </w:tcPr>
          <w:p w14:paraId="3D3CEACA" w14:textId="77777777" w:rsidR="00747EF8" w:rsidRDefault="00747EF8">
            <w:pPr>
              <w:rPr>
                <w:sz w:val="20"/>
                <w:szCs w:val="20"/>
              </w:rPr>
            </w:pPr>
          </w:p>
        </w:tc>
        <w:tc>
          <w:tcPr>
            <w:tcW w:w="933" w:type="dxa"/>
            <w:noWrap/>
            <w:hideMark/>
          </w:tcPr>
          <w:p w14:paraId="65081934" w14:textId="77777777" w:rsidR="00747EF8" w:rsidRDefault="00747EF8">
            <w:pPr>
              <w:rPr>
                <w:sz w:val="20"/>
                <w:szCs w:val="20"/>
              </w:rPr>
            </w:pPr>
          </w:p>
        </w:tc>
      </w:tr>
      <w:tr w:rsidR="005F4D03" w14:paraId="7CA1D462" w14:textId="77777777" w:rsidTr="005F4D03">
        <w:trPr>
          <w:trHeight w:val="162"/>
        </w:trPr>
        <w:tc>
          <w:tcPr>
            <w:tcW w:w="2790" w:type="dxa"/>
            <w:gridSpan w:val="2"/>
            <w:noWrap/>
            <w:hideMark/>
          </w:tcPr>
          <w:p w14:paraId="78D67553" w14:textId="77777777" w:rsidR="00747EF8" w:rsidRDefault="00747EF8">
            <w:r>
              <w:t>Pearson Correlation Coefficient</w:t>
            </w:r>
          </w:p>
        </w:tc>
        <w:tc>
          <w:tcPr>
            <w:tcW w:w="899" w:type="dxa"/>
            <w:gridSpan w:val="2"/>
            <w:noWrap/>
            <w:hideMark/>
          </w:tcPr>
          <w:p w14:paraId="565FE405" w14:textId="77777777" w:rsidR="00747EF8" w:rsidRDefault="00747EF8">
            <w:pPr>
              <w:jc w:val="center"/>
            </w:pPr>
            <w:r>
              <w:t>---</w:t>
            </w:r>
          </w:p>
        </w:tc>
        <w:tc>
          <w:tcPr>
            <w:tcW w:w="1209" w:type="dxa"/>
            <w:gridSpan w:val="2"/>
            <w:noWrap/>
            <w:hideMark/>
          </w:tcPr>
          <w:p w14:paraId="37BB6FC1" w14:textId="77777777" w:rsidR="00747EF8" w:rsidRDefault="00747EF8">
            <w:pPr>
              <w:jc w:val="center"/>
              <w:rPr>
                <w:highlight w:val="darkGray"/>
              </w:rPr>
            </w:pPr>
            <w:r>
              <w:t>0.918</w:t>
            </w:r>
          </w:p>
        </w:tc>
        <w:tc>
          <w:tcPr>
            <w:tcW w:w="1074" w:type="dxa"/>
            <w:gridSpan w:val="2"/>
            <w:noWrap/>
            <w:hideMark/>
          </w:tcPr>
          <w:p w14:paraId="2CBB1415" w14:textId="77777777" w:rsidR="00747EF8" w:rsidRDefault="00747EF8">
            <w:pPr>
              <w:jc w:val="center"/>
              <w:rPr>
                <w:highlight w:val="darkGray"/>
              </w:rPr>
            </w:pPr>
            <w:r>
              <w:t>0.588</w:t>
            </w:r>
          </w:p>
        </w:tc>
        <w:tc>
          <w:tcPr>
            <w:tcW w:w="1074" w:type="dxa"/>
            <w:gridSpan w:val="2"/>
            <w:noWrap/>
            <w:hideMark/>
          </w:tcPr>
          <w:p w14:paraId="1FFE42B9" w14:textId="77777777" w:rsidR="00747EF8" w:rsidRDefault="00747EF8">
            <w:pPr>
              <w:jc w:val="center"/>
              <w:rPr>
                <w:highlight w:val="darkGray"/>
              </w:rPr>
            </w:pPr>
            <w:r>
              <w:t>0.955</w:t>
            </w:r>
          </w:p>
        </w:tc>
        <w:tc>
          <w:tcPr>
            <w:tcW w:w="1074" w:type="dxa"/>
            <w:gridSpan w:val="2"/>
            <w:noWrap/>
            <w:hideMark/>
          </w:tcPr>
          <w:p w14:paraId="7852658E" w14:textId="77777777" w:rsidR="00747EF8" w:rsidRDefault="00747EF8">
            <w:pPr>
              <w:jc w:val="center"/>
              <w:rPr>
                <w:highlight w:val="darkGray"/>
              </w:rPr>
            </w:pPr>
            <w:r>
              <w:t>0.830</w:t>
            </w:r>
          </w:p>
        </w:tc>
        <w:tc>
          <w:tcPr>
            <w:tcW w:w="1072" w:type="dxa"/>
            <w:gridSpan w:val="2"/>
            <w:noWrap/>
            <w:hideMark/>
          </w:tcPr>
          <w:p w14:paraId="0C0EFB30" w14:textId="77777777" w:rsidR="00747EF8" w:rsidRDefault="00747EF8">
            <w:pPr>
              <w:jc w:val="center"/>
              <w:rPr>
                <w:highlight w:val="darkGray"/>
              </w:rPr>
            </w:pPr>
            <w:r>
              <w:t>0.600</w:t>
            </w:r>
          </w:p>
        </w:tc>
        <w:tc>
          <w:tcPr>
            <w:tcW w:w="1076" w:type="dxa"/>
            <w:gridSpan w:val="2"/>
            <w:noWrap/>
            <w:hideMark/>
          </w:tcPr>
          <w:p w14:paraId="35C72AFE" w14:textId="77777777" w:rsidR="00747EF8" w:rsidRDefault="00747EF8">
            <w:pPr>
              <w:jc w:val="center"/>
            </w:pPr>
            <w:r>
              <w:t>0.821</w:t>
            </w:r>
          </w:p>
        </w:tc>
        <w:tc>
          <w:tcPr>
            <w:tcW w:w="1074" w:type="dxa"/>
            <w:gridSpan w:val="2"/>
            <w:noWrap/>
            <w:hideMark/>
          </w:tcPr>
          <w:p w14:paraId="34C921D9" w14:textId="77777777" w:rsidR="00747EF8" w:rsidRDefault="00747EF8">
            <w:pPr>
              <w:jc w:val="center"/>
              <w:rPr>
                <w:highlight w:val="darkGray"/>
              </w:rPr>
            </w:pPr>
            <w:r>
              <w:t>0.830</w:t>
            </w:r>
          </w:p>
        </w:tc>
        <w:tc>
          <w:tcPr>
            <w:tcW w:w="1066" w:type="dxa"/>
            <w:gridSpan w:val="2"/>
            <w:noWrap/>
            <w:hideMark/>
          </w:tcPr>
          <w:p w14:paraId="232457ED" w14:textId="77777777" w:rsidR="00747EF8" w:rsidRDefault="00747EF8">
            <w:pPr>
              <w:jc w:val="center"/>
              <w:rPr>
                <w:highlight w:val="darkGray"/>
              </w:rPr>
            </w:pPr>
            <w:r>
              <w:t>0.613</w:t>
            </w:r>
          </w:p>
        </w:tc>
        <w:tc>
          <w:tcPr>
            <w:tcW w:w="933" w:type="dxa"/>
            <w:noWrap/>
            <w:hideMark/>
          </w:tcPr>
          <w:p w14:paraId="444DED9F" w14:textId="77777777" w:rsidR="00747EF8" w:rsidRDefault="00747EF8">
            <w:pPr>
              <w:jc w:val="center"/>
              <w:rPr>
                <w:highlight w:val="darkGray"/>
              </w:rPr>
            </w:pPr>
            <w:r>
              <w:t>0.815</w:t>
            </w:r>
          </w:p>
        </w:tc>
      </w:tr>
    </w:tbl>
    <w:p w14:paraId="27B7081A" w14:textId="77777777" w:rsidR="00747EF8" w:rsidRDefault="00747EF8" w:rsidP="000661BF">
      <w:pPr>
        <w:ind w:firstLine="720"/>
        <w:rPr>
          <w:rFonts w:ascii="Calibri" w:eastAsia="Calibri" w:hAnsi="Calibri" w:cs="Times New Roman"/>
        </w:rPr>
        <w:sectPr w:rsidR="00747EF8" w:rsidSect="0035019E">
          <w:type w:val="continuous"/>
          <w:pgSz w:w="15840" w:h="12240" w:orient="landscape"/>
          <w:pgMar w:top="1440" w:right="1440" w:bottom="1440" w:left="1440" w:header="720" w:footer="720" w:gutter="0"/>
          <w:lnNumType w:countBy="1" w:restart="continuous"/>
          <w:cols w:space="720"/>
          <w:docGrid w:linePitch="360"/>
        </w:sectPr>
      </w:pPr>
    </w:p>
    <w:p w14:paraId="02B9D56B" w14:textId="704BD1A8" w:rsidR="000661BF" w:rsidRPr="006F4A79" w:rsidRDefault="000661BF" w:rsidP="000661BF">
      <w:pPr>
        <w:ind w:firstLine="720"/>
        <w:rPr>
          <w:rFonts w:ascii="Calibri" w:eastAsia="Calibri" w:hAnsi="Calibri" w:cs="Times New Roman"/>
        </w:rPr>
      </w:pPr>
    </w:p>
    <w:p w14:paraId="11FB49D3" w14:textId="77777777" w:rsidR="00747EF8" w:rsidRDefault="00747EF8" w:rsidP="00020ABC">
      <w:pPr>
        <w:spacing w:line="480" w:lineRule="auto"/>
        <w:rPr>
          <w:rFonts w:ascii="Calibri" w:eastAsia="Calibri" w:hAnsi="Calibri" w:cs="Times New Roman"/>
          <w:i/>
        </w:rPr>
      </w:pPr>
    </w:p>
    <w:p w14:paraId="739EE441" w14:textId="675DBBD2" w:rsidR="0049682C" w:rsidRPr="0049682C" w:rsidRDefault="0049682C" w:rsidP="00020ABC">
      <w:pPr>
        <w:spacing w:line="480" w:lineRule="auto"/>
        <w:rPr>
          <w:rFonts w:ascii="Calibri" w:eastAsia="Calibri" w:hAnsi="Calibri" w:cs="Times New Roman"/>
          <w:i/>
        </w:rPr>
      </w:pPr>
      <w:r w:rsidRPr="0049682C">
        <w:rPr>
          <w:rFonts w:ascii="Calibri" w:eastAsia="Calibri" w:hAnsi="Calibri" w:cs="Times New Roman"/>
          <w:i/>
        </w:rPr>
        <w:t>Vasopressors Cohort</w:t>
      </w:r>
    </w:p>
    <w:p w14:paraId="6C6C5883" w14:textId="31E1B725" w:rsidR="006C584D" w:rsidRDefault="00CD6EF5" w:rsidP="00020ABC">
      <w:pPr>
        <w:spacing w:line="480" w:lineRule="auto"/>
        <w:rPr>
          <w:rFonts w:ascii="Calibri" w:eastAsia="Calibri" w:hAnsi="Calibri" w:cs="Times New Roman"/>
        </w:rPr>
      </w:pPr>
      <w:r>
        <w:rPr>
          <w:rFonts w:ascii="Calibri" w:eastAsia="Calibri" w:hAnsi="Calibri" w:cs="Times New Roman"/>
        </w:rPr>
        <w:tab/>
        <w:t xml:space="preserve">As </w:t>
      </w:r>
      <w:r w:rsidR="002F03CD">
        <w:rPr>
          <w:rFonts w:ascii="Calibri" w:eastAsia="Calibri" w:hAnsi="Calibri" w:cs="Times New Roman"/>
        </w:rPr>
        <w:t>observed in</w:t>
      </w:r>
      <w:r>
        <w:rPr>
          <w:rFonts w:ascii="Calibri" w:eastAsia="Calibri" w:hAnsi="Calibri" w:cs="Times New Roman"/>
        </w:rPr>
        <w:t xml:space="preserve"> both the plateau waves and the hypocapnia patient cohorts, the</w:t>
      </w:r>
      <w:r w:rsidR="00976848">
        <w:rPr>
          <w:rFonts w:ascii="Calibri" w:eastAsia="Calibri" w:hAnsi="Calibri" w:cs="Times New Roman"/>
        </w:rPr>
        <w:t xml:space="preserve"> vasopressors cohort also </w:t>
      </w:r>
      <w:r w:rsidR="002F03CD">
        <w:rPr>
          <w:rFonts w:ascii="Calibri" w:eastAsia="Calibri" w:hAnsi="Calibri" w:cs="Times New Roman"/>
        </w:rPr>
        <w:t xml:space="preserve">suggested </w:t>
      </w:r>
      <w:r w:rsidR="00976848">
        <w:rPr>
          <w:rFonts w:ascii="Calibri" w:eastAsia="Calibri" w:hAnsi="Calibri" w:cs="Times New Roman"/>
        </w:rPr>
        <w:t xml:space="preserve">high agreement </w:t>
      </w:r>
      <w:r w:rsidR="00AE4794">
        <w:rPr>
          <w:rFonts w:ascii="Calibri" w:eastAsia="Calibri" w:hAnsi="Calibri" w:cs="Times New Roman"/>
        </w:rPr>
        <w:t>with sPI</w:t>
      </w:r>
      <w:r w:rsidR="00976848">
        <w:rPr>
          <w:rFonts w:ascii="Calibri" w:eastAsia="Calibri" w:hAnsi="Calibri" w:cs="Times New Roman"/>
        </w:rPr>
        <w:t>. However,</w:t>
      </w:r>
      <w:r w:rsidR="002F03CD">
        <w:rPr>
          <w:rFonts w:ascii="Calibri" w:eastAsia="Calibri" w:hAnsi="Calibri" w:cs="Times New Roman"/>
        </w:rPr>
        <w:t xml:space="preserve"> when compared to the previous cohorts,</w:t>
      </w:r>
      <w:r w:rsidR="00976848">
        <w:rPr>
          <w:rFonts w:ascii="Calibri" w:eastAsia="Calibri" w:hAnsi="Calibri" w:cs="Times New Roman"/>
        </w:rPr>
        <w:t xml:space="preserve"> the variability </w:t>
      </w:r>
      <w:r w:rsidR="00E21A5A">
        <w:rPr>
          <w:rFonts w:ascii="Calibri" w:eastAsia="Calibri" w:hAnsi="Calibri" w:cs="Times New Roman"/>
        </w:rPr>
        <w:t>between each of the models as predictors of sPI was significantly greater</w:t>
      </w:r>
      <w:r w:rsidR="00073DF1">
        <w:rPr>
          <w:rFonts w:ascii="Calibri" w:eastAsia="Calibri" w:hAnsi="Calibri" w:cs="Times New Roman"/>
        </w:rPr>
        <w:t xml:space="preserve"> for each recording subgroup</w:t>
      </w:r>
      <w:r w:rsidR="001C52EA">
        <w:rPr>
          <w:rFonts w:ascii="Calibri" w:eastAsia="Calibri" w:hAnsi="Calibri" w:cs="Times New Roman"/>
        </w:rPr>
        <w:t>, although PI_C1R</w:t>
      </w:r>
      <w:r w:rsidR="005F4D03">
        <w:rPr>
          <w:rFonts w:ascii="Calibri" w:eastAsia="Calibri" w:hAnsi="Calibri" w:cs="Times New Roman"/>
        </w:rPr>
        <w:t>a</w:t>
      </w:r>
      <w:r w:rsidR="001C52EA">
        <w:rPr>
          <w:rFonts w:ascii="Calibri" w:eastAsia="Calibri" w:hAnsi="Calibri" w:cs="Times New Roman"/>
        </w:rPr>
        <w:t>1 and PI_C1R</w:t>
      </w:r>
      <w:r w:rsidR="005F4D03">
        <w:rPr>
          <w:rFonts w:ascii="Calibri" w:eastAsia="Calibri" w:hAnsi="Calibri" w:cs="Times New Roman"/>
        </w:rPr>
        <w:t>a</w:t>
      </w:r>
      <w:r w:rsidR="001C52EA">
        <w:rPr>
          <w:rFonts w:ascii="Calibri" w:eastAsia="Calibri" w:hAnsi="Calibri" w:cs="Times New Roman"/>
        </w:rPr>
        <w:t>3 were repeatedly closely-matched</w:t>
      </w:r>
      <w:r w:rsidR="00E21A5A">
        <w:rPr>
          <w:rFonts w:ascii="Calibri" w:eastAsia="Calibri" w:hAnsi="Calibri" w:cs="Times New Roman"/>
        </w:rPr>
        <w:t xml:space="preserve"> (see</w:t>
      </w:r>
      <w:r w:rsidR="000D513C">
        <w:rPr>
          <w:rFonts w:ascii="Calibri" w:eastAsia="Calibri" w:hAnsi="Calibri" w:cs="Times New Roman"/>
        </w:rPr>
        <w:t xml:space="preserve"> </w:t>
      </w:r>
      <w:r w:rsidR="00E21A5A">
        <w:rPr>
          <w:rFonts w:ascii="Calibri" w:eastAsia="Calibri" w:hAnsi="Calibri" w:cs="Times New Roman"/>
        </w:rPr>
        <w:t xml:space="preserve">Table </w:t>
      </w:r>
      <w:r w:rsidR="005B36FA">
        <w:rPr>
          <w:rFonts w:ascii="Calibri" w:eastAsia="Calibri" w:hAnsi="Calibri" w:cs="Times New Roman"/>
        </w:rPr>
        <w:t>4</w:t>
      </w:r>
      <w:r w:rsidR="000D513C">
        <w:rPr>
          <w:rFonts w:ascii="Calibri" w:eastAsia="Calibri" w:hAnsi="Calibri" w:cs="Times New Roman"/>
        </w:rPr>
        <w:t>, below</w:t>
      </w:r>
      <w:r w:rsidR="00E21A5A">
        <w:rPr>
          <w:rFonts w:ascii="Calibri" w:eastAsia="Calibri" w:hAnsi="Calibri" w:cs="Times New Roman"/>
        </w:rPr>
        <w:t>).</w:t>
      </w:r>
      <w:r w:rsidR="00976848">
        <w:rPr>
          <w:rFonts w:ascii="Calibri" w:eastAsia="Calibri" w:hAnsi="Calibri" w:cs="Times New Roman"/>
        </w:rPr>
        <w:t xml:space="preserve">  </w:t>
      </w:r>
      <w:r w:rsidR="002F03CD">
        <w:rPr>
          <w:rFonts w:ascii="Calibri" w:eastAsia="Calibri" w:hAnsi="Calibri" w:cs="Times New Roman"/>
        </w:rPr>
        <w:t xml:space="preserve">When considering the average </w:t>
      </w:r>
      <w:r w:rsidR="002F03CD" w:rsidRPr="002F03CD">
        <w:rPr>
          <w:rFonts w:ascii="Calibri" w:eastAsia="Calibri" w:hAnsi="Calibri" w:cs="Times New Roman"/>
          <w:i/>
        </w:rPr>
        <w:t>r</w:t>
      </w:r>
      <w:r w:rsidR="002F03CD">
        <w:rPr>
          <w:rFonts w:ascii="Calibri" w:eastAsia="Calibri" w:hAnsi="Calibri" w:cs="Times New Roman"/>
        </w:rPr>
        <w:t>-value, the</w:t>
      </w:r>
      <w:r>
        <w:rPr>
          <w:rFonts w:ascii="Calibri" w:eastAsia="Calibri" w:hAnsi="Calibri" w:cs="Times New Roman"/>
        </w:rPr>
        <w:t xml:space="preserve"> vasopressors patient cohort challenged the notion of PI_C1R</w:t>
      </w:r>
      <w:r w:rsidR="005F4D03">
        <w:rPr>
          <w:rFonts w:ascii="Calibri" w:eastAsia="Calibri" w:hAnsi="Calibri" w:cs="Times New Roman"/>
        </w:rPr>
        <w:t>a</w:t>
      </w:r>
      <w:r>
        <w:rPr>
          <w:rFonts w:ascii="Calibri" w:eastAsia="Calibri" w:hAnsi="Calibri" w:cs="Times New Roman"/>
        </w:rPr>
        <w:t xml:space="preserve">3 as being considered the “best-fit” for sPI. </w:t>
      </w:r>
      <w:r w:rsidR="002F03CD">
        <w:rPr>
          <w:rFonts w:ascii="Calibri" w:eastAsia="Calibri" w:hAnsi="Calibri" w:cs="Times New Roman"/>
        </w:rPr>
        <w:t>PI_C1R</w:t>
      </w:r>
      <w:r w:rsidR="005F4D03">
        <w:rPr>
          <w:rFonts w:ascii="Calibri" w:eastAsia="Calibri" w:hAnsi="Calibri" w:cs="Times New Roman"/>
        </w:rPr>
        <w:t>a</w:t>
      </w:r>
      <w:r w:rsidR="002F03CD">
        <w:rPr>
          <w:rFonts w:ascii="Calibri" w:eastAsia="Calibri" w:hAnsi="Calibri" w:cs="Times New Roman"/>
        </w:rPr>
        <w:t>1 and PI_C1R</w:t>
      </w:r>
      <w:r w:rsidR="005F4D03">
        <w:rPr>
          <w:rFonts w:ascii="Calibri" w:eastAsia="Calibri" w:hAnsi="Calibri" w:cs="Times New Roman"/>
        </w:rPr>
        <w:t>a</w:t>
      </w:r>
      <w:r w:rsidR="002F03CD">
        <w:rPr>
          <w:rFonts w:ascii="Calibri" w:eastAsia="Calibri" w:hAnsi="Calibri" w:cs="Times New Roman"/>
        </w:rPr>
        <w:t>3 were nearly identical approximators of sPI, with respective average r-values of 0.938 and 0.931.</w:t>
      </w:r>
      <w:r w:rsidR="001C52EA">
        <w:rPr>
          <w:rFonts w:ascii="Calibri" w:eastAsia="Calibri" w:hAnsi="Calibri" w:cs="Times New Roman"/>
        </w:rPr>
        <w:t xml:space="preserve"> </w:t>
      </w:r>
      <w:r w:rsidR="00BD3A90">
        <w:rPr>
          <w:rFonts w:ascii="Calibri" w:eastAsia="Calibri" w:hAnsi="Calibri" w:cs="Times New Roman"/>
        </w:rPr>
        <w:t xml:space="preserve">As above, the construction of each model is outlined in Appendix A. </w:t>
      </w:r>
    </w:p>
    <w:p w14:paraId="5F020810" w14:textId="6BFC453F" w:rsidR="000D513C" w:rsidRDefault="000D513C" w:rsidP="008B63D9">
      <w:pPr>
        <w:rPr>
          <w:rFonts w:ascii="Calibri" w:eastAsia="Calibri" w:hAnsi="Calibri" w:cs="Times New Roman"/>
        </w:rPr>
      </w:pPr>
    </w:p>
    <w:p w14:paraId="0A7C19D4" w14:textId="77777777" w:rsidR="000D513C" w:rsidRDefault="000D513C" w:rsidP="008B63D9">
      <w:pPr>
        <w:rPr>
          <w:rFonts w:ascii="Calibri" w:eastAsia="Calibri" w:hAnsi="Calibri" w:cs="Times New Roman"/>
        </w:rPr>
        <w:sectPr w:rsidR="000D513C" w:rsidSect="0035019E">
          <w:type w:val="continuous"/>
          <w:pgSz w:w="12240" w:h="15840"/>
          <w:pgMar w:top="1440" w:right="1440" w:bottom="1440" w:left="1440" w:header="720" w:footer="720" w:gutter="0"/>
          <w:lnNumType w:countBy="1" w:restart="continuous"/>
          <w:cols w:space="720"/>
          <w:docGrid w:linePitch="360"/>
        </w:sectPr>
      </w:pPr>
    </w:p>
    <w:p w14:paraId="57C7FA1F" w14:textId="77777777" w:rsidR="000D513C" w:rsidRDefault="000D513C" w:rsidP="000D513C"/>
    <w:p w14:paraId="2DD3633C" w14:textId="3B3BDF4F" w:rsidR="000D513C" w:rsidRDefault="000D513C" w:rsidP="000D513C">
      <w:r>
        <w:t xml:space="preserve">Table </w:t>
      </w:r>
      <w:r w:rsidR="005B36FA">
        <w:t>4</w:t>
      </w:r>
      <w:r>
        <w:t>. sPI vs. Derived PI Models in the Vasopressors Cohort</w:t>
      </w:r>
    </w:p>
    <w:p w14:paraId="2192C4D3" w14:textId="77777777" w:rsidR="000D513C" w:rsidRDefault="000D513C" w:rsidP="000D513C"/>
    <w:tbl>
      <w:tblPr>
        <w:tblStyle w:val="TableGrid"/>
        <w:tblW w:w="1325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184"/>
        <w:gridCol w:w="1074"/>
        <w:gridCol w:w="1074"/>
        <w:gridCol w:w="1074"/>
        <w:gridCol w:w="1074"/>
        <w:gridCol w:w="1074"/>
        <w:gridCol w:w="1074"/>
        <w:gridCol w:w="1074"/>
        <w:gridCol w:w="1074"/>
        <w:gridCol w:w="1136"/>
      </w:tblGrid>
      <w:tr w:rsidR="005F4D03" w14:paraId="2AA64DB4" w14:textId="77777777" w:rsidTr="005F4D03">
        <w:trPr>
          <w:trHeight w:val="300"/>
        </w:trPr>
        <w:tc>
          <w:tcPr>
            <w:tcW w:w="2340" w:type="dxa"/>
            <w:noWrap/>
            <w:hideMark/>
          </w:tcPr>
          <w:p w14:paraId="169585D5" w14:textId="77777777" w:rsidR="000D513C" w:rsidRDefault="000D513C"/>
        </w:tc>
        <w:tc>
          <w:tcPr>
            <w:tcW w:w="1184" w:type="dxa"/>
            <w:noWrap/>
            <w:hideMark/>
          </w:tcPr>
          <w:p w14:paraId="013BF22E" w14:textId="77777777" w:rsidR="000D513C" w:rsidRDefault="000D513C">
            <w:pPr>
              <w:jc w:val="center"/>
              <w:rPr>
                <w:b/>
                <w:bCs/>
              </w:rPr>
            </w:pPr>
            <w:r>
              <w:rPr>
                <w:b/>
                <w:bCs/>
              </w:rPr>
              <w:t>sPI</w:t>
            </w:r>
          </w:p>
        </w:tc>
        <w:tc>
          <w:tcPr>
            <w:tcW w:w="1074" w:type="dxa"/>
            <w:noWrap/>
            <w:hideMark/>
          </w:tcPr>
          <w:p w14:paraId="73C69238" w14:textId="236CE4F2" w:rsidR="000D513C" w:rsidRDefault="000D513C">
            <w:pPr>
              <w:jc w:val="center"/>
              <w:rPr>
                <w:b/>
                <w:bCs/>
              </w:rPr>
            </w:pPr>
            <w:r>
              <w:rPr>
                <w:b/>
                <w:bCs/>
              </w:rPr>
              <w:t>PI_C1R</w:t>
            </w:r>
            <w:r w:rsidR="005F4D03">
              <w:rPr>
                <w:b/>
                <w:bCs/>
              </w:rPr>
              <w:t>a</w:t>
            </w:r>
            <w:r>
              <w:rPr>
                <w:b/>
                <w:bCs/>
              </w:rPr>
              <w:t>1</w:t>
            </w:r>
          </w:p>
        </w:tc>
        <w:tc>
          <w:tcPr>
            <w:tcW w:w="1074" w:type="dxa"/>
            <w:noWrap/>
            <w:hideMark/>
          </w:tcPr>
          <w:p w14:paraId="23E46170" w14:textId="2397D6DB" w:rsidR="000D513C" w:rsidRDefault="000D513C">
            <w:pPr>
              <w:jc w:val="center"/>
              <w:rPr>
                <w:b/>
                <w:bCs/>
              </w:rPr>
            </w:pPr>
            <w:r>
              <w:rPr>
                <w:b/>
                <w:bCs/>
              </w:rPr>
              <w:t>PI_C1R</w:t>
            </w:r>
            <w:r w:rsidR="005F4D03">
              <w:rPr>
                <w:b/>
                <w:bCs/>
              </w:rPr>
              <w:t>a</w:t>
            </w:r>
            <w:r>
              <w:rPr>
                <w:b/>
                <w:bCs/>
              </w:rPr>
              <w:t>2</w:t>
            </w:r>
          </w:p>
        </w:tc>
        <w:tc>
          <w:tcPr>
            <w:tcW w:w="1074" w:type="dxa"/>
            <w:noWrap/>
            <w:hideMark/>
          </w:tcPr>
          <w:p w14:paraId="0B7AC4B5" w14:textId="2118CBF0" w:rsidR="000D513C" w:rsidRDefault="000D513C">
            <w:pPr>
              <w:jc w:val="center"/>
              <w:rPr>
                <w:b/>
                <w:bCs/>
              </w:rPr>
            </w:pPr>
            <w:r>
              <w:rPr>
                <w:b/>
                <w:bCs/>
              </w:rPr>
              <w:t>PI_C1</w:t>
            </w:r>
            <w:r w:rsidR="005F4D03">
              <w:rPr>
                <w:b/>
                <w:bCs/>
              </w:rPr>
              <w:t>Ra</w:t>
            </w:r>
            <w:r>
              <w:rPr>
                <w:b/>
                <w:bCs/>
              </w:rPr>
              <w:t>3</w:t>
            </w:r>
          </w:p>
        </w:tc>
        <w:tc>
          <w:tcPr>
            <w:tcW w:w="1074" w:type="dxa"/>
            <w:noWrap/>
            <w:hideMark/>
          </w:tcPr>
          <w:p w14:paraId="7FD8FE03" w14:textId="4F548CF4" w:rsidR="000D513C" w:rsidRDefault="000D513C">
            <w:pPr>
              <w:jc w:val="center"/>
              <w:rPr>
                <w:b/>
                <w:bCs/>
              </w:rPr>
            </w:pPr>
            <w:r>
              <w:rPr>
                <w:b/>
                <w:bCs/>
              </w:rPr>
              <w:t>PI_C2R</w:t>
            </w:r>
            <w:r w:rsidR="005F4D03">
              <w:rPr>
                <w:b/>
                <w:bCs/>
              </w:rPr>
              <w:t>a</w:t>
            </w:r>
            <w:r>
              <w:rPr>
                <w:b/>
                <w:bCs/>
              </w:rPr>
              <w:t>1</w:t>
            </w:r>
          </w:p>
        </w:tc>
        <w:tc>
          <w:tcPr>
            <w:tcW w:w="1074" w:type="dxa"/>
            <w:noWrap/>
            <w:hideMark/>
          </w:tcPr>
          <w:p w14:paraId="4295A403" w14:textId="79B05384" w:rsidR="000D513C" w:rsidRDefault="000D513C">
            <w:pPr>
              <w:jc w:val="center"/>
              <w:rPr>
                <w:b/>
                <w:bCs/>
              </w:rPr>
            </w:pPr>
            <w:r>
              <w:rPr>
                <w:b/>
                <w:bCs/>
              </w:rPr>
              <w:t>PI_C2R</w:t>
            </w:r>
            <w:r w:rsidR="005F4D03">
              <w:rPr>
                <w:b/>
                <w:bCs/>
              </w:rPr>
              <w:t>a</w:t>
            </w:r>
            <w:r>
              <w:rPr>
                <w:b/>
                <w:bCs/>
              </w:rPr>
              <w:t>2</w:t>
            </w:r>
          </w:p>
        </w:tc>
        <w:tc>
          <w:tcPr>
            <w:tcW w:w="1074" w:type="dxa"/>
            <w:noWrap/>
            <w:hideMark/>
          </w:tcPr>
          <w:p w14:paraId="01C1E8BA" w14:textId="7C80D7D9" w:rsidR="000D513C" w:rsidRDefault="000D513C">
            <w:pPr>
              <w:jc w:val="center"/>
              <w:rPr>
                <w:b/>
                <w:bCs/>
              </w:rPr>
            </w:pPr>
            <w:r>
              <w:rPr>
                <w:b/>
                <w:bCs/>
              </w:rPr>
              <w:t>PI_C2R</w:t>
            </w:r>
            <w:r w:rsidR="005F4D03">
              <w:rPr>
                <w:b/>
                <w:bCs/>
              </w:rPr>
              <w:t>a</w:t>
            </w:r>
            <w:r>
              <w:rPr>
                <w:b/>
                <w:bCs/>
              </w:rPr>
              <w:t>3</w:t>
            </w:r>
          </w:p>
        </w:tc>
        <w:tc>
          <w:tcPr>
            <w:tcW w:w="1074" w:type="dxa"/>
            <w:noWrap/>
            <w:hideMark/>
          </w:tcPr>
          <w:p w14:paraId="0709CEB0" w14:textId="75E5AB6C" w:rsidR="000D513C" w:rsidRDefault="000D513C">
            <w:pPr>
              <w:jc w:val="center"/>
              <w:rPr>
                <w:b/>
                <w:bCs/>
              </w:rPr>
            </w:pPr>
            <w:r>
              <w:rPr>
                <w:b/>
                <w:bCs/>
              </w:rPr>
              <w:t>PI_C3R</w:t>
            </w:r>
            <w:r w:rsidR="005F4D03">
              <w:rPr>
                <w:b/>
                <w:bCs/>
              </w:rPr>
              <w:t>a</w:t>
            </w:r>
            <w:r>
              <w:rPr>
                <w:b/>
                <w:bCs/>
              </w:rPr>
              <w:t>1</w:t>
            </w:r>
          </w:p>
        </w:tc>
        <w:tc>
          <w:tcPr>
            <w:tcW w:w="1074" w:type="dxa"/>
            <w:noWrap/>
            <w:hideMark/>
          </w:tcPr>
          <w:p w14:paraId="1E4AE260" w14:textId="06EE375D" w:rsidR="000D513C" w:rsidRDefault="000D513C">
            <w:pPr>
              <w:jc w:val="center"/>
              <w:rPr>
                <w:b/>
                <w:bCs/>
              </w:rPr>
            </w:pPr>
            <w:r>
              <w:rPr>
                <w:b/>
                <w:bCs/>
              </w:rPr>
              <w:t>PI_C3R</w:t>
            </w:r>
            <w:r w:rsidR="005F4D03">
              <w:rPr>
                <w:b/>
                <w:bCs/>
              </w:rPr>
              <w:t>a</w:t>
            </w:r>
            <w:r>
              <w:rPr>
                <w:b/>
                <w:bCs/>
              </w:rPr>
              <w:t>2</w:t>
            </w:r>
          </w:p>
        </w:tc>
        <w:tc>
          <w:tcPr>
            <w:tcW w:w="1136" w:type="dxa"/>
            <w:noWrap/>
            <w:hideMark/>
          </w:tcPr>
          <w:p w14:paraId="39DB3C55" w14:textId="7BCE9843" w:rsidR="000D513C" w:rsidRDefault="000D513C">
            <w:pPr>
              <w:jc w:val="center"/>
              <w:rPr>
                <w:b/>
                <w:bCs/>
              </w:rPr>
            </w:pPr>
            <w:r>
              <w:rPr>
                <w:b/>
                <w:bCs/>
              </w:rPr>
              <w:t>PI_C3R</w:t>
            </w:r>
            <w:r w:rsidR="005F4D03">
              <w:rPr>
                <w:b/>
                <w:bCs/>
              </w:rPr>
              <w:t>a</w:t>
            </w:r>
            <w:r>
              <w:rPr>
                <w:b/>
                <w:bCs/>
              </w:rPr>
              <w:t>3</w:t>
            </w:r>
          </w:p>
        </w:tc>
      </w:tr>
    </w:tbl>
    <w:p w14:paraId="48FFB2D4" w14:textId="77777777" w:rsidR="000D513C" w:rsidRDefault="000D513C" w:rsidP="000D513C"/>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7"/>
        <w:gridCol w:w="1048"/>
        <w:gridCol w:w="1064"/>
        <w:gridCol w:w="1032"/>
        <w:gridCol w:w="999"/>
        <w:gridCol w:w="999"/>
        <w:gridCol w:w="1048"/>
        <w:gridCol w:w="1097"/>
        <w:gridCol w:w="1032"/>
        <w:gridCol w:w="1048"/>
        <w:gridCol w:w="1016"/>
      </w:tblGrid>
      <w:tr w:rsidR="000D513C" w14:paraId="4DCCEB94" w14:textId="77777777" w:rsidTr="000D513C">
        <w:trPr>
          <w:trHeight w:val="300"/>
        </w:trPr>
        <w:tc>
          <w:tcPr>
            <w:tcW w:w="3120" w:type="dxa"/>
            <w:noWrap/>
          </w:tcPr>
          <w:p w14:paraId="147C50F3" w14:textId="77777777" w:rsidR="000D513C" w:rsidRDefault="000D513C">
            <w:pPr>
              <w:rPr>
                <w:i/>
                <w:iCs/>
              </w:rPr>
            </w:pPr>
          </w:p>
        </w:tc>
        <w:tc>
          <w:tcPr>
            <w:tcW w:w="1240" w:type="dxa"/>
            <w:noWrap/>
          </w:tcPr>
          <w:p w14:paraId="003A3D44" w14:textId="77777777" w:rsidR="000D513C" w:rsidRDefault="000D513C">
            <w:pPr>
              <w:jc w:val="center"/>
              <w:rPr>
                <w:i/>
                <w:iCs/>
              </w:rPr>
            </w:pPr>
          </w:p>
        </w:tc>
        <w:tc>
          <w:tcPr>
            <w:tcW w:w="1260" w:type="dxa"/>
            <w:noWrap/>
          </w:tcPr>
          <w:p w14:paraId="554D1C04" w14:textId="77777777" w:rsidR="000D513C" w:rsidRDefault="000D513C">
            <w:pPr>
              <w:jc w:val="center"/>
            </w:pPr>
          </w:p>
        </w:tc>
        <w:tc>
          <w:tcPr>
            <w:tcW w:w="1220" w:type="dxa"/>
            <w:noWrap/>
          </w:tcPr>
          <w:p w14:paraId="0A3895C8" w14:textId="77777777" w:rsidR="000D513C" w:rsidRDefault="000D513C">
            <w:pPr>
              <w:jc w:val="center"/>
            </w:pPr>
          </w:p>
        </w:tc>
        <w:tc>
          <w:tcPr>
            <w:tcW w:w="1180" w:type="dxa"/>
            <w:noWrap/>
          </w:tcPr>
          <w:p w14:paraId="37D6D0BB" w14:textId="77777777" w:rsidR="000D513C" w:rsidRDefault="000D513C">
            <w:pPr>
              <w:jc w:val="center"/>
            </w:pPr>
          </w:p>
        </w:tc>
        <w:tc>
          <w:tcPr>
            <w:tcW w:w="1180" w:type="dxa"/>
            <w:noWrap/>
          </w:tcPr>
          <w:p w14:paraId="47125CD1" w14:textId="77777777" w:rsidR="000D513C" w:rsidRDefault="000D513C">
            <w:pPr>
              <w:jc w:val="center"/>
            </w:pPr>
          </w:p>
        </w:tc>
        <w:tc>
          <w:tcPr>
            <w:tcW w:w="1240" w:type="dxa"/>
            <w:noWrap/>
          </w:tcPr>
          <w:p w14:paraId="267F9153" w14:textId="77777777" w:rsidR="000D513C" w:rsidRDefault="000D513C">
            <w:pPr>
              <w:jc w:val="center"/>
            </w:pPr>
          </w:p>
        </w:tc>
        <w:tc>
          <w:tcPr>
            <w:tcW w:w="1300" w:type="dxa"/>
            <w:noWrap/>
          </w:tcPr>
          <w:p w14:paraId="06F6D700" w14:textId="77777777" w:rsidR="000D513C" w:rsidRDefault="000D513C">
            <w:pPr>
              <w:jc w:val="center"/>
            </w:pPr>
          </w:p>
        </w:tc>
        <w:tc>
          <w:tcPr>
            <w:tcW w:w="1220" w:type="dxa"/>
            <w:noWrap/>
          </w:tcPr>
          <w:p w14:paraId="46A2D72B" w14:textId="77777777" w:rsidR="000D513C" w:rsidRDefault="000D513C">
            <w:pPr>
              <w:jc w:val="center"/>
            </w:pPr>
          </w:p>
        </w:tc>
        <w:tc>
          <w:tcPr>
            <w:tcW w:w="1240" w:type="dxa"/>
            <w:noWrap/>
          </w:tcPr>
          <w:p w14:paraId="702560FD" w14:textId="77777777" w:rsidR="000D513C" w:rsidRDefault="000D513C">
            <w:pPr>
              <w:jc w:val="center"/>
            </w:pPr>
          </w:p>
        </w:tc>
        <w:tc>
          <w:tcPr>
            <w:tcW w:w="1200" w:type="dxa"/>
            <w:noWrap/>
          </w:tcPr>
          <w:p w14:paraId="6506B7FA" w14:textId="77777777" w:rsidR="000D513C" w:rsidRDefault="000D513C">
            <w:pPr>
              <w:jc w:val="center"/>
            </w:pPr>
          </w:p>
        </w:tc>
      </w:tr>
      <w:tr w:rsidR="000D513C" w14:paraId="59F13B64" w14:textId="77777777" w:rsidTr="000D513C">
        <w:trPr>
          <w:trHeight w:val="300"/>
        </w:trPr>
        <w:tc>
          <w:tcPr>
            <w:tcW w:w="3120" w:type="dxa"/>
            <w:noWrap/>
            <w:hideMark/>
          </w:tcPr>
          <w:p w14:paraId="49766CF9" w14:textId="77777777" w:rsidR="000D513C" w:rsidRDefault="000D513C">
            <w:pPr>
              <w:rPr>
                <w:i/>
                <w:iCs/>
              </w:rPr>
            </w:pPr>
            <w:r>
              <w:rPr>
                <w:i/>
                <w:iCs/>
              </w:rPr>
              <w:t>Entire Recording</w:t>
            </w:r>
          </w:p>
        </w:tc>
        <w:tc>
          <w:tcPr>
            <w:tcW w:w="1240" w:type="dxa"/>
            <w:noWrap/>
            <w:hideMark/>
          </w:tcPr>
          <w:p w14:paraId="5F3F6EFC" w14:textId="77777777" w:rsidR="000D513C" w:rsidRDefault="000D513C">
            <w:pPr>
              <w:rPr>
                <w:i/>
                <w:iCs/>
              </w:rPr>
            </w:pPr>
          </w:p>
        </w:tc>
        <w:tc>
          <w:tcPr>
            <w:tcW w:w="1260" w:type="dxa"/>
            <w:noWrap/>
            <w:hideMark/>
          </w:tcPr>
          <w:p w14:paraId="1F91B448" w14:textId="77777777" w:rsidR="000D513C" w:rsidRDefault="000D513C">
            <w:pPr>
              <w:rPr>
                <w:sz w:val="20"/>
                <w:szCs w:val="20"/>
              </w:rPr>
            </w:pPr>
          </w:p>
        </w:tc>
        <w:tc>
          <w:tcPr>
            <w:tcW w:w="1220" w:type="dxa"/>
            <w:noWrap/>
            <w:hideMark/>
          </w:tcPr>
          <w:p w14:paraId="33BDF5DD" w14:textId="77777777" w:rsidR="000D513C" w:rsidRDefault="000D513C">
            <w:pPr>
              <w:rPr>
                <w:sz w:val="20"/>
                <w:szCs w:val="20"/>
              </w:rPr>
            </w:pPr>
          </w:p>
        </w:tc>
        <w:tc>
          <w:tcPr>
            <w:tcW w:w="1180" w:type="dxa"/>
            <w:noWrap/>
            <w:hideMark/>
          </w:tcPr>
          <w:p w14:paraId="198DF29C" w14:textId="77777777" w:rsidR="000D513C" w:rsidRDefault="000D513C">
            <w:pPr>
              <w:rPr>
                <w:sz w:val="20"/>
                <w:szCs w:val="20"/>
              </w:rPr>
            </w:pPr>
          </w:p>
        </w:tc>
        <w:tc>
          <w:tcPr>
            <w:tcW w:w="1180" w:type="dxa"/>
            <w:noWrap/>
            <w:hideMark/>
          </w:tcPr>
          <w:p w14:paraId="75A0FD8C" w14:textId="77777777" w:rsidR="000D513C" w:rsidRDefault="000D513C">
            <w:pPr>
              <w:rPr>
                <w:sz w:val="20"/>
                <w:szCs w:val="20"/>
              </w:rPr>
            </w:pPr>
          </w:p>
        </w:tc>
        <w:tc>
          <w:tcPr>
            <w:tcW w:w="1240" w:type="dxa"/>
            <w:noWrap/>
            <w:hideMark/>
          </w:tcPr>
          <w:p w14:paraId="3C2BCA83" w14:textId="77777777" w:rsidR="000D513C" w:rsidRDefault="000D513C">
            <w:pPr>
              <w:rPr>
                <w:sz w:val="20"/>
                <w:szCs w:val="20"/>
              </w:rPr>
            </w:pPr>
          </w:p>
        </w:tc>
        <w:tc>
          <w:tcPr>
            <w:tcW w:w="1300" w:type="dxa"/>
            <w:noWrap/>
            <w:hideMark/>
          </w:tcPr>
          <w:p w14:paraId="7704D7BB" w14:textId="77777777" w:rsidR="000D513C" w:rsidRDefault="000D513C">
            <w:pPr>
              <w:rPr>
                <w:sz w:val="20"/>
                <w:szCs w:val="20"/>
              </w:rPr>
            </w:pPr>
          </w:p>
        </w:tc>
        <w:tc>
          <w:tcPr>
            <w:tcW w:w="1220" w:type="dxa"/>
            <w:noWrap/>
            <w:hideMark/>
          </w:tcPr>
          <w:p w14:paraId="0FD52077" w14:textId="77777777" w:rsidR="000D513C" w:rsidRDefault="000D513C">
            <w:pPr>
              <w:rPr>
                <w:sz w:val="20"/>
                <w:szCs w:val="20"/>
              </w:rPr>
            </w:pPr>
          </w:p>
        </w:tc>
        <w:tc>
          <w:tcPr>
            <w:tcW w:w="1240" w:type="dxa"/>
            <w:noWrap/>
            <w:hideMark/>
          </w:tcPr>
          <w:p w14:paraId="7E4B2EB2" w14:textId="77777777" w:rsidR="000D513C" w:rsidRDefault="000D513C">
            <w:pPr>
              <w:rPr>
                <w:sz w:val="20"/>
                <w:szCs w:val="20"/>
              </w:rPr>
            </w:pPr>
          </w:p>
        </w:tc>
        <w:tc>
          <w:tcPr>
            <w:tcW w:w="1200" w:type="dxa"/>
            <w:noWrap/>
            <w:hideMark/>
          </w:tcPr>
          <w:p w14:paraId="254B6F15" w14:textId="77777777" w:rsidR="000D513C" w:rsidRDefault="000D513C">
            <w:pPr>
              <w:rPr>
                <w:sz w:val="20"/>
                <w:szCs w:val="20"/>
              </w:rPr>
            </w:pPr>
          </w:p>
        </w:tc>
      </w:tr>
      <w:tr w:rsidR="000D513C" w14:paraId="1C0A87EB" w14:textId="77777777" w:rsidTr="000D513C">
        <w:trPr>
          <w:trHeight w:val="300"/>
        </w:trPr>
        <w:tc>
          <w:tcPr>
            <w:tcW w:w="3120" w:type="dxa"/>
            <w:noWrap/>
            <w:hideMark/>
          </w:tcPr>
          <w:p w14:paraId="16803F1A" w14:textId="77777777" w:rsidR="000D513C" w:rsidRDefault="000D513C">
            <w:pPr>
              <w:rPr>
                <w:sz w:val="20"/>
                <w:szCs w:val="20"/>
              </w:rPr>
            </w:pPr>
          </w:p>
        </w:tc>
        <w:tc>
          <w:tcPr>
            <w:tcW w:w="1240" w:type="dxa"/>
            <w:noWrap/>
            <w:hideMark/>
          </w:tcPr>
          <w:p w14:paraId="51017EC5" w14:textId="77777777" w:rsidR="000D513C" w:rsidRDefault="000D513C">
            <w:pPr>
              <w:rPr>
                <w:sz w:val="20"/>
                <w:szCs w:val="20"/>
              </w:rPr>
            </w:pPr>
          </w:p>
        </w:tc>
        <w:tc>
          <w:tcPr>
            <w:tcW w:w="1260" w:type="dxa"/>
            <w:noWrap/>
            <w:hideMark/>
          </w:tcPr>
          <w:p w14:paraId="4169197E" w14:textId="77777777" w:rsidR="000D513C" w:rsidRDefault="000D513C">
            <w:pPr>
              <w:rPr>
                <w:sz w:val="20"/>
                <w:szCs w:val="20"/>
              </w:rPr>
            </w:pPr>
          </w:p>
        </w:tc>
        <w:tc>
          <w:tcPr>
            <w:tcW w:w="1220" w:type="dxa"/>
            <w:noWrap/>
            <w:hideMark/>
          </w:tcPr>
          <w:p w14:paraId="7803CD03" w14:textId="77777777" w:rsidR="000D513C" w:rsidRDefault="000D513C">
            <w:pPr>
              <w:rPr>
                <w:sz w:val="20"/>
                <w:szCs w:val="20"/>
              </w:rPr>
            </w:pPr>
          </w:p>
        </w:tc>
        <w:tc>
          <w:tcPr>
            <w:tcW w:w="1180" w:type="dxa"/>
            <w:noWrap/>
            <w:hideMark/>
          </w:tcPr>
          <w:p w14:paraId="44DCEEEA" w14:textId="77777777" w:rsidR="000D513C" w:rsidRDefault="000D513C">
            <w:pPr>
              <w:rPr>
                <w:sz w:val="20"/>
                <w:szCs w:val="20"/>
              </w:rPr>
            </w:pPr>
          </w:p>
        </w:tc>
        <w:tc>
          <w:tcPr>
            <w:tcW w:w="1180" w:type="dxa"/>
            <w:noWrap/>
            <w:hideMark/>
          </w:tcPr>
          <w:p w14:paraId="6AC6668A" w14:textId="77777777" w:rsidR="000D513C" w:rsidRDefault="000D513C">
            <w:pPr>
              <w:rPr>
                <w:sz w:val="20"/>
                <w:szCs w:val="20"/>
              </w:rPr>
            </w:pPr>
          </w:p>
        </w:tc>
        <w:tc>
          <w:tcPr>
            <w:tcW w:w="1240" w:type="dxa"/>
            <w:noWrap/>
            <w:hideMark/>
          </w:tcPr>
          <w:p w14:paraId="5858ACAD" w14:textId="77777777" w:rsidR="000D513C" w:rsidRDefault="000D513C">
            <w:pPr>
              <w:rPr>
                <w:sz w:val="20"/>
                <w:szCs w:val="20"/>
              </w:rPr>
            </w:pPr>
          </w:p>
        </w:tc>
        <w:tc>
          <w:tcPr>
            <w:tcW w:w="1300" w:type="dxa"/>
            <w:noWrap/>
            <w:hideMark/>
          </w:tcPr>
          <w:p w14:paraId="5CE53C17" w14:textId="77777777" w:rsidR="000D513C" w:rsidRDefault="000D513C">
            <w:pPr>
              <w:rPr>
                <w:sz w:val="20"/>
                <w:szCs w:val="20"/>
              </w:rPr>
            </w:pPr>
          </w:p>
        </w:tc>
        <w:tc>
          <w:tcPr>
            <w:tcW w:w="1220" w:type="dxa"/>
            <w:noWrap/>
            <w:hideMark/>
          </w:tcPr>
          <w:p w14:paraId="613F36FD" w14:textId="77777777" w:rsidR="000D513C" w:rsidRDefault="000D513C">
            <w:pPr>
              <w:rPr>
                <w:sz w:val="20"/>
                <w:szCs w:val="20"/>
              </w:rPr>
            </w:pPr>
          </w:p>
        </w:tc>
        <w:tc>
          <w:tcPr>
            <w:tcW w:w="1240" w:type="dxa"/>
            <w:noWrap/>
            <w:hideMark/>
          </w:tcPr>
          <w:p w14:paraId="512D72AF" w14:textId="77777777" w:rsidR="000D513C" w:rsidRDefault="000D513C">
            <w:pPr>
              <w:rPr>
                <w:sz w:val="20"/>
                <w:szCs w:val="20"/>
              </w:rPr>
            </w:pPr>
          </w:p>
        </w:tc>
        <w:tc>
          <w:tcPr>
            <w:tcW w:w="1200" w:type="dxa"/>
            <w:noWrap/>
            <w:hideMark/>
          </w:tcPr>
          <w:p w14:paraId="57957731" w14:textId="77777777" w:rsidR="000D513C" w:rsidRDefault="000D513C">
            <w:pPr>
              <w:rPr>
                <w:sz w:val="20"/>
                <w:szCs w:val="20"/>
              </w:rPr>
            </w:pPr>
          </w:p>
        </w:tc>
      </w:tr>
      <w:tr w:rsidR="000D513C" w14:paraId="3AC4C317" w14:textId="77777777" w:rsidTr="000D513C">
        <w:trPr>
          <w:trHeight w:val="300"/>
        </w:trPr>
        <w:tc>
          <w:tcPr>
            <w:tcW w:w="3120" w:type="dxa"/>
            <w:noWrap/>
            <w:hideMark/>
          </w:tcPr>
          <w:p w14:paraId="5B0CF22D" w14:textId="77777777" w:rsidR="000D513C" w:rsidRDefault="000D513C">
            <w:pPr>
              <w:rPr>
                <w:sz w:val="20"/>
                <w:szCs w:val="20"/>
              </w:rPr>
            </w:pPr>
          </w:p>
        </w:tc>
        <w:tc>
          <w:tcPr>
            <w:tcW w:w="1240" w:type="dxa"/>
            <w:noWrap/>
            <w:hideMark/>
          </w:tcPr>
          <w:p w14:paraId="1AB37DD8" w14:textId="77777777" w:rsidR="000D513C" w:rsidRDefault="000D513C">
            <w:pPr>
              <w:rPr>
                <w:sz w:val="20"/>
                <w:szCs w:val="20"/>
              </w:rPr>
            </w:pPr>
          </w:p>
        </w:tc>
        <w:tc>
          <w:tcPr>
            <w:tcW w:w="1260" w:type="dxa"/>
            <w:noWrap/>
            <w:hideMark/>
          </w:tcPr>
          <w:p w14:paraId="72EF849C" w14:textId="77777777" w:rsidR="000D513C" w:rsidRDefault="000D513C">
            <w:pPr>
              <w:rPr>
                <w:sz w:val="20"/>
                <w:szCs w:val="20"/>
              </w:rPr>
            </w:pPr>
          </w:p>
        </w:tc>
        <w:tc>
          <w:tcPr>
            <w:tcW w:w="1220" w:type="dxa"/>
            <w:noWrap/>
            <w:hideMark/>
          </w:tcPr>
          <w:p w14:paraId="69BF36E7" w14:textId="77777777" w:rsidR="000D513C" w:rsidRDefault="000D513C">
            <w:pPr>
              <w:rPr>
                <w:sz w:val="20"/>
                <w:szCs w:val="20"/>
              </w:rPr>
            </w:pPr>
          </w:p>
        </w:tc>
        <w:tc>
          <w:tcPr>
            <w:tcW w:w="1180" w:type="dxa"/>
            <w:noWrap/>
            <w:hideMark/>
          </w:tcPr>
          <w:p w14:paraId="67AA1ADA" w14:textId="77777777" w:rsidR="000D513C" w:rsidRDefault="000D513C">
            <w:pPr>
              <w:rPr>
                <w:sz w:val="20"/>
                <w:szCs w:val="20"/>
              </w:rPr>
            </w:pPr>
          </w:p>
        </w:tc>
        <w:tc>
          <w:tcPr>
            <w:tcW w:w="1180" w:type="dxa"/>
            <w:noWrap/>
            <w:hideMark/>
          </w:tcPr>
          <w:p w14:paraId="03D4FC5C" w14:textId="77777777" w:rsidR="000D513C" w:rsidRDefault="000D513C">
            <w:pPr>
              <w:rPr>
                <w:sz w:val="20"/>
                <w:szCs w:val="20"/>
              </w:rPr>
            </w:pPr>
          </w:p>
        </w:tc>
        <w:tc>
          <w:tcPr>
            <w:tcW w:w="1240" w:type="dxa"/>
            <w:noWrap/>
            <w:hideMark/>
          </w:tcPr>
          <w:p w14:paraId="1CE1FCC3" w14:textId="77777777" w:rsidR="000D513C" w:rsidRDefault="000D513C">
            <w:pPr>
              <w:rPr>
                <w:sz w:val="20"/>
                <w:szCs w:val="20"/>
              </w:rPr>
            </w:pPr>
          </w:p>
        </w:tc>
        <w:tc>
          <w:tcPr>
            <w:tcW w:w="1300" w:type="dxa"/>
            <w:noWrap/>
            <w:hideMark/>
          </w:tcPr>
          <w:p w14:paraId="24AA862E" w14:textId="77777777" w:rsidR="000D513C" w:rsidRDefault="000D513C">
            <w:pPr>
              <w:rPr>
                <w:sz w:val="20"/>
                <w:szCs w:val="20"/>
              </w:rPr>
            </w:pPr>
          </w:p>
        </w:tc>
        <w:tc>
          <w:tcPr>
            <w:tcW w:w="1220" w:type="dxa"/>
            <w:noWrap/>
            <w:hideMark/>
          </w:tcPr>
          <w:p w14:paraId="3CEA552C" w14:textId="77777777" w:rsidR="000D513C" w:rsidRDefault="000D513C">
            <w:pPr>
              <w:rPr>
                <w:sz w:val="20"/>
                <w:szCs w:val="20"/>
              </w:rPr>
            </w:pPr>
          </w:p>
        </w:tc>
        <w:tc>
          <w:tcPr>
            <w:tcW w:w="1240" w:type="dxa"/>
            <w:noWrap/>
            <w:hideMark/>
          </w:tcPr>
          <w:p w14:paraId="04D25740" w14:textId="77777777" w:rsidR="000D513C" w:rsidRDefault="000D513C">
            <w:pPr>
              <w:rPr>
                <w:sz w:val="20"/>
                <w:szCs w:val="20"/>
              </w:rPr>
            </w:pPr>
          </w:p>
        </w:tc>
        <w:tc>
          <w:tcPr>
            <w:tcW w:w="1200" w:type="dxa"/>
            <w:noWrap/>
            <w:hideMark/>
          </w:tcPr>
          <w:p w14:paraId="1469D2B2" w14:textId="77777777" w:rsidR="000D513C" w:rsidRDefault="000D513C">
            <w:pPr>
              <w:rPr>
                <w:sz w:val="20"/>
                <w:szCs w:val="20"/>
              </w:rPr>
            </w:pPr>
          </w:p>
        </w:tc>
      </w:tr>
      <w:tr w:rsidR="000D513C" w14:paraId="23E9F7FF" w14:textId="77777777" w:rsidTr="000D513C">
        <w:trPr>
          <w:trHeight w:val="300"/>
        </w:trPr>
        <w:tc>
          <w:tcPr>
            <w:tcW w:w="3120" w:type="dxa"/>
            <w:noWrap/>
            <w:hideMark/>
          </w:tcPr>
          <w:p w14:paraId="297D2DB0" w14:textId="77777777" w:rsidR="000D513C" w:rsidRDefault="000D513C">
            <w:r>
              <w:t>Mean</w:t>
            </w:r>
          </w:p>
        </w:tc>
        <w:tc>
          <w:tcPr>
            <w:tcW w:w="1240" w:type="dxa"/>
            <w:noWrap/>
            <w:hideMark/>
          </w:tcPr>
          <w:p w14:paraId="424E74BB" w14:textId="77777777" w:rsidR="000D513C" w:rsidRDefault="000D513C">
            <w:pPr>
              <w:jc w:val="center"/>
            </w:pPr>
            <w:r>
              <w:t>0.299</w:t>
            </w:r>
          </w:p>
        </w:tc>
        <w:tc>
          <w:tcPr>
            <w:tcW w:w="1260" w:type="dxa"/>
            <w:noWrap/>
            <w:hideMark/>
          </w:tcPr>
          <w:p w14:paraId="56E101D3" w14:textId="77777777" w:rsidR="000D513C" w:rsidRDefault="000D513C">
            <w:pPr>
              <w:jc w:val="center"/>
            </w:pPr>
            <w:r>
              <w:t>0.484</w:t>
            </w:r>
          </w:p>
        </w:tc>
        <w:tc>
          <w:tcPr>
            <w:tcW w:w="1220" w:type="dxa"/>
            <w:noWrap/>
            <w:hideMark/>
          </w:tcPr>
          <w:p w14:paraId="110FD7F8" w14:textId="77777777" w:rsidR="000D513C" w:rsidRDefault="000D513C">
            <w:pPr>
              <w:jc w:val="center"/>
            </w:pPr>
            <w:r>
              <w:t>0.374</w:t>
            </w:r>
          </w:p>
        </w:tc>
        <w:tc>
          <w:tcPr>
            <w:tcW w:w="1180" w:type="dxa"/>
            <w:noWrap/>
            <w:hideMark/>
          </w:tcPr>
          <w:p w14:paraId="27DCF02E" w14:textId="77777777" w:rsidR="000D513C" w:rsidRDefault="000D513C">
            <w:pPr>
              <w:jc w:val="center"/>
            </w:pPr>
            <w:r>
              <w:t>0.434</w:t>
            </w:r>
          </w:p>
        </w:tc>
        <w:tc>
          <w:tcPr>
            <w:tcW w:w="1180" w:type="dxa"/>
            <w:noWrap/>
            <w:hideMark/>
          </w:tcPr>
          <w:p w14:paraId="61F6D932" w14:textId="77777777" w:rsidR="000D513C" w:rsidRDefault="000D513C">
            <w:pPr>
              <w:jc w:val="center"/>
            </w:pPr>
            <w:r>
              <w:t>0.324</w:t>
            </w:r>
          </w:p>
        </w:tc>
        <w:tc>
          <w:tcPr>
            <w:tcW w:w="1240" w:type="dxa"/>
            <w:noWrap/>
            <w:hideMark/>
          </w:tcPr>
          <w:p w14:paraId="55F72DC0" w14:textId="77777777" w:rsidR="000D513C" w:rsidRDefault="000D513C">
            <w:pPr>
              <w:jc w:val="center"/>
            </w:pPr>
            <w:r>
              <w:t>0.306</w:t>
            </w:r>
          </w:p>
        </w:tc>
        <w:tc>
          <w:tcPr>
            <w:tcW w:w="1300" w:type="dxa"/>
            <w:noWrap/>
            <w:hideMark/>
          </w:tcPr>
          <w:p w14:paraId="06A30FBF" w14:textId="77777777" w:rsidR="000D513C" w:rsidRDefault="000D513C">
            <w:pPr>
              <w:jc w:val="center"/>
            </w:pPr>
            <w:r>
              <w:t>0.312</w:t>
            </w:r>
          </w:p>
        </w:tc>
        <w:tc>
          <w:tcPr>
            <w:tcW w:w="1220" w:type="dxa"/>
            <w:noWrap/>
            <w:hideMark/>
          </w:tcPr>
          <w:p w14:paraId="389FC291" w14:textId="77777777" w:rsidR="000D513C" w:rsidRDefault="000D513C">
            <w:pPr>
              <w:jc w:val="center"/>
            </w:pPr>
            <w:r>
              <w:t>0.314</w:t>
            </w:r>
          </w:p>
        </w:tc>
        <w:tc>
          <w:tcPr>
            <w:tcW w:w="1240" w:type="dxa"/>
            <w:noWrap/>
            <w:hideMark/>
          </w:tcPr>
          <w:p w14:paraId="63F806A5" w14:textId="77777777" w:rsidR="000D513C" w:rsidRDefault="000D513C">
            <w:pPr>
              <w:jc w:val="center"/>
            </w:pPr>
            <w:r>
              <w:t>0.305</w:t>
            </w:r>
          </w:p>
        </w:tc>
        <w:tc>
          <w:tcPr>
            <w:tcW w:w="1200" w:type="dxa"/>
            <w:noWrap/>
            <w:hideMark/>
          </w:tcPr>
          <w:p w14:paraId="3D23DD34" w14:textId="77777777" w:rsidR="000D513C" w:rsidRDefault="000D513C">
            <w:pPr>
              <w:jc w:val="center"/>
            </w:pPr>
            <w:r>
              <w:t>0.305</w:t>
            </w:r>
          </w:p>
        </w:tc>
      </w:tr>
      <w:tr w:rsidR="000D513C" w14:paraId="5D140C7F" w14:textId="77777777" w:rsidTr="000D513C">
        <w:trPr>
          <w:trHeight w:val="300"/>
        </w:trPr>
        <w:tc>
          <w:tcPr>
            <w:tcW w:w="3120" w:type="dxa"/>
            <w:noWrap/>
            <w:hideMark/>
          </w:tcPr>
          <w:p w14:paraId="61DBBEE3" w14:textId="77777777" w:rsidR="000D513C" w:rsidRDefault="000D513C"/>
        </w:tc>
        <w:tc>
          <w:tcPr>
            <w:tcW w:w="1240" w:type="dxa"/>
            <w:noWrap/>
            <w:hideMark/>
          </w:tcPr>
          <w:p w14:paraId="4636EEB8" w14:textId="77777777" w:rsidR="000D513C" w:rsidRDefault="000D513C">
            <w:pPr>
              <w:rPr>
                <w:sz w:val="20"/>
                <w:szCs w:val="20"/>
              </w:rPr>
            </w:pPr>
          </w:p>
        </w:tc>
        <w:tc>
          <w:tcPr>
            <w:tcW w:w="1260" w:type="dxa"/>
            <w:noWrap/>
            <w:hideMark/>
          </w:tcPr>
          <w:p w14:paraId="4470E408" w14:textId="77777777" w:rsidR="000D513C" w:rsidRDefault="000D513C">
            <w:pPr>
              <w:rPr>
                <w:sz w:val="20"/>
                <w:szCs w:val="20"/>
              </w:rPr>
            </w:pPr>
          </w:p>
        </w:tc>
        <w:tc>
          <w:tcPr>
            <w:tcW w:w="1220" w:type="dxa"/>
            <w:noWrap/>
            <w:hideMark/>
          </w:tcPr>
          <w:p w14:paraId="39E8E2EB" w14:textId="77777777" w:rsidR="000D513C" w:rsidRDefault="000D513C">
            <w:pPr>
              <w:rPr>
                <w:sz w:val="20"/>
                <w:szCs w:val="20"/>
              </w:rPr>
            </w:pPr>
          </w:p>
        </w:tc>
        <w:tc>
          <w:tcPr>
            <w:tcW w:w="1180" w:type="dxa"/>
            <w:noWrap/>
            <w:hideMark/>
          </w:tcPr>
          <w:p w14:paraId="36562D4F" w14:textId="77777777" w:rsidR="000D513C" w:rsidRDefault="000D513C">
            <w:pPr>
              <w:rPr>
                <w:sz w:val="20"/>
                <w:szCs w:val="20"/>
              </w:rPr>
            </w:pPr>
          </w:p>
        </w:tc>
        <w:tc>
          <w:tcPr>
            <w:tcW w:w="1180" w:type="dxa"/>
            <w:noWrap/>
            <w:hideMark/>
          </w:tcPr>
          <w:p w14:paraId="231504AC" w14:textId="77777777" w:rsidR="000D513C" w:rsidRDefault="000D513C">
            <w:pPr>
              <w:rPr>
                <w:sz w:val="20"/>
                <w:szCs w:val="20"/>
              </w:rPr>
            </w:pPr>
          </w:p>
        </w:tc>
        <w:tc>
          <w:tcPr>
            <w:tcW w:w="1240" w:type="dxa"/>
            <w:noWrap/>
            <w:hideMark/>
          </w:tcPr>
          <w:p w14:paraId="7860ED35" w14:textId="77777777" w:rsidR="000D513C" w:rsidRDefault="000D513C">
            <w:pPr>
              <w:rPr>
                <w:sz w:val="20"/>
                <w:szCs w:val="20"/>
              </w:rPr>
            </w:pPr>
          </w:p>
        </w:tc>
        <w:tc>
          <w:tcPr>
            <w:tcW w:w="1300" w:type="dxa"/>
            <w:noWrap/>
            <w:hideMark/>
          </w:tcPr>
          <w:p w14:paraId="39790955" w14:textId="77777777" w:rsidR="000D513C" w:rsidRDefault="000D513C">
            <w:pPr>
              <w:rPr>
                <w:sz w:val="20"/>
                <w:szCs w:val="20"/>
              </w:rPr>
            </w:pPr>
          </w:p>
        </w:tc>
        <w:tc>
          <w:tcPr>
            <w:tcW w:w="1220" w:type="dxa"/>
            <w:noWrap/>
            <w:hideMark/>
          </w:tcPr>
          <w:p w14:paraId="7367DE1D" w14:textId="77777777" w:rsidR="000D513C" w:rsidRDefault="000D513C">
            <w:pPr>
              <w:rPr>
                <w:sz w:val="20"/>
                <w:szCs w:val="20"/>
              </w:rPr>
            </w:pPr>
          </w:p>
        </w:tc>
        <w:tc>
          <w:tcPr>
            <w:tcW w:w="1240" w:type="dxa"/>
            <w:noWrap/>
            <w:hideMark/>
          </w:tcPr>
          <w:p w14:paraId="72C0EF60" w14:textId="77777777" w:rsidR="000D513C" w:rsidRDefault="000D513C">
            <w:pPr>
              <w:rPr>
                <w:sz w:val="20"/>
                <w:szCs w:val="20"/>
              </w:rPr>
            </w:pPr>
          </w:p>
        </w:tc>
        <w:tc>
          <w:tcPr>
            <w:tcW w:w="1200" w:type="dxa"/>
            <w:noWrap/>
            <w:hideMark/>
          </w:tcPr>
          <w:p w14:paraId="6EAC24FE" w14:textId="77777777" w:rsidR="000D513C" w:rsidRDefault="000D513C">
            <w:pPr>
              <w:rPr>
                <w:sz w:val="20"/>
                <w:szCs w:val="20"/>
              </w:rPr>
            </w:pPr>
          </w:p>
        </w:tc>
      </w:tr>
      <w:tr w:rsidR="000D513C" w14:paraId="3A4C7619" w14:textId="77777777" w:rsidTr="000D513C">
        <w:trPr>
          <w:trHeight w:val="300"/>
        </w:trPr>
        <w:tc>
          <w:tcPr>
            <w:tcW w:w="3120" w:type="dxa"/>
            <w:noWrap/>
            <w:hideMark/>
          </w:tcPr>
          <w:p w14:paraId="65305773" w14:textId="77777777" w:rsidR="000D513C" w:rsidRDefault="000D513C">
            <w:r>
              <w:t>Standard Deviation</w:t>
            </w:r>
          </w:p>
        </w:tc>
        <w:tc>
          <w:tcPr>
            <w:tcW w:w="1240" w:type="dxa"/>
            <w:noWrap/>
            <w:hideMark/>
          </w:tcPr>
          <w:p w14:paraId="0A97C586" w14:textId="77777777" w:rsidR="000D513C" w:rsidRDefault="000D513C">
            <w:pPr>
              <w:jc w:val="center"/>
            </w:pPr>
            <w:r>
              <w:t>0.647</w:t>
            </w:r>
          </w:p>
        </w:tc>
        <w:tc>
          <w:tcPr>
            <w:tcW w:w="1260" w:type="dxa"/>
            <w:noWrap/>
            <w:hideMark/>
          </w:tcPr>
          <w:p w14:paraId="7B816AFC" w14:textId="77777777" w:rsidR="000D513C" w:rsidRDefault="000D513C">
            <w:pPr>
              <w:jc w:val="center"/>
            </w:pPr>
            <w:r>
              <w:t>0.710</w:t>
            </w:r>
          </w:p>
        </w:tc>
        <w:tc>
          <w:tcPr>
            <w:tcW w:w="1220" w:type="dxa"/>
            <w:noWrap/>
            <w:hideMark/>
          </w:tcPr>
          <w:p w14:paraId="2EF2466D" w14:textId="77777777" w:rsidR="000D513C" w:rsidRDefault="000D513C">
            <w:pPr>
              <w:jc w:val="center"/>
            </w:pPr>
            <w:r>
              <w:t>0.088</w:t>
            </w:r>
          </w:p>
        </w:tc>
        <w:tc>
          <w:tcPr>
            <w:tcW w:w="1180" w:type="dxa"/>
            <w:noWrap/>
            <w:hideMark/>
          </w:tcPr>
          <w:p w14:paraId="1F848743" w14:textId="77777777" w:rsidR="000D513C" w:rsidRDefault="000D513C">
            <w:pPr>
              <w:jc w:val="center"/>
            </w:pPr>
            <w:r>
              <w:t>0.628</w:t>
            </w:r>
          </w:p>
        </w:tc>
        <w:tc>
          <w:tcPr>
            <w:tcW w:w="1180" w:type="dxa"/>
            <w:noWrap/>
            <w:hideMark/>
          </w:tcPr>
          <w:p w14:paraId="3A45C9A4" w14:textId="77777777" w:rsidR="000D513C" w:rsidRDefault="000D513C">
            <w:pPr>
              <w:jc w:val="center"/>
            </w:pPr>
            <w:r>
              <w:t>0.714</w:t>
            </w:r>
          </w:p>
        </w:tc>
        <w:tc>
          <w:tcPr>
            <w:tcW w:w="1240" w:type="dxa"/>
            <w:noWrap/>
            <w:hideMark/>
          </w:tcPr>
          <w:p w14:paraId="22556A2D" w14:textId="77777777" w:rsidR="000D513C" w:rsidRDefault="000D513C">
            <w:pPr>
              <w:jc w:val="center"/>
            </w:pPr>
            <w:r>
              <w:t>0.721</w:t>
            </w:r>
          </w:p>
        </w:tc>
        <w:tc>
          <w:tcPr>
            <w:tcW w:w="1300" w:type="dxa"/>
            <w:noWrap/>
            <w:hideMark/>
          </w:tcPr>
          <w:p w14:paraId="41D712C5" w14:textId="77777777" w:rsidR="000D513C" w:rsidRDefault="000D513C">
            <w:pPr>
              <w:jc w:val="center"/>
            </w:pPr>
            <w:r>
              <w:t>0.631</w:t>
            </w:r>
          </w:p>
        </w:tc>
        <w:tc>
          <w:tcPr>
            <w:tcW w:w="1220" w:type="dxa"/>
            <w:noWrap/>
            <w:hideMark/>
          </w:tcPr>
          <w:p w14:paraId="72F7E1E9" w14:textId="77777777" w:rsidR="000D513C" w:rsidRDefault="000D513C">
            <w:pPr>
              <w:jc w:val="center"/>
            </w:pPr>
            <w:r>
              <w:t>0.715</w:t>
            </w:r>
          </w:p>
        </w:tc>
        <w:tc>
          <w:tcPr>
            <w:tcW w:w="1240" w:type="dxa"/>
            <w:noWrap/>
            <w:hideMark/>
          </w:tcPr>
          <w:p w14:paraId="2AA29963" w14:textId="77777777" w:rsidR="000D513C" w:rsidRDefault="000D513C">
            <w:pPr>
              <w:jc w:val="center"/>
            </w:pPr>
            <w:r>
              <w:t>0.807</w:t>
            </w:r>
          </w:p>
        </w:tc>
        <w:tc>
          <w:tcPr>
            <w:tcW w:w="1200" w:type="dxa"/>
            <w:noWrap/>
            <w:hideMark/>
          </w:tcPr>
          <w:p w14:paraId="3AE33A9D" w14:textId="77777777" w:rsidR="000D513C" w:rsidRDefault="000D513C">
            <w:pPr>
              <w:jc w:val="center"/>
            </w:pPr>
            <w:r>
              <w:t>0.631</w:t>
            </w:r>
          </w:p>
        </w:tc>
      </w:tr>
      <w:tr w:rsidR="000D513C" w14:paraId="5B752E62" w14:textId="77777777" w:rsidTr="000D513C">
        <w:trPr>
          <w:trHeight w:val="300"/>
        </w:trPr>
        <w:tc>
          <w:tcPr>
            <w:tcW w:w="3120" w:type="dxa"/>
            <w:noWrap/>
            <w:hideMark/>
          </w:tcPr>
          <w:p w14:paraId="225B677D" w14:textId="77777777" w:rsidR="000D513C" w:rsidRDefault="000D513C"/>
        </w:tc>
        <w:tc>
          <w:tcPr>
            <w:tcW w:w="1240" w:type="dxa"/>
            <w:noWrap/>
            <w:hideMark/>
          </w:tcPr>
          <w:p w14:paraId="279DE80D" w14:textId="77777777" w:rsidR="000D513C" w:rsidRDefault="000D513C">
            <w:pPr>
              <w:rPr>
                <w:sz w:val="20"/>
                <w:szCs w:val="20"/>
              </w:rPr>
            </w:pPr>
          </w:p>
        </w:tc>
        <w:tc>
          <w:tcPr>
            <w:tcW w:w="1260" w:type="dxa"/>
            <w:noWrap/>
            <w:hideMark/>
          </w:tcPr>
          <w:p w14:paraId="6FDBF2B1" w14:textId="77777777" w:rsidR="000D513C" w:rsidRDefault="000D513C">
            <w:pPr>
              <w:rPr>
                <w:sz w:val="20"/>
                <w:szCs w:val="20"/>
              </w:rPr>
            </w:pPr>
          </w:p>
        </w:tc>
        <w:tc>
          <w:tcPr>
            <w:tcW w:w="1220" w:type="dxa"/>
            <w:noWrap/>
            <w:hideMark/>
          </w:tcPr>
          <w:p w14:paraId="63FA6470" w14:textId="77777777" w:rsidR="000D513C" w:rsidRDefault="000D513C">
            <w:pPr>
              <w:rPr>
                <w:sz w:val="20"/>
                <w:szCs w:val="20"/>
              </w:rPr>
            </w:pPr>
          </w:p>
        </w:tc>
        <w:tc>
          <w:tcPr>
            <w:tcW w:w="1180" w:type="dxa"/>
            <w:noWrap/>
            <w:hideMark/>
          </w:tcPr>
          <w:p w14:paraId="17EC0B82" w14:textId="77777777" w:rsidR="000D513C" w:rsidRDefault="000D513C">
            <w:pPr>
              <w:rPr>
                <w:sz w:val="20"/>
                <w:szCs w:val="20"/>
              </w:rPr>
            </w:pPr>
          </w:p>
        </w:tc>
        <w:tc>
          <w:tcPr>
            <w:tcW w:w="1180" w:type="dxa"/>
            <w:noWrap/>
            <w:hideMark/>
          </w:tcPr>
          <w:p w14:paraId="55824681" w14:textId="77777777" w:rsidR="000D513C" w:rsidRDefault="000D513C">
            <w:pPr>
              <w:rPr>
                <w:sz w:val="20"/>
                <w:szCs w:val="20"/>
              </w:rPr>
            </w:pPr>
          </w:p>
        </w:tc>
        <w:tc>
          <w:tcPr>
            <w:tcW w:w="1240" w:type="dxa"/>
            <w:noWrap/>
            <w:hideMark/>
          </w:tcPr>
          <w:p w14:paraId="01D79942" w14:textId="77777777" w:rsidR="000D513C" w:rsidRDefault="000D513C">
            <w:pPr>
              <w:rPr>
                <w:sz w:val="20"/>
                <w:szCs w:val="20"/>
              </w:rPr>
            </w:pPr>
          </w:p>
        </w:tc>
        <w:tc>
          <w:tcPr>
            <w:tcW w:w="1300" w:type="dxa"/>
            <w:noWrap/>
            <w:hideMark/>
          </w:tcPr>
          <w:p w14:paraId="471F3D03" w14:textId="77777777" w:rsidR="000D513C" w:rsidRDefault="000D513C">
            <w:pPr>
              <w:rPr>
                <w:sz w:val="20"/>
                <w:szCs w:val="20"/>
              </w:rPr>
            </w:pPr>
          </w:p>
        </w:tc>
        <w:tc>
          <w:tcPr>
            <w:tcW w:w="1220" w:type="dxa"/>
            <w:noWrap/>
            <w:hideMark/>
          </w:tcPr>
          <w:p w14:paraId="1474733D" w14:textId="77777777" w:rsidR="000D513C" w:rsidRDefault="000D513C">
            <w:pPr>
              <w:rPr>
                <w:sz w:val="20"/>
                <w:szCs w:val="20"/>
              </w:rPr>
            </w:pPr>
          </w:p>
        </w:tc>
        <w:tc>
          <w:tcPr>
            <w:tcW w:w="1240" w:type="dxa"/>
            <w:noWrap/>
            <w:hideMark/>
          </w:tcPr>
          <w:p w14:paraId="527598CA" w14:textId="77777777" w:rsidR="000D513C" w:rsidRDefault="000D513C">
            <w:pPr>
              <w:rPr>
                <w:sz w:val="20"/>
                <w:szCs w:val="20"/>
              </w:rPr>
            </w:pPr>
          </w:p>
        </w:tc>
        <w:tc>
          <w:tcPr>
            <w:tcW w:w="1200" w:type="dxa"/>
            <w:noWrap/>
            <w:hideMark/>
          </w:tcPr>
          <w:p w14:paraId="04736EFA" w14:textId="77777777" w:rsidR="000D513C" w:rsidRDefault="000D513C">
            <w:pPr>
              <w:rPr>
                <w:sz w:val="20"/>
                <w:szCs w:val="20"/>
              </w:rPr>
            </w:pPr>
          </w:p>
        </w:tc>
      </w:tr>
      <w:tr w:rsidR="000D513C" w14:paraId="4F3D00B1" w14:textId="77777777" w:rsidTr="000D513C">
        <w:trPr>
          <w:trHeight w:val="300"/>
        </w:trPr>
        <w:tc>
          <w:tcPr>
            <w:tcW w:w="3120" w:type="dxa"/>
            <w:noWrap/>
            <w:hideMark/>
          </w:tcPr>
          <w:p w14:paraId="39813CF8" w14:textId="77777777" w:rsidR="000D513C" w:rsidRDefault="000D513C">
            <w:r>
              <w:t>Bland Altman Mean</w:t>
            </w:r>
          </w:p>
        </w:tc>
        <w:tc>
          <w:tcPr>
            <w:tcW w:w="1240" w:type="dxa"/>
            <w:noWrap/>
            <w:hideMark/>
          </w:tcPr>
          <w:p w14:paraId="2E0CC7FE" w14:textId="77777777" w:rsidR="000D513C" w:rsidRDefault="000D513C">
            <w:pPr>
              <w:jc w:val="center"/>
            </w:pPr>
            <w:r>
              <w:t>---</w:t>
            </w:r>
          </w:p>
        </w:tc>
        <w:tc>
          <w:tcPr>
            <w:tcW w:w="1260" w:type="dxa"/>
            <w:noWrap/>
            <w:hideMark/>
          </w:tcPr>
          <w:p w14:paraId="3B612335" w14:textId="77777777" w:rsidR="000D513C" w:rsidRDefault="000D513C">
            <w:pPr>
              <w:jc w:val="center"/>
            </w:pPr>
            <w:r>
              <w:t>-0.044</w:t>
            </w:r>
          </w:p>
        </w:tc>
        <w:tc>
          <w:tcPr>
            <w:tcW w:w="1220" w:type="dxa"/>
            <w:noWrap/>
            <w:hideMark/>
          </w:tcPr>
          <w:p w14:paraId="18906A1E" w14:textId="77777777" w:rsidR="000D513C" w:rsidRDefault="000D513C">
            <w:pPr>
              <w:jc w:val="center"/>
            </w:pPr>
            <w:r>
              <w:t>-0.075</w:t>
            </w:r>
          </w:p>
        </w:tc>
        <w:tc>
          <w:tcPr>
            <w:tcW w:w="1180" w:type="dxa"/>
            <w:noWrap/>
            <w:hideMark/>
          </w:tcPr>
          <w:p w14:paraId="7743CDC6" w14:textId="77777777" w:rsidR="000D513C" w:rsidRDefault="000D513C">
            <w:pPr>
              <w:jc w:val="center"/>
            </w:pPr>
            <w:r>
              <w:t>-0.134</w:t>
            </w:r>
          </w:p>
        </w:tc>
        <w:tc>
          <w:tcPr>
            <w:tcW w:w="1180" w:type="dxa"/>
            <w:noWrap/>
            <w:hideMark/>
          </w:tcPr>
          <w:p w14:paraId="7F3A0CB4" w14:textId="77777777" w:rsidR="000D513C" w:rsidRDefault="000D513C">
            <w:pPr>
              <w:jc w:val="center"/>
            </w:pPr>
            <w:r>
              <w:t>-0.024</w:t>
            </w:r>
          </w:p>
        </w:tc>
        <w:tc>
          <w:tcPr>
            <w:tcW w:w="1240" w:type="dxa"/>
            <w:noWrap/>
            <w:hideMark/>
          </w:tcPr>
          <w:p w14:paraId="71064542" w14:textId="77777777" w:rsidR="000D513C" w:rsidRDefault="000D513C">
            <w:pPr>
              <w:jc w:val="center"/>
            </w:pPr>
            <w:r>
              <w:t>-0.006</w:t>
            </w:r>
          </w:p>
        </w:tc>
        <w:tc>
          <w:tcPr>
            <w:tcW w:w="1300" w:type="dxa"/>
            <w:noWrap/>
            <w:hideMark/>
          </w:tcPr>
          <w:p w14:paraId="189BD629" w14:textId="77777777" w:rsidR="000D513C" w:rsidRDefault="000D513C">
            <w:pPr>
              <w:jc w:val="center"/>
            </w:pPr>
            <w:r>
              <w:t>-0.023</w:t>
            </w:r>
          </w:p>
        </w:tc>
        <w:tc>
          <w:tcPr>
            <w:tcW w:w="1220" w:type="dxa"/>
            <w:noWrap/>
            <w:hideMark/>
          </w:tcPr>
          <w:p w14:paraId="2D73AD00" w14:textId="77777777" w:rsidR="000D513C" w:rsidRDefault="000D513C">
            <w:pPr>
              <w:jc w:val="center"/>
            </w:pPr>
            <w:r>
              <w:t>-0.014</w:t>
            </w:r>
          </w:p>
        </w:tc>
        <w:tc>
          <w:tcPr>
            <w:tcW w:w="1240" w:type="dxa"/>
            <w:noWrap/>
            <w:hideMark/>
          </w:tcPr>
          <w:p w14:paraId="49C0A520" w14:textId="77777777" w:rsidR="000D513C" w:rsidRDefault="000D513C">
            <w:pPr>
              <w:jc w:val="center"/>
            </w:pPr>
            <w:r>
              <w:t>-0.005</w:t>
            </w:r>
          </w:p>
        </w:tc>
        <w:tc>
          <w:tcPr>
            <w:tcW w:w="1200" w:type="dxa"/>
            <w:noWrap/>
            <w:hideMark/>
          </w:tcPr>
          <w:p w14:paraId="7E8BAB71" w14:textId="77777777" w:rsidR="000D513C" w:rsidRDefault="000D513C">
            <w:pPr>
              <w:jc w:val="center"/>
            </w:pPr>
            <w:r>
              <w:t>-0.005</w:t>
            </w:r>
          </w:p>
        </w:tc>
      </w:tr>
      <w:tr w:rsidR="000D513C" w14:paraId="78E3C38B" w14:textId="77777777" w:rsidTr="000D513C">
        <w:trPr>
          <w:trHeight w:val="300"/>
        </w:trPr>
        <w:tc>
          <w:tcPr>
            <w:tcW w:w="3120" w:type="dxa"/>
            <w:noWrap/>
            <w:hideMark/>
          </w:tcPr>
          <w:p w14:paraId="72505CD7" w14:textId="77777777" w:rsidR="000D513C" w:rsidRDefault="000D513C"/>
        </w:tc>
        <w:tc>
          <w:tcPr>
            <w:tcW w:w="1240" w:type="dxa"/>
            <w:noWrap/>
            <w:hideMark/>
          </w:tcPr>
          <w:p w14:paraId="10069C72" w14:textId="77777777" w:rsidR="000D513C" w:rsidRDefault="000D513C">
            <w:pPr>
              <w:rPr>
                <w:sz w:val="20"/>
                <w:szCs w:val="20"/>
              </w:rPr>
            </w:pPr>
          </w:p>
        </w:tc>
        <w:tc>
          <w:tcPr>
            <w:tcW w:w="1260" w:type="dxa"/>
            <w:noWrap/>
            <w:hideMark/>
          </w:tcPr>
          <w:p w14:paraId="68AC6A19" w14:textId="77777777" w:rsidR="000D513C" w:rsidRDefault="000D513C">
            <w:pPr>
              <w:rPr>
                <w:sz w:val="20"/>
                <w:szCs w:val="20"/>
              </w:rPr>
            </w:pPr>
          </w:p>
        </w:tc>
        <w:tc>
          <w:tcPr>
            <w:tcW w:w="1220" w:type="dxa"/>
            <w:noWrap/>
            <w:hideMark/>
          </w:tcPr>
          <w:p w14:paraId="396F3320" w14:textId="77777777" w:rsidR="000D513C" w:rsidRDefault="000D513C">
            <w:pPr>
              <w:rPr>
                <w:sz w:val="20"/>
                <w:szCs w:val="20"/>
              </w:rPr>
            </w:pPr>
          </w:p>
        </w:tc>
        <w:tc>
          <w:tcPr>
            <w:tcW w:w="1180" w:type="dxa"/>
            <w:noWrap/>
            <w:hideMark/>
          </w:tcPr>
          <w:p w14:paraId="7A0917A1" w14:textId="77777777" w:rsidR="000D513C" w:rsidRDefault="000D513C">
            <w:pPr>
              <w:rPr>
                <w:sz w:val="20"/>
                <w:szCs w:val="20"/>
              </w:rPr>
            </w:pPr>
          </w:p>
        </w:tc>
        <w:tc>
          <w:tcPr>
            <w:tcW w:w="1180" w:type="dxa"/>
            <w:noWrap/>
            <w:hideMark/>
          </w:tcPr>
          <w:p w14:paraId="49DC86DB" w14:textId="77777777" w:rsidR="000D513C" w:rsidRDefault="000D513C">
            <w:pPr>
              <w:rPr>
                <w:sz w:val="20"/>
                <w:szCs w:val="20"/>
              </w:rPr>
            </w:pPr>
          </w:p>
        </w:tc>
        <w:tc>
          <w:tcPr>
            <w:tcW w:w="1240" w:type="dxa"/>
            <w:noWrap/>
            <w:hideMark/>
          </w:tcPr>
          <w:p w14:paraId="2C2E53B4" w14:textId="77777777" w:rsidR="000D513C" w:rsidRDefault="000D513C">
            <w:pPr>
              <w:rPr>
                <w:sz w:val="20"/>
                <w:szCs w:val="20"/>
              </w:rPr>
            </w:pPr>
          </w:p>
        </w:tc>
        <w:tc>
          <w:tcPr>
            <w:tcW w:w="1300" w:type="dxa"/>
            <w:noWrap/>
            <w:hideMark/>
          </w:tcPr>
          <w:p w14:paraId="084DF98F" w14:textId="77777777" w:rsidR="000D513C" w:rsidRDefault="000D513C">
            <w:pPr>
              <w:rPr>
                <w:sz w:val="20"/>
                <w:szCs w:val="20"/>
              </w:rPr>
            </w:pPr>
          </w:p>
        </w:tc>
        <w:tc>
          <w:tcPr>
            <w:tcW w:w="1220" w:type="dxa"/>
            <w:noWrap/>
            <w:hideMark/>
          </w:tcPr>
          <w:p w14:paraId="326B9C45" w14:textId="77777777" w:rsidR="000D513C" w:rsidRDefault="000D513C">
            <w:pPr>
              <w:rPr>
                <w:sz w:val="20"/>
                <w:szCs w:val="20"/>
              </w:rPr>
            </w:pPr>
          </w:p>
        </w:tc>
        <w:tc>
          <w:tcPr>
            <w:tcW w:w="1240" w:type="dxa"/>
            <w:noWrap/>
            <w:hideMark/>
          </w:tcPr>
          <w:p w14:paraId="6556DB2E" w14:textId="77777777" w:rsidR="000D513C" w:rsidRDefault="000D513C">
            <w:pPr>
              <w:rPr>
                <w:sz w:val="20"/>
                <w:szCs w:val="20"/>
              </w:rPr>
            </w:pPr>
          </w:p>
        </w:tc>
        <w:tc>
          <w:tcPr>
            <w:tcW w:w="1200" w:type="dxa"/>
            <w:noWrap/>
            <w:hideMark/>
          </w:tcPr>
          <w:p w14:paraId="502364ED" w14:textId="77777777" w:rsidR="000D513C" w:rsidRDefault="000D513C">
            <w:pPr>
              <w:rPr>
                <w:sz w:val="20"/>
                <w:szCs w:val="20"/>
              </w:rPr>
            </w:pPr>
          </w:p>
        </w:tc>
      </w:tr>
      <w:tr w:rsidR="000D513C" w14:paraId="20C5D291" w14:textId="77777777" w:rsidTr="000D513C">
        <w:trPr>
          <w:trHeight w:val="300"/>
        </w:trPr>
        <w:tc>
          <w:tcPr>
            <w:tcW w:w="3120" w:type="dxa"/>
            <w:noWrap/>
            <w:hideMark/>
          </w:tcPr>
          <w:p w14:paraId="54D19778" w14:textId="77777777" w:rsidR="000D513C" w:rsidRDefault="000D513C">
            <w:r>
              <w:t>Bland Altman Critical Difference</w:t>
            </w:r>
          </w:p>
        </w:tc>
        <w:tc>
          <w:tcPr>
            <w:tcW w:w="1240" w:type="dxa"/>
            <w:noWrap/>
            <w:hideMark/>
          </w:tcPr>
          <w:p w14:paraId="07ACA6B2" w14:textId="77777777" w:rsidR="000D513C" w:rsidRDefault="000D513C">
            <w:pPr>
              <w:jc w:val="center"/>
            </w:pPr>
            <w:r>
              <w:t>---</w:t>
            </w:r>
          </w:p>
        </w:tc>
        <w:tc>
          <w:tcPr>
            <w:tcW w:w="1260" w:type="dxa"/>
            <w:noWrap/>
            <w:hideMark/>
          </w:tcPr>
          <w:p w14:paraId="0583B4D0" w14:textId="77777777" w:rsidR="000D513C" w:rsidRDefault="000D513C">
            <w:pPr>
              <w:jc w:val="center"/>
            </w:pPr>
            <w:r>
              <w:t>0.072</w:t>
            </w:r>
          </w:p>
        </w:tc>
        <w:tc>
          <w:tcPr>
            <w:tcW w:w="1220" w:type="dxa"/>
            <w:noWrap/>
            <w:hideMark/>
          </w:tcPr>
          <w:p w14:paraId="28BC413E" w14:textId="77777777" w:rsidR="000D513C" w:rsidRDefault="000D513C">
            <w:pPr>
              <w:jc w:val="center"/>
            </w:pPr>
            <w:r>
              <w:t>1.264</w:t>
            </w:r>
          </w:p>
        </w:tc>
        <w:tc>
          <w:tcPr>
            <w:tcW w:w="1180" w:type="dxa"/>
            <w:noWrap/>
            <w:hideMark/>
          </w:tcPr>
          <w:p w14:paraId="591FAB68" w14:textId="77777777" w:rsidR="000D513C" w:rsidRDefault="000D513C">
            <w:r>
              <w:t xml:space="preserve">    0.987</w:t>
            </w:r>
          </w:p>
        </w:tc>
        <w:tc>
          <w:tcPr>
            <w:tcW w:w="1180" w:type="dxa"/>
            <w:noWrap/>
            <w:hideMark/>
          </w:tcPr>
          <w:p w14:paraId="2EFFA45A" w14:textId="77777777" w:rsidR="000D513C" w:rsidRDefault="000D513C">
            <w:pPr>
              <w:jc w:val="center"/>
            </w:pPr>
            <w:r>
              <w:t>1.099</w:t>
            </w:r>
          </w:p>
        </w:tc>
        <w:tc>
          <w:tcPr>
            <w:tcW w:w="1240" w:type="dxa"/>
            <w:noWrap/>
            <w:hideMark/>
          </w:tcPr>
          <w:p w14:paraId="2050D5EE" w14:textId="77777777" w:rsidR="000D513C" w:rsidRDefault="000D513C">
            <w:pPr>
              <w:jc w:val="center"/>
            </w:pPr>
            <w:r>
              <w:t>1.910</w:t>
            </w:r>
          </w:p>
        </w:tc>
        <w:tc>
          <w:tcPr>
            <w:tcW w:w="1300" w:type="dxa"/>
            <w:noWrap/>
            <w:hideMark/>
          </w:tcPr>
          <w:p w14:paraId="582BDF01" w14:textId="77777777" w:rsidR="000D513C" w:rsidRDefault="000D513C">
            <w:pPr>
              <w:jc w:val="center"/>
            </w:pPr>
            <w:r>
              <w:t>1.025</w:t>
            </w:r>
          </w:p>
        </w:tc>
        <w:tc>
          <w:tcPr>
            <w:tcW w:w="1220" w:type="dxa"/>
            <w:noWrap/>
            <w:hideMark/>
          </w:tcPr>
          <w:p w14:paraId="26171783" w14:textId="77777777" w:rsidR="000D513C" w:rsidRDefault="000D513C">
            <w:pPr>
              <w:jc w:val="center"/>
            </w:pPr>
            <w:r>
              <w:t>1.104</w:t>
            </w:r>
          </w:p>
        </w:tc>
        <w:tc>
          <w:tcPr>
            <w:tcW w:w="1240" w:type="dxa"/>
            <w:noWrap/>
            <w:hideMark/>
          </w:tcPr>
          <w:p w14:paraId="5EEDB083" w14:textId="77777777" w:rsidR="000D513C" w:rsidRDefault="000D513C">
            <w:pPr>
              <w:jc w:val="center"/>
            </w:pPr>
            <w:r>
              <w:t>2.040</w:t>
            </w:r>
          </w:p>
        </w:tc>
        <w:tc>
          <w:tcPr>
            <w:tcW w:w="1200" w:type="dxa"/>
            <w:noWrap/>
            <w:hideMark/>
          </w:tcPr>
          <w:p w14:paraId="5F998D12" w14:textId="77777777" w:rsidR="000D513C" w:rsidRDefault="000D513C">
            <w:pPr>
              <w:jc w:val="center"/>
            </w:pPr>
            <w:r>
              <w:t>1.029</w:t>
            </w:r>
          </w:p>
        </w:tc>
      </w:tr>
      <w:tr w:rsidR="000D513C" w14:paraId="55C8A351" w14:textId="77777777" w:rsidTr="000D513C">
        <w:trPr>
          <w:trHeight w:val="300"/>
        </w:trPr>
        <w:tc>
          <w:tcPr>
            <w:tcW w:w="3120" w:type="dxa"/>
            <w:noWrap/>
            <w:hideMark/>
          </w:tcPr>
          <w:p w14:paraId="602BD526" w14:textId="77777777" w:rsidR="000D513C" w:rsidRDefault="000D513C"/>
        </w:tc>
        <w:tc>
          <w:tcPr>
            <w:tcW w:w="1240" w:type="dxa"/>
            <w:noWrap/>
            <w:hideMark/>
          </w:tcPr>
          <w:p w14:paraId="0C9CEFCB" w14:textId="77777777" w:rsidR="000D513C" w:rsidRDefault="000D513C">
            <w:pPr>
              <w:rPr>
                <w:sz w:val="20"/>
                <w:szCs w:val="20"/>
              </w:rPr>
            </w:pPr>
          </w:p>
        </w:tc>
        <w:tc>
          <w:tcPr>
            <w:tcW w:w="1260" w:type="dxa"/>
            <w:noWrap/>
            <w:hideMark/>
          </w:tcPr>
          <w:p w14:paraId="7BA8022E" w14:textId="77777777" w:rsidR="000D513C" w:rsidRDefault="000D513C">
            <w:pPr>
              <w:rPr>
                <w:sz w:val="20"/>
                <w:szCs w:val="20"/>
              </w:rPr>
            </w:pPr>
          </w:p>
        </w:tc>
        <w:tc>
          <w:tcPr>
            <w:tcW w:w="1220" w:type="dxa"/>
            <w:noWrap/>
            <w:hideMark/>
          </w:tcPr>
          <w:p w14:paraId="77688AD4" w14:textId="77777777" w:rsidR="000D513C" w:rsidRDefault="000D513C">
            <w:pPr>
              <w:rPr>
                <w:sz w:val="20"/>
                <w:szCs w:val="20"/>
              </w:rPr>
            </w:pPr>
          </w:p>
        </w:tc>
        <w:tc>
          <w:tcPr>
            <w:tcW w:w="1180" w:type="dxa"/>
            <w:noWrap/>
            <w:hideMark/>
          </w:tcPr>
          <w:p w14:paraId="00A2EB6B" w14:textId="77777777" w:rsidR="000D513C" w:rsidRDefault="000D513C">
            <w:pPr>
              <w:rPr>
                <w:sz w:val="20"/>
                <w:szCs w:val="20"/>
              </w:rPr>
            </w:pPr>
          </w:p>
        </w:tc>
        <w:tc>
          <w:tcPr>
            <w:tcW w:w="1180" w:type="dxa"/>
            <w:noWrap/>
            <w:hideMark/>
          </w:tcPr>
          <w:p w14:paraId="052E19DA" w14:textId="77777777" w:rsidR="000D513C" w:rsidRDefault="000D513C">
            <w:pPr>
              <w:rPr>
                <w:sz w:val="20"/>
                <w:szCs w:val="20"/>
              </w:rPr>
            </w:pPr>
          </w:p>
        </w:tc>
        <w:tc>
          <w:tcPr>
            <w:tcW w:w="1240" w:type="dxa"/>
            <w:noWrap/>
            <w:hideMark/>
          </w:tcPr>
          <w:p w14:paraId="54A27997" w14:textId="77777777" w:rsidR="000D513C" w:rsidRDefault="000D513C">
            <w:pPr>
              <w:rPr>
                <w:sz w:val="20"/>
                <w:szCs w:val="20"/>
              </w:rPr>
            </w:pPr>
          </w:p>
        </w:tc>
        <w:tc>
          <w:tcPr>
            <w:tcW w:w="1300" w:type="dxa"/>
            <w:noWrap/>
            <w:hideMark/>
          </w:tcPr>
          <w:p w14:paraId="781F806F" w14:textId="77777777" w:rsidR="000D513C" w:rsidRDefault="000D513C">
            <w:pPr>
              <w:rPr>
                <w:sz w:val="20"/>
                <w:szCs w:val="20"/>
              </w:rPr>
            </w:pPr>
          </w:p>
        </w:tc>
        <w:tc>
          <w:tcPr>
            <w:tcW w:w="1220" w:type="dxa"/>
            <w:noWrap/>
            <w:hideMark/>
          </w:tcPr>
          <w:p w14:paraId="6B8F1676" w14:textId="77777777" w:rsidR="000D513C" w:rsidRDefault="000D513C">
            <w:pPr>
              <w:rPr>
                <w:sz w:val="20"/>
                <w:szCs w:val="20"/>
              </w:rPr>
            </w:pPr>
          </w:p>
        </w:tc>
        <w:tc>
          <w:tcPr>
            <w:tcW w:w="1240" w:type="dxa"/>
            <w:noWrap/>
            <w:hideMark/>
          </w:tcPr>
          <w:p w14:paraId="6B5D9BAF" w14:textId="77777777" w:rsidR="000D513C" w:rsidRDefault="000D513C">
            <w:pPr>
              <w:rPr>
                <w:sz w:val="20"/>
                <w:szCs w:val="20"/>
              </w:rPr>
            </w:pPr>
          </w:p>
        </w:tc>
        <w:tc>
          <w:tcPr>
            <w:tcW w:w="1200" w:type="dxa"/>
            <w:noWrap/>
            <w:hideMark/>
          </w:tcPr>
          <w:p w14:paraId="012A7B4B" w14:textId="77777777" w:rsidR="000D513C" w:rsidRDefault="000D513C">
            <w:pPr>
              <w:rPr>
                <w:sz w:val="20"/>
                <w:szCs w:val="20"/>
              </w:rPr>
            </w:pPr>
          </w:p>
        </w:tc>
      </w:tr>
      <w:tr w:rsidR="000D513C" w14:paraId="49883BA9" w14:textId="77777777" w:rsidTr="000D513C">
        <w:trPr>
          <w:trHeight w:val="162"/>
        </w:trPr>
        <w:tc>
          <w:tcPr>
            <w:tcW w:w="3120" w:type="dxa"/>
            <w:noWrap/>
            <w:hideMark/>
          </w:tcPr>
          <w:p w14:paraId="0D2E47AD" w14:textId="77777777" w:rsidR="000D513C" w:rsidRDefault="000D513C">
            <w:r>
              <w:t>Pearson Correlation Coefficient</w:t>
            </w:r>
          </w:p>
        </w:tc>
        <w:tc>
          <w:tcPr>
            <w:tcW w:w="1240" w:type="dxa"/>
            <w:noWrap/>
            <w:hideMark/>
          </w:tcPr>
          <w:p w14:paraId="43807058" w14:textId="77777777" w:rsidR="000D513C" w:rsidRDefault="000D513C">
            <w:pPr>
              <w:jc w:val="center"/>
            </w:pPr>
            <w:r>
              <w:t>---</w:t>
            </w:r>
          </w:p>
        </w:tc>
        <w:tc>
          <w:tcPr>
            <w:tcW w:w="1260" w:type="dxa"/>
            <w:noWrap/>
            <w:hideMark/>
          </w:tcPr>
          <w:p w14:paraId="3162B829" w14:textId="77777777" w:rsidR="000D513C" w:rsidRDefault="000D513C">
            <w:pPr>
              <w:jc w:val="center"/>
              <w:rPr>
                <w:highlight w:val="yellow"/>
              </w:rPr>
            </w:pPr>
            <w:r>
              <w:t>0.938</w:t>
            </w:r>
          </w:p>
        </w:tc>
        <w:tc>
          <w:tcPr>
            <w:tcW w:w="1220" w:type="dxa"/>
            <w:noWrap/>
            <w:hideMark/>
          </w:tcPr>
          <w:p w14:paraId="333FCEB8" w14:textId="77777777" w:rsidR="000D513C" w:rsidRDefault="000D513C">
            <w:pPr>
              <w:jc w:val="center"/>
              <w:rPr>
                <w:highlight w:val="yellow"/>
              </w:rPr>
            </w:pPr>
            <w:r>
              <w:t>0.621</w:t>
            </w:r>
          </w:p>
        </w:tc>
        <w:tc>
          <w:tcPr>
            <w:tcW w:w="1180" w:type="dxa"/>
            <w:noWrap/>
            <w:hideMark/>
          </w:tcPr>
          <w:p w14:paraId="31EA29CF" w14:textId="77777777" w:rsidR="000D513C" w:rsidRDefault="000D513C">
            <w:pPr>
              <w:jc w:val="center"/>
              <w:rPr>
                <w:highlight w:val="yellow"/>
              </w:rPr>
            </w:pPr>
            <w:r>
              <w:t>0.931</w:t>
            </w:r>
          </w:p>
        </w:tc>
        <w:tc>
          <w:tcPr>
            <w:tcW w:w="1180" w:type="dxa"/>
            <w:noWrap/>
            <w:hideMark/>
          </w:tcPr>
          <w:p w14:paraId="7F52B02E" w14:textId="77777777" w:rsidR="000D513C" w:rsidRDefault="000D513C">
            <w:pPr>
              <w:jc w:val="center"/>
              <w:rPr>
                <w:highlight w:val="yellow"/>
              </w:rPr>
            </w:pPr>
            <w:r>
              <w:t>0.870</w:t>
            </w:r>
          </w:p>
        </w:tc>
        <w:tc>
          <w:tcPr>
            <w:tcW w:w="1240" w:type="dxa"/>
            <w:noWrap/>
            <w:hideMark/>
          </w:tcPr>
          <w:p w14:paraId="223DC794" w14:textId="77777777" w:rsidR="000D513C" w:rsidRDefault="000D513C">
            <w:pPr>
              <w:jc w:val="center"/>
            </w:pPr>
            <w:r>
              <w:t>0.687</w:t>
            </w:r>
          </w:p>
        </w:tc>
        <w:tc>
          <w:tcPr>
            <w:tcW w:w="1300" w:type="dxa"/>
            <w:noWrap/>
            <w:hideMark/>
          </w:tcPr>
          <w:p w14:paraId="371E3DC7" w14:textId="77777777" w:rsidR="000D513C" w:rsidRDefault="000D513C">
            <w:pPr>
              <w:jc w:val="center"/>
            </w:pPr>
            <w:r>
              <w:t>0.826</w:t>
            </w:r>
          </w:p>
        </w:tc>
        <w:tc>
          <w:tcPr>
            <w:tcW w:w="1220" w:type="dxa"/>
            <w:noWrap/>
            <w:hideMark/>
          </w:tcPr>
          <w:p w14:paraId="1E34B9EF" w14:textId="77777777" w:rsidR="000D513C" w:rsidRDefault="000D513C">
            <w:pPr>
              <w:jc w:val="center"/>
            </w:pPr>
            <w:r>
              <w:t>0.814</w:t>
            </w:r>
          </w:p>
        </w:tc>
        <w:tc>
          <w:tcPr>
            <w:tcW w:w="1240" w:type="dxa"/>
            <w:noWrap/>
            <w:hideMark/>
          </w:tcPr>
          <w:p w14:paraId="67CDD9F7" w14:textId="77777777" w:rsidR="000D513C" w:rsidRDefault="000D513C">
            <w:pPr>
              <w:jc w:val="center"/>
            </w:pPr>
            <w:r>
              <w:t>0.652</w:t>
            </w:r>
          </w:p>
        </w:tc>
        <w:tc>
          <w:tcPr>
            <w:tcW w:w="1200" w:type="dxa"/>
            <w:noWrap/>
            <w:hideMark/>
          </w:tcPr>
          <w:p w14:paraId="5F2FD842" w14:textId="77777777" w:rsidR="000D513C" w:rsidRDefault="000D513C">
            <w:pPr>
              <w:jc w:val="center"/>
              <w:rPr>
                <w:highlight w:val="yellow"/>
              </w:rPr>
            </w:pPr>
            <w:r>
              <w:t>0.781</w:t>
            </w:r>
          </w:p>
        </w:tc>
      </w:tr>
    </w:tbl>
    <w:p w14:paraId="47F97042" w14:textId="47545CE2" w:rsidR="000D513C" w:rsidRDefault="000D513C" w:rsidP="008B63D9">
      <w:pPr>
        <w:rPr>
          <w:rFonts w:ascii="Calibri" w:eastAsia="Calibri" w:hAnsi="Calibri" w:cs="Times New Roman"/>
        </w:rPr>
      </w:pPr>
    </w:p>
    <w:p w14:paraId="76E55E71" w14:textId="77777777" w:rsidR="000D513C" w:rsidRDefault="000D513C" w:rsidP="006F4A79">
      <w:pPr>
        <w:autoSpaceDE w:val="0"/>
        <w:autoSpaceDN w:val="0"/>
        <w:adjustRightInd w:val="0"/>
        <w:spacing w:after="0" w:line="240" w:lineRule="auto"/>
        <w:rPr>
          <w:rFonts w:ascii="Calibri" w:eastAsia="Calibri" w:hAnsi="Calibri" w:cs="Times New Roman"/>
        </w:rPr>
        <w:sectPr w:rsidR="000D513C" w:rsidSect="0035019E">
          <w:type w:val="continuous"/>
          <w:pgSz w:w="15840" w:h="12240" w:orient="landscape"/>
          <w:pgMar w:top="1440" w:right="1440" w:bottom="1440" w:left="1440" w:header="720" w:footer="720" w:gutter="0"/>
          <w:lnNumType w:countBy="1" w:restart="continuous"/>
          <w:cols w:space="720"/>
          <w:docGrid w:linePitch="360"/>
        </w:sectPr>
      </w:pPr>
    </w:p>
    <w:p w14:paraId="3C0FB414" w14:textId="0A659A84" w:rsidR="008B63D9" w:rsidRDefault="00384A3B" w:rsidP="006F4A79">
      <w:pPr>
        <w:autoSpaceDE w:val="0"/>
        <w:autoSpaceDN w:val="0"/>
        <w:adjustRightInd w:val="0"/>
        <w:spacing w:after="0" w:line="240" w:lineRule="auto"/>
        <w:rPr>
          <w:rFonts w:ascii="Calibri" w:eastAsia="Calibri" w:hAnsi="Calibri" w:cs="Times New Roman"/>
        </w:rPr>
      </w:pPr>
      <w:r>
        <w:rPr>
          <w:rFonts w:ascii="Calibri" w:eastAsia="Calibri" w:hAnsi="Calibri" w:cs="Times New Roman"/>
        </w:rPr>
        <w:lastRenderedPageBreak/>
        <w:tab/>
      </w:r>
    </w:p>
    <w:p w14:paraId="5660A50F" w14:textId="40B8627D" w:rsidR="008B63D9" w:rsidRDefault="008B63D9" w:rsidP="00020ABC">
      <w:pPr>
        <w:spacing w:line="480" w:lineRule="auto"/>
        <w:rPr>
          <w:rFonts w:ascii="Calibri" w:eastAsia="Calibri" w:hAnsi="Calibri" w:cs="Times New Roman"/>
          <w:b/>
          <w:u w:val="single"/>
        </w:rPr>
      </w:pPr>
      <w:r w:rsidRPr="00EE0F17">
        <w:rPr>
          <w:rFonts w:ascii="Calibri" w:eastAsia="Calibri" w:hAnsi="Calibri" w:cs="Times New Roman"/>
          <w:b/>
          <w:u w:val="single"/>
        </w:rPr>
        <w:t>Discussion</w:t>
      </w:r>
      <w:r w:rsidR="002538D3">
        <w:rPr>
          <w:rFonts w:ascii="Calibri" w:eastAsia="Calibri" w:hAnsi="Calibri" w:cs="Times New Roman"/>
          <w:b/>
          <w:u w:val="single"/>
        </w:rPr>
        <w:t>:</w:t>
      </w:r>
    </w:p>
    <w:p w14:paraId="7CA73E3B" w14:textId="77777777" w:rsidR="007D39CC" w:rsidRDefault="007D39CC" w:rsidP="00020ABC">
      <w:pPr>
        <w:spacing w:line="480" w:lineRule="auto"/>
        <w:rPr>
          <w:rFonts w:ascii="Calibri" w:eastAsia="Calibri" w:hAnsi="Calibri" w:cs="Times New Roman"/>
          <w:b/>
          <w:u w:val="single"/>
        </w:rPr>
      </w:pPr>
    </w:p>
    <w:p w14:paraId="6858F3C8" w14:textId="44E05BCE" w:rsidR="009C5CC7" w:rsidRDefault="007D39CC" w:rsidP="00020ABC">
      <w:pPr>
        <w:spacing w:line="480" w:lineRule="auto"/>
        <w:ind w:firstLine="720"/>
      </w:pPr>
      <w:r>
        <w:rPr>
          <w:rFonts w:ascii="Calibri" w:eastAsia="Calibri" w:hAnsi="Calibri" w:cs="Times New Roman"/>
        </w:rPr>
        <w:t>The first aim of this study was to assess the feasibility of either a CFF or a PFF model to approximate</w:t>
      </w:r>
      <w:r w:rsidR="00262AE0">
        <w:rPr>
          <w:rFonts w:ascii="Calibri" w:eastAsia="Calibri" w:hAnsi="Calibri" w:cs="Times New Roman"/>
        </w:rPr>
        <w:t xml:space="preserve"> pulsatile</w:t>
      </w:r>
      <w:r>
        <w:rPr>
          <w:rFonts w:ascii="Calibri" w:eastAsia="Calibri" w:hAnsi="Calibri" w:cs="Times New Roman"/>
        </w:rPr>
        <w:t xml:space="preserve"> </w:t>
      </w:r>
      <w:r w:rsidR="00262AE0">
        <w:rPr>
          <w:rFonts w:ascii="Calibri" w:eastAsia="Calibri" w:hAnsi="Calibri" w:cs="Times New Roman"/>
        </w:rPr>
        <w:t xml:space="preserve">changes in </w:t>
      </w:r>
      <w:r>
        <w:rPr>
          <w:rFonts w:ascii="Calibri" w:eastAsia="Calibri" w:hAnsi="Calibri" w:cs="Times New Roman"/>
        </w:rPr>
        <w:t>C</w:t>
      </w:r>
      <w:r w:rsidR="00872AC2">
        <w:rPr>
          <w:rFonts w:ascii="Calibri" w:eastAsia="Calibri" w:hAnsi="Calibri" w:cs="Times New Roman"/>
        </w:rPr>
        <w:t>a</w:t>
      </w:r>
      <w:r>
        <w:rPr>
          <w:rFonts w:ascii="Calibri" w:eastAsia="Calibri" w:hAnsi="Calibri" w:cs="Times New Roman"/>
        </w:rPr>
        <w:t xml:space="preserve">BV in physiologically extreme conditions affecting neurocritical care patients. </w:t>
      </w:r>
      <w:r w:rsidR="00325A75">
        <w:t>We hypothesized</w:t>
      </w:r>
      <w:r>
        <w:t xml:space="preserve"> that a PFF model with CPP as the input signal (PI_C3Ra3) would be the best-fit estimator model because its core parameter contains raw signals from both standard cerebral hemodynamic indices (ABP and ICP) that largely direct patient management.</w:t>
      </w:r>
      <w:r>
        <w:rPr>
          <w:rFonts w:ascii="Calibri" w:eastAsia="Calibri" w:hAnsi="Calibri" w:cs="Times New Roman"/>
        </w:rPr>
        <w:t xml:space="preserve"> </w:t>
      </w:r>
      <w:r>
        <w:t xml:space="preserve">However, our results seem to disprove this hypothesis, suggesting that it is mainly PI_C1Ra3 (closely followed by PI_C1Ra1, but only for the vasopressors cohort – see Tables </w:t>
      </w:r>
      <w:r w:rsidR="005B36FA">
        <w:t>2</w:t>
      </w:r>
      <w:r>
        <w:t>-</w:t>
      </w:r>
      <w:r w:rsidR="005B36FA">
        <w:t>4</w:t>
      </w:r>
      <w:r>
        <w:t>) that is the best fit for these groups of neurocritical patients.</w:t>
      </w:r>
    </w:p>
    <w:p w14:paraId="79606353" w14:textId="3BB08A2D" w:rsidR="00EA1376" w:rsidRPr="000D0FAE" w:rsidRDefault="007D39CC" w:rsidP="00020ABC">
      <w:pPr>
        <w:spacing w:line="480" w:lineRule="auto"/>
        <w:ind w:firstLine="720"/>
      </w:pPr>
      <w:r>
        <w:t xml:space="preserve"> </w:t>
      </w:r>
      <w:r w:rsidR="000D0FAE">
        <w:t xml:space="preserve">Although </w:t>
      </w:r>
      <w:r w:rsidR="007B135B">
        <w:t>inspired by</w:t>
      </w:r>
      <w:r w:rsidR="000D0FAE">
        <w:t xml:space="preserve"> the work of Uryga et al.</w:t>
      </w:r>
      <w:r w:rsidR="000D0FAE" w:rsidRPr="000D0FAE">
        <w:rPr>
          <w:vertAlign w:val="superscript"/>
        </w:rPr>
        <w:fldChar w:fldCharType="begin" w:fldLock="1"/>
      </w:r>
      <w:r w:rsidR="00A41837">
        <w:rPr>
          <w:vertAlign w:val="superscript"/>
        </w:rPr>
        <w:instrText>ADDIN CSL_CITATION {"citationItems":[{"id":"ITEM-1","itemData":{"author":[{"dropping-particle":"","family":"Uryga A","given":"","non-dropping-particle":"","parse-names":false,"suffix":""},{"dropping-particle":"","family":"M","given":"Kasprowicz","non-dropping-particle":"","parse-names":false,"suffix":""},{"dropping-particle":"","family":"R","given":"Diehl","non-dropping-particle":"","parse-names":false,"suffix":""},{"dropping-particle":"","family":"K","given":"Kaczmarska","non-dropping-particle":"","parse-names":false,"suffix":""},{"dropping-particle":"","family":"Calviello L","given":"Czosnyka M.","non-dropping-particle":"","parse-names":false,"suffix":""}],"container-title":"Ultrasound in Medicine &amp; Biology.","id":"ITEM-1","issue":"In Review","issued":{"date-parts":[["2017"]]},"title":"Assessment of cerebral hemodynamic parameters using pulsatile versus non-pulsatile blood outflow model.","type":"article-journal"},"uris":["http://www.mendeley.com/documents/?uuid=914d12fd-7795-4cdd-b796-423ee22e7ff3"]}],"mendeley":{"formattedCitation":"(7)","manualFormatting":"7","plainTextFormattedCitation":"(7)","previouslyFormattedCitation":"(7)"},"properties":{"noteIndex":0},"schema":"https://github.com/citation-style-language/schema/raw/master/csl-citation.json"}</w:instrText>
      </w:r>
      <w:r w:rsidR="000D0FAE" w:rsidRPr="000D0FAE">
        <w:rPr>
          <w:vertAlign w:val="superscript"/>
        </w:rPr>
        <w:fldChar w:fldCharType="separate"/>
      </w:r>
      <w:r w:rsidR="000D0FAE" w:rsidRPr="000D0FAE">
        <w:rPr>
          <w:noProof/>
          <w:vertAlign w:val="superscript"/>
        </w:rPr>
        <w:t>7</w:t>
      </w:r>
      <w:r w:rsidR="000D0FAE" w:rsidRPr="000D0FAE">
        <w:rPr>
          <w:vertAlign w:val="superscript"/>
        </w:rPr>
        <w:fldChar w:fldCharType="end"/>
      </w:r>
      <w:r w:rsidR="000D0FAE">
        <w:t xml:space="preserve"> which concluded that PFF was superior to CFF when measured in healthy volunteers</w:t>
      </w:r>
      <w:r w:rsidR="00E12B89">
        <w:t xml:space="preserve"> during hypo- and hypercapnia</w:t>
      </w:r>
      <w:r w:rsidR="000D0FAE">
        <w:t xml:space="preserve">, our results taken from a population of TBI patients contradict this point. </w:t>
      </w:r>
      <w:r>
        <w:rPr>
          <w:rFonts w:cstheme="minorHAnsi"/>
          <w:shd w:val="clear" w:color="auto" w:fill="FFFFFF"/>
        </w:rPr>
        <w:t xml:space="preserve">This could be related to the fact </w:t>
      </w:r>
      <w:r w:rsidRPr="007D4F7D">
        <w:rPr>
          <w:rFonts w:cstheme="minorHAnsi"/>
          <w:shd w:val="clear" w:color="auto" w:fill="FFFFFF"/>
        </w:rPr>
        <w:t>that the CFF method of C</w:t>
      </w:r>
      <w:r w:rsidR="00872AC2">
        <w:rPr>
          <w:rFonts w:cstheme="minorHAnsi"/>
          <w:shd w:val="clear" w:color="auto" w:fill="FFFFFF"/>
        </w:rPr>
        <w:t>a</w:t>
      </w:r>
      <w:r w:rsidRPr="007D4F7D">
        <w:rPr>
          <w:rFonts w:cstheme="minorHAnsi"/>
          <w:shd w:val="clear" w:color="auto" w:fill="FFFFFF"/>
        </w:rPr>
        <w:t xml:space="preserve">BV estimation is </w:t>
      </w:r>
      <w:r>
        <w:rPr>
          <w:rFonts w:cstheme="minorHAnsi"/>
          <w:shd w:val="clear" w:color="auto" w:fill="FFFFFF"/>
        </w:rPr>
        <w:t>more “stable” for measurement, as it discards the dependence on ABP for calculation that characterizes both PFF modeling scaffolds. ABP appears to be the most sensitive parameter, as any large fluctuations</w:t>
      </w:r>
      <w:r w:rsidR="00932210">
        <w:rPr>
          <w:rFonts w:cstheme="minorHAnsi"/>
          <w:shd w:val="clear" w:color="auto" w:fill="FFFFFF"/>
        </w:rPr>
        <w:t xml:space="preserve"> of ABP in patients</w:t>
      </w:r>
      <w:r>
        <w:rPr>
          <w:rFonts w:cstheme="minorHAnsi"/>
          <w:shd w:val="clear" w:color="auto" w:fill="FFFFFF"/>
        </w:rPr>
        <w:t xml:space="preserve"> would dramatically change the value of the numerators of any one of the three resistors applied to either PFF model (please see Appendix A). </w:t>
      </w:r>
      <w:r>
        <w:rPr>
          <w:rFonts w:ascii="Calibri" w:eastAsia="Calibri" w:hAnsi="Calibri" w:cs="Times New Roman"/>
        </w:rPr>
        <w:t>Th</w:t>
      </w:r>
      <w:r w:rsidRPr="006C0F40">
        <w:rPr>
          <w:rFonts w:ascii="Calibri" w:eastAsia="Calibri" w:hAnsi="Calibri" w:cs="Times New Roman"/>
        </w:rPr>
        <w:t xml:space="preserve">ough </w:t>
      </w:r>
      <w:r>
        <w:rPr>
          <w:rFonts w:ascii="Calibri" w:eastAsia="Calibri" w:hAnsi="Calibri" w:cs="Times New Roman"/>
        </w:rPr>
        <w:t xml:space="preserve">the </w:t>
      </w:r>
      <w:r w:rsidRPr="006C0F40">
        <w:rPr>
          <w:rFonts w:ascii="Calibri" w:eastAsia="Calibri" w:hAnsi="Calibri" w:cs="Times New Roman"/>
        </w:rPr>
        <w:t>TCD</w:t>
      </w:r>
      <w:r>
        <w:rPr>
          <w:rFonts w:ascii="Calibri" w:eastAsia="Calibri" w:hAnsi="Calibri" w:cs="Times New Roman"/>
        </w:rPr>
        <w:t>-based</w:t>
      </w:r>
      <w:r w:rsidRPr="006C0F40">
        <w:rPr>
          <w:rFonts w:ascii="Calibri" w:eastAsia="Calibri" w:hAnsi="Calibri" w:cs="Times New Roman"/>
        </w:rPr>
        <w:t xml:space="preserve"> pulsatility index can describe hemodynamic asymmetry and alert clinicians to low CPP, it cannot reliably explain CVR or be considered a </w:t>
      </w:r>
      <w:r>
        <w:rPr>
          <w:rFonts w:ascii="Calibri" w:eastAsia="Calibri" w:hAnsi="Calibri" w:cs="Times New Roman"/>
        </w:rPr>
        <w:t xml:space="preserve">secure </w:t>
      </w:r>
      <w:r w:rsidRPr="006C0F40">
        <w:rPr>
          <w:rFonts w:ascii="Calibri" w:eastAsia="Calibri" w:hAnsi="Calibri" w:cs="Times New Roman"/>
        </w:rPr>
        <w:t>measure of risk against intracranial hypertension or dysautoregulation</w:t>
      </w:r>
      <w:r w:rsidRPr="003A081F">
        <w:rPr>
          <w:rFonts w:ascii="Calibri" w:eastAsia="Calibri" w:hAnsi="Calibri" w:cs="Times New Roman"/>
          <w:vertAlign w:val="superscript"/>
        </w:rPr>
        <w:fldChar w:fldCharType="begin" w:fldLock="1"/>
      </w:r>
      <w:r w:rsidR="00372DE7">
        <w:rPr>
          <w:rFonts w:ascii="Calibri" w:eastAsia="Calibri" w:hAnsi="Calibri" w:cs="Times New Roman"/>
          <w:vertAlign w:val="superscript"/>
        </w:rPr>
        <w:instrText>ADDIN CSL_CITATION {"citationItems":[{"id":"ITEM-1","itemData":{"DOI":"10.1007/s12028-012-9672-6","ISBN":"1541-6933","ISSN":"15416933","PMID":"22311229","abstract":"BACKGROUND: Transcranial Doppler (TCD) pulsatility index (PI) has traditionally been interpreted as a descriptor of distal cerebrovascular resistance (CVR). We sought to evaluate the relationship between PI and CVR in situations, where CVR increases (mild hypocapnia) and decreases (plateau waves of intracranial pressure-ICP).\\n\\nMETHODS: Recordings from patients with head-injury undergoing monitoring of arterial blood pressure (ABP), ICP, cerebral perfusion pressure (CPP), and TCD assessed cerebral blood flow velocities (FV) were analyzed. The Gosling pulsatility index (PI) was compared between baseline and ICP plateau waves (n = 20 patients) or short term (30-60 min) hypocapnia (n = 31). In addition, a modeling study was conducted with the \"spectral\" PI (calculated using fundamental harmonic of FV) resulting in a theoretical formula expressing the dependence of PI on balance of cerebrovascular impedances.\\n\\nRESULTS: PI increased significantly (p &lt; 0.001) while CVR decreased (p &lt; 0.001) during plateau waves. During hypocapnia PI and CVR increased (p &lt; 0.001). The modeling formula explained more than 65% of the variability of Gosling PI and 90% of the variability of the \"spectral\" PI (R = 0.81 and R = 0.95, respectively).\\n\\nCONCLUSION: TCD pulsatility index can be easily and quickly assessed but is usually misinterpreted as a descriptor of CVR. The mathematical model presents a complex relationship between PI and multiple haemodynamic variables.","author":[{"dropping-particle":"","family":"Riva","given":"Nicolás","non-dropping-particle":"De","parse-names":false,"suffix":""},{"dropping-particle":"","family":"Budohoski","given":"Karol P.","non-dropping-particle":"","parse-names":false,"suffix":""},{"dropping-particle":"","family":"Smielewski","given":"Peter","non-dropping-particle":"","parse-names":false,"suffix":""},{"dropping-particle":"","family":"Kasprowicz","given":"Magdalena","non-dropping-particle":"","parse-names":false,"suffix":""},{"dropping-particle":"","family":"Zweifel","given":"Christian","non-dropping-particle":"","parse-names":false,"suffix":""},{"dropping-particle":"","family":"Steiner","given":"Luzius A.","non-dropping-particle":"","parse-names":false,"suffix":""},{"dropping-particle":"","family":"Reinhard","given":"Matthias","non-dropping-particle":"","parse-names":false,"suffix":""},{"dropping-particle":"","family":"Fábregas","given":"Neus","non-dropping-particle":"","parse-names":false,"suffix":""},{"dropping-particle":"","family":"Pickard","given":"John D.","non-dropping-particle":"","parse-names":false,"suffix":""},{"dropping-particle":"","family":"Czosnyka","given":"Marek","non-dropping-particle":"","parse-names":false,"suffix":""}],"container-title":"Neurocritical Care","id":"ITEM-1","issue":"1","issued":{"date-parts":[["2012"]]},"page":"58-66","title":"Transcranial doppler pulsatility index: What it is and what it isn't","type":"article-journal","volume":"17"},"uris":["http://www.mendeley.com/documents/?uuid=63e7545f-3bfa-463a-8b5d-ea9ac928a360"]}],"mendeley":{"formattedCitation":"(27)","manualFormatting":"25","plainTextFormattedCitation":"(27)","previouslyFormattedCitation":"(27)"},"properties":{"noteIndex":0},"schema":"https://github.com/citation-style-language/schema/raw/master/csl-citation.json"}</w:instrText>
      </w:r>
      <w:r w:rsidRPr="003A081F">
        <w:rPr>
          <w:rFonts w:ascii="Calibri" w:eastAsia="Calibri" w:hAnsi="Calibri" w:cs="Times New Roman"/>
          <w:vertAlign w:val="superscript"/>
        </w:rPr>
        <w:fldChar w:fldCharType="separate"/>
      </w:r>
      <w:r w:rsidRPr="003A081F">
        <w:rPr>
          <w:rFonts w:ascii="Calibri" w:eastAsia="Calibri" w:hAnsi="Calibri" w:cs="Times New Roman"/>
          <w:noProof/>
          <w:vertAlign w:val="superscript"/>
        </w:rPr>
        <w:t>2</w:t>
      </w:r>
      <w:r w:rsidR="00BF7794">
        <w:rPr>
          <w:rFonts w:ascii="Calibri" w:eastAsia="Calibri" w:hAnsi="Calibri" w:cs="Times New Roman"/>
          <w:noProof/>
          <w:vertAlign w:val="superscript"/>
        </w:rPr>
        <w:t>5</w:t>
      </w:r>
      <w:r w:rsidRPr="003A081F">
        <w:rPr>
          <w:rFonts w:ascii="Calibri" w:eastAsia="Calibri" w:hAnsi="Calibri" w:cs="Times New Roman"/>
          <w:vertAlign w:val="superscript"/>
        </w:rPr>
        <w:fldChar w:fldCharType="end"/>
      </w:r>
      <w:r w:rsidRPr="00696A16">
        <w:rPr>
          <w:rFonts w:ascii="Calibri" w:eastAsia="Calibri" w:hAnsi="Calibri" w:cs="Times New Roman"/>
        </w:rPr>
        <w:t xml:space="preserve">. </w:t>
      </w:r>
      <w:r>
        <w:rPr>
          <w:rFonts w:ascii="Calibri" w:eastAsia="Calibri" w:hAnsi="Calibri" w:cs="Times New Roman"/>
        </w:rPr>
        <w:t xml:space="preserve">When plotting </w:t>
      </w:r>
      <w:r w:rsidRPr="006C0F40">
        <w:rPr>
          <w:rFonts w:ascii="Calibri" w:eastAsia="Calibri" w:hAnsi="Calibri" w:cs="Times New Roman"/>
        </w:rPr>
        <w:t>sPI</w:t>
      </w:r>
      <w:r>
        <w:rPr>
          <w:rFonts w:ascii="Calibri" w:eastAsia="Calibri" w:hAnsi="Calibri" w:cs="Times New Roman"/>
        </w:rPr>
        <w:t xml:space="preserve"> against</w:t>
      </w:r>
      <w:r w:rsidRPr="006C0F40">
        <w:rPr>
          <w:rFonts w:ascii="Calibri" w:eastAsia="Calibri" w:hAnsi="Calibri" w:cs="Times New Roman"/>
        </w:rPr>
        <w:t xml:space="preserve"> CPP</w:t>
      </w:r>
      <w:r w:rsidRPr="00A025D3">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{"citationItems":[{"id":"ITEM-1","itemData":{"DOI":"10.1007/s12028-017-0404-9","ISSN":"15560961","abstract":"© 2017 The Author(s) Background: Determination of relationships between transcranial Doppler (TCD)-based spectral pulsatility index (sPI) and pulse amplitude (AMP) of intracranial pressure (ICP) in 2 groups of severe traumatic brain injury (TBI) patients (a) displaying plateau waves and (b) with unstable mean arterial pressure (MAP). Methods: We retrospectively reviewed patients with severe TBI and continuous TCD monitoring displaying either plateau waves or unstable MAP from 1992 to 1998. We utilized linear and nonlinear regression techniques to describ e both cohorts: cerebral perfusion pressure (CPP) versus AMP, CPP versus sPI, mean ICP versus ICP AMP, mean ICP versus sPI, and AMP versus sPI. Results: Nonlinear regression techniques were employed to analyze the relationships with CPP. In plateau wave and unstable MAP patients, CPP versus sPI displayed an inverse nonlinear relationship (R 2  = 0.820 vs. R 2  = 0.610, respectively), with the CPP versus sPI relationship best modeled by the following function in both cases: PI = a + (b/CPP). Similarly, in both groups, CPP versus AMP displayed an inverse nonlinear relationship (R 2  = 0.610 vs. R 2  = 0.360, respectively). Positive linear correlations were displayed in both the plateau wave and unstable MAP cohorts between: ICP versus AMP, ICP versus sPI, AMP versus sPI. Conclusions: There is an inverse relationship through nonlinear regression between CPP versus AMP and CPP versus sPI display. This provides evidence to support a previously-proposed model of TCD pulsatility index. ICP shows a positive linear correlation with AMP and sPI, which is also established between AMP and sPI.","author":[{"dropping-particle":"","family":"Calviello","given":"L.A.","non-dropping-particle":"","parse-names":false,"suffix":""},{"dropping-particle":"","family":"Riva","given":"N.","non-dropping-particle":"de","parse-names":false,"suffix":""},{"dropping-particle":"","family":"Donnelly","given":"J.","non-dropping-particle":"","parse-names":false,"suffix":""},{"dropping-particle":"","family":"Czosnyka","given":"M.","non-dropping-particle":"","parse-names":false,"suffix":""},{"dropping-particle":"","family":"Smielewski","given":"P.","non-dropping-particle":"","parse-names":false,"suffix":""},{"dropping-particle":"","family":"Menon","given":"D.K.","non-dropping-particle":"","parse-names":false,"suffix":""},{"dropping-particle":"","family":"Zeiler","given":"F.A.","non-dropping-particle":"","parse-names":false,"suffix":""}],"container-title":"Neurocritical Care","id":"ITEM-1","issued":{"date-parts":[["2017"]]},"title":"Relationship Between Brain Pulsatility and Cerebral Perfusion Pressure: Replicated Validation Using Different Drivers of CPP Change","type":"article-journal"},"uris":["http://www.mendeley.com/documents/?uuid=a382694f-6841-3d98-933a-f984fdb65bd3"]}],"mendeley":{"formattedCitation":"(10)","manualFormatting":"10","plainTextFormattedCitation":"(10)","previouslyFormattedCitation":"(10)"},"properties":{"noteIndex":0},"schema":"https://github.com/citation-style-language/schema/raw/master/csl-citation.json"}</w:instrText>
      </w:r>
      <w:r w:rsidRPr="00A025D3">
        <w:rPr>
          <w:rFonts w:ascii="Calibri" w:eastAsia="Calibri" w:hAnsi="Calibri" w:cs="Times New Roman"/>
          <w:vertAlign w:val="superscript"/>
        </w:rPr>
        <w:fldChar w:fldCharType="separate"/>
      </w:r>
      <w:r w:rsidRPr="00A025D3">
        <w:rPr>
          <w:rFonts w:ascii="Calibri" w:eastAsia="Calibri" w:hAnsi="Calibri" w:cs="Times New Roman"/>
          <w:noProof/>
          <w:vertAlign w:val="superscript"/>
        </w:rPr>
        <w:t>10</w:t>
      </w:r>
      <w:r w:rsidRPr="00A025D3">
        <w:rPr>
          <w:rFonts w:ascii="Calibri" w:eastAsia="Calibri" w:hAnsi="Calibri" w:cs="Times New Roman"/>
          <w:vertAlign w:val="superscript"/>
        </w:rPr>
        <w:fldChar w:fldCharType="end"/>
      </w:r>
      <w:r>
        <w:rPr>
          <w:rFonts w:ascii="Calibri" w:eastAsia="Calibri" w:hAnsi="Calibri" w:cs="Times New Roman"/>
        </w:rPr>
        <w:t>, the</w:t>
      </w:r>
      <w:r w:rsidRPr="006C0F40">
        <w:rPr>
          <w:rFonts w:ascii="Calibri" w:eastAsia="Calibri" w:hAnsi="Calibri" w:cs="Times New Roman"/>
        </w:rPr>
        <w:t xml:space="preserve"> curve does not exhibit an abrupt breakpoint that would indicate </w:t>
      </w:r>
      <w:r>
        <w:rPr>
          <w:rFonts w:ascii="Calibri" w:eastAsia="Calibri" w:hAnsi="Calibri" w:cs="Times New Roman"/>
        </w:rPr>
        <w:t>the lower limit of autoregulation when targeting CPP in accordance with neuro-intensive care protocols</w:t>
      </w:r>
      <w:r w:rsidRPr="003A081F">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{"citationItems":[{"id":"ITEM-1","itemData":{"DOI":"10.1007/BF01411173","ISBN":"0001-6268","ISSN":"00016268","PMID":"8800328","abstract":"The authors have investigated the relationships between the amplitude of the ICP pulse wave, the mean values of ICP and CPP, and the outcome of 56 head injured ventilated patients. The ICP was monitored continuously using a Camino transducer (35 patients) or subdural catheter (21 patients). The mean Glasgow Coma Score was 6 (range 3-13; 5 patients had a GCS &gt; 8 after resuscitation). Patients were grouped according to their Glasgow Outcome Score assessed at 12 months after injury. The amplitude of ICP pulse waveform was assessed using the fundamental harmonic of the pulse waveform (AMP) to avoid distortion caused by different frequency responses of the pressure transducers used in the study. Statistical analysis revealed that in patients with fatal outcome the ICP pulse amplitude increased when the mean ICP increased to 25 mmHg and then began to decrease. The upper breakpoint of the AMP-ICP relationship was not present in patients with good/moderate outcome. The moving correlation coefficient between the fundamental harmonic of ICP pulse wave and the mean ICP (RAP: R-symbol of correlation between A-amplitude and P-pressure) was introduced to describe the time-dependent changes in correlation between amplitude and mean ICP. The RAP was significantly lower in patients who died or remained in the vegetative state. In 7 patients who died from uncontrollable intracranial hypertension RAP was oscillating or decreased to 0 or negative values well before brain-stem herniation. The combination of an ICP above 20 mmHg for a period longer than 6 hours with low correlation between the amplitude and pressure (RAP &lt; 0.5) was described as an predictive index of an unfavourable outcome.","author":[{"dropping-particle":"","family":"Czosnyka","given":"M.","non-dropping-particle":"","parse-names":false,"suffix":""},{"dropping-particle":"","family":"Guazzo","given":"E.","non-dropping-particle":"","parse-names":false,"suffix":""},{"dropping-particle":"","family":"Whitehouse","given":"M.","non-dropping-particle":"","parse-names":false,"suffix":""},{"dropping-particle":"","family":"Smielewski","given":"P.","non-dropping-particle":"","parse-names":false,"suffix":""},{"dropping-particle":"","family":"Czosnyka","given":"Z.","non-dropping-particle":"","parse-names":false,"suffix":""},{"dropping-particle":"","family":"Kirkpatrick","given":"P.","non-dropping-particle":"","parse-names":false,"suffix":""},{"dropping-particle":"","family":"Piechnik","given":"S.","non-dropping-particle":"","parse-names":false,"suffix":""},{"dropping-particle":"","family":"Pickard","given":"J. D.","non-dropping-particle":"","parse-names":false,"suffix":""}],"container-title":"Acta Neurochirurgica","id":"ITEM-1","issue":"5","issued":{"date-parts":[["1996"]]},"page":"531-542","title":"Significance of intracranial pressure waveform analysis after head injury","type":"article-journal","volume":"138"},"uris":["http://www.mendeley.com/documents/?uuid=019e58f0-36b9-4658-94a7-4b26ed48b48e"]}],"mendeley":{"formattedCitation":"(9)","manualFormatting":"9","plainTextFormattedCitation":"(9)","previouslyFormattedCitation":"(9)"},"properties":{"noteIndex":0},"schema":"https://github.com/citation-style-language/schema/raw/master/csl-citation.json"}</w:instrText>
      </w:r>
      <w:r w:rsidRPr="003A081F">
        <w:rPr>
          <w:rFonts w:ascii="Calibri" w:eastAsia="Calibri" w:hAnsi="Calibri" w:cs="Times New Roman"/>
          <w:vertAlign w:val="superscript"/>
        </w:rPr>
        <w:fldChar w:fldCharType="separate"/>
      </w:r>
      <w:r w:rsidRPr="003A081F">
        <w:rPr>
          <w:rFonts w:ascii="Calibri" w:eastAsia="Calibri" w:hAnsi="Calibri" w:cs="Times New Roman"/>
          <w:noProof/>
          <w:vertAlign w:val="superscript"/>
        </w:rPr>
        <w:t>9</w:t>
      </w:r>
      <w:r w:rsidRPr="003A081F">
        <w:rPr>
          <w:rFonts w:ascii="Calibri" w:eastAsia="Calibri" w:hAnsi="Calibri" w:cs="Times New Roman"/>
          <w:vertAlign w:val="superscript"/>
        </w:rPr>
        <w:fldChar w:fldCharType="end"/>
      </w:r>
      <w:r>
        <w:rPr>
          <w:rFonts w:ascii="Calibri" w:eastAsia="Calibri" w:hAnsi="Calibri" w:cs="Times New Roman"/>
        </w:rPr>
        <w:t>.</w:t>
      </w:r>
      <w:r w:rsidRPr="006C0F40">
        <w:rPr>
          <w:rFonts w:ascii="Calibri" w:eastAsia="Calibri" w:hAnsi="Calibri" w:cs="Times New Roman"/>
        </w:rPr>
        <w:t xml:space="preserve"> </w:t>
      </w:r>
    </w:p>
    <w:p w14:paraId="590C609E" w14:textId="732372C6" w:rsidR="00735A78" w:rsidRPr="00735A78" w:rsidRDefault="00141557" w:rsidP="00020ABC">
      <w:pPr>
        <w:spacing w:line="480" w:lineRule="auto"/>
        <w:ind w:firstLine="720"/>
      </w:pPr>
      <w:r>
        <w:lastRenderedPageBreak/>
        <w:t>We concentrated on building mathematical models of cerebral circulation able to account for pulsatile changes in the vasculature as a result of the cardiac cycle. TCD can capture continuous monitoring of cerebral hemodynamic changes in real time that can be further analyzed with ICM+™ software to provide additional descriptors of hemodynamic activity, such as the compliance of the cerebral arterial bed (Ca) and the cerebrovascular resistance (CVR). Although the diameter of the MCA has been observed as relatively constant in healthy volunteers</w:t>
      </w:r>
      <w:r w:rsidR="00B2659D" w:rsidRPr="00B2659D">
        <w:rPr>
          <w:vertAlign w:val="superscript"/>
        </w:rPr>
        <w:fldChar w:fldCharType="begin" w:fldLock="1"/>
      </w:r>
      <w:r w:rsidR="00BF7794">
        <w:rPr>
          <w:vertAlign w:val="superscript"/>
        </w:rPr>
        <w:instrText>ADDIN CSL_CITATION {"citationItems":[{"id":"ITEM-1","itemData":{"DOI":"10.1113/JP271884","ISSN":"14697793","PMID":"27010011","author":[{"dropping-particle":"","family":"Brothers","given":"R. Matthew","non-dropping-particle":"","parse-names":false,"suffix":""},{"dropping-particle":"","family":"Zhang","given":"Rong","non-dropping-particle":"","parse-names":false,"suffix":""}],"container-title":"Journal of Physiology","id":"ITEM-1","issue":"15","issued":{"date-parts":[["2016"]]},"page":"4077-4079","title":"CrossTalk opposing view: The middle cerebral artery diameter does not change during alterations in arterial blood gases and blood pressure","type":"article","volume":"594"},"uris":["http://www.mendeley.com/documents/?uuid=3f406a66-32a7-4a21-befb-384f071794b2"]},{"id":"ITEM-2","itemData":{"DOI":"10.1113/JP271981","ISSN":"14697793","PMID":"27010010","author":[{"dropping-particle":"","family":"Hoiland","given":"Ryan L.","non-dropping-particle":"","parse-names":false,"suffix":""},{"dropping-particle":"","family":"Ainslie","given":"Philip N.","non-dropping-particle":"","parse-names":false,"suffix":""}],"container-title":"Journal of Physiology","id":"ITEM-2","issue":"15","issued":{"date-parts":[["2016"]]},"page":"4073-4075","title":"CrossTalk proposal: The middle cerebral artery diameter does change during alterations in arterial blood gases and blood pressure","type":"article","volume":"594"},"uris":["http://www.mendeley.com/documents/?uuid=e86fc448-841f-4351-bcc4-932af35af261"]}],"mendeley":{"formattedCitation":"(30,31)","manualFormatting":"30,31","plainTextFormattedCitation":"(30,31)","previouslyFormattedCitation":"(30,31)"},"properties":{"noteIndex":0},"schema":"https://github.com/citation-style-language/schema/raw/master/csl-citation.json"}</w:instrText>
      </w:r>
      <w:r w:rsidR="00B2659D" w:rsidRPr="00B2659D">
        <w:rPr>
          <w:vertAlign w:val="superscript"/>
        </w:rPr>
        <w:fldChar w:fldCharType="separate"/>
      </w:r>
      <w:r w:rsidR="00BF7794">
        <w:rPr>
          <w:noProof/>
          <w:vertAlign w:val="superscript"/>
        </w:rPr>
        <w:t>30</w:t>
      </w:r>
      <w:r w:rsidR="00B2659D" w:rsidRPr="00B2659D">
        <w:rPr>
          <w:noProof/>
          <w:vertAlign w:val="superscript"/>
        </w:rPr>
        <w:t>,3</w:t>
      </w:r>
      <w:r w:rsidR="00BF7794">
        <w:rPr>
          <w:noProof/>
          <w:vertAlign w:val="superscript"/>
        </w:rPr>
        <w:t>1</w:t>
      </w:r>
      <w:r w:rsidR="00B2659D" w:rsidRPr="00B2659D">
        <w:rPr>
          <w:vertAlign w:val="superscript"/>
        </w:rPr>
        <w:fldChar w:fldCharType="end"/>
      </w:r>
      <w:r w:rsidRPr="00B2659D">
        <w:rPr>
          <w:vertAlign w:val="superscript"/>
        </w:rPr>
        <w:t xml:space="preserve"> </w:t>
      </w:r>
      <w:r>
        <w:t>(discounting cases of vasospasm), the volume of cerebral arterial blood flowing through it is subject to change, especially when exposed to extreme physiological conditions (i.e. plateau waves of ICP, hypocapnia, or unstable ABP requiring the use of vasopressors for stabilization)</w:t>
      </w:r>
      <w:r w:rsidR="00B2659D" w:rsidRPr="00B2659D">
        <w:rPr>
          <w:vertAlign w:val="superscript"/>
        </w:rPr>
        <w:fldChar w:fldCharType="begin" w:fldLock="1"/>
      </w:r>
      <w:r w:rsidR="00A41837">
        <w:rPr>
          <w:vertAlign w:val="superscript"/>
        </w:rPr>
        <w:instrText>ADDIN CSL_CITATION {"citationItems":[{"id":"ITEM-1","itemData":{"DOI":"10.1007/s12028-017-0404-9","ISSN":"15560961","abstract":"© 2017 The Author(s) Background: Determination of relationships between transcranial Doppler (TCD)-based spectral pulsatility index (sPI) and pulse amplitude (AMP) of intracranial pressure (ICP) in 2 groups of severe traumatic brain injury (TBI) patients (a) displaying plateau waves and (b) with unstable mean arterial pressure (MAP). Methods: We retrospectively reviewed patients with severe TBI and continuous TCD monitoring displaying either plateau waves or unstable MAP from 1992 to 1998. We utilized linear and nonlinear regression techniques to describ e both cohorts: cerebral perfusion pressure (CPP) versus AMP, CPP versus sPI, mean ICP versus ICP AMP, mean ICP versus sPI, and AMP versus sPI. Results: Nonlinear regression techniques were employed to analyze the relationships with CPP. In plateau wave and unstable MAP patients, CPP versus sPI displayed an inverse nonlinear relationship (R 2  = 0.820 vs. R 2  = 0.610, respectively), with the CPP versus sPI relationship best modeled by the following function in both cases: PI = a + (b/CPP). Similarly, in both groups, CPP versus AMP displayed an inverse nonlinear relationship (R 2  = 0.610 vs. R 2  = 0.360, respectively). Positive linear correlations were displayed in both the plateau wave and unstable MAP cohorts between: ICP versus AMP, ICP versus sPI, AMP versus sPI. Conclusions: There is an inverse relationship through nonlinear regression between CPP versus AMP and CPP versus sPI display. This provides evidence to support a previously-proposed model of TCD pulsatility index. ICP shows a positive linear correlation with AMP and sPI, which is also established between AMP and sPI.","author":[{"dropping-particle":"","family":"Calviello","given":"L.A.","non-dropping-particle":"","parse-names":false,"suffix":""},{"dropping-particle":"","family":"Riva","given":"N.","non-dropping-particle":"de","parse-names":false,"suffix":""},{"dropping-particle":"","family":"Donnelly","given":"J.","non-dropping-particle":"","parse-names":false,"suffix":""},{"dropping-particle":"","family":"Czosnyka","given":"M.","non-dropping-particle":"","parse-names":false,"suffix":""},{"dropping-particle":"","family":"Smielewski","given":"P.","non-dropping-particle":"","parse-names":false,"suffix":""},{"dropping-particle":"","family":"Menon","given":"D.K.","non-dropping-particle":"","parse-names":false,"suffix":""},{"dropping-particle":"","family":"Zeiler","given":"F.A.","non-dropping-particle":"","parse-names":false,"suffix":""}],"container-title":"Neurocritical Care","id":"ITEM-1","issued":{"date-parts":[["2017"]]},"title":"Relationship Between Brain Pulsatility and Cerebral Perfusion Pressure: Replicated Validation Using Different Drivers of CPP Change","type":"article-journal"},"uris":["http://www.mendeley.com/documents/?uuid=a382694f-6841-3d98-933a-f984fdb65bd3"]}],"mendeley":{"formattedCitation":"(10)","manualFormatting":"10","plainTextFormattedCitation":"(10)","previouslyFormattedCitation":"(10)"},"properties":{"noteIndex":0},"schema":"https://github.com/citation-style-language/schema/raw/master/csl-citation.json"}</w:instrText>
      </w:r>
      <w:r w:rsidR="00B2659D" w:rsidRPr="00B2659D">
        <w:rPr>
          <w:vertAlign w:val="superscript"/>
        </w:rPr>
        <w:fldChar w:fldCharType="separate"/>
      </w:r>
      <w:r w:rsidR="00B2659D" w:rsidRPr="00B2659D">
        <w:rPr>
          <w:noProof/>
          <w:vertAlign w:val="superscript"/>
        </w:rPr>
        <w:t>10</w:t>
      </w:r>
      <w:r w:rsidR="00B2659D" w:rsidRPr="00B2659D">
        <w:rPr>
          <w:vertAlign w:val="superscript"/>
        </w:rPr>
        <w:fldChar w:fldCharType="end"/>
      </w:r>
      <w:r>
        <w:t xml:space="preserve">. </w:t>
      </w:r>
    </w:p>
    <w:p w14:paraId="46A1433D" w14:textId="5DFCAA33" w:rsidR="00735A78" w:rsidRDefault="00735A78" w:rsidP="00020ABC">
      <w:pPr>
        <w:spacing w:line="480" w:lineRule="auto"/>
        <w:ind w:firstLine="720"/>
        <w:rPr>
          <w:rFonts w:ascii="Calibri" w:eastAsia="Calibri" w:hAnsi="Calibri" w:cs="Times New Roman"/>
        </w:rPr>
      </w:pPr>
      <w:r w:rsidRPr="00735A78">
        <w:rPr>
          <w:rFonts w:ascii="Calibri" w:eastAsia="Calibri" w:hAnsi="Calibri" w:cs="Times New Roman"/>
        </w:rPr>
        <w:t xml:space="preserve">Although the modeled approximation of </w:t>
      </w:r>
      <w:r w:rsidR="00262AE0">
        <w:rPr>
          <w:rFonts w:ascii="Calibri" w:eastAsia="Calibri" w:hAnsi="Calibri" w:cs="Times New Roman"/>
        </w:rPr>
        <w:t>Δ</w:t>
      </w:r>
      <w:r w:rsidRPr="00735A78">
        <w:rPr>
          <w:rFonts w:ascii="Calibri" w:eastAsia="Calibri" w:hAnsi="Calibri" w:cs="Times New Roman"/>
        </w:rPr>
        <w:t xml:space="preserve">CaBV without its venous component appears noncompliant with natural circulatory transit cycles, there is a long-standing assumption that </w:t>
      </w:r>
      <w:r w:rsidR="000D0FAE">
        <w:rPr>
          <w:rFonts w:ascii="Calibri" w:eastAsia="Calibri" w:hAnsi="Calibri" w:cs="Times New Roman"/>
        </w:rPr>
        <w:t>venous flow pulsatility is much lower than its arterial counterpart</w:t>
      </w:r>
      <w:r w:rsidRPr="00735A78">
        <w:rPr>
          <w:rFonts w:ascii="Calibri" w:eastAsia="Calibri" w:hAnsi="Calibri" w:cs="Times New Roman"/>
        </w:rPr>
        <w:t>. Regarding the possible influence of the venous component, Carrera et al.</w:t>
      </w:r>
      <w:r w:rsidR="003A081F" w:rsidRPr="003A081F">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{"citationItems":[{"id":"ITEM-1","itemData":{"DOI":"10.1089/neu.2009.0951","ISBN":"1557-9042 (Electronic)\\n0897-7151 (Linking)","ISSN":"0897-7151","PMID":"19852586","abstract":"The pulsatile component of intracranial pressure (ICP) has been shown to be a predictor of outcome in normal pressure hydrocephalus (NPH) and traumatic brain injury (TBI). Experimental studies have demonstrated that the pulse amplitude of ICP (AMP(ICP)) is dependent on the mean ICP (mICP), and on the pulse amplitude of the cerebral arterial blood volume (AMP(CaBV)), according to the exponential craniospinal compliance curve. In this study, we compared the influence of mICP and AMP(CaBV) on AMP(ICP) in patients with NPH (infusion study) and TBI (spontaneous recording). We retrospectively analyzed 25 NPH and 43 TBI patients with continuous monitoring of ICP and cerebral blood flow velocity (CBFV), as assessed with transcranial doppler. AMP(CaBV) was extracted from the CBFV waveform. The influence of mICP and AMP(CaBV) on AMP(ICP) were determined using partial coefficients a, b, and c of the multiple regression model: AMP(ICP) = a * mICP + b * AMP(CaBV) + c. AMP(ICP) was more dependent on mICP in NPH patients than in TBI patients (partial coefficient a = 0.93 versus -0.03; p &lt; 0.001). On the contrary, AMP(ICP) was more dependent on AMP(CaBV) in patients with TBI than in those with NPH (b = 0.86 versus 0.10; p &lt; 0.001). This study shows that AMP(ICP) depends mostly on changes in mean ICP during cerebrospinal fluid (CSF) infusion studies in patients with NPH, and on changes in cerebral arterial blood volume (AMP(CaBV)) in TBI patients. Further clinical studies will reveal whether AMP(ICP) is a better indicator of clinical severity and outcome than mICP in TBI and NPH patients.","author":[{"dropping-particle":"","family":"Carrera","given":"Emmanuel","non-dropping-particle":"","parse-names":false,"suffix":""},{"dropping-particle":"","family":"Kim","given":"Dong-Joo","non-dropping-particle":"","parse-names":false,"suffix":""},{"dropping-particle":"","family":"Castellani","given":"Gianluca","non-dropping-particle":"","parse-names":false,"suffix":""},{"dropping-particle":"","family":"Zweifel","given":"Christian","non-dropping-particle":"","parse-names":false,"suffix":""},{"dropping-particle":"","family":"Czosnyka","given":"Zofia","non-dropping-particle":"","parse-names":false,"suffix":""},{"dropping-particle":"","family":"Kasprowicz","given":"Magdalena","non-dropping-particle":"","parse-names":false,"suffix":""},{"dropping-particle":"","family":"Smielewski","given":"Peter","non-dropping-particle":"","parse-names":false,"suffix":""},{"dropping-particle":"","family":"Pickard","given":"John D.","non-dropping-particle":"","parse-names":false,"suffix":""},{"dropping-particle":"","family":"Czosnyka","given":"Marek","non-dropping-particle":"","parse-names":false,"suffix":""}],"container-title":"Journal of Neurotrauma","id":"ITEM-1","issue":"2","issued":{"date-parts":[["2010","2"]]},"page":"317-324","title":"What Shapes Pulse Amplitude of Intracranial Pressure?","type":"article-journal","volume":"27"},"uris":["http://www.mendeley.com/documents/?uuid=a0bc25ca-ca13-3fac-a797-915664aea8ca"]}],"mendeley":{"formattedCitation":"(13)","manualFormatting":"13","plainTextFormattedCitation":"(13)","previouslyFormattedCitation":"(13)"},"properties":{"noteIndex":0},"schema":"https://github.com/citation-style-language/schema/raw/master/csl-citation.json"}</w:instrText>
      </w:r>
      <w:r w:rsidR="003A081F" w:rsidRPr="003A081F">
        <w:rPr>
          <w:rFonts w:ascii="Calibri" w:eastAsia="Calibri" w:hAnsi="Calibri" w:cs="Times New Roman"/>
          <w:vertAlign w:val="superscript"/>
        </w:rPr>
        <w:fldChar w:fldCharType="separate"/>
      </w:r>
      <w:r w:rsidR="003A081F" w:rsidRPr="003A081F">
        <w:rPr>
          <w:rFonts w:ascii="Calibri" w:eastAsia="Calibri" w:hAnsi="Calibri" w:cs="Times New Roman"/>
          <w:noProof/>
          <w:vertAlign w:val="superscript"/>
        </w:rPr>
        <w:t>13</w:t>
      </w:r>
      <w:r w:rsidR="003A081F" w:rsidRPr="003A081F">
        <w:rPr>
          <w:rFonts w:ascii="Calibri" w:eastAsia="Calibri" w:hAnsi="Calibri" w:cs="Times New Roman"/>
          <w:vertAlign w:val="superscript"/>
        </w:rPr>
        <w:fldChar w:fldCharType="end"/>
      </w:r>
      <w:r w:rsidRPr="00735A78">
        <w:rPr>
          <w:rFonts w:ascii="Calibri" w:eastAsia="Calibri" w:hAnsi="Calibri" w:cs="Times New Roman"/>
        </w:rPr>
        <w:t xml:space="preserve"> reported that during one cardiac cycle, venous outflow carries a low enough pulsatility to be deemed “negligible” when calculating </w:t>
      </w:r>
      <w:r w:rsidR="00262AE0">
        <w:rPr>
          <w:rFonts w:ascii="Calibri" w:eastAsia="Calibri" w:hAnsi="Calibri" w:cs="Times New Roman"/>
        </w:rPr>
        <w:t xml:space="preserve">pulsatile </w:t>
      </w:r>
      <w:r w:rsidR="003051F0">
        <w:rPr>
          <w:rFonts w:ascii="Calibri" w:eastAsia="Calibri" w:hAnsi="Calibri" w:cs="Times New Roman"/>
        </w:rPr>
        <w:t xml:space="preserve">CaBV </w:t>
      </w:r>
      <w:r w:rsidRPr="00735A78">
        <w:rPr>
          <w:rFonts w:ascii="Calibri" w:eastAsia="Calibri" w:hAnsi="Calibri" w:cs="Times New Roman"/>
        </w:rPr>
        <w:t>changes</w:t>
      </w:r>
      <w:r w:rsidRPr="00735A78">
        <w:rPr>
          <w:rFonts w:ascii="Calibri" w:eastAsia="Calibri" w:hAnsi="Calibri" w:cs="Times New Roman"/>
        </w:rPr>
        <w:fldChar w:fldCharType="begin" w:fldLock="1"/>
      </w:r>
      <w:r w:rsidR="00BF7794">
        <w:rPr>
          <w:rFonts w:ascii="Calibri" w:eastAsia="Calibri" w:hAnsi="Calibri" w:cs="Times New Roman"/>
          <w:vertAlign w:val="superscript"/>
        </w:rPr>
        <w:instrText>ADDIN CSL_CITATION {"citationItems":[{"id":"ITEM-1","itemData":{"DOI":"10.1007/BF01743061","ISSN":"03445607","PMID":"3736894","abstract":"The magnitude of the pulsatile intracranial pressure variations (CSF pulse pressure) is determined by the elastance of the craniospinal system and by the magnitude of the pulsatile variations in cerebral blood volume (CBV). The pulsatile change in CBV is, among other factors, determined by the compliance of the cerebral vascular bed which, in its turn, is dependent on the cerebral vasomotor tone. This concept has led the authors to devise a method for the assessment of both the elastance and the state of the cerebral vasomotor tone based on the relationship between CSF pulse pressure and intracranial pressure. This relationship was found to be of a linear nature both in clinical patients and in experimental animals. A significant, positive correlation was found between the slope of this relationship and the value of the craniospinal volume-pressure relationship: the elastance coefficient. During elevation of the intracranial pressure a breakpoint was observed in the relationship between CSF pulse pressure and the intracranial pressure above which the pulse pressure increased more rapidly. The elastance remained constant above this breakpoint. The same phenomenon was observed during plateau waves in clinical patients. Induced changes in systemic arterial pressure produced opposite effects on CSF pulse pressure and elastance coefficient. In these cases the discrepancy between pulse pressure and elastance was attributed to the pulsatile changes in CBV and this could be verified by means of electromagnetic flowmetry. The advantage of this method is that all the information is contained within the intracranial pressure signal itself, from which it can be extracted by simple means without the use of invasive tests.","author":[{"dropping-particle":"","family":"Avezaat","given":"Cees J J","non-dropping-particle":"","parse-names":false,"suffix":""},{"dropping-particle":"","family":"Eijndhoven","given":"John H M","non-dropping-particle":"van","parse-names":false,"suffix":""}],"container-title":"Neurosurgical Review","id":"ITEM-1","issue":"1-2","issued":{"date-parts":[["1986"]]},"page":"113-120","title":"The role of the pulsatile pressure variations in intracranial pressure monitoring","type":"article-journal","volume":"9"},"uris":["http://www.mendeley.com/documents/?uuid=51710cc8-9195-44a5-95c4-1d6d72e9df2e"]},{"id":"ITEM-2","itemData":{"DOI":"10.1007/BF01411173","ISBN":"0001-6268","ISSN":"00016268","PMID":"8800328","abstract":"The authors have investigated the relationships between the amplitude of the ICP pulse wave, the mean values of ICP and CPP, and the outcome of 56 head injured ventilated patients. The ICP was monitored continuously using a Camino transducer (35 patients) or subdural catheter (21 patients). The mean Glasgow Coma Score was 6 (range 3-13; 5 patients had a GCS &gt; 8 after resuscitation). Patients were grouped according to their Glasgow Outcome Score assessed at 12 months after injury. The amplitude of ICP pulse waveform was assessed using the fundamental harmonic of the pulse waveform (AMP) to avoid distortion caused by different frequency responses of the pressure transducers used in the study. Statistical analysis revealed that in patients with fatal outcome the ICP pulse amplitude increased when the mean ICP increased to 25 mmHg and then began to decrease. The upper breakpoint of the AMP-ICP relationship was not present in patients with good/moderate outcome. The moving correlation coefficient between the fundamental harmonic of ICP pulse wave and the mean ICP (RAP: R-symbol of correlation between A-amplitude and P-pressure) was introduced to describe the time-dependent changes in correlation between amplitude and mean ICP. The RAP was significantly lower in patients who died or remained in the vegetative state. In 7 patients who died from uncontrollable intracranial hypertension RAP was oscillating or decreased to 0 or negative values well before brain-stem herniation. The combination of an ICP above 20 mmHg for a period longer than 6 hours with low correlation between the amplitude and pressure (RAP &lt; 0.5) was described as an predictive index of an unfavourable outcome.","author":[{"dropping-particle":"","family":"Czosnyka","given":"M.","non-dropping-particle":"","parse-names":false,"suffix":""},{"dropping-particle":"","family":"Guazzo","given":"E.","non-dropping-particle":"","parse-names":false,"suffix":""},{"dropping-particle":"","family":"Whitehouse","given":"M.","non-dropping-particle":"","parse-names":false,"suffix":""},{"dropping-particle":"","family":"Smielewski","given":"P.","non-dropping-particle":"","parse-names":false,"suffix":""},{"dropping-particle":"","family":"Czosnyka","given":"Z.","non-dropping-particle":"","parse-names":false,"suffix":""},{"dropping-particle":"","family":"Kirkpatrick","given":"P.","non-dropping-particle":"","parse-names":false,"suffix":""},{"dropping-particle":"","family":"Piechnik","given":"S.","non-dropping-particle":"","parse-names":false,"suffix":""},{"dropping-particle":"","family":"Pickard","given":"J. D.","non-dropping-particle":"","parse-names":false,"suffix":""}],"container-title":"Acta Neurochirurgica","id":"ITEM-2","issue":"5","issued":{"date-parts":[["1996"]]},"page":"531-542","title":"Significance of intracranial pressure waveform analysis after head injury","type":"article-journal","volume":"138"},"uris":["http://www.mendeley.com/documents/?uuid=019e58f0-36b9-4658-94a7-4b26ed48b48e"]},{"id":"ITEM-3","itemData":{"DOI":"10.1088/0967-3334/30/7/009","abstract":"The study aimed to develop a computational method for assessing relative changes in compartmental compliances within the brain: the arterial bed and the cerebrospinal space. The method utilizes the relationship between pulsatile components in the arterial blood volume, arterial blood pressure (ABP) and intracranial pressure (ICP). It was verified by using clinical recordings of intracranial pressure plateau waves, when massive vasodilatation accompanying plateau waves produces changes in brain compliances of the arterial bed (C a) and compliance of the cerebrospinal space (C i). Ten patients admitted after head injury with a median Glasgow Coma Score of 6 were studied retrospectively. ABP was directly monitored from the radial artery. Changes in the cerebral arterial blood volume were assessed using Transcranial Doppler (TCD) ultrasonography by digital integration of inflow blood velocity. During plateau waves, ICP increased (P = 0.001), CPP decreased (P = 0.001), ABP remained constant (P = 0.532), blood flow velocity decreased (P = 0.001). Calculated compliance of the arterial bed C a increased significantly (P = 0.001); compliance of the CSF space C i decreased (P = 0.001). We concluded that the method allows for continuous monitoring of relative changes in brain compartmental compliances. Plateau waves affect the balance between Engineering in Medicine Printed in the UK 647 648 D-J Kim et al vascular and CSF compartments, which is reflected by the inverse change of compliance of the cerebral arterial bed and global compliance of the CSF space.","author":[{"dropping-particle":"","family":"Kim","given":"Dong-Joo","non-dropping-particle":"","parse-names":false,"suffix":""},{"dropping-particle":"","family":"Kasprowicz","given":"Magdalena","non-dropping-particle":"","parse-names":false,"suffix":""},{"dropping-particle":"","family":"Carrera","given":"Emmanuel","non-dropping-particle":"","parse-names":false,"suffix":""},{"dropping-particle":"","family":"Castellani","given":"Gianluca","non-dropping-particle":"","parse-names":false,"suffix":""},{"dropping-particle":"","family":"Zweifel","given":"Christian","non-dropping-particle":"","parse-names":false,"suffix":""},{"dropping-particle":"","family":"Lavinio","given":"Andrea","non-dropping-particle":"","parse-names":false,"suffix":""},{"dropping-particle":"","family":"Smielewski","given":"Peter","non-dropping-particle":"","parse-names":false,"suffix":""},{"dropping-particle":"","family":"Sutcliffe","given":"Michael P F","non-dropping-particle":"","parse-names":false,"suffix":""},{"dropping-particle":"","family":"Pickard","given":"John D","non-dropping-particle":"","parse-names":false,"suffix":""},{"dropping-particle":"","family":"Czosnyka","given":"Marek","non-dropping-particle":"","parse-names":false,"suffix":""}],"container-title":"Physiol. Meas","id":"ITEM-3","issued":{"date-parts":[["2009"]]},"page":"647-659","title":"The monitoring of relative changes in compartmental compliances of brain","type":"article-journal","volume":"30"},"uris":["http://www.mendeley.com/documents/?uuid=838842ff-3d1a-3a2a-9360-169a0359ba25"]},{"id":"ITEM-4","itemData":{"DOI":"10.1007/s12028-011-9653-1","ISBN":"1202801196","ISSN":"15416933","PMID":"22108783","abstract":"BACKGROUND: Cerebrovascular time constant (τ) estimates how fast cerebral blood arrives in cerebral arterial bed after each heart stroke. We investigate the pattern of changes in τ following subarachnoid hemorrhage (SAH), with specific emphasis on the temporal profile of changes in relation to the development of cerebral vasospasm. METHODS: Simultaneous recordings of arterial blood pressure (ABP) and transcranial Doppler (TCD) blood flow velocity (CBFV) in MCA were performed daily in patients after SAH. In 22 patients (10 males and 12 females; median age: 48 years, range: 34-84 years) recordings done before spasm were compared to those done during spasm. Vasospasm was confirmed with TCD (mean CBFV in MCA &gt; 120 cm/s and Lindegaard ratio &gt; 3). τ was estimated as a product of compliance of cerebral arteries (C (a)) and cerebrovascular resistance (CVR). C (a) and CVR were estimated using mathematical transformations of ABP and CBFV waveforms. RESULTS: Vasospasm caused shortening of τ on both the spastic (before: 0.20 ± 0.05 s vs. spasm: 0.14 ± 0.04 s, P &lt; 0.0008) and contralateral side (before: 0.22 ± 0.05 s vs. spasm: 0.16 ± 0.04 s, P &lt; 0.0008). Before TCD signs of vasospasm were detected, τ demonstrated asymmetry with lower values on ipsilateral side to aneurysm, in comparison to contralateral side (P &lt; 0.009), CONCLUSIONS: Cerebral vasospasm causes shortening of τ. Shorter τ at the side of aneurysm can be observed before formal TCD signs of vasospasm are observed, therefore, potentially reducing time to escalation of treatment.","author":[{"dropping-particle":"","family":"Kasprowicz","given":"Magdalena","non-dropping-particle":"","parse-names":false,"suffix":""},{"dropping-particle":"","family":"Czosnyka","given":"Marek","non-dropping-particle":"","parse-names":false,"suffix":""},{"dropping-particle":"","family":"Soehle","given":"Martin","non-dropping-particle":"","parse-names":false,"suffix":""},{"dropping-particle":"","family":"Smielewski","given":"Peter","non-dropping-particle":"","parse-names":false,"suffix":""},{"dropping-particle":"","family":"Kirkpatrick","given":"Peter J.","non-dropping-particle":"","parse-names":false,"suffix":""},{"dropping-particle":"","family":"Pickard","given":"John D.","non-dropping-particle":"","parse-names":false,"suffix":""},{"dropping-particle":"","family":"Budohoski","given":"Karol P.","non-dropping-particle":"","parse-names":false,"suffix":""}],"container-title":"Neurocritical Care","id":"ITEM-4","issued":{"date-parts":[["2012"]]},"title":"Vasospasm shortens cerebral arterial time constant","type":"article-journal"},"uris":["http://www.mendeley.com/documents/?uuid=9a67b514-a782-3d94-8f60-216a954bbb1d"]},{"id":"ITEM-5","itemData":{"DOI":"10.1089/neu.2009.0951","ISBN":"1557-9042 (Electronic)\\n0897-7151 (Linking)","ISSN":"0897-7151","PMID":"19852586","abstract":"The pulsatile component of intracranial pressure (ICP) has been shown to be a predictor of outcome in normal pressure hydrocephalus (NPH) and traumatic brain injury (TBI). Experimental studies have demonstrated that the pulse amplitude of ICP (AMP(ICP)) is dependent on the mean ICP (mICP), and on the pulse amplitude of the cerebral arterial blood volume (AMP(CaBV)), according to the exponential craniospinal compliance curve. In this study, we compared the influence of mICP and AMP(CaBV) on AMP(ICP) in patients with NPH (infusion study) and TBI (spontaneous recording). We retrospectively analyzed 25 NPH and 43 TBI patients with continuous monitoring of ICP and cerebral blood flow velocity (CBFV), as assessed with transcranial doppler. AMP(CaBV) was extracted from the CBFV waveform. The influence of mICP and AMP(CaBV) on AMP(ICP) were determined using partial coefficients a, b, and c of the multiple regression model: AMP(ICP) = a * mICP + b * AMP(CaBV) + c. AMP(ICP) was more dependent on mICP in NPH patients than in TBI patients (partial coefficient a = 0.93 versus -0.03; p &lt; 0.001). On the contrary, AMP(ICP) was more dependent on AMP(CaBV) in patients with TBI than in those with NPH (b = 0.86 versus 0.10; p &lt; 0.001). This study shows that AMP(ICP) depends mostly on changes in mean ICP during cerebrospinal fluid (CSF) infusion studies in patients with NPH, and on changes in cerebral arterial blood volume (AMP(CaBV)) in TBI patients. Further clinical studies will reveal whether AMP(ICP) is a better indicator of clinical severity and outcome than mICP in TBI and NPH patients.","author":[{"dropping-particle":"","family":"Carrera","given":"Emmanuel","non-dropping-particle":"","parse-names":false,"suffix":""},{"dropping-particle":"","family":"Kim","given":"Dong-Joo","non-dropping-particle":"","parse-names":false,"suffix":""},{"dropping-particle":"","family":"Castellani","given":"Gianluca","non-dropping-particle":"","parse-names":false,"suffix":""},{"dropping-particle":"","family":"Zweifel","given":"Christian","non-dropping-particle":"","parse-names":false,"suffix":""},{"dropping-particle":"","family":"Czosnyka","given":"Zofia","non-dropping-particle":"","parse-names":false,"suffix":""},{"dropping-particle":"","family":"Kasprowicz","given":"Magdalena","non-dropping-particle":"","parse-names":false,"suffix":""},{"dropping-particle":"","family":"Smielewski","given":"Peter","non-dropping-particle":"","parse-names":false,"suffix":""},{"dropping-particle":"","family":"Pickard","given":"John D.","non-dropping-particle":"","parse-names":false,"suffix":""},{"dropping-particle":"","family":"Czosnyka","given":"Marek","non-dropping-particle":"","parse-names":false,"suffix":""}],"container-title":"Journal of Neurotrauma","id":"ITEM-5","issue":"2","issued":{"date-parts":[["2010"]]},"page":"317-324","title":"What Shapes Pulse Amplitude of Intracranial Pressure?","type":"article-journal","volume":"27"},"uris":["http://www.mendeley.com/documents/?uuid=fdf242e6-e553-4467-816d-03f6f07797f8"]}],"mendeley":{"formattedCitation":"(1,9,28,32,33)","manualFormatting":"1,8,9,13,28","plainTextFormattedCitation":"(1,9,28,32,33)","previouslyFormattedCitation":"(1,9,28,32,33)"},"properties":{"noteIndex":0},"schema":"https://github.com/citation-style-language/schema/raw/master/csl-citation.json"}</w:instrText>
      </w:r>
      <w:r w:rsidRPr="00735A78">
        <w:rPr>
          <w:rFonts w:ascii="Calibri" w:eastAsia="Calibri" w:hAnsi="Calibri" w:cs="Times New Roman"/>
        </w:rPr>
        <w:fldChar w:fldCharType="separate"/>
      </w:r>
      <w:r w:rsidRPr="00735A78">
        <w:rPr>
          <w:rFonts w:ascii="Calibri" w:eastAsia="Calibri" w:hAnsi="Calibri" w:cs="Times New Roman"/>
          <w:noProof/>
          <w:vertAlign w:val="superscript"/>
        </w:rPr>
        <w:t>1,</w:t>
      </w:r>
      <w:r w:rsidR="003A081F" w:rsidRPr="003A081F">
        <w:rPr>
          <w:rFonts w:ascii="Calibri" w:eastAsia="Calibri" w:hAnsi="Calibri" w:cs="Times New Roman"/>
          <w:noProof/>
          <w:vertAlign w:val="superscript"/>
        </w:rPr>
        <w:fldChar w:fldCharType="begin" w:fldLock="1"/>
      </w:r>
      <w:r w:rsidR="00D95922">
        <w:rPr>
          <w:rFonts w:ascii="Calibri" w:eastAsia="Calibri" w:hAnsi="Calibri" w:cs="Times New Roman"/>
          <w:noProof/>
          <w:vertAlign w:val="superscript"/>
        </w:rPr>
        <w:instrText>ADDIN CSL_CITATION {"citationItems":[{"id":"ITEM-1","itemData":{"DOI":"10.1089/neu.2009.0951","ISBN":"1557-9042 (Electronic)\\n0897-7151 (Linking)","ISSN":"0897-7151","PMID":"19852586","abstract":"The pulsatile component of intracranial pressure (ICP) has been shown to be a predictor of outcome in normal pressure hydrocephalus (NPH) and traumatic brain injury (TBI). Experimental studies have demonstrated that the pulse amplitude of ICP (AMP(ICP)) is dependent on the mean ICP (mICP), and on the pulse amplitude of the cerebral arterial blood volume (AMP(CaBV)), according to the exponential craniospinal compliance curve. In this study, we compared the influence of mICP and AMP(CaBV) on AMP(ICP) in patients with NPH (infusion study) and TBI (spontaneous recording). We retrospectively analyzed 25 NPH and 43 TBI patients with continuous monitoring of ICP and cerebral blood flow velocity (CBFV), as assessed with transcranial doppler. AMP(CaBV) was extracted from the CBFV waveform. The influence of mICP and AMP(CaBV) on AMP(ICP) were determined using partial coefficients a, b, and c of the multiple regression model: AMP(ICP) = a * mICP + b * AMP(CaBV) + c. AMP(ICP) was more dependent on mICP in NPH patients than in TBI patients (partial coefficient a = 0.93 versus -0.03; p &lt; 0.001). On the contrary, AMP(ICP) was more dependent on AMP(CaBV) in patients with TBI than in those with NPH (b = 0.86 versus 0.10; p &lt; 0.001). This study shows that AMP(ICP) depends mostly on changes in mean ICP during cerebrospinal fluid (CSF) infusion studies in patients with NPH, and on changes in cerebral arterial blood volume (AMP(CaBV)) in TBI patients. Further clinical studies will reveal whether AMP(ICP) is a better indicator of clinical severity and outcome than mICP in TBI and NPH patients.","author":[{"dropping-particle":"","family":"Carrera","given":"Emmanuel","non-dropping-particle":"","parse-names":false,"suffix":""},{"dropping-particle":"","family":"Kim","given":"Dong-Joo","non-dropping-particle":"","parse-names":false,"suffix":""},{"dropping-particle":"","family":"Castellani","given":"Gianluca","non-dropping-particle":"","parse-names":false,"suffix":""},{"dropping-particle":"","family":"Zweifel","given":"Christian","non-dropping-particle":"","parse-names":false,"suffix":""},{"dropping-particle":"","family":"Czosnyka","given":"Zofia","non-dropping-particle":"","parse-names":false,"suffix":""},{"dropping-particle":"","family":"Kasprowicz","given":"Magdalena","non-dropping-particle":"","parse-names":false,"suffix":""},{"dropping-particle":"","family":"Smielewski","given":"Peter","non-dropping-particle":"","parse-names":false,"suffix":""},{"dropping-particle":"","family":"Pickard","given":"John D.","non-dropping-particle":"","parse-names":false,"suffix":""},{"dropping-particle":"","family":"Czosnyka","given":"Marek","non-dropping-particle":"","parse-names":false,"suffix":""}],"container-title":"Journal of Neurotrauma","id":"ITEM-1","issue":"2","issued":{"date-parts":[["2010","2"]]},"page":"317-324","title":"What Shapes Pulse Amplitude of Intracranial Pressure?","type":"article-journal","volume":"27"},"uris":["http://www.mendeley.com/documents/?uuid=a0bc25ca-ca13-3fac-a797-915664aea8ca"]},{"id":"ITEM-2","itemData":{"abstract":"The magnitude of the pulsatile intracranial pressure variations (CSF pulse pressure) is determined by the elastance of the craniospinal system and by the magnitude of the pulsatile variations in cerebral blood volume (CBV). The pulsatile change in CBV is, among other factors, determined by the com-pliance of the cerebral vascular bed which, in its turn, is dependent on the cerebral vasomotor tone. This concept has led the authors to devise a method for the assessment of both the elastance and the state of the cerebral vasomotor tone based on the rela-tionship between CSF pulse pressure and intracran-ial pressure. This relationship was found to be of a linear nature both in clinical patients and in experi-mental animals. A significant, positive correlation was found between the slope of this relationship and the value of the craniospinal volume-pressure rela-tionship: the elastance coefficient. During elevation of the intracranial pressure a breakpoint was ob-served in the relationship between CSF pulse pressure and the intracranial pressure above which the pulse pressure increased more rapidly. The elast-ance remained constant above this breakpoint. The same phenomenon was observed during plateau waves in clinical patients. Induced changes in sys-temic arterial pressure produced opposite effects on CSF pulse pressure and elastance coefficient. In these cases the discrepancy between pulse pressure and elastance was attributed to the pulsatile changes in CBV and this could be verified by means of electromagnetic flowmetry. The advantage of this method is that all the information is contained within the intracranial pressure signal itself, from which it can be extracted by simple means without the use of invasive tests.","author":[{"dropping-particle":"","family":"Avezaat","given":"Cees J J","non-dropping-particle":"","parse-names":false,"suffix":""},{"dropping-particle":"","family":"Eijndhoven","given":"John H M","non-dropping-particle":"Van","parse-names":false,"suffix":""}],"container-title":"Neurosurg. Rev","id":"ITEM-2","issued":{"date-parts":[["1986"]]},"page":"113-120","title":"The role of the pulsatile pressure variations in intracranial pressure monitoring","type":"article-journal","volume":"9"},"uris":["http://www.mendeley.com/documents/?uuid=b0018f8e-2a9f-35cf-8a9a-67b912293ceb"]},{"id":"ITEM-3","itemData":{"DOI":"10.1007/BF01411173","ISBN":"0001-6268","ISSN":"00016268","PMID":"8800328","abstract":"The authors have investigated the relationships between the amplitude of the ICP pulse wave, the mean values of ICP and CPP, and the outcome of 56 head injured ventilated patients. The ICP was monitored continuously using a Camino transducer (35 patients) or subdural catheter (21 patients). The mean Glasgow Coma Score was 6 (range 3-13; 5 patients had a GCS &gt; 8 after resuscitation). Patients were grouped according to their Glasgow Outcome Score assessed at 12 months after injury. The amplitude of ICP pulse waveform was assessed using the fundamental harmonic of the pulse waveform (AMP) to avoid distortion caused by different frequency responses of the pressure transducers used in the study. Statistical analysis revealed that in patients with fatal outcome the ICP pulse amplitude increased when the mean ICP increased to 25 mmHg and then began to decrease. The upper breakpoint of the AMP-ICP relationship was not present in patients with good/moderate outcome. The moving correlation coefficient between the fundamental harmonic of ICP pulse wave and the mean ICP (RAP: R-symbol of correlation between A-amplitude and P-pressure) was introduced to describe the time-dependent changes in correlation between amplitude and mean ICP. The RAP was significantly lower in patients who died or remained in the vegetative state. In 7 patients who died from uncontrollable intracranial hypertension RAP was oscillating or decreased to 0 or negative values well before brain-stem herniation. The combination of an ICP above 20 mmHg for a period longer than 6 hours with low correlation between the amplitude and pressure (RAP &lt; 0.5) was described as an predictive index of an unfavourable outcome.","author":[{"dropping-particle":"","family":"Czosnyka","given":"M.","non-dropping-particle":"","parse-names":false,"suffix":""},{"dropping-particle":"","family":"Guazzo","given":"E.","non-dropping-particle":"","parse-names":false,"suffix":""},{"dropping-particle":"","family":"Whitehouse","given":"M.","non-dropping-particle":"","parse-names":false,"suffix":""},{"dropping-particle":"","family":"Smielewski","given":"P.","non-dropping-particle":"","parse-names":false,"suffix":""},{"dropping-particle":"","family":"Czosnyka","given":"Z.","non-dropping-particle":"","parse-names":false,"suffix":""},{"dropping-particle":"","family":"Kirkpatrick","given":"P.","non-dropping-particle":"","parse-names":false,"suffix":""},{"dropping-particle":"","family":"Piechnik","given":"S.","non-dropping-particle":"","parse-names":false,"suffix":""},{"dropping-particle":"","family":"Pickard","given":"J. D.","non-dropping-particle":"","parse-names":false,"suffix":""}],"container-title":"Acta Neurochirurgica","id":"ITEM-3","issue":"5","issued":{"date-parts":[["1996"]]},"page":"531-542","title":"Significance of intracranial pressure waveform analysis after head injury","type":"article-journal","volume":"138"},"uris":["http://www.mendeley.com/documents/?uuid=019e58f0-36b9-4658-94a7-4b26ed48b48e"]},{"id":"ITEM-4","itemData":{"DOI":"10.1007/s12028-011-9653-1","ISBN":"1202801196","ISSN":"15416933","PMID":"22108783","abstract":"BACKGROUND: Cerebrovascular time constant (τ) estimates how fast cerebral blood arrives in cerebral arterial bed after each heart stroke. We investigate the pattern of changes in τ following subarachnoid hemorrhage (SAH), with specific emphasis on the temporal profile of changes in relation to the development of cerebral vasospasm. METHODS: Simultaneous recordings of arterial blood pressure (ABP) and transcranial Doppler (TCD) blood flow velocity (CBFV) in MCA were performed daily in patients after SAH. In 22 patients (10 males and 12 females; median age: 48 years, range: 34-84 years) recordings done before spasm were compared to those done during spasm. Vasospasm was confirmed with TCD (mean CBFV in MCA &gt; 120 cm/s and Lindegaard ratio &gt; 3). τ was estimated as a product of compliance of cerebral arteries (C (a)) and cerebrovascular resistance (CVR). C (a) and CVR were estimated using mathematical transformations of ABP and CBFV waveforms. RESULTS: Vasospasm caused shortening of τ on both the spastic (before: 0.20 ± 0.05 s vs. spasm: 0.14 ± 0.04 s, P &lt; 0.0008) and contralateral side (before: 0.22 ± 0.05 s vs. spasm: 0.16 ± 0.04 s, P &lt; 0.0008). Before TCD signs of vasospasm were detected, τ demonstrated asymmetry with lower values on ipsilateral side to aneurysm, in comparison to contralateral side (P &lt; 0.009), CONCLUSIONS: Cerebral vasospasm causes shortening of τ. Shorter τ at the side of aneurysm can be observed before formal TCD signs of vasospasm are observed, therefore, potentially reducing time to escalation of treatment.","author":[{"dropping-particle":"","family":"Kasprowicz","given":"Magdalena","non-dropping-particle":"","parse-names":false,"suffix":""},{"dropping-particle":"","family":"Czosnyka","given":"Marek","non-dropping-particle":"","parse-names":false,"suffix":""},{"dropping-particle":"","family":"Soehle","given":"Martin","non-dropping-particle":"","parse-names":false,"suffix":""},{"dropping-particle":"","family":"Smielewski","given":"Peter","non-dropping-particle":"","parse-names":false,"suffix":""},{"dropping-particle":"","family":"Kirkpatrick","given":"Peter J.","non-dropping-particle":"","parse-names":false,"suffix":""},{"dropping-particle":"","family":"Pickard","given":"John D.","non-dropping-particle":"","parse-names":false,"suffix":""},{"dropping-particle":"","family":"Budohoski","given":"Karol P.","non-dropping-particle":"","parse-names":false,"suffix":""}],"container-title":"Neurocritical Care","id":"ITEM-4","issued":{"date-parts":[["2012"]]},"title":"Vasospasm shortens cerebral arterial time constant","type":"article-journal"},"uris":["http://www.mendeley.com/documents/?uuid=9a67b514-a782-3d94-8f60-216a954bbb1d"]}],"mendeley":{"formattedCitation":"(8,9,13,28)","manualFormatting":"8,9,13,28","plainTextFormattedCitation":"(8,9,13,28)","previouslyFormattedCitation":"(8,9,13,28)"},"properties":{"noteIndex":0},"schema":"https://github.com/citation-style-language/schema/raw/master/csl-citation.json"}</w:instrText>
      </w:r>
      <w:r w:rsidR="003A081F" w:rsidRPr="003A081F">
        <w:rPr>
          <w:rFonts w:ascii="Calibri" w:eastAsia="Calibri" w:hAnsi="Calibri" w:cs="Times New Roman"/>
          <w:noProof/>
          <w:vertAlign w:val="superscript"/>
        </w:rPr>
        <w:fldChar w:fldCharType="separate"/>
      </w:r>
      <w:r w:rsidR="003A081F" w:rsidRPr="003A081F">
        <w:rPr>
          <w:rFonts w:ascii="Calibri" w:eastAsia="Calibri" w:hAnsi="Calibri" w:cs="Times New Roman"/>
          <w:noProof/>
          <w:vertAlign w:val="superscript"/>
        </w:rPr>
        <w:t>8,9,13,2</w:t>
      </w:r>
      <w:r w:rsidR="00BF7794">
        <w:rPr>
          <w:rFonts w:ascii="Calibri" w:eastAsia="Calibri" w:hAnsi="Calibri" w:cs="Times New Roman"/>
          <w:noProof/>
          <w:vertAlign w:val="superscript"/>
        </w:rPr>
        <w:t>8</w:t>
      </w:r>
      <w:r w:rsidR="003A081F" w:rsidRPr="003A081F">
        <w:rPr>
          <w:rFonts w:ascii="Calibri" w:eastAsia="Calibri" w:hAnsi="Calibri" w:cs="Times New Roman"/>
          <w:noProof/>
          <w:vertAlign w:val="superscript"/>
        </w:rPr>
        <w:fldChar w:fldCharType="end"/>
      </w:r>
      <w:r w:rsidRPr="00735A78">
        <w:rPr>
          <w:rFonts w:ascii="Calibri" w:eastAsia="Calibri" w:hAnsi="Calibri" w:cs="Times New Roman"/>
        </w:rPr>
        <w:fldChar w:fldCharType="end"/>
      </w:r>
      <w:r w:rsidR="003A081F" w:rsidRPr="00735A78">
        <w:rPr>
          <w:rFonts w:ascii="Calibri" w:eastAsia="Calibri" w:hAnsi="Calibri" w:cs="Times New Roman"/>
        </w:rPr>
        <w:t xml:space="preserve"> </w:t>
      </w:r>
      <w:r w:rsidRPr="00735A78">
        <w:rPr>
          <w:rFonts w:ascii="Calibri" w:eastAsia="Calibri" w:hAnsi="Calibri" w:cs="Times New Roman"/>
        </w:rPr>
        <w:t xml:space="preserve">. </w:t>
      </w:r>
      <w:r w:rsidR="000D0FAE">
        <w:rPr>
          <w:rFonts w:ascii="Calibri" w:eastAsia="Calibri" w:hAnsi="Calibri" w:cs="Times New Roman"/>
        </w:rPr>
        <w:t xml:space="preserve">Therefore, </w:t>
      </w:r>
      <w:r w:rsidR="00262AE0">
        <w:rPr>
          <w:rFonts w:ascii="Calibri" w:eastAsia="Calibri" w:hAnsi="Calibri" w:cs="Times New Roman"/>
        </w:rPr>
        <w:t>Δ</w:t>
      </w:r>
      <w:r w:rsidRPr="00735A78">
        <w:rPr>
          <w:rFonts w:ascii="Calibri" w:eastAsia="Calibri" w:hAnsi="Calibri" w:cs="Times New Roman"/>
        </w:rPr>
        <w:t xml:space="preserve">CaBV </w:t>
      </w:r>
      <w:r w:rsidR="000D0FAE">
        <w:rPr>
          <w:rFonts w:ascii="Calibri" w:eastAsia="Calibri" w:hAnsi="Calibri" w:cs="Times New Roman"/>
        </w:rPr>
        <w:t>can be</w:t>
      </w:r>
      <w:r w:rsidRPr="00735A78">
        <w:rPr>
          <w:rFonts w:ascii="Calibri" w:eastAsia="Calibri" w:hAnsi="Calibri" w:cs="Times New Roman"/>
        </w:rPr>
        <w:t xml:space="preserve"> represented as the time-integrated difference between the values of current and mean cerebral blood flow velocity</w:t>
      </w:r>
      <w:r w:rsidR="003A081F" w:rsidRPr="003A081F">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{"citationItems":[{"id":"ITEM-1","itemData":{"DOI":"10.1088/0967-3334/30/7/009","abstract":"The study aimed to develop a computational method for assessing relative changes in compartmental compliances within the brain: the arterial bed and the cerebrospinal space. The method utilizes the relationship between pulsatile components in the arterial blood volume, arterial blood pressure (ABP) and intracranial pressure (ICP). It was verified by using clinical recordings of intracranial pressure plateau waves, when massive vasodilatation accompanying plateau waves produces changes in brain compliances of the arterial bed (C a) and compliance of the cerebrospinal space (C i). Ten patients admitted after head injury with a median Glasgow Coma Score of 6 were studied retrospectively. ABP was directly monitored from the radial artery. Changes in the cerebral arterial blood volume were assessed using Transcranial Doppler (TCD) ultrasonography by digital integration of inflow blood velocity. During plateau waves, ICP increased (P = 0.001), CPP decreased (P = 0.001), ABP remained constant (P = 0.532), blood flow velocity decreased (P = 0.001). Calculated compliance of the arterial bed C a increased significantly (P = 0.001); compliance of the CSF space C i decreased (P = 0.001). We concluded that the method allows for continuous monitoring of relative changes in brain compartmental compliances. Plateau waves affect the balance between Engineering in Medicine Printed in the UK 647 648 D-J Kim et al vascular and CSF compartments, which is reflected by the inverse change of compliance of the cerebral arterial bed and global compliance of the CSF space.","author":[{"dropping-particle":"","family":"Kim","given":"Dong-Joo","non-dropping-particle":"","parse-names":false,"suffix":""},{"dropping-particle":"","family":"Kasprowicz","given":"Magdalena","non-dropping-particle":"","parse-names":false,"suffix":""},{"dropping-particle":"","family":"Carrera","given":"Emmanuel","non-dropping-particle":"","parse-names":false,"suffix":""},{"dropping-particle":"","family":"Castellani","given":"Gianluca","non-dropping-particle":"","parse-names":false,"suffix":""},{"dropping-particle":"","family":"Zweifel","given":"Christian","non-dropping-particle":"","parse-names":false,"suffix":""},{"dropping-particle":"","family":"Lavinio","given":"Andrea","non-dropping-particle":"","parse-names":false,"suffix":""},{"dropping-particle":"","family":"Smielewski","given":"Peter","non-dropping-particle":"","parse-names":false,"suffix":""},{"dropping-particle":"","family":"Sutcliffe","given":"Michael P F","non-dropping-particle":"","parse-names":false,"suffix":""},{"dropping-particle":"","family":"Pickard","given":"John D","non-dropping-particle":"","parse-names":false,"suffix":""},{"dropping-particle":"","family":"Czosnyka","given":"Marek","non-dropping-particle":"","parse-names":false,"suffix":""}],"container-title":"Physiol. Meas","id":"ITEM-1","issued":{"date-parts":[["2009"]]},"page":"647-659","title":"The monitoring of relative changes in compartmental compliances of brain","type":"article-journal","volume":"30"},"uris":["http://www.mendeley.com/documents/?uuid=838842ff-3d1a-3a2a-9360-169a0359ba25"]},{"id":"ITEM-2","itemData":{"DOI":"10.1089/neu.2009.0951","ISBN":"1557-9042 (Electronic)\\n0897-7151 (Linking)","ISSN":"0897-7151","PMID":"19852586","abstract":"The pulsatile component of intracranial pressure (ICP) has been shown to be a predictor of outcome in normal pressure hydrocephalus (NPH) and traumatic brain injury (TBI). Experimental studies have demonstrated that the pulse amplitude of ICP (AMP(ICP)) is dependent on the mean ICP (mICP), and on the pulse amplitude of the cerebral arterial blood volume (AMP(CaBV)), according to the exponential craniospinal compliance curve. In this study, we compared the influence of mICP and AMP(CaBV) on AMP(ICP) in patients with NPH (infusion study) and TBI (spontaneous recording). We retrospectively analyzed 25 NPH and 43 TBI patients with continuous monitoring of ICP and cerebral blood flow velocity (CBFV), as assessed with transcranial doppler. AMP(CaBV) was extracted from the CBFV waveform. The influence of mICP and AMP(CaBV) on AMP(ICP) were determined using partial coefficients a, b, and c of the multiple regression model: AMP(ICP) = a * mICP + b * AMP(CaBV) + c. AMP(ICP) was more dependent on mICP in NPH patients than in TBI patients (partial coefficient a = 0.93 versus -0.03; p &lt; 0.001). On the contrary, AMP(ICP) was more dependent on AMP(CaBV) in patients with TBI than in those with NPH (b = 0.86 versus 0.10; p &lt; 0.001). This study shows that AMP(ICP) depends mostly on changes in mean ICP during cerebrospinal fluid (CSF) infusion studies in patients with NPH, and on changes in cerebral arterial blood volume (AMP(CaBV)) in TBI patients. Further clinical studies will reveal whether AMP(ICP) is a better indicator of clinical severity and outcome than mICP in TBI and NPH patients.","author":[{"dropping-particle":"","family":"Carrera","given":"Emmanuel","non-dropping-particle":"","parse-names":false,"suffix":""},{"dropping-particle":"","family":"Kim","given":"Dong-Joo","non-dropping-particle":"","parse-names":false,"suffix":""},{"dropping-particle":"","family":"Castellani","given":"Gianluca","non-dropping-particle":"","parse-names":false,"suffix":""},{"dropping-particle":"","family":"Zweifel","given":"Christian","non-dropping-particle":"","parse-names":false,"suffix":""},{"dropping-particle":"","family":"Czosnyka","given":"Zofia","non-dropping-particle":"","parse-names":false,"suffix":""},{"dropping-particle":"","family":"Kasprowicz","given":"Magdalena","non-dropping-particle":"","parse-names":false,"suffix":""},{"dropping-particle":"","family":"Smielewski","given":"Peter","non-dropping-particle":"","parse-names":false,"suffix":""},{"dropping-particle":"","family":"Pickard","given":"John D.","non-dropping-particle":"","parse-names":false,"suffix":""},{"dropping-particle":"","family":"Czosnyka","given":"Marek","non-dropping-particle":"","parse-names":false,"suffix":""}],"container-title":"Journal of Neurotrauma","id":"ITEM-2","issue":"2","issued":{"date-parts":[["2010","2"]]},"page":"317-324","title":"What Shapes Pulse Amplitude of Intracranial Pressure?","type":"article-journal","volume":"27"},"uris":["http://www.mendeley.com/documents/?uuid=a0bc25ca-ca13-3fac-a797-915664aea8ca"]}],"mendeley":{"formattedCitation":"(1,13)","manualFormatting":"1,13","plainTextFormattedCitation":"(1,13)","previouslyFormattedCitation":"(1,13)"},"properties":{"noteIndex":0},"schema":"https://github.com/citation-style-language/schema/raw/master/csl-citation.json"}</w:instrText>
      </w:r>
      <w:r w:rsidR="003A081F" w:rsidRPr="003A081F">
        <w:rPr>
          <w:rFonts w:ascii="Calibri" w:eastAsia="Calibri" w:hAnsi="Calibri" w:cs="Times New Roman"/>
          <w:vertAlign w:val="superscript"/>
        </w:rPr>
        <w:fldChar w:fldCharType="separate"/>
      </w:r>
      <w:r w:rsidR="003A081F" w:rsidRPr="003A081F">
        <w:rPr>
          <w:rFonts w:ascii="Calibri" w:eastAsia="Calibri" w:hAnsi="Calibri" w:cs="Times New Roman"/>
          <w:noProof/>
          <w:vertAlign w:val="superscript"/>
        </w:rPr>
        <w:t>1,13</w:t>
      </w:r>
      <w:r w:rsidR="003A081F" w:rsidRPr="003A081F">
        <w:rPr>
          <w:rFonts w:ascii="Calibri" w:eastAsia="Calibri" w:hAnsi="Calibri" w:cs="Times New Roman"/>
          <w:vertAlign w:val="superscript"/>
        </w:rPr>
        <w:fldChar w:fldCharType="end"/>
      </w:r>
      <w:r w:rsidRPr="00735A78">
        <w:rPr>
          <w:rFonts w:ascii="Calibri" w:eastAsia="Calibri" w:hAnsi="Calibri" w:cs="Times New Roman"/>
        </w:rPr>
        <w:t>. In fact, Avezaat &amp; van Eijndhoven</w:t>
      </w:r>
      <w:r w:rsidR="003A081F" w:rsidRPr="003A081F">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{"citationItems":[{"id":"ITEM-1","itemData":{"abstract":"The magnitude of the pulsatile intracranial pressure variations (CSF pulse pressure) is determined by the elastance of the craniospinal system and by the magnitude of the pulsatile variations in cerebral blood volume (CBV). The pulsatile change in CBV is, among other factors, determined by the com-pliance of the cerebral vascular bed which, in its turn, is dependent on the cerebral vasomotor tone. This concept has led the authors to devise a method for the assessment of both the elastance and the state of the cerebral vasomotor tone based on the rela-tionship between CSF pulse pressure and intracran-ial pressure. This relationship was found to be of a linear nature both in clinical patients and in experi-mental animals. A significant, positive correlation was found between the slope of this relationship and the value of the craniospinal volume-pressure rela-tionship: the elastance coefficient. During elevation of the intracranial pressure a breakpoint was ob-served in the relationship between CSF pulse pressure and the intracranial pressure above which the pulse pressure increased more rapidly. The elast-ance remained constant above this breakpoint. The same phenomenon was observed during plateau waves in clinical patients. Induced changes in sys-temic arterial pressure produced opposite effects on CSF pulse pressure and elastance coefficient. In these cases the discrepancy between pulse pressure and elastance was attributed to the pulsatile changes in CBV and this could be verified by means of electromagnetic flowmetry. The advantage of this method is that all the information is contained within the intracranial pressure signal itself, from which it can be extracted by simple means without the use of invasive tests.","author":[{"dropping-particle":"","family":"Avezaat","given":"Cees J J","non-dropping-particle":"","parse-names":false,"suffix":""},{"dropping-particle":"","family":"Eijndhoven","given":"John H M","non-dropping-particle":"Van","parse-names":false,"suffix":""}],"container-title":"Neurosurg. Rev","id":"ITEM-1","issued":{"date-parts":[["1986"]]},"page":"113-120","title":"The role of the pulsatile pressure variations in intracranial pressure monitoring","type":"article-journal","volume":"9"},"uris":["http://www.mendeley.com/documents/?uuid=83ea9493-0a34-3935-b65e-f0d438b28902"]}],"mendeley":{"formattedCitation":"(8)","manualFormatting":"8","plainTextFormattedCitation":"(8)","previouslyFormattedCitation":"(8)"},"properties":{"noteIndex":0},"schema":"https://github.com/citation-style-language/schema/raw/master/csl-citation.json"}</w:instrText>
      </w:r>
      <w:r w:rsidR="003A081F" w:rsidRPr="003A081F">
        <w:rPr>
          <w:rFonts w:ascii="Calibri" w:eastAsia="Calibri" w:hAnsi="Calibri" w:cs="Times New Roman"/>
          <w:vertAlign w:val="superscript"/>
        </w:rPr>
        <w:fldChar w:fldCharType="separate"/>
      </w:r>
      <w:r w:rsidR="003A081F" w:rsidRPr="003A081F">
        <w:rPr>
          <w:rFonts w:ascii="Calibri" w:eastAsia="Calibri" w:hAnsi="Calibri" w:cs="Times New Roman"/>
          <w:noProof/>
          <w:vertAlign w:val="superscript"/>
        </w:rPr>
        <w:t>8</w:t>
      </w:r>
      <w:r w:rsidR="003A081F" w:rsidRPr="003A081F">
        <w:rPr>
          <w:rFonts w:ascii="Calibri" w:eastAsia="Calibri" w:hAnsi="Calibri" w:cs="Times New Roman"/>
          <w:vertAlign w:val="superscript"/>
        </w:rPr>
        <w:fldChar w:fldCharType="end"/>
      </w:r>
      <w:r w:rsidR="003A081F">
        <w:rPr>
          <w:rFonts w:ascii="Calibri" w:eastAsia="Calibri" w:hAnsi="Calibri" w:cs="Times New Roman"/>
          <w:vertAlign w:val="superscript"/>
        </w:rPr>
        <w:t xml:space="preserve"> </w:t>
      </w:r>
      <w:r w:rsidRPr="00735A78">
        <w:rPr>
          <w:rFonts w:ascii="Calibri" w:eastAsia="Calibri" w:hAnsi="Calibri" w:cs="Times New Roman"/>
        </w:rPr>
        <w:t xml:space="preserve">had already noted the influence of pulsatile in- and outflow curves in determining the subtle, time-sensitive variations in </w:t>
      </w:r>
      <w:r w:rsidR="00262AE0">
        <w:rPr>
          <w:rFonts w:ascii="Calibri" w:eastAsia="Calibri" w:hAnsi="Calibri" w:cs="Times New Roman"/>
        </w:rPr>
        <w:t>Δ</w:t>
      </w:r>
      <w:r w:rsidRPr="00735A78">
        <w:rPr>
          <w:rFonts w:ascii="Calibri" w:eastAsia="Calibri" w:hAnsi="Calibri" w:cs="Times New Roman"/>
        </w:rPr>
        <w:t>C</w:t>
      </w:r>
      <w:r w:rsidR="003051F0">
        <w:rPr>
          <w:rFonts w:ascii="Calibri" w:eastAsia="Calibri" w:hAnsi="Calibri" w:cs="Times New Roman"/>
        </w:rPr>
        <w:t>a</w:t>
      </w:r>
      <w:r w:rsidRPr="00735A78">
        <w:rPr>
          <w:rFonts w:ascii="Calibri" w:eastAsia="Calibri" w:hAnsi="Calibri" w:cs="Times New Roman"/>
        </w:rPr>
        <w:t xml:space="preserve">BV that occur over one cardiac cycle. The degree of quantifiable change in </w:t>
      </w:r>
      <w:r w:rsidR="00262AE0">
        <w:rPr>
          <w:rFonts w:ascii="Calibri" w:eastAsia="Calibri" w:hAnsi="Calibri" w:cs="Times New Roman"/>
        </w:rPr>
        <w:t xml:space="preserve">pulsatile </w:t>
      </w:r>
      <w:r w:rsidRPr="00735A78">
        <w:rPr>
          <w:rFonts w:ascii="Calibri" w:eastAsia="Calibri" w:hAnsi="Calibri" w:cs="Times New Roman"/>
        </w:rPr>
        <w:t>C</w:t>
      </w:r>
      <w:r w:rsidR="003051F0">
        <w:rPr>
          <w:rFonts w:ascii="Calibri" w:eastAsia="Calibri" w:hAnsi="Calibri" w:cs="Times New Roman"/>
        </w:rPr>
        <w:t>a</w:t>
      </w:r>
      <w:r w:rsidRPr="00735A78">
        <w:rPr>
          <w:rFonts w:ascii="Calibri" w:eastAsia="Calibri" w:hAnsi="Calibri" w:cs="Times New Roman"/>
        </w:rPr>
        <w:t>BV would be an effect of the “temporal relationship” between cerebral arterial inflow and venous outflow processes; this is contingent on the impedances of the vascular bed, which can be both actively and passively mediated by either vasomotor tone or compression within the cerebral compartment</w:t>
      </w:r>
      <w:r w:rsidRPr="003A081F">
        <w:rPr>
          <w:rFonts w:ascii="Calibri" w:eastAsia="Calibri" w:hAnsi="Calibri" w:cs="Times New Roman"/>
          <w:vertAlign w:val="superscript"/>
        </w:rPr>
        <w:fldChar w:fldCharType="begin" w:fldLock="1"/>
      </w:r>
      <w:r w:rsidR="00A41837">
        <w:rPr>
          <w:rFonts w:ascii="Calibri" w:eastAsia="Calibri" w:hAnsi="Calibri" w:cs="Times New Roman"/>
          <w:vertAlign w:val="superscript"/>
        </w:rPr>
        <w:instrText>ADDIN CSL_CITATION {"citationItems":[{"id":"ITEM-1","itemData":{"abstract":"The magnitude of the pulsatile intracranial pressure variations (CSF pulse pressure) is determined by the elastance of the craniospinal system and by the magnitude of the pulsatile variations in cerebral blood volume (CBV). The pulsatile change in CBV is, among other factors, determined by the com-pliance of the cerebral vascular bed which, in its turn, is dependent on the cerebral vasomotor tone. This concept has led the authors to devise a method for the assessment of both the elastance and the state of the cerebral vasomotor tone based on the rela-tionship between CSF pulse pressure and intracran-ial pressure. This relationship was found to be of a linear nature both in clinical patients and in experi-mental animals. A significant, positive correlation was found between the slope of this relationship and the value of the craniospinal volume-pressure rela-tionship: the elastance coefficient. During elevation of the intracranial pressure a breakpoint was ob-served in the relationship between CSF pulse pressure and the intracranial pressure above which the pulse pressure increased more rapidly. The elast-ance remained constant above this breakpoint. The same phenomenon was observed during plateau waves in clinical patients. Induced changes in sys-temic arterial pressure produced opposite effects on CSF pulse pressure and elastance coefficient. In these cases the discrepancy between pulse pressure and elastance was attributed to the pulsatile changes in CBV and this could be verified by means of electromagnetic flowmetry. The advantage of this method is that all the information is contained within the intracranial pressure signal itself, from which it can be extracted by simple means without the use of invasive tests.","author":[{"dropping-particle":"","family":"Avezaat","given":"Cees J J","non-dropping-particle":"","parse-names":false,"suffix":""},{"dropping-particle":"","family":"Eijndhoven","given":"John H M","non-dropping-particle":"Van","parse-names":false,"suffix":""}],"container-title":"Neurosurg. Rev","id":"ITEM-1","issued":{"date-parts":[["1986"]]},"page":"113-120","title":"The role of the pulsatile pressure variations in intracranial pressure monitoring","type":"article-journal","volume":"9"},"uris":["http://www.mendeley.com/documents/?uuid=b0018f8e-2a9f-35cf-8a9a-67b912293ceb"]}],"mendeley":{"formattedCitation":"(8)","manualFormatting":"8","plainTextFormattedCitation":"(8)","previouslyFormattedCitation":"(8)"},"properties":{"noteIndex":0},"schema":"https://github.com/citation-style-language/schema/raw/master/csl-citation.json"}</w:instrText>
      </w:r>
      <w:r w:rsidRPr="003A081F">
        <w:rPr>
          <w:rFonts w:ascii="Calibri" w:eastAsia="Calibri" w:hAnsi="Calibri" w:cs="Times New Roman"/>
          <w:vertAlign w:val="superscript"/>
        </w:rPr>
        <w:fldChar w:fldCharType="separate"/>
      </w:r>
      <w:r w:rsidR="003A081F" w:rsidRPr="003A081F">
        <w:rPr>
          <w:rFonts w:ascii="Calibri" w:eastAsia="Calibri" w:hAnsi="Calibri" w:cs="Times New Roman"/>
          <w:noProof/>
          <w:vertAlign w:val="superscript"/>
        </w:rPr>
        <w:t>8</w:t>
      </w:r>
      <w:r w:rsidRPr="003A081F">
        <w:rPr>
          <w:rFonts w:ascii="Calibri" w:eastAsia="Calibri" w:hAnsi="Calibri" w:cs="Times New Roman"/>
          <w:vertAlign w:val="superscript"/>
        </w:rPr>
        <w:fldChar w:fldCharType="end"/>
      </w:r>
      <w:r w:rsidRPr="00735A78">
        <w:rPr>
          <w:rFonts w:ascii="Calibri" w:eastAsia="Calibri" w:hAnsi="Calibri" w:cs="Times New Roman"/>
        </w:rPr>
        <w:t>.</w:t>
      </w:r>
    </w:p>
    <w:p w14:paraId="65499832" w14:textId="0249CE96" w:rsidR="00A636C0" w:rsidRPr="00A636C0" w:rsidRDefault="00A636C0" w:rsidP="00020ABC">
      <w:pPr>
        <w:spacing w:line="480" w:lineRule="auto"/>
        <w:rPr>
          <w:rFonts w:ascii="Calibri" w:eastAsia="Calibri" w:hAnsi="Calibri" w:cs="Times New Roman"/>
          <w:i/>
        </w:rPr>
      </w:pPr>
      <w:r w:rsidRPr="00A636C0">
        <w:rPr>
          <w:rFonts w:ascii="Calibri" w:eastAsia="Calibri" w:hAnsi="Calibri" w:cs="Times New Roman"/>
          <w:i/>
        </w:rPr>
        <w:t>Clinical Implications</w:t>
      </w:r>
    </w:p>
    <w:p w14:paraId="73A8A015" w14:textId="4829E401" w:rsidR="00D95922" w:rsidRDefault="00A636C0" w:rsidP="00020ABC">
      <w:pPr>
        <w:spacing w:line="480" w:lineRule="auto"/>
        <w:ind w:firstLine="720"/>
        <w:rPr>
          <w:rFonts w:cstheme="minorHAnsi"/>
          <w:shd w:val="clear" w:color="auto" w:fill="FFFFFF"/>
        </w:rPr>
      </w:pPr>
      <w:r w:rsidRPr="00A636C0">
        <w:rPr>
          <w:rFonts w:cstheme="minorHAnsi"/>
          <w:shd w:val="clear" w:color="auto" w:fill="FFFFFF"/>
        </w:rPr>
        <w:lastRenderedPageBreak/>
        <w:t xml:space="preserve">Improvements in the estimation of </w:t>
      </w:r>
      <w:r w:rsidR="00262AE0">
        <w:rPr>
          <w:rFonts w:cstheme="minorHAnsi"/>
          <w:shd w:val="clear" w:color="auto" w:fill="FFFFFF"/>
        </w:rPr>
        <w:t>Δ</w:t>
      </w:r>
      <w:r w:rsidRPr="00A636C0">
        <w:rPr>
          <w:rFonts w:cstheme="minorHAnsi"/>
          <w:shd w:val="clear" w:color="auto" w:fill="FFFFFF"/>
        </w:rPr>
        <w:t>C</w:t>
      </w:r>
      <w:r>
        <w:rPr>
          <w:rFonts w:cstheme="minorHAnsi"/>
          <w:shd w:val="clear" w:color="auto" w:fill="FFFFFF"/>
        </w:rPr>
        <w:t>a</w:t>
      </w:r>
      <w:r w:rsidRPr="00A636C0">
        <w:rPr>
          <w:rFonts w:cstheme="minorHAnsi"/>
          <w:shd w:val="clear" w:color="auto" w:fill="FFFFFF"/>
        </w:rPr>
        <w:t>BV provide various potentially crucial advancements for monitoring critically ill patients.  First, in patients suffering from intracranial hypertension, knowledge of which intracranial component is contributing most to ICP elevation is not always clear</w:t>
      </w:r>
      <w:r w:rsidR="007B135B">
        <w:rPr>
          <w:rFonts w:cstheme="minorHAnsi"/>
          <w:shd w:val="clear" w:color="auto" w:fill="FFFFFF"/>
        </w:rPr>
        <w:t xml:space="preserve"> (i.e. CSF, blood volume, edema, etc.)</w:t>
      </w:r>
      <w:r w:rsidRPr="00A636C0">
        <w:rPr>
          <w:rFonts w:cstheme="minorHAnsi"/>
          <w:shd w:val="clear" w:color="auto" w:fill="FFFFFF"/>
        </w:rPr>
        <w:t>.  Optimal models for</w:t>
      </w:r>
      <w:r w:rsidR="00262AE0">
        <w:rPr>
          <w:rFonts w:cstheme="minorHAnsi"/>
          <w:shd w:val="clear" w:color="auto" w:fill="FFFFFF"/>
        </w:rPr>
        <w:t xml:space="preserve"> pulsatile</w:t>
      </w:r>
      <w:r w:rsidRPr="00A636C0">
        <w:rPr>
          <w:rFonts w:cstheme="minorHAnsi"/>
          <w:shd w:val="clear" w:color="auto" w:fill="FFFFFF"/>
        </w:rPr>
        <w:t xml:space="preserve"> C</w:t>
      </w:r>
      <w:r w:rsidR="00D95922">
        <w:rPr>
          <w:rFonts w:cstheme="minorHAnsi"/>
          <w:shd w:val="clear" w:color="auto" w:fill="FFFFFF"/>
        </w:rPr>
        <w:t>a</w:t>
      </w:r>
      <w:r w:rsidRPr="00A636C0">
        <w:rPr>
          <w:rFonts w:cstheme="minorHAnsi"/>
          <w:shd w:val="clear" w:color="auto" w:fill="FFFFFF"/>
        </w:rPr>
        <w:t xml:space="preserve">BV estimation, such as those presented </w:t>
      </w:r>
      <w:r w:rsidR="00D95922">
        <w:rPr>
          <w:rFonts w:cstheme="minorHAnsi"/>
          <w:shd w:val="clear" w:color="auto" w:fill="FFFFFF"/>
        </w:rPr>
        <w:t>here</w:t>
      </w:r>
      <w:r w:rsidRPr="00A636C0">
        <w:rPr>
          <w:rFonts w:cstheme="minorHAnsi"/>
          <w:shd w:val="clear" w:color="auto" w:fill="FFFFFF"/>
        </w:rPr>
        <w:t>, are required to properly outline the blood volume component of ICP.  Such knowledge, may allow</w:t>
      </w:r>
      <w:r w:rsidR="00D95922">
        <w:rPr>
          <w:rFonts w:cstheme="minorHAnsi"/>
          <w:shd w:val="clear" w:color="auto" w:fill="FFFFFF"/>
        </w:rPr>
        <w:t xml:space="preserve"> the implementation of</w:t>
      </w:r>
      <w:r w:rsidRPr="00A636C0">
        <w:rPr>
          <w:rFonts w:cstheme="minorHAnsi"/>
          <w:shd w:val="clear" w:color="auto" w:fill="FFFFFF"/>
        </w:rPr>
        <w:t xml:space="preserve"> targeted therapies </w:t>
      </w:r>
      <w:r w:rsidR="00D95922">
        <w:rPr>
          <w:rFonts w:cstheme="minorHAnsi"/>
          <w:shd w:val="clear" w:color="auto" w:fill="FFFFFF"/>
        </w:rPr>
        <w:t>for</w:t>
      </w:r>
      <w:r w:rsidRPr="00A636C0">
        <w:rPr>
          <w:rFonts w:cstheme="minorHAnsi"/>
          <w:shd w:val="clear" w:color="auto" w:fill="FFFFFF"/>
        </w:rPr>
        <w:t xml:space="preserve"> particular intra</w:t>
      </w:r>
      <w:r w:rsidR="00D95922">
        <w:rPr>
          <w:rFonts w:cstheme="minorHAnsi"/>
          <w:shd w:val="clear" w:color="auto" w:fill="FFFFFF"/>
        </w:rPr>
        <w:t>c</w:t>
      </w:r>
      <w:r w:rsidRPr="00A636C0">
        <w:rPr>
          <w:rFonts w:cstheme="minorHAnsi"/>
          <w:shd w:val="clear" w:color="auto" w:fill="FFFFFF"/>
        </w:rPr>
        <w:t xml:space="preserve">ranial components contributing to elevated ICP. Second, </w:t>
      </w:r>
      <w:r w:rsidR="007B135B">
        <w:rPr>
          <w:rFonts w:cstheme="minorHAnsi"/>
          <w:shd w:val="clear" w:color="auto" w:fill="FFFFFF"/>
        </w:rPr>
        <w:t xml:space="preserve">most clinicians currently manage intracranial hypertension by </w:t>
      </w:r>
      <w:r w:rsidRPr="00A636C0">
        <w:rPr>
          <w:rFonts w:cstheme="minorHAnsi"/>
          <w:shd w:val="clear" w:color="auto" w:fill="FFFFFF"/>
        </w:rPr>
        <w:t xml:space="preserve">treating a single number, based on </w:t>
      </w:r>
      <w:r w:rsidR="00D95922">
        <w:rPr>
          <w:rFonts w:cstheme="minorHAnsi"/>
          <w:shd w:val="clear" w:color="auto" w:fill="FFFFFF"/>
        </w:rPr>
        <w:t xml:space="preserve">the </w:t>
      </w:r>
      <w:r w:rsidRPr="00A636C0">
        <w:rPr>
          <w:rFonts w:cstheme="minorHAnsi"/>
          <w:shd w:val="clear" w:color="auto" w:fill="FFFFFF"/>
        </w:rPr>
        <w:t>Brain Trauma Foundation (BTF) guidelines</w:t>
      </w:r>
      <w:r w:rsidR="00D95922" w:rsidRPr="00D95922">
        <w:rPr>
          <w:rFonts w:cstheme="minorHAnsi"/>
          <w:shd w:val="clear" w:color="auto" w:fill="FFFFFF"/>
          <w:vertAlign w:val="superscript"/>
        </w:rPr>
        <w:fldChar w:fldCharType="begin" w:fldLock="1"/>
      </w:r>
      <w:r w:rsidR="00372DE7">
        <w:rPr>
          <w:rFonts w:cstheme="minorHAnsi"/>
          <w:shd w:val="clear" w:color="auto" w:fill="FFFFFF"/>
          <w:vertAlign w:val="superscript"/>
        </w:rPr>
        <w:instrText>ADDIN CSL_CITATION {"citationItems":[{"id":"ITEM-1","itemData":{"DOI":"10.1227/NEU.0000000000001432","ISBN":"0000000000","ISSN":"0148-396X","PMID":"27654000","abstract":"In this 4th Edition of the Brain Trauma Foundation’s guidelines, there are 189 publications used for evidence—5 Class 1, 46 Class 2, 136 Class 3 studies, and 2 meta-analyses. Over the past 20 years, our community has evolved along with the science and application of evidence- based medicine in general. As a consequence, with each new iteration of the guidelines, we have applied the most current methodological standards and established more rigorous procedures for future work. This approach resulted in changes in the evaluation of previous work, an increase in the quality of the included studies, and essential improvements in the precision of the recommendations. The size of the literature base is a reflection of the rate at which new studies are being conducted that can be used as evidence for guideline recommendations. During the 7 years between the 3rd1 and 4th Editions of this work, 94 new studies were added to the library of evidence. Although there have been numerous new publications, many of them repeat the same methodological flaws found in previous research. The following is an examination of the current condition of brain trauma clinical research, our view of how this condition is defining and shaping our future, and a proposed solution in establishing a formal evidence-based consortium.","author":[{"dropping-particle":"","family":"Carney","given":"Nancy","non-dropping-particle":"","parse-names":false,"suffix":""},{"dropping-particle":"","family":"Totten","given":"Annette M.","non-dropping-particle":"","parse-names":false,"suffix":""},{"dropping-particle":"","family":"OʼReilly","given":"Cindy","non-dropping-particle":"","parse-names":false,"suffix":""},{"dropping-particle":"","family":"Ullman","given":"Jamie S.","non-dropping-particle":"","parse-names":false,"suffix":""},{"dropping-particle":"","family":"Hawryluk","given":"Gregory W.J.","non-dropping-particle":"","parse-names":false,"suffix":""},{"dropping-particle":"","family":"Bell","given":"Michael J.","non-dropping-particle":"","parse-names":false,"suffix":""},{"dropping-particle":"","family":"Bratton","given":"Susan L.","non-dropping-particle":"","parse-names":false,"suffix":""},{"dropping-particle":"","family":"Chesnut","given":"Randall","non-dropping-particle":"","parse-names":false,"suffix":""},{"dropping-particle":"","family":"Harris","given":"Odette A.","non-dropping-particle":"","parse-names":false,"suffix":""},{"dropping-particle":"","family":"Kissoon","given":"Niranjan","non-dropping-particle":"","parse-names":false,"suffix":""},{"dropping-particle":"","family":"Rubiano","given":"Andres M.","non-dropping-particle":"","parse-names":false,"suffix":""},{"dropping-particle":"","family":"Shutter","given":"Lori","non-dropping-particle":"","parse-names":false,"suffix":""},{"dropping-particle":"","family":"Tasker","given":"Robert C.","non-dropping-particle":"","parse-names":false,"suffix":""},{"dropping-particle":"","family":"Vavilala","given":"Monica S.","non-dropping-particle":"","parse-names":false,"suffix":""},{"dropping-particle":"","family":"Wilberger","given":"Jack","non-dropping-particle":"","parse-names":false,"suffix":""},{"dropping-particle":"","family":"Wright","given":"David W.","non-dropping-particle":"","parse-names":false,"suffix":""},{"dropping-particle":"","family":"Ghajar","given":"Jamshid","non-dropping-particle":"","parse-names":false,"suffix":""}],"container-title":"Neurosurgery","id":"ITEM-1","issued":{"date-parts":[["2016"]]},"title":"Guidelines for the Management of Severe Traumatic Brain Injury, Fourth Edition","type":"article-journal"},"uris":["http://www.mendeley.com/documents/?uuid=bbcaaafc-6b23-4c1b-8cbe-742cf69cdbda"]}],"mendeley":{"formattedCitation":"(34)","manualFormatting":"34","plainTextFormattedCitation":"(34)","previouslyFormattedCitation":"(34)"},"properties":{"noteIndex":0},"schema":"https://github.com/citation-style-language/schema/raw/master/csl-citation.json"}</w:instrText>
      </w:r>
      <w:r w:rsidR="00D95922" w:rsidRPr="00D95922">
        <w:rPr>
          <w:rFonts w:cstheme="minorHAnsi"/>
          <w:shd w:val="clear" w:color="auto" w:fill="FFFFFF"/>
          <w:vertAlign w:val="superscript"/>
        </w:rPr>
        <w:fldChar w:fldCharType="separate"/>
      </w:r>
      <w:r w:rsidR="00D95922" w:rsidRPr="00D95922">
        <w:rPr>
          <w:rFonts w:cstheme="minorHAnsi"/>
          <w:noProof/>
          <w:shd w:val="clear" w:color="auto" w:fill="FFFFFF"/>
          <w:vertAlign w:val="superscript"/>
        </w:rPr>
        <w:t>34</w:t>
      </w:r>
      <w:r w:rsidR="00D95922" w:rsidRPr="00D95922">
        <w:rPr>
          <w:rFonts w:cstheme="minorHAnsi"/>
          <w:shd w:val="clear" w:color="auto" w:fill="FFFFFF"/>
          <w:vertAlign w:val="superscript"/>
        </w:rPr>
        <w:fldChar w:fldCharType="end"/>
      </w:r>
      <w:r w:rsidRPr="00A636C0">
        <w:rPr>
          <w:rFonts w:cstheme="minorHAnsi"/>
          <w:shd w:val="clear" w:color="auto" w:fill="FFFFFF"/>
        </w:rPr>
        <w:t xml:space="preserve">. It is unknown if targeting </w:t>
      </w:r>
      <w:r w:rsidR="007B135B">
        <w:rPr>
          <w:rFonts w:cstheme="minorHAnsi"/>
          <w:shd w:val="clear" w:color="auto" w:fill="FFFFFF"/>
        </w:rPr>
        <w:t xml:space="preserve">particular </w:t>
      </w:r>
      <w:r w:rsidRPr="00A636C0">
        <w:rPr>
          <w:rFonts w:cstheme="minorHAnsi"/>
          <w:shd w:val="clear" w:color="auto" w:fill="FFFFFF"/>
        </w:rPr>
        <w:t>aspects of ICP, such as standard invasively</w:t>
      </w:r>
      <w:r w:rsidR="00D95922">
        <w:rPr>
          <w:rFonts w:cstheme="minorHAnsi"/>
          <w:shd w:val="clear" w:color="auto" w:fill="FFFFFF"/>
        </w:rPr>
        <w:t>-</w:t>
      </w:r>
      <w:r w:rsidRPr="00A636C0">
        <w:rPr>
          <w:rFonts w:cstheme="minorHAnsi"/>
          <w:shd w:val="clear" w:color="auto" w:fill="FFFFFF"/>
        </w:rPr>
        <w:t xml:space="preserve">measured parameters or estimated </w:t>
      </w:r>
      <w:r w:rsidR="00262AE0">
        <w:rPr>
          <w:rFonts w:cstheme="minorHAnsi"/>
          <w:shd w:val="clear" w:color="auto" w:fill="FFFFFF"/>
        </w:rPr>
        <w:t>Δ</w:t>
      </w:r>
      <w:r w:rsidRPr="00A636C0">
        <w:rPr>
          <w:rFonts w:cstheme="minorHAnsi"/>
          <w:shd w:val="clear" w:color="auto" w:fill="FFFFFF"/>
        </w:rPr>
        <w:t>C</w:t>
      </w:r>
      <w:r w:rsidR="00D95922">
        <w:rPr>
          <w:rFonts w:cstheme="minorHAnsi"/>
          <w:shd w:val="clear" w:color="auto" w:fill="FFFFFF"/>
        </w:rPr>
        <w:t>a</w:t>
      </w:r>
      <w:r w:rsidRPr="00A636C0">
        <w:rPr>
          <w:rFonts w:cstheme="minorHAnsi"/>
          <w:shd w:val="clear" w:color="auto" w:fill="FFFFFF"/>
        </w:rPr>
        <w:t>BV</w:t>
      </w:r>
      <w:r w:rsidR="00D95922">
        <w:rPr>
          <w:rFonts w:cstheme="minorHAnsi"/>
          <w:shd w:val="clear" w:color="auto" w:fill="FFFFFF"/>
        </w:rPr>
        <w:t>,</w:t>
      </w:r>
      <w:r w:rsidRPr="00A636C0">
        <w:rPr>
          <w:rFonts w:cstheme="minorHAnsi"/>
          <w:shd w:val="clear" w:color="auto" w:fill="FFFFFF"/>
        </w:rPr>
        <w:t xml:space="preserve"> </w:t>
      </w:r>
      <w:r w:rsidR="007B135B">
        <w:rPr>
          <w:rFonts w:cstheme="minorHAnsi"/>
          <w:shd w:val="clear" w:color="auto" w:fill="FFFFFF"/>
        </w:rPr>
        <w:t xml:space="preserve">could </w:t>
      </w:r>
      <w:r w:rsidRPr="00A636C0">
        <w:rPr>
          <w:rFonts w:cstheme="minorHAnsi"/>
          <w:shd w:val="clear" w:color="auto" w:fill="FFFFFF"/>
        </w:rPr>
        <w:t xml:space="preserve">provide greater impact on patient functional outcome. </w:t>
      </w:r>
      <w:r w:rsidR="007B135B">
        <w:rPr>
          <w:rFonts w:cstheme="minorHAnsi"/>
          <w:shd w:val="clear" w:color="auto" w:fill="FFFFFF"/>
        </w:rPr>
        <w:t xml:space="preserve">However, we require adequate, optimized models of </w:t>
      </w:r>
      <w:r w:rsidR="00262AE0">
        <w:rPr>
          <w:rFonts w:cstheme="minorHAnsi"/>
          <w:shd w:val="clear" w:color="auto" w:fill="FFFFFF"/>
        </w:rPr>
        <w:t>Δ</w:t>
      </w:r>
      <w:r w:rsidR="007B135B">
        <w:rPr>
          <w:rFonts w:cstheme="minorHAnsi"/>
          <w:shd w:val="clear" w:color="auto" w:fill="FFFFFF"/>
        </w:rPr>
        <w:t>CaBV estimation p</w:t>
      </w:r>
      <w:r w:rsidRPr="00A636C0">
        <w:rPr>
          <w:rFonts w:cstheme="minorHAnsi"/>
          <w:shd w:val="clear" w:color="auto" w:fill="FFFFFF"/>
        </w:rPr>
        <w:t xml:space="preserve">rior to investigating therapies directed at continuously/semi-continuously measured </w:t>
      </w:r>
      <w:r w:rsidR="00262AE0">
        <w:rPr>
          <w:rFonts w:cstheme="minorHAnsi"/>
          <w:shd w:val="clear" w:color="auto" w:fill="FFFFFF"/>
        </w:rPr>
        <w:t>Δ</w:t>
      </w:r>
      <w:r w:rsidRPr="00A636C0">
        <w:rPr>
          <w:rFonts w:cstheme="minorHAnsi"/>
          <w:shd w:val="clear" w:color="auto" w:fill="FFFFFF"/>
        </w:rPr>
        <w:t>C</w:t>
      </w:r>
      <w:r w:rsidR="00D95922">
        <w:rPr>
          <w:rFonts w:cstheme="minorHAnsi"/>
          <w:shd w:val="clear" w:color="auto" w:fill="FFFFFF"/>
        </w:rPr>
        <w:t>a</w:t>
      </w:r>
      <w:r w:rsidRPr="00A636C0">
        <w:rPr>
          <w:rFonts w:cstheme="minorHAnsi"/>
          <w:shd w:val="clear" w:color="auto" w:fill="FFFFFF"/>
        </w:rPr>
        <w:t>BV, we require optimal models of</w:t>
      </w:r>
      <w:r w:rsidR="00262AE0">
        <w:rPr>
          <w:rFonts w:cstheme="minorHAnsi"/>
          <w:shd w:val="clear" w:color="auto" w:fill="FFFFFF"/>
        </w:rPr>
        <w:t xml:space="preserve"> pulsatile</w:t>
      </w:r>
      <w:r w:rsidRPr="00A636C0">
        <w:rPr>
          <w:rFonts w:cstheme="minorHAnsi"/>
          <w:shd w:val="clear" w:color="auto" w:fill="FFFFFF"/>
        </w:rPr>
        <w:t xml:space="preserve"> C</w:t>
      </w:r>
      <w:r w:rsidR="00D95922">
        <w:rPr>
          <w:rFonts w:cstheme="minorHAnsi"/>
          <w:shd w:val="clear" w:color="auto" w:fill="FFFFFF"/>
        </w:rPr>
        <w:t>a</w:t>
      </w:r>
      <w:r w:rsidRPr="00A636C0">
        <w:rPr>
          <w:rFonts w:cstheme="minorHAnsi"/>
          <w:shd w:val="clear" w:color="auto" w:fill="FFFFFF"/>
        </w:rPr>
        <w:t xml:space="preserve">BV estimation.  </w:t>
      </w:r>
    </w:p>
    <w:p w14:paraId="024D36B8" w14:textId="59358E98" w:rsidR="00D95922" w:rsidRDefault="00A636C0" w:rsidP="00020ABC">
      <w:pPr>
        <w:spacing w:line="480" w:lineRule="auto"/>
        <w:ind w:firstLine="720"/>
        <w:rPr>
          <w:rFonts w:cstheme="minorHAnsi"/>
          <w:shd w:val="clear" w:color="auto" w:fill="FFFFFF"/>
        </w:rPr>
      </w:pPr>
      <w:r w:rsidRPr="00A636C0">
        <w:rPr>
          <w:rFonts w:cstheme="minorHAnsi"/>
          <w:shd w:val="clear" w:color="auto" w:fill="FFFFFF"/>
        </w:rPr>
        <w:t xml:space="preserve">Third, we understand that persistent ICP elevations near, or at, the </w:t>
      </w:r>
      <w:r w:rsidR="00D95922">
        <w:rPr>
          <w:rFonts w:cstheme="minorHAnsi"/>
          <w:shd w:val="clear" w:color="auto" w:fill="FFFFFF"/>
        </w:rPr>
        <w:t>critical closing pressure (</w:t>
      </w:r>
      <w:r w:rsidRPr="00A636C0">
        <w:rPr>
          <w:rFonts w:cstheme="minorHAnsi"/>
          <w:shd w:val="clear" w:color="auto" w:fill="FFFFFF"/>
        </w:rPr>
        <w:t>CrCP</w:t>
      </w:r>
      <w:r w:rsidR="00D95922">
        <w:rPr>
          <w:rFonts w:cstheme="minorHAnsi"/>
          <w:shd w:val="clear" w:color="auto" w:fill="FFFFFF"/>
        </w:rPr>
        <w:t>)</w:t>
      </w:r>
      <w:r w:rsidRPr="00A636C0">
        <w:rPr>
          <w:rFonts w:cstheme="minorHAnsi"/>
          <w:shd w:val="clear" w:color="auto" w:fill="FFFFFF"/>
        </w:rPr>
        <w:t xml:space="preserve"> are detrimental to sustained </w:t>
      </w:r>
      <w:r w:rsidR="00D95922">
        <w:rPr>
          <w:rFonts w:cstheme="minorHAnsi"/>
          <w:shd w:val="clear" w:color="auto" w:fill="FFFFFF"/>
        </w:rPr>
        <w:t>cerebral blood flow</w:t>
      </w:r>
      <w:r w:rsidRPr="00A636C0">
        <w:rPr>
          <w:rFonts w:cstheme="minorHAnsi"/>
          <w:shd w:val="clear" w:color="auto" w:fill="FFFFFF"/>
        </w:rPr>
        <w:t xml:space="preserve"> in the setting of brain injury.  </w:t>
      </w:r>
      <w:r w:rsidR="007B135B">
        <w:rPr>
          <w:rFonts w:cstheme="minorHAnsi"/>
          <w:shd w:val="clear" w:color="auto" w:fill="FFFFFF"/>
        </w:rPr>
        <w:t>As a</w:t>
      </w:r>
      <w:r w:rsidRPr="00A636C0">
        <w:rPr>
          <w:rFonts w:cstheme="minorHAnsi"/>
          <w:shd w:val="clear" w:color="auto" w:fill="FFFFFF"/>
        </w:rPr>
        <w:t xml:space="preserve">ccurate CrCP is predicated on </w:t>
      </w:r>
      <w:r w:rsidR="00262AE0">
        <w:rPr>
          <w:rFonts w:cstheme="minorHAnsi"/>
          <w:shd w:val="clear" w:color="auto" w:fill="FFFFFF"/>
        </w:rPr>
        <w:t>cerebral blood volume</w:t>
      </w:r>
      <w:r w:rsidR="00262AE0" w:rsidRPr="00A636C0">
        <w:rPr>
          <w:rFonts w:cstheme="minorHAnsi"/>
          <w:shd w:val="clear" w:color="auto" w:fill="FFFFFF"/>
        </w:rPr>
        <w:t xml:space="preserve"> </w:t>
      </w:r>
      <w:r w:rsidRPr="00A636C0">
        <w:rPr>
          <w:rFonts w:cstheme="minorHAnsi"/>
          <w:shd w:val="clear" w:color="auto" w:fill="FFFFFF"/>
        </w:rPr>
        <w:t>estimation</w:t>
      </w:r>
      <w:r w:rsidR="007B135B">
        <w:rPr>
          <w:rFonts w:cstheme="minorHAnsi"/>
          <w:shd w:val="clear" w:color="auto" w:fill="FFFFFF"/>
        </w:rPr>
        <w:t xml:space="preserve">, </w:t>
      </w:r>
      <w:r w:rsidRPr="00A636C0">
        <w:rPr>
          <w:rFonts w:cstheme="minorHAnsi"/>
          <w:shd w:val="clear" w:color="auto" w:fill="FFFFFF"/>
        </w:rPr>
        <w:t>it becomes theoretically possible to estimate an individual patient’s CrCP in a continuous/semi-continuous manner, allowing clinicians real-time knowledge of this critical threshold</w:t>
      </w:r>
      <w:r w:rsidR="007B135B">
        <w:rPr>
          <w:rFonts w:cstheme="minorHAnsi"/>
          <w:shd w:val="clear" w:color="auto" w:fill="FFFFFF"/>
        </w:rPr>
        <w:t xml:space="preserve"> that can be incorporated into therapeutic interventions</w:t>
      </w:r>
      <w:r w:rsidRPr="00A636C0">
        <w:rPr>
          <w:rFonts w:cstheme="minorHAnsi"/>
          <w:shd w:val="clear" w:color="auto" w:fill="FFFFFF"/>
        </w:rPr>
        <w:t>.   Fourth, to date</w:t>
      </w:r>
      <w:r w:rsidR="00D95922">
        <w:rPr>
          <w:rFonts w:cstheme="minorHAnsi"/>
          <w:shd w:val="clear" w:color="auto" w:fill="FFFFFF"/>
        </w:rPr>
        <w:t>,</w:t>
      </w:r>
      <w:r w:rsidRPr="00A636C0">
        <w:rPr>
          <w:rFonts w:cstheme="minorHAnsi"/>
          <w:shd w:val="clear" w:color="auto" w:fill="FFFFFF"/>
        </w:rPr>
        <w:t xml:space="preserve"> the majority of continuously</w:t>
      </w:r>
      <w:r w:rsidR="00D95922">
        <w:rPr>
          <w:rFonts w:cstheme="minorHAnsi"/>
          <w:shd w:val="clear" w:color="auto" w:fill="FFFFFF"/>
        </w:rPr>
        <w:t>-</w:t>
      </w:r>
      <w:r w:rsidRPr="00A636C0">
        <w:rPr>
          <w:rFonts w:cstheme="minorHAnsi"/>
          <w:shd w:val="clear" w:color="auto" w:fill="FFFFFF"/>
        </w:rPr>
        <w:t xml:space="preserve">measured indices of cerebrovascular reactivity are derived based on the notion that the correlation between slow-wave fluctuations in a surrogate measure of </w:t>
      </w:r>
      <w:r w:rsidR="00D95922">
        <w:rPr>
          <w:rFonts w:cstheme="minorHAnsi"/>
          <w:shd w:val="clear" w:color="auto" w:fill="FFFFFF"/>
        </w:rPr>
        <w:t>cerebral blood flow</w:t>
      </w:r>
      <w:r w:rsidRPr="00A636C0">
        <w:rPr>
          <w:rFonts w:cstheme="minorHAnsi"/>
          <w:shd w:val="clear" w:color="auto" w:fill="FFFFFF"/>
        </w:rPr>
        <w:t xml:space="preserve"> (such as TCD</w:t>
      </w:r>
      <w:r w:rsidR="00D95922">
        <w:rPr>
          <w:rFonts w:cstheme="minorHAnsi"/>
          <w:shd w:val="clear" w:color="auto" w:fill="FFFFFF"/>
        </w:rPr>
        <w:t xml:space="preserve">-based </w:t>
      </w:r>
      <w:r w:rsidRPr="00A636C0">
        <w:rPr>
          <w:rFonts w:cstheme="minorHAnsi"/>
          <w:shd w:val="clear" w:color="auto" w:fill="FFFFFF"/>
        </w:rPr>
        <w:t xml:space="preserve">FV) or </w:t>
      </w:r>
      <w:r w:rsidR="00262AE0">
        <w:rPr>
          <w:rFonts w:cstheme="minorHAnsi"/>
          <w:shd w:val="clear" w:color="auto" w:fill="FFFFFF"/>
        </w:rPr>
        <w:t>Δ</w:t>
      </w:r>
      <w:r w:rsidRPr="00A636C0">
        <w:rPr>
          <w:rFonts w:cstheme="minorHAnsi"/>
          <w:shd w:val="clear" w:color="auto" w:fill="FFFFFF"/>
        </w:rPr>
        <w:t>C</w:t>
      </w:r>
      <w:r w:rsidR="00372DE7">
        <w:rPr>
          <w:rFonts w:cstheme="minorHAnsi"/>
          <w:shd w:val="clear" w:color="auto" w:fill="FFFFFF"/>
        </w:rPr>
        <w:t>a</w:t>
      </w:r>
      <w:r w:rsidRPr="00A636C0">
        <w:rPr>
          <w:rFonts w:cstheme="minorHAnsi"/>
          <w:shd w:val="clear" w:color="auto" w:fill="FFFFFF"/>
        </w:rPr>
        <w:t>BV (such as ICP) and a driving pressure (such as</w:t>
      </w:r>
      <w:r w:rsidR="00372DE7">
        <w:rPr>
          <w:rFonts w:cstheme="minorHAnsi"/>
          <w:shd w:val="clear" w:color="auto" w:fill="FFFFFF"/>
        </w:rPr>
        <w:t xml:space="preserve"> ABP</w:t>
      </w:r>
      <w:r w:rsidRPr="00A636C0">
        <w:rPr>
          <w:rFonts w:cstheme="minorHAnsi"/>
          <w:shd w:val="clear" w:color="auto" w:fill="FFFFFF"/>
        </w:rPr>
        <w:t xml:space="preserve"> or CPP), provide information regarding cerebral autoregulatory status.  The most widely employed index, pressure reactivity index (PRx)</w:t>
      </w:r>
      <w:r w:rsidR="00372DE7" w:rsidRPr="00372DE7">
        <w:rPr>
          <w:rFonts w:cstheme="minorHAnsi"/>
          <w:shd w:val="clear" w:color="auto" w:fill="FFFFFF"/>
          <w:vertAlign w:val="superscript"/>
        </w:rPr>
        <w:fldChar w:fldCharType="begin" w:fldLock="1"/>
      </w:r>
      <w:r w:rsidR="00372DE7">
        <w:rPr>
          <w:rFonts w:cstheme="minorHAnsi"/>
          <w:shd w:val="clear" w:color="auto" w:fill="FFFFFF"/>
          <w:vertAlign w:val="superscript"/>
        </w:rPr>
        <w:instrText>ADDIN CSL_CITATION {"citationItems":[{"id":"ITEM-1","itemData":{"ISBN":"0065-1419 (Print)\\n0065-1419 (Linking)","ISSN":"0065-1419","PMID":"9779149","abstract":"OBJECTIVE: Cerebrovascular vasomotor reactivity reflects changes in smooth muscle tone in the arterial wall in response to changes in transmural pressure or concentration of carbon dioxide in blood. We have investigated whether slow waves in ABP and ICP may be used to derive an index which reflects reactivity of vessels to changes in arterial blood pressure. METHODS: A method for the continuous monitoring of the association between slow spontaneous waves in ICP and AP has been adopted in a group of 98 head injured patients. ABP, ICP and transcranial Doppler blood flow velocity (FV) in the middle cerebral artery was recorded daily (20 to 120 minutes time periods). A Pressure-Reactivity Index (PRx) was calculated as a moving correlation coefficient between 40 consecutive samples of values for ICP and ABP averaged over 5 seconds. A moving correlation coefficient between spontaneous fluctuations of mean FV and CPP (Mx), which was previously reported to describe cerebral blood flow autoregulation, was also calculated. In an additional 25 patients, PRx was calculated and recorded continuously along with mean ICP, ABP and parameters describing ICP waveform. RESULTS: A positive PRx correlated with high ICP (r = 0.366; p &lt; 0.001), low admission GCS (r = 0.29; p &lt; 0.01), and poor outcome at 6 months after injury (r = 0.48; p &lt; 0.00001). During the first two days following injury, PRx was positive (p &lt; 0.05) in patients with unfavourable outcome. The correlation between PRx and Mx (r = 0.63) was highly significant (p &lt; 0.000001). Continuous recordings demonstrated that PRx was able to indicate individual thresholds of vascular reactivity for CPP, ICP, and ventilation parameters. CONCLUSION: Computer analysis of slow waves in ABP and ICP is able to provide a continuous index of cerebrovascular reactivity to changes in arterial pressure, which is of prognostic significance.","author":[{"dropping-particle":"","family":"Czosnyka","given":"M","non-dropping-particle":"","parse-names":false,"suffix":""},{"dropping-particle":"","family":"Smielewski","given":"P","non-dropping-particle":"","parse-names":false,"suffix":""},{"dropping-particle":"","family":"Kirkpatrick","given":"P","non-dropping-particle":"","parse-names":false,"suffix":""},{"dropping-particle":"","family":"Piechnik","given":"S","non-dropping-particle":"","parse-names":false,"suffix":""},{"dropping-particle":"","family":"Laing","given":"R","non-dropping-particle":"","parse-names":false,"suffix":""},{"dropping-particle":"","family":"Pickard","given":"J D","non-dropping-particle":"","parse-names":false,"suffix":""}],"container-title":"Acta neurochirurgica. Supplement","id":"ITEM-1","issued":{"date-parts":[["1998"]]},"page":"74-77","title":"Continuous monitoring of cerebrovascular pressure-reactivity in head injury.","type":"article-journal","volume":"71"},"uris":["http://www.mendeley.com/documents/?uuid=add6240e-fb78-42dc-b56b-5444575b1e04"]}],"mendeley":{"formattedCitation":"(5)","manualFormatting":"5","plainTextFormattedCitation":"(5)","previouslyFormattedCitation":"(5)"},"properties":{"noteIndex":0},"schema":"https://github.com/citation-style-language/schema/raw/master/csl-citation.json"}</w:instrText>
      </w:r>
      <w:r w:rsidR="00372DE7" w:rsidRPr="00372DE7">
        <w:rPr>
          <w:rFonts w:cstheme="minorHAnsi"/>
          <w:shd w:val="clear" w:color="auto" w:fill="FFFFFF"/>
          <w:vertAlign w:val="superscript"/>
        </w:rPr>
        <w:fldChar w:fldCharType="separate"/>
      </w:r>
      <w:r w:rsidR="00372DE7" w:rsidRPr="00372DE7">
        <w:rPr>
          <w:rFonts w:cstheme="minorHAnsi"/>
          <w:noProof/>
          <w:shd w:val="clear" w:color="auto" w:fill="FFFFFF"/>
          <w:vertAlign w:val="superscript"/>
        </w:rPr>
        <w:t>5</w:t>
      </w:r>
      <w:r w:rsidR="00372DE7" w:rsidRPr="00372DE7">
        <w:rPr>
          <w:rFonts w:cstheme="minorHAnsi"/>
          <w:shd w:val="clear" w:color="auto" w:fill="FFFFFF"/>
          <w:vertAlign w:val="superscript"/>
        </w:rPr>
        <w:fldChar w:fldCharType="end"/>
      </w:r>
      <w:r w:rsidRPr="00A636C0">
        <w:rPr>
          <w:rFonts w:cstheme="minorHAnsi"/>
          <w:shd w:val="clear" w:color="auto" w:fill="FFFFFF"/>
        </w:rPr>
        <w:t xml:space="preserve"> is based on the correlation between slow-wave fluctuations </w:t>
      </w:r>
      <w:r w:rsidR="00372DE7">
        <w:rPr>
          <w:rFonts w:cstheme="minorHAnsi"/>
          <w:shd w:val="clear" w:color="auto" w:fill="FFFFFF"/>
        </w:rPr>
        <w:t>of</w:t>
      </w:r>
      <w:r w:rsidRPr="00A636C0">
        <w:rPr>
          <w:rFonts w:cstheme="minorHAnsi"/>
          <w:shd w:val="clear" w:color="auto" w:fill="FFFFFF"/>
        </w:rPr>
        <w:t xml:space="preserve"> ICP (surrogate of C</w:t>
      </w:r>
      <w:r w:rsidR="00372DE7">
        <w:rPr>
          <w:rFonts w:cstheme="minorHAnsi"/>
          <w:shd w:val="clear" w:color="auto" w:fill="FFFFFF"/>
        </w:rPr>
        <w:t>a</w:t>
      </w:r>
      <w:r w:rsidRPr="00A636C0">
        <w:rPr>
          <w:rFonts w:cstheme="minorHAnsi"/>
          <w:shd w:val="clear" w:color="auto" w:fill="FFFFFF"/>
        </w:rPr>
        <w:t xml:space="preserve">BV) and </w:t>
      </w:r>
      <w:r w:rsidR="00372DE7">
        <w:rPr>
          <w:rFonts w:cstheme="minorHAnsi"/>
          <w:shd w:val="clear" w:color="auto" w:fill="FFFFFF"/>
        </w:rPr>
        <w:t>mean ABP</w:t>
      </w:r>
      <w:r w:rsidRPr="00A636C0">
        <w:rPr>
          <w:rFonts w:cstheme="minorHAnsi"/>
          <w:shd w:val="clear" w:color="auto" w:fill="FFFFFF"/>
        </w:rPr>
        <w:t xml:space="preserve">. In (TBI), PRx has </w:t>
      </w:r>
      <w:r w:rsidR="00372DE7">
        <w:rPr>
          <w:rFonts w:cstheme="minorHAnsi"/>
          <w:shd w:val="clear" w:color="auto" w:fill="FFFFFF"/>
        </w:rPr>
        <w:t>demonstrated</w:t>
      </w:r>
      <w:r w:rsidRPr="00A636C0">
        <w:rPr>
          <w:rFonts w:cstheme="minorHAnsi"/>
          <w:shd w:val="clear" w:color="auto" w:fill="FFFFFF"/>
        </w:rPr>
        <w:t xml:space="preserve"> a strong association with global outcome</w:t>
      </w:r>
      <w:r w:rsidR="00372DE7" w:rsidRPr="00372DE7">
        <w:rPr>
          <w:rFonts w:cstheme="minorHAnsi"/>
          <w:shd w:val="clear" w:color="auto" w:fill="FFFFFF"/>
          <w:vertAlign w:val="superscript"/>
        </w:rPr>
        <w:fldChar w:fldCharType="begin" w:fldLock="1"/>
      </w:r>
      <w:r w:rsidR="00372DE7">
        <w:rPr>
          <w:rFonts w:cstheme="minorHAnsi"/>
          <w:shd w:val="clear" w:color="auto" w:fill="FFFFFF"/>
          <w:vertAlign w:val="superscript"/>
        </w:rPr>
        <w:instrText>ADDIN CSL_CITATION {"citationItems":[{"id":"ITEM-1","itemData":{"DOI":"10.1007/s12028-011-9630-8","ISBN":"1202801196","ISSN":"15416933","PMID":"21964774","abstract":"INTRODUCTION: Pressure-reactivity index (PRx) is a useful tool in brain monitoring of trauma patients, but the question remains about its critical values. Using our TBI database, we identified the thresholds for PRx and other monitored parameters that maximize the statistical difference between death/survival and favorable/unfavorable outcomes. We also investigated how these thresholds depend on clinical factors such as age, gender and initial GCS. METHODS: A total of 459 patients from our database were eligible. Tables of 2 × 2 format were created grouping patients according to survival/death or favorable/unfavorable outcomes and varying thresholds for PRx, ICP and CPP. Pearson's chi square was calculated, and the thresholds returning the highest score were assumed to have the best discriminative value. The same procedure was repeated after division according to clinical factors. RESULTS: In all patients, we found that PRx had different thresholds for survival (0.25) and for favorable outcome (0.05). Thresholds of 70 mmHg for CPP and 22 mmHg for ICP were identified for both survival and favorable outcomes. The ICP threshold for favorable outcome was lower (18 mmHg) in females and patients older than 55 years. In logistic regression models, independent variables associating with mortality and unfavorable outcome were age, GCS, ICP and PRx. CONCLUSION: The prognostic role of PRx is confirmed but with a lower threshold of 0.05 for favorable outcome than for survival (0.25). Results for ICP are in line with current guidelines. However, the lower value in elderly and in females suggests increased vulnerability to intracranial hypertension in these groups.","author":[{"dropping-particle":"","family":"Sorrentino","given":"E.","non-dropping-particle":"","parse-names":false,"suffix":""},{"dropping-particle":"","family":"Diedler","given":"J.","non-dropping-particle":"","parse-names":false,"suffix":""},{"dropping-particle":"","family":"Kasprowicz","given":"M.","non-dropping-particle":"","parse-names":false,"suffix":""},{"dropping-particle":"","family":"Budohoski","given":"K. P.","non-dropping-particle":"","parse-names":false,"suffix":""},{"dropping-particle":"","family":"Haubrich","given":"C.","non-dropping-particle":"","parse-names":false,"suffix":""},{"dropping-particle":"","family":"Smielewski","given":"P.","non-dropping-particle":"","parse-names":false,"suffix":""},{"dropping-particle":"","family":"Outtrim","given":"J. G.","non-dropping-particle":"","parse-names":false,"suffix":""},{"dropping-particle":"","family":"Manktelow","given":"A.","non-dropping-particle":"","parse-names":false,"suffix":""},{"dropping-particle":"","family":"Hutchinson","given":"P. J.","non-dropping-particle":"","parse-names":false,"suffix":""},{"dropping-particle":"","family":"Pickard","given":"J. D.","non-dropping-particle":"","parse-names":false,"suffix":""},{"dropping-particle":"","family":"Menon","given":"D. K.","non-dropping-particle":"","parse-names":false,"suffix":""},{"dropping-particle":"","family":"Czosnyka","given":"M.","non-dropping-particle":"","parse-names":false,"suffix":""}],"container-title":"Neurocritical Care","id":"ITEM-1","issue":"2","issued":{"date-parts":[["2012"]]},"page":"258-266","title":"Critical thresholds for cerebrovascular reactivity after traumatic brain injury","type":"article-journal","volume":"16"},"uris":["http://www.mendeley.com/documents/?uuid=bfb95e51-2868-49be-b501-442f947f15ab"]}],"mendeley":{"formattedCitation":"(35)","manualFormatting":"35","plainTextFormattedCitation":"(35)","previouslyFormattedCitation":"(35)"},"properties":{"noteIndex":0},"schema":"https://github.com/citation-style-language/schema/raw/master/csl-citation.json"}</w:instrText>
      </w:r>
      <w:r w:rsidR="00372DE7" w:rsidRPr="00372DE7">
        <w:rPr>
          <w:rFonts w:cstheme="minorHAnsi"/>
          <w:shd w:val="clear" w:color="auto" w:fill="FFFFFF"/>
          <w:vertAlign w:val="superscript"/>
        </w:rPr>
        <w:fldChar w:fldCharType="separate"/>
      </w:r>
      <w:r w:rsidR="00372DE7" w:rsidRPr="00372DE7">
        <w:rPr>
          <w:rFonts w:cstheme="minorHAnsi"/>
          <w:noProof/>
          <w:shd w:val="clear" w:color="auto" w:fill="FFFFFF"/>
          <w:vertAlign w:val="superscript"/>
        </w:rPr>
        <w:t>35</w:t>
      </w:r>
      <w:r w:rsidR="00372DE7" w:rsidRPr="00372DE7">
        <w:rPr>
          <w:rFonts w:cstheme="minorHAnsi"/>
          <w:shd w:val="clear" w:color="auto" w:fill="FFFFFF"/>
          <w:vertAlign w:val="superscript"/>
        </w:rPr>
        <w:fldChar w:fldCharType="end"/>
      </w:r>
      <w:r w:rsidR="00372DE7">
        <w:rPr>
          <w:rFonts w:cstheme="minorHAnsi"/>
          <w:shd w:val="clear" w:color="auto" w:fill="FFFFFF"/>
          <w:vertAlign w:val="superscript"/>
        </w:rPr>
        <w:t xml:space="preserve"> </w:t>
      </w:r>
      <w:r w:rsidRPr="00A636C0">
        <w:rPr>
          <w:rFonts w:cstheme="minorHAnsi"/>
          <w:shd w:val="clear" w:color="auto" w:fill="FFFFFF"/>
        </w:rPr>
        <w:t xml:space="preserve">and has been validated as a measure of the </w:t>
      </w:r>
      <w:r w:rsidR="00372DE7">
        <w:rPr>
          <w:rFonts w:cstheme="minorHAnsi"/>
          <w:shd w:val="clear" w:color="auto" w:fill="FFFFFF"/>
        </w:rPr>
        <w:t>lower limit of autoregulation</w:t>
      </w:r>
      <w:r w:rsidRPr="00A636C0">
        <w:rPr>
          <w:rFonts w:cstheme="minorHAnsi"/>
          <w:shd w:val="clear" w:color="auto" w:fill="FFFFFF"/>
        </w:rPr>
        <w:t xml:space="preserve"> in experimental </w:t>
      </w:r>
      <w:r w:rsidRPr="00A636C0">
        <w:rPr>
          <w:rFonts w:cstheme="minorHAnsi"/>
          <w:shd w:val="clear" w:color="auto" w:fill="FFFFFF"/>
        </w:rPr>
        <w:lastRenderedPageBreak/>
        <w:t>models</w:t>
      </w:r>
      <w:r w:rsidR="00372DE7" w:rsidRPr="00372DE7">
        <w:rPr>
          <w:rFonts w:cstheme="minorHAnsi"/>
          <w:shd w:val="clear" w:color="auto" w:fill="FFFFFF"/>
          <w:vertAlign w:val="superscript"/>
        </w:rPr>
        <w:fldChar w:fldCharType="begin" w:fldLock="1"/>
      </w:r>
      <w:r w:rsidR="003A48F6">
        <w:rPr>
          <w:rFonts w:cstheme="minorHAnsi"/>
          <w:shd w:val="clear" w:color="auto" w:fill="FFFFFF"/>
          <w:vertAlign w:val="superscript"/>
        </w:rPr>
        <w:instrText>ADDIN CSL_CITATION {"citationItems":[{"id":"ITEM-1","itemData":{"DOI":"10.1161/STROKEAHA.108.514877","ISBN":"1524-4628 (Electronic)\\r0039-2499 (Linking)","ISSN":"15244628","PMID":"18669896","abstract":"BACKGROUND AND PURPOSE Clinical application of continuous autoregulation monitoring would benefit from a comparison of curves generated by online monitoring with standard autoregulation curves in animal models. We characterized the accuracy of 3 continuous monitors of autoregulation in a piglet model of hypotension. METHODS Piglets 5 to10 days old with intracranial pressure (ICP) at naïve or elevated (20 mm Hg) levels had gradual arterial hypotension induced by a balloon catheter in the inferior vena cava. Elevated ICP was maintained by a continuous infusion of artificial cerebrospinal fluid. Three indices of autoregulation were simultaneously and continuously calculated. A moving, linear Pearson's coefficient between spontaneous slow waves of cerebral perfusion pressure and slow waves of laser-Doppler flux or cortical oxygenation rendered the laser-Doppler index and cerebral-oximetry index, respectively. Similar correlation between slow waves of arterial blood pressure and ICP rendered the pressure-reactivity index. The lower limit of autoregulation was determined directly for each animal by plotting laser-Doppler cortical red blood cell flux as a function of cerebral perfusion pressure. Receiver-operator characteristics were determined for the 3 indices. RESULTS The areas under the receiver-operator characteristics curves for discriminating the individual lower limit of autoregulation at low and high ICP were 0.89 and 0.85 for the laser-Doppler index, 0.89 and 0.84 for the cerebral-oximetry index, and 0.79 and 0.79 for the pressure-reactivity index. The pressure-reactivity index performed equally well at low and high ICPs. CONCLUSIONS Continuous monitoring of autoregulation by spontaneous slow waves of cerebral perfusion pressure can accurately detect loss of autoregulation due to hypotension in piglets by all 3 modalities.","author":[{"dropping-particle":"","family":"Brady","given":"Ken M.","non-dropping-particle":"","parse-names":false,"suffix":""},{"dropping-particle":"","family":"Lee","given":"Jennifer K.","non-dropping-particle":"","parse-names":false,"suffix":""},{"dropping-particle":"","family":"Kibler","given":"Kathleen K.","non-dropping-particle":"","parse-names":false,"suffix":""},{"dropping-particle":"","family":"Easley","given":"R. Blaine","non-dropping-particle":"","parse-names":false,"suffix":""},{"dropping-particle":"","family":"Koehler","given":"Raymond C.","non-dropping-particle":"","parse-names":false,"suffix":""},{"dropping-particle":"","family":"Shaffner","given":"Donald H.","non-dropping-particle":"","parse-names":false,"suffix":""}],"container-title":"Stroke; a journal of cerebral circulation","id":"ITEM-1","issued":{"date-parts":[["2008"]]},"title":"Continuous measurement of autoregulation by spontaneous fluctuations in cerebral perfusion pressure: comparison of 3 methods.","type":"article-journal"},"uris":["http://www.mendeley.com/documents/?uuid=84555bda-180e-4c73-a2ec-6ffe84ebb1d0"]},{"id":"ITEM-2","itemData":{"DOI":"10.1089/neu.2017.5472","ISSN":"15579042","PMID":"29241396","abstract":"© Copyright 2018, Mary Ann Liebert, Inc. The aim of the study was to compare intracranial pressure (ICP)-derived cerebrovascular reactivity indices in their ability to predict six-month outcome, and to determine/compare critical thresholds related to outcome for each index in adult noncraniectomized traumatic brain injury (TBI). Using a retrospective cohort of nondecompressive craniectomy (non-DC) patients with TBI, we performed univariate and multi-variate binary logistic regression outcome analysis of: pressure reactivity index (PRx), pulse amplitude index (PAx), and a newly described index (RAC) calculated as the regression coefficient between ICP waveform amplitude and cerebral perfusion pressure (CPP). Finally, we performed sequential chi-square threshold analysis for each index as it related to six-month binary outcomes. Outcome was assessed via dichotomized Glasgow Outcome Scores (GOS): (A) favorable (GOS 4 or 5) versus unfavorable (GOS 3 or less), (B) alive versus dead. There were 358 non-DC patients with TBI included in all aspects of the analysis. In an analysis of the entire recording period for all patients using univariate binary logistic regression, the areas under the curves (AUCs) for favorable versus unfavorable outcome were: PRx (0.573, p  &lt;  0.0001), PAx (0.606, p  &lt;  0.0001), and RAC (0.655, p  &lt;  0.0001). Similarly, the AUCs for alive versus dead outcome were: PRx (0.651, p  &lt;  0.0001), PAx (0.705, p  &lt;  0.0001), and RAC (0.722, p  &lt;  0.0001). RAC displayed superior AUC statistics compared with PRx and PAx, using both univariate and multi-variate regression. RAC displayed more stable critical thresholds related to six-month outcomes. Thresholds for both favorable versus unfavorable and alive versus dead outcomes for PRx, PAx, and RAC across the entire recording period were: +0.35 and +0.35, 0 and +0.25, -0.10 and -0.05, respectively. In non-DC patients with TBI, RAC appears to be superior to PRx and PAx in six-month outcome prediction, using both univariate and multi-variate logistic regression. Further, RAC displayed more stable critical thresholds associa ted with binary outcomes at six months. Further analysis of RAC in TBI is required.","author":[{"dropping-particle":"","family":"Zeiler","given":"F.A.","non-dropping-particle":"","parse-names":false,"suffix":""},{"dropping-particle":"","family":"Donnelly","given":"J.","non-dropping-particle":"","parse-names":false,"suffix":""},{"dropping-particle":"","family":"Smielewski","given":"P.","non-dropping-particle":"","parse-names":false,"suffix":""},{"dropping-particle":"","family":"Menon","given":"D.K.","non-dropping-particle":"","parse-names":false,"suffix":""},{"dropping-particle":"","family":"Hutchinson","given":"P.J.","non-dropping-particle":"","parse-names":false,"suffix":""},{"dropping-particle":"","family":"Czosnyka","given":"M.","non-dropping-particle":"","parse-names":false,"suffix":""}],"container-title":"Journal of Neurotrauma","id":"ITEM-2","issued":{"date-parts":[["2018"]]},"title":"Critical Thresholds of Intracranial Pressure-Derived Continuous Cerebrovascular Reactivity Indices for Outcome Prediction in Noncraniectomized Patients with Traumatic Brain Injury","type":"article-journal"},"uris":["http://www.mendeley.com/documents/?uuid=28847db2-5179-44bd-9d71-42ad569a2d90"]}],"mendeley":{"formattedCitation":"(36,37)","manualFormatting":"36,37","plainTextFormattedCitation":"(36,37)","previouslyFormattedCitation":"(36,37)"},"properties":{"noteIndex":0},"schema":"https://github.com/citation-style-language/schema/raw/master/csl-citation.json"}</w:instrText>
      </w:r>
      <w:r w:rsidR="00372DE7" w:rsidRPr="00372DE7">
        <w:rPr>
          <w:rFonts w:cstheme="minorHAnsi"/>
          <w:shd w:val="clear" w:color="auto" w:fill="FFFFFF"/>
          <w:vertAlign w:val="superscript"/>
        </w:rPr>
        <w:fldChar w:fldCharType="separate"/>
      </w:r>
      <w:r w:rsidR="00372DE7" w:rsidRPr="00372DE7">
        <w:rPr>
          <w:rFonts w:cstheme="minorHAnsi"/>
          <w:noProof/>
          <w:shd w:val="clear" w:color="auto" w:fill="FFFFFF"/>
          <w:vertAlign w:val="superscript"/>
        </w:rPr>
        <w:t>36,37</w:t>
      </w:r>
      <w:r w:rsidR="00372DE7" w:rsidRPr="00372DE7">
        <w:rPr>
          <w:rFonts w:cstheme="minorHAnsi"/>
          <w:shd w:val="clear" w:color="auto" w:fill="FFFFFF"/>
          <w:vertAlign w:val="superscript"/>
        </w:rPr>
        <w:fldChar w:fldCharType="end"/>
      </w:r>
      <w:r w:rsidR="00372DE7">
        <w:rPr>
          <w:rFonts w:cstheme="minorHAnsi"/>
          <w:shd w:val="clear" w:color="auto" w:fill="FFFFFF"/>
        </w:rPr>
        <w:t>.</w:t>
      </w:r>
      <w:r w:rsidRPr="00A636C0">
        <w:rPr>
          <w:rFonts w:cstheme="minorHAnsi"/>
          <w:shd w:val="clear" w:color="auto" w:fill="FFFFFF"/>
        </w:rPr>
        <w:t xml:space="preserve"> However, there exists the potential to further optimize our ability to continuously assess cerebrovascular reactivity. With accurate </w:t>
      </w:r>
      <w:r w:rsidR="00262AE0">
        <w:rPr>
          <w:rFonts w:cstheme="minorHAnsi"/>
          <w:shd w:val="clear" w:color="auto" w:fill="FFFFFF"/>
        </w:rPr>
        <w:t xml:space="preserve">pulsatile </w:t>
      </w:r>
      <w:r w:rsidRPr="00A636C0">
        <w:rPr>
          <w:rFonts w:cstheme="minorHAnsi"/>
          <w:shd w:val="clear" w:color="auto" w:fill="FFFFFF"/>
        </w:rPr>
        <w:t>C</w:t>
      </w:r>
      <w:r w:rsidR="00372DE7">
        <w:rPr>
          <w:rFonts w:cstheme="minorHAnsi"/>
          <w:shd w:val="clear" w:color="auto" w:fill="FFFFFF"/>
        </w:rPr>
        <w:t>a</w:t>
      </w:r>
      <w:r w:rsidRPr="00A636C0">
        <w:rPr>
          <w:rFonts w:cstheme="minorHAnsi"/>
          <w:shd w:val="clear" w:color="auto" w:fill="FFFFFF"/>
        </w:rPr>
        <w:t xml:space="preserve">BV estimation, instead of evaluating a surrogate measure of </w:t>
      </w:r>
      <w:r w:rsidR="00262AE0">
        <w:rPr>
          <w:rFonts w:cstheme="minorHAnsi"/>
          <w:shd w:val="clear" w:color="auto" w:fill="FFFFFF"/>
        </w:rPr>
        <w:t>Δ</w:t>
      </w:r>
      <w:r w:rsidRPr="00A636C0">
        <w:rPr>
          <w:rFonts w:cstheme="minorHAnsi"/>
          <w:shd w:val="clear" w:color="auto" w:fill="FFFFFF"/>
        </w:rPr>
        <w:t>C</w:t>
      </w:r>
      <w:r w:rsidR="00372DE7">
        <w:rPr>
          <w:rFonts w:cstheme="minorHAnsi"/>
          <w:shd w:val="clear" w:color="auto" w:fill="FFFFFF"/>
        </w:rPr>
        <w:t>a</w:t>
      </w:r>
      <w:r w:rsidRPr="00A636C0">
        <w:rPr>
          <w:rFonts w:cstheme="minorHAnsi"/>
          <w:shd w:val="clear" w:color="auto" w:fill="FFFFFF"/>
        </w:rPr>
        <w:t>BV, such as ICP, we can evaluate more directly vasogenic slow-wave fluctuations in C</w:t>
      </w:r>
      <w:r w:rsidR="00372DE7">
        <w:rPr>
          <w:rFonts w:cstheme="minorHAnsi"/>
          <w:shd w:val="clear" w:color="auto" w:fill="FFFFFF"/>
        </w:rPr>
        <w:t>a</w:t>
      </w:r>
      <w:r w:rsidRPr="00A636C0">
        <w:rPr>
          <w:rFonts w:cstheme="minorHAnsi"/>
          <w:shd w:val="clear" w:color="auto" w:fill="FFFFFF"/>
        </w:rPr>
        <w:t xml:space="preserve">BV and their association with either </w:t>
      </w:r>
      <w:r w:rsidR="00372DE7">
        <w:rPr>
          <w:rFonts w:cstheme="minorHAnsi"/>
          <w:shd w:val="clear" w:color="auto" w:fill="FFFFFF"/>
        </w:rPr>
        <w:t>ABP</w:t>
      </w:r>
      <w:r w:rsidRPr="00A636C0">
        <w:rPr>
          <w:rFonts w:cstheme="minorHAnsi"/>
          <w:shd w:val="clear" w:color="auto" w:fill="FFFFFF"/>
        </w:rPr>
        <w:t xml:space="preserve"> or CPP.  Such measures may prove superior to existing measure</w:t>
      </w:r>
      <w:r w:rsidR="00372DE7">
        <w:rPr>
          <w:rFonts w:cstheme="minorHAnsi"/>
          <w:shd w:val="clear" w:color="auto" w:fill="FFFFFF"/>
        </w:rPr>
        <w:t>s</w:t>
      </w:r>
      <w:r w:rsidRPr="00A636C0">
        <w:rPr>
          <w:rFonts w:cstheme="minorHAnsi"/>
          <w:shd w:val="clear" w:color="auto" w:fill="FFFFFF"/>
        </w:rPr>
        <w:t xml:space="preserve"> of cerebrovascular reactivity</w:t>
      </w:r>
      <w:r w:rsidR="00372DE7">
        <w:rPr>
          <w:rFonts w:cstheme="minorHAnsi"/>
          <w:shd w:val="clear" w:color="auto" w:fill="FFFFFF"/>
        </w:rPr>
        <w:t xml:space="preserve">; </w:t>
      </w:r>
      <w:r w:rsidRPr="00A636C0">
        <w:rPr>
          <w:rFonts w:cstheme="minorHAnsi"/>
          <w:shd w:val="clear" w:color="auto" w:fill="FFFFFF"/>
        </w:rPr>
        <w:t xml:space="preserve">prior to the evaluation of such measure, one requires optimal models for </w:t>
      </w:r>
      <w:r w:rsidR="00262AE0">
        <w:rPr>
          <w:rFonts w:cstheme="minorHAnsi"/>
          <w:shd w:val="clear" w:color="auto" w:fill="FFFFFF"/>
        </w:rPr>
        <w:t>Δ</w:t>
      </w:r>
      <w:r w:rsidRPr="00A636C0">
        <w:rPr>
          <w:rFonts w:cstheme="minorHAnsi"/>
          <w:shd w:val="clear" w:color="auto" w:fill="FFFFFF"/>
        </w:rPr>
        <w:t xml:space="preserve">CBV estimation.  </w:t>
      </w:r>
    </w:p>
    <w:p w14:paraId="0FEC26E3" w14:textId="0E1D0334" w:rsidR="0040730C" w:rsidRPr="0040730C" w:rsidRDefault="00A636C0" w:rsidP="00020ABC">
      <w:pPr>
        <w:spacing w:line="480" w:lineRule="auto"/>
        <w:ind w:firstLine="720"/>
        <w:rPr>
          <w:rFonts w:cstheme="minorHAnsi"/>
          <w:shd w:val="clear" w:color="auto" w:fill="FFFFFF"/>
        </w:rPr>
      </w:pPr>
      <w:r w:rsidRPr="00A636C0">
        <w:rPr>
          <w:rFonts w:cstheme="minorHAnsi"/>
          <w:shd w:val="clear" w:color="auto" w:fill="FFFFFF"/>
        </w:rPr>
        <w:t>Finally, as both medicine and the critical care management of brain injury patients shift towards a personalized approach, the ability to accurately and continuously assess various aspects of cerebral physiology is of the utmost importance. In TBI care</w:t>
      </w:r>
      <w:r w:rsidR="00866C0A">
        <w:rPr>
          <w:rFonts w:cstheme="minorHAnsi"/>
          <w:shd w:val="clear" w:color="auto" w:fill="FFFFFF"/>
        </w:rPr>
        <w:t>,</w:t>
      </w:r>
      <w:r w:rsidRPr="00A636C0">
        <w:rPr>
          <w:rFonts w:cstheme="minorHAnsi"/>
          <w:shd w:val="clear" w:color="auto" w:fill="FFFFFF"/>
        </w:rPr>
        <w:t xml:space="preserve"> we’ve seen the emergence of literature on both individualized CPP</w:t>
      </w:r>
      <w:r w:rsidR="003A48F6" w:rsidRPr="003A48F6">
        <w:rPr>
          <w:rFonts w:cstheme="minorHAnsi"/>
          <w:shd w:val="clear" w:color="auto" w:fill="FFFFFF"/>
          <w:vertAlign w:val="superscript"/>
        </w:rPr>
        <w:fldChar w:fldCharType="begin" w:fldLock="1"/>
      </w:r>
      <w:r w:rsidR="003A48F6">
        <w:rPr>
          <w:rFonts w:cstheme="minorHAnsi"/>
          <w:shd w:val="clear" w:color="auto" w:fill="FFFFFF"/>
          <w:vertAlign w:val="superscript"/>
        </w:rPr>
        <w:instrText>ADDIN CSL_CITATION {"citationItems":[{"id":"ITEM-1","itemData":{"DOI":"10.1161/01.CIR.0000031798.07790.FE","ISBN":"0000031798","ISSN":"0090-3493","PMID":"11940737","abstract":"Supported, in part, by the Technology Foresight Challenge Fund (Grant FCA 234/95) and by a Medical Research Council Program Grant (MRC G9439390). LAS is supported by grants from the Swiss National Science Foundation, the Margarete und Walter Lichtenstein-Stiftung ( ...","author":[{"dropping-particle":"","family":"Steiner","given":"L A","non-dropping-particle":"","parse-names":false,"suffix":""},{"dropping-particle":"","family":"Czosnyka","given":"M","non-dropping-particle":"","parse-names":false,"suffix":""},{"dropping-particle":"","family":"Piechnik","given":"S K","non-dropping-particle":"","parse-names":false,"suffix":""}],"container-title":"Critical Care","id":"ITEM-1","issued":{"date-parts":[["2002"]]},"title":"Continuous monitoring of cerebrovascular pressure reactivity allows determination of optimal cerebral perfusion pressure in patients with traumatic brain injury","type":"article-journal"},"uris":["http://www.mendeley.com/documents/?uuid=8c55a74b-ba2a-4d6f-83ec-ea1ff513c532"]},{"id":"ITEM-2","itemData":{"DOI":"10.1097/CCM.0b013e3182514eb6","ISBN":"0090-3493","ISSN":"00903493","PMID":"22622398","abstract":"We have sought to develop an automated methodology for the continuous updating of optimal cerebral perfusion pressure (CPPopt) for patients after severe traumatic head injury, using continuous monitoring of cerebrovascular pressure reactivity. We then validated the CPPopt algorithm by determining the association between outcome and the deviation of actual CPP from CPPopt.","author":[{"dropping-particle":"","family":"Aries","given":"Marcel J.H.","non-dropping-particle":"","parse-names":false,"suffix":""},{"dropping-particle":"","family":"Czosnyka","given":"Marek","non-dropping-particle":"","parse-names":false,"suffix":""},{"dropping-particle":"","family":"Budohoski","given":"Karol P.","non-dropping-particle":"","parse-names":false,"suffix":""},{"dropping-particle":"","family":"Steiner","given":"Luzius A.","non-dropping-particle":"","parse-names":false,"suffix":""},{"dropping-particle":"","family":"Lavinio","given":"Andrea","non-dropping-particle":"","parse-names":false,"suffix":""},{"dropping-particle":"","family":"Kolias","given":"Angelos G.","non-dropping-particle":"","parse-names":false,"suffix":""},{"dropping-particle":"","family":"Hutchinson","given":"Peter J.","non-dropping-particle":"","parse-names":false,"suffix":""},{"dropping-particle":"","family":"Brady","given":"Ken M.","non-dropping-particle":"","parse-names":false,"suffix":""},{"dropping-particle":"","family":"Menon","given":"David K.","non-dropping-particle":"","parse-names":false,"suffix":""},{"dropping-particle":"","family":"Pickard","given":"John D.","non-dropping-particle":"","parse-names":false,"suffix":""},{"dropping-particle":"","family":"Smielewski","given":"Peter","non-dropping-particle":"","parse-names":false,"suffix":""}],"container-title":"Critical Care Medicine","id":"ITEM-2","issued":{"date-parts":[["2012"]]},"title":"Continuous determination of optimal cerebral perfusion pressure in traumatic brain injury","type":"article-journal"},"uris":["http://www.mendeley.com/documents/?uuid=36d8a5b4-b325-4585-88da-9b2cdfb8cb0b"]},{"id":"ITEM-3","itemData":{"DOI":"10.1089/neu.2016.4450","ISSN":"0897-7151","author":[{"dropping-particle":"","family":"Needham","given":"Edward","non-dropping-particle":"","parse-names":false,"suffix":""},{"dropping-particle":"","family":"McFadyen","given":"Charles","non-dropping-particle":"","parse-names":false,"suffix":""},{"dropping-particle":"","family":"Newcombe","given":"Virginia","non-dropping-particle":"","parse-names":false,"suffix":""},{"dropping-particle":"","family":"Synnot","given":"Anneliese J.","non-dropping-particle":"","parse-names":false,"suffix":""},{"dropping-particle":"","family":"Czosnyka","given":"Marek","non-dropping-particle":"","parse-names":false,"suffix":""},{"dropping-particle":"","family":"Menon","given":"David","non-dropping-particle":"","parse-names":false,"suffix":""}],"container-title":"Journal of Neurotrauma","id":"ITEM-3","issued":{"date-parts":[["2017"]]},"title":"Cerebral Perfusion Pressure Targets Individualized to Pressure-Reactivity Index in Moderate to Severe Traumatic Brain Injury: A Systematic Review","type":"article-journal"},"uris":["http://www.mendeley.com/documents/?uuid=72f4334d-f5d5-353d-91f1-bd06d7523f2f"]}],"mendeley":{"formattedCitation":"(38–40)","manualFormatting":"38–40","plainTextFormattedCitation":"(38–40)","previouslyFormattedCitation":"(38–40)"},"properties":{"noteIndex":0},"schema":"https://github.com/citation-style-language/schema/raw/master/csl-citation.json"}</w:instrText>
      </w:r>
      <w:r w:rsidR="003A48F6" w:rsidRPr="003A48F6">
        <w:rPr>
          <w:rFonts w:cstheme="minorHAnsi"/>
          <w:shd w:val="clear" w:color="auto" w:fill="FFFFFF"/>
          <w:vertAlign w:val="superscript"/>
        </w:rPr>
        <w:fldChar w:fldCharType="separate"/>
      </w:r>
      <w:r w:rsidR="003A48F6" w:rsidRPr="003A48F6">
        <w:rPr>
          <w:rFonts w:cstheme="minorHAnsi"/>
          <w:noProof/>
          <w:shd w:val="clear" w:color="auto" w:fill="FFFFFF"/>
          <w:vertAlign w:val="superscript"/>
        </w:rPr>
        <w:t>38–40</w:t>
      </w:r>
      <w:r w:rsidR="003A48F6" w:rsidRPr="003A48F6">
        <w:rPr>
          <w:rFonts w:cstheme="minorHAnsi"/>
          <w:shd w:val="clear" w:color="auto" w:fill="FFFFFF"/>
          <w:vertAlign w:val="superscript"/>
        </w:rPr>
        <w:fldChar w:fldCharType="end"/>
      </w:r>
      <w:r w:rsidRPr="003A48F6">
        <w:rPr>
          <w:rFonts w:cstheme="minorHAnsi"/>
          <w:shd w:val="clear" w:color="auto" w:fill="FFFFFF"/>
          <w:vertAlign w:val="superscript"/>
        </w:rPr>
        <w:t xml:space="preserve"> </w:t>
      </w:r>
      <w:r w:rsidRPr="00A636C0">
        <w:rPr>
          <w:rFonts w:cstheme="minorHAnsi"/>
          <w:shd w:val="clear" w:color="auto" w:fill="FFFFFF"/>
        </w:rPr>
        <w:t>and ICP</w:t>
      </w:r>
      <w:r w:rsidR="003A48F6" w:rsidRPr="003A48F6">
        <w:rPr>
          <w:rFonts w:cstheme="minorHAnsi"/>
          <w:shd w:val="clear" w:color="auto" w:fill="FFFFFF"/>
          <w:vertAlign w:val="superscript"/>
        </w:rPr>
        <w:fldChar w:fldCharType="begin" w:fldLock="1"/>
      </w:r>
      <w:r w:rsidR="00B609E4">
        <w:rPr>
          <w:rFonts w:cstheme="minorHAnsi"/>
          <w:shd w:val="clear" w:color="auto" w:fill="FFFFFF"/>
          <w:vertAlign w:val="superscript"/>
        </w:rPr>
        <w:instrText>ADDIN CSL_CITATION {"citationItems":[{"id":"ITEM-1","itemData":{"DOI":"10.3171/2014.1.JNS131292","ISSN":"0022-3085","PMID":"24506248","abstract":"OBJECT: Based on continuous monitoring of the pressure reactivity index (PRx), the authors defined individualized intracranial pressure (ICP) thresholds by graphing the relationship between ICP and PRx. These investigators hypothesized that an \"ICP dose\" based on individually assessed ICP thresholds would correlate more closely with the 6-month outcome when compared with ICP doses derived by the recommended universal thresholds of 20 and 25 mm Hg. METHODS: This study was a retrospective analysis of prospectively collected data from 327 patients with severe traumatic brain injury. RESULTS: Individualized thresholds were visually identified from graphs of PRx versus ICP; PRx &gt; 0.2 was the cutoff. Intracranial pressure doses were then computed as the cumulative area under the curve above the defined thresholds in graphing ICP versus time. The term \"Dose 20\" (D20) was used to refer to an ICP threshold of 20 mm Hg; the markers D25 and DPRx were calculated similarly. Separate logistic regression models were fit with death as the outcome and each dose as the predictor, both alone and adjusted for covariates. The discriminative ability of each dose for mortality was assessed by receiver operating characteristic AUC analysis in which 5-fold cross-validation was used. A clearly identifiable PRx-based threshold was possible in 224 patients (68%). The DPRx (AUC 0.81, 95% CI 0.74-0.87) was found to have the highest area under the curve (AUC) over both D20 (0.75, 95% CI 0.68-0.81) and D25 (0.77, 95% CI 0.70-0.83); in the cross-validation model, DPRx remained the best discriminator of mortality (DPRx: AUC 0.77 [95% CI 0.68-0.89]; D20: 0.72 [95% CI 0.66-0.81]; and D25: 0.65 [95% CI 0.56-0.73]). CONCLUSIONS: The authors explored the importance of different ICP thresholds for outcome by calculating patient-specific ICP doses based on the continuous monitoring of cerebrovascular pressure reactivity. They found that these individualized doses of intracranial hypertension were stronger predictors of death than doses derived from the universal thresholds of 20 and 25 mm Hg. The PRx could offer a method that can be directed toward individualizing the ICP threshold.","author":[{"dropping-particle":"","family":"Lazaridis","given":"Christos","non-dropping-particle":"","parse-names":false,"suffix":""},{"dropping-particle":"","family":"DeSantis","given":"Stacia M.","non-dropping-particle":"","parse-names":false,"suffix":""},{"dropping-particle":"","family":"Smielewski","given":"Peter","non-dropping-particle":"","parse-names":false,"suffix":""},{"dropping-particle":"","family":"Menon","given":"David K.","non-dropping-particle":"","parse-names":false,"suffix":""},{"dropping-particle":"","family":"Hutchinson","given":"Peter","non-dropping-particle":"","parse-names":false,"suffix":""},{"dropping-particle":"","family":"Pickard","given":"John D.","non-dropping-particle":"","parse-names":false,"suffix":""},{"dropping-particle":"","family":"Czosnyka","given":"Marek","non-dropping-particle":"","parse-names":false,"suffix":""}],"container-title":"Journal of Neurosurgery","id":"ITEM-1","issue":"4","issued":{"date-parts":[["2014"]]},"page":"893-900","title":"Patient-specific thresholds of intracranial pressure in severe traumatic brain injury","type":"article-journal","volume":"120"},"uris":["http://www.mendeley.com/documents/?uuid=fb95b433-0068-43da-9b79-7a45644dab9c"]}],"mendeley":{"formattedCitation":"(41)","manualFormatting":"41","plainTextFormattedCitation":"(41)","previouslyFormattedCitation":"(41)"},"properties":{"noteIndex":0},"schema":"https://github.com/citation-style-language/schema/raw/master/csl-citation.json"}</w:instrText>
      </w:r>
      <w:r w:rsidR="003A48F6" w:rsidRPr="003A48F6">
        <w:rPr>
          <w:rFonts w:cstheme="minorHAnsi"/>
          <w:shd w:val="clear" w:color="auto" w:fill="FFFFFF"/>
          <w:vertAlign w:val="superscript"/>
        </w:rPr>
        <w:fldChar w:fldCharType="separate"/>
      </w:r>
      <w:r w:rsidR="003A48F6" w:rsidRPr="003A48F6">
        <w:rPr>
          <w:rFonts w:cstheme="minorHAnsi"/>
          <w:noProof/>
          <w:shd w:val="clear" w:color="auto" w:fill="FFFFFF"/>
          <w:vertAlign w:val="superscript"/>
        </w:rPr>
        <w:t>41</w:t>
      </w:r>
      <w:r w:rsidR="003A48F6" w:rsidRPr="003A48F6">
        <w:rPr>
          <w:rFonts w:cstheme="minorHAnsi"/>
          <w:shd w:val="clear" w:color="auto" w:fill="FFFFFF"/>
          <w:vertAlign w:val="superscript"/>
        </w:rPr>
        <w:fldChar w:fldCharType="end"/>
      </w:r>
      <w:r w:rsidRPr="00A636C0">
        <w:rPr>
          <w:rFonts w:cstheme="minorHAnsi"/>
          <w:shd w:val="clear" w:color="auto" w:fill="FFFFFF"/>
        </w:rPr>
        <w:t>, based on various aspects of physiologic signal measurement, processing</w:t>
      </w:r>
      <w:r w:rsidR="003A48F6">
        <w:rPr>
          <w:rFonts w:cstheme="minorHAnsi"/>
          <w:shd w:val="clear" w:color="auto" w:fill="FFFFFF"/>
        </w:rPr>
        <w:t>,</w:t>
      </w:r>
      <w:r w:rsidRPr="00A636C0">
        <w:rPr>
          <w:rFonts w:cstheme="minorHAnsi"/>
          <w:shd w:val="clear" w:color="auto" w:fill="FFFFFF"/>
        </w:rPr>
        <w:t xml:space="preserve"> and analysis. It is unknown where continuously measured </w:t>
      </w:r>
      <w:r w:rsidR="00262AE0">
        <w:rPr>
          <w:rFonts w:cstheme="minorHAnsi"/>
          <w:shd w:val="clear" w:color="auto" w:fill="FFFFFF"/>
        </w:rPr>
        <w:t>Δ</w:t>
      </w:r>
      <w:r w:rsidRPr="00A636C0">
        <w:rPr>
          <w:rFonts w:cstheme="minorHAnsi"/>
          <w:shd w:val="clear" w:color="auto" w:fill="FFFFFF"/>
        </w:rPr>
        <w:t>C</w:t>
      </w:r>
      <w:r w:rsidR="003A48F6">
        <w:rPr>
          <w:rFonts w:cstheme="minorHAnsi"/>
          <w:shd w:val="clear" w:color="auto" w:fill="FFFFFF"/>
        </w:rPr>
        <w:t>a</w:t>
      </w:r>
      <w:r w:rsidRPr="00A636C0">
        <w:rPr>
          <w:rFonts w:cstheme="minorHAnsi"/>
          <w:shd w:val="clear" w:color="auto" w:fill="FFFFFF"/>
        </w:rPr>
        <w:t xml:space="preserve">BV or CrCP will provide additional benefit in such care.  However, it isn’t until accurate estimation of </w:t>
      </w:r>
      <w:r w:rsidR="00262AE0">
        <w:rPr>
          <w:rFonts w:cstheme="minorHAnsi"/>
          <w:shd w:val="clear" w:color="auto" w:fill="FFFFFF"/>
        </w:rPr>
        <w:t xml:space="preserve">pulsatile </w:t>
      </w:r>
      <w:r w:rsidRPr="00A636C0">
        <w:rPr>
          <w:rFonts w:cstheme="minorHAnsi"/>
          <w:shd w:val="clear" w:color="auto" w:fill="FFFFFF"/>
        </w:rPr>
        <w:t>C</w:t>
      </w:r>
      <w:r w:rsidR="003A48F6">
        <w:rPr>
          <w:rFonts w:cstheme="minorHAnsi"/>
          <w:shd w:val="clear" w:color="auto" w:fill="FFFFFF"/>
        </w:rPr>
        <w:t>a</w:t>
      </w:r>
      <w:r w:rsidRPr="00A636C0">
        <w:rPr>
          <w:rFonts w:cstheme="minorHAnsi"/>
          <w:shd w:val="clear" w:color="auto" w:fill="FFFFFF"/>
        </w:rPr>
        <w:t>BV is provided, that we can begin to evaluate any benefit toward our goal of purely individualized care.</w:t>
      </w:r>
    </w:p>
    <w:p w14:paraId="6202696E" w14:textId="77777777" w:rsidR="003A48F6" w:rsidRDefault="003A48F6" w:rsidP="00020ABC">
      <w:pPr>
        <w:spacing w:line="480" w:lineRule="auto"/>
        <w:rPr>
          <w:i/>
        </w:rPr>
      </w:pPr>
    </w:p>
    <w:p w14:paraId="58A08691" w14:textId="73A6D33B" w:rsidR="0040730C" w:rsidRPr="0040730C" w:rsidRDefault="0040730C" w:rsidP="00020ABC">
      <w:pPr>
        <w:spacing w:line="480" w:lineRule="auto"/>
        <w:rPr>
          <w:i/>
        </w:rPr>
      </w:pPr>
      <w:r w:rsidRPr="0040730C">
        <w:rPr>
          <w:i/>
        </w:rPr>
        <w:t>Limitations</w:t>
      </w:r>
    </w:p>
    <w:p w14:paraId="63B521CB" w14:textId="5DDEF550" w:rsidR="007C1EF6" w:rsidRPr="0040730C" w:rsidRDefault="0040730C" w:rsidP="00020ABC">
      <w:pPr>
        <w:spacing w:line="480" w:lineRule="auto"/>
        <w:ind w:firstLine="720"/>
        <w:rPr>
          <w:rFonts w:ascii="Calibri" w:eastAsia="Calibri" w:hAnsi="Calibri" w:cs="Times New Roman"/>
        </w:rPr>
      </w:pPr>
      <w:r>
        <w:rPr>
          <w:rFonts w:ascii="Calibri" w:eastAsia="Calibri" w:hAnsi="Calibri" w:cs="Times New Roman"/>
        </w:rPr>
        <w:t xml:space="preserve">Although a single model could be identified as the most robust estimator of </w:t>
      </w:r>
      <w:r w:rsidR="00262AE0">
        <w:rPr>
          <w:rFonts w:ascii="Calibri" w:eastAsia="Calibri" w:hAnsi="Calibri" w:cs="Times New Roman"/>
        </w:rPr>
        <w:t xml:space="preserve">pulsatile </w:t>
      </w:r>
      <w:r>
        <w:rPr>
          <w:rFonts w:ascii="Calibri" w:eastAsia="Calibri" w:hAnsi="Calibri" w:cs="Times New Roman"/>
        </w:rPr>
        <w:t>C</w:t>
      </w:r>
      <w:r w:rsidR="003051F0">
        <w:rPr>
          <w:rFonts w:ascii="Calibri" w:eastAsia="Calibri" w:hAnsi="Calibri" w:cs="Times New Roman"/>
        </w:rPr>
        <w:t>a</w:t>
      </w:r>
      <w:r>
        <w:rPr>
          <w:rFonts w:ascii="Calibri" w:eastAsia="Calibri" w:hAnsi="Calibri" w:cs="Times New Roman"/>
        </w:rPr>
        <w:t>BV changes when compared against sPI, this study provided only a correlational assessment of model efficacy.</w:t>
      </w:r>
      <w:r w:rsidR="00464BC3" w:rsidRPr="00464BC3">
        <w:t xml:space="preserve"> </w:t>
      </w:r>
      <w:r w:rsidR="00464BC3">
        <w:t xml:space="preserve">Additionally, our proposed model requires </w:t>
      </w:r>
      <w:r w:rsidR="00464BC3" w:rsidRPr="00464BC3">
        <w:rPr>
          <w:rFonts w:ascii="Calibri" w:eastAsia="Calibri" w:hAnsi="Calibri" w:cs="Times New Roman"/>
        </w:rPr>
        <w:t>numerical integration over sampled signals</w:t>
      </w:r>
      <w:r w:rsidR="00464BC3">
        <w:rPr>
          <w:rFonts w:ascii="Calibri" w:eastAsia="Calibri" w:hAnsi="Calibri" w:cs="Times New Roman"/>
        </w:rPr>
        <w:t>;</w:t>
      </w:r>
      <w:r w:rsidR="00464BC3" w:rsidRPr="00464BC3">
        <w:rPr>
          <w:rFonts w:ascii="Calibri" w:eastAsia="Calibri" w:hAnsi="Calibri" w:cs="Times New Roman"/>
        </w:rPr>
        <w:t xml:space="preserve"> </w:t>
      </w:r>
      <w:r w:rsidR="00464BC3">
        <w:rPr>
          <w:rFonts w:ascii="Calibri" w:eastAsia="Calibri" w:hAnsi="Calibri" w:cs="Times New Roman"/>
        </w:rPr>
        <w:t>th</w:t>
      </w:r>
      <w:r w:rsidR="00464BC3" w:rsidRPr="00464BC3">
        <w:rPr>
          <w:rFonts w:ascii="Calibri" w:eastAsia="Calibri" w:hAnsi="Calibri" w:cs="Times New Roman"/>
        </w:rPr>
        <w:t>is process is prone to errors due to noise</w:t>
      </w:r>
      <w:r w:rsidR="00464BC3">
        <w:rPr>
          <w:rFonts w:ascii="Calibri" w:eastAsia="Calibri" w:hAnsi="Calibri" w:cs="Times New Roman"/>
        </w:rPr>
        <w:t>.</w:t>
      </w:r>
      <w:r>
        <w:rPr>
          <w:rFonts w:ascii="Calibri" w:eastAsia="Calibri" w:hAnsi="Calibri" w:cs="Times New Roman"/>
        </w:rPr>
        <w:t xml:space="preserve"> </w:t>
      </w:r>
      <w:r w:rsidR="007C1EF6">
        <w:t xml:space="preserve">The immediate validity of our study is limited by the common, nearly fundamental assumption that the cross-sectional area of the MCA is of a constant, yet unknown, value. </w:t>
      </w:r>
      <w:r w:rsidR="0080688C">
        <w:t>If the MCA is indeed proven variant</w:t>
      </w:r>
      <w:r w:rsidR="003A081F" w:rsidRPr="003A081F">
        <w:rPr>
          <w:vertAlign w:val="superscript"/>
        </w:rPr>
        <w:fldChar w:fldCharType="begin" w:fldLock="1"/>
      </w:r>
      <w:r w:rsidR="00B609E4">
        <w:rPr>
          <w:vertAlign w:val="superscript"/>
        </w:rPr>
        <w:instrText>ADDIN CSL_CITATION {"citationItems":[{"id":"ITEM-1","itemData":{"DOI":"10.1007/978-3-7091-0956-4-4","ISBN":"9783709109557","ISSN":"00016268","PMID":"22327658","abstract":"We have defined a novel cerebral hemodynamic index, a time constant of the cerebral arterial bed (τ), the product of arterial compliance (C a) and cerebrovascular resistance (CVR). Ca and CVR were calculated based on the relationship between pulsatile arterial blood pressure (ABP) and transcranial Doppler cerebral blood flow velocity. This new parameter theoretically estimates how fast the cerebral arterial bed is filled by blood volume after a sudden change in ABP during one cardiac cycle. We have explored this concept in 11 volunteers and in 25 patients with severe stenosis of the internal carotid artery (ICA). An additional group of 15 subjects with non-vascular dementia was studied to assess potential age dependency of τ. The τ was shorter (p = 0.011) in ICA stenosis, both unilateral (τ = 0.18 ± 0.04 s) and bilateral (τ = 0.16 ± 0.03 s), than in controls (τ = 0.22 ± 0.0 s). The τ correlated with the degree of stenosis (R =-0.62, p = 0.001). In controls, τ was independent of age. Further study during cerebrovascular reactivity tests is needed to establish the usefulness of τ for quantitative estimation of haemodynamics in cerebrovascular disease. © 2012 Springer-Verlag/Wien.","author":[{"dropping-particle":"","family":"Kasprowicz","given":"Magdalena","non-dropping-particle":"","parse-names":false,"suffix":""},{"dropping-particle":"","family":"Diedler","given":"Jennifer","non-dropping-particle":"","parse-names":false,"suffix":""},{"dropping-particle":"","family":"Reinhard","given":"Matthias","non-dropping-particle":"","parse-names":false,"suffix":""},{"dropping-particle":"","family":"Carrera","given":"Emmanuel","non-dropping-particle":"","parse-names":false,"suffix":""},{"dropping-particle":"","family":"Smielewski","given":"Peter","non-dropping-particle":"","parse-names":false,"suffix":""},{"dropping-particle":"","family":"Budohoski","given":"Karol P.","non-dropping-particle":"","parse-names":false,"suffix":""},{"dropping-particle":"","family":"Sorrentino","given":"Enrico","non-dropping-particle":"","parse-names":false,"suffix":""},{"dropping-particle":"","family":"Haubrich","given":"Christina","non-dropping-particle":"","parse-names":false,"suffix":""},{"dropping-particle":"","family":"Kirkpatrick","given":"Peter J.","non-dropping-particle":"","parse-names":false,"suffix":""},{"dropping-particle":"","family":"Pickard","given":"John D.","non-dropping-particle":"","parse-names":false,"suffix":""},{"dropping-particle":"","family":"Czosnyka","given":"Marek","non-dropping-particle":"","parse-names":false,"suffix":""}],"container-title":"Acta Neurochirurgica, Supplementum","id":"ITEM-1","issue":"114","issued":{"date-parts":[["2012"]]},"page":"17-21","title":"Time constant of the cerebral arterial bed","type":"paper-conference"},"uris":["http://www.mendeley.com/documents/?uuid=58659fbd-6a2c-48cc-b3e1-debad559f38f"]},{"id":"ITEM-2","itemData":{"DOI":"10.3171/jns.2002.96.4.0697","ISSN":"0022-3085","PMID":"11990810","abstract":"OBJECT: In this study the authors investigated the relationship between variations in the circle of Willis observed on magnetic resonance (MR) angiograms and locations of cerebral aneurysms, and evaluated the risk of aneurysm formation. METHODS: One hundred thirty-one patients with cerebral aneurysms were retrospectively selected from a series of 4518 patients who underwent MR angiography at one neurosurgical institute. Variations in the anatomy of the circle of Willis were simply classified into Type A, in which there was no visualization of a unilateral A1 segment, and Type P, in which there was a fetal type of posterior cerebral artery that was continuously delineated from the internal carotid artery (ICA) through the posterior communicating artery. All other variations in the circle of Willis were defined as Type O (ordinary type of variations). An additional 440 patients who did not harbor cerebral aneurysms were randomly selected for a comparison. Anterior communicating artery aneurysms were significantly related to the Type A anatomy and ICA aneurysms to Type P anatomy. Male patients who did not harbor aneurysms tended to have Type A anatomy, whereas women had a significantly greater incidence of Type P. CONCLUSIONS: This sex-linked difference in anatomical variations may be correlated to the well-known sex-linked difference in aneurysm distribution.","author":[{"dropping-particle":"","family":"Horikoshi","given":"Toru","non-dropping-particle":"","parse-names":false,"suffix":""},{"dropping-particle":"","family":"Akiyama","given":"Iwao","non-dropping-particle":"","parse-names":false,"suffix":""},{"dropping-particle":"","family":"Yamagata","given":"Zentaro","non-dropping-particle":"","parse-names":false,"suffix":""},{"dropping-particle":"","family":"Sugita","given":"Masao","non-dropping-particle":"","parse-names":false,"suffix":""},{"dropping-particle":"","family":"Nukui","given":"Hideaki","non-dropping-particle":"","parse-names":false,"suffix":""}],"container-title":"Journal of neurosurgery","id":"ITEM-2","issue":"4","issued":{"date-parts":[["2002"]]},"page":"697-703","title":"Magnetic resonance angiographic evidence of sex-linked variations in the circle of willis and the occurrence of cerebral aneurysms.","type":"article-journal","volume":"96"},"uris":["http://www.mendeley.com/documents/?uuid=0d2ecfc7-7ade-4f65-809f-10de1b9c9795"]}],"mendeley":{"formattedCitation":"(42,43)","manualFormatting":"42,43","plainTextFormattedCitation":"(42,43)","previouslyFormattedCitation":"(42,43)"},"properties":{"noteIndex":0},"schema":"https://github.com/citation-style-language/schema/raw/master/csl-citation.json"}</w:instrText>
      </w:r>
      <w:r w:rsidR="003A081F" w:rsidRPr="003A081F">
        <w:rPr>
          <w:vertAlign w:val="superscript"/>
        </w:rPr>
        <w:fldChar w:fldCharType="separate"/>
      </w:r>
      <w:r w:rsidR="00253F62">
        <w:rPr>
          <w:noProof/>
          <w:vertAlign w:val="superscript"/>
        </w:rPr>
        <w:t>4</w:t>
      </w:r>
      <w:r w:rsidR="00643997">
        <w:rPr>
          <w:noProof/>
          <w:vertAlign w:val="superscript"/>
        </w:rPr>
        <w:t>2</w:t>
      </w:r>
      <w:r w:rsidR="003A081F" w:rsidRPr="003A081F">
        <w:rPr>
          <w:noProof/>
          <w:vertAlign w:val="superscript"/>
        </w:rPr>
        <w:t>,</w:t>
      </w:r>
      <w:r w:rsidR="00253F62">
        <w:rPr>
          <w:noProof/>
          <w:vertAlign w:val="superscript"/>
        </w:rPr>
        <w:t>4</w:t>
      </w:r>
      <w:r w:rsidR="00643997">
        <w:rPr>
          <w:noProof/>
          <w:vertAlign w:val="superscript"/>
        </w:rPr>
        <w:t>3</w:t>
      </w:r>
      <w:r w:rsidR="003A081F" w:rsidRPr="003A081F">
        <w:rPr>
          <w:vertAlign w:val="superscript"/>
        </w:rPr>
        <w:fldChar w:fldCharType="end"/>
      </w:r>
      <w:r w:rsidR="0080688C">
        <w:t xml:space="preserve">, then our calculations </w:t>
      </w:r>
      <w:r w:rsidR="000A420A">
        <w:t xml:space="preserve">would </w:t>
      </w:r>
      <w:r w:rsidR="0080688C">
        <w:t xml:space="preserve">require reconfiguration in order to accommodate for the additional fluctuations in its tone. Our calculations would also be discounted if the </w:t>
      </w:r>
      <w:r w:rsidR="007C1EF6">
        <w:t xml:space="preserve">negligible contribution of the venous outflow to </w:t>
      </w:r>
      <w:r w:rsidR="00262AE0">
        <w:t>Δ</w:t>
      </w:r>
      <w:r w:rsidR="007C1EF6">
        <w:t>C</w:t>
      </w:r>
      <w:r w:rsidR="003051F0">
        <w:t>a</w:t>
      </w:r>
      <w:r w:rsidR="007C1EF6">
        <w:t>BV calculations</w:t>
      </w:r>
      <w:r w:rsidR="0080688C">
        <w:t xml:space="preserve"> is found to be just </w:t>
      </w:r>
      <w:r w:rsidR="0080688C">
        <w:lastRenderedPageBreak/>
        <w:t xml:space="preserve">the opposite; our current models are comprised of </w:t>
      </w:r>
      <w:r w:rsidR="008D5D22">
        <w:t>time-integrated differences between current and mean cerebral blood flow velocity that make no allowance for venous outflow during raw signal collection</w:t>
      </w:r>
      <w:r w:rsidR="0080688C">
        <w:t xml:space="preserve">. </w:t>
      </w:r>
      <w:r w:rsidR="0081303F">
        <w:t>Our statistical analysis yields</w:t>
      </w:r>
      <w:r w:rsidR="000545A7">
        <w:t xml:space="preserve"> such</w:t>
      </w:r>
      <w:r w:rsidR="0081303F">
        <w:t xml:space="preserve"> robust agreement </w:t>
      </w:r>
      <w:r w:rsidR="000545A7">
        <w:t>among the estimators largely due to their shared parameters with slight mathematical modifications.</w:t>
      </w:r>
      <w:r w:rsidR="00C22EAD">
        <w:t xml:space="preserve"> </w:t>
      </w:r>
      <w:r w:rsidR="00C22EAD">
        <w:rPr>
          <w:rFonts w:cs="Arial"/>
        </w:rPr>
        <w:t xml:space="preserve">Further, the patient cohorts selected for this study made up a fraction of the patients within our database; </w:t>
      </w:r>
      <w:r w:rsidR="00C22EAD" w:rsidRPr="00C22EAD">
        <w:rPr>
          <w:rFonts w:cs="Arial"/>
        </w:rPr>
        <w:t>these cohorts</w:t>
      </w:r>
      <w:r w:rsidR="00C22EAD">
        <w:rPr>
          <w:rFonts w:cs="Arial"/>
        </w:rPr>
        <w:t xml:space="preserve"> were specifically chosen</w:t>
      </w:r>
      <w:r w:rsidR="00C22EAD" w:rsidRPr="00C22EAD">
        <w:rPr>
          <w:rFonts w:cs="Arial"/>
        </w:rPr>
        <w:t xml:space="preserve"> because they represent physiological extremes that would test the limits of the models. Therefore, we assumed that if the models </w:t>
      </w:r>
      <w:r w:rsidR="00C22EAD">
        <w:rPr>
          <w:rFonts w:cs="Arial"/>
        </w:rPr>
        <w:t>demonstrated such significant effects in these patients</w:t>
      </w:r>
      <w:r w:rsidR="00C22EAD" w:rsidRPr="00C22EAD">
        <w:rPr>
          <w:rFonts w:cs="Arial"/>
        </w:rPr>
        <w:t xml:space="preserve">, that they should </w:t>
      </w:r>
      <w:r w:rsidR="00C22EAD">
        <w:rPr>
          <w:rFonts w:cs="Arial"/>
        </w:rPr>
        <w:t>also for the</w:t>
      </w:r>
      <w:r w:rsidR="00C22EAD" w:rsidRPr="00C22EAD">
        <w:rPr>
          <w:rFonts w:cs="Arial"/>
        </w:rPr>
        <w:t xml:space="preserve"> entire database. </w:t>
      </w:r>
      <w:r w:rsidR="000545A7" w:rsidRPr="00C12968">
        <w:rPr>
          <w:sz w:val="20"/>
        </w:rPr>
        <w:t xml:space="preserve"> </w:t>
      </w:r>
      <w:r w:rsidR="00792B8F">
        <w:t xml:space="preserve">Finally, of overwhelming significance, is the </w:t>
      </w:r>
      <w:r w:rsidR="00C318CD">
        <w:t>in</w:t>
      </w:r>
      <w:r w:rsidR="00792B8F">
        <w:t xml:space="preserve">ability of </w:t>
      </w:r>
      <w:r w:rsidR="000545A7">
        <w:t xml:space="preserve">these </w:t>
      </w:r>
      <w:r w:rsidR="00792B8F">
        <w:t>TCD</w:t>
      </w:r>
      <w:r w:rsidR="00C318CD">
        <w:t>-based parameters</w:t>
      </w:r>
      <w:r w:rsidR="00792B8F">
        <w:t xml:space="preserve"> to provide </w:t>
      </w:r>
      <w:r w:rsidR="00C318CD">
        <w:t xml:space="preserve">direct </w:t>
      </w:r>
      <w:r w:rsidR="00792B8F">
        <w:t>measurements. Despite the power of TCD as a non-invasive predictive tool, each derived parameter contingent on the TCD waveform can only be interpreted as a surrogate descriptor of cerebral hemodynamics.</w:t>
      </w:r>
      <w:r w:rsidR="00F64332">
        <w:t xml:space="preserve"> The true value of a </w:t>
      </w:r>
      <w:r w:rsidR="002A52E0">
        <w:t xml:space="preserve">TCD-based </w:t>
      </w:r>
      <w:r w:rsidR="00F64332">
        <w:t xml:space="preserve">model </w:t>
      </w:r>
      <w:r w:rsidR="00A92F34">
        <w:t>(</w:t>
      </w:r>
      <w:r w:rsidR="00F64332">
        <w:t>such as PI_C1R</w:t>
      </w:r>
      <w:r w:rsidR="005F4D03">
        <w:t>a</w:t>
      </w:r>
      <w:r w:rsidR="00F64332">
        <w:t>3</w:t>
      </w:r>
      <w:r w:rsidR="00A92F34">
        <w:t xml:space="preserve">) in the determination of </w:t>
      </w:r>
      <w:r w:rsidR="00262AE0">
        <w:t xml:space="preserve">pulsatile </w:t>
      </w:r>
      <w:r w:rsidR="00A92F34">
        <w:t>C</w:t>
      </w:r>
      <w:r w:rsidR="003051F0">
        <w:t>a</w:t>
      </w:r>
      <w:r w:rsidR="00A92F34">
        <w:t>BV changes</w:t>
      </w:r>
      <w:r w:rsidR="00F64332">
        <w:t xml:space="preserve"> can only be investigated via comparison with invasive measures, such as PET</w:t>
      </w:r>
      <w:r w:rsidR="00B609E4">
        <w:fldChar w:fldCharType="begin" w:fldLock="1"/>
      </w:r>
      <w:r w:rsidR="00B609E4">
        <w:instrText xml:space="preserve">ADDIN CSL_CITATION {"citationItems":[{"id":"ITEM-1","itemData":{"DOI":"10.1097/01.WCB.0000067721.64998.F5","abstract":"Hypercapnia induces cerebral vasodilation and in-creases cerebral blood flow (CBF), and hypocapnia induces cerebral vasoconstriction and decreases CBF. The relation be-tween changes in CBF and cerebral blood volume (CBV) dur-ing hypercapnia and hypocapnia in humans, however, is not clear. Both CBF and CBV were measured at rest and during hypercapnia and hypocapnia in nine healthy subjects by posi-tron emission tomography. The vascular responses to hyper-capnia in terms of CBF and CBV were 6.0 ± 2.6%/mm Hg and 1.8 ± 1.3%/mm Hg, respectively, and those to hypocapnia were −3.5 ± 0.6%/mm Hg and −1.3 ± 1.0%/mm Hg, respectively. The relation between CBF and CBV was CBV </w:instrText>
      </w:r>
      <w:dir w:val="rtl">
        <w:r w:rsidR="00B609E4">
          <w:instrText>ס</w:instrText>
        </w:r>
        <w:r w:rsidR="00B609E4">
          <w:instrText>‬ 1.09 CBF 0.29 . The increase in CBF was greater than that in CBV during hypercapnia, indicating an increase in vascular blood velocity. The degree of decrease in CBF during hypocapnia was greater than that in CBV, indicating a decrease in vascular blood velocity. The relation between changes in CBF and CBV during hypercapnia was similar to that during neural activation; however, the relation during hypocapnia was different from that during neural deactivation observed in crossed cerebellar diaschisis. This suggests that augmentation of CBF and CBV might be governed by a similar microcirculatory mechanism between neural activation and hypercapnia, but diminution of CBF and CBV might be governed by a different mechanism between neural deactivation and hypocapnia.","author":[{"dropping-particle":"","family":"Ito","given":"Hiroshi","non-dropping-particle":"","parse-names":false,"suffix":""},{"dropping-particle":"","family":"Kanno","given":"Iwao","non-dropping-particle":"","parse-names":false,"suffix":""},{"dropping-particle":"","family":"Ibaraki","given":"Masanobu","non-dropping-particle":"","parse-names":false,"suffix":""},{"dropping-particle":"","family":"Hatazawa","given":"Jun","non-dropping-particle":"","parse-names":false,"suffix":""},{"dropping-particle":"","family":"Miura","given":"Shuichi","non-dropping-particle":"","parse-names":false,"suffix":""}],"id":"ITEM-1","issued":{"date-parts":[["0"]]},"title":"Changes in Human Cerebral Blood Flow and Cerebral Blood Volume During Hypercapnia and Hypocapnia Measured by Positron Emission Tomography","type":"article-journal"},"uris":["http://www.mendeley.com/documents/?uuid=fdb5ea9b-c915-3c6d-b217-8fd0720e925f"]},{"id":"ITEM-2","itemData":{"DOI":"10.1038/sj.jcbfm.9600076","abstract":"Hypercapnia induces cerebral vasodilation and increases cerebral blood volume (CBV), and hypocapnia induces cerebral vasoconstriction and decreases CBV. Cerebral blood volume measured by positron emission tomography (PET) is the sum of three components, that is, arterial, capillary, and venous blood volumes. Changes in arterial blood volume (V a) and CBV during hypercapnia and hypocapnia were investigated in humans using PET with H 2 15 O and 11 CO. Arterial blood volume was determined from H 2 15 O PET data by means of a two-compartment model that takes V a into account. Baseline CBV and values during hypercapnia and hypocapnia in the cerebral cortex were 0.03470.003, 0.03870.003, and 0.03170.003 mL/mL (mean7s.d.), respectively. Baseline V a and values during hypercapnia and hypocapnia were 0.01570.003, 0.02570.011, and 0.0077 0.003 mL/mL, respectively. Cerebral blood volume changed significantly owing to changes in PaCO 2 , and V a changed significantly in the direction of CBV changes. However, no significant change was observed in venous plus capillary blood volume (¼ CBVÀV a). This indicates that changes in CBV during hypercapnia and hypocapnia are caused by changes in arterial blood volume without changes in venous and capillary blood volume.","author":[{"dropping-particle":"","family":"Ito","given":"Hiroshi","non-dropping-particle":"","parse-names":false,"suffix":""},{"dropping-particle":"","family":"Ibaraki","given":"Masanobu","non-dropping-particle":"","parse-names":false,"suffix":""},{"dropping-particle":"","family":"Kanno","given":"Iwao","non-dropping-particle":"","parse-names":false,"suffix":""},{"dropping-particle":"","family":"Fukuda","given":"Hiroshi","non-dropping-particle":"","parse-names":false,"suffix":""},{"dropping-particle":"","family":"Miura","given":"Shuichi","non-dropping-particle":"","parse-names":false,"suffix":""}],"container-title":"Journal of Cerebral Blood Flow &amp; Metabolism","id":"ITEM-2","issued":{"date-parts":[["2005"]]},"page":"852-857","title":"Changes in the arterial fraction of human cerebral blood volume during hypercapnia and hypocapnia measured by positron emission tomography","type":"article-journal","volume":"25"},"uris":["http://www.mendeley.com/documents/?uuid=288c6121-4651-3938-bde8-4e1484ff202c"]},{"id":"ITEM-3","itemData":{"DOI":"10.1161/01.STR.0000089014.59668.04","ISBN":"1524-4628 (Electronic)\\n0039-2499 (Linking)","ISSN":"00392499","PMID":"12947157","abstract":"BACKGROUND AND PURPOSE: Cerebrovascular autoregulation is frequently measured in head-injured patients. We attempted to validate 4 bedside methods used for assessment of autoregulation. METHODS: PET was performed at a cerebral perfusion pressure (CPP) of 70 and 90 mm Hg in 20 patients. Cerebral blood flow (CBF) and cerebral metabolic rate for oxygen (CMRo2) were determined at each CPP level. Patients were sedated with propofol and fentanyl. Norepinephrine was used to control CPP. During PET scanning, transcranial Doppler (TCD) flow velocity in the middle cerebral artery was monitored, and the arterio-jugular oxygen content difference (AJDo2) was measured at each CPP. Autoregulation was determined as the static rate of autoregulation based on PET (SROR(PET)) and TCD (SROR(TCD)) data, based on changes in AJDo2, and with 2 indexes based on the relationship between slow waves of CPP and flow velocity (mean velocity index, Mx) and between arterial blood pressure and intracranial pressure (pressure reactivity index, PRx) RESULTS: We found significant correlations between SROR(PET) and SROR(TCD) (r2=0.32; P&lt;0.01) and between SROR(PET) and PRx (r2=0.31; P&lt;0.05). There were no significant associations between PET data and autoregulation as assessed by changes in AJDo2. Global CMRo2 was significantly lower at the higher CPP (P&lt;0.01). CONCLUSIONS: Despite some variability, SROR(TCD) and PRx may provide useful approximations of autoregulation in head-injured patients. At least with our methods, CMRo2 changes with the increase in CPP; hence, flow-metabolism coupling may affect the results of autoregulation testing.","author":[{"dropping-particle":"","family":"Steiner","given":"Luzius A.","non-dropping-particle":"","parse-names":false,"suffix":""},{"dropping-particle":"","family":"Coles","given":"Jonathan P.","non-dropping-particle":"","parse-names":false,"suffix":""},{"dropping-particle":"","family":"Johnston","given":"Andrew J.","non-dropping-particle":"","parse-names":false,"suffix":""},{"dropping-particle":"","family":"Chatfield","given":"Doris A.","non-dropping-particle":"","parse-names":false,"suffix":""},{"dropping-particle":"","family":"Smielewski","given":"Peter","non-dropping-particle":"","parse-names":false,"suffix":""},{"dropping-particle":"","family":"Fryer","given":"Tim D.","non-dropping-particle":"","parse-names":false,"suffix":""},{"dropping-particle":"","family":"Aigbirhio","given":"Franklin I.","non-dropping-particle":"","parse-names":false,"suffix":""},{"dropping-particle":"","family":"Clark","given":"John C.","non-dropping-particle":"","parse-names":false,"suffix":""},{"dropping-particle":"","family":"Pickard","given":"John D.","non-dropping-particle":"","parse-names":false,"suffix":""},{"dropping-particle":"","family":"Menon","given":"David K.","non-dropping-particle":"","parse-names":false,"suffix":""},{"dropping-particle":"","family":"Czosnyka","given":"Marek","non-dropping-particle":"","parse-names":false,"suffix":""}],"container-title":"Stroke","id":"ITEM-3","issue":"10","issued":{"date-parts":[["2003"]]},"page":"2404-2409","title":"Assessment of cerebrovascular autoregulation in head-injured patients: A validation study","type":"article-journal","volume":"34"},"uris":["http://www.mendeley.com/documents/?uuid=483b34df-02fb-4b82-929e-badc55b04f32"]}],"mendeley":{"formattedCitation":"(17,44,45)","plainTextFormattedCitation":"(17,44,45)"},"properties":{"noteIndex":0},"schema":"https://github.com/citation-style-language/schema/raw/master/csl-citation.json"}</w:instrText>
        </w:r>
        <w:r w:rsidR="00B609E4">
          <w:fldChar w:fldCharType="separate"/>
        </w:r>
        <w:r w:rsidR="00B609E4" w:rsidRPr="00745A3E">
          <w:rPr>
            <w:noProof/>
            <w:vertAlign w:val="superscript"/>
          </w:rPr>
          <w:t>17,44,45</w:t>
        </w:r>
        <w:r w:rsidR="00B609E4">
          <w:fldChar w:fldCharType="end"/>
        </w:r>
        <w:r w:rsidR="00203BE9" w:rsidRPr="00203BE9">
          <w:t xml:space="preserve"> reference method</w:t>
        </w:r>
        <w:r w:rsidR="00E85258">
          <w:t xml:space="preserve"> </w:t>
        </w:r>
        <w:r w:rsidR="00203BE9" w:rsidRPr="00203BE9">
          <w:t xml:space="preserve">based on plethysmography (electrical impedance) </w:t>
        </w:r>
        <w:r w:rsidR="00AD439D">
          <w:t>to</w:t>
        </w:r>
        <w:r w:rsidR="00203BE9" w:rsidRPr="00203BE9">
          <w:t xml:space="preserve"> attempt to validate alternative techniques</w:t>
        </w:r>
        <w:r w:rsidR="00F64332">
          <w:t xml:space="preserve">. </w:t>
        </w:r>
        <w:r w:rsidR="00C919D0">
          <w:t>‬</w:t>
        </w:r>
        <w:r w:rsidR="00A636C0">
          <w:t>‬</w:t>
        </w:r>
        <w:r w:rsidR="00D62F4D">
          <w:t>‬</w:t>
        </w:r>
        <w:r w:rsidR="00517E60">
          <w:t>‬</w:t>
        </w:r>
        <w:r w:rsidR="00E12B89">
          <w:t>‬</w:t>
        </w:r>
        <w:r w:rsidR="00745A3E">
          <w:t>‬</w:t>
        </w:r>
        <w:r w:rsidR="000E50D5">
          <w:t>‬</w:t>
        </w:r>
        <w:r w:rsidR="00F12B82">
          <w:t>‬</w:t>
        </w:r>
        <w:r w:rsidR="00AD77A4">
          <w:t>‬</w:t>
        </w:r>
        <w:r w:rsidR="00001C5E">
          <w:t>‬</w:t>
        </w:r>
        <w:r w:rsidR="00123332">
          <w:t>‬</w:t>
        </w:r>
        <w:r w:rsidR="00425A28">
          <w:t>‬</w:t>
        </w:r>
        <w:r w:rsidR="004B67B8">
          <w:t>‬</w:t>
        </w:r>
      </w:dir>
    </w:p>
    <w:p w14:paraId="0771CEE0" w14:textId="77777777" w:rsidR="0040730C" w:rsidRDefault="0040730C" w:rsidP="00020ABC">
      <w:pPr>
        <w:spacing w:line="480" w:lineRule="auto"/>
        <w:rPr>
          <w:rFonts w:ascii="Calibri" w:eastAsia="Calibri" w:hAnsi="Calibri" w:cs="Times New Roman"/>
          <w:b/>
          <w:u w:val="single"/>
        </w:rPr>
      </w:pPr>
    </w:p>
    <w:p w14:paraId="41759B01" w14:textId="6B85CF62" w:rsidR="0040730C" w:rsidRPr="0040730C" w:rsidRDefault="0040730C" w:rsidP="00020ABC">
      <w:pPr>
        <w:spacing w:line="480" w:lineRule="auto"/>
        <w:rPr>
          <w:rFonts w:ascii="Calibri" w:eastAsia="Calibri" w:hAnsi="Calibri" w:cs="Times New Roman"/>
          <w:b/>
          <w:u w:val="single"/>
        </w:rPr>
      </w:pPr>
      <w:r w:rsidRPr="0040730C">
        <w:rPr>
          <w:rFonts w:ascii="Calibri" w:eastAsia="Calibri" w:hAnsi="Calibri" w:cs="Times New Roman"/>
          <w:b/>
          <w:u w:val="single"/>
        </w:rPr>
        <w:t xml:space="preserve">Conclusions: </w:t>
      </w:r>
    </w:p>
    <w:p w14:paraId="3525D54F" w14:textId="0C180172" w:rsidR="00A90463" w:rsidRDefault="0059582E" w:rsidP="00020ABC">
      <w:pPr>
        <w:spacing w:line="480" w:lineRule="auto"/>
        <w:ind w:firstLine="720"/>
        <w:rPr>
          <w:rFonts w:ascii="Calibri" w:eastAsia="Calibri" w:hAnsi="Calibri" w:cs="Times New Roman"/>
        </w:rPr>
      </w:pPr>
      <w:r>
        <w:rPr>
          <w:rFonts w:ascii="Calibri" w:eastAsia="Calibri" w:hAnsi="Calibri" w:cs="Times New Roman"/>
        </w:rPr>
        <w:t>sPI is considered a theoretical explanation of the effects of extreme pathology on CPP</w:t>
      </w:r>
      <w:r w:rsidR="0007114D">
        <w:rPr>
          <w:rFonts w:ascii="Calibri" w:eastAsia="Calibri" w:hAnsi="Calibri" w:cs="Times New Roman"/>
          <w:vertAlign w:val="superscript"/>
        </w:rPr>
        <w:t>s</w:t>
      </w:r>
      <w:r>
        <w:rPr>
          <w:rFonts w:ascii="Calibri" w:eastAsia="Calibri" w:hAnsi="Calibri" w:cs="Times New Roman"/>
        </w:rPr>
        <w:t xml:space="preserve">. </w:t>
      </w:r>
      <w:r w:rsidR="007A709D">
        <w:rPr>
          <w:rFonts w:ascii="Calibri" w:eastAsia="Calibri" w:hAnsi="Calibri" w:cs="Times New Roman"/>
        </w:rPr>
        <w:t xml:space="preserve">Our results indicated that the CFF-based model of sPI using ICP as an input signal (PI_C1Ra3) </w:t>
      </w:r>
      <w:r w:rsidR="009D3DDB">
        <w:rPr>
          <w:rFonts w:ascii="Calibri" w:eastAsia="Calibri" w:hAnsi="Calibri" w:cs="Times New Roman"/>
        </w:rPr>
        <w:t>performed well within all of the three patient cohorts that we examined</w:t>
      </w:r>
      <w:r w:rsidR="006361C5">
        <w:rPr>
          <w:rFonts w:ascii="Calibri" w:eastAsia="Calibri" w:hAnsi="Calibri" w:cs="Times New Roman"/>
        </w:rPr>
        <w:t>; however, this</w:t>
      </w:r>
      <w:r w:rsidR="009D3DDB">
        <w:rPr>
          <w:rFonts w:ascii="Calibri" w:eastAsia="Calibri" w:hAnsi="Calibri" w:cs="Times New Roman"/>
        </w:rPr>
        <w:t xml:space="preserve"> cannot be generalized to the entire population receiving </w:t>
      </w:r>
      <w:r w:rsidR="0040730C">
        <w:rPr>
          <w:rFonts w:ascii="Calibri" w:eastAsia="Calibri" w:hAnsi="Calibri" w:cs="Times New Roman"/>
        </w:rPr>
        <w:t xml:space="preserve">neurocritical care. </w:t>
      </w:r>
      <w:r w:rsidR="007C1EF6">
        <w:rPr>
          <w:rFonts w:ascii="Calibri" w:eastAsia="Calibri" w:hAnsi="Calibri" w:cs="Times New Roman"/>
        </w:rPr>
        <w:t xml:space="preserve">Further investigation of </w:t>
      </w:r>
      <w:r w:rsidR="00262AE0">
        <w:rPr>
          <w:rFonts w:ascii="Calibri" w:eastAsia="Calibri" w:hAnsi="Calibri" w:cs="Times New Roman"/>
        </w:rPr>
        <w:t xml:space="preserve">pulsatile </w:t>
      </w:r>
      <w:r w:rsidR="007C1EF6">
        <w:rPr>
          <w:rFonts w:ascii="Calibri" w:eastAsia="Calibri" w:hAnsi="Calibri" w:cs="Times New Roman"/>
        </w:rPr>
        <w:t>C</w:t>
      </w:r>
      <w:r w:rsidR="003051F0">
        <w:rPr>
          <w:rFonts w:ascii="Calibri" w:eastAsia="Calibri" w:hAnsi="Calibri" w:cs="Times New Roman"/>
        </w:rPr>
        <w:t>a</w:t>
      </w:r>
      <w:r w:rsidR="007C1EF6">
        <w:rPr>
          <w:rFonts w:ascii="Calibri" w:eastAsia="Calibri" w:hAnsi="Calibri" w:cs="Times New Roman"/>
        </w:rPr>
        <w:t>BV approximation needs to be conducted in a larger, more heterogenous sample of TBI patients.</w:t>
      </w:r>
    </w:p>
    <w:p w14:paraId="32F919F3" w14:textId="516EEB59" w:rsidR="00B945B7" w:rsidRDefault="00B945B7" w:rsidP="00020ABC">
      <w:pPr>
        <w:spacing w:line="480" w:lineRule="auto"/>
        <w:rPr>
          <w:rFonts w:ascii="Calibri" w:eastAsia="Calibri" w:hAnsi="Calibri" w:cs="Times New Roman"/>
        </w:rPr>
      </w:pPr>
    </w:p>
    <w:p w14:paraId="2747A4FA" w14:textId="77777777" w:rsidR="00C72FC2" w:rsidRDefault="00C72FC2" w:rsidP="00165774"/>
    <w:p w14:paraId="1F92C4D4" w14:textId="77777777" w:rsidR="009909F8" w:rsidRDefault="00366E31" w:rsidP="009909F8">
      <w:pPr>
        <w:spacing w:line="480" w:lineRule="auto"/>
        <w:rPr>
          <w:b/>
          <w:u w:val="single"/>
        </w:rPr>
      </w:pPr>
      <w:r w:rsidRPr="00366E31">
        <w:rPr>
          <w:b/>
          <w:u w:val="single"/>
        </w:rPr>
        <w:lastRenderedPageBreak/>
        <w:t xml:space="preserve">Disclosures: </w:t>
      </w:r>
    </w:p>
    <w:p w14:paraId="3F750B61" w14:textId="56B602B5" w:rsidR="009909F8" w:rsidRPr="009909F8" w:rsidRDefault="009909F8" w:rsidP="009909F8">
      <w:pPr>
        <w:spacing w:line="480" w:lineRule="auto"/>
        <w:rPr>
          <w:b/>
          <w:u w:val="single"/>
        </w:rPr>
      </w:pPr>
      <w:r>
        <w:t xml:space="preserve"> </w:t>
      </w:r>
      <w:r w:rsidRPr="009909F8">
        <w:rPr>
          <w:i/>
        </w:rPr>
        <w:t>Conflicts of Interest:</w:t>
      </w:r>
      <w:r w:rsidRPr="009909F8">
        <w:t xml:space="preserve"> MC and PS both have financial interest in a portion of ICM+TM licensing fees.</w:t>
      </w:r>
    </w:p>
    <w:p w14:paraId="0945B4F3" w14:textId="77777777" w:rsidR="009909F8" w:rsidRDefault="009909F8" w:rsidP="009909F8">
      <w:pPr>
        <w:spacing w:line="480" w:lineRule="auto"/>
      </w:pPr>
      <w:r w:rsidRPr="009909F8">
        <w:rPr>
          <w:i/>
        </w:rPr>
        <w:t>Funding:</w:t>
      </w:r>
      <w:r>
        <w:t xml:space="preserve"> MC and PS </w:t>
      </w:r>
      <w:r w:rsidRPr="009909F8">
        <w:t>are</w:t>
      </w:r>
      <w:r>
        <w:t xml:space="preserve"> both</w:t>
      </w:r>
      <w:r w:rsidRPr="009909F8">
        <w:t xml:space="preserve"> supported by the NIHR Cambridge Biomedical Research Centre and FAZ has received salary support for dedicated research time, during which this project was completed.  Such salary support came from:  the Cambridge Commonwealth Trust Scholarship, the Royal College of Surgeons of Canada – Harry S. Morton Travelling Fellowship in Surgery and the University of Manitoba Clinician Investigator Program.</w:t>
      </w:r>
    </w:p>
    <w:p w14:paraId="3503DAF2" w14:textId="29CBAB73" w:rsidR="009909F8" w:rsidRDefault="009909F8" w:rsidP="009909F8">
      <w:pPr>
        <w:spacing w:line="480" w:lineRule="auto"/>
      </w:pPr>
      <w:r w:rsidRPr="009909F8">
        <w:rPr>
          <w:i/>
        </w:rPr>
        <w:t xml:space="preserve"> Ethical Approval:</w:t>
      </w:r>
      <w:r>
        <w:t xml:space="preserve"> </w:t>
      </w:r>
      <w:r w:rsidR="00EB65D3" w:rsidRPr="00EB65D3">
        <w:t>Patient data used for this study was retrospective in nature, and did not require consent or ethical approval for its use. Similar data is collected and processed routinely under the Cambridge University Hospitals NHS Trust NCCU Protocols 29 and 30.</w:t>
      </w:r>
    </w:p>
    <w:p w14:paraId="3D30810D" w14:textId="77777777" w:rsidR="009909F8" w:rsidRPr="00F74AFD" w:rsidRDefault="009909F8" w:rsidP="009909F8">
      <w:pPr>
        <w:spacing w:line="480" w:lineRule="auto"/>
      </w:pPr>
    </w:p>
    <w:p w14:paraId="4BB4D419" w14:textId="1A5E58CD" w:rsidR="00A0223A" w:rsidRDefault="00DA3886" w:rsidP="00020ABC">
      <w:pPr>
        <w:spacing w:line="480" w:lineRule="auto"/>
        <w:rPr>
          <w:b/>
          <w:u w:val="single"/>
        </w:rPr>
      </w:pPr>
      <w:r w:rsidRPr="00997038">
        <w:rPr>
          <w:b/>
          <w:u w:val="single"/>
        </w:rPr>
        <w:t>References</w:t>
      </w:r>
      <w:r w:rsidR="00997038" w:rsidRPr="00997038">
        <w:rPr>
          <w:b/>
          <w:u w:val="single"/>
        </w:rPr>
        <w:t>:</w:t>
      </w:r>
    </w:p>
    <w:p w14:paraId="30817EED" w14:textId="77777777" w:rsidR="005C23C3" w:rsidRPr="00997038" w:rsidRDefault="005C23C3" w:rsidP="00020ABC">
      <w:pPr>
        <w:spacing w:line="480" w:lineRule="auto"/>
        <w:rPr>
          <w:b/>
          <w:u w:val="single"/>
        </w:rPr>
      </w:pPr>
    </w:p>
    <w:p w14:paraId="5409C788" w14:textId="20521F2B" w:rsidR="00B609E4" w:rsidRPr="00B609E4" w:rsidRDefault="003F355E" w:rsidP="00020ABC">
      <w:pPr>
        <w:widowControl w:val="0"/>
        <w:autoSpaceDE w:val="0"/>
        <w:autoSpaceDN w:val="0"/>
        <w:adjustRightInd w:val="0"/>
        <w:spacing w:line="480" w:lineRule="auto"/>
        <w:ind w:left="640" w:hanging="640"/>
        <w:rPr>
          <w:rFonts w:ascii="Calibri" w:hAnsi="Calibri" w:cs="Calibri"/>
          <w:noProof/>
          <w:szCs w:val="24"/>
        </w:rPr>
      </w:pPr>
      <w:r>
        <w:rPr>
          <w:b/>
        </w:rPr>
        <w:fldChar w:fldCharType="begin" w:fldLock="1"/>
      </w:r>
      <w:r>
        <w:rPr>
          <w:b/>
        </w:rPr>
        <w:instrText xml:space="preserve">ADDIN Mendeley Bibliography CSL_BIBLIOGRAPHY </w:instrText>
      </w:r>
      <w:r>
        <w:rPr>
          <w:b/>
        </w:rPr>
        <w:fldChar w:fldCharType="separate"/>
      </w:r>
      <w:r w:rsidR="00B609E4" w:rsidRPr="00B609E4">
        <w:rPr>
          <w:rFonts w:ascii="Calibri" w:hAnsi="Calibri" w:cs="Calibri"/>
          <w:noProof/>
          <w:szCs w:val="24"/>
        </w:rPr>
        <w:t xml:space="preserve">1. </w:t>
      </w:r>
      <w:r w:rsidR="00B609E4" w:rsidRPr="00B609E4">
        <w:rPr>
          <w:rFonts w:ascii="Calibri" w:hAnsi="Calibri" w:cs="Calibri"/>
          <w:noProof/>
          <w:szCs w:val="24"/>
        </w:rPr>
        <w:tab/>
        <w:t xml:space="preserve">Kim D-J, Kasprowicz M, Carrera E, Castellani G, Zweifel C, Lavinio A, et al. The monitoring of relative changes in compartmental compliances of brain. Physiol Meas. 2009;30:647–59. </w:t>
      </w:r>
    </w:p>
    <w:p w14:paraId="16387FBB"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 </w:t>
      </w:r>
      <w:r w:rsidRPr="00B609E4">
        <w:rPr>
          <w:rFonts w:ascii="Calibri" w:hAnsi="Calibri" w:cs="Calibri"/>
          <w:noProof/>
          <w:szCs w:val="24"/>
        </w:rPr>
        <w:tab/>
        <w:t xml:space="preserve">Varsos G V., Richards H, Kasprowicz M, Budohoski KP, Brady KM, Reinhard M, et al. Critical closing pressure determined with a model of cerebrovascular impedance. J Cereb Blood Flow Metab. 2013;33(2):235–43. </w:t>
      </w:r>
    </w:p>
    <w:p w14:paraId="1088DBD0"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3. </w:t>
      </w:r>
      <w:r w:rsidRPr="00B609E4">
        <w:rPr>
          <w:rFonts w:ascii="Calibri" w:hAnsi="Calibri" w:cs="Calibri"/>
          <w:noProof/>
          <w:szCs w:val="24"/>
        </w:rPr>
        <w:tab/>
        <w:t xml:space="preserve">Ambarki K, Baledent O, Kongolo G, Bouzerar R, Fall S, Meyer ME. A new lumped-parameter model of cerebrospinal hydrodynamics during the cardiac cycle in healthy volunteers. IEEE Trans Biomed Eng. 2007;54(3):483–91. </w:t>
      </w:r>
    </w:p>
    <w:p w14:paraId="6D657AD9"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lastRenderedPageBreak/>
        <w:t xml:space="preserve">4. </w:t>
      </w:r>
      <w:r w:rsidRPr="00B609E4">
        <w:rPr>
          <w:rFonts w:ascii="Calibri" w:hAnsi="Calibri" w:cs="Calibri"/>
          <w:noProof/>
          <w:szCs w:val="24"/>
        </w:rPr>
        <w:tab/>
        <w:t>Panerai RB, Salinet ASM, Brodie FG, Robinson TG. The influence of calculation method on estimates of cerebral critical closing pressure. Physiol Meas [Internet]. 2011 Apr 1;32(4):467–82. Available from: http://stacks.iop.org/0967-3334/32/i=4/a=007?key=crossref.e5a09afc7939209a064aae0f2debd176</w:t>
      </w:r>
    </w:p>
    <w:p w14:paraId="6926D130"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5. </w:t>
      </w:r>
      <w:r w:rsidRPr="00B609E4">
        <w:rPr>
          <w:rFonts w:ascii="Calibri" w:hAnsi="Calibri" w:cs="Calibri"/>
          <w:noProof/>
          <w:szCs w:val="24"/>
        </w:rPr>
        <w:tab/>
        <w:t xml:space="preserve">Czosnyka M, Smielewski P, Kirkpatrick P, Piechnik S, Laing R, Pickard JD. Continuous monitoring of cerebrovascular pressure-reactivity in head injury. Acta Neurochir Suppl. 1998;71:74–7. </w:t>
      </w:r>
    </w:p>
    <w:p w14:paraId="1134101B"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6. </w:t>
      </w:r>
      <w:r w:rsidRPr="00B609E4">
        <w:rPr>
          <w:rFonts w:ascii="Calibri" w:hAnsi="Calibri" w:cs="Calibri"/>
          <w:noProof/>
          <w:szCs w:val="24"/>
        </w:rPr>
        <w:tab/>
        <w:t xml:space="preserve">Calviello LA, Donnelly J, Zeiler FA, Thelin EP, Smielewski P, Czosnyka M. Cerebral autoregulation monitoring in acute traumatic brain injury: What’s the evidence? Minerva Anestesiol. 2017;83(8). </w:t>
      </w:r>
    </w:p>
    <w:p w14:paraId="155AA458" w14:textId="77ECB023"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7. </w:t>
      </w:r>
      <w:r w:rsidRPr="00B609E4">
        <w:rPr>
          <w:rFonts w:ascii="Calibri" w:hAnsi="Calibri" w:cs="Calibri"/>
          <w:noProof/>
          <w:szCs w:val="24"/>
        </w:rPr>
        <w:tab/>
        <w:t xml:space="preserve">Uryga A, </w:t>
      </w:r>
      <w:r w:rsidR="00BB3824">
        <w:rPr>
          <w:rFonts w:ascii="Calibri" w:hAnsi="Calibri" w:cs="Calibri"/>
          <w:noProof/>
          <w:szCs w:val="24"/>
        </w:rPr>
        <w:t>Kasprowicz M,</w:t>
      </w:r>
      <w:r w:rsidRPr="00B609E4">
        <w:rPr>
          <w:rFonts w:ascii="Calibri" w:hAnsi="Calibri" w:cs="Calibri"/>
          <w:noProof/>
          <w:szCs w:val="24"/>
        </w:rPr>
        <w:t xml:space="preserve"> D</w:t>
      </w:r>
      <w:r w:rsidR="00BB3824">
        <w:rPr>
          <w:rFonts w:ascii="Calibri" w:hAnsi="Calibri" w:cs="Calibri"/>
          <w:noProof/>
          <w:szCs w:val="24"/>
        </w:rPr>
        <w:t>iehl R</w:t>
      </w:r>
      <w:r w:rsidRPr="00B609E4">
        <w:rPr>
          <w:rFonts w:ascii="Calibri" w:hAnsi="Calibri" w:cs="Calibri"/>
          <w:noProof/>
          <w:szCs w:val="24"/>
        </w:rPr>
        <w:t>, K</w:t>
      </w:r>
      <w:r w:rsidR="00BB3824">
        <w:rPr>
          <w:rFonts w:ascii="Calibri" w:hAnsi="Calibri" w:cs="Calibri"/>
          <w:noProof/>
          <w:szCs w:val="24"/>
        </w:rPr>
        <w:t>aczmarska</w:t>
      </w:r>
      <w:r w:rsidRPr="00B609E4">
        <w:rPr>
          <w:rFonts w:ascii="Calibri" w:hAnsi="Calibri" w:cs="Calibri"/>
          <w:noProof/>
          <w:szCs w:val="24"/>
        </w:rPr>
        <w:t xml:space="preserve"> K, Calviello L</w:t>
      </w:r>
      <w:r w:rsidR="00BB3824">
        <w:rPr>
          <w:rFonts w:ascii="Calibri" w:hAnsi="Calibri" w:cs="Calibri"/>
          <w:noProof/>
          <w:szCs w:val="24"/>
        </w:rPr>
        <w:t xml:space="preserve">, Czosnyka </w:t>
      </w:r>
      <w:r w:rsidRPr="00B609E4">
        <w:rPr>
          <w:rFonts w:ascii="Calibri" w:hAnsi="Calibri" w:cs="Calibri"/>
          <w:noProof/>
          <w:szCs w:val="24"/>
        </w:rPr>
        <w:t xml:space="preserve">M. Assessment of cerebral hemodynamic parameters using pulsatile versus non-pulsatile blood outflow model. </w:t>
      </w:r>
      <w:r w:rsidR="00E12B89">
        <w:rPr>
          <w:rFonts w:ascii="Calibri" w:hAnsi="Calibri" w:cs="Calibri"/>
          <w:noProof/>
          <w:szCs w:val="24"/>
        </w:rPr>
        <w:t>J Clin Monit Comput</w:t>
      </w:r>
      <w:r w:rsidRPr="00B609E4">
        <w:rPr>
          <w:rFonts w:ascii="Calibri" w:hAnsi="Calibri" w:cs="Calibri"/>
          <w:noProof/>
          <w:szCs w:val="24"/>
        </w:rPr>
        <w:t xml:space="preserve">. </w:t>
      </w:r>
      <w:r w:rsidR="00E12B89">
        <w:rPr>
          <w:rFonts w:ascii="Calibri" w:hAnsi="Calibri" w:cs="Calibri"/>
          <w:noProof/>
          <w:szCs w:val="24"/>
        </w:rPr>
        <w:t>2018</w:t>
      </w:r>
      <w:r w:rsidR="00BB3824">
        <w:rPr>
          <w:rFonts w:ascii="Calibri" w:hAnsi="Calibri" w:cs="Calibri"/>
          <w:noProof/>
          <w:szCs w:val="24"/>
        </w:rPr>
        <w:t xml:space="preserve"> Apr 4</w:t>
      </w:r>
      <w:r w:rsidRPr="00B609E4">
        <w:rPr>
          <w:rFonts w:ascii="Calibri" w:hAnsi="Calibri" w:cs="Calibri"/>
          <w:noProof/>
          <w:szCs w:val="24"/>
        </w:rPr>
        <w:t>;</w:t>
      </w:r>
      <w:r w:rsidR="00E12B89">
        <w:rPr>
          <w:rFonts w:ascii="Calibri" w:hAnsi="Calibri" w:cs="Calibri"/>
          <w:noProof/>
          <w:szCs w:val="24"/>
        </w:rPr>
        <w:t>1-10</w:t>
      </w:r>
      <w:r w:rsidRPr="00B609E4">
        <w:rPr>
          <w:rFonts w:ascii="Calibri" w:hAnsi="Calibri" w:cs="Calibri"/>
          <w:noProof/>
          <w:szCs w:val="24"/>
        </w:rPr>
        <w:t xml:space="preserve">. </w:t>
      </w:r>
    </w:p>
    <w:p w14:paraId="515F70DA"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8. </w:t>
      </w:r>
      <w:r w:rsidRPr="00B609E4">
        <w:rPr>
          <w:rFonts w:ascii="Calibri" w:hAnsi="Calibri" w:cs="Calibri"/>
          <w:noProof/>
          <w:szCs w:val="24"/>
        </w:rPr>
        <w:tab/>
        <w:t xml:space="preserve">Avezaat CJJ, Van Eijndhoven JHM. The role of the pulsatile pressure variations in intracranial pressure monitoring. Neurosurg Rev. 1986;9:113–20. </w:t>
      </w:r>
    </w:p>
    <w:p w14:paraId="55792D77"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9. </w:t>
      </w:r>
      <w:r w:rsidRPr="00B609E4">
        <w:rPr>
          <w:rFonts w:ascii="Calibri" w:hAnsi="Calibri" w:cs="Calibri"/>
          <w:noProof/>
          <w:szCs w:val="24"/>
        </w:rPr>
        <w:tab/>
        <w:t xml:space="preserve">Czosnyka M, Guazzo E, Whitehouse M, Smielewski P, Czosnyka Z, Kirkpatrick P, et al. Significance of intracranial pressure waveform analysis after head injury. Acta Neurochir (Wien). 1996;138(5):531–42. </w:t>
      </w:r>
    </w:p>
    <w:p w14:paraId="24D21901" w14:textId="4E2E14FE"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10. </w:t>
      </w:r>
      <w:r w:rsidRPr="00B609E4">
        <w:rPr>
          <w:rFonts w:ascii="Calibri" w:hAnsi="Calibri" w:cs="Calibri"/>
          <w:noProof/>
          <w:szCs w:val="24"/>
        </w:rPr>
        <w:tab/>
        <w:t>Calviello LA, de Riva N, Donnelly J, Czosnyka M, Smielewski P, Menon DK, et al. Relationship Between Brain Pulsatility and Cerebral Perfusion Pressure: Replicated Validation Using Different Drivers of CPP Change. Neurocrit Care. 2017</w:t>
      </w:r>
      <w:r w:rsidR="00BC6188" w:rsidRPr="00BC6188">
        <w:rPr>
          <w:rFonts w:ascii="Calibri" w:hAnsi="Calibri" w:cs="Calibri"/>
          <w:noProof/>
          <w:szCs w:val="24"/>
        </w:rPr>
        <w:t xml:space="preserve"> Dec 1;27(3):392-400</w:t>
      </w:r>
      <w:r w:rsidR="00BC6188">
        <w:rPr>
          <w:rFonts w:ascii="Calibri" w:hAnsi="Calibri" w:cs="Calibri"/>
          <w:noProof/>
          <w:szCs w:val="24"/>
        </w:rPr>
        <w:t>.</w:t>
      </w:r>
    </w:p>
    <w:p w14:paraId="2B160EFC"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11. </w:t>
      </w:r>
      <w:r w:rsidRPr="00B609E4">
        <w:rPr>
          <w:rFonts w:ascii="Calibri" w:hAnsi="Calibri" w:cs="Calibri"/>
          <w:noProof/>
          <w:szCs w:val="24"/>
        </w:rPr>
        <w:tab/>
        <w:t xml:space="preserve">Steiner LA, Balestreri M, Johnston AJ, Czosnyka M, Coles JP, Chatfield DA, et al. Sustained moderate reductions in arterial CO2after brain trauma Time-course of cerebral blood flow velocity and intracranial pressure. Intensive Care Med. 2004;30(12):2180–7. </w:t>
      </w:r>
    </w:p>
    <w:p w14:paraId="0849A84D"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lastRenderedPageBreak/>
        <w:t xml:space="preserve">12. </w:t>
      </w:r>
      <w:r w:rsidRPr="00B609E4">
        <w:rPr>
          <w:rFonts w:ascii="Calibri" w:hAnsi="Calibri" w:cs="Calibri"/>
          <w:noProof/>
          <w:szCs w:val="24"/>
        </w:rPr>
        <w:tab/>
        <w:t xml:space="preserve">Helmy A, Vizcaychipi M, Gupta AK. Traumatic brain injury: Intensive care management. Vol. 99, British Journal of Anaesthesia. 2007. p. 32–42. </w:t>
      </w:r>
    </w:p>
    <w:p w14:paraId="0CCA41C8"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13. </w:t>
      </w:r>
      <w:r w:rsidRPr="00B609E4">
        <w:rPr>
          <w:rFonts w:ascii="Calibri" w:hAnsi="Calibri" w:cs="Calibri"/>
          <w:noProof/>
          <w:szCs w:val="24"/>
        </w:rPr>
        <w:tab/>
        <w:t>Carrera E, Kim D-J, Castellani G, Zweifel C, Czosnyka Z, Kasprowicz M, et al. What Shapes Pulse Amplitude of Intracranial Pressure? J Neurotrauma [Internet]. 2010 Feb;27(2):317–24. Available from: http://www.liebertonline.com/doi/abs/10.1089/neu.2009.0951</w:t>
      </w:r>
    </w:p>
    <w:p w14:paraId="464A44C9"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14. </w:t>
      </w:r>
      <w:r w:rsidRPr="00B609E4">
        <w:rPr>
          <w:rFonts w:ascii="Calibri" w:hAnsi="Calibri" w:cs="Calibri"/>
          <w:noProof/>
          <w:szCs w:val="24"/>
        </w:rPr>
        <w:tab/>
        <w:t>Avezaat C, Eijndhoven J Van. Cerebrospinal fluid pulse pressure and craniospinal dynamics: a theoretical, clinical and experimental study [Internet]. Vol. 5, Resuscitation. 1984. 111-26 p. Available from: http://www.ncbi.nlm.nih.gov/pubmed/1028117%5Cnhttp://repub.eur.nl/pub/38457</w:t>
      </w:r>
    </w:p>
    <w:p w14:paraId="2A3DB687" w14:textId="58E82BDD"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15. </w:t>
      </w:r>
      <w:r w:rsidRPr="00B609E4">
        <w:rPr>
          <w:rFonts w:ascii="Calibri" w:hAnsi="Calibri" w:cs="Calibri"/>
          <w:noProof/>
          <w:szCs w:val="24"/>
        </w:rPr>
        <w:tab/>
        <w:t>Risberg J, Lundberg N, Ingvar DH. Regional Cerebral Blood Volume During Acute Transient Rises of the Intracranial Pressure (Plateau Waves). J Neurosurg. 1969</w:t>
      </w:r>
      <w:r w:rsidR="00FA5F46">
        <w:rPr>
          <w:rFonts w:ascii="Calibri" w:hAnsi="Calibri" w:cs="Calibri"/>
          <w:noProof/>
          <w:szCs w:val="24"/>
        </w:rPr>
        <w:t xml:space="preserve"> </w:t>
      </w:r>
      <w:r w:rsidR="00BC6188" w:rsidRPr="00BC6188">
        <w:rPr>
          <w:rFonts w:ascii="Calibri" w:hAnsi="Calibri" w:cs="Calibri"/>
          <w:noProof/>
          <w:szCs w:val="24"/>
        </w:rPr>
        <w:t>Sep;31(3):303-10.</w:t>
      </w:r>
    </w:p>
    <w:p w14:paraId="1C9014EA" w14:textId="1277F4BA"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16. </w:t>
      </w:r>
      <w:r w:rsidRPr="00B609E4">
        <w:rPr>
          <w:rFonts w:ascii="Calibri" w:hAnsi="Calibri" w:cs="Calibri"/>
          <w:noProof/>
          <w:szCs w:val="24"/>
        </w:rPr>
        <w:tab/>
        <w:t>Grubb RL, Raichle ME, Eichling JO, And MM, Ter-Pogossian J. The Effects of Changes in Paco 2 on Cerebral Blood Volume, Blood Flow, and Vascular Mean Transit Time</w:t>
      </w:r>
      <w:r w:rsidR="00FA5F46">
        <w:rPr>
          <w:rFonts w:ascii="Calibri" w:hAnsi="Calibri" w:cs="Calibri"/>
          <w:noProof/>
          <w:szCs w:val="24"/>
        </w:rPr>
        <w:t>. Stroke. 1974</w:t>
      </w:r>
      <w:r w:rsidR="00BC6188" w:rsidRPr="00BC6188">
        <w:t xml:space="preserve"> </w:t>
      </w:r>
      <w:r w:rsidR="00BC6188" w:rsidRPr="00BC6188">
        <w:rPr>
          <w:rFonts w:ascii="Calibri" w:hAnsi="Calibri" w:cs="Calibri"/>
          <w:noProof/>
          <w:szCs w:val="24"/>
        </w:rPr>
        <w:t>Sep 1;5(5):630-9</w:t>
      </w:r>
      <w:r w:rsidRPr="00B609E4">
        <w:rPr>
          <w:rFonts w:ascii="Calibri" w:hAnsi="Calibri" w:cs="Calibri"/>
          <w:noProof/>
          <w:szCs w:val="24"/>
        </w:rPr>
        <w:t xml:space="preserve">. </w:t>
      </w:r>
    </w:p>
    <w:p w14:paraId="5E7F0D81" w14:textId="55FC0B16"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17. </w:t>
      </w:r>
      <w:r w:rsidRPr="00B609E4">
        <w:rPr>
          <w:rFonts w:ascii="Calibri" w:hAnsi="Calibri" w:cs="Calibri"/>
          <w:noProof/>
          <w:szCs w:val="24"/>
        </w:rPr>
        <w:tab/>
        <w:t xml:space="preserve">Ito H, Kanno I, Ibaraki M, Hatazawa J, Miura S. Changes in Human Cerebral Blood Flow and Cerebral Blood Volume During Hypercapnia and Hypocapnia Measured by Positron Emission Tomography. </w:t>
      </w:r>
      <w:r w:rsidR="00BC6188" w:rsidRPr="00BC6188">
        <w:rPr>
          <w:rFonts w:ascii="Calibri" w:hAnsi="Calibri" w:cs="Calibri"/>
          <w:noProof/>
          <w:szCs w:val="24"/>
        </w:rPr>
        <w:t>Journal of Cerebral Blood Flow &amp; Metabolism</w:t>
      </w:r>
      <w:r w:rsidR="00BC6188">
        <w:rPr>
          <w:rFonts w:ascii="Calibri" w:hAnsi="Calibri" w:cs="Calibri"/>
          <w:noProof/>
          <w:szCs w:val="24"/>
        </w:rPr>
        <w:t xml:space="preserve"> </w:t>
      </w:r>
      <w:r w:rsidR="00BC6188" w:rsidRPr="00BC6188">
        <w:rPr>
          <w:rFonts w:ascii="Calibri" w:hAnsi="Calibri" w:cs="Calibri"/>
          <w:noProof/>
          <w:szCs w:val="24"/>
        </w:rPr>
        <w:t>2003 Jun;23(6):665-70.</w:t>
      </w:r>
    </w:p>
    <w:p w14:paraId="4B35E60E" w14:textId="5DE7A416"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18. </w:t>
      </w:r>
      <w:r w:rsidRPr="00B609E4">
        <w:rPr>
          <w:rFonts w:ascii="Calibri" w:hAnsi="Calibri" w:cs="Calibri"/>
          <w:noProof/>
          <w:szCs w:val="24"/>
        </w:rPr>
        <w:tab/>
        <w:t>Haubrich C, Steiner LA, Diehl RR, Kasprowicz M, Smielewski P, Pickard JD, et al. Doppler flow velocity and intra-cranial pressure: Responses to short-term mild hypocapnia help to assess the pressure-volume relationship after head injury. Ultrasound Med Biol. 2013</w:t>
      </w:r>
      <w:r w:rsidR="00BC6188" w:rsidRPr="00BC6188">
        <w:rPr>
          <w:rFonts w:ascii="Calibri" w:hAnsi="Calibri" w:cs="Calibri"/>
          <w:noProof/>
          <w:szCs w:val="24"/>
        </w:rPr>
        <w:t xml:space="preserve"> Sep 1;39(9):1521-6.</w:t>
      </w:r>
    </w:p>
    <w:p w14:paraId="6DC778E8"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19. </w:t>
      </w:r>
      <w:r w:rsidRPr="00B609E4">
        <w:rPr>
          <w:rFonts w:ascii="Calibri" w:hAnsi="Calibri" w:cs="Calibri"/>
          <w:noProof/>
          <w:szCs w:val="24"/>
        </w:rPr>
        <w:tab/>
        <w:t xml:space="preserve">Roberts BW, Karagiannis P, Coletta M, Kilgannon JH, Chansky ME, Trzeciak S. Effects of PaCO2 derangements on clinical outcomes after cerebral injury: A systematic review. Resuscitation. </w:t>
      </w:r>
      <w:r w:rsidRPr="00B609E4">
        <w:rPr>
          <w:rFonts w:ascii="Calibri" w:hAnsi="Calibri" w:cs="Calibri"/>
          <w:noProof/>
          <w:szCs w:val="24"/>
        </w:rPr>
        <w:lastRenderedPageBreak/>
        <w:t xml:space="preserve">2015;91:32–41. </w:t>
      </w:r>
    </w:p>
    <w:p w14:paraId="1876439C" w14:textId="6293A3EC"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20. </w:t>
      </w:r>
      <w:r w:rsidRPr="00B609E4">
        <w:rPr>
          <w:rFonts w:ascii="Calibri" w:hAnsi="Calibri" w:cs="Calibri"/>
          <w:noProof/>
          <w:szCs w:val="24"/>
        </w:rPr>
        <w:tab/>
        <w:t xml:space="preserve">Meng L, Gelb AW, Alexander BS, Cerussi AE, Tromberg BJ, Yu Z, et al. Impact of phenylephrine administration on cerebral tissue oxygen saturation and blood volume is modulated by carbon dioxide in anaesthetized patients. Br J Anaesth. 2012; </w:t>
      </w:r>
      <w:r w:rsidR="00BC6188" w:rsidRPr="00BC6188">
        <w:rPr>
          <w:rFonts w:ascii="Calibri" w:hAnsi="Calibri" w:cs="Calibri"/>
          <w:noProof/>
          <w:szCs w:val="24"/>
        </w:rPr>
        <w:t>Mar 4;108(5):815-22.</w:t>
      </w:r>
    </w:p>
    <w:p w14:paraId="0C0C7DBC" w14:textId="1A8EC1ED"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21. </w:t>
      </w:r>
      <w:r w:rsidRPr="00B609E4">
        <w:rPr>
          <w:rFonts w:ascii="Calibri" w:hAnsi="Calibri" w:cs="Calibri"/>
          <w:noProof/>
          <w:szCs w:val="24"/>
        </w:rPr>
        <w:tab/>
        <w:t xml:space="preserve">Sookplung P, Siriussawakul A, Malakouti A, Sharma D, Wang J, Souter MJ, et al. Vasopressor use and effect on blood pressure after severe adult traumatic brain injury. Neurocrit Care. </w:t>
      </w:r>
      <w:r w:rsidR="00BC6188" w:rsidRPr="00BC6188">
        <w:rPr>
          <w:rFonts w:ascii="Calibri" w:hAnsi="Calibri" w:cs="Calibri"/>
          <w:noProof/>
          <w:szCs w:val="24"/>
        </w:rPr>
        <w:t>2011 Aug 1;15(1):46-54</w:t>
      </w:r>
    </w:p>
    <w:p w14:paraId="56404267"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22. </w:t>
      </w:r>
      <w:r w:rsidRPr="00B609E4">
        <w:rPr>
          <w:rFonts w:ascii="Calibri" w:hAnsi="Calibri" w:cs="Calibri"/>
          <w:noProof/>
          <w:szCs w:val="24"/>
        </w:rPr>
        <w:tab/>
        <w:t xml:space="preserve">Panerai RB, Deverson ST, Mahony P, Hayes P, Evans DH. Effects of CO2 on dynamic cerebral autoregulation measurement. Physiol Meas. 1999;20(3):265–75. </w:t>
      </w:r>
    </w:p>
    <w:p w14:paraId="7A405097"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23. </w:t>
      </w:r>
      <w:r w:rsidRPr="00B609E4">
        <w:rPr>
          <w:rFonts w:ascii="Calibri" w:hAnsi="Calibri" w:cs="Calibri"/>
          <w:noProof/>
          <w:szCs w:val="24"/>
        </w:rPr>
        <w:tab/>
        <w:t>Minciotti P, Ceravolo MG, Provinciali L. Inter-examiner variability of transcranial Doppler procedure and reports: a multicenter survey. Italian Transcranial Doppler Group. Ital J Neurol Sci [Internet]. 1997;18(1):21–30. Available from: http://www.ncbi.nlm.nih.gov/pubmed/9115039</w:t>
      </w:r>
    </w:p>
    <w:p w14:paraId="1060B5A2" w14:textId="71B26415"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24. </w:t>
      </w:r>
      <w:r w:rsidRPr="00B609E4">
        <w:rPr>
          <w:rFonts w:ascii="Calibri" w:hAnsi="Calibri" w:cs="Calibri"/>
          <w:noProof/>
          <w:szCs w:val="24"/>
        </w:rPr>
        <w:tab/>
        <w:t>Sperna Weiland NH, Brevoord D, Jöbsis DA, de Beaumont EMFH, Evers V, Preckel B, et al. Cerebral oxygenation during changes in vascular resistance and flow in patients on cardiopulmonary bypass – a physiological proof of concept study. Anaesthesia. 2017</w:t>
      </w:r>
      <w:r w:rsidR="00BC6188" w:rsidRPr="00BC6188">
        <w:rPr>
          <w:rFonts w:ascii="Calibri" w:hAnsi="Calibri" w:cs="Calibri"/>
          <w:noProof/>
          <w:szCs w:val="24"/>
        </w:rPr>
        <w:t xml:space="preserve"> Jan;72(1):49-56.</w:t>
      </w:r>
    </w:p>
    <w:p w14:paraId="6924B63B"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25. </w:t>
      </w:r>
      <w:r w:rsidRPr="00B609E4">
        <w:rPr>
          <w:rFonts w:ascii="Calibri" w:hAnsi="Calibri" w:cs="Calibri"/>
          <w:noProof/>
          <w:szCs w:val="24"/>
        </w:rPr>
        <w:tab/>
        <w:t>Czosnyka M, Guazzo E, Whitehouse M, Smielewski P, Czosnyka Z, Kirkpatrick P, et al. Significance of intracranial pressure waveform analysis after head injury. Acta Neurochir (Wien) [Internet]. 1996 May;138(5):531–42. Available from: http://link.springer.com/10.1007/BF01411173</w:t>
      </w:r>
    </w:p>
    <w:p w14:paraId="406FDFFB"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26. </w:t>
      </w:r>
      <w:r w:rsidRPr="00B609E4">
        <w:rPr>
          <w:rFonts w:ascii="Calibri" w:hAnsi="Calibri" w:cs="Calibri"/>
          <w:noProof/>
          <w:szCs w:val="24"/>
        </w:rPr>
        <w:tab/>
        <w:t xml:space="preserve">Hahn GH, Hyttel-Sorensen S, Petersen SM, Pryds O, Greisen G. Cerebral Effects of Commonly Used Vasopressor-Inotropes: A Study in Newborn Piglets. PLoS One. 2013;8(5). </w:t>
      </w:r>
    </w:p>
    <w:p w14:paraId="1EF08544"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27. </w:t>
      </w:r>
      <w:r w:rsidRPr="00B609E4">
        <w:rPr>
          <w:rFonts w:ascii="Calibri" w:hAnsi="Calibri" w:cs="Calibri"/>
          <w:noProof/>
          <w:szCs w:val="24"/>
        </w:rPr>
        <w:tab/>
        <w:t xml:space="preserve">De Riva N, Budohoski KP, Smielewski P, Kasprowicz M, Zweifel C, Steiner LA, et al. Transcranial </w:t>
      </w:r>
      <w:r w:rsidRPr="00B609E4">
        <w:rPr>
          <w:rFonts w:ascii="Calibri" w:hAnsi="Calibri" w:cs="Calibri"/>
          <w:noProof/>
          <w:szCs w:val="24"/>
        </w:rPr>
        <w:lastRenderedPageBreak/>
        <w:t xml:space="preserve">doppler pulsatility index: What it is and what it isn’t. Neurocrit Care. 2012;17(1):58–66. </w:t>
      </w:r>
    </w:p>
    <w:p w14:paraId="0C353675" w14:textId="63B6624D"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28. </w:t>
      </w:r>
      <w:r w:rsidRPr="00B609E4">
        <w:rPr>
          <w:rFonts w:ascii="Calibri" w:hAnsi="Calibri" w:cs="Calibri"/>
          <w:noProof/>
          <w:szCs w:val="24"/>
        </w:rPr>
        <w:tab/>
        <w:t>Kasprowicz M, Czosnyka M, Soehle M, Smielewski P, Kirkpatrick PJ, Pickard JD, et al. Vasospasm shortens cerebral arterial time constant. Neurocrit Care. 2012</w:t>
      </w:r>
      <w:r w:rsidR="00BC6188" w:rsidRPr="00BC6188">
        <w:rPr>
          <w:rFonts w:ascii="Calibri" w:hAnsi="Calibri" w:cs="Calibri"/>
          <w:noProof/>
          <w:szCs w:val="24"/>
        </w:rPr>
        <w:t xml:space="preserve"> Apr 1;16(2):213-8.</w:t>
      </w:r>
    </w:p>
    <w:p w14:paraId="7076D52E"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29. </w:t>
      </w:r>
      <w:r w:rsidRPr="00B609E4">
        <w:rPr>
          <w:rFonts w:ascii="Calibri" w:hAnsi="Calibri" w:cs="Calibri"/>
          <w:noProof/>
          <w:szCs w:val="24"/>
        </w:rPr>
        <w:tab/>
        <w:t>Richards HK, Czosnyka M, Whitehouse H, Pickard JD. Increase in transcranial Doppler pulsatility index does not indicate the lower limit of cerebral autoregulation. Acta Neurochir Suppl [Internet]. 1998;71:229–32. Available from: http://www.ncbi.nlm.nih.gov/entrez/query.fcgi?cmd=Retrieve&amp;db=PubMed&amp;dopt=Citation&amp;list_uids=9779192</w:t>
      </w:r>
    </w:p>
    <w:p w14:paraId="19DD4C23"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30. </w:t>
      </w:r>
      <w:r w:rsidRPr="00B609E4">
        <w:rPr>
          <w:rFonts w:ascii="Calibri" w:hAnsi="Calibri" w:cs="Calibri"/>
          <w:noProof/>
          <w:szCs w:val="24"/>
        </w:rPr>
        <w:tab/>
        <w:t xml:space="preserve">Brothers RM, Zhang R. CrossTalk opposing view: The middle cerebral artery diameter does not change during alterations in arterial blood gases and blood pressure. Vol. 594, Journal of Physiology. 2016. p. 4077–9. </w:t>
      </w:r>
    </w:p>
    <w:p w14:paraId="59BE8918"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31. </w:t>
      </w:r>
      <w:r w:rsidRPr="00B609E4">
        <w:rPr>
          <w:rFonts w:ascii="Calibri" w:hAnsi="Calibri" w:cs="Calibri"/>
          <w:noProof/>
          <w:szCs w:val="24"/>
        </w:rPr>
        <w:tab/>
        <w:t xml:space="preserve">Hoiland RL, Ainslie PN. CrossTalk proposal: The middle cerebral artery diameter does change during alterations in arterial blood gases and blood pressure. Vol. 594, Journal of Physiology. 2016. p. 4073–5. </w:t>
      </w:r>
    </w:p>
    <w:p w14:paraId="7D9E4843"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32. </w:t>
      </w:r>
      <w:r w:rsidRPr="00B609E4">
        <w:rPr>
          <w:rFonts w:ascii="Calibri" w:hAnsi="Calibri" w:cs="Calibri"/>
          <w:noProof/>
          <w:szCs w:val="24"/>
        </w:rPr>
        <w:tab/>
        <w:t xml:space="preserve">Avezaat CJJ, van Eijndhoven JHM. The role of the pulsatile pressure variations in intracranial pressure monitoring. Neurosurg Rev. 1986;9(1–2):113–20. </w:t>
      </w:r>
    </w:p>
    <w:p w14:paraId="3C473DC8"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33. </w:t>
      </w:r>
      <w:r w:rsidRPr="00B609E4">
        <w:rPr>
          <w:rFonts w:ascii="Calibri" w:hAnsi="Calibri" w:cs="Calibri"/>
          <w:noProof/>
          <w:szCs w:val="24"/>
        </w:rPr>
        <w:tab/>
        <w:t>Carrera E, Kim D-J, Castellani G, Zweifel C, Czosnyka Z, Kasprowicz M, et al. What Shapes Pulse Amplitude of Intracranial Pressure? J Neurotrauma [Internet]. 2010;27(2):317–24. Available from: http://www.liebertonline.com/doi/abs/10.1089/neu.2009.0951</w:t>
      </w:r>
    </w:p>
    <w:p w14:paraId="1419FCD9" w14:textId="249C7451"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34. </w:t>
      </w:r>
      <w:r w:rsidRPr="00B609E4">
        <w:rPr>
          <w:rFonts w:ascii="Calibri" w:hAnsi="Calibri" w:cs="Calibri"/>
          <w:noProof/>
          <w:szCs w:val="24"/>
        </w:rPr>
        <w:tab/>
        <w:t xml:space="preserve">Carney N, Totten AM, OʼReilly C, Ullman JS, Hawryluk GWJ, Bell MJ, et al. Guidelines for the Management of Severe Traumatic Brain Injury, Fourth Edition. Neurosurgery. </w:t>
      </w:r>
      <w:r w:rsidR="00BC6188" w:rsidRPr="00BC6188">
        <w:rPr>
          <w:rFonts w:ascii="Calibri" w:hAnsi="Calibri" w:cs="Calibri"/>
          <w:noProof/>
          <w:szCs w:val="24"/>
        </w:rPr>
        <w:t>2017 Jan 1;80(1):6-15.</w:t>
      </w:r>
      <w:r w:rsidRPr="00B609E4">
        <w:rPr>
          <w:rFonts w:ascii="Calibri" w:hAnsi="Calibri" w:cs="Calibri"/>
          <w:noProof/>
          <w:szCs w:val="24"/>
        </w:rPr>
        <w:t xml:space="preserve"> </w:t>
      </w:r>
    </w:p>
    <w:p w14:paraId="4405C67B"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lastRenderedPageBreak/>
        <w:t xml:space="preserve">35. </w:t>
      </w:r>
      <w:r w:rsidRPr="00B609E4">
        <w:rPr>
          <w:rFonts w:ascii="Calibri" w:hAnsi="Calibri" w:cs="Calibri"/>
          <w:noProof/>
          <w:szCs w:val="24"/>
        </w:rPr>
        <w:tab/>
        <w:t xml:space="preserve">Sorrentino E, Diedler J, Kasprowicz M, Budohoski KP, Haubrich C, Smielewski P, et al. Critical thresholds for cerebrovascular reactivity after traumatic brain injury. Neurocrit Care. 2012;16(2):258–66. </w:t>
      </w:r>
    </w:p>
    <w:p w14:paraId="2C9C389F" w14:textId="21270EFC"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36. </w:t>
      </w:r>
      <w:r w:rsidRPr="00B609E4">
        <w:rPr>
          <w:rFonts w:ascii="Calibri" w:hAnsi="Calibri" w:cs="Calibri"/>
          <w:noProof/>
          <w:szCs w:val="24"/>
        </w:rPr>
        <w:tab/>
        <w:t>Brady KM, Lee JK, Kibler KK, Easley RB, Koehler RC, Shaffner DH. Continuous measurement of autoregulation by spontaneous fluctuations in cerebral perfusion pressure: comparison of 3 methods. Stroke. 2008</w:t>
      </w:r>
      <w:r w:rsidR="00BC6188" w:rsidRPr="00BC6188">
        <w:t xml:space="preserve"> </w:t>
      </w:r>
      <w:r w:rsidR="00BC6188" w:rsidRPr="00BC6188">
        <w:rPr>
          <w:rFonts w:ascii="Calibri" w:hAnsi="Calibri" w:cs="Calibri"/>
          <w:noProof/>
          <w:szCs w:val="24"/>
        </w:rPr>
        <w:t>Sep 1;39(9):2531-7.</w:t>
      </w:r>
      <w:r w:rsidRPr="00B609E4">
        <w:rPr>
          <w:rFonts w:ascii="Calibri" w:hAnsi="Calibri" w:cs="Calibri"/>
          <w:noProof/>
          <w:szCs w:val="24"/>
        </w:rPr>
        <w:t xml:space="preserve"> </w:t>
      </w:r>
    </w:p>
    <w:p w14:paraId="003500BC" w14:textId="72769EED"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37. </w:t>
      </w:r>
      <w:r w:rsidRPr="00B609E4">
        <w:rPr>
          <w:rFonts w:ascii="Calibri" w:hAnsi="Calibri" w:cs="Calibri"/>
          <w:noProof/>
          <w:szCs w:val="24"/>
        </w:rPr>
        <w:tab/>
        <w:t>Zeiler FA, Donnelly J, Smielewski P, Menon DK, Hutchinson PJ, Czosnyka M. Critical Thresholds of Intracranial Pressure-Derived Continuous Cerebrovascular Reactivity Indices for Outcome Prediction in Noncraniectomized Patients with Traumatic Brain Injury. J Neurotrauma. 2018</w:t>
      </w:r>
      <w:r w:rsidR="00BC6188" w:rsidRPr="00BC6188">
        <w:t xml:space="preserve"> </w:t>
      </w:r>
      <w:r w:rsidR="00BC6188" w:rsidRPr="00BC6188">
        <w:rPr>
          <w:rFonts w:ascii="Calibri" w:hAnsi="Calibri" w:cs="Calibri"/>
          <w:noProof/>
          <w:szCs w:val="24"/>
        </w:rPr>
        <w:t>May 15;35(10):1107-15.</w:t>
      </w:r>
      <w:r w:rsidRPr="00B609E4">
        <w:rPr>
          <w:rFonts w:ascii="Calibri" w:hAnsi="Calibri" w:cs="Calibri"/>
          <w:noProof/>
          <w:szCs w:val="24"/>
        </w:rPr>
        <w:t xml:space="preserve"> </w:t>
      </w:r>
    </w:p>
    <w:p w14:paraId="0C69DF07" w14:textId="4BBBF1F1"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38. </w:t>
      </w:r>
      <w:r w:rsidRPr="00B609E4">
        <w:rPr>
          <w:rFonts w:ascii="Calibri" w:hAnsi="Calibri" w:cs="Calibri"/>
          <w:noProof/>
          <w:szCs w:val="24"/>
        </w:rPr>
        <w:tab/>
        <w:t xml:space="preserve">Steiner LA, Czosnyka M, Piechnik SK. Continuous monitoring of cerebrovascular pressure reactivity allows determination of optimal cerebral perfusion pressure in patients with traumatic brain injury. Crit Care. 2002 </w:t>
      </w:r>
      <w:r w:rsidR="00BC6188" w:rsidRPr="00BC6188">
        <w:rPr>
          <w:rFonts w:ascii="Calibri" w:hAnsi="Calibri" w:cs="Calibri"/>
          <w:noProof/>
          <w:szCs w:val="24"/>
        </w:rPr>
        <w:t>Apr 1;30(4):733-8.</w:t>
      </w:r>
    </w:p>
    <w:p w14:paraId="549DC1E5" w14:textId="043D9088"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39. </w:t>
      </w:r>
      <w:r w:rsidRPr="00B609E4">
        <w:rPr>
          <w:rFonts w:ascii="Calibri" w:hAnsi="Calibri" w:cs="Calibri"/>
          <w:noProof/>
          <w:szCs w:val="24"/>
        </w:rPr>
        <w:tab/>
        <w:t>Aries MJH, Czosnyka M, Budohoski KP, Steiner LA, Lavinio A, Kolias AG, et al. Continuous determination of optimal cerebral perfusion pressure in traumatic brain injury. Crit Care Med. 2012</w:t>
      </w:r>
      <w:r w:rsidR="00BC6188" w:rsidRPr="00BC6188">
        <w:t xml:space="preserve"> </w:t>
      </w:r>
      <w:r w:rsidR="00BC6188" w:rsidRPr="00BC6188">
        <w:rPr>
          <w:rFonts w:ascii="Calibri" w:hAnsi="Calibri" w:cs="Calibri"/>
          <w:noProof/>
          <w:szCs w:val="24"/>
        </w:rPr>
        <w:t>Aug 1;40(8):2456-63.</w:t>
      </w:r>
      <w:r w:rsidRPr="00B609E4">
        <w:rPr>
          <w:rFonts w:ascii="Calibri" w:hAnsi="Calibri" w:cs="Calibri"/>
          <w:noProof/>
          <w:szCs w:val="24"/>
        </w:rPr>
        <w:t xml:space="preserve"> </w:t>
      </w:r>
    </w:p>
    <w:p w14:paraId="432458CE" w14:textId="48DE6D0D"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40. </w:t>
      </w:r>
      <w:r w:rsidRPr="00B609E4">
        <w:rPr>
          <w:rFonts w:ascii="Calibri" w:hAnsi="Calibri" w:cs="Calibri"/>
          <w:noProof/>
          <w:szCs w:val="24"/>
        </w:rPr>
        <w:tab/>
        <w:t>Needham E, McFadyen C, Newcombe V, Synnot AJ, Czosnyka M, Menon D. Cerebral Perfusion Pressure Targets Individualized to Pressure-Reactivity Index in Moderate to Severe Traumatic Brain Injury: A Systematic Review. J Neurotrauma. 2017</w:t>
      </w:r>
      <w:r w:rsidR="00BE19B2" w:rsidRPr="00BE19B2">
        <w:t xml:space="preserve"> </w:t>
      </w:r>
      <w:r w:rsidR="00BE19B2" w:rsidRPr="00BE19B2">
        <w:rPr>
          <w:rFonts w:ascii="Calibri" w:hAnsi="Calibri" w:cs="Calibri"/>
          <w:noProof/>
          <w:szCs w:val="24"/>
        </w:rPr>
        <w:t>Mar 1;34(5):963-70.</w:t>
      </w:r>
    </w:p>
    <w:p w14:paraId="646FB398"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41. </w:t>
      </w:r>
      <w:r w:rsidRPr="00B609E4">
        <w:rPr>
          <w:rFonts w:ascii="Calibri" w:hAnsi="Calibri" w:cs="Calibri"/>
          <w:noProof/>
          <w:szCs w:val="24"/>
        </w:rPr>
        <w:tab/>
        <w:t xml:space="preserve">Lazaridis C, DeSantis SM, Smielewski P, Menon DK, Hutchinson P, Pickard JD, et al. Patient-specific thresholds of intracranial pressure in severe traumatic brain injury. J Neurosurg [Internet]. 2014;120(4):893–900. Available from: </w:t>
      </w:r>
      <w:r w:rsidRPr="00B609E4">
        <w:rPr>
          <w:rFonts w:ascii="Calibri" w:hAnsi="Calibri" w:cs="Calibri"/>
          <w:noProof/>
          <w:szCs w:val="24"/>
        </w:rPr>
        <w:lastRenderedPageBreak/>
        <w:t>http://thejns.org/doi/10.3171/2014.1.JNS131292</w:t>
      </w:r>
    </w:p>
    <w:p w14:paraId="2C49C97A"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42. </w:t>
      </w:r>
      <w:r w:rsidRPr="00B609E4">
        <w:rPr>
          <w:rFonts w:ascii="Calibri" w:hAnsi="Calibri" w:cs="Calibri"/>
          <w:noProof/>
          <w:szCs w:val="24"/>
        </w:rPr>
        <w:tab/>
        <w:t xml:space="preserve">Kasprowicz M, Diedler J, Reinhard M, Carrera E, Smielewski P, Budohoski KP, et al. Time constant of the cerebral arterial bed. In: Acta Neurochirurgica, Supplementum. 2012. p. 17–21. </w:t>
      </w:r>
    </w:p>
    <w:p w14:paraId="25C31F72"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43. </w:t>
      </w:r>
      <w:r w:rsidRPr="00B609E4">
        <w:rPr>
          <w:rFonts w:ascii="Calibri" w:hAnsi="Calibri" w:cs="Calibri"/>
          <w:noProof/>
          <w:szCs w:val="24"/>
        </w:rPr>
        <w:tab/>
        <w:t xml:space="preserve">Horikoshi T, Akiyama I, Yamagata Z, Sugita M, Nukui H. Magnetic resonance angiographic evidence of sex-linked variations in the circle of willis and the occurrence of cerebral aneurysms. J Neurosurg. 2002;96(4):697–703. </w:t>
      </w:r>
    </w:p>
    <w:p w14:paraId="499A0EE3" w14:textId="77777777" w:rsidR="00B609E4" w:rsidRPr="00B609E4" w:rsidRDefault="00B609E4" w:rsidP="00020ABC">
      <w:pPr>
        <w:widowControl w:val="0"/>
        <w:autoSpaceDE w:val="0"/>
        <w:autoSpaceDN w:val="0"/>
        <w:adjustRightInd w:val="0"/>
        <w:spacing w:line="480" w:lineRule="auto"/>
        <w:ind w:left="640" w:hanging="640"/>
        <w:rPr>
          <w:rFonts w:ascii="Calibri" w:hAnsi="Calibri" w:cs="Calibri"/>
          <w:noProof/>
          <w:szCs w:val="24"/>
        </w:rPr>
      </w:pPr>
      <w:r w:rsidRPr="00B609E4">
        <w:rPr>
          <w:rFonts w:ascii="Calibri" w:hAnsi="Calibri" w:cs="Calibri"/>
          <w:noProof/>
          <w:szCs w:val="24"/>
        </w:rPr>
        <w:t xml:space="preserve">44. </w:t>
      </w:r>
      <w:r w:rsidRPr="00B609E4">
        <w:rPr>
          <w:rFonts w:ascii="Calibri" w:hAnsi="Calibri" w:cs="Calibri"/>
          <w:noProof/>
          <w:szCs w:val="24"/>
        </w:rPr>
        <w:tab/>
        <w:t xml:space="preserve">Ito H, Ibaraki M, Kanno I, Fukuda H, Miura S. Changes in the arterial fraction of human cerebral blood volume during hypercapnia and hypocapnia measured by positron emission tomography. J Cereb Blood Flow Metab. 2005;25:852–7. </w:t>
      </w:r>
    </w:p>
    <w:p w14:paraId="3639F654" w14:textId="1346C9F4" w:rsidR="00B609E4" w:rsidRPr="00B609E4" w:rsidRDefault="00B609E4" w:rsidP="00020ABC">
      <w:pPr>
        <w:widowControl w:val="0"/>
        <w:autoSpaceDE w:val="0"/>
        <w:autoSpaceDN w:val="0"/>
        <w:adjustRightInd w:val="0"/>
        <w:spacing w:line="480" w:lineRule="auto"/>
        <w:ind w:left="640" w:hanging="640"/>
        <w:rPr>
          <w:rFonts w:ascii="Calibri" w:hAnsi="Calibri" w:cs="Calibri"/>
          <w:noProof/>
        </w:rPr>
      </w:pPr>
      <w:r w:rsidRPr="00B609E4">
        <w:rPr>
          <w:rFonts w:ascii="Calibri" w:hAnsi="Calibri" w:cs="Calibri"/>
          <w:noProof/>
          <w:szCs w:val="24"/>
        </w:rPr>
        <w:t xml:space="preserve">45. </w:t>
      </w:r>
      <w:r w:rsidRPr="00B609E4">
        <w:rPr>
          <w:rFonts w:ascii="Calibri" w:hAnsi="Calibri" w:cs="Calibri"/>
          <w:noProof/>
          <w:szCs w:val="24"/>
        </w:rPr>
        <w:tab/>
        <w:t xml:space="preserve">Steiner LA, Coles JP, Johnston AJ, Chatfield DA, Smielewski P, Fryer TD, et al. Assessment of cerebrovascular autoregulation in head-injured patients: A validation study. Stroke. 2003;34(10):2404–9. </w:t>
      </w:r>
    </w:p>
    <w:p w14:paraId="44DFBBDD" w14:textId="02DC97BC" w:rsidR="00997038" w:rsidRDefault="003F355E" w:rsidP="00020ABC">
      <w:pPr>
        <w:spacing w:line="480" w:lineRule="auto"/>
        <w:rPr>
          <w:b/>
        </w:rPr>
      </w:pPr>
      <w:r>
        <w:rPr>
          <w:b/>
        </w:rPr>
        <w:fldChar w:fldCharType="end"/>
      </w:r>
    </w:p>
    <w:p w14:paraId="2CF26E95" w14:textId="77777777" w:rsidR="00C578FC" w:rsidRDefault="00C578FC" w:rsidP="00D649F7">
      <w:pPr>
        <w:rPr>
          <w:b/>
        </w:rPr>
      </w:pPr>
    </w:p>
    <w:p w14:paraId="6D1D4755" w14:textId="17798BBC" w:rsidR="00997038" w:rsidRDefault="00C578FC" w:rsidP="00D649F7">
      <w:pPr>
        <w:rPr>
          <w:b/>
        </w:rPr>
      </w:pPr>
      <w:r>
        <w:rPr>
          <w:b/>
        </w:rPr>
        <w:t>Appendix A: Spectral Models of Cerebral Blood Volume Estimation</w:t>
      </w:r>
    </w:p>
    <w:p w14:paraId="26AF09C5" w14:textId="2416993E" w:rsidR="00C578FC" w:rsidRDefault="00C578FC" w:rsidP="00D649F7">
      <w:pPr>
        <w:rPr>
          <w:b/>
        </w:rPr>
      </w:pPr>
    </w:p>
    <w:p w14:paraId="1201AEBA" w14:textId="00AE6417" w:rsidR="00C578FC" w:rsidRDefault="00C578FC" w:rsidP="00D649F7">
      <w:pPr>
        <w:rPr>
          <w:b/>
        </w:rPr>
      </w:pPr>
    </w:p>
    <w:p w14:paraId="29D3BC23" w14:textId="7C56BEB4" w:rsidR="00C578FC" w:rsidRDefault="00C578FC" w:rsidP="00D649F7">
      <w:pPr>
        <w:rPr>
          <w:b/>
        </w:rPr>
      </w:pPr>
    </w:p>
    <w:p w14:paraId="15B51FC7" w14:textId="77777777" w:rsidR="00C578FC" w:rsidRPr="00C578FC" w:rsidRDefault="00C578FC" w:rsidP="00C578FC">
      <w:r w:rsidRPr="00C578FC">
        <w:rPr>
          <w:u w:val="single"/>
        </w:rPr>
        <w:t>Resistors</w:t>
      </w:r>
      <w:r w:rsidRPr="00C578FC">
        <w:tab/>
      </w:r>
      <w:r w:rsidRPr="00C578FC">
        <w:tab/>
      </w:r>
      <w:r w:rsidRPr="00C578FC">
        <w:tab/>
      </w:r>
      <w:r w:rsidRPr="00C578FC">
        <w:tab/>
      </w:r>
      <w:r w:rsidRPr="00C578FC">
        <w:tab/>
        <w:t xml:space="preserve">  </w:t>
      </w:r>
      <w:r w:rsidRPr="00C578FC">
        <w:rPr>
          <w:u w:val="single"/>
        </w:rPr>
        <w:t xml:space="preserve"> Capacitors</w:t>
      </w:r>
    </w:p>
    <w:p w14:paraId="6090C911" w14:textId="543C8462" w:rsidR="00C578FC" w:rsidRPr="00C578FC" w:rsidRDefault="00C578FC" w:rsidP="00C578FC">
      <w:pPr>
        <w:rPr>
          <w:i/>
        </w:rPr>
      </w:pPr>
      <w:r w:rsidRPr="00C578FC">
        <w:tab/>
        <w:t xml:space="preserve">Ra1 = </w:t>
      </w:r>
      <m:oMath>
        <m:f>
          <m:fPr>
            <m:ctrlPr>
              <w:rPr>
                <w:rFonts w:ascii="Cambria Math" w:hAnsi="Cambria Math"/>
                <w:i/>
              </w:rPr>
            </m:ctrlPr>
          </m:fPr>
          <m:num>
            <m:sSub>
              <m:sSubPr>
                <m:ctrlPr>
                  <w:rPr>
                    <w:rFonts w:ascii="Cambria Math" w:hAnsi="Cambria Math"/>
                    <w:i/>
                  </w:rPr>
                </m:ctrlPr>
              </m:sSubPr>
              <m:e>
                <m:r>
                  <w:rPr>
                    <w:rFonts w:ascii="Cambria Math" w:hAnsi="Cambria Math"/>
                  </w:rPr>
                  <m:t>ABP</m:t>
                </m:r>
              </m:e>
              <m:sub>
                <m:r>
                  <w:rPr>
                    <w:rFonts w:ascii="Cambria Math" w:hAnsi="Cambria Math"/>
                  </w:rPr>
                  <m:t>m</m:t>
                </m:r>
              </m:sub>
            </m:sSub>
          </m:num>
          <m:den>
            <m:sSub>
              <m:sSubPr>
                <m:ctrlPr>
                  <w:rPr>
                    <w:rFonts w:ascii="Cambria Math" w:hAnsi="Cambria Math"/>
                    <w:i/>
                  </w:rPr>
                </m:ctrlPr>
              </m:sSubPr>
              <m:e>
                <m:r>
                  <w:rPr>
                    <w:rFonts w:ascii="Cambria Math" w:hAnsi="Cambria Math"/>
                  </w:rPr>
                  <m:t>FV</m:t>
                </m:r>
              </m:e>
              <m:sub>
                <m:r>
                  <w:rPr>
                    <w:rFonts w:ascii="Cambria Math" w:hAnsi="Cambria Math"/>
                  </w:rPr>
                  <m:t>m</m:t>
                </m:r>
              </m:sub>
            </m:sSub>
          </m:den>
        </m:f>
      </m:oMath>
      <w:r w:rsidRPr="00C578FC">
        <w:tab/>
      </w:r>
      <w:r w:rsidRPr="00C578FC">
        <w:tab/>
      </w:r>
      <w:r w:rsidRPr="00C578FC">
        <w:tab/>
        <w:t xml:space="preserve"> </w:t>
      </w:r>
      <w:r w:rsidRPr="00C578FC">
        <w:tab/>
      </w:r>
      <w:r w:rsidRPr="00C578FC">
        <w:tab/>
        <w:t xml:space="preserve">  C1 = </w:t>
      </w:r>
      <m:oMath>
        <m:r>
          <w:rPr>
            <w:rFonts w:ascii="Cambria Math" w:hAnsi="Cambria Math"/>
          </w:rPr>
          <m:t xml:space="preserve">  </m:t>
        </m:r>
        <m:f>
          <m:fPr>
            <m:ctrlPr>
              <w:rPr>
                <w:rFonts w:ascii="Cambria Math" w:hAnsi="Cambria Math"/>
                <w:i/>
              </w:rPr>
            </m:ctrlPr>
          </m:fPr>
          <m:num>
            <m:r>
              <w:rPr>
                <w:rFonts w:ascii="Cambria Math" w:hAnsi="Cambria Math"/>
              </w:rPr>
              <m:t>Amp</m:t>
            </m:r>
            <m:sSub>
              <m:sSubPr>
                <m:ctrlPr>
                  <w:rPr>
                    <w:rFonts w:ascii="Cambria Math" w:hAnsi="Cambria Math"/>
                    <w:i/>
                  </w:rPr>
                </m:ctrlPr>
              </m:sSubPr>
              <m:e>
                <m:r>
                  <w:rPr>
                    <w:rFonts w:ascii="Cambria Math" w:hAnsi="Cambria Math"/>
                  </w:rPr>
                  <m:t>CABV</m:t>
                </m:r>
              </m:e>
              <m:sub>
                <m:r>
                  <w:rPr>
                    <w:rFonts w:ascii="Cambria Math" w:hAnsi="Cambria Math"/>
                  </w:rPr>
                  <m:t>CFF</m:t>
                </m:r>
              </m:sub>
            </m:sSub>
          </m:num>
          <m:den>
            <m:r>
              <w:rPr>
                <w:rFonts w:ascii="Cambria Math" w:hAnsi="Cambria Math"/>
              </w:rPr>
              <m:t>AmpABP</m:t>
            </m:r>
          </m:den>
        </m:f>
      </m:oMath>
      <w:r w:rsidRPr="00C578FC">
        <w:t xml:space="preserve">              </w:t>
      </w:r>
    </w:p>
    <w:p w14:paraId="2D7E7EB9" w14:textId="5CC02597" w:rsidR="00C578FC" w:rsidRPr="00C578FC" w:rsidRDefault="00C578FC" w:rsidP="00C578FC">
      <w:pPr>
        <w:rPr>
          <w:i/>
        </w:rPr>
      </w:pPr>
      <w:r w:rsidRPr="00C578FC">
        <w:tab/>
        <w:t xml:space="preserve">Ra2 = </w:t>
      </w:r>
      <m:oMath>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F</m:t>
                </m:r>
              </m:e>
              <m:sub>
                <m:r>
                  <w:rPr>
                    <w:rFonts w:ascii="Cambria Math" w:hAnsi="Cambria Math"/>
                  </w:rPr>
                  <m:t>1</m:t>
                </m:r>
              </m:sub>
            </m:sSub>
          </m:den>
        </m:f>
      </m:oMath>
      <w:r w:rsidRPr="00C578FC">
        <w:tab/>
      </w:r>
      <w:r w:rsidRPr="00C578FC">
        <w:tab/>
      </w:r>
      <w:r w:rsidRPr="00C578FC">
        <w:tab/>
      </w:r>
      <w:r w:rsidRPr="00C578FC">
        <w:tab/>
        <w:t xml:space="preserve">                C2 =  </w:t>
      </w:r>
      <m:oMath>
        <m:f>
          <m:fPr>
            <m:ctrlPr>
              <w:rPr>
                <w:rFonts w:ascii="Cambria Math" w:hAnsi="Cambria Math"/>
                <w:i/>
              </w:rPr>
            </m:ctrlPr>
          </m:fPr>
          <m:num>
            <m:r>
              <w:rPr>
                <w:rFonts w:ascii="Cambria Math" w:hAnsi="Cambria Math"/>
              </w:rPr>
              <m:t>Amp</m:t>
            </m:r>
            <m:sSub>
              <m:sSubPr>
                <m:ctrlPr>
                  <w:rPr>
                    <w:rFonts w:ascii="Cambria Math" w:hAnsi="Cambria Math"/>
                    <w:i/>
                  </w:rPr>
                </m:ctrlPr>
              </m:sSubPr>
              <m:e>
                <m:r>
                  <w:rPr>
                    <w:rFonts w:ascii="Cambria Math" w:hAnsi="Cambria Math"/>
                  </w:rPr>
                  <m:t>CABV</m:t>
                </m:r>
              </m:e>
              <m:sub>
                <m:sSub>
                  <m:sSubPr>
                    <m:ctrlPr>
                      <w:rPr>
                        <w:rFonts w:ascii="Cambria Math" w:hAnsi="Cambria Math"/>
                        <w:i/>
                      </w:rPr>
                    </m:ctrlPr>
                  </m:sSubPr>
                  <m:e>
                    <m:r>
                      <w:rPr>
                        <w:rFonts w:ascii="Cambria Math" w:hAnsi="Cambria Math"/>
                      </w:rPr>
                      <m:t>PFF</m:t>
                    </m:r>
                  </m:e>
                  <m:sub>
                    <m:r>
                      <w:rPr>
                        <w:rFonts w:ascii="Cambria Math" w:hAnsi="Cambria Math"/>
                      </w:rPr>
                      <m:t>ABP</m:t>
                    </m:r>
                  </m:sub>
                </m:sSub>
              </m:sub>
            </m:sSub>
          </m:num>
          <m:den>
            <m:r>
              <w:rPr>
                <w:rFonts w:ascii="Cambria Math" w:hAnsi="Cambria Math"/>
              </w:rPr>
              <m:t>AmpABP</m:t>
            </m:r>
          </m:den>
        </m:f>
      </m:oMath>
      <w:r w:rsidRPr="00C578FC">
        <w:t xml:space="preserve">         </w:t>
      </w:r>
    </w:p>
    <w:p w14:paraId="68D0481C" w14:textId="04ED2656" w:rsidR="00C578FC" w:rsidRPr="00C578FC" w:rsidRDefault="00C578FC" w:rsidP="00C578FC">
      <w:pPr>
        <w:rPr>
          <w:i/>
        </w:rPr>
      </w:pPr>
      <w:r w:rsidRPr="00C578FC">
        <w:tab/>
        <w:t xml:space="preserve">Ra3 = </w:t>
      </w:r>
      <m:oMath>
        <m:f>
          <m:fPr>
            <m:ctrlPr>
              <w:rPr>
                <w:rFonts w:ascii="Cambria Math" w:hAnsi="Cambria Math"/>
                <w:i/>
              </w:rPr>
            </m:ctrlPr>
          </m:fPr>
          <m:num>
            <m:sSub>
              <m:sSubPr>
                <m:ctrlPr>
                  <w:rPr>
                    <w:rFonts w:ascii="Cambria Math" w:hAnsi="Cambria Math"/>
                    <w:i/>
                  </w:rPr>
                </m:ctrlPr>
              </m:sSubPr>
              <m:e>
                <m:r>
                  <w:rPr>
                    <w:rFonts w:ascii="Cambria Math" w:hAnsi="Cambria Math"/>
                  </w:rPr>
                  <m:t>CPP</m:t>
                </m:r>
              </m:e>
              <m:sub>
                <m:r>
                  <w:rPr>
                    <w:rFonts w:ascii="Cambria Math" w:hAnsi="Cambria Math"/>
                  </w:rPr>
                  <m:t>m</m:t>
                </m:r>
              </m:sub>
            </m:sSub>
          </m:num>
          <m:den>
            <m:sSub>
              <m:sSubPr>
                <m:ctrlPr>
                  <w:rPr>
                    <w:rFonts w:ascii="Cambria Math" w:hAnsi="Cambria Math"/>
                    <w:i/>
                  </w:rPr>
                </m:ctrlPr>
              </m:sSubPr>
              <m:e>
                <m:r>
                  <w:rPr>
                    <w:rFonts w:ascii="Cambria Math" w:hAnsi="Cambria Math"/>
                  </w:rPr>
                  <m:t>FV</m:t>
                </m:r>
              </m:e>
              <m:sub>
                <m:r>
                  <w:rPr>
                    <w:rFonts w:ascii="Cambria Math" w:hAnsi="Cambria Math"/>
                  </w:rPr>
                  <m:t>m</m:t>
                </m:r>
              </m:sub>
            </m:sSub>
          </m:den>
        </m:f>
      </m:oMath>
      <w:r w:rsidRPr="00C578FC">
        <w:tab/>
      </w:r>
      <w:r w:rsidRPr="00C578FC">
        <w:tab/>
      </w:r>
      <w:r w:rsidRPr="00C578FC">
        <w:tab/>
      </w:r>
      <w:r w:rsidRPr="00C578FC">
        <w:tab/>
      </w:r>
      <w:r w:rsidRPr="00C578FC">
        <w:tab/>
        <w:t xml:space="preserve">  C3 =  </w:t>
      </w:r>
      <m:oMath>
        <m:f>
          <m:fPr>
            <m:ctrlPr>
              <w:rPr>
                <w:rFonts w:ascii="Cambria Math" w:hAnsi="Cambria Math"/>
                <w:i/>
              </w:rPr>
            </m:ctrlPr>
          </m:fPr>
          <m:num>
            <m:r>
              <w:rPr>
                <w:rFonts w:ascii="Cambria Math" w:hAnsi="Cambria Math"/>
              </w:rPr>
              <m:t>Amp</m:t>
            </m:r>
            <m:sSub>
              <m:sSubPr>
                <m:ctrlPr>
                  <w:rPr>
                    <w:rFonts w:ascii="Cambria Math" w:hAnsi="Cambria Math"/>
                    <w:i/>
                  </w:rPr>
                </m:ctrlPr>
              </m:sSubPr>
              <m:e>
                <m:r>
                  <w:rPr>
                    <w:rFonts w:ascii="Cambria Math" w:hAnsi="Cambria Math"/>
                  </w:rPr>
                  <m:t>CABV</m:t>
                </m:r>
              </m:e>
              <m:sub>
                <m:sSub>
                  <m:sSubPr>
                    <m:ctrlPr>
                      <w:rPr>
                        <w:rFonts w:ascii="Cambria Math" w:hAnsi="Cambria Math"/>
                        <w:i/>
                      </w:rPr>
                    </m:ctrlPr>
                  </m:sSubPr>
                  <m:e>
                    <m:r>
                      <w:rPr>
                        <w:rFonts w:ascii="Cambria Math" w:hAnsi="Cambria Math"/>
                      </w:rPr>
                      <m:t>PFF</m:t>
                    </m:r>
                  </m:e>
                  <m:sub>
                    <m:r>
                      <w:rPr>
                        <w:rFonts w:ascii="Cambria Math" w:hAnsi="Cambria Math"/>
                      </w:rPr>
                      <m:t>CPP</m:t>
                    </m:r>
                  </m:sub>
                </m:sSub>
              </m:sub>
            </m:sSub>
          </m:num>
          <m:den>
            <m:r>
              <w:rPr>
                <w:rFonts w:ascii="Cambria Math" w:hAnsi="Cambria Math"/>
              </w:rPr>
              <m:t>AmpABP</m:t>
            </m:r>
          </m:den>
        </m:f>
      </m:oMath>
    </w:p>
    <w:p w14:paraId="196B5043" w14:textId="77777777" w:rsidR="00C578FC" w:rsidRPr="00C578FC" w:rsidRDefault="00C578FC" w:rsidP="00C578FC">
      <w:r w:rsidRPr="00C578FC">
        <w:t xml:space="preserve">    </w:t>
      </w:r>
    </w:p>
    <w:p w14:paraId="44F2D801" w14:textId="77777777" w:rsidR="00C578FC" w:rsidRPr="00C578FC" w:rsidRDefault="00C578FC" w:rsidP="00C578FC">
      <w:r w:rsidRPr="00C578FC">
        <w:lastRenderedPageBreak/>
        <w:tab/>
      </w:r>
      <w:r w:rsidRPr="00C578FC">
        <w:tab/>
      </w:r>
      <w:r w:rsidRPr="00C578FC">
        <w:tab/>
      </w:r>
      <w:r w:rsidRPr="00C578FC">
        <w:tab/>
      </w:r>
      <w:r w:rsidRPr="00C578FC">
        <w:tab/>
      </w:r>
      <w:r w:rsidRPr="00C578FC">
        <w:tab/>
      </w:r>
      <w:r w:rsidRPr="00C578FC">
        <w:tab/>
      </w:r>
      <w:r w:rsidRPr="00C578FC">
        <w:tab/>
      </w:r>
      <w:r w:rsidRPr="00C578FC">
        <w:tab/>
      </w:r>
      <w:r w:rsidRPr="00C578FC">
        <w:tab/>
        <w:t xml:space="preserve">                      [10]</w:t>
      </w:r>
    </w:p>
    <w:p w14:paraId="33558B03" w14:textId="733519CF" w:rsidR="00C578FC" w:rsidRPr="00C578FC" w:rsidRDefault="00C578FC" w:rsidP="00C578FC">
      <w:r w:rsidRPr="00C578FC">
        <w:t xml:space="preserve">where </w:t>
      </w:r>
      <w:r w:rsidRPr="00C578FC">
        <w:rPr>
          <w:i/>
        </w:rPr>
        <w:t>ABP</w:t>
      </w:r>
      <w:r w:rsidRPr="00C578FC">
        <w:rPr>
          <w:i/>
          <w:vertAlign w:val="subscript"/>
        </w:rPr>
        <w:t>m</w:t>
      </w:r>
      <w:r w:rsidRPr="00C578FC">
        <w:t xml:space="preserve">, </w:t>
      </w:r>
      <w:r w:rsidRPr="00C578FC">
        <w:rPr>
          <w:i/>
        </w:rPr>
        <w:t>CPP</w:t>
      </w:r>
      <w:r w:rsidRPr="00C578FC">
        <w:rPr>
          <w:i/>
          <w:vertAlign w:val="subscript"/>
        </w:rPr>
        <w:t>m</w:t>
      </w:r>
      <w:r w:rsidRPr="00C578FC">
        <w:t xml:space="preserve">, and </w:t>
      </w:r>
      <w:r w:rsidRPr="00C578FC">
        <w:rPr>
          <w:i/>
        </w:rPr>
        <w:t>FV</w:t>
      </w:r>
      <w:r w:rsidRPr="00C578FC">
        <w:rPr>
          <w:i/>
          <w:vertAlign w:val="subscript"/>
        </w:rPr>
        <w:t>m</w:t>
      </w:r>
      <w:r w:rsidRPr="00C578FC">
        <w:t xml:space="preserve"> each represent the mean value of the respective parameter, </w:t>
      </w:r>
      <w:r w:rsidRPr="00C578FC">
        <w:rPr>
          <w:i/>
        </w:rPr>
        <w:t>A</w:t>
      </w:r>
      <w:r w:rsidRPr="00C578FC">
        <w:rPr>
          <w:i/>
          <w:vertAlign w:val="subscript"/>
        </w:rPr>
        <w:t>1</w:t>
      </w:r>
      <w:r w:rsidRPr="00C578FC">
        <w:t xml:space="preserve"> the fundamental harmonic of ABP, and </w:t>
      </w:r>
      <w:r w:rsidRPr="00C578FC">
        <w:rPr>
          <w:i/>
        </w:rPr>
        <w:t>F</w:t>
      </w:r>
      <w:r w:rsidRPr="00C578FC">
        <w:rPr>
          <w:i/>
          <w:vertAlign w:val="subscript"/>
        </w:rPr>
        <w:t>1</w:t>
      </w:r>
      <w:r w:rsidRPr="00C578FC">
        <w:rPr>
          <w:i/>
        </w:rPr>
        <w:t xml:space="preserve"> </w:t>
      </w:r>
      <w:r w:rsidRPr="00C578FC">
        <w:t>the fundamental amplitude of the FV</w:t>
      </w:r>
      <w:r w:rsidR="00D47164">
        <w:t xml:space="preserve"> </w:t>
      </w:r>
      <w:r w:rsidRPr="00C578FC">
        <w:t>waveform.</w:t>
      </w:r>
    </w:p>
    <w:p w14:paraId="26DEEDE9" w14:textId="77777777" w:rsidR="00C578FC" w:rsidRDefault="00C578FC" w:rsidP="00D649F7">
      <w:pPr>
        <w:rPr>
          <w:b/>
        </w:rPr>
      </w:pPr>
    </w:p>
    <w:p w14:paraId="22C8F993" w14:textId="77777777" w:rsidR="00DA3886" w:rsidRDefault="00DA3886" w:rsidP="00D649F7">
      <w:pPr>
        <w:rPr>
          <w:b/>
        </w:rPr>
      </w:pPr>
    </w:p>
    <w:p w14:paraId="4C7DDB36" w14:textId="36695641" w:rsidR="00D649F7" w:rsidRPr="00253939" w:rsidRDefault="00D649F7" w:rsidP="00D649F7">
      <w:pPr>
        <w:rPr>
          <w:b/>
        </w:rPr>
      </w:pPr>
      <w:r w:rsidRPr="00253939">
        <w:rPr>
          <w:b/>
        </w:rPr>
        <w:t xml:space="preserve">Appendix </w:t>
      </w:r>
      <w:r w:rsidR="00C578FC">
        <w:rPr>
          <w:b/>
        </w:rPr>
        <w:t>B</w:t>
      </w:r>
      <w:r w:rsidRPr="00253939">
        <w:rPr>
          <w:b/>
        </w:rPr>
        <w:t>:</w:t>
      </w:r>
      <w:r w:rsidR="00253939">
        <w:rPr>
          <w:b/>
        </w:rPr>
        <w:t xml:space="preserve"> </w:t>
      </w:r>
      <w:r w:rsidRPr="00253939">
        <w:rPr>
          <w:b/>
        </w:rPr>
        <w:t xml:space="preserve">Formulaic Characterizations of Cerebral </w:t>
      </w:r>
      <w:r w:rsidR="003051F0">
        <w:rPr>
          <w:b/>
        </w:rPr>
        <w:t xml:space="preserve">Arterial </w:t>
      </w:r>
      <w:r w:rsidRPr="00253939">
        <w:rPr>
          <w:b/>
        </w:rPr>
        <w:t>Blood Volume Estimat</w:t>
      </w:r>
      <w:r w:rsidR="00686D7D" w:rsidRPr="00253939">
        <w:rPr>
          <w:b/>
        </w:rPr>
        <w:t>or Models</w:t>
      </w:r>
      <w:r w:rsidRPr="00253939">
        <w:rPr>
          <w:b/>
        </w:rPr>
        <w:t>:</w:t>
      </w:r>
    </w:p>
    <w:p w14:paraId="168C19F2" w14:textId="17CC0832" w:rsidR="00D649F7" w:rsidRDefault="00D649F7" w:rsidP="00D649F7"/>
    <w:p w14:paraId="0963313F" w14:textId="0E7F89A0" w:rsidR="00D649F7" w:rsidRDefault="00D649F7" w:rsidP="00D649F7">
      <w:pPr>
        <w:rPr>
          <w:rFonts w:eastAsiaTheme="minorEastAsia"/>
        </w:rPr>
      </w:pPr>
      <w:r w:rsidRPr="00253939">
        <w:t>PI_C1R</w:t>
      </w:r>
      <w:r w:rsidR="005F4D03">
        <w:t>a</w:t>
      </w:r>
      <w:r w:rsidRPr="00253939">
        <w:t>1</w:t>
      </w:r>
      <w:r w:rsidR="00BF6462">
        <w:t xml:space="preserve"> </w:t>
      </w:r>
      <w:r w:rsidR="00EA2481">
        <w:t>=</w:t>
      </w:r>
      <w:r w:rsidR="00686D7D">
        <w:t xml:space="preserve"> </w:t>
      </w:r>
      <w:r w:rsidR="00EA2481">
        <w:t xml:space="preserve"> </w:t>
      </w:r>
      <m:oMath>
        <m:f>
          <m:fPr>
            <m:ctrlPr>
              <w:rPr>
                <w:rFonts w:ascii="Cambria Math" w:hAnsi="Cambria Math"/>
                <w:i/>
              </w:rPr>
            </m:ctrlPr>
          </m:fPr>
          <m:num>
            <m:r>
              <w:rPr>
                <w:rFonts w:ascii="Cambria Math" w:hAnsi="Cambria Math"/>
              </w:rPr>
              <m:t>Mean(</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CPP</m:t>
                </m:r>
              </m:e>
              <m:sub>
                <m:r>
                  <w:rPr>
                    <w:rFonts w:ascii="Cambria Math" w:hAnsi="Cambria Math"/>
                  </w:rPr>
                  <m:t>m</m:t>
                </m:r>
              </m:sub>
            </m:sSub>
            <m:r>
              <w:rPr>
                <w:rFonts w:ascii="Cambria Math" w:hAnsi="Cambria Math"/>
              </w:rPr>
              <m:t xml:space="preserve"> </m:t>
            </m:r>
          </m:den>
        </m:f>
        <m:r>
          <w:rPr>
            <w:rFonts w:ascii="Cambria Math" w:hAnsi="Cambria Math"/>
          </w:rPr>
          <m:t xml:space="preserve"> ×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Mean (CABV</m:t>
                            </m:r>
                          </m:e>
                          <m:sub>
                            <m:r>
                              <m:rPr>
                                <m:sty m:val="p"/>
                              </m:rPr>
                              <w:rPr>
                                <w:rFonts w:ascii="Cambria Math" w:hAnsi="Cambria Math"/>
                              </w:rPr>
                              <m:t>1S</m:t>
                            </m:r>
                          </m:sub>
                        </m:sSub>
                        <m:r>
                          <w:rPr>
                            <w:rFonts w:ascii="Cambria Math" w:hAnsi="Cambria Math"/>
                          </w:rPr>
                          <m:t>)</m:t>
                        </m:r>
                      </m:num>
                      <m:den>
                        <m:r>
                          <w:rPr>
                            <w:rFonts w:ascii="Cambria Math" w:hAnsi="Cambria Math"/>
                          </w:rPr>
                          <m:t>Mean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ABP</m:t>
                            </m:r>
                          </m:e>
                          <m:sub>
                            <m:r>
                              <w:rPr>
                                <w:rFonts w:ascii="Cambria Math" w:hAnsi="Cambria Math"/>
                              </w:rPr>
                              <m:t>m</m:t>
                            </m:r>
                          </m:sub>
                        </m:sSub>
                      </m:num>
                      <m:den>
                        <m:sSub>
                          <m:sSubPr>
                            <m:ctrlPr>
                              <w:rPr>
                                <w:rFonts w:ascii="Cambria Math" w:hAnsi="Cambria Math"/>
                                <w:i/>
                              </w:rPr>
                            </m:ctrlPr>
                          </m:sSubPr>
                          <m:e>
                            <m:r>
                              <w:rPr>
                                <w:rFonts w:ascii="Cambria Math" w:hAnsi="Cambria Math"/>
                              </w:rPr>
                              <m:t>FV</m:t>
                            </m:r>
                          </m:e>
                          <m:sub>
                            <m:r>
                              <w:rPr>
                                <w:rFonts w:ascii="Cambria Math" w:hAnsi="Cambria Math"/>
                              </w:rPr>
                              <m:t>m</m:t>
                            </m:r>
                          </m:sub>
                        </m:sSub>
                      </m:den>
                    </m:f>
                  </m:e>
                </m:d>
              </m:e>
              <m:sup>
                <m:r>
                  <w:rPr>
                    <w:rFonts w:ascii="Cambria Math" w:hAnsi="Cambria Math"/>
                  </w:rPr>
                  <m:t>2</m:t>
                </m:r>
              </m:sup>
            </m:sSup>
            <m:r>
              <w:rPr>
                <w:rFonts w:ascii="Cambria Math" w:hAnsi="Cambria Math"/>
              </w:rPr>
              <m:t>×Mean</m:t>
            </m:r>
            <m:sSup>
              <m:sSupPr>
                <m:ctrlPr>
                  <w:rPr>
                    <w:rFonts w:ascii="Cambria Math" w:hAnsi="Cambria Math"/>
                    <w:i/>
                  </w:rPr>
                </m:ctrlPr>
              </m:sSupPr>
              <m:e>
                <m:r>
                  <w:rPr>
                    <w:rFonts w:ascii="Cambria Math" w:hAnsi="Cambria Math"/>
                  </w:rPr>
                  <m:t>(HrHz)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(2π)</m:t>
                </m:r>
              </m:e>
              <m:sup>
                <m:r>
                  <w:rPr>
                    <w:rFonts w:ascii="Cambria Math" w:hAnsi="Cambria Math"/>
                  </w:rPr>
                  <m:t>2</m:t>
                </m:r>
              </m:sup>
            </m:sSup>
            <m:r>
              <w:rPr>
                <w:rFonts w:ascii="Cambria Math" w:hAnsi="Cambria Math"/>
              </w:rPr>
              <m:t>+1</m:t>
            </m:r>
          </m:e>
        </m:rad>
        <m:r>
          <w:rPr>
            <w:rFonts w:ascii="Cambria Math" w:hAnsi="Cambria Math"/>
          </w:rPr>
          <m:t xml:space="preserve"> </m:t>
        </m:r>
      </m:oMath>
    </w:p>
    <w:p w14:paraId="4462AC87" w14:textId="77777777" w:rsidR="00F61142" w:rsidRDefault="00F61142" w:rsidP="00D649F7"/>
    <w:p w14:paraId="133BD383" w14:textId="4DCF81E3" w:rsidR="00D649F7" w:rsidRDefault="00D649F7" w:rsidP="00D649F7">
      <w:pPr>
        <w:rPr>
          <w:rFonts w:eastAsiaTheme="minorEastAsia"/>
        </w:rPr>
      </w:pPr>
      <w:r>
        <w:t>PI_C1R</w:t>
      </w:r>
      <w:r w:rsidR="005F4D03">
        <w:t>a</w:t>
      </w:r>
      <w:r>
        <w:t>2</w:t>
      </w:r>
      <w:r w:rsidR="00D94801">
        <w:t xml:space="preserve"> = </w:t>
      </w:r>
      <m:oMath>
        <m:r>
          <w:rPr>
            <w:rFonts w:ascii="Cambria Math" w:hAnsi="Cambria Math"/>
          </w:rPr>
          <m:t xml:space="preserve"> </m:t>
        </m:r>
        <m:f>
          <m:fPr>
            <m:ctrlPr>
              <w:rPr>
                <w:rFonts w:ascii="Cambria Math" w:hAnsi="Cambria Math"/>
                <w:i/>
              </w:rPr>
            </m:ctrlPr>
          </m:fPr>
          <m:num>
            <m:r>
              <w:rPr>
                <w:rFonts w:ascii="Cambria Math" w:hAnsi="Cambria Math"/>
              </w:rPr>
              <m:t>Mean(</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CPP</m:t>
                </m:r>
              </m:e>
              <m:sub>
                <m:r>
                  <w:rPr>
                    <w:rFonts w:ascii="Cambria Math" w:hAnsi="Cambria Math"/>
                  </w:rPr>
                  <m:t>m</m:t>
                </m:r>
              </m:sub>
            </m:sSub>
            <m:r>
              <w:rPr>
                <w:rFonts w:ascii="Cambria Math" w:hAnsi="Cambria Math"/>
              </w:rPr>
              <m:t xml:space="preserve"> </m:t>
            </m:r>
          </m:den>
        </m:f>
        <m:r>
          <w:rPr>
            <w:rFonts w:ascii="Cambria Math" w:hAnsi="Cambria Math"/>
          </w:rPr>
          <m:t xml:space="preserve"> ×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Mean (CABV</m:t>
                            </m:r>
                          </m:e>
                          <m:sub>
                            <m:r>
                              <m:rPr>
                                <m:sty m:val="p"/>
                              </m:rPr>
                              <w:rPr>
                                <w:rFonts w:ascii="Cambria Math" w:hAnsi="Cambria Math"/>
                              </w:rPr>
                              <m:t>1S</m:t>
                            </m:r>
                          </m:sub>
                        </m:sSub>
                        <m:r>
                          <w:rPr>
                            <w:rFonts w:ascii="Cambria Math" w:hAnsi="Cambria Math"/>
                          </w:rPr>
                          <m:t>)</m:t>
                        </m:r>
                      </m:num>
                      <m:den>
                        <m:r>
                          <w:rPr>
                            <w:rFonts w:ascii="Cambria Math" w:hAnsi="Cambria Math"/>
                          </w:rPr>
                          <m:t>Mean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Mean (A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Mean(F</m:t>
                            </m:r>
                          </m:e>
                          <m:sub>
                            <m:r>
                              <w:rPr>
                                <w:rFonts w:ascii="Cambria Math" w:hAnsi="Cambria Math"/>
                              </w:rPr>
                              <m:t>1</m:t>
                            </m:r>
                          </m:sub>
                        </m:sSub>
                        <m:r>
                          <w:rPr>
                            <w:rFonts w:ascii="Cambria Math" w:hAnsi="Cambria Math"/>
                          </w:rPr>
                          <m:t>)</m:t>
                        </m:r>
                      </m:den>
                    </m:f>
                  </m:e>
                </m:d>
              </m:e>
              <m:sup>
                <m:r>
                  <w:rPr>
                    <w:rFonts w:ascii="Cambria Math" w:hAnsi="Cambria Math"/>
                  </w:rPr>
                  <m:t>2</m:t>
                </m:r>
              </m:sup>
            </m:sSup>
            <m:r>
              <w:rPr>
                <w:rFonts w:ascii="Cambria Math" w:hAnsi="Cambria Math"/>
              </w:rPr>
              <m:t>×Mean</m:t>
            </m:r>
            <m:sSup>
              <m:sSupPr>
                <m:ctrlPr>
                  <w:rPr>
                    <w:rFonts w:ascii="Cambria Math" w:hAnsi="Cambria Math"/>
                    <w:i/>
                  </w:rPr>
                </m:ctrlPr>
              </m:sSupPr>
              <m:e>
                <m:r>
                  <w:rPr>
                    <w:rFonts w:ascii="Cambria Math" w:hAnsi="Cambria Math"/>
                  </w:rPr>
                  <m:t>(HrHz)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(2π)</m:t>
                </m:r>
              </m:e>
              <m:sup>
                <m:r>
                  <w:rPr>
                    <w:rFonts w:ascii="Cambria Math" w:hAnsi="Cambria Math"/>
                  </w:rPr>
                  <m:t>2</m:t>
                </m:r>
              </m:sup>
            </m:sSup>
            <m:r>
              <w:rPr>
                <w:rFonts w:ascii="Cambria Math" w:hAnsi="Cambria Math"/>
              </w:rPr>
              <m:t>+1</m:t>
            </m:r>
          </m:e>
        </m:rad>
      </m:oMath>
    </w:p>
    <w:p w14:paraId="3BBD1580" w14:textId="77777777" w:rsidR="00F61142" w:rsidRDefault="00F61142" w:rsidP="00D649F7"/>
    <w:p w14:paraId="5E8AA35A" w14:textId="2CB6B53C" w:rsidR="00D649F7" w:rsidRDefault="00D649F7" w:rsidP="00D649F7">
      <w:pPr>
        <w:rPr>
          <w:rFonts w:eastAsiaTheme="minorEastAsia"/>
        </w:rPr>
      </w:pPr>
      <w:r>
        <w:t>PI_C1R</w:t>
      </w:r>
      <w:r w:rsidR="005F4D03">
        <w:t>a</w:t>
      </w:r>
      <w:r>
        <w:t>3</w:t>
      </w:r>
      <w:r w:rsidR="003D54D5">
        <w:t xml:space="preserve"> =  </w:t>
      </w:r>
      <m:oMath>
        <m:f>
          <m:fPr>
            <m:ctrlPr>
              <w:rPr>
                <w:rFonts w:ascii="Cambria Math" w:hAnsi="Cambria Math"/>
                <w:i/>
              </w:rPr>
            </m:ctrlPr>
          </m:fPr>
          <m:num>
            <m:r>
              <w:rPr>
                <w:rFonts w:ascii="Cambria Math" w:hAnsi="Cambria Math"/>
              </w:rPr>
              <m:t>Mean(</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CPP</m:t>
                </m:r>
              </m:e>
              <m:sub>
                <m:r>
                  <w:rPr>
                    <w:rFonts w:ascii="Cambria Math" w:hAnsi="Cambria Math"/>
                  </w:rPr>
                  <m:t>m</m:t>
                </m:r>
              </m:sub>
            </m:sSub>
            <m:r>
              <w:rPr>
                <w:rFonts w:ascii="Cambria Math" w:hAnsi="Cambria Math"/>
              </w:rPr>
              <m:t xml:space="preserve"> </m:t>
            </m:r>
          </m:den>
        </m:f>
        <m:r>
          <w:rPr>
            <w:rFonts w:ascii="Cambria Math" w:hAnsi="Cambria Math"/>
          </w:rPr>
          <m:t xml:space="preserve"> ×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Mean (CABV</m:t>
                            </m:r>
                          </m:e>
                          <m:sub>
                            <m:r>
                              <w:rPr>
                                <w:rFonts w:ascii="Cambria Math" w:hAnsi="Cambria Math"/>
                              </w:rPr>
                              <m:t>1</m:t>
                            </m:r>
                            <m:r>
                              <m:rPr>
                                <m:sty m:val="p"/>
                              </m:rPr>
                              <w:rPr>
                                <w:rFonts w:ascii="Cambria Math" w:hAnsi="Cambria Math"/>
                              </w:rPr>
                              <m:t>S</m:t>
                            </m:r>
                          </m:sub>
                        </m:sSub>
                        <m:r>
                          <w:rPr>
                            <w:rFonts w:ascii="Cambria Math" w:hAnsi="Cambria Math"/>
                          </w:rPr>
                          <m:t>)</m:t>
                        </m:r>
                      </m:num>
                      <m:den>
                        <m:r>
                          <w:rPr>
                            <w:rFonts w:ascii="Cambria Math" w:hAnsi="Cambria Math"/>
                          </w:rPr>
                          <m:t>Mean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CPP</m:t>
                            </m:r>
                          </m:e>
                          <m:sub>
                            <m:r>
                              <w:rPr>
                                <w:rFonts w:ascii="Cambria Math" w:hAnsi="Cambria Math"/>
                              </w:rPr>
                              <m:t>m</m:t>
                            </m:r>
                          </m:sub>
                        </m:sSub>
                      </m:num>
                      <m:den>
                        <m:sSub>
                          <m:sSubPr>
                            <m:ctrlPr>
                              <w:rPr>
                                <w:rFonts w:ascii="Cambria Math" w:hAnsi="Cambria Math"/>
                                <w:i/>
                              </w:rPr>
                            </m:ctrlPr>
                          </m:sSubPr>
                          <m:e>
                            <m:r>
                              <w:rPr>
                                <w:rFonts w:ascii="Cambria Math" w:hAnsi="Cambria Math"/>
                              </w:rPr>
                              <m:t>FV</m:t>
                            </m:r>
                          </m:e>
                          <m:sub>
                            <m:r>
                              <w:rPr>
                                <w:rFonts w:ascii="Cambria Math" w:hAnsi="Cambria Math"/>
                              </w:rPr>
                              <m:t>m</m:t>
                            </m:r>
                          </m:sub>
                        </m:sSub>
                      </m:den>
                    </m:f>
                  </m:e>
                </m:d>
              </m:e>
              <m:sup>
                <m:r>
                  <w:rPr>
                    <w:rFonts w:ascii="Cambria Math" w:hAnsi="Cambria Math"/>
                  </w:rPr>
                  <m:t>2</m:t>
                </m:r>
              </m:sup>
            </m:sSup>
            <m:r>
              <w:rPr>
                <w:rFonts w:ascii="Cambria Math" w:hAnsi="Cambria Math"/>
              </w:rPr>
              <m:t>×Mean</m:t>
            </m:r>
            <m:sSup>
              <m:sSupPr>
                <m:ctrlPr>
                  <w:rPr>
                    <w:rFonts w:ascii="Cambria Math" w:hAnsi="Cambria Math"/>
                    <w:i/>
                  </w:rPr>
                </m:ctrlPr>
              </m:sSupPr>
              <m:e>
                <m:r>
                  <w:rPr>
                    <w:rFonts w:ascii="Cambria Math" w:hAnsi="Cambria Math"/>
                  </w:rPr>
                  <m:t>(HrHz)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(2π)</m:t>
                </m:r>
              </m:e>
              <m:sup>
                <m:r>
                  <w:rPr>
                    <w:rFonts w:ascii="Cambria Math" w:hAnsi="Cambria Math"/>
                  </w:rPr>
                  <m:t>2</m:t>
                </m:r>
              </m:sup>
            </m:sSup>
            <m:r>
              <w:rPr>
                <w:rFonts w:ascii="Cambria Math" w:hAnsi="Cambria Math"/>
              </w:rPr>
              <m:t>+1</m:t>
            </m:r>
          </m:e>
        </m:rad>
      </m:oMath>
    </w:p>
    <w:p w14:paraId="6216FDF3" w14:textId="77777777" w:rsidR="00F61142" w:rsidRDefault="00F61142" w:rsidP="00D649F7"/>
    <w:p w14:paraId="0DAAB382" w14:textId="78539B7B" w:rsidR="00D649F7" w:rsidRDefault="00D649F7" w:rsidP="00D649F7">
      <w:pPr>
        <w:rPr>
          <w:rFonts w:eastAsiaTheme="minorEastAsia"/>
        </w:rPr>
      </w:pPr>
      <w:r>
        <w:t>PI_C2R</w:t>
      </w:r>
      <w:r w:rsidR="005F4D03">
        <w:t>a</w:t>
      </w:r>
      <w:r>
        <w:t>1</w:t>
      </w:r>
      <w:r w:rsidR="0038052C">
        <w:t xml:space="preserve"> =  </w:t>
      </w:r>
      <m:oMath>
        <m:f>
          <m:fPr>
            <m:ctrlPr>
              <w:rPr>
                <w:rFonts w:ascii="Cambria Math" w:hAnsi="Cambria Math"/>
                <w:i/>
              </w:rPr>
            </m:ctrlPr>
          </m:fPr>
          <m:num>
            <m:r>
              <w:rPr>
                <w:rFonts w:ascii="Cambria Math" w:hAnsi="Cambria Math"/>
              </w:rPr>
              <m:t>Mean(</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CPP</m:t>
                </m:r>
              </m:e>
              <m:sub>
                <m:r>
                  <w:rPr>
                    <w:rFonts w:ascii="Cambria Math" w:hAnsi="Cambria Math"/>
                  </w:rPr>
                  <m:t>m</m:t>
                </m:r>
              </m:sub>
            </m:sSub>
            <m:r>
              <w:rPr>
                <w:rFonts w:ascii="Cambria Math" w:hAnsi="Cambria Math"/>
              </w:rPr>
              <m:t xml:space="preserve"> </m:t>
            </m:r>
          </m:den>
        </m:f>
        <m:r>
          <w:rPr>
            <w:rFonts w:ascii="Cambria Math" w:hAnsi="Cambria Math"/>
          </w:rPr>
          <m:t xml:space="preserve"> ×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Mean (CABV</m:t>
                            </m:r>
                          </m:e>
                          <m:sub>
                            <m:r>
                              <m:rPr>
                                <m:sty m:val="p"/>
                              </m:rPr>
                              <w:rPr>
                                <w:rFonts w:ascii="Cambria Math" w:hAnsi="Cambria Math"/>
                              </w:rPr>
                              <m:t>2S</m:t>
                            </m:r>
                          </m:sub>
                        </m:sSub>
                        <m:r>
                          <w:rPr>
                            <w:rFonts w:ascii="Cambria Math" w:hAnsi="Cambria Math"/>
                          </w:rPr>
                          <m:t>)</m:t>
                        </m:r>
                      </m:num>
                      <m:den>
                        <m:r>
                          <w:rPr>
                            <w:rFonts w:ascii="Cambria Math" w:hAnsi="Cambria Math"/>
                          </w:rPr>
                          <m:t>Mean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ABP</m:t>
                            </m:r>
                          </m:e>
                          <m:sub>
                            <m:r>
                              <w:rPr>
                                <w:rFonts w:ascii="Cambria Math" w:hAnsi="Cambria Math"/>
                              </w:rPr>
                              <m:t>m</m:t>
                            </m:r>
                          </m:sub>
                        </m:sSub>
                      </m:num>
                      <m:den>
                        <m:sSub>
                          <m:sSubPr>
                            <m:ctrlPr>
                              <w:rPr>
                                <w:rFonts w:ascii="Cambria Math" w:hAnsi="Cambria Math"/>
                                <w:i/>
                              </w:rPr>
                            </m:ctrlPr>
                          </m:sSubPr>
                          <m:e>
                            <m:r>
                              <w:rPr>
                                <w:rFonts w:ascii="Cambria Math" w:hAnsi="Cambria Math"/>
                              </w:rPr>
                              <m:t>FV</m:t>
                            </m:r>
                          </m:e>
                          <m:sub>
                            <m:r>
                              <w:rPr>
                                <w:rFonts w:ascii="Cambria Math" w:hAnsi="Cambria Math"/>
                              </w:rPr>
                              <m:t>m</m:t>
                            </m:r>
                          </m:sub>
                        </m:sSub>
                      </m:den>
                    </m:f>
                  </m:e>
                </m:d>
              </m:e>
              <m:sup>
                <m:r>
                  <w:rPr>
                    <w:rFonts w:ascii="Cambria Math" w:hAnsi="Cambria Math"/>
                  </w:rPr>
                  <m:t>2</m:t>
                </m:r>
              </m:sup>
            </m:sSup>
            <m:r>
              <w:rPr>
                <w:rFonts w:ascii="Cambria Math" w:hAnsi="Cambria Math"/>
              </w:rPr>
              <m:t>×Mean</m:t>
            </m:r>
            <m:sSup>
              <m:sSupPr>
                <m:ctrlPr>
                  <w:rPr>
                    <w:rFonts w:ascii="Cambria Math" w:hAnsi="Cambria Math"/>
                    <w:i/>
                  </w:rPr>
                </m:ctrlPr>
              </m:sSupPr>
              <m:e>
                <m:r>
                  <w:rPr>
                    <w:rFonts w:ascii="Cambria Math" w:hAnsi="Cambria Math"/>
                  </w:rPr>
                  <m:t>(HrHz)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(2π)</m:t>
                </m:r>
              </m:e>
              <m:sup>
                <m:r>
                  <w:rPr>
                    <w:rFonts w:ascii="Cambria Math" w:hAnsi="Cambria Math"/>
                  </w:rPr>
                  <m:t>2</m:t>
                </m:r>
              </m:sup>
            </m:sSup>
            <m:r>
              <w:rPr>
                <w:rFonts w:ascii="Cambria Math" w:hAnsi="Cambria Math"/>
              </w:rPr>
              <m:t>+1</m:t>
            </m:r>
          </m:e>
        </m:rad>
      </m:oMath>
    </w:p>
    <w:p w14:paraId="0C3525F4" w14:textId="77777777" w:rsidR="00F61142" w:rsidRDefault="00F61142" w:rsidP="00D649F7"/>
    <w:p w14:paraId="38FD52DD" w14:textId="3A80B1F9" w:rsidR="00F61142" w:rsidRDefault="00D649F7" w:rsidP="00D649F7">
      <w:r>
        <w:t>PI_C2R</w:t>
      </w:r>
      <w:r w:rsidR="005F4D03">
        <w:t>a</w:t>
      </w:r>
      <w:r>
        <w:t>2</w:t>
      </w:r>
      <w:r w:rsidR="00686D7D">
        <w:t xml:space="preserve"> </w:t>
      </w:r>
      <w:r w:rsidR="007B0CF0">
        <w:t xml:space="preserve">= </w:t>
      </w:r>
      <w:r w:rsidR="00686D7D">
        <w:t xml:space="preserve"> </w:t>
      </w:r>
      <m:oMath>
        <m:f>
          <m:fPr>
            <m:ctrlPr>
              <w:rPr>
                <w:rFonts w:ascii="Cambria Math" w:hAnsi="Cambria Math"/>
                <w:i/>
              </w:rPr>
            </m:ctrlPr>
          </m:fPr>
          <m:num>
            <m:r>
              <w:rPr>
                <w:rFonts w:ascii="Cambria Math" w:hAnsi="Cambria Math"/>
              </w:rPr>
              <m:t>Mean(</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CPP</m:t>
                </m:r>
              </m:e>
              <m:sub>
                <m:r>
                  <w:rPr>
                    <w:rFonts w:ascii="Cambria Math" w:hAnsi="Cambria Math"/>
                  </w:rPr>
                  <m:t>m</m:t>
                </m:r>
              </m:sub>
            </m:sSub>
            <m:r>
              <w:rPr>
                <w:rFonts w:ascii="Cambria Math" w:hAnsi="Cambria Math"/>
              </w:rPr>
              <m:t xml:space="preserve"> </m:t>
            </m:r>
          </m:den>
        </m:f>
        <m:r>
          <w:rPr>
            <w:rFonts w:ascii="Cambria Math" w:hAnsi="Cambria Math"/>
          </w:rPr>
          <m:t xml:space="preserve"> ×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Mean (CABV</m:t>
                            </m:r>
                          </m:e>
                          <m:sub>
                            <m:r>
                              <m:rPr>
                                <m:sty m:val="p"/>
                              </m:rPr>
                              <w:rPr>
                                <w:rFonts w:ascii="Cambria Math" w:hAnsi="Cambria Math"/>
                              </w:rPr>
                              <m:t>2S</m:t>
                            </m:r>
                          </m:sub>
                        </m:sSub>
                        <m:r>
                          <w:rPr>
                            <w:rFonts w:ascii="Cambria Math" w:hAnsi="Cambria Math"/>
                          </w:rPr>
                          <m:t>)</m:t>
                        </m:r>
                      </m:num>
                      <m:den>
                        <m:r>
                          <w:rPr>
                            <w:rFonts w:ascii="Cambria Math" w:hAnsi="Cambria Math"/>
                          </w:rPr>
                          <m:t>Mean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Mean (A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Mean(F</m:t>
                            </m:r>
                          </m:e>
                          <m:sub>
                            <m:r>
                              <w:rPr>
                                <w:rFonts w:ascii="Cambria Math" w:hAnsi="Cambria Math"/>
                              </w:rPr>
                              <m:t>1</m:t>
                            </m:r>
                          </m:sub>
                        </m:sSub>
                        <m:r>
                          <w:rPr>
                            <w:rFonts w:ascii="Cambria Math" w:hAnsi="Cambria Math"/>
                          </w:rPr>
                          <m:t>)</m:t>
                        </m:r>
                      </m:den>
                    </m:f>
                  </m:e>
                </m:d>
              </m:e>
              <m:sup>
                <m:r>
                  <w:rPr>
                    <w:rFonts w:ascii="Cambria Math" w:hAnsi="Cambria Math"/>
                  </w:rPr>
                  <m:t>2</m:t>
                </m:r>
              </m:sup>
            </m:sSup>
            <m:r>
              <w:rPr>
                <w:rFonts w:ascii="Cambria Math" w:hAnsi="Cambria Math"/>
              </w:rPr>
              <m:t>×Mean</m:t>
            </m:r>
            <m:sSup>
              <m:sSupPr>
                <m:ctrlPr>
                  <w:rPr>
                    <w:rFonts w:ascii="Cambria Math" w:hAnsi="Cambria Math"/>
                    <w:i/>
                  </w:rPr>
                </m:ctrlPr>
              </m:sSupPr>
              <m:e>
                <m:r>
                  <w:rPr>
                    <w:rFonts w:ascii="Cambria Math" w:hAnsi="Cambria Math"/>
                  </w:rPr>
                  <m:t>(HrHz)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(2π)</m:t>
                </m:r>
              </m:e>
              <m:sup>
                <m:r>
                  <w:rPr>
                    <w:rFonts w:ascii="Cambria Math" w:hAnsi="Cambria Math"/>
                  </w:rPr>
                  <m:t>2</m:t>
                </m:r>
              </m:sup>
            </m:sSup>
            <m:r>
              <w:rPr>
                <w:rFonts w:ascii="Cambria Math" w:hAnsi="Cambria Math"/>
              </w:rPr>
              <m:t>+1</m:t>
            </m:r>
          </m:e>
        </m:rad>
      </m:oMath>
      <w:r w:rsidR="00686D7D">
        <w:t xml:space="preserve">    </w:t>
      </w:r>
    </w:p>
    <w:p w14:paraId="5C9105B9" w14:textId="6DFDB45D" w:rsidR="00D649F7" w:rsidRDefault="00686D7D" w:rsidP="00D649F7">
      <w:r>
        <w:t xml:space="preserve">               </w:t>
      </w:r>
    </w:p>
    <w:p w14:paraId="0A74F527" w14:textId="763873B2" w:rsidR="00D649F7" w:rsidRDefault="00D649F7" w:rsidP="00D649F7">
      <w:pPr>
        <w:rPr>
          <w:rFonts w:eastAsiaTheme="minorEastAsia"/>
        </w:rPr>
      </w:pPr>
      <w:r>
        <w:t>PI_C2R</w:t>
      </w:r>
      <w:r w:rsidR="005F4D03">
        <w:t>a</w:t>
      </w:r>
      <w:r>
        <w:t>3</w:t>
      </w:r>
      <w:r w:rsidR="007B0CF0">
        <w:t xml:space="preserve"> =</w:t>
      </w:r>
      <w:r w:rsidR="00F23318">
        <w:t xml:space="preserve"> </w:t>
      </w:r>
      <w:r w:rsidR="007B0CF0">
        <w:t xml:space="preserve"> </w:t>
      </w:r>
      <m:oMath>
        <m:f>
          <m:fPr>
            <m:ctrlPr>
              <w:rPr>
                <w:rFonts w:ascii="Cambria Math" w:hAnsi="Cambria Math"/>
                <w:i/>
              </w:rPr>
            </m:ctrlPr>
          </m:fPr>
          <m:num>
            <m:r>
              <w:rPr>
                <w:rFonts w:ascii="Cambria Math" w:hAnsi="Cambria Math"/>
              </w:rPr>
              <m:t>Mean(</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CPP</m:t>
                </m:r>
              </m:e>
              <m:sub>
                <m:r>
                  <w:rPr>
                    <w:rFonts w:ascii="Cambria Math" w:hAnsi="Cambria Math"/>
                  </w:rPr>
                  <m:t>m</m:t>
                </m:r>
              </m:sub>
            </m:sSub>
            <m:r>
              <w:rPr>
                <w:rFonts w:ascii="Cambria Math" w:hAnsi="Cambria Math"/>
              </w:rPr>
              <m:t xml:space="preserve"> </m:t>
            </m:r>
          </m:den>
        </m:f>
        <m:r>
          <w:rPr>
            <w:rFonts w:ascii="Cambria Math" w:hAnsi="Cambria Math"/>
          </w:rPr>
          <m:t xml:space="preserve"> ×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Mean (CABV</m:t>
                            </m:r>
                          </m:e>
                          <m:sub>
                            <m:r>
                              <w:rPr>
                                <w:rFonts w:ascii="Cambria Math" w:hAnsi="Cambria Math"/>
                              </w:rPr>
                              <m:t>2</m:t>
                            </m:r>
                            <m:r>
                              <m:rPr>
                                <m:sty m:val="p"/>
                              </m:rPr>
                              <w:rPr>
                                <w:rFonts w:ascii="Cambria Math" w:hAnsi="Cambria Math"/>
                              </w:rPr>
                              <m:t>S</m:t>
                            </m:r>
                          </m:sub>
                        </m:sSub>
                        <m:r>
                          <w:rPr>
                            <w:rFonts w:ascii="Cambria Math" w:hAnsi="Cambria Math"/>
                          </w:rPr>
                          <m:t>)</m:t>
                        </m:r>
                      </m:num>
                      <m:den>
                        <m:r>
                          <w:rPr>
                            <w:rFonts w:ascii="Cambria Math" w:hAnsi="Cambria Math"/>
                          </w:rPr>
                          <m:t>Mean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CPP</m:t>
                            </m:r>
                          </m:e>
                          <m:sub>
                            <m:r>
                              <w:rPr>
                                <w:rFonts w:ascii="Cambria Math" w:hAnsi="Cambria Math"/>
                              </w:rPr>
                              <m:t>m</m:t>
                            </m:r>
                          </m:sub>
                        </m:sSub>
                      </m:num>
                      <m:den>
                        <m:sSub>
                          <m:sSubPr>
                            <m:ctrlPr>
                              <w:rPr>
                                <w:rFonts w:ascii="Cambria Math" w:hAnsi="Cambria Math"/>
                                <w:i/>
                              </w:rPr>
                            </m:ctrlPr>
                          </m:sSubPr>
                          <m:e>
                            <m:r>
                              <w:rPr>
                                <w:rFonts w:ascii="Cambria Math" w:hAnsi="Cambria Math"/>
                              </w:rPr>
                              <m:t>FV</m:t>
                            </m:r>
                          </m:e>
                          <m:sub>
                            <m:r>
                              <w:rPr>
                                <w:rFonts w:ascii="Cambria Math" w:hAnsi="Cambria Math"/>
                              </w:rPr>
                              <m:t>m</m:t>
                            </m:r>
                          </m:sub>
                        </m:sSub>
                      </m:den>
                    </m:f>
                  </m:e>
                </m:d>
              </m:e>
              <m:sup>
                <m:r>
                  <w:rPr>
                    <w:rFonts w:ascii="Cambria Math" w:hAnsi="Cambria Math"/>
                  </w:rPr>
                  <m:t>2</m:t>
                </m:r>
              </m:sup>
            </m:sSup>
            <m:r>
              <w:rPr>
                <w:rFonts w:ascii="Cambria Math" w:hAnsi="Cambria Math"/>
              </w:rPr>
              <m:t>×Mean</m:t>
            </m:r>
            <m:sSup>
              <m:sSupPr>
                <m:ctrlPr>
                  <w:rPr>
                    <w:rFonts w:ascii="Cambria Math" w:hAnsi="Cambria Math"/>
                    <w:i/>
                  </w:rPr>
                </m:ctrlPr>
              </m:sSupPr>
              <m:e>
                <m:r>
                  <w:rPr>
                    <w:rFonts w:ascii="Cambria Math" w:hAnsi="Cambria Math"/>
                  </w:rPr>
                  <m:t>(HrHz)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(2π)</m:t>
                </m:r>
              </m:e>
              <m:sup>
                <m:r>
                  <w:rPr>
                    <w:rFonts w:ascii="Cambria Math" w:hAnsi="Cambria Math"/>
                  </w:rPr>
                  <m:t>2</m:t>
                </m:r>
              </m:sup>
            </m:sSup>
            <m:r>
              <w:rPr>
                <w:rFonts w:ascii="Cambria Math" w:hAnsi="Cambria Math"/>
              </w:rPr>
              <m:t>+1</m:t>
            </m:r>
          </m:e>
        </m:rad>
      </m:oMath>
    </w:p>
    <w:p w14:paraId="40601329" w14:textId="77777777" w:rsidR="00F61142" w:rsidRDefault="00F61142" w:rsidP="00D649F7"/>
    <w:p w14:paraId="4D350D28" w14:textId="6EBB767D" w:rsidR="00D649F7" w:rsidRDefault="00D649F7" w:rsidP="00D649F7">
      <w:pPr>
        <w:rPr>
          <w:rFonts w:eastAsiaTheme="minorEastAsia"/>
        </w:rPr>
      </w:pPr>
      <w:r>
        <w:t>PI_C3R</w:t>
      </w:r>
      <w:r w:rsidR="005F4D03">
        <w:t>a</w:t>
      </w:r>
      <w:r>
        <w:t>1</w:t>
      </w:r>
      <w:r w:rsidR="00F23318">
        <w:t xml:space="preserve"> =  </w:t>
      </w:r>
      <m:oMath>
        <m:f>
          <m:fPr>
            <m:ctrlPr>
              <w:rPr>
                <w:rFonts w:ascii="Cambria Math" w:hAnsi="Cambria Math"/>
                <w:i/>
              </w:rPr>
            </m:ctrlPr>
          </m:fPr>
          <m:num>
            <m:r>
              <w:rPr>
                <w:rFonts w:ascii="Cambria Math" w:hAnsi="Cambria Math"/>
              </w:rPr>
              <m:t>Mean(</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CPP</m:t>
                </m:r>
              </m:e>
              <m:sub>
                <m:r>
                  <w:rPr>
                    <w:rFonts w:ascii="Cambria Math" w:hAnsi="Cambria Math"/>
                  </w:rPr>
                  <m:t>m</m:t>
                </m:r>
              </m:sub>
            </m:sSub>
            <m:r>
              <w:rPr>
                <w:rFonts w:ascii="Cambria Math" w:hAnsi="Cambria Math"/>
              </w:rPr>
              <m:t xml:space="preserve"> </m:t>
            </m:r>
          </m:den>
        </m:f>
        <m:r>
          <w:rPr>
            <w:rFonts w:ascii="Cambria Math" w:hAnsi="Cambria Math"/>
          </w:rPr>
          <m:t xml:space="preserve"> ×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Mean (CABV</m:t>
                            </m:r>
                          </m:e>
                          <m:sub>
                            <m:r>
                              <m:rPr>
                                <m:sty m:val="p"/>
                              </m:rPr>
                              <w:rPr>
                                <w:rFonts w:ascii="Cambria Math" w:hAnsi="Cambria Math"/>
                              </w:rPr>
                              <m:t>3S</m:t>
                            </m:r>
                          </m:sub>
                        </m:sSub>
                        <m:r>
                          <w:rPr>
                            <w:rFonts w:ascii="Cambria Math" w:hAnsi="Cambria Math"/>
                          </w:rPr>
                          <m:t>)</m:t>
                        </m:r>
                      </m:num>
                      <m:den>
                        <m:r>
                          <w:rPr>
                            <w:rFonts w:ascii="Cambria Math" w:hAnsi="Cambria Math"/>
                          </w:rPr>
                          <m:t>Mean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ABP</m:t>
                            </m:r>
                          </m:e>
                          <m:sub>
                            <m:r>
                              <w:rPr>
                                <w:rFonts w:ascii="Cambria Math" w:hAnsi="Cambria Math"/>
                              </w:rPr>
                              <m:t>m</m:t>
                            </m:r>
                          </m:sub>
                        </m:sSub>
                      </m:num>
                      <m:den>
                        <m:sSub>
                          <m:sSubPr>
                            <m:ctrlPr>
                              <w:rPr>
                                <w:rFonts w:ascii="Cambria Math" w:hAnsi="Cambria Math"/>
                                <w:i/>
                              </w:rPr>
                            </m:ctrlPr>
                          </m:sSubPr>
                          <m:e>
                            <m:r>
                              <w:rPr>
                                <w:rFonts w:ascii="Cambria Math" w:hAnsi="Cambria Math"/>
                              </w:rPr>
                              <m:t>FV</m:t>
                            </m:r>
                          </m:e>
                          <m:sub>
                            <m:r>
                              <w:rPr>
                                <w:rFonts w:ascii="Cambria Math" w:hAnsi="Cambria Math"/>
                              </w:rPr>
                              <m:t>m</m:t>
                            </m:r>
                          </m:sub>
                        </m:sSub>
                      </m:den>
                    </m:f>
                  </m:e>
                </m:d>
              </m:e>
              <m:sup>
                <m:r>
                  <w:rPr>
                    <w:rFonts w:ascii="Cambria Math" w:hAnsi="Cambria Math"/>
                  </w:rPr>
                  <m:t>2</m:t>
                </m:r>
              </m:sup>
            </m:sSup>
            <m:r>
              <w:rPr>
                <w:rFonts w:ascii="Cambria Math" w:hAnsi="Cambria Math"/>
              </w:rPr>
              <m:t>×Mean</m:t>
            </m:r>
            <m:sSup>
              <m:sSupPr>
                <m:ctrlPr>
                  <w:rPr>
                    <w:rFonts w:ascii="Cambria Math" w:hAnsi="Cambria Math"/>
                    <w:i/>
                  </w:rPr>
                </m:ctrlPr>
              </m:sSupPr>
              <m:e>
                <m:r>
                  <w:rPr>
                    <w:rFonts w:ascii="Cambria Math" w:hAnsi="Cambria Math"/>
                  </w:rPr>
                  <m:t>(HrHz)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(2π)</m:t>
                </m:r>
              </m:e>
              <m:sup>
                <m:r>
                  <w:rPr>
                    <w:rFonts w:ascii="Cambria Math" w:hAnsi="Cambria Math"/>
                  </w:rPr>
                  <m:t>2</m:t>
                </m:r>
              </m:sup>
            </m:sSup>
            <m:r>
              <w:rPr>
                <w:rFonts w:ascii="Cambria Math" w:hAnsi="Cambria Math"/>
              </w:rPr>
              <m:t>+1</m:t>
            </m:r>
          </m:e>
        </m:rad>
      </m:oMath>
    </w:p>
    <w:p w14:paraId="66A40CB6" w14:textId="77777777" w:rsidR="00F61142" w:rsidRDefault="00F61142" w:rsidP="00D649F7"/>
    <w:p w14:paraId="14122735" w14:textId="28BD78F2" w:rsidR="00D649F7" w:rsidRDefault="00D649F7" w:rsidP="00D649F7">
      <w:pPr>
        <w:rPr>
          <w:rFonts w:eastAsiaTheme="minorEastAsia"/>
        </w:rPr>
      </w:pPr>
      <w:r>
        <w:t>PI_C3R</w:t>
      </w:r>
      <w:r w:rsidR="005F4D03">
        <w:t>a</w:t>
      </w:r>
      <w:r>
        <w:t>2</w:t>
      </w:r>
      <w:r w:rsidR="00F23318">
        <w:t xml:space="preserve"> =  </w:t>
      </w:r>
      <m:oMath>
        <m:f>
          <m:fPr>
            <m:ctrlPr>
              <w:rPr>
                <w:rFonts w:ascii="Cambria Math" w:hAnsi="Cambria Math"/>
                <w:i/>
              </w:rPr>
            </m:ctrlPr>
          </m:fPr>
          <m:num>
            <m:r>
              <w:rPr>
                <w:rFonts w:ascii="Cambria Math" w:hAnsi="Cambria Math"/>
              </w:rPr>
              <m:t>Mean(</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CPP</m:t>
                </m:r>
              </m:e>
              <m:sub>
                <m:r>
                  <w:rPr>
                    <w:rFonts w:ascii="Cambria Math" w:hAnsi="Cambria Math"/>
                  </w:rPr>
                  <m:t>m</m:t>
                </m:r>
              </m:sub>
            </m:sSub>
            <m:r>
              <w:rPr>
                <w:rFonts w:ascii="Cambria Math" w:hAnsi="Cambria Math"/>
              </w:rPr>
              <m:t xml:space="preserve"> </m:t>
            </m:r>
          </m:den>
        </m:f>
        <m:r>
          <w:rPr>
            <w:rFonts w:ascii="Cambria Math" w:hAnsi="Cambria Math"/>
          </w:rPr>
          <m:t xml:space="preserve"> ×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Mean (CABV</m:t>
                            </m:r>
                          </m:e>
                          <m:sub>
                            <m:r>
                              <m:rPr>
                                <m:sty m:val="p"/>
                              </m:rPr>
                              <w:rPr>
                                <w:rFonts w:ascii="Cambria Math" w:hAnsi="Cambria Math"/>
                              </w:rPr>
                              <m:t>3S</m:t>
                            </m:r>
                          </m:sub>
                        </m:sSub>
                        <m:r>
                          <w:rPr>
                            <w:rFonts w:ascii="Cambria Math" w:hAnsi="Cambria Math"/>
                          </w:rPr>
                          <m:t>)</m:t>
                        </m:r>
                      </m:num>
                      <m:den>
                        <m:r>
                          <w:rPr>
                            <w:rFonts w:ascii="Cambria Math" w:hAnsi="Cambria Math"/>
                          </w:rPr>
                          <m:t>Mean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Mean (A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Mean(F</m:t>
                            </m:r>
                          </m:e>
                          <m:sub>
                            <m:r>
                              <w:rPr>
                                <w:rFonts w:ascii="Cambria Math" w:hAnsi="Cambria Math"/>
                              </w:rPr>
                              <m:t>1</m:t>
                            </m:r>
                          </m:sub>
                        </m:sSub>
                        <m:r>
                          <w:rPr>
                            <w:rFonts w:ascii="Cambria Math" w:hAnsi="Cambria Math"/>
                          </w:rPr>
                          <m:t>)</m:t>
                        </m:r>
                      </m:den>
                    </m:f>
                  </m:e>
                </m:d>
              </m:e>
              <m:sup>
                <m:r>
                  <w:rPr>
                    <w:rFonts w:ascii="Cambria Math" w:hAnsi="Cambria Math"/>
                  </w:rPr>
                  <m:t>2</m:t>
                </m:r>
              </m:sup>
            </m:sSup>
            <m:r>
              <w:rPr>
                <w:rFonts w:ascii="Cambria Math" w:hAnsi="Cambria Math"/>
              </w:rPr>
              <m:t>×Mean</m:t>
            </m:r>
            <m:sSup>
              <m:sSupPr>
                <m:ctrlPr>
                  <w:rPr>
                    <w:rFonts w:ascii="Cambria Math" w:hAnsi="Cambria Math"/>
                    <w:i/>
                  </w:rPr>
                </m:ctrlPr>
              </m:sSupPr>
              <m:e>
                <m:r>
                  <w:rPr>
                    <w:rFonts w:ascii="Cambria Math" w:hAnsi="Cambria Math"/>
                  </w:rPr>
                  <m:t>(HrHz)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(2π)</m:t>
                </m:r>
              </m:e>
              <m:sup>
                <m:r>
                  <w:rPr>
                    <w:rFonts w:ascii="Cambria Math" w:hAnsi="Cambria Math"/>
                  </w:rPr>
                  <m:t>2</m:t>
                </m:r>
              </m:sup>
            </m:sSup>
            <m:r>
              <w:rPr>
                <w:rFonts w:ascii="Cambria Math" w:hAnsi="Cambria Math"/>
              </w:rPr>
              <m:t>+1</m:t>
            </m:r>
          </m:e>
        </m:rad>
      </m:oMath>
    </w:p>
    <w:p w14:paraId="190789A3" w14:textId="77777777" w:rsidR="00F61142" w:rsidRDefault="00F61142" w:rsidP="00D649F7"/>
    <w:p w14:paraId="5B5E4520" w14:textId="07D5A62C" w:rsidR="00D649F7" w:rsidRDefault="00D649F7" w:rsidP="00D649F7">
      <w:r>
        <w:t>PI_C3R</w:t>
      </w:r>
      <w:r w:rsidR="005F4D03">
        <w:t>a</w:t>
      </w:r>
      <w:r>
        <w:t>3</w:t>
      </w:r>
      <w:r w:rsidR="00F23318">
        <w:t xml:space="preserve"> = </w:t>
      </w:r>
      <m:oMath>
        <m:f>
          <m:fPr>
            <m:ctrlPr>
              <w:rPr>
                <w:rFonts w:ascii="Cambria Math" w:hAnsi="Cambria Math"/>
                <w:i/>
              </w:rPr>
            </m:ctrlPr>
          </m:fPr>
          <m:num>
            <m:r>
              <w:rPr>
                <w:rFonts w:ascii="Cambria Math" w:hAnsi="Cambria Math"/>
              </w:rPr>
              <m:t>Mean(</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num>
          <m:den>
            <m:sSub>
              <m:sSubPr>
                <m:ctrlPr>
                  <w:rPr>
                    <w:rFonts w:ascii="Cambria Math" w:hAnsi="Cambria Math"/>
                    <w:i/>
                  </w:rPr>
                </m:ctrlPr>
              </m:sSubPr>
              <m:e>
                <m:r>
                  <w:rPr>
                    <w:rFonts w:ascii="Cambria Math" w:hAnsi="Cambria Math"/>
                  </w:rPr>
                  <m:t>CPP</m:t>
                </m:r>
              </m:e>
              <m:sub>
                <m:r>
                  <w:rPr>
                    <w:rFonts w:ascii="Cambria Math" w:hAnsi="Cambria Math"/>
                  </w:rPr>
                  <m:t>m</m:t>
                </m:r>
              </m:sub>
            </m:sSub>
            <m:r>
              <w:rPr>
                <w:rFonts w:ascii="Cambria Math" w:hAnsi="Cambria Math"/>
              </w:rPr>
              <m:t xml:space="preserve"> </m:t>
            </m:r>
          </m:den>
        </m:f>
        <m:r>
          <w:rPr>
            <w:rFonts w:ascii="Cambria Math" w:hAnsi="Cambria Math"/>
          </w:rPr>
          <m:t xml:space="preserve"> ×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Mean (CABV</m:t>
                            </m:r>
                          </m:e>
                          <m:sub>
                            <m:r>
                              <w:rPr>
                                <w:rFonts w:ascii="Cambria Math" w:hAnsi="Cambria Math"/>
                              </w:rPr>
                              <m:t>3</m:t>
                            </m:r>
                            <m:r>
                              <m:rPr>
                                <m:sty m:val="p"/>
                              </m:rPr>
                              <w:rPr>
                                <w:rFonts w:ascii="Cambria Math" w:hAnsi="Cambria Math"/>
                              </w:rPr>
                              <m:t>S</m:t>
                            </m:r>
                          </m:sub>
                        </m:sSub>
                        <m:r>
                          <w:rPr>
                            <w:rFonts w:ascii="Cambria Math" w:hAnsi="Cambria Math"/>
                          </w:rPr>
                          <m:t>)</m:t>
                        </m:r>
                      </m:num>
                      <m:den>
                        <m:r>
                          <w:rPr>
                            <w:rFonts w:ascii="Cambria Math" w:hAnsi="Cambria Math"/>
                          </w:rPr>
                          <m:t>Mean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CPP</m:t>
                            </m:r>
                          </m:e>
                          <m:sub>
                            <m:r>
                              <w:rPr>
                                <w:rFonts w:ascii="Cambria Math" w:hAnsi="Cambria Math"/>
                              </w:rPr>
                              <m:t>m</m:t>
                            </m:r>
                          </m:sub>
                        </m:sSub>
                      </m:num>
                      <m:den>
                        <m:sSub>
                          <m:sSubPr>
                            <m:ctrlPr>
                              <w:rPr>
                                <w:rFonts w:ascii="Cambria Math" w:hAnsi="Cambria Math"/>
                                <w:i/>
                              </w:rPr>
                            </m:ctrlPr>
                          </m:sSubPr>
                          <m:e>
                            <m:r>
                              <w:rPr>
                                <w:rFonts w:ascii="Cambria Math" w:hAnsi="Cambria Math"/>
                              </w:rPr>
                              <m:t>FV</m:t>
                            </m:r>
                          </m:e>
                          <m:sub>
                            <m:r>
                              <w:rPr>
                                <w:rFonts w:ascii="Cambria Math" w:hAnsi="Cambria Math"/>
                              </w:rPr>
                              <m:t>m</m:t>
                            </m:r>
                          </m:sub>
                        </m:sSub>
                      </m:den>
                    </m:f>
                  </m:e>
                </m:d>
              </m:e>
              <m:sup>
                <m:r>
                  <w:rPr>
                    <w:rFonts w:ascii="Cambria Math" w:hAnsi="Cambria Math"/>
                  </w:rPr>
                  <m:t>2</m:t>
                </m:r>
              </m:sup>
            </m:sSup>
            <m:r>
              <w:rPr>
                <w:rFonts w:ascii="Cambria Math" w:hAnsi="Cambria Math"/>
              </w:rPr>
              <m:t>×Mean</m:t>
            </m:r>
            <m:sSup>
              <m:sSupPr>
                <m:ctrlPr>
                  <w:rPr>
                    <w:rFonts w:ascii="Cambria Math" w:hAnsi="Cambria Math"/>
                    <w:i/>
                  </w:rPr>
                </m:ctrlPr>
              </m:sSupPr>
              <m:e>
                <m:r>
                  <w:rPr>
                    <w:rFonts w:ascii="Cambria Math" w:hAnsi="Cambria Math"/>
                  </w:rPr>
                  <m:t>(HrHz)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(2π)</m:t>
                </m:r>
              </m:e>
              <m:sup>
                <m:r>
                  <w:rPr>
                    <w:rFonts w:ascii="Cambria Math" w:hAnsi="Cambria Math"/>
                  </w:rPr>
                  <m:t>2</m:t>
                </m:r>
              </m:sup>
            </m:sSup>
            <m:r>
              <w:rPr>
                <w:rFonts w:ascii="Cambria Math" w:hAnsi="Cambria Math"/>
              </w:rPr>
              <m:t>+1</m:t>
            </m:r>
          </m:e>
        </m:rad>
      </m:oMath>
    </w:p>
    <w:p w14:paraId="4702BBBF" w14:textId="77777777" w:rsidR="005C0C4C" w:rsidRDefault="005C0C4C" w:rsidP="005C0C4C">
      <w:pPr>
        <w:rPr>
          <w:rFonts w:ascii="Calibri" w:eastAsia="Calibri" w:hAnsi="Calibri" w:cs="Times New Roman"/>
        </w:rPr>
      </w:pPr>
    </w:p>
    <w:p w14:paraId="7DF89E2B" w14:textId="0BD7B9BC" w:rsidR="00BC3382" w:rsidRDefault="005C0C4C" w:rsidP="00020ABC">
      <w:pPr>
        <w:spacing w:line="480" w:lineRule="auto"/>
        <w:rPr>
          <w:rFonts w:ascii="Calibri" w:eastAsia="Calibri" w:hAnsi="Calibri" w:cs="Times New Roman"/>
        </w:rPr>
      </w:pPr>
      <w:r w:rsidRPr="00A23031">
        <w:rPr>
          <w:rFonts w:ascii="Calibri" w:eastAsia="Calibri" w:hAnsi="Calibri" w:cs="Times New Roman"/>
        </w:rPr>
        <w:t xml:space="preserve">where </w:t>
      </w:r>
      <w:r w:rsidRPr="00A23031">
        <w:rPr>
          <w:rFonts w:ascii="Calibri" w:eastAsia="Calibri" w:hAnsi="Calibri" w:cs="Times New Roman"/>
          <w:i/>
        </w:rPr>
        <w:t>ABP</w:t>
      </w:r>
      <w:r w:rsidRPr="00A23031">
        <w:rPr>
          <w:rFonts w:ascii="Calibri" w:eastAsia="Calibri" w:hAnsi="Calibri" w:cs="Times New Roman"/>
          <w:i/>
          <w:vertAlign w:val="subscript"/>
        </w:rPr>
        <w:t>m</w:t>
      </w:r>
      <w:r w:rsidRPr="00A23031">
        <w:rPr>
          <w:rFonts w:ascii="Calibri" w:eastAsia="Calibri" w:hAnsi="Calibri" w:cs="Times New Roman"/>
        </w:rPr>
        <w:t xml:space="preserve">, </w:t>
      </w:r>
      <w:r w:rsidRPr="00A23031">
        <w:rPr>
          <w:rFonts w:ascii="Calibri" w:eastAsia="Calibri" w:hAnsi="Calibri" w:cs="Times New Roman"/>
          <w:i/>
        </w:rPr>
        <w:t>CPP</w:t>
      </w:r>
      <w:r w:rsidRPr="00A23031">
        <w:rPr>
          <w:rFonts w:ascii="Calibri" w:eastAsia="Calibri" w:hAnsi="Calibri" w:cs="Times New Roman"/>
          <w:i/>
          <w:vertAlign w:val="subscript"/>
        </w:rPr>
        <w:t>m</w:t>
      </w:r>
      <w:r w:rsidRPr="00A23031">
        <w:rPr>
          <w:rFonts w:ascii="Calibri" w:eastAsia="Calibri" w:hAnsi="Calibri" w:cs="Times New Roman"/>
        </w:rPr>
        <w:t xml:space="preserve">, and </w:t>
      </w:r>
      <w:r w:rsidRPr="00A23031">
        <w:rPr>
          <w:rFonts w:ascii="Calibri" w:eastAsia="Calibri" w:hAnsi="Calibri" w:cs="Times New Roman"/>
          <w:i/>
        </w:rPr>
        <w:t>FV</w:t>
      </w:r>
      <w:r w:rsidRPr="00A23031">
        <w:rPr>
          <w:rFonts w:ascii="Calibri" w:eastAsia="Calibri" w:hAnsi="Calibri" w:cs="Times New Roman"/>
          <w:i/>
          <w:vertAlign w:val="subscript"/>
        </w:rPr>
        <w:t>m</w:t>
      </w:r>
      <w:r w:rsidRPr="00A23031">
        <w:rPr>
          <w:rFonts w:ascii="Calibri" w:eastAsia="Calibri" w:hAnsi="Calibri" w:cs="Times New Roman"/>
        </w:rPr>
        <w:t xml:space="preserve"> each represent the mean value of </w:t>
      </w:r>
      <w:r>
        <w:rPr>
          <w:rFonts w:ascii="Calibri" w:eastAsia="Calibri" w:hAnsi="Calibri" w:cs="Times New Roman"/>
        </w:rPr>
        <w:t>the</w:t>
      </w:r>
      <w:r w:rsidRPr="00A23031">
        <w:rPr>
          <w:rFonts w:ascii="Calibri" w:eastAsia="Calibri" w:hAnsi="Calibri" w:cs="Times New Roman"/>
        </w:rPr>
        <w:t xml:space="preserve"> respective parameter, </w:t>
      </w:r>
      <w:r w:rsidRPr="00A23031">
        <w:rPr>
          <w:rFonts w:ascii="Calibri" w:eastAsia="Calibri" w:hAnsi="Calibri" w:cs="Times New Roman"/>
          <w:i/>
        </w:rPr>
        <w:t>A</w:t>
      </w:r>
      <w:r w:rsidRPr="00A23031">
        <w:rPr>
          <w:rFonts w:ascii="Calibri" w:eastAsia="Calibri" w:hAnsi="Calibri" w:cs="Times New Roman"/>
          <w:i/>
          <w:vertAlign w:val="subscript"/>
        </w:rPr>
        <w:t>1</w:t>
      </w:r>
      <w:r w:rsidRPr="00A23031">
        <w:rPr>
          <w:rFonts w:ascii="Calibri" w:eastAsia="Calibri" w:hAnsi="Calibri" w:cs="Times New Roman"/>
        </w:rPr>
        <w:t xml:space="preserve"> the fundamental harmonic of ABP, </w:t>
      </w:r>
      <w:r w:rsidRPr="00A23031">
        <w:rPr>
          <w:rFonts w:ascii="Calibri" w:eastAsia="Calibri" w:hAnsi="Calibri" w:cs="Times New Roman"/>
          <w:i/>
        </w:rPr>
        <w:t>F</w:t>
      </w:r>
      <w:r w:rsidRPr="00A23031">
        <w:rPr>
          <w:rFonts w:ascii="Calibri" w:eastAsia="Calibri" w:hAnsi="Calibri" w:cs="Times New Roman"/>
          <w:i/>
          <w:vertAlign w:val="subscript"/>
        </w:rPr>
        <w:t>1</w:t>
      </w:r>
      <w:r w:rsidRPr="00A23031">
        <w:rPr>
          <w:rFonts w:ascii="Calibri" w:eastAsia="Calibri" w:hAnsi="Calibri" w:cs="Times New Roman"/>
          <w:i/>
        </w:rPr>
        <w:t xml:space="preserve"> </w:t>
      </w:r>
      <w:r w:rsidRPr="00A23031">
        <w:rPr>
          <w:rFonts w:ascii="Calibri" w:eastAsia="Calibri" w:hAnsi="Calibri" w:cs="Times New Roman"/>
        </w:rPr>
        <w:t>the fundamental amplitude of the FV waveform</w:t>
      </w:r>
      <w:r w:rsidR="00A93491">
        <w:rPr>
          <w:rFonts w:ascii="Calibri" w:eastAsia="Calibri" w:hAnsi="Calibri" w:cs="Times New Roman"/>
        </w:rPr>
        <w:t>,</w:t>
      </w:r>
      <w:r w:rsidR="00A93491" w:rsidRPr="00A93491">
        <w:rPr>
          <w:rFonts w:ascii="Calibri" w:eastAsia="Calibri" w:hAnsi="Calibri" w:cs="Times New Roman"/>
        </w:rPr>
        <w:t xml:space="preserve"> </w:t>
      </w:r>
      <w:r w:rsidR="00A93491" w:rsidRPr="00C31CDA">
        <w:rPr>
          <w:rFonts w:ascii="Calibri" w:eastAsia="Calibri" w:hAnsi="Calibri" w:cs="Times New Roman"/>
          <w:i/>
        </w:rPr>
        <w:t>CABV</w:t>
      </w:r>
      <w:r w:rsidR="00A93491" w:rsidRPr="00C31CDA">
        <w:rPr>
          <w:rFonts w:ascii="Calibri" w:eastAsia="Calibri" w:hAnsi="Calibri" w:cs="Times New Roman"/>
          <w:i/>
          <w:vertAlign w:val="subscript"/>
        </w:rPr>
        <w:t>1</w:t>
      </w:r>
      <w:r w:rsidR="00A93491" w:rsidRPr="00A93491">
        <w:rPr>
          <w:rFonts w:ascii="Calibri" w:eastAsia="Calibri" w:hAnsi="Calibri" w:cs="Times New Roman"/>
          <w:vertAlign w:val="subscript"/>
        </w:rPr>
        <w:t xml:space="preserve">-3S </w:t>
      </w:r>
      <w:r w:rsidR="00A93491">
        <w:rPr>
          <w:rFonts w:ascii="Calibri" w:eastAsia="Calibri" w:hAnsi="Calibri" w:cs="Times New Roman"/>
        </w:rPr>
        <w:t xml:space="preserve">the time-averaged mean values of each </w:t>
      </w:r>
      <w:r w:rsidR="00C924A0">
        <w:rPr>
          <w:rFonts w:ascii="Calibri" w:eastAsia="Calibri" w:hAnsi="Calibri" w:cs="Times New Roman"/>
        </w:rPr>
        <w:t>Δ</w:t>
      </w:r>
      <w:r w:rsidR="003051F0">
        <w:rPr>
          <w:rFonts w:ascii="Calibri" w:eastAsia="Calibri" w:hAnsi="Calibri" w:cs="Times New Roman"/>
        </w:rPr>
        <w:t>CaBV</w:t>
      </w:r>
      <w:r w:rsidR="00A93491">
        <w:rPr>
          <w:rFonts w:ascii="Calibri" w:eastAsia="Calibri" w:hAnsi="Calibri" w:cs="Times New Roman"/>
        </w:rPr>
        <w:t xml:space="preserve"> estimation method resolved into the spectral domain, and</w:t>
      </w:r>
      <w:r w:rsidR="00A93491" w:rsidRPr="00A93491">
        <w:rPr>
          <w:rFonts w:ascii="Calibri" w:eastAsia="Calibri" w:hAnsi="Calibri" w:cs="Times New Roman"/>
        </w:rPr>
        <w:t xml:space="preserve"> </w:t>
      </w:r>
      <w:r w:rsidR="00A93491" w:rsidRPr="00A93491">
        <w:rPr>
          <w:rFonts w:ascii="Calibri" w:eastAsia="Calibri" w:hAnsi="Calibri" w:cs="Times New Roman"/>
          <w:i/>
        </w:rPr>
        <w:t>HrHz</w:t>
      </w:r>
      <w:r w:rsidR="00A93491">
        <w:rPr>
          <w:rFonts w:ascii="Calibri" w:eastAsia="Calibri" w:hAnsi="Calibri" w:cs="Times New Roman"/>
        </w:rPr>
        <w:t xml:space="preserve"> the fundamental frequency of FV</w:t>
      </w:r>
      <w:r w:rsidRPr="00A23031">
        <w:rPr>
          <w:rFonts w:ascii="Calibri" w:eastAsia="Calibri" w:hAnsi="Calibri" w:cs="Times New Roman"/>
        </w:rPr>
        <w:t>.</w:t>
      </w:r>
      <w:r>
        <w:rPr>
          <w:rFonts w:ascii="Calibri" w:eastAsia="Calibri" w:hAnsi="Calibri" w:cs="Times New Roman"/>
        </w:rPr>
        <w:t xml:space="preserve"> </w:t>
      </w:r>
    </w:p>
    <w:p w14:paraId="6DFD20D5" w14:textId="647BCAA5" w:rsidR="00253B3C" w:rsidRDefault="00253B3C" w:rsidP="00020ABC">
      <w:pPr>
        <w:spacing w:line="480" w:lineRule="auto"/>
        <w:rPr>
          <w:rFonts w:ascii="Calibri" w:eastAsia="Calibri" w:hAnsi="Calibri" w:cs="Times New Roman"/>
        </w:rPr>
      </w:pPr>
    </w:p>
    <w:p w14:paraId="7C19FC72" w14:textId="56ACF209" w:rsidR="00253B3C" w:rsidRDefault="00253B3C" w:rsidP="00020ABC">
      <w:pPr>
        <w:spacing w:line="480" w:lineRule="auto"/>
        <w:rPr>
          <w:rFonts w:ascii="Calibri" w:eastAsia="Calibri" w:hAnsi="Calibri" w:cs="Times New Roman"/>
        </w:rPr>
      </w:pPr>
    </w:p>
    <w:p w14:paraId="43CE2DE5" w14:textId="3F1002F8" w:rsidR="00253B3C" w:rsidRDefault="00253B3C" w:rsidP="00020ABC">
      <w:pPr>
        <w:spacing w:line="480" w:lineRule="auto"/>
        <w:rPr>
          <w:rFonts w:ascii="Calibri" w:eastAsia="Calibri" w:hAnsi="Calibri" w:cs="Times New Roman"/>
        </w:rPr>
      </w:pPr>
    </w:p>
    <w:p w14:paraId="644EC294" w14:textId="5DF38377" w:rsidR="00253B3C" w:rsidRDefault="00253B3C" w:rsidP="00020ABC">
      <w:pPr>
        <w:spacing w:line="480" w:lineRule="auto"/>
        <w:rPr>
          <w:rFonts w:ascii="Calibri" w:eastAsia="Calibri" w:hAnsi="Calibri" w:cs="Times New Roman"/>
        </w:rPr>
      </w:pPr>
    </w:p>
    <w:p w14:paraId="62074E29" w14:textId="32ED45A4" w:rsidR="00253B3C" w:rsidRDefault="00253B3C" w:rsidP="00020ABC">
      <w:pPr>
        <w:spacing w:line="480" w:lineRule="auto"/>
        <w:rPr>
          <w:rFonts w:ascii="Calibri" w:eastAsia="Calibri" w:hAnsi="Calibri" w:cs="Times New Roman"/>
        </w:rPr>
      </w:pPr>
    </w:p>
    <w:p w14:paraId="5395708E" w14:textId="4D6C385F" w:rsidR="00253B3C" w:rsidRDefault="00253B3C" w:rsidP="00020ABC">
      <w:pPr>
        <w:spacing w:line="480" w:lineRule="auto"/>
        <w:rPr>
          <w:rFonts w:ascii="Calibri" w:eastAsia="Calibri" w:hAnsi="Calibri" w:cs="Times New Roman"/>
        </w:rPr>
      </w:pPr>
    </w:p>
    <w:p w14:paraId="4BBB741F" w14:textId="1D6909C6" w:rsidR="00253B3C" w:rsidRDefault="00253B3C" w:rsidP="00020ABC">
      <w:pPr>
        <w:spacing w:line="480" w:lineRule="auto"/>
        <w:rPr>
          <w:rFonts w:ascii="Calibri" w:eastAsia="Calibri" w:hAnsi="Calibri" w:cs="Times New Roman"/>
        </w:rPr>
      </w:pPr>
    </w:p>
    <w:p w14:paraId="61A8C539" w14:textId="4B03FCC3" w:rsidR="00253B3C" w:rsidRDefault="00253B3C" w:rsidP="00020ABC">
      <w:pPr>
        <w:spacing w:line="480" w:lineRule="auto"/>
        <w:rPr>
          <w:rFonts w:ascii="Calibri" w:eastAsia="Calibri" w:hAnsi="Calibri" w:cs="Times New Roman"/>
        </w:rPr>
      </w:pPr>
    </w:p>
    <w:p w14:paraId="7304953C" w14:textId="2319B5E2" w:rsidR="00253B3C" w:rsidRDefault="00253B3C" w:rsidP="00020ABC">
      <w:pPr>
        <w:spacing w:line="480" w:lineRule="auto"/>
        <w:rPr>
          <w:rFonts w:ascii="Calibri" w:eastAsia="Calibri" w:hAnsi="Calibri" w:cs="Times New Roman"/>
        </w:rPr>
      </w:pPr>
    </w:p>
    <w:p w14:paraId="2C636AC8" w14:textId="739282F3" w:rsidR="00253B3C" w:rsidRDefault="00253B3C" w:rsidP="00020ABC">
      <w:pPr>
        <w:spacing w:line="480" w:lineRule="auto"/>
        <w:rPr>
          <w:rFonts w:ascii="Calibri" w:eastAsia="Calibri" w:hAnsi="Calibri" w:cs="Times New Roman"/>
        </w:rPr>
      </w:pPr>
    </w:p>
    <w:p w14:paraId="56B68A54" w14:textId="25AF0745" w:rsidR="00253B3C" w:rsidRDefault="00253B3C" w:rsidP="00020ABC">
      <w:pPr>
        <w:spacing w:line="480" w:lineRule="auto"/>
        <w:rPr>
          <w:rFonts w:ascii="Calibri" w:eastAsia="Calibri" w:hAnsi="Calibri" w:cs="Times New Roman"/>
        </w:rPr>
      </w:pPr>
    </w:p>
    <w:p w14:paraId="46B6982A" w14:textId="3FABA06A" w:rsidR="00253B3C" w:rsidRDefault="00253B3C" w:rsidP="00020ABC">
      <w:pPr>
        <w:spacing w:line="480" w:lineRule="auto"/>
        <w:rPr>
          <w:rFonts w:ascii="Calibri" w:eastAsia="Calibri" w:hAnsi="Calibri" w:cs="Times New Roman"/>
        </w:rPr>
      </w:pPr>
    </w:p>
    <w:p w14:paraId="3635D83A" w14:textId="6A8FEF8B" w:rsidR="00253B3C" w:rsidRDefault="00253B3C" w:rsidP="00020ABC">
      <w:pPr>
        <w:spacing w:line="480" w:lineRule="auto"/>
        <w:rPr>
          <w:rFonts w:ascii="Calibri" w:eastAsia="Calibri" w:hAnsi="Calibri" w:cs="Times New Roman"/>
        </w:rPr>
      </w:pPr>
    </w:p>
    <w:p w14:paraId="2EE59471" w14:textId="2F207EEA" w:rsidR="00253B3C" w:rsidRDefault="00253B3C" w:rsidP="00020ABC">
      <w:pPr>
        <w:spacing w:line="480" w:lineRule="auto"/>
        <w:rPr>
          <w:rFonts w:ascii="Calibri" w:eastAsia="Calibri" w:hAnsi="Calibri" w:cs="Times New Roman"/>
        </w:rPr>
      </w:pPr>
    </w:p>
    <w:p w14:paraId="0CB1B0C6" w14:textId="1FD3C6FF" w:rsidR="00253B3C" w:rsidRDefault="00253B3C" w:rsidP="00020ABC">
      <w:pPr>
        <w:spacing w:line="480" w:lineRule="auto"/>
        <w:rPr>
          <w:rFonts w:ascii="Calibri" w:eastAsia="Calibri" w:hAnsi="Calibri" w:cs="Times New Roman"/>
        </w:rPr>
      </w:pPr>
    </w:p>
    <w:p w14:paraId="64728CED" w14:textId="1EC55293" w:rsidR="00253B3C" w:rsidRPr="00253B3C" w:rsidRDefault="00253B3C" w:rsidP="00020ABC">
      <w:pPr>
        <w:spacing w:line="480" w:lineRule="auto"/>
        <w:rPr>
          <w:rFonts w:eastAsia="Calibri" w:cstheme="minorHAnsi"/>
          <w:b/>
          <w:bCs/>
        </w:rPr>
      </w:pPr>
      <w:r w:rsidRPr="00253B3C">
        <w:rPr>
          <w:rFonts w:eastAsia="Calibri" w:cstheme="minorHAnsi"/>
          <w:b/>
          <w:bCs/>
        </w:rPr>
        <w:lastRenderedPageBreak/>
        <w:t>Appendix C: Abbreviations</w:t>
      </w:r>
    </w:p>
    <w:p w14:paraId="6665D4CC" w14:textId="7AE0C8F3" w:rsidR="00E65777" w:rsidRDefault="00E65777" w:rsidP="00020ABC">
      <w:pPr>
        <w:spacing w:line="480" w:lineRule="auto"/>
        <w:rPr>
          <w:rFonts w:ascii="Calibri" w:eastAsia="Calibri" w:hAnsi="Calibri" w:cs="Times New Roman"/>
        </w:rPr>
      </w:pPr>
      <w:r>
        <w:rPr>
          <w:rFonts w:ascii="Calibri" w:eastAsia="Calibri" w:hAnsi="Calibri" w:cs="Times New Roman"/>
        </w:rPr>
        <w:t>ABP – arterial blood pressure</w:t>
      </w:r>
    </w:p>
    <w:p w14:paraId="1C89FE40" w14:textId="40070DBC" w:rsidR="000256B9" w:rsidRDefault="000256B9" w:rsidP="00020ABC">
      <w:pPr>
        <w:spacing w:line="480" w:lineRule="auto"/>
        <w:rPr>
          <w:rFonts w:ascii="Calibri" w:eastAsia="Calibri" w:hAnsi="Calibri" w:cs="Times New Roman"/>
        </w:rPr>
      </w:pPr>
      <w:r>
        <w:rPr>
          <w:rFonts w:ascii="Calibri" w:eastAsia="Calibri" w:hAnsi="Calibri" w:cs="Times New Roman"/>
        </w:rPr>
        <w:t>Ca – compliance of the vascular bed</w:t>
      </w:r>
    </w:p>
    <w:p w14:paraId="12FD8315" w14:textId="1F384BA1" w:rsidR="00253B3C" w:rsidRDefault="00E65777" w:rsidP="00020ABC">
      <w:pPr>
        <w:spacing w:line="480" w:lineRule="auto"/>
        <w:rPr>
          <w:rFonts w:ascii="Calibri" w:eastAsia="Calibri" w:hAnsi="Calibri" w:cs="Times New Roman"/>
        </w:rPr>
      </w:pPr>
      <w:r>
        <w:rPr>
          <w:rFonts w:ascii="Calibri" w:eastAsia="Calibri" w:hAnsi="Calibri" w:cs="Times New Roman"/>
        </w:rPr>
        <w:t>CaBV – cerebral arterial blood volume</w:t>
      </w:r>
    </w:p>
    <w:p w14:paraId="4DBA2EE9" w14:textId="3EC2722D" w:rsidR="006522B3" w:rsidRDefault="006522B3" w:rsidP="00020ABC">
      <w:pPr>
        <w:spacing w:line="480" w:lineRule="auto"/>
        <w:rPr>
          <w:rFonts w:ascii="Calibri" w:eastAsia="Calibri" w:hAnsi="Calibri" w:cs="Times New Roman"/>
        </w:rPr>
      </w:pPr>
      <w:r>
        <w:rPr>
          <w:rFonts w:ascii="Calibri" w:eastAsia="Calibri" w:hAnsi="Calibri" w:cs="Calibri"/>
        </w:rPr>
        <w:t>Δ</w:t>
      </w:r>
      <w:r>
        <w:rPr>
          <w:rFonts w:ascii="Calibri" w:eastAsia="Calibri" w:hAnsi="Calibri" w:cs="Times New Roman"/>
        </w:rPr>
        <w:t xml:space="preserve">CaBV – change in cerebral arterial blood volume </w:t>
      </w:r>
    </w:p>
    <w:p w14:paraId="60F21CC5" w14:textId="32DB0447" w:rsidR="00707537" w:rsidRDefault="00707537" w:rsidP="00020ABC">
      <w:pPr>
        <w:spacing w:line="480" w:lineRule="auto"/>
        <w:rPr>
          <w:rFonts w:ascii="Calibri" w:eastAsia="Calibri" w:hAnsi="Calibri" w:cs="Times New Roman"/>
        </w:rPr>
      </w:pPr>
      <w:r>
        <w:rPr>
          <w:rFonts w:ascii="Calibri" w:eastAsia="Calibri" w:hAnsi="Calibri" w:cs="Times New Roman"/>
        </w:rPr>
        <w:t xml:space="preserve">CBF – cerebral blood flow </w:t>
      </w:r>
    </w:p>
    <w:p w14:paraId="0F58ACF5" w14:textId="0172F22E" w:rsidR="003578C5" w:rsidRDefault="003578C5" w:rsidP="00020ABC">
      <w:pPr>
        <w:spacing w:line="480" w:lineRule="auto"/>
      </w:pPr>
      <w:r>
        <w:rPr>
          <w:rFonts w:ascii="Calibri" w:eastAsia="Calibri" w:hAnsi="Calibri" w:cs="Times New Roman"/>
        </w:rPr>
        <w:t xml:space="preserve">CFF – </w:t>
      </w:r>
      <w:r>
        <w:t>continuous flow forward model</w:t>
      </w:r>
      <w:r>
        <w:t xml:space="preserve"> </w:t>
      </w:r>
      <w:r>
        <w:t>(</w:t>
      </w:r>
      <w:r>
        <w:t>pulsatile blood inflow and steady blood outflow</w:t>
      </w:r>
      <w:r>
        <w:t>)</w:t>
      </w:r>
    </w:p>
    <w:p w14:paraId="798E0AC5" w14:textId="513130B8" w:rsidR="00125397" w:rsidRPr="00125397" w:rsidRDefault="002933CE" w:rsidP="00020ABC">
      <w:pPr>
        <w:spacing w:line="480" w:lineRule="auto"/>
      </w:pPr>
      <w:r>
        <w:t>Ci – compliance of the cerebrospinal space</w:t>
      </w:r>
    </w:p>
    <w:p w14:paraId="3C409F5B" w14:textId="422AF6D1" w:rsidR="00E65777" w:rsidRDefault="00E65777" w:rsidP="00020ABC">
      <w:pPr>
        <w:spacing w:line="480" w:lineRule="auto"/>
        <w:rPr>
          <w:rFonts w:ascii="Calibri" w:eastAsia="Calibri" w:hAnsi="Calibri" w:cs="Times New Roman"/>
        </w:rPr>
      </w:pPr>
      <w:r>
        <w:rPr>
          <w:rFonts w:ascii="Calibri" w:eastAsia="Calibri" w:hAnsi="Calibri" w:cs="Times New Roman"/>
        </w:rPr>
        <w:t>CPP – cerebral perfusion pressure</w:t>
      </w:r>
    </w:p>
    <w:p w14:paraId="054B7D08" w14:textId="1F7988B3" w:rsidR="00125397" w:rsidRDefault="00125397" w:rsidP="00020ABC">
      <w:pPr>
        <w:spacing w:line="480" w:lineRule="auto"/>
        <w:rPr>
          <w:rFonts w:ascii="Calibri" w:eastAsia="Calibri" w:hAnsi="Calibri" w:cs="Times New Roman"/>
        </w:rPr>
      </w:pPr>
      <w:r>
        <w:rPr>
          <w:rFonts w:ascii="Calibri" w:eastAsia="Calibri" w:hAnsi="Calibri" w:cs="Times New Roman"/>
        </w:rPr>
        <w:t>CrCP – critical closing pressure</w:t>
      </w:r>
      <w:bookmarkStart w:id="9" w:name="_GoBack"/>
      <w:bookmarkEnd w:id="9"/>
    </w:p>
    <w:p w14:paraId="4BA8666A" w14:textId="5DBCC082" w:rsidR="00E65777" w:rsidRDefault="00E65777" w:rsidP="00020ABC">
      <w:pPr>
        <w:spacing w:line="480" w:lineRule="auto"/>
        <w:rPr>
          <w:rFonts w:ascii="Calibri" w:eastAsia="Calibri" w:hAnsi="Calibri" w:cs="Times New Roman"/>
        </w:rPr>
      </w:pPr>
      <w:r>
        <w:rPr>
          <w:rFonts w:ascii="Calibri" w:eastAsia="Calibri" w:hAnsi="Calibri" w:cs="Times New Roman"/>
        </w:rPr>
        <w:t>FV – flow velocity</w:t>
      </w:r>
    </w:p>
    <w:p w14:paraId="2D323343" w14:textId="551D5D40" w:rsidR="00E65777" w:rsidRDefault="00E65777" w:rsidP="00020ABC">
      <w:pPr>
        <w:spacing w:line="480" w:lineRule="auto"/>
        <w:rPr>
          <w:rFonts w:ascii="Calibri" w:eastAsia="Calibri" w:hAnsi="Calibri" w:cs="Times New Roman"/>
        </w:rPr>
      </w:pPr>
      <w:r>
        <w:rPr>
          <w:rFonts w:ascii="Calibri" w:eastAsia="Calibri" w:hAnsi="Calibri" w:cs="Times New Roman"/>
        </w:rPr>
        <w:t>ICP – intracranial pressure</w:t>
      </w:r>
    </w:p>
    <w:p w14:paraId="628F34EB" w14:textId="4A710587" w:rsidR="005F5C15" w:rsidRDefault="005F5C15" w:rsidP="00020ABC">
      <w:pPr>
        <w:spacing w:line="480" w:lineRule="auto"/>
        <w:rPr>
          <w:rFonts w:ascii="Calibri" w:eastAsia="Calibri" w:hAnsi="Calibri" w:cs="Times New Roman"/>
        </w:rPr>
      </w:pPr>
      <w:r>
        <w:rPr>
          <w:rFonts w:ascii="Calibri" w:eastAsia="Calibri" w:hAnsi="Calibri" w:cs="Times New Roman"/>
        </w:rPr>
        <w:t>MCA – middle cerebral artery</w:t>
      </w:r>
    </w:p>
    <w:p w14:paraId="00A1F3FE" w14:textId="47950493" w:rsidR="003578C5" w:rsidRDefault="003578C5" w:rsidP="00020ABC">
      <w:pPr>
        <w:spacing w:line="480" w:lineRule="auto"/>
      </w:pPr>
      <w:r>
        <w:rPr>
          <w:rFonts w:ascii="Calibri" w:eastAsia="Calibri" w:hAnsi="Calibri" w:cs="Times New Roman"/>
        </w:rPr>
        <w:t xml:space="preserve">PFF – pulsatile flow forward model </w:t>
      </w:r>
      <w:r>
        <w:t>(both blood inflow and outflow are pulsatile)</w:t>
      </w:r>
    </w:p>
    <w:p w14:paraId="3ADD4C2D" w14:textId="453CD06B" w:rsidR="002874CA" w:rsidRDefault="002874CA" w:rsidP="00020ABC">
      <w:pPr>
        <w:spacing w:line="480" w:lineRule="auto"/>
      </w:pPr>
      <w:r>
        <w:t xml:space="preserve">Ra – cerebrovascular resistance </w:t>
      </w:r>
    </w:p>
    <w:p w14:paraId="566EC3E3" w14:textId="199FC51C" w:rsidR="000256B9" w:rsidRDefault="000256B9" w:rsidP="00020ABC">
      <w:pPr>
        <w:spacing w:line="480" w:lineRule="auto"/>
      </w:pPr>
      <w:r>
        <w:t>sPI – spectral pulsatility index (</w:t>
      </w:r>
      <w:r>
        <w:t>the first harmonic of the FV pulse/mean FV</w:t>
      </w:r>
    </w:p>
    <w:p w14:paraId="215991A0" w14:textId="77097631" w:rsidR="00481782" w:rsidRDefault="00481782" w:rsidP="00020ABC">
      <w:pPr>
        <w:spacing w:line="480" w:lineRule="auto"/>
        <w:rPr>
          <w:rFonts w:ascii="Calibri" w:eastAsia="Calibri" w:hAnsi="Calibri" w:cs="Times New Roman"/>
        </w:rPr>
      </w:pPr>
      <w:r>
        <w:t>tau (</w:t>
      </w:r>
      <w:r>
        <w:rPr>
          <w:rFonts w:cstheme="minorHAnsi"/>
        </w:rPr>
        <w:t>τ</w:t>
      </w:r>
      <w:r>
        <w:t>) – cerebrovascular time constant</w:t>
      </w:r>
    </w:p>
    <w:p w14:paraId="40C59D6C" w14:textId="6F35D9DC" w:rsidR="00E65777" w:rsidRDefault="00E65777" w:rsidP="00020ABC">
      <w:pPr>
        <w:spacing w:line="480" w:lineRule="auto"/>
        <w:rPr>
          <w:rFonts w:ascii="Calibri" w:eastAsia="Calibri" w:hAnsi="Calibri" w:cs="Times New Roman"/>
        </w:rPr>
      </w:pPr>
      <w:r>
        <w:rPr>
          <w:rFonts w:ascii="Calibri" w:eastAsia="Calibri" w:hAnsi="Calibri" w:cs="Times New Roman"/>
        </w:rPr>
        <w:t>TBI – traumatic brain injury</w:t>
      </w:r>
    </w:p>
    <w:p w14:paraId="27502089" w14:textId="4ACFFCC6" w:rsidR="00253B3C" w:rsidRPr="00253B3C" w:rsidRDefault="00E65777" w:rsidP="00020ABC">
      <w:pPr>
        <w:spacing w:line="480" w:lineRule="auto"/>
        <w:rPr>
          <w:rFonts w:ascii="Calibri" w:eastAsia="Calibri" w:hAnsi="Calibri" w:cs="Times New Roman"/>
        </w:rPr>
      </w:pPr>
      <w:r>
        <w:rPr>
          <w:rFonts w:ascii="Calibri" w:eastAsia="Calibri" w:hAnsi="Calibri" w:cs="Times New Roman"/>
        </w:rPr>
        <w:t>TCD – transcranial Doppler ultrasonography</w:t>
      </w:r>
    </w:p>
    <w:sectPr w:rsidR="00253B3C" w:rsidRPr="00253B3C" w:rsidSect="0035019E">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14E60" w14:textId="77777777" w:rsidR="004B67B8" w:rsidRDefault="004B67B8" w:rsidP="00020ABC">
      <w:pPr>
        <w:spacing w:after="0" w:line="240" w:lineRule="auto"/>
      </w:pPr>
      <w:r>
        <w:separator/>
      </w:r>
    </w:p>
  </w:endnote>
  <w:endnote w:type="continuationSeparator" w:id="0">
    <w:p w14:paraId="2A426C6C" w14:textId="77777777" w:rsidR="004B67B8" w:rsidRDefault="004B67B8" w:rsidP="00020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6A938" w14:textId="77777777" w:rsidR="004B67B8" w:rsidRDefault="004B67B8" w:rsidP="00020ABC">
      <w:pPr>
        <w:spacing w:after="0" w:line="240" w:lineRule="auto"/>
      </w:pPr>
      <w:r>
        <w:separator/>
      </w:r>
    </w:p>
  </w:footnote>
  <w:footnote w:type="continuationSeparator" w:id="0">
    <w:p w14:paraId="6D0ADFD8" w14:textId="77777777" w:rsidR="004B67B8" w:rsidRDefault="004B67B8" w:rsidP="00020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033390"/>
      <w:docPartObj>
        <w:docPartGallery w:val="Page Numbers (Top of Page)"/>
        <w:docPartUnique/>
      </w:docPartObj>
    </w:sdtPr>
    <w:sdtEndPr>
      <w:rPr>
        <w:noProof/>
      </w:rPr>
    </w:sdtEndPr>
    <w:sdtContent>
      <w:p w14:paraId="50B88805" w14:textId="078AAD8E" w:rsidR="00001C5E" w:rsidRDefault="00001C5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8BC0D4" w14:textId="77777777" w:rsidR="00001C5E" w:rsidRDefault="00001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84288"/>
    <w:multiLevelType w:val="hybridMultilevel"/>
    <w:tmpl w:val="1872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D05D50"/>
    <w:multiLevelType w:val="hybridMultilevel"/>
    <w:tmpl w:val="C92AD9FA"/>
    <w:lvl w:ilvl="0" w:tplc="9538F7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F81262"/>
    <w:multiLevelType w:val="multilevel"/>
    <w:tmpl w:val="7666BBA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C85128B"/>
    <w:multiLevelType w:val="hybridMultilevel"/>
    <w:tmpl w:val="A37A1420"/>
    <w:lvl w:ilvl="0" w:tplc="CCB866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81670C"/>
    <w:multiLevelType w:val="hybridMultilevel"/>
    <w:tmpl w:val="0BFE8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DE0AAA"/>
    <w:multiLevelType w:val="hybridMultilevel"/>
    <w:tmpl w:val="91EEEE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503EF2"/>
    <w:multiLevelType w:val="hybridMultilevel"/>
    <w:tmpl w:val="B99E684E"/>
    <w:lvl w:ilvl="0" w:tplc="A164EC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682184"/>
    <w:multiLevelType w:val="hybridMultilevel"/>
    <w:tmpl w:val="321E3234"/>
    <w:lvl w:ilvl="0" w:tplc="039E1D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1"/>
  </w:num>
  <w:num w:numId="5">
    <w:abstractNumId w:val="6"/>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0B3"/>
    <w:rsid w:val="00001C5E"/>
    <w:rsid w:val="00002902"/>
    <w:rsid w:val="00003F5D"/>
    <w:rsid w:val="00011B2C"/>
    <w:rsid w:val="00012BD8"/>
    <w:rsid w:val="0001645C"/>
    <w:rsid w:val="00020ABC"/>
    <w:rsid w:val="00020C44"/>
    <w:rsid w:val="0002192D"/>
    <w:rsid w:val="00022F5C"/>
    <w:rsid w:val="00024DB4"/>
    <w:rsid w:val="00024E91"/>
    <w:rsid w:val="000256B9"/>
    <w:rsid w:val="00025B1A"/>
    <w:rsid w:val="00027A06"/>
    <w:rsid w:val="00034CB1"/>
    <w:rsid w:val="00034ED5"/>
    <w:rsid w:val="00035382"/>
    <w:rsid w:val="00036309"/>
    <w:rsid w:val="000419EA"/>
    <w:rsid w:val="000423B1"/>
    <w:rsid w:val="000440A4"/>
    <w:rsid w:val="00046917"/>
    <w:rsid w:val="00050B1A"/>
    <w:rsid w:val="000511C1"/>
    <w:rsid w:val="000545A7"/>
    <w:rsid w:val="00055696"/>
    <w:rsid w:val="000563DC"/>
    <w:rsid w:val="00063F2B"/>
    <w:rsid w:val="000661BF"/>
    <w:rsid w:val="00071135"/>
    <w:rsid w:val="0007114D"/>
    <w:rsid w:val="000735C5"/>
    <w:rsid w:val="00073DF1"/>
    <w:rsid w:val="0007523E"/>
    <w:rsid w:val="0007787F"/>
    <w:rsid w:val="00080A3B"/>
    <w:rsid w:val="00084403"/>
    <w:rsid w:val="00090D11"/>
    <w:rsid w:val="00091795"/>
    <w:rsid w:val="00097047"/>
    <w:rsid w:val="00097335"/>
    <w:rsid w:val="000A02C7"/>
    <w:rsid w:val="000A2B27"/>
    <w:rsid w:val="000A420A"/>
    <w:rsid w:val="000B18A6"/>
    <w:rsid w:val="000B5B84"/>
    <w:rsid w:val="000B7559"/>
    <w:rsid w:val="000C0503"/>
    <w:rsid w:val="000C0625"/>
    <w:rsid w:val="000C26AD"/>
    <w:rsid w:val="000C3DD9"/>
    <w:rsid w:val="000D084A"/>
    <w:rsid w:val="000D0FAE"/>
    <w:rsid w:val="000D2D29"/>
    <w:rsid w:val="000D428B"/>
    <w:rsid w:val="000D513C"/>
    <w:rsid w:val="000D6F6D"/>
    <w:rsid w:val="000E0CCE"/>
    <w:rsid w:val="000E27E2"/>
    <w:rsid w:val="000E3045"/>
    <w:rsid w:val="000E50D5"/>
    <w:rsid w:val="000E544D"/>
    <w:rsid w:val="000F0707"/>
    <w:rsid w:val="000F148A"/>
    <w:rsid w:val="000F2695"/>
    <w:rsid w:val="000F26BB"/>
    <w:rsid w:val="000F46E8"/>
    <w:rsid w:val="000F7004"/>
    <w:rsid w:val="00101D0B"/>
    <w:rsid w:val="001111BA"/>
    <w:rsid w:val="00111CB2"/>
    <w:rsid w:val="0011210F"/>
    <w:rsid w:val="001133D2"/>
    <w:rsid w:val="00113B38"/>
    <w:rsid w:val="00115CB6"/>
    <w:rsid w:val="0011601A"/>
    <w:rsid w:val="00116388"/>
    <w:rsid w:val="0011682B"/>
    <w:rsid w:val="00121C87"/>
    <w:rsid w:val="00122755"/>
    <w:rsid w:val="00122FB8"/>
    <w:rsid w:val="00123332"/>
    <w:rsid w:val="00124006"/>
    <w:rsid w:val="001240B7"/>
    <w:rsid w:val="00125397"/>
    <w:rsid w:val="00125E1E"/>
    <w:rsid w:val="00132484"/>
    <w:rsid w:val="00134C2B"/>
    <w:rsid w:val="0013563D"/>
    <w:rsid w:val="001368A4"/>
    <w:rsid w:val="00136E40"/>
    <w:rsid w:val="00141557"/>
    <w:rsid w:val="001416E3"/>
    <w:rsid w:val="0014380D"/>
    <w:rsid w:val="00143BEB"/>
    <w:rsid w:val="00145E8D"/>
    <w:rsid w:val="0014640B"/>
    <w:rsid w:val="001514E0"/>
    <w:rsid w:val="00151526"/>
    <w:rsid w:val="00154547"/>
    <w:rsid w:val="001545FB"/>
    <w:rsid w:val="001560A4"/>
    <w:rsid w:val="00156957"/>
    <w:rsid w:val="00157698"/>
    <w:rsid w:val="001631D9"/>
    <w:rsid w:val="001646FD"/>
    <w:rsid w:val="00165774"/>
    <w:rsid w:val="00165E86"/>
    <w:rsid w:val="00166043"/>
    <w:rsid w:val="00171151"/>
    <w:rsid w:val="00176E03"/>
    <w:rsid w:val="00180F73"/>
    <w:rsid w:val="00181257"/>
    <w:rsid w:val="00181B5E"/>
    <w:rsid w:val="00185577"/>
    <w:rsid w:val="001922EF"/>
    <w:rsid w:val="001A1B17"/>
    <w:rsid w:val="001A676A"/>
    <w:rsid w:val="001A6FD3"/>
    <w:rsid w:val="001A73F9"/>
    <w:rsid w:val="001A791D"/>
    <w:rsid w:val="001B2B34"/>
    <w:rsid w:val="001B6407"/>
    <w:rsid w:val="001C52EA"/>
    <w:rsid w:val="001C78A4"/>
    <w:rsid w:val="001D09F6"/>
    <w:rsid w:val="001D1519"/>
    <w:rsid w:val="001D4FAC"/>
    <w:rsid w:val="001D61F7"/>
    <w:rsid w:val="001D7A3D"/>
    <w:rsid w:val="001E03FE"/>
    <w:rsid w:val="001E2443"/>
    <w:rsid w:val="001E4501"/>
    <w:rsid w:val="001E65AE"/>
    <w:rsid w:val="001E7996"/>
    <w:rsid w:val="001E79C5"/>
    <w:rsid w:val="001F10EC"/>
    <w:rsid w:val="001F2CDC"/>
    <w:rsid w:val="001F343B"/>
    <w:rsid w:val="00200256"/>
    <w:rsid w:val="00203BE9"/>
    <w:rsid w:val="00204EA1"/>
    <w:rsid w:val="002109EF"/>
    <w:rsid w:val="0021566E"/>
    <w:rsid w:val="0021715B"/>
    <w:rsid w:val="00221348"/>
    <w:rsid w:val="00221D23"/>
    <w:rsid w:val="002245C2"/>
    <w:rsid w:val="00230B64"/>
    <w:rsid w:val="00234C98"/>
    <w:rsid w:val="002369A6"/>
    <w:rsid w:val="002403C6"/>
    <w:rsid w:val="00240520"/>
    <w:rsid w:val="00240AF9"/>
    <w:rsid w:val="00243314"/>
    <w:rsid w:val="002538D3"/>
    <w:rsid w:val="00253939"/>
    <w:rsid w:val="00253B3C"/>
    <w:rsid w:val="00253F62"/>
    <w:rsid w:val="00254E07"/>
    <w:rsid w:val="002554FD"/>
    <w:rsid w:val="0025573B"/>
    <w:rsid w:val="00262AE0"/>
    <w:rsid w:val="00262F17"/>
    <w:rsid w:val="00264BB8"/>
    <w:rsid w:val="002654B3"/>
    <w:rsid w:val="00266021"/>
    <w:rsid w:val="0026617F"/>
    <w:rsid w:val="002713B8"/>
    <w:rsid w:val="00271883"/>
    <w:rsid w:val="00271A78"/>
    <w:rsid w:val="002720FD"/>
    <w:rsid w:val="002770C6"/>
    <w:rsid w:val="00284757"/>
    <w:rsid w:val="00285663"/>
    <w:rsid w:val="002874CA"/>
    <w:rsid w:val="00292F2A"/>
    <w:rsid w:val="002933CE"/>
    <w:rsid w:val="00295BDF"/>
    <w:rsid w:val="00296EAB"/>
    <w:rsid w:val="002A1135"/>
    <w:rsid w:val="002A1B89"/>
    <w:rsid w:val="002A4939"/>
    <w:rsid w:val="002A52E0"/>
    <w:rsid w:val="002A5527"/>
    <w:rsid w:val="002B0741"/>
    <w:rsid w:val="002B1490"/>
    <w:rsid w:val="002B3C00"/>
    <w:rsid w:val="002B5510"/>
    <w:rsid w:val="002B6EDD"/>
    <w:rsid w:val="002C20B3"/>
    <w:rsid w:val="002C3F35"/>
    <w:rsid w:val="002C6499"/>
    <w:rsid w:val="002D0504"/>
    <w:rsid w:val="002D14AA"/>
    <w:rsid w:val="002D2EEB"/>
    <w:rsid w:val="002D486D"/>
    <w:rsid w:val="002D5F51"/>
    <w:rsid w:val="002E3924"/>
    <w:rsid w:val="002E6CD4"/>
    <w:rsid w:val="002F03CD"/>
    <w:rsid w:val="002F1D02"/>
    <w:rsid w:val="002F2337"/>
    <w:rsid w:val="002F6230"/>
    <w:rsid w:val="002F6EEB"/>
    <w:rsid w:val="003016D7"/>
    <w:rsid w:val="003051F0"/>
    <w:rsid w:val="00307852"/>
    <w:rsid w:val="00307B94"/>
    <w:rsid w:val="003116A5"/>
    <w:rsid w:val="003175FE"/>
    <w:rsid w:val="003206A4"/>
    <w:rsid w:val="003206B3"/>
    <w:rsid w:val="003212B8"/>
    <w:rsid w:val="003216BD"/>
    <w:rsid w:val="003217F4"/>
    <w:rsid w:val="003217FE"/>
    <w:rsid w:val="003223BB"/>
    <w:rsid w:val="00323D20"/>
    <w:rsid w:val="00325A75"/>
    <w:rsid w:val="003268FD"/>
    <w:rsid w:val="003269B6"/>
    <w:rsid w:val="00326DA6"/>
    <w:rsid w:val="0033117A"/>
    <w:rsid w:val="00332144"/>
    <w:rsid w:val="003340F3"/>
    <w:rsid w:val="003377EB"/>
    <w:rsid w:val="0034045D"/>
    <w:rsid w:val="00340D0E"/>
    <w:rsid w:val="003411DF"/>
    <w:rsid w:val="00342AB9"/>
    <w:rsid w:val="00342E04"/>
    <w:rsid w:val="00344558"/>
    <w:rsid w:val="0034477D"/>
    <w:rsid w:val="00347735"/>
    <w:rsid w:val="0035019E"/>
    <w:rsid w:val="00351A90"/>
    <w:rsid w:val="003558F0"/>
    <w:rsid w:val="00356E77"/>
    <w:rsid w:val="003577F2"/>
    <w:rsid w:val="003578C5"/>
    <w:rsid w:val="00360174"/>
    <w:rsid w:val="0036166D"/>
    <w:rsid w:val="003631CE"/>
    <w:rsid w:val="00365A10"/>
    <w:rsid w:val="00366754"/>
    <w:rsid w:val="00366E31"/>
    <w:rsid w:val="00367E95"/>
    <w:rsid w:val="00372DE7"/>
    <w:rsid w:val="00374865"/>
    <w:rsid w:val="00374EDA"/>
    <w:rsid w:val="0038052C"/>
    <w:rsid w:val="00383DFC"/>
    <w:rsid w:val="00384A3B"/>
    <w:rsid w:val="00385870"/>
    <w:rsid w:val="00390190"/>
    <w:rsid w:val="00392625"/>
    <w:rsid w:val="003974A7"/>
    <w:rsid w:val="003A081F"/>
    <w:rsid w:val="003A2CCB"/>
    <w:rsid w:val="003A3AD6"/>
    <w:rsid w:val="003A3C5F"/>
    <w:rsid w:val="003A48F6"/>
    <w:rsid w:val="003A4D66"/>
    <w:rsid w:val="003A4DD0"/>
    <w:rsid w:val="003A6CF4"/>
    <w:rsid w:val="003A7677"/>
    <w:rsid w:val="003B3480"/>
    <w:rsid w:val="003B4C18"/>
    <w:rsid w:val="003B582B"/>
    <w:rsid w:val="003B631D"/>
    <w:rsid w:val="003B689E"/>
    <w:rsid w:val="003C0271"/>
    <w:rsid w:val="003C0932"/>
    <w:rsid w:val="003C70C5"/>
    <w:rsid w:val="003C79D3"/>
    <w:rsid w:val="003D068F"/>
    <w:rsid w:val="003D54D5"/>
    <w:rsid w:val="003D7D88"/>
    <w:rsid w:val="003E2F6F"/>
    <w:rsid w:val="003E4D91"/>
    <w:rsid w:val="003F1021"/>
    <w:rsid w:val="003F1C69"/>
    <w:rsid w:val="003F2BB7"/>
    <w:rsid w:val="003F2EA3"/>
    <w:rsid w:val="003F3409"/>
    <w:rsid w:val="003F355E"/>
    <w:rsid w:val="003F57AB"/>
    <w:rsid w:val="003F62CB"/>
    <w:rsid w:val="003F6513"/>
    <w:rsid w:val="00400824"/>
    <w:rsid w:val="00400A10"/>
    <w:rsid w:val="0040201F"/>
    <w:rsid w:val="004035C1"/>
    <w:rsid w:val="00405E24"/>
    <w:rsid w:val="0040730C"/>
    <w:rsid w:val="0040793B"/>
    <w:rsid w:val="004104EE"/>
    <w:rsid w:val="00412D83"/>
    <w:rsid w:val="00413500"/>
    <w:rsid w:val="00413A92"/>
    <w:rsid w:val="00414887"/>
    <w:rsid w:val="0041570E"/>
    <w:rsid w:val="00416078"/>
    <w:rsid w:val="00422800"/>
    <w:rsid w:val="004229D8"/>
    <w:rsid w:val="00425A28"/>
    <w:rsid w:val="00432813"/>
    <w:rsid w:val="004355BD"/>
    <w:rsid w:val="00436081"/>
    <w:rsid w:val="00436CA6"/>
    <w:rsid w:val="00437580"/>
    <w:rsid w:val="00442EB2"/>
    <w:rsid w:val="0044666C"/>
    <w:rsid w:val="00446A0C"/>
    <w:rsid w:val="00446E20"/>
    <w:rsid w:val="00447770"/>
    <w:rsid w:val="00450286"/>
    <w:rsid w:val="0045114A"/>
    <w:rsid w:val="0045133F"/>
    <w:rsid w:val="00453018"/>
    <w:rsid w:val="00453585"/>
    <w:rsid w:val="0045398C"/>
    <w:rsid w:val="004562C8"/>
    <w:rsid w:val="00456D25"/>
    <w:rsid w:val="00460F42"/>
    <w:rsid w:val="004635D9"/>
    <w:rsid w:val="00464510"/>
    <w:rsid w:val="00464BC3"/>
    <w:rsid w:val="004657FF"/>
    <w:rsid w:val="00467031"/>
    <w:rsid w:val="00481782"/>
    <w:rsid w:val="00481D7B"/>
    <w:rsid w:val="004822E2"/>
    <w:rsid w:val="004825E3"/>
    <w:rsid w:val="00486286"/>
    <w:rsid w:val="00486586"/>
    <w:rsid w:val="00487945"/>
    <w:rsid w:val="00491F95"/>
    <w:rsid w:val="004943C9"/>
    <w:rsid w:val="0049647B"/>
    <w:rsid w:val="0049682C"/>
    <w:rsid w:val="004A0745"/>
    <w:rsid w:val="004A128E"/>
    <w:rsid w:val="004A473C"/>
    <w:rsid w:val="004A55A3"/>
    <w:rsid w:val="004A602A"/>
    <w:rsid w:val="004A7048"/>
    <w:rsid w:val="004B1535"/>
    <w:rsid w:val="004B181E"/>
    <w:rsid w:val="004B33DC"/>
    <w:rsid w:val="004B3F50"/>
    <w:rsid w:val="004B5B47"/>
    <w:rsid w:val="004B67B8"/>
    <w:rsid w:val="004B6E1A"/>
    <w:rsid w:val="004C1E6B"/>
    <w:rsid w:val="004D0685"/>
    <w:rsid w:val="004D197F"/>
    <w:rsid w:val="004D5C2D"/>
    <w:rsid w:val="004D6778"/>
    <w:rsid w:val="004E0518"/>
    <w:rsid w:val="004E51B4"/>
    <w:rsid w:val="004E601A"/>
    <w:rsid w:val="004F1C4D"/>
    <w:rsid w:val="004F37FA"/>
    <w:rsid w:val="004F47DD"/>
    <w:rsid w:val="004F50C7"/>
    <w:rsid w:val="004F5BD0"/>
    <w:rsid w:val="004F697A"/>
    <w:rsid w:val="004F7873"/>
    <w:rsid w:val="004F79D6"/>
    <w:rsid w:val="00500A3F"/>
    <w:rsid w:val="0051023B"/>
    <w:rsid w:val="00510813"/>
    <w:rsid w:val="005134EB"/>
    <w:rsid w:val="00513675"/>
    <w:rsid w:val="00515B8C"/>
    <w:rsid w:val="00516C99"/>
    <w:rsid w:val="00517C9E"/>
    <w:rsid w:val="00517E60"/>
    <w:rsid w:val="0052305E"/>
    <w:rsid w:val="00523D20"/>
    <w:rsid w:val="00527C27"/>
    <w:rsid w:val="0053024C"/>
    <w:rsid w:val="005312C4"/>
    <w:rsid w:val="0053292F"/>
    <w:rsid w:val="00533C98"/>
    <w:rsid w:val="005351AE"/>
    <w:rsid w:val="00535610"/>
    <w:rsid w:val="005373E1"/>
    <w:rsid w:val="005407B0"/>
    <w:rsid w:val="00544EE2"/>
    <w:rsid w:val="005472D9"/>
    <w:rsid w:val="00551E86"/>
    <w:rsid w:val="00551EF5"/>
    <w:rsid w:val="005616D0"/>
    <w:rsid w:val="00562133"/>
    <w:rsid w:val="0056504A"/>
    <w:rsid w:val="00566433"/>
    <w:rsid w:val="005676A1"/>
    <w:rsid w:val="00580645"/>
    <w:rsid w:val="00581686"/>
    <w:rsid w:val="00584452"/>
    <w:rsid w:val="0058571E"/>
    <w:rsid w:val="00586868"/>
    <w:rsid w:val="005877EE"/>
    <w:rsid w:val="00587C79"/>
    <w:rsid w:val="00592749"/>
    <w:rsid w:val="00593509"/>
    <w:rsid w:val="00594D87"/>
    <w:rsid w:val="0059582E"/>
    <w:rsid w:val="005B04E7"/>
    <w:rsid w:val="005B1EDB"/>
    <w:rsid w:val="005B3298"/>
    <w:rsid w:val="005B36FA"/>
    <w:rsid w:val="005B3866"/>
    <w:rsid w:val="005C0100"/>
    <w:rsid w:val="005C0370"/>
    <w:rsid w:val="005C0C4C"/>
    <w:rsid w:val="005C23C3"/>
    <w:rsid w:val="005C4EF6"/>
    <w:rsid w:val="005D1B01"/>
    <w:rsid w:val="005D3564"/>
    <w:rsid w:val="005D4DA2"/>
    <w:rsid w:val="005D76DB"/>
    <w:rsid w:val="005E65FB"/>
    <w:rsid w:val="005E7DA1"/>
    <w:rsid w:val="005F0B5A"/>
    <w:rsid w:val="005F4D03"/>
    <w:rsid w:val="005F4F2E"/>
    <w:rsid w:val="005F5C15"/>
    <w:rsid w:val="005F6643"/>
    <w:rsid w:val="005F7F92"/>
    <w:rsid w:val="006031D0"/>
    <w:rsid w:val="00607FAF"/>
    <w:rsid w:val="00610A9A"/>
    <w:rsid w:val="00611312"/>
    <w:rsid w:val="00611552"/>
    <w:rsid w:val="00613621"/>
    <w:rsid w:val="006147C3"/>
    <w:rsid w:val="006236A5"/>
    <w:rsid w:val="00624102"/>
    <w:rsid w:val="00627096"/>
    <w:rsid w:val="00630928"/>
    <w:rsid w:val="0063340D"/>
    <w:rsid w:val="006335E5"/>
    <w:rsid w:val="00633B32"/>
    <w:rsid w:val="00635B3E"/>
    <w:rsid w:val="00635FF3"/>
    <w:rsid w:val="006360F2"/>
    <w:rsid w:val="006361C5"/>
    <w:rsid w:val="00640CF5"/>
    <w:rsid w:val="00642A77"/>
    <w:rsid w:val="00643997"/>
    <w:rsid w:val="006465C3"/>
    <w:rsid w:val="00650B3F"/>
    <w:rsid w:val="006522B3"/>
    <w:rsid w:val="00654038"/>
    <w:rsid w:val="00655E7E"/>
    <w:rsid w:val="00655F6A"/>
    <w:rsid w:val="00656947"/>
    <w:rsid w:val="0066045A"/>
    <w:rsid w:val="0066432E"/>
    <w:rsid w:val="00664D70"/>
    <w:rsid w:val="00671863"/>
    <w:rsid w:val="00675F52"/>
    <w:rsid w:val="0068057B"/>
    <w:rsid w:val="00681D5B"/>
    <w:rsid w:val="006847C0"/>
    <w:rsid w:val="00686D7D"/>
    <w:rsid w:val="0069211A"/>
    <w:rsid w:val="00695825"/>
    <w:rsid w:val="00696A16"/>
    <w:rsid w:val="006A4D9D"/>
    <w:rsid w:val="006A5DAE"/>
    <w:rsid w:val="006A67B7"/>
    <w:rsid w:val="006A7352"/>
    <w:rsid w:val="006B1967"/>
    <w:rsid w:val="006B4CA4"/>
    <w:rsid w:val="006B503A"/>
    <w:rsid w:val="006B59DE"/>
    <w:rsid w:val="006C0B88"/>
    <w:rsid w:val="006C0F40"/>
    <w:rsid w:val="006C2153"/>
    <w:rsid w:val="006C48D6"/>
    <w:rsid w:val="006C52F4"/>
    <w:rsid w:val="006C584D"/>
    <w:rsid w:val="006D038C"/>
    <w:rsid w:val="006D054E"/>
    <w:rsid w:val="006D096F"/>
    <w:rsid w:val="006D1451"/>
    <w:rsid w:val="006D259A"/>
    <w:rsid w:val="006D266C"/>
    <w:rsid w:val="006D4B65"/>
    <w:rsid w:val="006D51E4"/>
    <w:rsid w:val="006D52BB"/>
    <w:rsid w:val="006D5463"/>
    <w:rsid w:val="006E07E7"/>
    <w:rsid w:val="006E09E8"/>
    <w:rsid w:val="006E37D0"/>
    <w:rsid w:val="006F20AF"/>
    <w:rsid w:val="006F4A79"/>
    <w:rsid w:val="006F5C6C"/>
    <w:rsid w:val="00700599"/>
    <w:rsid w:val="00700D9D"/>
    <w:rsid w:val="00707537"/>
    <w:rsid w:val="00707FED"/>
    <w:rsid w:val="007158DA"/>
    <w:rsid w:val="00715D53"/>
    <w:rsid w:val="00717720"/>
    <w:rsid w:val="007218D7"/>
    <w:rsid w:val="007225C2"/>
    <w:rsid w:val="0072295D"/>
    <w:rsid w:val="00732505"/>
    <w:rsid w:val="00733639"/>
    <w:rsid w:val="007350E5"/>
    <w:rsid w:val="00735A78"/>
    <w:rsid w:val="00735F71"/>
    <w:rsid w:val="00737C6A"/>
    <w:rsid w:val="00742723"/>
    <w:rsid w:val="0074284B"/>
    <w:rsid w:val="00743E01"/>
    <w:rsid w:val="007440CB"/>
    <w:rsid w:val="00745232"/>
    <w:rsid w:val="00745A3E"/>
    <w:rsid w:val="00747EF8"/>
    <w:rsid w:val="00751F31"/>
    <w:rsid w:val="007534C8"/>
    <w:rsid w:val="00756FF5"/>
    <w:rsid w:val="0075709E"/>
    <w:rsid w:val="00762A07"/>
    <w:rsid w:val="00762C1E"/>
    <w:rsid w:val="00764D6A"/>
    <w:rsid w:val="007655BE"/>
    <w:rsid w:val="00767003"/>
    <w:rsid w:val="00767CDA"/>
    <w:rsid w:val="00773EAE"/>
    <w:rsid w:val="00774AE7"/>
    <w:rsid w:val="00774F1E"/>
    <w:rsid w:val="00780B79"/>
    <w:rsid w:val="00780DDD"/>
    <w:rsid w:val="00783000"/>
    <w:rsid w:val="007843B2"/>
    <w:rsid w:val="00785B22"/>
    <w:rsid w:val="00786583"/>
    <w:rsid w:val="00792B8F"/>
    <w:rsid w:val="007A02FB"/>
    <w:rsid w:val="007A1CFD"/>
    <w:rsid w:val="007A27BD"/>
    <w:rsid w:val="007A5544"/>
    <w:rsid w:val="007A5CAA"/>
    <w:rsid w:val="007A709D"/>
    <w:rsid w:val="007A76C6"/>
    <w:rsid w:val="007B0178"/>
    <w:rsid w:val="007B0604"/>
    <w:rsid w:val="007B0C21"/>
    <w:rsid w:val="007B0CF0"/>
    <w:rsid w:val="007B135B"/>
    <w:rsid w:val="007B1C4A"/>
    <w:rsid w:val="007B2DAB"/>
    <w:rsid w:val="007B58BA"/>
    <w:rsid w:val="007C1434"/>
    <w:rsid w:val="007C1EF6"/>
    <w:rsid w:val="007C5372"/>
    <w:rsid w:val="007C5463"/>
    <w:rsid w:val="007C5607"/>
    <w:rsid w:val="007C57DF"/>
    <w:rsid w:val="007C66DF"/>
    <w:rsid w:val="007C7A53"/>
    <w:rsid w:val="007C7C67"/>
    <w:rsid w:val="007D331F"/>
    <w:rsid w:val="007D39CC"/>
    <w:rsid w:val="007D4F7D"/>
    <w:rsid w:val="007D6F9A"/>
    <w:rsid w:val="007E1599"/>
    <w:rsid w:val="007E2324"/>
    <w:rsid w:val="007E469F"/>
    <w:rsid w:val="007E60B7"/>
    <w:rsid w:val="007E6EF5"/>
    <w:rsid w:val="007F02F4"/>
    <w:rsid w:val="007F0E96"/>
    <w:rsid w:val="007F1ECE"/>
    <w:rsid w:val="007F36D4"/>
    <w:rsid w:val="007F37F1"/>
    <w:rsid w:val="007F4E54"/>
    <w:rsid w:val="007F6961"/>
    <w:rsid w:val="007F75D2"/>
    <w:rsid w:val="00804AD4"/>
    <w:rsid w:val="00806824"/>
    <w:rsid w:val="0080688C"/>
    <w:rsid w:val="00807A4A"/>
    <w:rsid w:val="0081303F"/>
    <w:rsid w:val="00815441"/>
    <w:rsid w:val="008155BE"/>
    <w:rsid w:val="00816AEC"/>
    <w:rsid w:val="00816EEB"/>
    <w:rsid w:val="00817425"/>
    <w:rsid w:val="00820C99"/>
    <w:rsid w:val="00822A45"/>
    <w:rsid w:val="00824C95"/>
    <w:rsid w:val="00824D66"/>
    <w:rsid w:val="00830608"/>
    <w:rsid w:val="0083313F"/>
    <w:rsid w:val="00833194"/>
    <w:rsid w:val="008366D0"/>
    <w:rsid w:val="00837F15"/>
    <w:rsid w:val="00840647"/>
    <w:rsid w:val="00843381"/>
    <w:rsid w:val="0084357D"/>
    <w:rsid w:val="008450A1"/>
    <w:rsid w:val="00845609"/>
    <w:rsid w:val="00845791"/>
    <w:rsid w:val="00846385"/>
    <w:rsid w:val="00846445"/>
    <w:rsid w:val="00846D13"/>
    <w:rsid w:val="008555F9"/>
    <w:rsid w:val="0085572B"/>
    <w:rsid w:val="008625D7"/>
    <w:rsid w:val="00862BEF"/>
    <w:rsid w:val="00866C0A"/>
    <w:rsid w:val="00872AC2"/>
    <w:rsid w:val="00874B46"/>
    <w:rsid w:val="00875287"/>
    <w:rsid w:val="00877EF4"/>
    <w:rsid w:val="008803BE"/>
    <w:rsid w:val="00881247"/>
    <w:rsid w:val="00890D7A"/>
    <w:rsid w:val="008931B8"/>
    <w:rsid w:val="008949E0"/>
    <w:rsid w:val="0089627D"/>
    <w:rsid w:val="00896946"/>
    <w:rsid w:val="0089724A"/>
    <w:rsid w:val="008A2BEE"/>
    <w:rsid w:val="008A3AB7"/>
    <w:rsid w:val="008A406C"/>
    <w:rsid w:val="008A727D"/>
    <w:rsid w:val="008B63D9"/>
    <w:rsid w:val="008C3974"/>
    <w:rsid w:val="008C682B"/>
    <w:rsid w:val="008D0ABE"/>
    <w:rsid w:val="008D268C"/>
    <w:rsid w:val="008D2BB7"/>
    <w:rsid w:val="008D40E7"/>
    <w:rsid w:val="008D4301"/>
    <w:rsid w:val="008D43B7"/>
    <w:rsid w:val="008D5D22"/>
    <w:rsid w:val="008D7CB1"/>
    <w:rsid w:val="008D7F32"/>
    <w:rsid w:val="008E14AA"/>
    <w:rsid w:val="008E2D8D"/>
    <w:rsid w:val="008E2EA8"/>
    <w:rsid w:val="008E30E7"/>
    <w:rsid w:val="008E49E9"/>
    <w:rsid w:val="008E4B79"/>
    <w:rsid w:val="008F173D"/>
    <w:rsid w:val="008F359A"/>
    <w:rsid w:val="008F3B8C"/>
    <w:rsid w:val="008F5926"/>
    <w:rsid w:val="008F5E63"/>
    <w:rsid w:val="008F6F8E"/>
    <w:rsid w:val="008F7A36"/>
    <w:rsid w:val="0090125C"/>
    <w:rsid w:val="009028AB"/>
    <w:rsid w:val="00907F02"/>
    <w:rsid w:val="0091047B"/>
    <w:rsid w:val="00912FBF"/>
    <w:rsid w:val="00917FD1"/>
    <w:rsid w:val="00920A9B"/>
    <w:rsid w:val="0092258C"/>
    <w:rsid w:val="00924706"/>
    <w:rsid w:val="0092721A"/>
    <w:rsid w:val="00932210"/>
    <w:rsid w:val="009344B4"/>
    <w:rsid w:val="00935DA6"/>
    <w:rsid w:val="00936A11"/>
    <w:rsid w:val="0094057E"/>
    <w:rsid w:val="009411B4"/>
    <w:rsid w:val="00941A1F"/>
    <w:rsid w:val="00943508"/>
    <w:rsid w:val="00943D38"/>
    <w:rsid w:val="00943DB3"/>
    <w:rsid w:val="009463C7"/>
    <w:rsid w:val="0095040E"/>
    <w:rsid w:val="009510EE"/>
    <w:rsid w:val="009519C4"/>
    <w:rsid w:val="009561B3"/>
    <w:rsid w:val="00957357"/>
    <w:rsid w:val="00961FCC"/>
    <w:rsid w:val="00965DD6"/>
    <w:rsid w:val="00971855"/>
    <w:rsid w:val="00973E6E"/>
    <w:rsid w:val="00976848"/>
    <w:rsid w:val="009812A2"/>
    <w:rsid w:val="00982231"/>
    <w:rsid w:val="009833B0"/>
    <w:rsid w:val="009853FC"/>
    <w:rsid w:val="009909F8"/>
    <w:rsid w:val="00994722"/>
    <w:rsid w:val="00994AEE"/>
    <w:rsid w:val="00995D3F"/>
    <w:rsid w:val="00997038"/>
    <w:rsid w:val="009A46C8"/>
    <w:rsid w:val="009A7BBC"/>
    <w:rsid w:val="009B3159"/>
    <w:rsid w:val="009C5CC7"/>
    <w:rsid w:val="009C68CE"/>
    <w:rsid w:val="009D3DDB"/>
    <w:rsid w:val="009D7479"/>
    <w:rsid w:val="009D7A7E"/>
    <w:rsid w:val="009D7FE0"/>
    <w:rsid w:val="009E03F1"/>
    <w:rsid w:val="009E0D5D"/>
    <w:rsid w:val="009E446D"/>
    <w:rsid w:val="009F09B5"/>
    <w:rsid w:val="009F0C9A"/>
    <w:rsid w:val="009F1691"/>
    <w:rsid w:val="009F2B36"/>
    <w:rsid w:val="009F57BD"/>
    <w:rsid w:val="009F7DE0"/>
    <w:rsid w:val="009F7F10"/>
    <w:rsid w:val="00A01C5C"/>
    <w:rsid w:val="00A0223A"/>
    <w:rsid w:val="00A025D3"/>
    <w:rsid w:val="00A045C0"/>
    <w:rsid w:val="00A049E8"/>
    <w:rsid w:val="00A066F2"/>
    <w:rsid w:val="00A07FC8"/>
    <w:rsid w:val="00A103A6"/>
    <w:rsid w:val="00A108A8"/>
    <w:rsid w:val="00A10E98"/>
    <w:rsid w:val="00A12166"/>
    <w:rsid w:val="00A13B19"/>
    <w:rsid w:val="00A13C0B"/>
    <w:rsid w:val="00A146E8"/>
    <w:rsid w:val="00A2078E"/>
    <w:rsid w:val="00A23031"/>
    <w:rsid w:val="00A3139F"/>
    <w:rsid w:val="00A3213C"/>
    <w:rsid w:val="00A32D64"/>
    <w:rsid w:val="00A33388"/>
    <w:rsid w:val="00A36477"/>
    <w:rsid w:val="00A40524"/>
    <w:rsid w:val="00A40F9B"/>
    <w:rsid w:val="00A41062"/>
    <w:rsid w:val="00A41837"/>
    <w:rsid w:val="00A43B66"/>
    <w:rsid w:val="00A440D4"/>
    <w:rsid w:val="00A45AE1"/>
    <w:rsid w:val="00A474BD"/>
    <w:rsid w:val="00A47599"/>
    <w:rsid w:val="00A5055A"/>
    <w:rsid w:val="00A50858"/>
    <w:rsid w:val="00A52679"/>
    <w:rsid w:val="00A54B08"/>
    <w:rsid w:val="00A55FAF"/>
    <w:rsid w:val="00A570E0"/>
    <w:rsid w:val="00A61F32"/>
    <w:rsid w:val="00A63272"/>
    <w:rsid w:val="00A6329A"/>
    <w:rsid w:val="00A636C0"/>
    <w:rsid w:val="00A66C53"/>
    <w:rsid w:val="00A67723"/>
    <w:rsid w:val="00A6777A"/>
    <w:rsid w:val="00A72728"/>
    <w:rsid w:val="00A7411F"/>
    <w:rsid w:val="00A74504"/>
    <w:rsid w:val="00A74F1B"/>
    <w:rsid w:val="00A76FA2"/>
    <w:rsid w:val="00A83614"/>
    <w:rsid w:val="00A84D3D"/>
    <w:rsid w:val="00A87DC3"/>
    <w:rsid w:val="00A90463"/>
    <w:rsid w:val="00A911F0"/>
    <w:rsid w:val="00A92F34"/>
    <w:rsid w:val="00A93491"/>
    <w:rsid w:val="00A95818"/>
    <w:rsid w:val="00AA0288"/>
    <w:rsid w:val="00AA2E05"/>
    <w:rsid w:val="00AA4B4B"/>
    <w:rsid w:val="00AB14C3"/>
    <w:rsid w:val="00AB23AE"/>
    <w:rsid w:val="00AB3425"/>
    <w:rsid w:val="00AB42E9"/>
    <w:rsid w:val="00AB6B36"/>
    <w:rsid w:val="00AC04DA"/>
    <w:rsid w:val="00AC0F50"/>
    <w:rsid w:val="00AC4264"/>
    <w:rsid w:val="00AC5E46"/>
    <w:rsid w:val="00AD09DD"/>
    <w:rsid w:val="00AD2C4B"/>
    <w:rsid w:val="00AD2E7E"/>
    <w:rsid w:val="00AD37EE"/>
    <w:rsid w:val="00AD439D"/>
    <w:rsid w:val="00AD4530"/>
    <w:rsid w:val="00AD64D2"/>
    <w:rsid w:val="00AD7275"/>
    <w:rsid w:val="00AD76C3"/>
    <w:rsid w:val="00AD77A4"/>
    <w:rsid w:val="00AD7D06"/>
    <w:rsid w:val="00AE3553"/>
    <w:rsid w:val="00AE3658"/>
    <w:rsid w:val="00AE4794"/>
    <w:rsid w:val="00AE5E01"/>
    <w:rsid w:val="00AE5E7E"/>
    <w:rsid w:val="00AE66D5"/>
    <w:rsid w:val="00AE762C"/>
    <w:rsid w:val="00AF05D7"/>
    <w:rsid w:val="00AF4C1C"/>
    <w:rsid w:val="00B000AC"/>
    <w:rsid w:val="00B033AC"/>
    <w:rsid w:val="00B047F1"/>
    <w:rsid w:val="00B1039D"/>
    <w:rsid w:val="00B10683"/>
    <w:rsid w:val="00B118A7"/>
    <w:rsid w:val="00B120A0"/>
    <w:rsid w:val="00B135D5"/>
    <w:rsid w:val="00B141EC"/>
    <w:rsid w:val="00B16BE2"/>
    <w:rsid w:val="00B17E4E"/>
    <w:rsid w:val="00B221A9"/>
    <w:rsid w:val="00B25830"/>
    <w:rsid w:val="00B25A28"/>
    <w:rsid w:val="00B2659D"/>
    <w:rsid w:val="00B27871"/>
    <w:rsid w:val="00B30088"/>
    <w:rsid w:val="00B35074"/>
    <w:rsid w:val="00B35647"/>
    <w:rsid w:val="00B37F82"/>
    <w:rsid w:val="00B4244F"/>
    <w:rsid w:val="00B434C2"/>
    <w:rsid w:val="00B46935"/>
    <w:rsid w:val="00B55F56"/>
    <w:rsid w:val="00B609E4"/>
    <w:rsid w:val="00B64E8B"/>
    <w:rsid w:val="00B66187"/>
    <w:rsid w:val="00B66B0E"/>
    <w:rsid w:val="00B66FC7"/>
    <w:rsid w:val="00B675FD"/>
    <w:rsid w:val="00B709F0"/>
    <w:rsid w:val="00B716EA"/>
    <w:rsid w:val="00B71DBB"/>
    <w:rsid w:val="00B71F0C"/>
    <w:rsid w:val="00B73458"/>
    <w:rsid w:val="00B75E1C"/>
    <w:rsid w:val="00B83B50"/>
    <w:rsid w:val="00B8455A"/>
    <w:rsid w:val="00B84B16"/>
    <w:rsid w:val="00B850E3"/>
    <w:rsid w:val="00B8584E"/>
    <w:rsid w:val="00B865F0"/>
    <w:rsid w:val="00B9017A"/>
    <w:rsid w:val="00B92298"/>
    <w:rsid w:val="00B922CA"/>
    <w:rsid w:val="00B926B5"/>
    <w:rsid w:val="00B93045"/>
    <w:rsid w:val="00B945B7"/>
    <w:rsid w:val="00B9472D"/>
    <w:rsid w:val="00B94D75"/>
    <w:rsid w:val="00B97FBB"/>
    <w:rsid w:val="00BA06BB"/>
    <w:rsid w:val="00BA0C3D"/>
    <w:rsid w:val="00BA12AF"/>
    <w:rsid w:val="00BA3478"/>
    <w:rsid w:val="00BA3AD1"/>
    <w:rsid w:val="00BA3DA4"/>
    <w:rsid w:val="00BA5F01"/>
    <w:rsid w:val="00BA6703"/>
    <w:rsid w:val="00BB07F0"/>
    <w:rsid w:val="00BB11B6"/>
    <w:rsid w:val="00BB25FC"/>
    <w:rsid w:val="00BB3824"/>
    <w:rsid w:val="00BB4E21"/>
    <w:rsid w:val="00BB57E4"/>
    <w:rsid w:val="00BB5F9E"/>
    <w:rsid w:val="00BB6645"/>
    <w:rsid w:val="00BB7596"/>
    <w:rsid w:val="00BB7F54"/>
    <w:rsid w:val="00BC10A9"/>
    <w:rsid w:val="00BC1196"/>
    <w:rsid w:val="00BC3382"/>
    <w:rsid w:val="00BC6188"/>
    <w:rsid w:val="00BD24A4"/>
    <w:rsid w:val="00BD2E22"/>
    <w:rsid w:val="00BD3A90"/>
    <w:rsid w:val="00BD48A8"/>
    <w:rsid w:val="00BD59F9"/>
    <w:rsid w:val="00BE1484"/>
    <w:rsid w:val="00BE19B2"/>
    <w:rsid w:val="00BE3B09"/>
    <w:rsid w:val="00BE6143"/>
    <w:rsid w:val="00BF1BDA"/>
    <w:rsid w:val="00BF2327"/>
    <w:rsid w:val="00BF4184"/>
    <w:rsid w:val="00BF4A28"/>
    <w:rsid w:val="00BF4C38"/>
    <w:rsid w:val="00BF6462"/>
    <w:rsid w:val="00BF6E79"/>
    <w:rsid w:val="00BF7794"/>
    <w:rsid w:val="00C02E60"/>
    <w:rsid w:val="00C041C9"/>
    <w:rsid w:val="00C076AC"/>
    <w:rsid w:val="00C1009D"/>
    <w:rsid w:val="00C11CF3"/>
    <w:rsid w:val="00C12968"/>
    <w:rsid w:val="00C1382C"/>
    <w:rsid w:val="00C13888"/>
    <w:rsid w:val="00C13A8E"/>
    <w:rsid w:val="00C22EAD"/>
    <w:rsid w:val="00C2396F"/>
    <w:rsid w:val="00C242B8"/>
    <w:rsid w:val="00C24E65"/>
    <w:rsid w:val="00C264F2"/>
    <w:rsid w:val="00C318CD"/>
    <w:rsid w:val="00C31CDA"/>
    <w:rsid w:val="00C35FA3"/>
    <w:rsid w:val="00C3794B"/>
    <w:rsid w:val="00C408E6"/>
    <w:rsid w:val="00C44FA4"/>
    <w:rsid w:val="00C45DF6"/>
    <w:rsid w:val="00C471CB"/>
    <w:rsid w:val="00C50BF4"/>
    <w:rsid w:val="00C51689"/>
    <w:rsid w:val="00C5205E"/>
    <w:rsid w:val="00C54931"/>
    <w:rsid w:val="00C578FC"/>
    <w:rsid w:val="00C64BC6"/>
    <w:rsid w:val="00C64D13"/>
    <w:rsid w:val="00C72FC2"/>
    <w:rsid w:val="00C86DB6"/>
    <w:rsid w:val="00C913CB"/>
    <w:rsid w:val="00C919D0"/>
    <w:rsid w:val="00C91F0C"/>
    <w:rsid w:val="00C924A0"/>
    <w:rsid w:val="00C93D21"/>
    <w:rsid w:val="00C965E8"/>
    <w:rsid w:val="00C97EA0"/>
    <w:rsid w:val="00CA1003"/>
    <w:rsid w:val="00CA716A"/>
    <w:rsid w:val="00CC727F"/>
    <w:rsid w:val="00CD0B0E"/>
    <w:rsid w:val="00CD0C28"/>
    <w:rsid w:val="00CD6EF5"/>
    <w:rsid w:val="00CD7499"/>
    <w:rsid w:val="00CE4E51"/>
    <w:rsid w:val="00CE741A"/>
    <w:rsid w:val="00CE7B7C"/>
    <w:rsid w:val="00CF0336"/>
    <w:rsid w:val="00CF2589"/>
    <w:rsid w:val="00CF38A9"/>
    <w:rsid w:val="00CF3F34"/>
    <w:rsid w:val="00D0039C"/>
    <w:rsid w:val="00D0162B"/>
    <w:rsid w:val="00D04D18"/>
    <w:rsid w:val="00D05BAC"/>
    <w:rsid w:val="00D06526"/>
    <w:rsid w:val="00D06739"/>
    <w:rsid w:val="00D12A1E"/>
    <w:rsid w:val="00D13565"/>
    <w:rsid w:val="00D13FD9"/>
    <w:rsid w:val="00D2259D"/>
    <w:rsid w:val="00D24767"/>
    <w:rsid w:val="00D24F79"/>
    <w:rsid w:val="00D271E9"/>
    <w:rsid w:val="00D27D81"/>
    <w:rsid w:val="00D32932"/>
    <w:rsid w:val="00D3698A"/>
    <w:rsid w:val="00D37A5D"/>
    <w:rsid w:val="00D4147A"/>
    <w:rsid w:val="00D4242E"/>
    <w:rsid w:val="00D42ADD"/>
    <w:rsid w:val="00D42F4A"/>
    <w:rsid w:val="00D453A7"/>
    <w:rsid w:val="00D46423"/>
    <w:rsid w:val="00D47164"/>
    <w:rsid w:val="00D47996"/>
    <w:rsid w:val="00D53873"/>
    <w:rsid w:val="00D55F5E"/>
    <w:rsid w:val="00D56676"/>
    <w:rsid w:val="00D62F4D"/>
    <w:rsid w:val="00D63105"/>
    <w:rsid w:val="00D6419F"/>
    <w:rsid w:val="00D6425D"/>
    <w:rsid w:val="00D644E6"/>
    <w:rsid w:val="00D649F7"/>
    <w:rsid w:val="00D67D57"/>
    <w:rsid w:val="00D71DBC"/>
    <w:rsid w:val="00D71F58"/>
    <w:rsid w:val="00D73F89"/>
    <w:rsid w:val="00D77DA3"/>
    <w:rsid w:val="00D83CD8"/>
    <w:rsid w:val="00D8448C"/>
    <w:rsid w:val="00D91EEA"/>
    <w:rsid w:val="00D9310A"/>
    <w:rsid w:val="00D94801"/>
    <w:rsid w:val="00D95922"/>
    <w:rsid w:val="00DA367D"/>
    <w:rsid w:val="00DA3886"/>
    <w:rsid w:val="00DA537C"/>
    <w:rsid w:val="00DA6D92"/>
    <w:rsid w:val="00DB0D16"/>
    <w:rsid w:val="00DB6B42"/>
    <w:rsid w:val="00DB7147"/>
    <w:rsid w:val="00DC113C"/>
    <w:rsid w:val="00DC1CB5"/>
    <w:rsid w:val="00DC3CB2"/>
    <w:rsid w:val="00DD3F2E"/>
    <w:rsid w:val="00DE4BAF"/>
    <w:rsid w:val="00DE4FAD"/>
    <w:rsid w:val="00DE6590"/>
    <w:rsid w:val="00DF7995"/>
    <w:rsid w:val="00E03E04"/>
    <w:rsid w:val="00E054B1"/>
    <w:rsid w:val="00E07A68"/>
    <w:rsid w:val="00E11B38"/>
    <w:rsid w:val="00E12B89"/>
    <w:rsid w:val="00E13CAA"/>
    <w:rsid w:val="00E13CCB"/>
    <w:rsid w:val="00E201E5"/>
    <w:rsid w:val="00E21A5A"/>
    <w:rsid w:val="00E228CD"/>
    <w:rsid w:val="00E22C56"/>
    <w:rsid w:val="00E24A35"/>
    <w:rsid w:val="00E267CF"/>
    <w:rsid w:val="00E32E0D"/>
    <w:rsid w:val="00E35956"/>
    <w:rsid w:val="00E377C3"/>
    <w:rsid w:val="00E37EEF"/>
    <w:rsid w:val="00E40A28"/>
    <w:rsid w:val="00E40E7C"/>
    <w:rsid w:val="00E41069"/>
    <w:rsid w:val="00E422EA"/>
    <w:rsid w:val="00E42FFB"/>
    <w:rsid w:val="00E45568"/>
    <w:rsid w:val="00E545AA"/>
    <w:rsid w:val="00E62BE4"/>
    <w:rsid w:val="00E65777"/>
    <w:rsid w:val="00E70123"/>
    <w:rsid w:val="00E72D7D"/>
    <w:rsid w:val="00E73600"/>
    <w:rsid w:val="00E73ABA"/>
    <w:rsid w:val="00E76A52"/>
    <w:rsid w:val="00E77AB0"/>
    <w:rsid w:val="00E80C3A"/>
    <w:rsid w:val="00E80EE3"/>
    <w:rsid w:val="00E80F53"/>
    <w:rsid w:val="00E81155"/>
    <w:rsid w:val="00E832AA"/>
    <w:rsid w:val="00E83B3D"/>
    <w:rsid w:val="00E83BCB"/>
    <w:rsid w:val="00E85258"/>
    <w:rsid w:val="00E86989"/>
    <w:rsid w:val="00E900A3"/>
    <w:rsid w:val="00E94969"/>
    <w:rsid w:val="00E95E07"/>
    <w:rsid w:val="00EA1376"/>
    <w:rsid w:val="00EA1913"/>
    <w:rsid w:val="00EA1F67"/>
    <w:rsid w:val="00EA2481"/>
    <w:rsid w:val="00EA3631"/>
    <w:rsid w:val="00EA5CB3"/>
    <w:rsid w:val="00EB2516"/>
    <w:rsid w:val="00EB251D"/>
    <w:rsid w:val="00EB35F6"/>
    <w:rsid w:val="00EB527D"/>
    <w:rsid w:val="00EB545D"/>
    <w:rsid w:val="00EB5C79"/>
    <w:rsid w:val="00EB65D3"/>
    <w:rsid w:val="00ED07CC"/>
    <w:rsid w:val="00ED0C32"/>
    <w:rsid w:val="00ED128C"/>
    <w:rsid w:val="00ED2ABC"/>
    <w:rsid w:val="00ED43CA"/>
    <w:rsid w:val="00ED447C"/>
    <w:rsid w:val="00EE0F17"/>
    <w:rsid w:val="00EE1274"/>
    <w:rsid w:val="00EE1C8F"/>
    <w:rsid w:val="00EE4146"/>
    <w:rsid w:val="00EE59E5"/>
    <w:rsid w:val="00EE690A"/>
    <w:rsid w:val="00EE7EFF"/>
    <w:rsid w:val="00EF099E"/>
    <w:rsid w:val="00EF09BA"/>
    <w:rsid w:val="00EF0BBA"/>
    <w:rsid w:val="00EF7A58"/>
    <w:rsid w:val="00F0092C"/>
    <w:rsid w:val="00F00F62"/>
    <w:rsid w:val="00F021C4"/>
    <w:rsid w:val="00F074DE"/>
    <w:rsid w:val="00F109C2"/>
    <w:rsid w:val="00F12B82"/>
    <w:rsid w:val="00F130FC"/>
    <w:rsid w:val="00F1457E"/>
    <w:rsid w:val="00F15658"/>
    <w:rsid w:val="00F17DCD"/>
    <w:rsid w:val="00F203B0"/>
    <w:rsid w:val="00F2068C"/>
    <w:rsid w:val="00F21348"/>
    <w:rsid w:val="00F23318"/>
    <w:rsid w:val="00F262A4"/>
    <w:rsid w:val="00F31E54"/>
    <w:rsid w:val="00F3441B"/>
    <w:rsid w:val="00F34576"/>
    <w:rsid w:val="00F34EF4"/>
    <w:rsid w:val="00F35B18"/>
    <w:rsid w:val="00F37A67"/>
    <w:rsid w:val="00F37BC6"/>
    <w:rsid w:val="00F42ECE"/>
    <w:rsid w:val="00F43643"/>
    <w:rsid w:val="00F47A2B"/>
    <w:rsid w:val="00F51220"/>
    <w:rsid w:val="00F52AD5"/>
    <w:rsid w:val="00F60F4A"/>
    <w:rsid w:val="00F61142"/>
    <w:rsid w:val="00F611A1"/>
    <w:rsid w:val="00F6357B"/>
    <w:rsid w:val="00F635A5"/>
    <w:rsid w:val="00F63E0E"/>
    <w:rsid w:val="00F64332"/>
    <w:rsid w:val="00F644AE"/>
    <w:rsid w:val="00F65E98"/>
    <w:rsid w:val="00F70B5A"/>
    <w:rsid w:val="00F70BE8"/>
    <w:rsid w:val="00F729E9"/>
    <w:rsid w:val="00F7447C"/>
    <w:rsid w:val="00F74AFD"/>
    <w:rsid w:val="00F80341"/>
    <w:rsid w:val="00F80BC7"/>
    <w:rsid w:val="00F8293A"/>
    <w:rsid w:val="00F82EFC"/>
    <w:rsid w:val="00F84EF0"/>
    <w:rsid w:val="00F84F2F"/>
    <w:rsid w:val="00F87B4D"/>
    <w:rsid w:val="00F94FC5"/>
    <w:rsid w:val="00F96182"/>
    <w:rsid w:val="00FA2D3C"/>
    <w:rsid w:val="00FA46DF"/>
    <w:rsid w:val="00FA5F46"/>
    <w:rsid w:val="00FA70DA"/>
    <w:rsid w:val="00FB08F8"/>
    <w:rsid w:val="00FB2C3C"/>
    <w:rsid w:val="00FB3B61"/>
    <w:rsid w:val="00FB48E0"/>
    <w:rsid w:val="00FB69EA"/>
    <w:rsid w:val="00FB71F1"/>
    <w:rsid w:val="00FB78D4"/>
    <w:rsid w:val="00FC0855"/>
    <w:rsid w:val="00FC6804"/>
    <w:rsid w:val="00FD5C33"/>
    <w:rsid w:val="00FD660D"/>
    <w:rsid w:val="00FD6E19"/>
    <w:rsid w:val="00FE5E7B"/>
    <w:rsid w:val="00FE78FF"/>
    <w:rsid w:val="00FE7D32"/>
    <w:rsid w:val="00FE7FDD"/>
    <w:rsid w:val="00FF0578"/>
    <w:rsid w:val="00FF4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6651B"/>
  <w15:docId w15:val="{15C31C72-DA97-45AB-9A02-ACB312D37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047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47F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1F343B"/>
    <w:rPr>
      <w:sz w:val="16"/>
      <w:szCs w:val="16"/>
    </w:rPr>
  </w:style>
  <w:style w:type="paragraph" w:styleId="CommentText">
    <w:name w:val="annotation text"/>
    <w:basedOn w:val="Normal"/>
    <w:link w:val="CommentTextChar"/>
    <w:uiPriority w:val="99"/>
    <w:semiHidden/>
    <w:unhideWhenUsed/>
    <w:rsid w:val="001F343B"/>
    <w:pPr>
      <w:spacing w:line="240" w:lineRule="auto"/>
    </w:pPr>
    <w:rPr>
      <w:sz w:val="20"/>
      <w:szCs w:val="20"/>
    </w:rPr>
  </w:style>
  <w:style w:type="character" w:customStyle="1" w:styleId="CommentTextChar">
    <w:name w:val="Comment Text Char"/>
    <w:basedOn w:val="DefaultParagraphFont"/>
    <w:link w:val="CommentText"/>
    <w:uiPriority w:val="99"/>
    <w:semiHidden/>
    <w:rsid w:val="001F343B"/>
    <w:rPr>
      <w:sz w:val="20"/>
      <w:szCs w:val="20"/>
    </w:rPr>
  </w:style>
  <w:style w:type="paragraph" w:styleId="CommentSubject">
    <w:name w:val="annotation subject"/>
    <w:basedOn w:val="CommentText"/>
    <w:next w:val="CommentText"/>
    <w:link w:val="CommentSubjectChar"/>
    <w:uiPriority w:val="99"/>
    <w:semiHidden/>
    <w:unhideWhenUsed/>
    <w:rsid w:val="001F343B"/>
    <w:rPr>
      <w:b/>
      <w:bCs/>
    </w:rPr>
  </w:style>
  <w:style w:type="character" w:customStyle="1" w:styleId="CommentSubjectChar">
    <w:name w:val="Comment Subject Char"/>
    <w:basedOn w:val="CommentTextChar"/>
    <w:link w:val="CommentSubject"/>
    <w:uiPriority w:val="99"/>
    <w:semiHidden/>
    <w:rsid w:val="001F343B"/>
    <w:rPr>
      <w:b/>
      <w:bCs/>
      <w:sz w:val="20"/>
      <w:szCs w:val="20"/>
    </w:rPr>
  </w:style>
  <w:style w:type="paragraph" w:styleId="BalloonText">
    <w:name w:val="Balloon Text"/>
    <w:basedOn w:val="Normal"/>
    <w:link w:val="BalloonTextChar"/>
    <w:uiPriority w:val="99"/>
    <w:semiHidden/>
    <w:unhideWhenUsed/>
    <w:rsid w:val="001F34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43B"/>
    <w:rPr>
      <w:rFonts w:ascii="Segoe UI" w:hAnsi="Segoe UI" w:cs="Segoe UI"/>
      <w:sz w:val="18"/>
      <w:szCs w:val="18"/>
    </w:rPr>
  </w:style>
  <w:style w:type="character" w:styleId="PlaceholderText">
    <w:name w:val="Placeholder Text"/>
    <w:basedOn w:val="DefaultParagraphFont"/>
    <w:uiPriority w:val="99"/>
    <w:semiHidden/>
    <w:rsid w:val="00046917"/>
    <w:rPr>
      <w:color w:val="808080"/>
    </w:rPr>
  </w:style>
  <w:style w:type="paragraph" w:styleId="ListParagraph">
    <w:name w:val="List Paragraph"/>
    <w:basedOn w:val="Normal"/>
    <w:uiPriority w:val="34"/>
    <w:qFormat/>
    <w:rsid w:val="00D649F7"/>
    <w:pPr>
      <w:ind w:left="720"/>
      <w:contextualSpacing/>
    </w:pPr>
  </w:style>
  <w:style w:type="character" w:styleId="Hyperlink">
    <w:name w:val="Hyperlink"/>
    <w:basedOn w:val="DefaultParagraphFont"/>
    <w:uiPriority w:val="99"/>
    <w:unhideWhenUsed/>
    <w:rsid w:val="00143BEB"/>
    <w:rPr>
      <w:color w:val="0563C1" w:themeColor="hyperlink"/>
      <w:u w:val="single"/>
    </w:rPr>
  </w:style>
  <w:style w:type="character" w:customStyle="1" w:styleId="UnresolvedMention1">
    <w:name w:val="Unresolved Mention1"/>
    <w:basedOn w:val="DefaultParagraphFont"/>
    <w:uiPriority w:val="99"/>
    <w:semiHidden/>
    <w:unhideWhenUsed/>
    <w:rsid w:val="00143BEB"/>
    <w:rPr>
      <w:color w:val="808080"/>
      <w:shd w:val="clear" w:color="auto" w:fill="E6E6E6"/>
    </w:rPr>
  </w:style>
  <w:style w:type="paragraph" w:styleId="NormalWeb">
    <w:name w:val="Normal (Web)"/>
    <w:basedOn w:val="Normal"/>
    <w:uiPriority w:val="99"/>
    <w:unhideWhenUsed/>
    <w:rsid w:val="006B196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il">
    <w:name w:val="il"/>
    <w:basedOn w:val="DefaultParagraphFont"/>
    <w:rsid w:val="00B945B7"/>
  </w:style>
  <w:style w:type="paragraph" w:styleId="BodyText">
    <w:name w:val="Body Text"/>
    <w:basedOn w:val="Normal"/>
    <w:link w:val="BodyTextChar"/>
    <w:rsid w:val="00E72D7D"/>
    <w:pPr>
      <w:tabs>
        <w:tab w:val="left" w:pos="-720"/>
      </w:tabs>
      <w:suppressAutoHyphens/>
      <w:spacing w:after="0" w:line="48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72D7D"/>
    <w:rPr>
      <w:rFonts w:ascii="Times New Roman" w:eastAsia="Times New Roman" w:hAnsi="Times New Roman" w:cs="Times New Roman"/>
      <w:sz w:val="24"/>
      <w:szCs w:val="20"/>
    </w:rPr>
  </w:style>
  <w:style w:type="table" w:styleId="TableGrid">
    <w:name w:val="Table Grid"/>
    <w:basedOn w:val="TableNormal"/>
    <w:uiPriority w:val="39"/>
    <w:rsid w:val="00747E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20ABC"/>
  </w:style>
  <w:style w:type="paragraph" w:styleId="Header">
    <w:name w:val="header"/>
    <w:basedOn w:val="Normal"/>
    <w:link w:val="HeaderChar"/>
    <w:uiPriority w:val="99"/>
    <w:unhideWhenUsed/>
    <w:rsid w:val="00020A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BC"/>
  </w:style>
  <w:style w:type="paragraph" w:styleId="Footer">
    <w:name w:val="footer"/>
    <w:basedOn w:val="Normal"/>
    <w:link w:val="FooterChar"/>
    <w:uiPriority w:val="99"/>
    <w:unhideWhenUsed/>
    <w:rsid w:val="00020A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2530">
      <w:bodyDiv w:val="1"/>
      <w:marLeft w:val="0"/>
      <w:marRight w:val="0"/>
      <w:marTop w:val="0"/>
      <w:marBottom w:val="0"/>
      <w:divBdr>
        <w:top w:val="none" w:sz="0" w:space="0" w:color="auto"/>
        <w:left w:val="none" w:sz="0" w:space="0" w:color="auto"/>
        <w:bottom w:val="none" w:sz="0" w:space="0" w:color="auto"/>
        <w:right w:val="none" w:sz="0" w:space="0" w:color="auto"/>
      </w:divBdr>
    </w:div>
    <w:div w:id="190384262">
      <w:bodyDiv w:val="1"/>
      <w:marLeft w:val="0"/>
      <w:marRight w:val="0"/>
      <w:marTop w:val="0"/>
      <w:marBottom w:val="0"/>
      <w:divBdr>
        <w:top w:val="none" w:sz="0" w:space="0" w:color="auto"/>
        <w:left w:val="none" w:sz="0" w:space="0" w:color="auto"/>
        <w:bottom w:val="none" w:sz="0" w:space="0" w:color="auto"/>
        <w:right w:val="none" w:sz="0" w:space="0" w:color="auto"/>
      </w:divBdr>
    </w:div>
    <w:div w:id="266813254">
      <w:bodyDiv w:val="1"/>
      <w:marLeft w:val="0"/>
      <w:marRight w:val="0"/>
      <w:marTop w:val="0"/>
      <w:marBottom w:val="0"/>
      <w:divBdr>
        <w:top w:val="none" w:sz="0" w:space="0" w:color="auto"/>
        <w:left w:val="none" w:sz="0" w:space="0" w:color="auto"/>
        <w:bottom w:val="none" w:sz="0" w:space="0" w:color="auto"/>
        <w:right w:val="none" w:sz="0" w:space="0" w:color="auto"/>
      </w:divBdr>
    </w:div>
    <w:div w:id="303507717">
      <w:bodyDiv w:val="1"/>
      <w:marLeft w:val="0"/>
      <w:marRight w:val="0"/>
      <w:marTop w:val="0"/>
      <w:marBottom w:val="0"/>
      <w:divBdr>
        <w:top w:val="none" w:sz="0" w:space="0" w:color="auto"/>
        <w:left w:val="none" w:sz="0" w:space="0" w:color="auto"/>
        <w:bottom w:val="none" w:sz="0" w:space="0" w:color="auto"/>
        <w:right w:val="none" w:sz="0" w:space="0" w:color="auto"/>
      </w:divBdr>
    </w:div>
    <w:div w:id="475495667">
      <w:bodyDiv w:val="1"/>
      <w:marLeft w:val="0"/>
      <w:marRight w:val="0"/>
      <w:marTop w:val="0"/>
      <w:marBottom w:val="0"/>
      <w:divBdr>
        <w:top w:val="none" w:sz="0" w:space="0" w:color="auto"/>
        <w:left w:val="none" w:sz="0" w:space="0" w:color="auto"/>
        <w:bottom w:val="none" w:sz="0" w:space="0" w:color="auto"/>
        <w:right w:val="none" w:sz="0" w:space="0" w:color="auto"/>
      </w:divBdr>
    </w:div>
    <w:div w:id="574319841">
      <w:bodyDiv w:val="1"/>
      <w:marLeft w:val="0"/>
      <w:marRight w:val="0"/>
      <w:marTop w:val="0"/>
      <w:marBottom w:val="0"/>
      <w:divBdr>
        <w:top w:val="none" w:sz="0" w:space="0" w:color="auto"/>
        <w:left w:val="none" w:sz="0" w:space="0" w:color="auto"/>
        <w:bottom w:val="none" w:sz="0" w:space="0" w:color="auto"/>
        <w:right w:val="none" w:sz="0" w:space="0" w:color="auto"/>
      </w:divBdr>
    </w:div>
    <w:div w:id="714892461">
      <w:bodyDiv w:val="1"/>
      <w:marLeft w:val="0"/>
      <w:marRight w:val="0"/>
      <w:marTop w:val="0"/>
      <w:marBottom w:val="0"/>
      <w:divBdr>
        <w:top w:val="none" w:sz="0" w:space="0" w:color="auto"/>
        <w:left w:val="none" w:sz="0" w:space="0" w:color="auto"/>
        <w:bottom w:val="none" w:sz="0" w:space="0" w:color="auto"/>
        <w:right w:val="none" w:sz="0" w:space="0" w:color="auto"/>
      </w:divBdr>
    </w:div>
    <w:div w:id="821431679">
      <w:bodyDiv w:val="1"/>
      <w:marLeft w:val="0"/>
      <w:marRight w:val="0"/>
      <w:marTop w:val="0"/>
      <w:marBottom w:val="0"/>
      <w:divBdr>
        <w:top w:val="none" w:sz="0" w:space="0" w:color="auto"/>
        <w:left w:val="none" w:sz="0" w:space="0" w:color="auto"/>
        <w:bottom w:val="none" w:sz="0" w:space="0" w:color="auto"/>
        <w:right w:val="none" w:sz="0" w:space="0" w:color="auto"/>
      </w:divBdr>
    </w:div>
    <w:div w:id="914127457">
      <w:bodyDiv w:val="1"/>
      <w:marLeft w:val="0"/>
      <w:marRight w:val="0"/>
      <w:marTop w:val="0"/>
      <w:marBottom w:val="0"/>
      <w:divBdr>
        <w:top w:val="none" w:sz="0" w:space="0" w:color="auto"/>
        <w:left w:val="none" w:sz="0" w:space="0" w:color="auto"/>
        <w:bottom w:val="none" w:sz="0" w:space="0" w:color="auto"/>
        <w:right w:val="none" w:sz="0" w:space="0" w:color="auto"/>
      </w:divBdr>
    </w:div>
    <w:div w:id="1036545377">
      <w:bodyDiv w:val="1"/>
      <w:marLeft w:val="0"/>
      <w:marRight w:val="0"/>
      <w:marTop w:val="0"/>
      <w:marBottom w:val="0"/>
      <w:divBdr>
        <w:top w:val="none" w:sz="0" w:space="0" w:color="auto"/>
        <w:left w:val="none" w:sz="0" w:space="0" w:color="auto"/>
        <w:bottom w:val="none" w:sz="0" w:space="0" w:color="auto"/>
        <w:right w:val="none" w:sz="0" w:space="0" w:color="auto"/>
      </w:divBdr>
    </w:div>
    <w:div w:id="1057706150">
      <w:bodyDiv w:val="1"/>
      <w:marLeft w:val="0"/>
      <w:marRight w:val="0"/>
      <w:marTop w:val="0"/>
      <w:marBottom w:val="0"/>
      <w:divBdr>
        <w:top w:val="none" w:sz="0" w:space="0" w:color="auto"/>
        <w:left w:val="none" w:sz="0" w:space="0" w:color="auto"/>
        <w:bottom w:val="none" w:sz="0" w:space="0" w:color="auto"/>
        <w:right w:val="none" w:sz="0" w:space="0" w:color="auto"/>
      </w:divBdr>
    </w:div>
    <w:div w:id="1119295592">
      <w:bodyDiv w:val="1"/>
      <w:marLeft w:val="0"/>
      <w:marRight w:val="0"/>
      <w:marTop w:val="0"/>
      <w:marBottom w:val="0"/>
      <w:divBdr>
        <w:top w:val="none" w:sz="0" w:space="0" w:color="auto"/>
        <w:left w:val="none" w:sz="0" w:space="0" w:color="auto"/>
        <w:bottom w:val="none" w:sz="0" w:space="0" w:color="auto"/>
        <w:right w:val="none" w:sz="0" w:space="0" w:color="auto"/>
      </w:divBdr>
    </w:div>
    <w:div w:id="1145779412">
      <w:bodyDiv w:val="1"/>
      <w:marLeft w:val="0"/>
      <w:marRight w:val="0"/>
      <w:marTop w:val="0"/>
      <w:marBottom w:val="0"/>
      <w:divBdr>
        <w:top w:val="none" w:sz="0" w:space="0" w:color="auto"/>
        <w:left w:val="none" w:sz="0" w:space="0" w:color="auto"/>
        <w:bottom w:val="none" w:sz="0" w:space="0" w:color="auto"/>
        <w:right w:val="none" w:sz="0" w:space="0" w:color="auto"/>
      </w:divBdr>
    </w:div>
    <w:div w:id="1219974851">
      <w:bodyDiv w:val="1"/>
      <w:marLeft w:val="0"/>
      <w:marRight w:val="0"/>
      <w:marTop w:val="0"/>
      <w:marBottom w:val="0"/>
      <w:divBdr>
        <w:top w:val="none" w:sz="0" w:space="0" w:color="auto"/>
        <w:left w:val="none" w:sz="0" w:space="0" w:color="auto"/>
        <w:bottom w:val="none" w:sz="0" w:space="0" w:color="auto"/>
        <w:right w:val="none" w:sz="0" w:space="0" w:color="auto"/>
      </w:divBdr>
    </w:div>
    <w:div w:id="1222131209">
      <w:bodyDiv w:val="1"/>
      <w:marLeft w:val="0"/>
      <w:marRight w:val="0"/>
      <w:marTop w:val="0"/>
      <w:marBottom w:val="0"/>
      <w:divBdr>
        <w:top w:val="none" w:sz="0" w:space="0" w:color="auto"/>
        <w:left w:val="none" w:sz="0" w:space="0" w:color="auto"/>
        <w:bottom w:val="none" w:sz="0" w:space="0" w:color="auto"/>
        <w:right w:val="none" w:sz="0" w:space="0" w:color="auto"/>
      </w:divBdr>
    </w:div>
    <w:div w:id="1259489627">
      <w:bodyDiv w:val="1"/>
      <w:marLeft w:val="0"/>
      <w:marRight w:val="0"/>
      <w:marTop w:val="0"/>
      <w:marBottom w:val="0"/>
      <w:divBdr>
        <w:top w:val="none" w:sz="0" w:space="0" w:color="auto"/>
        <w:left w:val="none" w:sz="0" w:space="0" w:color="auto"/>
        <w:bottom w:val="none" w:sz="0" w:space="0" w:color="auto"/>
        <w:right w:val="none" w:sz="0" w:space="0" w:color="auto"/>
      </w:divBdr>
    </w:div>
    <w:div w:id="1283918306">
      <w:bodyDiv w:val="1"/>
      <w:marLeft w:val="0"/>
      <w:marRight w:val="0"/>
      <w:marTop w:val="0"/>
      <w:marBottom w:val="0"/>
      <w:divBdr>
        <w:top w:val="none" w:sz="0" w:space="0" w:color="auto"/>
        <w:left w:val="none" w:sz="0" w:space="0" w:color="auto"/>
        <w:bottom w:val="none" w:sz="0" w:space="0" w:color="auto"/>
        <w:right w:val="none" w:sz="0" w:space="0" w:color="auto"/>
      </w:divBdr>
    </w:div>
    <w:div w:id="1322351794">
      <w:bodyDiv w:val="1"/>
      <w:marLeft w:val="0"/>
      <w:marRight w:val="0"/>
      <w:marTop w:val="0"/>
      <w:marBottom w:val="0"/>
      <w:divBdr>
        <w:top w:val="none" w:sz="0" w:space="0" w:color="auto"/>
        <w:left w:val="none" w:sz="0" w:space="0" w:color="auto"/>
        <w:bottom w:val="none" w:sz="0" w:space="0" w:color="auto"/>
        <w:right w:val="none" w:sz="0" w:space="0" w:color="auto"/>
      </w:divBdr>
    </w:div>
    <w:div w:id="1353649357">
      <w:bodyDiv w:val="1"/>
      <w:marLeft w:val="0"/>
      <w:marRight w:val="0"/>
      <w:marTop w:val="0"/>
      <w:marBottom w:val="0"/>
      <w:divBdr>
        <w:top w:val="none" w:sz="0" w:space="0" w:color="auto"/>
        <w:left w:val="none" w:sz="0" w:space="0" w:color="auto"/>
        <w:bottom w:val="none" w:sz="0" w:space="0" w:color="auto"/>
        <w:right w:val="none" w:sz="0" w:space="0" w:color="auto"/>
      </w:divBdr>
    </w:div>
    <w:div w:id="1397898111">
      <w:bodyDiv w:val="1"/>
      <w:marLeft w:val="0"/>
      <w:marRight w:val="0"/>
      <w:marTop w:val="0"/>
      <w:marBottom w:val="0"/>
      <w:divBdr>
        <w:top w:val="none" w:sz="0" w:space="0" w:color="auto"/>
        <w:left w:val="none" w:sz="0" w:space="0" w:color="auto"/>
        <w:bottom w:val="none" w:sz="0" w:space="0" w:color="auto"/>
        <w:right w:val="none" w:sz="0" w:space="0" w:color="auto"/>
      </w:divBdr>
    </w:div>
    <w:div w:id="1439908514">
      <w:bodyDiv w:val="1"/>
      <w:marLeft w:val="0"/>
      <w:marRight w:val="0"/>
      <w:marTop w:val="0"/>
      <w:marBottom w:val="0"/>
      <w:divBdr>
        <w:top w:val="none" w:sz="0" w:space="0" w:color="auto"/>
        <w:left w:val="none" w:sz="0" w:space="0" w:color="auto"/>
        <w:bottom w:val="none" w:sz="0" w:space="0" w:color="auto"/>
        <w:right w:val="none" w:sz="0" w:space="0" w:color="auto"/>
      </w:divBdr>
    </w:div>
    <w:div w:id="1487744343">
      <w:bodyDiv w:val="1"/>
      <w:marLeft w:val="0"/>
      <w:marRight w:val="0"/>
      <w:marTop w:val="0"/>
      <w:marBottom w:val="0"/>
      <w:divBdr>
        <w:top w:val="none" w:sz="0" w:space="0" w:color="auto"/>
        <w:left w:val="none" w:sz="0" w:space="0" w:color="auto"/>
        <w:bottom w:val="none" w:sz="0" w:space="0" w:color="auto"/>
        <w:right w:val="none" w:sz="0" w:space="0" w:color="auto"/>
      </w:divBdr>
    </w:div>
    <w:div w:id="1671636581">
      <w:bodyDiv w:val="1"/>
      <w:marLeft w:val="0"/>
      <w:marRight w:val="0"/>
      <w:marTop w:val="0"/>
      <w:marBottom w:val="0"/>
      <w:divBdr>
        <w:top w:val="none" w:sz="0" w:space="0" w:color="auto"/>
        <w:left w:val="none" w:sz="0" w:space="0" w:color="auto"/>
        <w:bottom w:val="none" w:sz="0" w:space="0" w:color="auto"/>
        <w:right w:val="none" w:sz="0" w:space="0" w:color="auto"/>
      </w:divBdr>
    </w:div>
    <w:div w:id="1694959758">
      <w:bodyDiv w:val="1"/>
      <w:marLeft w:val="0"/>
      <w:marRight w:val="0"/>
      <w:marTop w:val="0"/>
      <w:marBottom w:val="0"/>
      <w:divBdr>
        <w:top w:val="none" w:sz="0" w:space="0" w:color="auto"/>
        <w:left w:val="none" w:sz="0" w:space="0" w:color="auto"/>
        <w:bottom w:val="none" w:sz="0" w:space="0" w:color="auto"/>
        <w:right w:val="none" w:sz="0" w:space="0" w:color="auto"/>
      </w:divBdr>
    </w:div>
    <w:div w:id="1728142431">
      <w:bodyDiv w:val="1"/>
      <w:marLeft w:val="0"/>
      <w:marRight w:val="0"/>
      <w:marTop w:val="0"/>
      <w:marBottom w:val="0"/>
      <w:divBdr>
        <w:top w:val="none" w:sz="0" w:space="0" w:color="auto"/>
        <w:left w:val="none" w:sz="0" w:space="0" w:color="auto"/>
        <w:bottom w:val="none" w:sz="0" w:space="0" w:color="auto"/>
        <w:right w:val="none" w:sz="0" w:space="0" w:color="auto"/>
      </w:divBdr>
    </w:div>
    <w:div w:id="1775706108">
      <w:bodyDiv w:val="1"/>
      <w:marLeft w:val="0"/>
      <w:marRight w:val="0"/>
      <w:marTop w:val="0"/>
      <w:marBottom w:val="0"/>
      <w:divBdr>
        <w:top w:val="none" w:sz="0" w:space="0" w:color="auto"/>
        <w:left w:val="none" w:sz="0" w:space="0" w:color="auto"/>
        <w:bottom w:val="none" w:sz="0" w:space="0" w:color="auto"/>
        <w:right w:val="none" w:sz="0" w:space="0" w:color="auto"/>
      </w:divBdr>
    </w:div>
    <w:div w:id="1813592195">
      <w:bodyDiv w:val="1"/>
      <w:marLeft w:val="0"/>
      <w:marRight w:val="0"/>
      <w:marTop w:val="0"/>
      <w:marBottom w:val="0"/>
      <w:divBdr>
        <w:top w:val="none" w:sz="0" w:space="0" w:color="auto"/>
        <w:left w:val="none" w:sz="0" w:space="0" w:color="auto"/>
        <w:bottom w:val="none" w:sz="0" w:space="0" w:color="auto"/>
        <w:right w:val="none" w:sz="0" w:space="0" w:color="auto"/>
      </w:divBdr>
    </w:div>
    <w:div w:id="1815562626">
      <w:bodyDiv w:val="1"/>
      <w:marLeft w:val="0"/>
      <w:marRight w:val="0"/>
      <w:marTop w:val="0"/>
      <w:marBottom w:val="0"/>
      <w:divBdr>
        <w:top w:val="none" w:sz="0" w:space="0" w:color="auto"/>
        <w:left w:val="none" w:sz="0" w:space="0" w:color="auto"/>
        <w:bottom w:val="none" w:sz="0" w:space="0" w:color="auto"/>
        <w:right w:val="none" w:sz="0" w:space="0" w:color="auto"/>
      </w:divBdr>
    </w:div>
    <w:div w:id="1998410452">
      <w:bodyDiv w:val="1"/>
      <w:marLeft w:val="0"/>
      <w:marRight w:val="0"/>
      <w:marTop w:val="0"/>
      <w:marBottom w:val="0"/>
      <w:divBdr>
        <w:top w:val="none" w:sz="0" w:space="0" w:color="auto"/>
        <w:left w:val="none" w:sz="0" w:space="0" w:color="auto"/>
        <w:bottom w:val="none" w:sz="0" w:space="0" w:color="auto"/>
        <w:right w:val="none" w:sz="0" w:space="0" w:color="auto"/>
      </w:divBdr>
      <w:divsChild>
        <w:div w:id="1223252921">
          <w:marLeft w:val="0"/>
          <w:marRight w:val="0"/>
          <w:marTop w:val="0"/>
          <w:marBottom w:val="0"/>
          <w:divBdr>
            <w:top w:val="none" w:sz="0" w:space="0" w:color="auto"/>
            <w:left w:val="none" w:sz="0" w:space="0" w:color="auto"/>
            <w:bottom w:val="none" w:sz="0" w:space="0" w:color="auto"/>
            <w:right w:val="none" w:sz="0" w:space="0" w:color="auto"/>
          </w:divBdr>
        </w:div>
        <w:div w:id="206531818">
          <w:marLeft w:val="0"/>
          <w:marRight w:val="0"/>
          <w:marTop w:val="0"/>
          <w:marBottom w:val="0"/>
          <w:divBdr>
            <w:top w:val="none" w:sz="0" w:space="0" w:color="auto"/>
            <w:left w:val="none" w:sz="0" w:space="0" w:color="auto"/>
            <w:bottom w:val="none" w:sz="0" w:space="0" w:color="auto"/>
            <w:right w:val="none" w:sz="0" w:space="0" w:color="auto"/>
          </w:divBdr>
          <w:divsChild>
            <w:div w:id="15180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c76@cam.ac.uk" TargetMode="External"/><Relationship Id="rId13" Type="http://schemas.openxmlformats.org/officeDocument/2006/relationships/hyperlink" Target="mailto:ps10011@cam.ac.uk"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nderiva@clinic.cat" TargetMode="Externa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nieszka.uryga@pwr.edu.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fontTable" Target="fontTable.xml"/><Relationship Id="rId10" Type="http://schemas.openxmlformats.org/officeDocument/2006/relationships/hyperlink" Target="mailto:donnellyj87@gmail.com" TargetMode="External"/><Relationship Id="rId19" Type="http://schemas.openxmlformats.org/officeDocument/2006/relationships/hyperlink" Target="file:///C:\Users\Leanne\AppData\Roaming\Microsoft\AppData\Leanne\PI_paper_Draft__4\%20WREC" TargetMode="External"/><Relationship Id="rId4" Type="http://schemas.openxmlformats.org/officeDocument/2006/relationships/settings" Target="settings.xml"/><Relationship Id="rId9" Type="http://schemas.openxmlformats.org/officeDocument/2006/relationships/hyperlink" Target="mailto:umzeiler@myumanitoba.ca" TargetMode="External"/><Relationship Id="rId14" Type="http://schemas.openxmlformats.org/officeDocument/2006/relationships/hyperlink" Target="mailto:mc141@medschl.cam.ac.uk"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42BB8-183A-4870-AEF4-DA4933F2D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47913</Words>
  <Characters>273110</Characters>
  <Application>Microsoft Office Word</Application>
  <DocSecurity>0</DocSecurity>
  <Lines>2275</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dc:creator>
  <cp:lastModifiedBy>Leanne</cp:lastModifiedBy>
  <cp:revision>12</cp:revision>
  <cp:lastPrinted>2018-04-25T12:55:00Z</cp:lastPrinted>
  <dcterms:created xsi:type="dcterms:W3CDTF">2019-10-07T22:36:00Z</dcterms:created>
  <dcterms:modified xsi:type="dcterms:W3CDTF">2019-10-07T22:48:00Z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042ce579-f7be-3101-b676-b3e40220a842</vt:lpwstr>
  </property>
  <property fmtid="{D5CDD505-2E9C-101B-9397-08002B2CF9AE}" pid="24" name="Mendeley Citation Style_1">
    <vt:lpwstr>http://www.zotero.org/styles/vancouver</vt:lpwstr>
  </property>
</Properties>
</file>