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CAD" w:rsidRPr="0004360C" w:rsidRDefault="00390CAD" w:rsidP="009324ED">
      <w:pPr>
        <w:jc w:val="both"/>
        <w:rPr>
          <w:rFonts w:ascii="Times New Roman" w:hAnsi="Times New Roman" w:cs="Times New Roman"/>
          <w:b/>
        </w:rPr>
      </w:pPr>
      <w:r w:rsidRPr="0004360C">
        <w:rPr>
          <w:rFonts w:ascii="Times New Roman" w:hAnsi="Times New Roman" w:cs="Times New Roman"/>
          <w:b/>
        </w:rPr>
        <w:t>This is an unpublished draft, to cite the full article, use</w:t>
      </w:r>
    </w:p>
    <w:p w:rsidR="00390CAD" w:rsidRPr="00390CAD" w:rsidRDefault="00765422" w:rsidP="009324ED">
      <w:pPr>
        <w:jc w:val="both"/>
        <w:rPr>
          <w:rFonts w:ascii="Times New Roman" w:hAnsi="Times New Roman" w:cs="Times New Roman"/>
        </w:rPr>
      </w:pPr>
      <w:r w:rsidRPr="00765422">
        <w:rPr>
          <w:rFonts w:ascii="Times New Roman" w:hAnsi="Times New Roman" w:cs="Times New Roman"/>
        </w:rPr>
        <w:t>Farid Panjwani &amp; Daniel Moulin-S</w:t>
      </w:r>
      <w:r>
        <w:rPr>
          <w:rFonts w:ascii="Times New Roman" w:hAnsi="Times New Roman" w:cs="Times New Roman"/>
        </w:rPr>
        <w:t xml:space="preserve">tożek (2017) Muslims, schooling </w:t>
      </w:r>
      <w:r w:rsidRPr="00765422">
        <w:rPr>
          <w:rFonts w:ascii="Times New Roman" w:hAnsi="Times New Roman" w:cs="Times New Roman"/>
        </w:rPr>
        <w:t xml:space="preserve">and the limits of religious identity, </w:t>
      </w:r>
      <w:r w:rsidRPr="00765422">
        <w:rPr>
          <w:rFonts w:ascii="Times New Roman" w:hAnsi="Times New Roman" w:cs="Times New Roman"/>
          <w:i/>
        </w:rPr>
        <w:t>Oxford Review of Education</w:t>
      </w:r>
      <w:r w:rsidRPr="00765422">
        <w:rPr>
          <w:rFonts w:ascii="Times New Roman" w:hAnsi="Times New Roman" w:cs="Times New Roman"/>
        </w:rPr>
        <w:t>, 43:5, 519-523</w:t>
      </w:r>
      <w:r w:rsidR="00B84B1D">
        <w:rPr>
          <w:rFonts w:ascii="Times New Roman" w:hAnsi="Times New Roman" w:cs="Times New Roman"/>
        </w:rPr>
        <w:t>.</w:t>
      </w:r>
    </w:p>
    <w:p w:rsidR="00390CAD" w:rsidRDefault="00390CAD" w:rsidP="009324ED">
      <w:pPr>
        <w:jc w:val="both"/>
        <w:rPr>
          <w:rFonts w:ascii="Times New Roman" w:hAnsi="Times New Roman" w:cs="Times New Roman"/>
        </w:rPr>
      </w:pPr>
      <w:r w:rsidRPr="0004360C">
        <w:rPr>
          <w:rFonts w:ascii="Times New Roman" w:hAnsi="Times New Roman" w:cs="Times New Roman"/>
          <w:b/>
        </w:rPr>
        <w:t>To link to this article</w:t>
      </w:r>
      <w:r w:rsidRPr="00390CAD">
        <w:rPr>
          <w:rFonts w:ascii="Times New Roman" w:hAnsi="Times New Roman" w:cs="Times New Roman"/>
        </w:rPr>
        <w:t xml:space="preserve">: </w:t>
      </w:r>
      <w:hyperlink r:id="rId7" w:history="1">
        <w:r w:rsidR="00765422" w:rsidRPr="00396610">
          <w:rPr>
            <w:rStyle w:val="Hyperlink"/>
            <w:rFonts w:ascii="Times New Roman" w:hAnsi="Times New Roman" w:cs="Times New Roman"/>
          </w:rPr>
          <w:t>https://doi.org/1</w:t>
        </w:r>
        <w:r w:rsidR="00765422" w:rsidRPr="00396610">
          <w:rPr>
            <w:rStyle w:val="Hyperlink"/>
            <w:rFonts w:ascii="Times New Roman" w:hAnsi="Times New Roman" w:cs="Times New Roman"/>
          </w:rPr>
          <w:t>0</w:t>
        </w:r>
        <w:r w:rsidR="00765422" w:rsidRPr="00396610">
          <w:rPr>
            <w:rStyle w:val="Hyperlink"/>
            <w:rFonts w:ascii="Times New Roman" w:hAnsi="Times New Roman" w:cs="Times New Roman"/>
          </w:rPr>
          <w:t>.1080/03054985.2017.1354585</w:t>
        </w:r>
      </w:hyperlink>
      <w:r w:rsidR="00765422">
        <w:rPr>
          <w:rStyle w:val="Hyperlink"/>
          <w:rFonts w:ascii="Times New Roman" w:hAnsi="Times New Roman" w:cs="Times New Roman"/>
        </w:rPr>
        <w:t xml:space="preserve"> </w:t>
      </w:r>
    </w:p>
    <w:p w:rsidR="009324ED" w:rsidRDefault="009324ED" w:rsidP="009324ED">
      <w:pPr>
        <w:jc w:val="both"/>
        <w:rPr>
          <w:rFonts w:ascii="Times New Roman" w:hAnsi="Times New Roman" w:cs="Times New Roman"/>
        </w:rPr>
      </w:pPr>
    </w:p>
    <w:p w:rsidR="00765422" w:rsidRPr="00765422" w:rsidRDefault="00765422" w:rsidP="009324ED">
      <w:pPr>
        <w:jc w:val="both"/>
        <w:rPr>
          <w:rFonts w:ascii="Times New Roman" w:hAnsi="Times New Roman" w:cs="Times New Roman"/>
        </w:rPr>
      </w:pPr>
      <w:r w:rsidRPr="00765422">
        <w:rPr>
          <w:rFonts w:ascii="Times New Roman" w:hAnsi="Times New Roman" w:cs="Times New Roman"/>
        </w:rPr>
        <w:t>EDITORIAL</w:t>
      </w:r>
      <w:r>
        <w:rPr>
          <w:rFonts w:ascii="Times New Roman" w:hAnsi="Times New Roman" w:cs="Times New Roman"/>
        </w:rPr>
        <w:t xml:space="preserve">: </w:t>
      </w:r>
      <w:r w:rsidRPr="00765422">
        <w:rPr>
          <w:rFonts w:ascii="Times New Roman" w:hAnsi="Times New Roman" w:cs="Times New Roman"/>
        </w:rPr>
        <w:t>Muslims, schooling and the limits of religious identity</w:t>
      </w:r>
    </w:p>
    <w:p w:rsidR="00765422" w:rsidRPr="00765422" w:rsidRDefault="00765422" w:rsidP="009324ED">
      <w:pPr>
        <w:jc w:val="both"/>
        <w:rPr>
          <w:rFonts w:ascii="Times New Roman" w:hAnsi="Times New Roman" w:cs="Times New Roman"/>
        </w:rPr>
      </w:pPr>
      <w:r w:rsidRPr="00765422">
        <w:rPr>
          <w:rFonts w:ascii="Times New Roman" w:hAnsi="Times New Roman" w:cs="Times New Roman"/>
        </w:rPr>
        <w:t>Farid Panjwani</w:t>
      </w:r>
      <w:r>
        <w:rPr>
          <w:rFonts w:ascii="Times New Roman" w:hAnsi="Times New Roman" w:cs="Times New Roman"/>
        </w:rPr>
        <w:t xml:space="preserve"> and Daniel Moulin-Stożek</w:t>
      </w:r>
    </w:p>
    <w:p w:rsidR="00765422" w:rsidRPr="00765422" w:rsidRDefault="00765422" w:rsidP="009324ED">
      <w:pPr>
        <w:jc w:val="both"/>
        <w:rPr>
          <w:rFonts w:ascii="Times New Roman" w:hAnsi="Times New Roman" w:cs="Times New Roman"/>
        </w:rPr>
      </w:pPr>
      <w:r w:rsidRPr="00765422">
        <w:rPr>
          <w:rFonts w:ascii="Times New Roman" w:hAnsi="Times New Roman" w:cs="Times New Roman"/>
        </w:rPr>
        <w:t>Recent decades have witnessed what could be called a ‘religious turn’—a renewed focus on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religion across all areas of life, including politics, academia, and education (Bachmann-Medick,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2016). Akin to what is called the ‘linguistic turn’ in philosophy—which brought attention to the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constitutive and mediating role of language in the social construction of reality—the concept of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‘religious turn’ reflects a recognition of the role of religion in shaping discourses, social change,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and practices in a variety of cultural contexts. This term has become more closely associated with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Islam than with any other religion, and can be traced back to the 1980s and certainly the 1990s,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following events such as the Iranian Revolution and the Rushdie Affair, and, more recently, the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attacks of 11 September 2001 (9/11) and the London bombings of July 2005. Although intellectual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and cultural shifts regarding religion were taking place before this time, these events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had widespread implications for education and research agendas. One such implication has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been the increased interest in adolescent Muslims as research subjects, leading subsequently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to numerous studies about Muslims, schools, and religious identity internationally (Moulin,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2012). Another implication, particularly following the London bombings of July 2005, was the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development of educational programmes and policies aimed at Muslim youth and intended to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combat extremism.</w:t>
      </w:r>
    </w:p>
    <w:p w:rsidR="009324ED" w:rsidRDefault="00765422" w:rsidP="009324ED">
      <w:pPr>
        <w:jc w:val="both"/>
        <w:rPr>
          <w:rFonts w:ascii="Times New Roman" w:hAnsi="Times New Roman" w:cs="Times New Roman"/>
        </w:rPr>
      </w:pPr>
      <w:r w:rsidRPr="00765422">
        <w:rPr>
          <w:rFonts w:ascii="Times New Roman" w:hAnsi="Times New Roman" w:cs="Times New Roman"/>
        </w:rPr>
        <w:t>The articles in this Special Issue identify the privileging of religious identity as one key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assumption underpinning academic, media, legal, and popular discourse about Muslims in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recent decades. The term ‘identity’ is used in several different scientific paradigms and invoking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it risks obscurity of meaning, and even cliché, yet, broadly, it provides a way of understanding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the impact of cultural and political change upon how young people think about themselves,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and the processes by which schooling sustains such meanings. It has thus become a common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framework for scholars working in the fields of religion and in education, and for studies of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Muslim children and youth in particular. This in itself represents one facet of the religious turn,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because previously, identity was used in the cultural studies tradition, most notably by Stuart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Hall, as an explanatory concept for understanding issues of race (Hall, 1996). By using religious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identity to interpret and classify the diverse group of people who are now increasingly called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‘Muslims’, religion supplants the prior categorisations of ethnicity, race, or nationality. This trend,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it has been argued, does not just concern how Muslims are classified, but is part of a process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of ‘religification’ taking place in the self-understanding and self-definition of Muslims themselves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related to the increased likelihood of others to confer that religious identity upon them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(Ghaffar-Kucher, 2012; Panjwani, 2013). For example, in rega</w:t>
      </w:r>
      <w:r w:rsidR="009324ED">
        <w:rPr>
          <w:rFonts w:ascii="Times New Roman" w:hAnsi="Times New Roman" w:cs="Times New Roman"/>
        </w:rPr>
        <w:t xml:space="preserve">rd to Pakistani-American youth, Ghaffar-Kucher observed: </w:t>
      </w:r>
    </w:p>
    <w:p w:rsidR="00765422" w:rsidRPr="00765422" w:rsidRDefault="009324ED" w:rsidP="009324ED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</w:t>
      </w:r>
      <w:r w:rsidR="00765422" w:rsidRPr="00765422">
        <w:rPr>
          <w:rFonts w:ascii="Times New Roman" w:hAnsi="Times New Roman" w:cs="Times New Roman"/>
        </w:rPr>
        <w:t>Not only do peers and school personnel view these youth through a religious lens, the youth (and their</w:t>
      </w:r>
      <w:r>
        <w:rPr>
          <w:rFonts w:ascii="Times New Roman" w:hAnsi="Times New Roman" w:cs="Times New Roman"/>
        </w:rPr>
        <w:t xml:space="preserve"> </w:t>
      </w:r>
      <w:r w:rsidR="00765422" w:rsidRPr="00765422">
        <w:rPr>
          <w:rFonts w:ascii="Times New Roman" w:hAnsi="Times New Roman" w:cs="Times New Roman"/>
        </w:rPr>
        <w:t>families) define themselves more through a religious identity than through a racial, national, or ethnic one.</w:t>
      </w:r>
      <w:r>
        <w:rPr>
          <w:rFonts w:ascii="Times New Roman" w:hAnsi="Times New Roman" w:cs="Times New Roman"/>
        </w:rPr>
        <w:t xml:space="preserve"> </w:t>
      </w:r>
      <w:r w:rsidR="00765422" w:rsidRPr="00765422">
        <w:rPr>
          <w:rFonts w:ascii="Times New Roman" w:hAnsi="Times New Roman" w:cs="Times New Roman"/>
        </w:rPr>
        <w:t>Ascription and co-option of a religious identity, trumps other forms of categorization, such as race and</w:t>
      </w:r>
      <w:r>
        <w:rPr>
          <w:rFonts w:ascii="Times New Roman" w:hAnsi="Times New Roman" w:cs="Times New Roman"/>
        </w:rPr>
        <w:t xml:space="preserve"> ethnicity.’ (p. 3)</w:t>
      </w:r>
    </w:p>
    <w:p w:rsidR="00765422" w:rsidRPr="00765422" w:rsidRDefault="00765422" w:rsidP="009324ED">
      <w:pPr>
        <w:jc w:val="both"/>
        <w:rPr>
          <w:rFonts w:ascii="Times New Roman" w:hAnsi="Times New Roman" w:cs="Times New Roman"/>
        </w:rPr>
      </w:pPr>
      <w:r w:rsidRPr="00765422">
        <w:rPr>
          <w:rFonts w:ascii="Times New Roman" w:hAnsi="Times New Roman" w:cs="Times New Roman"/>
        </w:rPr>
        <w:t>As a dialogic process of proclamation and recognition, religifica</w:t>
      </w:r>
      <w:r w:rsidR="009324ED">
        <w:rPr>
          <w:rFonts w:ascii="Times New Roman" w:hAnsi="Times New Roman" w:cs="Times New Roman"/>
        </w:rPr>
        <w:t xml:space="preserve">tion has a complex relationship </w:t>
      </w:r>
      <w:r w:rsidRPr="00765422">
        <w:rPr>
          <w:rFonts w:ascii="Times New Roman" w:hAnsi="Times New Roman" w:cs="Times New Roman"/>
        </w:rPr>
        <w:t>with schooling and education. Because schools are the institutions where many children first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formally participate in society, they are important sites where Muslims may first experience being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recognised as Muslims, either by teachers or their classmates. Furthermore, as schools often formally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educate non-Muslims about Islam, curricula are also an important source of information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where ‘Muslimness’ may be represented.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It is of note that historically in Britain as migration began to influence the school system,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educationists started to reflect upon its impact in terms of curriculu</w:t>
      </w:r>
      <w:r w:rsidR="009324ED">
        <w:rPr>
          <w:rFonts w:ascii="Times New Roman" w:hAnsi="Times New Roman" w:cs="Times New Roman"/>
        </w:rPr>
        <w:t>m, pedagogy, and school</w:t>
      </w:r>
      <w:r w:rsidRPr="00765422">
        <w:rPr>
          <w:rFonts w:ascii="Times New Roman" w:hAnsi="Times New Roman" w:cs="Times New Roman"/>
        </w:rPr>
        <w:t>organisation. One outcome was that the social category of ‘Musl</w:t>
      </w:r>
      <w:r w:rsidR="009324ED">
        <w:rPr>
          <w:rFonts w:ascii="Times New Roman" w:hAnsi="Times New Roman" w:cs="Times New Roman"/>
        </w:rPr>
        <w:t xml:space="preserve">ims’ and the curricular concept </w:t>
      </w:r>
      <w:r w:rsidRPr="00765422">
        <w:rPr>
          <w:rFonts w:ascii="Times New Roman" w:hAnsi="Times New Roman" w:cs="Times New Roman"/>
        </w:rPr>
        <w:t xml:space="preserve">of ‘Islam’ came to be formulated, with religious education as its </w:t>
      </w:r>
      <w:r w:rsidR="009324ED">
        <w:rPr>
          <w:rFonts w:ascii="Times New Roman" w:hAnsi="Times New Roman" w:cs="Times New Roman"/>
        </w:rPr>
        <w:t xml:space="preserve">vehicle. On the one hand, these </w:t>
      </w:r>
      <w:r w:rsidRPr="00765422">
        <w:rPr>
          <w:rFonts w:ascii="Times New Roman" w:hAnsi="Times New Roman" w:cs="Times New Roman"/>
        </w:rPr>
        <w:t>were positive developments which put religious education in Britain as a leading system in terms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of dealing with the plurality of religions. On the other hand, they contributed to the reification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of Islam, and the religification of Muslims. This is because with some exceptions, the only place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where students learn about Muslims in the school curriculum is in religious education. By its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very nature, the subject matter constructs identity along religious lines, and with not much in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the school curriculum to balance this portrayal, very likely leaves students with an impression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that being a Muslim is primarily a matter of following religious obligations and believing in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certain doctrines. Such a portrayal of Muslims carries the danger of reinforcing the binary of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Muslim religious versus British secular. It is not surprising then that research has indicated that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many British pupils see Muslims as fundamentally differen</w:t>
      </w:r>
      <w:bookmarkStart w:id="0" w:name="_GoBack"/>
      <w:bookmarkEnd w:id="0"/>
      <w:r w:rsidRPr="00765422">
        <w:rPr>
          <w:rFonts w:ascii="Times New Roman" w:hAnsi="Times New Roman" w:cs="Times New Roman"/>
        </w:rPr>
        <w:t>t from themselves (Revell, 2009). It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is for these reasons that the contributions to this Special Issue give considerable import to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the ongoing controversies surrounding Islam and education, including the ‘radicalisation’ of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British-born young men to commit acts of violence and the associated moral panics in media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surrounding these tropes.</w:t>
      </w:r>
    </w:p>
    <w:p w:rsidR="00B2273C" w:rsidRDefault="00765422" w:rsidP="009324ED">
      <w:pPr>
        <w:jc w:val="both"/>
        <w:rPr>
          <w:rFonts w:ascii="Times New Roman" w:hAnsi="Times New Roman" w:cs="Times New Roman"/>
        </w:rPr>
      </w:pPr>
      <w:r w:rsidRPr="00765422">
        <w:rPr>
          <w:rFonts w:ascii="Times New Roman" w:hAnsi="Times New Roman" w:cs="Times New Roman"/>
        </w:rPr>
        <w:t>Identity cannot be easily separated from systems of representation and interpretation, and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in particular, here, those systems that prevail in schooling, education policy, and educational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research. This Special Issue therefore seeks to consider the educational implications of the ‘religious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turn’ through a variety of illuminating examples and detailed case studies of Muslims and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schooling, and calls for a reconsideration of the notion of religious identity in order to rehabilitate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a more complex understanding of the multiple and intersectional nature of identities of Muslims.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Contributors explore the limits of religious identity, including where it may continue to be relevant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and appropriate, but also how educators, researchers, and others may trap ‘Muslims’ in their own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conceptual nets of conferral and representation.</w:t>
      </w:r>
      <w:r w:rsidR="009324ED">
        <w:rPr>
          <w:rFonts w:ascii="Times New Roman" w:hAnsi="Times New Roman" w:cs="Times New Roman"/>
        </w:rPr>
        <w:t xml:space="preserve"> </w:t>
      </w:r>
    </w:p>
    <w:p w:rsidR="00B2273C" w:rsidRDefault="00765422" w:rsidP="009324ED">
      <w:pPr>
        <w:jc w:val="both"/>
        <w:rPr>
          <w:rFonts w:ascii="Times New Roman" w:hAnsi="Times New Roman" w:cs="Times New Roman"/>
        </w:rPr>
      </w:pPr>
      <w:r w:rsidRPr="00765422">
        <w:rPr>
          <w:rFonts w:ascii="Times New Roman" w:hAnsi="Times New Roman" w:cs="Times New Roman"/>
        </w:rPr>
        <w:t>One corollary of the growing importance of religion to policy makers and academics that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preceded the turn of the millennium was the inclusion of items of religious identification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on the UK census. This has provided insights into how British society is religiously stratified.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According to the census data, in 2011 there were 2.72 million Muslims in the United Kingdom,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making up 4.8% of the population. Analysed as a religious group, Muslims fall behind the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national average on a number of socio-economic variables. For example, 5.1% of Muslims are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homeless, i.e. living in hostels or temporary shelters, as against 2.2% in the overall population.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Over 45% of Muslims live in the 10% most deprived local authority districts in England.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This figure is up by over 12% from the 2001 census. Muslims make up 13% of the prison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population (Ali, 2015).</w:t>
      </w:r>
      <w:r w:rsidR="009324ED">
        <w:rPr>
          <w:rFonts w:ascii="Times New Roman" w:hAnsi="Times New Roman" w:cs="Times New Roman"/>
        </w:rPr>
        <w:t xml:space="preserve"> </w:t>
      </w:r>
    </w:p>
    <w:p w:rsidR="00B2273C" w:rsidRDefault="00765422" w:rsidP="009324ED">
      <w:pPr>
        <w:jc w:val="both"/>
        <w:rPr>
          <w:rFonts w:ascii="Times New Roman" w:hAnsi="Times New Roman" w:cs="Times New Roman"/>
        </w:rPr>
      </w:pPr>
      <w:r w:rsidRPr="00765422">
        <w:rPr>
          <w:rFonts w:ascii="Times New Roman" w:hAnsi="Times New Roman" w:cs="Times New Roman"/>
        </w:rPr>
        <w:t>Though religion is continually relevant, caution must be exer</w:t>
      </w:r>
      <w:r w:rsidR="009324ED">
        <w:rPr>
          <w:rFonts w:ascii="Times New Roman" w:hAnsi="Times New Roman" w:cs="Times New Roman"/>
        </w:rPr>
        <w:t xml:space="preserve">cised when using it as the only </w:t>
      </w:r>
      <w:r w:rsidRPr="00765422">
        <w:rPr>
          <w:rFonts w:ascii="Times New Roman" w:hAnsi="Times New Roman" w:cs="Times New Roman"/>
        </w:rPr>
        <w:t>or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predominant category for analysis. Given that religious identity intersects with class, ethnicity,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and gender, the above figures, important though they are, conce</w:t>
      </w:r>
      <w:r w:rsidR="009324ED">
        <w:rPr>
          <w:rFonts w:ascii="Times New Roman" w:hAnsi="Times New Roman" w:cs="Times New Roman"/>
        </w:rPr>
        <w:t xml:space="preserve">al as much as they reveal. They </w:t>
      </w:r>
      <w:r w:rsidRPr="00765422">
        <w:rPr>
          <w:rFonts w:ascii="Times New Roman" w:hAnsi="Times New Roman" w:cs="Times New Roman"/>
        </w:rPr>
        <w:t>neglect other identity markers such as ethnicity and their associations with patterns of inequality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and social practices. For instance, almost 70% of Muslims in the UK are South Asian, and the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majority of them come from a few rural or semi-rural areas in Pakistan and Bangladesh. Their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cultural traditions, transnational</w:t>
      </w:r>
      <w:r w:rsidR="00B2273C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connections, and internal social arrangements such as the biradari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(clan) system, play a significant role in their social and political lives and their relations with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wider British society.</w:t>
      </w:r>
    </w:p>
    <w:p w:rsidR="00765422" w:rsidRPr="00765422" w:rsidRDefault="00765422" w:rsidP="009324ED">
      <w:pPr>
        <w:jc w:val="both"/>
        <w:rPr>
          <w:rFonts w:ascii="Times New Roman" w:hAnsi="Times New Roman" w:cs="Times New Roman"/>
        </w:rPr>
      </w:pPr>
      <w:r w:rsidRPr="00765422">
        <w:rPr>
          <w:rFonts w:ascii="Times New Roman" w:hAnsi="Times New Roman" w:cs="Times New Roman"/>
        </w:rPr>
        <w:t>The emergence of Muslim faith schools (or schools with religious ch</w:t>
      </w:r>
      <w:r w:rsidR="009324ED">
        <w:rPr>
          <w:rFonts w:ascii="Times New Roman" w:hAnsi="Times New Roman" w:cs="Times New Roman"/>
        </w:rPr>
        <w:t>aracter, as they are officially</w:t>
      </w:r>
      <w:r w:rsidR="002A79DC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called) in the 1970s and 1980s, for example, was deeply shaped by particular gender politics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and cultural practices, not shared by all Muslims. As a result, we</w:t>
      </w:r>
      <w:r w:rsidR="009324ED">
        <w:rPr>
          <w:rFonts w:ascii="Times New Roman" w:hAnsi="Times New Roman" w:cs="Times New Roman"/>
        </w:rPr>
        <w:t xml:space="preserve"> see that the demand for Muslim </w:t>
      </w:r>
      <w:r w:rsidRPr="00765422">
        <w:rPr>
          <w:rFonts w:ascii="Times New Roman" w:hAnsi="Times New Roman" w:cs="Times New Roman"/>
        </w:rPr>
        <w:t>schools was by no means a universal demand among Muslims,</w:t>
      </w:r>
      <w:r w:rsidR="009324ED">
        <w:rPr>
          <w:rFonts w:ascii="Times New Roman" w:hAnsi="Times New Roman" w:cs="Times New Roman"/>
        </w:rPr>
        <w:t xml:space="preserve"> though over time it has gained </w:t>
      </w:r>
      <w:r w:rsidRPr="00765422">
        <w:rPr>
          <w:rFonts w:ascii="Times New Roman" w:hAnsi="Times New Roman" w:cs="Times New Roman"/>
        </w:rPr>
        <w:t>wider appeal, including among those groups that may not share the traditional cultural assumptions.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Similarly, when housing is analysed along ethnic lines, we learn that ‘owner-occupation is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most common amongst households led by people who are Indian, White or Pakistani (67%, 66%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and 60% of households respectively)’ (Barton, 2017, p. 14), numbers that give a more nuanced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picture of the housing situation. Finally, including national and cultural identities in the analysis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of the academic achievement shows that the performance of Muslim students varies significantly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by ethnicities, some doing as well as, or even better than, the majority white students. Thus we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get a more complex reading of student outcomes than is provided by data on the performance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of ‘Muslim’ children (SMF, 2016).</w:t>
      </w:r>
      <w:r w:rsidR="009324ED">
        <w:rPr>
          <w:rFonts w:ascii="Times New Roman" w:hAnsi="Times New Roman" w:cs="Times New Roman"/>
        </w:rPr>
        <w:t xml:space="preserve"> </w:t>
      </w:r>
    </w:p>
    <w:p w:rsidR="00765422" w:rsidRPr="00765422" w:rsidRDefault="00765422" w:rsidP="009324ED">
      <w:pPr>
        <w:jc w:val="both"/>
        <w:rPr>
          <w:rFonts w:ascii="Times New Roman" w:hAnsi="Times New Roman" w:cs="Times New Roman"/>
        </w:rPr>
      </w:pPr>
      <w:r w:rsidRPr="00765422">
        <w:rPr>
          <w:rFonts w:ascii="Times New Roman" w:hAnsi="Times New Roman" w:cs="Times New Roman"/>
        </w:rPr>
        <w:t>The use of ‘Muslim’ as a primary identity marker rather than race, ethnicity, or nationality is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something that has taken place over the last three decades. Though the majority of Muslims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migrated to Britain in the post-World War II era, the Muslim presence in Britain can be traced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back to at least the 17th century. For much of this history, preceding generations ‘did not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publicly act under the label “Muslim” and were not even necessarily perceived as such by the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wider society’ (Ansari, 2004, p. 24). The change in identity marker took place over decades and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in time, and, as Modood and Ahmad note, Muslim ‘has emerged as the most prominent and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charged communal category’ (2007, p. 187). Several factors and trends came together to make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this happen. These include: shared social and religious concerns among people from many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different national backgrounds (for example, the concern about procuring halal food); the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failure to develop alternative national or cultural identities due to political episodes such as the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partition of South Asia which came to be viewed along Hindu–Muslim lines; media portrayals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of homogenised Muslim populations; and the alienation felt by some of the second and third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generation as they often did not feel fully accepted as fellow citizens in terms of state policies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and attitudes of some sections of the wider society. Government policies, both in their more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multicultural phases as well as in nationalistic phases, approached migrants as ‘communities’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with distinct religious boundaries, the Muslim community, the Hindu community, etc. The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government championed particular individuals and bodies as its favoured links to the larger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Muslim community, which in fact was never a single community. More recently, the community-oriented state policies are visible in anti-extremist discourse and policies, particularly in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the field of education.</w:t>
      </w:r>
    </w:p>
    <w:p w:rsidR="00765422" w:rsidRPr="00765422" w:rsidRDefault="00765422" w:rsidP="009324ED">
      <w:pPr>
        <w:jc w:val="both"/>
        <w:rPr>
          <w:rFonts w:ascii="Times New Roman" w:hAnsi="Times New Roman" w:cs="Times New Roman"/>
        </w:rPr>
      </w:pPr>
      <w:r w:rsidRPr="00765422">
        <w:rPr>
          <w:rFonts w:ascii="Times New Roman" w:hAnsi="Times New Roman" w:cs="Times New Roman"/>
        </w:rPr>
        <w:t>With ongoing and unpredictable political events, issues regarding Muslims, schooling,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and identity will continue to have much relevance. The articles in this Special Issue go some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way in exposing the limits of religious identity to guide policy, praxis, and research, while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recognising that for many Muslims, religion is a primary source of values and meaning. The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concepts of identity and religification allow for an exploration of the relationships between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social, political, and educational contexts and self-understandings. The articles included in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this Special Issue show the importance of both dimensions of this dialectic: the representation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of Muslim identities in schools and educational discourses (demonstrated in the articles by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Berglund, Bowie, Gholami, and Wesselhoeft in this issue) and how conferred identities may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be recognised or resisted by young people (as shown by Berglund, Francis &amp; McKenna, and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by Moulin-Stożek &amp; Schirr). In these analyses we see evidence of a</w:t>
      </w:r>
      <w:r w:rsidR="009324ED">
        <w:rPr>
          <w:rFonts w:ascii="Times New Roman" w:hAnsi="Times New Roman" w:cs="Times New Roman"/>
        </w:rPr>
        <w:t xml:space="preserve"> repeated theme of religified </w:t>
      </w:r>
      <w:r w:rsidRPr="00765422">
        <w:rPr>
          <w:rFonts w:ascii="Times New Roman" w:hAnsi="Times New Roman" w:cs="Times New Roman"/>
        </w:rPr>
        <w:t>representations of Muslims reflected back at young people which then impact on their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self-understanding and self-representation. These problems indicate the limits of religious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identity when reified in educational praxis (as shown by Bowie, Panjwani, and Thobani in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this issue), but also serve to show the continued potential of identity as a hermeneutical tool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that unpacks the complexity of the interaction between stigmatised minorities and the wider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social and political climate. As Charles Taylor, who precipitated the religious turn in political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philosophy, observed in his classic text on identity politics: ‘misrecognition can inflict harm,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can be a form of oppression, imprisoning someone in a false, distorted and reduced mode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of being’ (1994, p. 25).</w:t>
      </w:r>
    </w:p>
    <w:p w:rsidR="00765422" w:rsidRPr="00B2273C" w:rsidRDefault="00765422" w:rsidP="009324ED">
      <w:pPr>
        <w:jc w:val="both"/>
        <w:rPr>
          <w:rFonts w:ascii="Times New Roman" w:hAnsi="Times New Roman" w:cs="Times New Roman"/>
          <w:b/>
        </w:rPr>
      </w:pPr>
      <w:r w:rsidRPr="00B2273C">
        <w:rPr>
          <w:rFonts w:ascii="Times New Roman" w:hAnsi="Times New Roman" w:cs="Times New Roman"/>
          <w:b/>
        </w:rPr>
        <w:t>References</w:t>
      </w:r>
    </w:p>
    <w:p w:rsidR="00765422" w:rsidRPr="00765422" w:rsidRDefault="00765422" w:rsidP="009324ED">
      <w:pPr>
        <w:jc w:val="both"/>
        <w:rPr>
          <w:rFonts w:ascii="Times New Roman" w:hAnsi="Times New Roman" w:cs="Times New Roman"/>
        </w:rPr>
      </w:pPr>
      <w:r w:rsidRPr="00765422">
        <w:rPr>
          <w:rFonts w:ascii="Times New Roman" w:hAnsi="Times New Roman" w:cs="Times New Roman"/>
        </w:rPr>
        <w:t>Ahmed, L. (2011). A quiet revolution: The veil’s resurgence, from the Middle East to America. New Haven, CT &amp; London: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Yale University Press.</w:t>
      </w:r>
    </w:p>
    <w:p w:rsidR="00765422" w:rsidRPr="00765422" w:rsidRDefault="00765422" w:rsidP="009324ED">
      <w:pPr>
        <w:jc w:val="both"/>
        <w:rPr>
          <w:rFonts w:ascii="Times New Roman" w:hAnsi="Times New Roman" w:cs="Times New Roman"/>
        </w:rPr>
      </w:pPr>
      <w:r w:rsidRPr="00765422">
        <w:rPr>
          <w:rFonts w:ascii="Times New Roman" w:hAnsi="Times New Roman" w:cs="Times New Roman"/>
        </w:rPr>
        <w:t xml:space="preserve">Ali, S. (2015). British Muslims in numbers. Muslim Council of Britain. Retrieved from </w:t>
      </w:r>
      <w:hyperlink r:id="rId8" w:history="1">
        <w:r w:rsidR="009324ED" w:rsidRPr="00396610">
          <w:rPr>
            <w:rStyle w:val="Hyperlink"/>
            <w:rFonts w:ascii="Times New Roman" w:hAnsi="Times New Roman" w:cs="Times New Roman"/>
          </w:rPr>
          <w:t>https://www.mcb.org.uk/wpcontent/uploads/2015/02/MCBCensusReport_2015.pdf</w:t>
        </w:r>
      </w:hyperlink>
      <w:r w:rsidR="009324ED">
        <w:rPr>
          <w:rFonts w:ascii="Times New Roman" w:hAnsi="Times New Roman" w:cs="Times New Roman"/>
        </w:rPr>
        <w:t xml:space="preserve"> </w:t>
      </w:r>
    </w:p>
    <w:p w:rsidR="00765422" w:rsidRPr="00765422" w:rsidRDefault="00765422" w:rsidP="009324ED">
      <w:pPr>
        <w:jc w:val="both"/>
        <w:rPr>
          <w:rFonts w:ascii="Times New Roman" w:hAnsi="Times New Roman" w:cs="Times New Roman"/>
        </w:rPr>
      </w:pPr>
      <w:r w:rsidRPr="00765422">
        <w:rPr>
          <w:rFonts w:ascii="Times New Roman" w:hAnsi="Times New Roman" w:cs="Times New Roman"/>
        </w:rPr>
        <w:t>Ansari, H. (2004). The ‘Infidel’ within: Muslims in Britain since 1800. London: C. Hurst &amp; Co.</w:t>
      </w:r>
    </w:p>
    <w:p w:rsidR="00765422" w:rsidRPr="00765422" w:rsidRDefault="00765422" w:rsidP="009324ED">
      <w:pPr>
        <w:jc w:val="both"/>
        <w:rPr>
          <w:rFonts w:ascii="Times New Roman" w:hAnsi="Times New Roman" w:cs="Times New Roman"/>
        </w:rPr>
      </w:pPr>
      <w:r w:rsidRPr="00765422">
        <w:rPr>
          <w:rFonts w:ascii="Times New Roman" w:hAnsi="Times New Roman" w:cs="Times New Roman"/>
        </w:rPr>
        <w:t>Awan, M. S. (2012). Impact of radical Islamisation of education on Pakistani society. Pakistaniaat: A Journal of Pakistan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Studies, 4(2), 45–55. Retrieved from</w:t>
      </w:r>
      <w:r w:rsidR="009324ED">
        <w:rPr>
          <w:rFonts w:ascii="Times New Roman" w:hAnsi="Times New Roman" w:cs="Times New Roman"/>
        </w:rPr>
        <w:t xml:space="preserve"> </w:t>
      </w:r>
      <w:hyperlink r:id="rId9" w:history="1">
        <w:r w:rsidR="009324ED" w:rsidRPr="00396610">
          <w:rPr>
            <w:rStyle w:val="Hyperlink"/>
            <w:rFonts w:ascii="Times New Roman" w:hAnsi="Times New Roman" w:cs="Times New Roman"/>
          </w:rPr>
          <w:t>https://pakistaniaat.org/index.php/pak/article/view/163/163</w:t>
        </w:r>
      </w:hyperlink>
      <w:r w:rsidR="009324ED">
        <w:rPr>
          <w:rFonts w:ascii="Times New Roman" w:hAnsi="Times New Roman" w:cs="Times New Roman"/>
        </w:rPr>
        <w:t xml:space="preserve"> </w:t>
      </w:r>
    </w:p>
    <w:p w:rsidR="00765422" w:rsidRPr="00765422" w:rsidRDefault="00765422" w:rsidP="009324ED">
      <w:pPr>
        <w:jc w:val="both"/>
        <w:rPr>
          <w:rFonts w:ascii="Times New Roman" w:hAnsi="Times New Roman" w:cs="Times New Roman"/>
        </w:rPr>
      </w:pPr>
      <w:r w:rsidRPr="00765422">
        <w:rPr>
          <w:rFonts w:ascii="Times New Roman" w:hAnsi="Times New Roman" w:cs="Times New Roman"/>
        </w:rPr>
        <w:t>Bachmann-Medick, D. (2016). Cultural turns: New orientations in the study of culture (A. Blauhut, Trans). Berlin: De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Gruyter.</w:t>
      </w:r>
    </w:p>
    <w:p w:rsidR="00765422" w:rsidRPr="00765422" w:rsidRDefault="00765422" w:rsidP="009324ED">
      <w:pPr>
        <w:jc w:val="both"/>
        <w:rPr>
          <w:rFonts w:ascii="Times New Roman" w:hAnsi="Times New Roman" w:cs="Times New Roman"/>
        </w:rPr>
      </w:pPr>
      <w:r w:rsidRPr="00765422">
        <w:rPr>
          <w:rFonts w:ascii="Times New Roman" w:hAnsi="Times New Roman" w:cs="Times New Roman"/>
        </w:rPr>
        <w:t>Barton, C. (2017). Home ownership &amp; renting: Demographics (Briefing Paper number CBP 7706). House of Commons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Library. Retrieved from</w:t>
      </w:r>
      <w:r w:rsidR="009324ED">
        <w:rPr>
          <w:rFonts w:ascii="Times New Roman" w:hAnsi="Times New Roman" w:cs="Times New Roman"/>
        </w:rPr>
        <w:t xml:space="preserve"> </w:t>
      </w:r>
      <w:hyperlink r:id="rId10" w:history="1">
        <w:r w:rsidR="009324ED" w:rsidRPr="00396610">
          <w:rPr>
            <w:rStyle w:val="Hyperlink"/>
            <w:rFonts w:ascii="Times New Roman" w:hAnsi="Times New Roman" w:cs="Times New Roman"/>
          </w:rPr>
          <w:t>https://researchbriefings.parliament.uk/ResearchBriefing/Summary/CBP-7706#fullreport</w:t>
        </w:r>
      </w:hyperlink>
      <w:r w:rsidR="009324ED">
        <w:rPr>
          <w:rFonts w:ascii="Times New Roman" w:hAnsi="Times New Roman" w:cs="Times New Roman"/>
        </w:rPr>
        <w:t xml:space="preserve"> </w:t>
      </w:r>
    </w:p>
    <w:p w:rsidR="00765422" w:rsidRPr="00765422" w:rsidRDefault="00765422" w:rsidP="009324ED">
      <w:pPr>
        <w:jc w:val="both"/>
        <w:rPr>
          <w:rFonts w:ascii="Times New Roman" w:hAnsi="Times New Roman" w:cs="Times New Roman"/>
        </w:rPr>
      </w:pPr>
      <w:r w:rsidRPr="00765422">
        <w:rPr>
          <w:rFonts w:ascii="Times New Roman" w:hAnsi="Times New Roman" w:cs="Times New Roman"/>
        </w:rPr>
        <w:t>Ghaffar-Kucher, A. (2012). The religification of Pakistani-American youth. American Educational Research Journal,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49, 30–52.</w:t>
      </w:r>
    </w:p>
    <w:p w:rsidR="00765422" w:rsidRPr="00765422" w:rsidRDefault="00765422" w:rsidP="009324ED">
      <w:pPr>
        <w:jc w:val="both"/>
        <w:rPr>
          <w:rFonts w:ascii="Times New Roman" w:hAnsi="Times New Roman" w:cs="Times New Roman"/>
        </w:rPr>
      </w:pPr>
      <w:r w:rsidRPr="00765422">
        <w:rPr>
          <w:rFonts w:ascii="Times New Roman" w:hAnsi="Times New Roman" w:cs="Times New Roman"/>
        </w:rPr>
        <w:t>Hall, S. (1996). Introduction: Who needs identity? In S. Hall &amp; P. du Gay (Eds.), Questions of cultural identity (pp. 1–17).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London: Sage.</w:t>
      </w:r>
    </w:p>
    <w:p w:rsidR="00765422" w:rsidRPr="00765422" w:rsidRDefault="00765422" w:rsidP="009324ED">
      <w:pPr>
        <w:jc w:val="both"/>
        <w:rPr>
          <w:rFonts w:ascii="Times New Roman" w:hAnsi="Times New Roman" w:cs="Times New Roman"/>
        </w:rPr>
      </w:pPr>
      <w:r w:rsidRPr="00765422">
        <w:rPr>
          <w:rFonts w:ascii="Times New Roman" w:hAnsi="Times New Roman" w:cs="Times New Roman"/>
        </w:rPr>
        <w:t>Modood, T., &amp; Ahmad, F. (2007). British Muslim perspectives on multiculturalism. Theory, Culture &amp; Society, 24,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187–213.</w:t>
      </w:r>
    </w:p>
    <w:p w:rsidR="00765422" w:rsidRPr="00765422" w:rsidRDefault="00765422" w:rsidP="009324ED">
      <w:pPr>
        <w:jc w:val="both"/>
        <w:rPr>
          <w:rFonts w:ascii="Times New Roman" w:hAnsi="Times New Roman" w:cs="Times New Roman"/>
        </w:rPr>
      </w:pPr>
      <w:r w:rsidRPr="00765422">
        <w:rPr>
          <w:rFonts w:ascii="Times New Roman" w:hAnsi="Times New Roman" w:cs="Times New Roman"/>
        </w:rPr>
        <w:t>Moulin, D. (2012). Religious education in England after 911. Religious Education, 107, 158–173.</w:t>
      </w:r>
    </w:p>
    <w:p w:rsidR="00765422" w:rsidRPr="00765422" w:rsidRDefault="00765422" w:rsidP="009324ED">
      <w:pPr>
        <w:jc w:val="both"/>
        <w:rPr>
          <w:rFonts w:ascii="Times New Roman" w:hAnsi="Times New Roman" w:cs="Times New Roman"/>
        </w:rPr>
      </w:pPr>
      <w:r w:rsidRPr="00765422">
        <w:rPr>
          <w:rFonts w:ascii="Times New Roman" w:hAnsi="Times New Roman" w:cs="Times New Roman"/>
        </w:rPr>
        <w:t>Panjwani, F. (2013). From ‘Islamic’ values to ‘religio-secular’ values in Muslim contexts: Pedagogical implications of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a conceptual shift. In J. Arthur &amp; T. Lovat (Eds.), The Routledge international handbook of education, religion and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values (pp. 158–167). London: Routledge.</w:t>
      </w:r>
    </w:p>
    <w:p w:rsidR="00765422" w:rsidRPr="00765422" w:rsidRDefault="00765422" w:rsidP="009324ED">
      <w:pPr>
        <w:jc w:val="both"/>
        <w:rPr>
          <w:rFonts w:ascii="Times New Roman" w:hAnsi="Times New Roman" w:cs="Times New Roman"/>
        </w:rPr>
      </w:pPr>
      <w:r w:rsidRPr="00765422">
        <w:rPr>
          <w:rFonts w:ascii="Times New Roman" w:hAnsi="Times New Roman" w:cs="Times New Roman"/>
        </w:rPr>
        <w:t>Revell, L. (2009). Religious education, conflict and diversity: An exploration of young children’s perceptions of Islam.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Educational Studies, 36, 207–215.</w:t>
      </w:r>
    </w:p>
    <w:p w:rsidR="00765422" w:rsidRPr="00765422" w:rsidRDefault="00765422" w:rsidP="009324ED">
      <w:pPr>
        <w:jc w:val="both"/>
        <w:rPr>
          <w:rFonts w:ascii="Times New Roman" w:hAnsi="Times New Roman" w:cs="Times New Roman"/>
        </w:rPr>
      </w:pPr>
      <w:r w:rsidRPr="00765422">
        <w:rPr>
          <w:rFonts w:ascii="Times New Roman" w:hAnsi="Times New Roman" w:cs="Times New Roman"/>
        </w:rPr>
        <w:t>SMF. (2016). Educational inequalities in England and Wales. Commission on inequal</w:t>
      </w:r>
      <w:r w:rsidR="009324ED">
        <w:rPr>
          <w:rFonts w:ascii="Times New Roman" w:hAnsi="Times New Roman" w:cs="Times New Roman"/>
        </w:rPr>
        <w:t xml:space="preserve">ity in education. Social Market </w:t>
      </w:r>
      <w:r w:rsidRPr="00765422">
        <w:rPr>
          <w:rFonts w:ascii="Times New Roman" w:hAnsi="Times New Roman" w:cs="Times New Roman"/>
        </w:rPr>
        <w:t>Foundation. Retrieve</w:t>
      </w:r>
      <w:r w:rsidR="009324ED">
        <w:rPr>
          <w:rFonts w:ascii="Times New Roman" w:hAnsi="Times New Roman" w:cs="Times New Roman"/>
        </w:rPr>
        <w:t xml:space="preserve">d from </w:t>
      </w:r>
      <w:hyperlink r:id="rId11" w:history="1">
        <w:r w:rsidR="009324ED" w:rsidRPr="00396610">
          <w:rPr>
            <w:rStyle w:val="Hyperlink"/>
            <w:rFonts w:ascii="Times New Roman" w:hAnsi="Times New Roman" w:cs="Times New Roman"/>
          </w:rPr>
          <w:t>https://www.smf.co.uk/wpcontent/uploads/2016/01/Publication-Commission-on-Inequality-in-Education-Initial-Findings-Slid</w:t>
        </w:r>
        <w:r w:rsidR="009324ED" w:rsidRPr="00396610">
          <w:rPr>
            <w:rStyle w:val="Hyperlink"/>
            <w:rFonts w:ascii="Times New Roman" w:hAnsi="Times New Roman" w:cs="Times New Roman"/>
          </w:rPr>
          <w:t>e</w:t>
        </w:r>
        <w:r w:rsidR="009324ED" w:rsidRPr="00396610">
          <w:rPr>
            <w:rStyle w:val="Hyperlink"/>
            <w:rFonts w:ascii="Times New Roman" w:hAnsi="Times New Roman" w:cs="Times New Roman"/>
          </w:rPr>
          <w:t>-Pack-120116.pdf</w:t>
        </w:r>
      </w:hyperlink>
      <w:r w:rsidR="009324ED">
        <w:rPr>
          <w:rFonts w:ascii="Times New Roman" w:hAnsi="Times New Roman" w:cs="Times New Roman"/>
        </w:rPr>
        <w:t xml:space="preserve"> </w:t>
      </w:r>
    </w:p>
    <w:p w:rsidR="009324ED" w:rsidRPr="00390CAD" w:rsidRDefault="00765422" w:rsidP="009324ED">
      <w:pPr>
        <w:jc w:val="both"/>
        <w:rPr>
          <w:rFonts w:ascii="Times New Roman" w:hAnsi="Times New Roman" w:cs="Times New Roman"/>
        </w:rPr>
      </w:pPr>
      <w:r w:rsidRPr="00765422">
        <w:rPr>
          <w:rFonts w:ascii="Times New Roman" w:hAnsi="Times New Roman" w:cs="Times New Roman"/>
        </w:rPr>
        <w:t>Taylor, C. (1994). The politics of recognition. In A. Gutmann (Ed.), Multiculturalism: Examining the politics of recognition</w:t>
      </w:r>
      <w:r w:rsidR="009324ED">
        <w:rPr>
          <w:rFonts w:ascii="Times New Roman" w:hAnsi="Times New Roman" w:cs="Times New Roman"/>
        </w:rPr>
        <w:t xml:space="preserve"> </w:t>
      </w:r>
      <w:r w:rsidRPr="00765422">
        <w:rPr>
          <w:rFonts w:ascii="Times New Roman" w:hAnsi="Times New Roman" w:cs="Times New Roman"/>
        </w:rPr>
        <w:t>(pp. 25–73). Princeton, NJ: Princeton University Press.</w:t>
      </w:r>
    </w:p>
    <w:sectPr w:rsidR="009324ED" w:rsidRPr="00390CA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73C" w:rsidRDefault="00B2273C" w:rsidP="0004360C">
      <w:pPr>
        <w:spacing w:after="0" w:line="240" w:lineRule="auto"/>
      </w:pPr>
      <w:r>
        <w:separator/>
      </w:r>
    </w:p>
  </w:endnote>
  <w:endnote w:type="continuationSeparator" w:id="0">
    <w:p w:rsidR="00B2273C" w:rsidRDefault="00B2273C" w:rsidP="00043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73C" w:rsidRDefault="00B227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73C" w:rsidRDefault="00B227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73C" w:rsidRDefault="00B227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73C" w:rsidRDefault="00B2273C" w:rsidP="0004360C">
      <w:pPr>
        <w:spacing w:after="0" w:line="240" w:lineRule="auto"/>
      </w:pPr>
      <w:r>
        <w:separator/>
      </w:r>
    </w:p>
  </w:footnote>
  <w:footnote w:type="continuationSeparator" w:id="0">
    <w:p w:rsidR="00B2273C" w:rsidRDefault="00B2273C" w:rsidP="00043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73C" w:rsidRDefault="00B227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6125825"/>
      <w:docPartObj>
        <w:docPartGallery w:val="Watermarks"/>
        <w:docPartUnique/>
      </w:docPartObj>
    </w:sdtPr>
    <w:sdtContent>
      <w:p w:rsidR="00B2273C" w:rsidRDefault="00B2273C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73C" w:rsidRDefault="00B227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3AD1"/>
    <w:multiLevelType w:val="multilevel"/>
    <w:tmpl w:val="60145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36"/>
    <w:rsid w:val="0004360C"/>
    <w:rsid w:val="002A79DC"/>
    <w:rsid w:val="00390CAD"/>
    <w:rsid w:val="004D0936"/>
    <w:rsid w:val="005B1952"/>
    <w:rsid w:val="00765422"/>
    <w:rsid w:val="009324ED"/>
    <w:rsid w:val="00B2273C"/>
    <w:rsid w:val="00B84B1D"/>
    <w:rsid w:val="00BC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C5D31B1"/>
  <w15:docId w15:val="{064E84D3-5074-493C-BB03-FDCBCC77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C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CA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84B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3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60C"/>
  </w:style>
  <w:style w:type="paragraph" w:styleId="Footer">
    <w:name w:val="footer"/>
    <w:basedOn w:val="Normal"/>
    <w:link w:val="FooterChar"/>
    <w:uiPriority w:val="99"/>
    <w:unhideWhenUsed/>
    <w:rsid w:val="00043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5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cb.org.uk/wpcontent/uploads/2015/02/MCBCensusReport_2015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080/03054985.2017.1354585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mf.co.uk/wpcontent/uploads/2016/01/Publication-Commission-on-Inequality-in-Education-Initial-Findings-Slide-Pack-120116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researchbriefings.parliament.uk/ResearchBriefing/Summary/CBP-7706#fullrepor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akistaniaat.org/index.php/pak/article/view/163/16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89EBB453</Template>
  <TotalTime>27</TotalTime>
  <Pages>4</Pages>
  <Words>2387</Words>
  <Characters>13610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15966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Moulin-Stozek</dc:creator>
  <cp:keywords/>
  <dc:description/>
  <cp:lastModifiedBy>Daniel Moulin-Stozek</cp:lastModifiedBy>
  <cp:revision>3</cp:revision>
  <dcterms:created xsi:type="dcterms:W3CDTF">2019-03-11T15:45:00Z</dcterms:created>
  <dcterms:modified xsi:type="dcterms:W3CDTF">2019-03-11T16:11:00Z</dcterms:modified>
</cp:coreProperties>
</file>