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534ED" w14:textId="77777777" w:rsidR="00FF0ACA" w:rsidRDefault="00FF0ACA" w:rsidP="003952BB">
      <w:pPr>
        <w:rPr>
          <w:rFonts w:ascii="Arial" w:hAnsi="Arial" w:cs="Arial"/>
          <w:b/>
          <w:bCs/>
          <w:sz w:val="24"/>
          <w:szCs w:val="24"/>
          <w:lang w:val="en"/>
        </w:rPr>
      </w:pPr>
      <w:r w:rsidRPr="00453B08">
        <w:rPr>
          <w:rFonts w:ascii="Arial" w:hAnsi="Arial" w:cs="Arial"/>
          <w:b/>
          <w:bCs/>
          <w:sz w:val="24"/>
          <w:szCs w:val="24"/>
          <w:lang w:val="en"/>
        </w:rPr>
        <w:t>Is 333 the Future of Mental Health Inpatient Care?</w:t>
      </w:r>
    </w:p>
    <w:p w14:paraId="35C6DB05" w14:textId="77777777" w:rsidR="0020159A" w:rsidRDefault="0020159A" w:rsidP="0020159A">
      <w:pPr>
        <w:spacing w:after="150" w:line="240" w:lineRule="auto"/>
        <w:rPr>
          <w:rFonts w:asciiTheme="majorHAnsi" w:eastAsia="Times New Roman" w:hAnsiTheme="majorHAnsi" w:cstheme="majorHAnsi"/>
          <w:b/>
          <w:bCs/>
          <w:color w:val="606060"/>
          <w:sz w:val="24"/>
          <w:szCs w:val="24"/>
        </w:rPr>
      </w:pPr>
      <w:bookmarkStart w:id="0" w:name="_GoBack"/>
      <w:bookmarkEnd w:id="0"/>
    </w:p>
    <w:p w14:paraId="28CD1AA5" w14:textId="77777777" w:rsidR="0020159A" w:rsidRDefault="0020159A" w:rsidP="0020159A">
      <w:pPr>
        <w:spacing w:line="240" w:lineRule="auto"/>
        <w:rPr>
          <w:rFonts w:asciiTheme="majorHAnsi" w:hAnsiTheme="majorHAnsi" w:cstheme="majorHAnsi"/>
          <w:b/>
          <w:bCs/>
          <w:lang w:val="en"/>
        </w:rPr>
      </w:pPr>
      <w:r>
        <w:rPr>
          <w:rFonts w:asciiTheme="majorHAnsi" w:hAnsiTheme="majorHAnsi" w:cstheme="majorHAnsi"/>
          <w:b/>
          <w:bCs/>
          <w:lang w:val="en"/>
        </w:rPr>
        <w:t xml:space="preserve">Manaan Kar Ray, MBBS, MRCPsych </w:t>
      </w:r>
    </w:p>
    <w:p w14:paraId="5F83FEE3" w14:textId="77777777" w:rsidR="0020159A" w:rsidRDefault="0020159A"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Addiction and Mental Health Services, Metro South Health, Brisbane</w:t>
      </w:r>
    </w:p>
    <w:p w14:paraId="272BEA1B" w14:textId="4EBD6FD1" w:rsidR="00B90206" w:rsidRDefault="00C425F7"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 xml:space="preserve">Southside Clinical Unit, Princess Alexandra Hospital, </w:t>
      </w:r>
      <w:r w:rsidR="00B90206">
        <w:rPr>
          <w:rFonts w:asciiTheme="majorHAnsi" w:eastAsia="Times New Roman" w:hAnsiTheme="majorHAnsi" w:cstheme="majorHAnsi"/>
        </w:rPr>
        <w:t>University of Queensland</w:t>
      </w:r>
    </w:p>
    <w:p w14:paraId="65D62739" w14:textId="024F1DD4" w:rsidR="0020159A" w:rsidRDefault="0020159A"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 xml:space="preserve">Cambridgeshire and Peterborough NHS Foundation Trust </w:t>
      </w:r>
    </w:p>
    <w:p w14:paraId="30380085" w14:textId="6EE50B9E" w:rsidR="0020159A" w:rsidRPr="0020159A" w:rsidRDefault="0020159A" w:rsidP="0020159A">
      <w:pPr>
        <w:spacing w:before="100" w:beforeAutospacing="1" w:after="100" w:afterAutospacing="1" w:line="240" w:lineRule="auto"/>
        <w:rPr>
          <w:rFonts w:asciiTheme="majorHAnsi" w:eastAsia="Times New Roman" w:hAnsiTheme="majorHAnsi" w:cstheme="majorHAnsi"/>
          <w:b/>
        </w:rPr>
      </w:pPr>
      <w:r w:rsidRPr="0020159A">
        <w:rPr>
          <w:rFonts w:asciiTheme="majorHAnsi" w:eastAsia="Times New Roman" w:hAnsiTheme="majorHAnsi" w:cstheme="majorHAnsi"/>
          <w:b/>
        </w:rPr>
        <w:t>manaan.karray@health.qld.gov.au</w:t>
      </w:r>
    </w:p>
    <w:p w14:paraId="4019CECA" w14:textId="77777777" w:rsidR="0020159A" w:rsidRDefault="0020159A" w:rsidP="0020159A">
      <w:pPr>
        <w:spacing w:before="100" w:beforeAutospacing="1" w:after="100" w:afterAutospacing="1" w:line="240" w:lineRule="auto"/>
        <w:rPr>
          <w:rFonts w:asciiTheme="majorHAnsi" w:eastAsia="Times New Roman" w:hAnsiTheme="majorHAnsi" w:cstheme="majorHAnsi"/>
        </w:rPr>
      </w:pPr>
    </w:p>
    <w:p w14:paraId="63ABB0F6" w14:textId="77777777" w:rsidR="0020159A" w:rsidRDefault="0020159A" w:rsidP="0020159A">
      <w:pPr>
        <w:spacing w:line="240" w:lineRule="auto"/>
        <w:rPr>
          <w:rFonts w:asciiTheme="majorHAnsi" w:hAnsiTheme="majorHAnsi" w:cstheme="majorHAnsi"/>
          <w:b/>
          <w:bCs/>
          <w:lang w:val="en"/>
        </w:rPr>
      </w:pPr>
    </w:p>
    <w:p w14:paraId="4CB0C5DA" w14:textId="77777777" w:rsidR="0020159A" w:rsidRDefault="0020159A" w:rsidP="0020159A">
      <w:pPr>
        <w:spacing w:line="240" w:lineRule="auto"/>
        <w:rPr>
          <w:rFonts w:asciiTheme="majorHAnsi" w:hAnsiTheme="majorHAnsi" w:cstheme="majorHAnsi"/>
          <w:b/>
          <w:bCs/>
          <w:lang w:val="en"/>
        </w:rPr>
      </w:pPr>
      <w:r>
        <w:rPr>
          <w:rFonts w:asciiTheme="majorHAnsi" w:hAnsiTheme="majorHAnsi" w:cstheme="majorHAnsi"/>
          <w:b/>
          <w:bCs/>
          <w:lang w:val="en"/>
        </w:rPr>
        <w:t>Chiara Lombardo, MSc, PhD</w:t>
      </w:r>
    </w:p>
    <w:p w14:paraId="34A31908" w14:textId="77777777" w:rsidR="0020159A" w:rsidRDefault="0020159A"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Cambridgeshire and Peterborough NHS Foundation Trust</w:t>
      </w:r>
    </w:p>
    <w:p w14:paraId="700423C4" w14:textId="77777777" w:rsidR="0020159A" w:rsidRDefault="0020159A"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Institute for Health and Human Development, University of East London</w:t>
      </w:r>
    </w:p>
    <w:p w14:paraId="69DD0A91" w14:textId="77777777" w:rsidR="0020159A" w:rsidRDefault="0020159A"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Mental Health Foundation, London</w:t>
      </w:r>
    </w:p>
    <w:p w14:paraId="5FEB39F6" w14:textId="77777777" w:rsidR="0020159A" w:rsidRDefault="0020159A" w:rsidP="0020159A">
      <w:pPr>
        <w:spacing w:line="240" w:lineRule="auto"/>
        <w:rPr>
          <w:rFonts w:asciiTheme="majorHAnsi" w:hAnsiTheme="majorHAnsi" w:cstheme="majorHAnsi"/>
          <w:b/>
          <w:bCs/>
          <w:lang w:val="en"/>
        </w:rPr>
      </w:pPr>
    </w:p>
    <w:p w14:paraId="5E1B71AD" w14:textId="77777777" w:rsidR="0020159A" w:rsidRDefault="0020159A" w:rsidP="0020159A">
      <w:pPr>
        <w:spacing w:line="240" w:lineRule="auto"/>
        <w:rPr>
          <w:rFonts w:asciiTheme="majorHAnsi" w:hAnsiTheme="majorHAnsi" w:cstheme="majorHAnsi"/>
          <w:b/>
          <w:bCs/>
          <w:lang w:val="en"/>
        </w:rPr>
      </w:pPr>
      <w:r>
        <w:rPr>
          <w:rFonts w:asciiTheme="majorHAnsi" w:hAnsiTheme="majorHAnsi" w:cstheme="majorHAnsi"/>
          <w:b/>
          <w:bCs/>
          <w:lang w:val="en"/>
        </w:rPr>
        <w:t>Zahoor Syed, MBBS, MRCPsych</w:t>
      </w:r>
    </w:p>
    <w:p w14:paraId="5DE4D57C" w14:textId="77777777" w:rsidR="0020159A" w:rsidRDefault="0020159A"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Cambridgeshire and Peterborough NHS Foundation Trust</w:t>
      </w:r>
    </w:p>
    <w:p w14:paraId="2EDED582" w14:textId="77777777" w:rsidR="0020159A" w:rsidRDefault="0020159A" w:rsidP="0020159A">
      <w:pPr>
        <w:spacing w:line="240" w:lineRule="auto"/>
        <w:rPr>
          <w:rFonts w:asciiTheme="majorHAnsi" w:hAnsiTheme="majorHAnsi" w:cstheme="majorHAnsi"/>
          <w:b/>
          <w:bCs/>
          <w:lang w:val="en"/>
        </w:rPr>
      </w:pPr>
    </w:p>
    <w:p w14:paraId="35B19F70" w14:textId="77777777" w:rsidR="0020159A" w:rsidRDefault="0020159A" w:rsidP="0020159A">
      <w:pPr>
        <w:spacing w:line="240" w:lineRule="auto"/>
        <w:rPr>
          <w:rFonts w:asciiTheme="majorHAnsi" w:hAnsiTheme="majorHAnsi" w:cstheme="majorHAnsi"/>
          <w:b/>
          <w:bCs/>
          <w:lang w:val="en"/>
        </w:rPr>
      </w:pPr>
      <w:r>
        <w:rPr>
          <w:rFonts w:asciiTheme="majorHAnsi" w:hAnsiTheme="majorHAnsi" w:cstheme="majorHAnsi"/>
          <w:b/>
          <w:bCs/>
          <w:lang w:val="en"/>
        </w:rPr>
        <w:t>Nitin Patel, PhD</w:t>
      </w:r>
    </w:p>
    <w:p w14:paraId="7A3E62E7" w14:textId="77777777" w:rsidR="0020159A" w:rsidRDefault="0020159A"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Cambridgeshire and Peterborough NHS Foundation Trust</w:t>
      </w:r>
    </w:p>
    <w:p w14:paraId="4665223E" w14:textId="77777777" w:rsidR="0020159A" w:rsidRDefault="0020159A" w:rsidP="0020159A">
      <w:pPr>
        <w:spacing w:line="240" w:lineRule="auto"/>
        <w:rPr>
          <w:rFonts w:asciiTheme="majorHAnsi" w:hAnsiTheme="majorHAnsi" w:cstheme="majorHAnsi"/>
          <w:b/>
          <w:bCs/>
          <w:lang w:val="en"/>
        </w:rPr>
      </w:pPr>
    </w:p>
    <w:p w14:paraId="30DF74C6" w14:textId="77777777" w:rsidR="0020159A" w:rsidRDefault="0020159A" w:rsidP="0020159A">
      <w:pPr>
        <w:spacing w:line="240" w:lineRule="auto"/>
        <w:rPr>
          <w:rFonts w:asciiTheme="majorHAnsi" w:hAnsiTheme="majorHAnsi" w:cstheme="majorHAnsi"/>
          <w:b/>
          <w:bCs/>
          <w:lang w:val="en"/>
        </w:rPr>
      </w:pPr>
      <w:r>
        <w:rPr>
          <w:rFonts w:asciiTheme="majorHAnsi" w:hAnsiTheme="majorHAnsi" w:cstheme="majorHAnsi"/>
          <w:b/>
          <w:bCs/>
          <w:lang w:val="en"/>
        </w:rPr>
        <w:t>Chess Denman, MBBS, FRCPsych</w:t>
      </w:r>
    </w:p>
    <w:p w14:paraId="078F9804" w14:textId="77777777" w:rsidR="0020159A" w:rsidRDefault="0020159A" w:rsidP="0020159A">
      <w:pPr>
        <w:spacing w:line="240" w:lineRule="auto"/>
        <w:rPr>
          <w:rFonts w:asciiTheme="majorHAnsi" w:hAnsiTheme="majorHAnsi" w:cstheme="majorHAnsi"/>
          <w:b/>
          <w:bCs/>
          <w:lang w:val="en"/>
        </w:rPr>
      </w:pPr>
      <w:r>
        <w:rPr>
          <w:rFonts w:asciiTheme="majorHAnsi" w:eastAsia="Times New Roman" w:hAnsiTheme="majorHAnsi" w:cstheme="majorHAnsi"/>
        </w:rPr>
        <w:t>Cambridgeshire and Peterborough NHS Foundation Trust</w:t>
      </w:r>
    </w:p>
    <w:p w14:paraId="2AC77AE4" w14:textId="77777777" w:rsidR="0020159A" w:rsidRDefault="0020159A" w:rsidP="0020159A">
      <w:pPr>
        <w:spacing w:line="240" w:lineRule="auto"/>
        <w:rPr>
          <w:rFonts w:asciiTheme="majorHAnsi" w:hAnsiTheme="majorHAnsi" w:cstheme="majorHAnsi"/>
          <w:b/>
          <w:bCs/>
          <w:lang w:val="en"/>
        </w:rPr>
      </w:pPr>
    </w:p>
    <w:p w14:paraId="41C24176" w14:textId="77777777" w:rsidR="0020159A" w:rsidRDefault="0020159A" w:rsidP="0020159A">
      <w:pPr>
        <w:spacing w:line="240" w:lineRule="auto"/>
        <w:rPr>
          <w:rFonts w:asciiTheme="majorHAnsi" w:hAnsiTheme="majorHAnsi" w:cstheme="majorHAnsi"/>
          <w:b/>
          <w:bCs/>
          <w:lang w:val="en"/>
        </w:rPr>
      </w:pPr>
      <w:r>
        <w:rPr>
          <w:rFonts w:asciiTheme="majorHAnsi" w:hAnsiTheme="majorHAnsi" w:cstheme="majorHAnsi"/>
          <w:b/>
          <w:bCs/>
          <w:lang w:val="en"/>
        </w:rPr>
        <w:t xml:space="preserve">Peter B Jones, PhD, </w:t>
      </w:r>
      <w:proofErr w:type="spellStart"/>
      <w:r>
        <w:rPr>
          <w:rFonts w:asciiTheme="majorHAnsi" w:hAnsiTheme="majorHAnsi" w:cstheme="majorHAnsi"/>
          <w:b/>
          <w:bCs/>
          <w:lang w:val="en"/>
        </w:rPr>
        <w:t>FRCPschy</w:t>
      </w:r>
      <w:proofErr w:type="spellEnd"/>
    </w:p>
    <w:p w14:paraId="54563464" w14:textId="77777777" w:rsidR="0020159A" w:rsidRDefault="0020159A"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Department of Psychiatry, University of Cambridge</w:t>
      </w:r>
    </w:p>
    <w:p w14:paraId="0A24C915" w14:textId="77777777" w:rsidR="0020159A" w:rsidRDefault="0020159A" w:rsidP="0020159A">
      <w:p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 xml:space="preserve">NIHR CLAHRC East of England </w:t>
      </w:r>
    </w:p>
    <w:p w14:paraId="4042DB8F" w14:textId="77777777" w:rsidR="0020159A" w:rsidRDefault="0020159A" w:rsidP="0020159A">
      <w:pPr>
        <w:spacing w:line="240" w:lineRule="auto"/>
      </w:pPr>
    </w:p>
    <w:p w14:paraId="49E7B360" w14:textId="77777777" w:rsidR="0020159A" w:rsidRDefault="0020159A" w:rsidP="0020159A">
      <w:pPr>
        <w:spacing w:line="240" w:lineRule="auto"/>
        <w:rPr>
          <w:rFonts w:ascii="Arial" w:hAnsi="Arial" w:cs="Arial"/>
          <w:b/>
          <w:bCs/>
          <w:sz w:val="24"/>
          <w:szCs w:val="24"/>
          <w:lang w:val="en"/>
        </w:rPr>
      </w:pPr>
    </w:p>
    <w:p w14:paraId="22FC5126" w14:textId="1E4F0974" w:rsidR="00A2034F" w:rsidRPr="00453B08" w:rsidRDefault="00A2034F" w:rsidP="003952BB">
      <w:pPr>
        <w:rPr>
          <w:rFonts w:ascii="Arial" w:hAnsi="Arial" w:cs="Arial"/>
          <w:b/>
          <w:bCs/>
          <w:sz w:val="24"/>
          <w:szCs w:val="24"/>
          <w:lang w:val="en"/>
        </w:rPr>
      </w:pPr>
      <w:r w:rsidRPr="00453B08">
        <w:rPr>
          <w:rFonts w:ascii="Arial" w:hAnsi="Arial" w:cs="Arial"/>
          <w:b/>
          <w:bCs/>
          <w:sz w:val="24"/>
          <w:szCs w:val="24"/>
          <w:lang w:val="en"/>
        </w:rPr>
        <w:t>Abstract</w:t>
      </w:r>
    </w:p>
    <w:p w14:paraId="44C1EB9B" w14:textId="6340E61E" w:rsidR="009F47D7" w:rsidRPr="00453B08" w:rsidRDefault="00A2034F" w:rsidP="003952BB">
      <w:pPr>
        <w:rPr>
          <w:rFonts w:ascii="Arial" w:hAnsi="Arial" w:cs="Arial"/>
          <w:sz w:val="24"/>
          <w:szCs w:val="24"/>
        </w:rPr>
      </w:pPr>
      <w:r w:rsidRPr="00453B08">
        <w:rPr>
          <w:rFonts w:ascii="Arial" w:hAnsi="Arial" w:cs="Arial"/>
          <w:sz w:val="24"/>
          <w:szCs w:val="24"/>
          <w:lang w:val="en"/>
        </w:rPr>
        <w:t>Objective: 333</w:t>
      </w:r>
      <w:r w:rsidR="009F47D7" w:rsidRPr="00453B08">
        <w:rPr>
          <w:rFonts w:ascii="Arial" w:hAnsi="Arial" w:cs="Arial"/>
          <w:sz w:val="24"/>
          <w:szCs w:val="24"/>
          <w:lang w:val="en"/>
        </w:rPr>
        <w:t xml:space="preserve"> is</w:t>
      </w:r>
      <w:r w:rsidRPr="00453B08">
        <w:rPr>
          <w:rFonts w:ascii="Arial" w:hAnsi="Arial" w:cs="Arial"/>
          <w:sz w:val="24"/>
          <w:szCs w:val="24"/>
          <w:lang w:val="en"/>
        </w:rPr>
        <w:t xml:space="preserve"> a radical redesign </w:t>
      </w:r>
      <w:r w:rsidR="009F47D7" w:rsidRPr="00453B08">
        <w:rPr>
          <w:rFonts w:ascii="Arial" w:hAnsi="Arial" w:cs="Arial"/>
          <w:sz w:val="24"/>
          <w:szCs w:val="24"/>
          <w:lang w:val="en"/>
        </w:rPr>
        <w:t xml:space="preserve">of </w:t>
      </w:r>
      <w:r w:rsidRPr="00453B08">
        <w:rPr>
          <w:rFonts w:ascii="Arial" w:hAnsi="Arial" w:cs="Arial"/>
          <w:sz w:val="24"/>
          <w:szCs w:val="24"/>
          <w:lang w:val="en"/>
        </w:rPr>
        <w:t>m</w:t>
      </w:r>
      <w:proofErr w:type="spellStart"/>
      <w:r w:rsidRPr="00453B08">
        <w:rPr>
          <w:rFonts w:ascii="Arial" w:hAnsi="Arial" w:cs="Arial"/>
          <w:sz w:val="24"/>
          <w:szCs w:val="24"/>
        </w:rPr>
        <w:t>ental</w:t>
      </w:r>
      <w:proofErr w:type="spellEnd"/>
      <w:r w:rsidRPr="00453B08">
        <w:rPr>
          <w:rFonts w:ascii="Arial" w:hAnsi="Arial" w:cs="Arial"/>
          <w:sz w:val="24"/>
          <w:szCs w:val="24"/>
        </w:rPr>
        <w:t xml:space="preserve"> health acute care</w:t>
      </w:r>
      <w:r w:rsidR="009F47D7" w:rsidRPr="00453B08">
        <w:rPr>
          <w:rFonts w:ascii="Arial" w:hAnsi="Arial" w:cs="Arial"/>
          <w:sz w:val="24"/>
          <w:szCs w:val="24"/>
        </w:rPr>
        <w:t>. F</w:t>
      </w:r>
      <w:r w:rsidR="00B92955" w:rsidRPr="00453B08">
        <w:rPr>
          <w:rFonts w:ascii="Arial" w:hAnsi="Arial" w:cs="Arial"/>
          <w:sz w:val="24"/>
          <w:szCs w:val="24"/>
        </w:rPr>
        <w:t>unctionalis</w:t>
      </w:r>
      <w:r w:rsidR="009F47D7" w:rsidRPr="00453B08">
        <w:rPr>
          <w:rFonts w:ascii="Arial" w:hAnsi="Arial" w:cs="Arial"/>
          <w:sz w:val="24"/>
          <w:szCs w:val="24"/>
        </w:rPr>
        <w:t xml:space="preserve">ed time limited inpatient pathways, 3 days assessment, 3 weeks treatment and 3 months recovery, replaced traditional geographical sector wards. </w:t>
      </w:r>
      <w:r w:rsidR="002B3E70" w:rsidRPr="00453B08">
        <w:rPr>
          <w:rFonts w:ascii="Arial" w:hAnsi="Arial" w:cs="Arial"/>
          <w:sz w:val="24"/>
          <w:szCs w:val="24"/>
        </w:rPr>
        <w:t xml:space="preserve">By making beds available 333 aspired to improve access, </w:t>
      </w:r>
      <w:r w:rsidR="00E1703C" w:rsidRPr="00453B08">
        <w:rPr>
          <w:rFonts w:ascii="Arial" w:hAnsi="Arial" w:cs="Arial"/>
          <w:sz w:val="24"/>
          <w:szCs w:val="24"/>
        </w:rPr>
        <w:t xml:space="preserve">deliver </w:t>
      </w:r>
      <w:r w:rsidR="002B3E70" w:rsidRPr="00453B08">
        <w:rPr>
          <w:rFonts w:ascii="Arial" w:hAnsi="Arial" w:cs="Arial"/>
          <w:sz w:val="24"/>
          <w:szCs w:val="24"/>
        </w:rPr>
        <w:t>earl</w:t>
      </w:r>
      <w:r w:rsidR="00E1703C" w:rsidRPr="00453B08">
        <w:rPr>
          <w:rFonts w:ascii="Arial" w:hAnsi="Arial" w:cs="Arial"/>
          <w:sz w:val="24"/>
          <w:szCs w:val="24"/>
        </w:rPr>
        <w:t>y</w:t>
      </w:r>
      <w:r w:rsidR="002B3E70" w:rsidRPr="00453B08">
        <w:rPr>
          <w:rFonts w:ascii="Arial" w:hAnsi="Arial" w:cs="Arial"/>
          <w:sz w:val="24"/>
          <w:szCs w:val="24"/>
        </w:rPr>
        <w:t xml:space="preserve"> treatment and shorte</w:t>
      </w:r>
      <w:r w:rsidR="00E1703C" w:rsidRPr="00453B08">
        <w:rPr>
          <w:rFonts w:ascii="Arial" w:hAnsi="Arial" w:cs="Arial"/>
          <w:sz w:val="24"/>
          <w:szCs w:val="24"/>
        </w:rPr>
        <w:t>n</w:t>
      </w:r>
      <w:r w:rsidR="002B3E70" w:rsidRPr="00453B08">
        <w:rPr>
          <w:rFonts w:ascii="Arial" w:hAnsi="Arial" w:cs="Arial"/>
          <w:sz w:val="24"/>
          <w:szCs w:val="24"/>
        </w:rPr>
        <w:t xml:space="preserve"> hospital stays. Th</w:t>
      </w:r>
      <w:r w:rsidR="00F853CE" w:rsidRPr="00453B08">
        <w:rPr>
          <w:rFonts w:ascii="Arial" w:hAnsi="Arial" w:cs="Arial"/>
          <w:sz w:val="24"/>
          <w:szCs w:val="24"/>
        </w:rPr>
        <w:t>e improved quality would generate savings through reductions in beds and out of area placements (OAPs).</w:t>
      </w:r>
      <w:r w:rsidR="002B3E70" w:rsidRPr="00453B08">
        <w:rPr>
          <w:rFonts w:ascii="Arial" w:hAnsi="Arial" w:cs="Arial"/>
          <w:sz w:val="24"/>
          <w:szCs w:val="24"/>
        </w:rPr>
        <w:t xml:space="preserve"> </w:t>
      </w:r>
      <w:r w:rsidR="009F47D7" w:rsidRPr="00453B08">
        <w:rPr>
          <w:rFonts w:ascii="Arial" w:hAnsi="Arial" w:cs="Arial"/>
          <w:sz w:val="24"/>
          <w:szCs w:val="24"/>
        </w:rPr>
        <w:t>This paper describes 333</w:t>
      </w:r>
      <w:r w:rsidR="00567F84" w:rsidRPr="00453B08">
        <w:rPr>
          <w:rFonts w:ascii="Arial" w:hAnsi="Arial" w:cs="Arial"/>
          <w:sz w:val="24"/>
          <w:szCs w:val="24"/>
        </w:rPr>
        <w:t>’s performance</w:t>
      </w:r>
      <w:r w:rsidR="009F47D7" w:rsidRPr="00453B08">
        <w:rPr>
          <w:rFonts w:ascii="Arial" w:hAnsi="Arial" w:cs="Arial"/>
          <w:sz w:val="24"/>
          <w:szCs w:val="24"/>
        </w:rPr>
        <w:t xml:space="preserve"> against national benchmarking and </w:t>
      </w:r>
      <w:r w:rsidR="00567F84" w:rsidRPr="00453B08">
        <w:rPr>
          <w:rFonts w:ascii="Arial" w:hAnsi="Arial" w:cs="Arial"/>
          <w:sz w:val="24"/>
          <w:szCs w:val="24"/>
        </w:rPr>
        <w:t xml:space="preserve">internal </w:t>
      </w:r>
      <w:r w:rsidR="009F47D7" w:rsidRPr="00453B08">
        <w:rPr>
          <w:rFonts w:ascii="Arial" w:hAnsi="Arial" w:cs="Arial"/>
          <w:sz w:val="24"/>
          <w:szCs w:val="24"/>
        </w:rPr>
        <w:t>targets.</w:t>
      </w:r>
    </w:p>
    <w:p w14:paraId="5E787A1D" w14:textId="3D82863E" w:rsidR="00A2034F" w:rsidRPr="00453B08" w:rsidRDefault="00A2034F" w:rsidP="003952BB">
      <w:pPr>
        <w:rPr>
          <w:rFonts w:ascii="Arial" w:hAnsi="Arial" w:cs="Arial"/>
          <w:sz w:val="24"/>
          <w:szCs w:val="24"/>
          <w:lang w:val="en"/>
        </w:rPr>
      </w:pPr>
      <w:r w:rsidRPr="00453B08">
        <w:rPr>
          <w:rFonts w:ascii="Arial" w:hAnsi="Arial" w:cs="Arial"/>
          <w:sz w:val="24"/>
          <w:szCs w:val="24"/>
          <w:lang w:val="en"/>
        </w:rPr>
        <w:t xml:space="preserve">Methods: The general adult bed complement </w:t>
      </w:r>
      <w:r w:rsidR="00567F84" w:rsidRPr="00453B08">
        <w:rPr>
          <w:rFonts w:ascii="Arial" w:hAnsi="Arial" w:cs="Arial"/>
          <w:sz w:val="24"/>
          <w:szCs w:val="24"/>
          <w:lang w:val="en"/>
        </w:rPr>
        <w:t xml:space="preserve">over time </w:t>
      </w:r>
      <w:r w:rsidRPr="00453B08">
        <w:rPr>
          <w:rFonts w:ascii="Arial" w:hAnsi="Arial" w:cs="Arial"/>
          <w:sz w:val="24"/>
          <w:szCs w:val="24"/>
          <w:lang w:val="en"/>
        </w:rPr>
        <w:t xml:space="preserve">was mapped out. </w:t>
      </w:r>
      <w:r w:rsidR="006A26BF" w:rsidRPr="00453B08">
        <w:rPr>
          <w:rFonts w:ascii="Arial" w:hAnsi="Arial" w:cs="Arial"/>
          <w:sz w:val="24"/>
          <w:szCs w:val="24"/>
          <w:lang w:val="en"/>
        </w:rPr>
        <w:t>Patient flow d</w:t>
      </w:r>
      <w:r w:rsidR="009F47D7" w:rsidRPr="00453B08">
        <w:rPr>
          <w:rFonts w:ascii="Arial" w:hAnsi="Arial" w:cs="Arial"/>
          <w:sz w:val="24"/>
          <w:szCs w:val="24"/>
          <w:lang w:val="en"/>
        </w:rPr>
        <w:t xml:space="preserve">ata </w:t>
      </w:r>
      <w:r w:rsidR="00B92955" w:rsidRPr="00453B08">
        <w:rPr>
          <w:rFonts w:ascii="Arial" w:hAnsi="Arial" w:cs="Arial"/>
          <w:sz w:val="24"/>
          <w:szCs w:val="24"/>
          <w:lang w:val="en"/>
        </w:rPr>
        <w:t xml:space="preserve">from </w:t>
      </w:r>
      <w:r w:rsidR="00B92955" w:rsidRPr="00453B08">
        <w:rPr>
          <w:rFonts w:ascii="Arial" w:hAnsi="Arial" w:cs="Arial"/>
          <w:sz w:val="24"/>
          <w:szCs w:val="24"/>
        </w:rPr>
        <w:t>April 2015 to March 2017 was extracted</w:t>
      </w:r>
      <w:r w:rsidR="00B92955" w:rsidRPr="00453B08">
        <w:rPr>
          <w:rFonts w:ascii="Arial" w:hAnsi="Arial" w:cs="Arial"/>
          <w:sz w:val="24"/>
          <w:szCs w:val="24"/>
          <w:lang w:val="en"/>
        </w:rPr>
        <w:t xml:space="preserve"> </w:t>
      </w:r>
      <w:r w:rsidR="009F47D7" w:rsidRPr="00453B08">
        <w:rPr>
          <w:rFonts w:ascii="Arial" w:hAnsi="Arial" w:cs="Arial"/>
          <w:sz w:val="24"/>
          <w:szCs w:val="24"/>
          <w:lang w:val="en"/>
        </w:rPr>
        <w:t>from</w:t>
      </w:r>
      <w:r w:rsidRPr="00453B08">
        <w:rPr>
          <w:rFonts w:ascii="Arial" w:hAnsi="Arial" w:cs="Arial"/>
          <w:sz w:val="24"/>
          <w:szCs w:val="24"/>
          <w:lang w:val="en"/>
        </w:rPr>
        <w:t xml:space="preserve"> the trust’s data warehouse</w:t>
      </w:r>
      <w:r w:rsidR="006A26BF" w:rsidRPr="00453B08">
        <w:rPr>
          <w:rFonts w:ascii="Arial" w:hAnsi="Arial" w:cs="Arial"/>
          <w:sz w:val="24"/>
          <w:szCs w:val="24"/>
          <w:lang w:val="en"/>
        </w:rPr>
        <w:t xml:space="preserve"> and </w:t>
      </w:r>
      <w:r w:rsidR="00B92955" w:rsidRPr="00453B08">
        <w:rPr>
          <w:rFonts w:ascii="Arial" w:hAnsi="Arial" w:cs="Arial"/>
          <w:sz w:val="24"/>
          <w:szCs w:val="24"/>
          <w:lang w:val="en"/>
        </w:rPr>
        <w:t xml:space="preserve">was </w:t>
      </w:r>
      <w:r w:rsidRPr="00453B08">
        <w:rPr>
          <w:rFonts w:ascii="Arial" w:hAnsi="Arial" w:cs="Arial"/>
          <w:sz w:val="24"/>
          <w:szCs w:val="24"/>
          <w:lang w:val="en"/>
        </w:rPr>
        <w:t xml:space="preserve">systematically </w:t>
      </w:r>
      <w:r w:rsidR="006A26BF" w:rsidRPr="00453B08">
        <w:rPr>
          <w:rFonts w:ascii="Arial" w:hAnsi="Arial" w:cs="Arial"/>
          <w:sz w:val="24"/>
          <w:szCs w:val="24"/>
          <w:lang w:val="en"/>
        </w:rPr>
        <w:t>compared with</w:t>
      </w:r>
      <w:r w:rsidRPr="00453B08">
        <w:rPr>
          <w:rFonts w:ascii="Arial" w:hAnsi="Arial" w:cs="Arial"/>
          <w:sz w:val="24"/>
          <w:szCs w:val="24"/>
          <w:lang w:val="en"/>
        </w:rPr>
        <w:t xml:space="preserve"> </w:t>
      </w:r>
      <w:r w:rsidRPr="00453B08">
        <w:rPr>
          <w:rFonts w:ascii="Arial" w:hAnsi="Arial" w:cs="Arial"/>
          <w:sz w:val="24"/>
          <w:szCs w:val="24"/>
        </w:rPr>
        <w:t xml:space="preserve">2016 NHS benchmarking and </w:t>
      </w:r>
      <w:r w:rsidR="006A26BF" w:rsidRPr="00453B08">
        <w:rPr>
          <w:rFonts w:ascii="Arial" w:hAnsi="Arial" w:cs="Arial"/>
          <w:sz w:val="24"/>
          <w:szCs w:val="24"/>
        </w:rPr>
        <w:t xml:space="preserve">333 </w:t>
      </w:r>
      <w:r w:rsidRPr="00453B08">
        <w:rPr>
          <w:rFonts w:ascii="Arial" w:hAnsi="Arial" w:cs="Arial"/>
          <w:sz w:val="24"/>
          <w:szCs w:val="24"/>
          <w:lang w:val="en"/>
        </w:rPr>
        <w:t>targets.</w:t>
      </w:r>
    </w:p>
    <w:p w14:paraId="4EF19E73" w14:textId="4B7BA11A" w:rsidR="006A26BF" w:rsidRPr="00453B08" w:rsidRDefault="00A2034F" w:rsidP="003952BB">
      <w:pPr>
        <w:rPr>
          <w:rFonts w:ascii="Arial" w:hAnsi="Arial" w:cs="Arial"/>
          <w:sz w:val="24"/>
          <w:szCs w:val="24"/>
        </w:rPr>
      </w:pPr>
      <w:r w:rsidRPr="00453B08">
        <w:rPr>
          <w:rFonts w:ascii="Arial" w:hAnsi="Arial" w:cs="Arial"/>
          <w:sz w:val="24"/>
          <w:szCs w:val="24"/>
          <w:lang w:val="en"/>
        </w:rPr>
        <w:t>Results:</w:t>
      </w:r>
      <w:r w:rsidRPr="00453B08">
        <w:rPr>
          <w:rFonts w:ascii="Arial" w:hAnsi="Arial" w:cs="Arial"/>
          <w:sz w:val="24"/>
          <w:szCs w:val="24"/>
        </w:rPr>
        <w:t xml:space="preserve"> </w:t>
      </w:r>
      <w:r w:rsidR="00E1703C" w:rsidRPr="00453B08">
        <w:rPr>
          <w:rFonts w:ascii="Arial" w:hAnsi="Arial" w:cs="Arial"/>
          <w:sz w:val="24"/>
          <w:szCs w:val="24"/>
        </w:rPr>
        <w:t>Between 2012-16 there was</w:t>
      </w:r>
      <w:r w:rsidR="007661DD" w:rsidRPr="00453B08">
        <w:rPr>
          <w:rFonts w:ascii="Arial" w:hAnsi="Arial" w:cs="Arial"/>
          <w:sz w:val="24"/>
          <w:szCs w:val="24"/>
        </w:rPr>
        <w:t xml:space="preserve"> a 44% reduction in beds in comparison to 17% nationally</w:t>
      </w:r>
      <w:r w:rsidR="00E1703C" w:rsidRPr="00453B08">
        <w:rPr>
          <w:rFonts w:ascii="Arial" w:hAnsi="Arial" w:cs="Arial"/>
          <w:sz w:val="24"/>
          <w:szCs w:val="24"/>
        </w:rPr>
        <w:t xml:space="preserve">. OAPs due to bed unavailability became extremely rare. 2679 patients got admitted </w:t>
      </w:r>
      <w:r w:rsidR="00F853CE" w:rsidRPr="00453B08">
        <w:rPr>
          <w:rFonts w:ascii="Arial" w:hAnsi="Arial" w:cs="Arial"/>
          <w:sz w:val="24"/>
          <w:szCs w:val="24"/>
        </w:rPr>
        <w:t>to 333,</w:t>
      </w:r>
      <w:r w:rsidR="00E1703C" w:rsidRPr="00453B08">
        <w:rPr>
          <w:rFonts w:ascii="Arial" w:hAnsi="Arial" w:cs="Arial"/>
          <w:sz w:val="24"/>
          <w:szCs w:val="24"/>
        </w:rPr>
        <w:t xml:space="preserve"> 7</w:t>
      </w:r>
      <w:r w:rsidR="00F853CE" w:rsidRPr="00453B08">
        <w:rPr>
          <w:rFonts w:ascii="Arial" w:hAnsi="Arial" w:cs="Arial"/>
          <w:sz w:val="24"/>
          <w:szCs w:val="24"/>
        </w:rPr>
        <w:t>4</w:t>
      </w:r>
      <w:r w:rsidR="00E1703C" w:rsidRPr="00453B08">
        <w:rPr>
          <w:rFonts w:ascii="Arial" w:hAnsi="Arial" w:cs="Arial"/>
          <w:sz w:val="24"/>
          <w:szCs w:val="24"/>
        </w:rPr>
        <w:t>% of patients admitted to the assessment unit were discharged back to the community</w:t>
      </w:r>
      <w:r w:rsidR="00F853CE" w:rsidRPr="00453B08">
        <w:rPr>
          <w:rFonts w:ascii="Arial" w:hAnsi="Arial" w:cs="Arial"/>
          <w:sz w:val="24"/>
          <w:szCs w:val="24"/>
        </w:rPr>
        <w:t xml:space="preserve"> keeping fragmentation of care to a minimum.</w:t>
      </w:r>
      <w:r w:rsidR="00E1703C" w:rsidRPr="00453B08">
        <w:rPr>
          <w:rFonts w:ascii="Arial" w:hAnsi="Arial" w:cs="Arial"/>
          <w:sz w:val="24"/>
          <w:szCs w:val="24"/>
        </w:rPr>
        <w:t xml:space="preserve"> </w:t>
      </w:r>
      <w:r w:rsidR="00567F84" w:rsidRPr="00453B08">
        <w:rPr>
          <w:rFonts w:ascii="Arial" w:hAnsi="Arial" w:cs="Arial"/>
          <w:sz w:val="24"/>
          <w:szCs w:val="24"/>
        </w:rPr>
        <w:t>M</w:t>
      </w:r>
      <w:r w:rsidR="00E1703C" w:rsidRPr="00453B08">
        <w:rPr>
          <w:rFonts w:ascii="Arial" w:hAnsi="Arial" w:cs="Arial"/>
          <w:sz w:val="24"/>
          <w:szCs w:val="24"/>
        </w:rPr>
        <w:t>edian length of stay w</w:t>
      </w:r>
      <w:r w:rsidR="00F853CE" w:rsidRPr="00453B08">
        <w:rPr>
          <w:rFonts w:ascii="Arial" w:hAnsi="Arial" w:cs="Arial"/>
          <w:sz w:val="24"/>
          <w:szCs w:val="24"/>
        </w:rPr>
        <w:t>as</w:t>
      </w:r>
      <w:r w:rsidR="00E1703C" w:rsidRPr="00453B08">
        <w:rPr>
          <w:rFonts w:ascii="Arial" w:hAnsi="Arial" w:cs="Arial"/>
          <w:sz w:val="24"/>
          <w:szCs w:val="24"/>
        </w:rPr>
        <w:t xml:space="preserve"> 1/6</w:t>
      </w:r>
      <w:r w:rsidR="00E1703C" w:rsidRPr="00453B08">
        <w:rPr>
          <w:rFonts w:ascii="Arial" w:hAnsi="Arial" w:cs="Arial"/>
          <w:sz w:val="24"/>
          <w:szCs w:val="24"/>
          <w:vertAlign w:val="superscript"/>
        </w:rPr>
        <w:t>th</w:t>
      </w:r>
      <w:r w:rsidR="00E1703C" w:rsidRPr="00453B08">
        <w:rPr>
          <w:rFonts w:ascii="Arial" w:hAnsi="Arial" w:cs="Arial"/>
          <w:sz w:val="24"/>
          <w:szCs w:val="24"/>
        </w:rPr>
        <w:t xml:space="preserve"> the national </w:t>
      </w:r>
      <w:r w:rsidR="00567F84" w:rsidRPr="00453B08">
        <w:rPr>
          <w:rFonts w:ascii="Arial" w:hAnsi="Arial" w:cs="Arial"/>
          <w:sz w:val="24"/>
          <w:szCs w:val="24"/>
        </w:rPr>
        <w:t>median</w:t>
      </w:r>
      <w:r w:rsidR="00E1703C" w:rsidRPr="00453B08">
        <w:rPr>
          <w:rFonts w:ascii="Arial" w:hAnsi="Arial" w:cs="Arial"/>
          <w:sz w:val="24"/>
          <w:szCs w:val="24"/>
        </w:rPr>
        <w:t xml:space="preserve"> but readmission rates were higher</w:t>
      </w:r>
      <w:r w:rsidR="00567F84" w:rsidRPr="00453B08">
        <w:rPr>
          <w:rFonts w:ascii="Arial" w:hAnsi="Arial" w:cs="Arial"/>
          <w:sz w:val="24"/>
          <w:szCs w:val="24"/>
        </w:rPr>
        <w:t xml:space="preserve"> due to</w:t>
      </w:r>
      <w:r w:rsidR="00E1703C" w:rsidRPr="00453B08">
        <w:rPr>
          <w:rFonts w:ascii="Arial" w:hAnsi="Arial" w:cs="Arial"/>
          <w:sz w:val="24"/>
          <w:szCs w:val="24"/>
        </w:rPr>
        <w:t xml:space="preserve"> </w:t>
      </w:r>
      <w:r w:rsidR="00567F84" w:rsidRPr="00453B08">
        <w:rPr>
          <w:rFonts w:ascii="Arial" w:hAnsi="Arial" w:cs="Arial"/>
          <w:sz w:val="24"/>
          <w:szCs w:val="24"/>
        </w:rPr>
        <w:t>“</w:t>
      </w:r>
      <w:r w:rsidR="00F853CE" w:rsidRPr="00453B08">
        <w:rPr>
          <w:rFonts w:ascii="Arial" w:hAnsi="Arial" w:cs="Arial"/>
          <w:sz w:val="24"/>
          <w:szCs w:val="24"/>
        </w:rPr>
        <w:t>O</w:t>
      </w:r>
      <w:r w:rsidR="00567F84" w:rsidRPr="00453B08">
        <w:rPr>
          <w:rFonts w:ascii="Arial" w:hAnsi="Arial" w:cs="Arial"/>
          <w:sz w:val="24"/>
          <w:szCs w:val="24"/>
        </w:rPr>
        <w:t>pen D</w:t>
      </w:r>
      <w:r w:rsidR="00F853CE" w:rsidRPr="00453B08">
        <w:rPr>
          <w:rFonts w:ascii="Arial" w:hAnsi="Arial" w:cs="Arial"/>
          <w:sz w:val="24"/>
          <w:szCs w:val="24"/>
        </w:rPr>
        <w:t>oor</w:t>
      </w:r>
      <w:r w:rsidR="00567F84" w:rsidRPr="00453B08">
        <w:rPr>
          <w:rFonts w:ascii="Arial" w:hAnsi="Arial" w:cs="Arial"/>
          <w:sz w:val="24"/>
          <w:szCs w:val="24"/>
        </w:rPr>
        <w:t>”</w:t>
      </w:r>
      <w:r w:rsidR="00F853CE" w:rsidRPr="00453B08">
        <w:rPr>
          <w:rFonts w:ascii="Arial" w:hAnsi="Arial" w:cs="Arial"/>
          <w:sz w:val="24"/>
          <w:szCs w:val="24"/>
        </w:rPr>
        <w:t>, an innovative approach to managing personality disorder patients</w:t>
      </w:r>
      <w:r w:rsidR="00567F84" w:rsidRPr="00453B08">
        <w:rPr>
          <w:rFonts w:ascii="Arial" w:hAnsi="Arial" w:cs="Arial"/>
          <w:sz w:val="24"/>
          <w:szCs w:val="24"/>
        </w:rPr>
        <w:t>.</w:t>
      </w:r>
      <w:r w:rsidR="00F853CE" w:rsidRPr="00453B08">
        <w:rPr>
          <w:rFonts w:ascii="Arial" w:hAnsi="Arial" w:cs="Arial"/>
          <w:sz w:val="24"/>
          <w:szCs w:val="24"/>
        </w:rPr>
        <w:t xml:space="preserve"> Bed occupancy was below national average with beds being available every night over two years.</w:t>
      </w:r>
    </w:p>
    <w:p w14:paraId="26587B8B" w14:textId="6F4EC129" w:rsidR="00A2034F" w:rsidRDefault="00A2034F" w:rsidP="003952BB">
      <w:pPr>
        <w:rPr>
          <w:rFonts w:ascii="Arial" w:hAnsi="Arial" w:cs="Arial"/>
          <w:sz w:val="24"/>
          <w:szCs w:val="24"/>
        </w:rPr>
      </w:pPr>
      <w:r w:rsidRPr="00453B08">
        <w:rPr>
          <w:rFonts w:ascii="Arial" w:hAnsi="Arial" w:cs="Arial"/>
          <w:sz w:val="24"/>
          <w:szCs w:val="24"/>
          <w:lang w:val="en"/>
        </w:rPr>
        <w:t xml:space="preserve">Conclusion: </w:t>
      </w:r>
      <w:r w:rsidRPr="00453B08">
        <w:rPr>
          <w:rFonts w:ascii="Arial" w:hAnsi="Arial" w:cs="Arial"/>
          <w:sz w:val="24"/>
          <w:szCs w:val="24"/>
        </w:rPr>
        <w:t>A focused recovery approach within 333 has reduced lengths of stay and ensured that any stay on any ward is meaningful and adds value. The paper demonstrates that simultaneous bed and OAPs reduction, along with safe care</w:t>
      </w:r>
      <w:r w:rsidR="007D58C0" w:rsidRPr="00453B08">
        <w:rPr>
          <w:rFonts w:ascii="Arial" w:hAnsi="Arial" w:cs="Arial"/>
          <w:sz w:val="24"/>
          <w:szCs w:val="24"/>
        </w:rPr>
        <w:t xml:space="preserve"> </w:t>
      </w:r>
      <w:r w:rsidRPr="00453B08">
        <w:rPr>
          <w:rFonts w:ascii="Arial" w:hAnsi="Arial" w:cs="Arial"/>
          <w:sz w:val="24"/>
          <w:szCs w:val="24"/>
        </w:rPr>
        <w:t>is both achievable and deliverable.</w:t>
      </w:r>
    </w:p>
    <w:p w14:paraId="3B554791" w14:textId="795D8CDB" w:rsidR="00D7321F" w:rsidRDefault="00D7321F" w:rsidP="003952BB">
      <w:pPr>
        <w:rPr>
          <w:rFonts w:ascii="Arial" w:hAnsi="Arial" w:cs="Arial"/>
          <w:sz w:val="24"/>
          <w:szCs w:val="24"/>
        </w:rPr>
      </w:pPr>
      <w:r>
        <w:rPr>
          <w:rFonts w:ascii="Arial" w:hAnsi="Arial" w:cs="Arial"/>
          <w:sz w:val="24"/>
          <w:szCs w:val="24"/>
        </w:rPr>
        <w:t>Highlights:</w:t>
      </w:r>
    </w:p>
    <w:p w14:paraId="14F1AF43" w14:textId="06F6BAB9" w:rsidR="00D7321F" w:rsidRDefault="00D7321F" w:rsidP="00D7321F">
      <w:pPr>
        <w:pStyle w:val="ListParagraph"/>
        <w:numPr>
          <w:ilvl w:val="0"/>
          <w:numId w:val="13"/>
        </w:numPr>
        <w:rPr>
          <w:rFonts w:ascii="Arial" w:hAnsi="Arial" w:cs="Arial"/>
          <w:sz w:val="24"/>
          <w:szCs w:val="24"/>
          <w:lang w:val="en"/>
        </w:rPr>
      </w:pPr>
      <w:r>
        <w:rPr>
          <w:rFonts w:ascii="Arial" w:hAnsi="Arial" w:cs="Arial"/>
          <w:sz w:val="24"/>
          <w:szCs w:val="24"/>
          <w:lang w:val="en"/>
        </w:rPr>
        <w:t xml:space="preserve">333 provides a </w:t>
      </w:r>
      <w:r w:rsidR="008D08E5">
        <w:rPr>
          <w:rFonts w:ascii="Arial" w:hAnsi="Arial" w:cs="Arial"/>
          <w:sz w:val="24"/>
          <w:szCs w:val="24"/>
          <w:lang w:val="en"/>
        </w:rPr>
        <w:t xml:space="preserve">solution to the bed crisis and a </w:t>
      </w:r>
      <w:r>
        <w:rPr>
          <w:rFonts w:ascii="Arial" w:hAnsi="Arial" w:cs="Arial"/>
          <w:sz w:val="24"/>
          <w:szCs w:val="24"/>
          <w:lang w:val="en"/>
        </w:rPr>
        <w:t>template for radical redesign of mental health acute care</w:t>
      </w:r>
      <w:r w:rsidR="00831F2A">
        <w:rPr>
          <w:rFonts w:ascii="Arial" w:hAnsi="Arial" w:cs="Arial"/>
          <w:sz w:val="24"/>
          <w:szCs w:val="24"/>
          <w:lang w:val="en"/>
        </w:rPr>
        <w:t>.</w:t>
      </w:r>
    </w:p>
    <w:p w14:paraId="55E22F73" w14:textId="4265F817" w:rsidR="008D08E5" w:rsidRDefault="008D08E5" w:rsidP="00D7321F">
      <w:pPr>
        <w:pStyle w:val="ListParagraph"/>
        <w:numPr>
          <w:ilvl w:val="0"/>
          <w:numId w:val="13"/>
        </w:numPr>
        <w:rPr>
          <w:rFonts w:ascii="Arial" w:hAnsi="Arial" w:cs="Arial"/>
          <w:sz w:val="24"/>
          <w:szCs w:val="24"/>
          <w:lang w:val="en"/>
        </w:rPr>
      </w:pPr>
      <w:r>
        <w:rPr>
          <w:rFonts w:ascii="Arial" w:hAnsi="Arial" w:cs="Arial"/>
          <w:sz w:val="24"/>
          <w:szCs w:val="24"/>
          <w:lang w:val="en"/>
        </w:rPr>
        <w:t>Crisis resolution and home treatment teams provide a foundation for time limited pathways for assessment, treatment and recovery.</w:t>
      </w:r>
    </w:p>
    <w:p w14:paraId="5CEB5CA0" w14:textId="4851CF25" w:rsidR="00831F2A" w:rsidRDefault="00831F2A" w:rsidP="00D7321F">
      <w:pPr>
        <w:pStyle w:val="ListParagraph"/>
        <w:numPr>
          <w:ilvl w:val="0"/>
          <w:numId w:val="13"/>
        </w:numPr>
        <w:rPr>
          <w:rFonts w:ascii="Arial" w:hAnsi="Arial" w:cs="Arial"/>
          <w:sz w:val="24"/>
          <w:szCs w:val="24"/>
          <w:lang w:val="en"/>
        </w:rPr>
      </w:pPr>
      <w:r>
        <w:rPr>
          <w:rFonts w:ascii="Arial" w:hAnsi="Arial" w:cs="Arial"/>
          <w:sz w:val="24"/>
          <w:szCs w:val="24"/>
          <w:lang w:val="en"/>
        </w:rPr>
        <w:t>Patients do not fit into pathways, pathways fit around the patients.</w:t>
      </w:r>
    </w:p>
    <w:p w14:paraId="449CAEC9" w14:textId="1C0B5ACB" w:rsidR="008D08E5" w:rsidRPr="00D7321F" w:rsidRDefault="008D08E5" w:rsidP="00D7321F">
      <w:pPr>
        <w:pStyle w:val="ListParagraph"/>
        <w:numPr>
          <w:ilvl w:val="0"/>
          <w:numId w:val="13"/>
        </w:numPr>
        <w:rPr>
          <w:rFonts w:ascii="Arial" w:hAnsi="Arial" w:cs="Arial"/>
          <w:sz w:val="24"/>
          <w:szCs w:val="24"/>
          <w:lang w:val="en"/>
        </w:rPr>
      </w:pPr>
      <w:r>
        <w:rPr>
          <w:rFonts w:ascii="Arial" w:hAnsi="Arial" w:cs="Arial"/>
          <w:sz w:val="24"/>
          <w:szCs w:val="24"/>
          <w:lang w:val="en"/>
        </w:rPr>
        <w:t>Recovery oriented care focused on adding value can shorten lengths of stay and improve patient experience.</w:t>
      </w:r>
    </w:p>
    <w:p w14:paraId="2B884E34" w14:textId="77777777" w:rsidR="00F853CE" w:rsidRPr="00453B08" w:rsidRDefault="00F853CE">
      <w:pPr>
        <w:spacing w:after="160" w:line="259" w:lineRule="auto"/>
        <w:rPr>
          <w:rFonts w:ascii="Arial" w:hAnsi="Arial" w:cs="Arial"/>
          <w:sz w:val="24"/>
          <w:szCs w:val="24"/>
          <w:lang w:val="en"/>
        </w:rPr>
      </w:pPr>
    </w:p>
    <w:p w14:paraId="272CD80A" w14:textId="77777777" w:rsidR="00F853CE" w:rsidRPr="00453B08" w:rsidRDefault="00F853CE">
      <w:pPr>
        <w:spacing w:after="160" w:line="259" w:lineRule="auto"/>
        <w:rPr>
          <w:rFonts w:ascii="Arial" w:hAnsi="Arial" w:cs="Arial"/>
          <w:sz w:val="24"/>
          <w:szCs w:val="24"/>
          <w:lang w:val="en"/>
        </w:rPr>
      </w:pPr>
    </w:p>
    <w:p w14:paraId="7E68C57B" w14:textId="77777777" w:rsidR="00A2034F" w:rsidRPr="00453B08" w:rsidRDefault="00A2034F">
      <w:pPr>
        <w:spacing w:after="160" w:line="259" w:lineRule="auto"/>
        <w:rPr>
          <w:rFonts w:ascii="Arial" w:hAnsi="Arial" w:cs="Arial"/>
          <w:sz w:val="24"/>
          <w:szCs w:val="24"/>
          <w:lang w:val="en"/>
        </w:rPr>
      </w:pPr>
      <w:r w:rsidRPr="00453B08">
        <w:rPr>
          <w:rFonts w:ascii="Arial" w:hAnsi="Arial" w:cs="Arial"/>
          <w:sz w:val="24"/>
          <w:szCs w:val="24"/>
          <w:lang w:val="en"/>
        </w:rPr>
        <w:br w:type="page"/>
      </w:r>
    </w:p>
    <w:p w14:paraId="330C2B86" w14:textId="77777777" w:rsidR="003952BB" w:rsidRPr="0020159A" w:rsidRDefault="003952BB" w:rsidP="003952BB">
      <w:pPr>
        <w:rPr>
          <w:rFonts w:ascii="Arial" w:hAnsi="Arial" w:cs="Arial"/>
          <w:b/>
          <w:bCs/>
          <w:sz w:val="24"/>
          <w:szCs w:val="24"/>
          <w:lang w:val="en"/>
        </w:rPr>
      </w:pPr>
      <w:r w:rsidRPr="0020159A">
        <w:rPr>
          <w:rFonts w:ascii="Arial" w:hAnsi="Arial" w:cs="Arial"/>
          <w:b/>
          <w:bCs/>
          <w:sz w:val="24"/>
          <w:szCs w:val="24"/>
          <w:lang w:val="en"/>
        </w:rPr>
        <w:lastRenderedPageBreak/>
        <w:t>Introduction</w:t>
      </w:r>
      <w:r w:rsidR="003361EB" w:rsidRPr="0020159A">
        <w:rPr>
          <w:rFonts w:ascii="Arial" w:hAnsi="Arial" w:cs="Arial"/>
          <w:b/>
          <w:bCs/>
          <w:sz w:val="24"/>
          <w:szCs w:val="24"/>
          <w:lang w:val="en"/>
        </w:rPr>
        <w:t xml:space="preserve"> </w:t>
      </w:r>
    </w:p>
    <w:p w14:paraId="74EE7A42" w14:textId="52E04BA1" w:rsidR="003952BB" w:rsidRPr="0020159A" w:rsidRDefault="009F2757" w:rsidP="003952BB">
      <w:pPr>
        <w:rPr>
          <w:rFonts w:ascii="Arial" w:hAnsi="Arial" w:cs="Arial"/>
          <w:sz w:val="24"/>
          <w:szCs w:val="24"/>
        </w:rPr>
      </w:pPr>
      <w:r w:rsidRPr="0020159A">
        <w:rPr>
          <w:rFonts w:ascii="Arial" w:hAnsi="Arial" w:cs="Arial"/>
          <w:sz w:val="24"/>
          <w:szCs w:val="24"/>
        </w:rPr>
        <w:t>Mental health acute</w:t>
      </w:r>
      <w:r w:rsidR="00C0087A" w:rsidRPr="0020159A">
        <w:rPr>
          <w:rFonts w:ascii="Arial" w:hAnsi="Arial" w:cs="Arial"/>
          <w:sz w:val="24"/>
          <w:szCs w:val="24"/>
        </w:rPr>
        <w:t xml:space="preserve"> </w:t>
      </w:r>
      <w:r w:rsidRPr="0020159A">
        <w:rPr>
          <w:rFonts w:ascii="Arial" w:hAnsi="Arial" w:cs="Arial"/>
          <w:sz w:val="24"/>
          <w:szCs w:val="24"/>
        </w:rPr>
        <w:t xml:space="preserve">care was </w:t>
      </w:r>
      <w:r w:rsidR="003952BB" w:rsidRPr="0020159A">
        <w:rPr>
          <w:rFonts w:ascii="Arial" w:hAnsi="Arial" w:cs="Arial"/>
          <w:sz w:val="24"/>
          <w:szCs w:val="24"/>
        </w:rPr>
        <w:t>radical</w:t>
      </w:r>
      <w:r w:rsidRPr="0020159A">
        <w:rPr>
          <w:rFonts w:ascii="Arial" w:hAnsi="Arial" w:cs="Arial"/>
          <w:sz w:val="24"/>
          <w:szCs w:val="24"/>
        </w:rPr>
        <w:t>ly</w:t>
      </w:r>
      <w:r w:rsidR="003952BB" w:rsidRPr="0020159A">
        <w:rPr>
          <w:rFonts w:ascii="Arial" w:hAnsi="Arial" w:cs="Arial"/>
          <w:sz w:val="24"/>
          <w:szCs w:val="24"/>
        </w:rPr>
        <w:t xml:space="preserve"> redesign</w:t>
      </w:r>
      <w:r w:rsidRPr="0020159A">
        <w:rPr>
          <w:rFonts w:ascii="Arial" w:hAnsi="Arial" w:cs="Arial"/>
          <w:sz w:val="24"/>
          <w:szCs w:val="24"/>
        </w:rPr>
        <w:t>ed</w:t>
      </w:r>
      <w:r w:rsidR="003952BB" w:rsidRPr="0020159A">
        <w:rPr>
          <w:rFonts w:ascii="Arial" w:hAnsi="Arial" w:cs="Arial"/>
          <w:sz w:val="24"/>
          <w:szCs w:val="24"/>
        </w:rPr>
        <w:t xml:space="preserve"> in Cambridgeshire and Peterborough NHS Foundation Trust (CPFT)</w:t>
      </w:r>
      <w:r w:rsidR="00350D40" w:rsidRPr="0020159A">
        <w:rPr>
          <w:rFonts w:ascii="Arial" w:hAnsi="Arial" w:cs="Arial"/>
          <w:sz w:val="24"/>
          <w:szCs w:val="24"/>
        </w:rPr>
        <w:t>.</w:t>
      </w:r>
      <w:r w:rsidR="00B86FFB" w:rsidRPr="0020159A">
        <w:rPr>
          <w:rFonts w:ascii="Arial" w:hAnsi="Arial" w:cs="Arial"/>
          <w:sz w:val="24"/>
          <w:szCs w:val="24"/>
        </w:rPr>
        <w:t xml:space="preserve"> Catchment</w:t>
      </w:r>
      <w:r w:rsidR="00641DBB" w:rsidRPr="0020159A">
        <w:rPr>
          <w:rFonts w:ascii="Arial" w:hAnsi="Arial" w:cs="Arial"/>
          <w:sz w:val="24"/>
          <w:szCs w:val="24"/>
        </w:rPr>
        <w:t xml:space="preserve"> </w:t>
      </w:r>
      <w:r w:rsidR="003952BB" w:rsidRPr="0020159A">
        <w:rPr>
          <w:rFonts w:ascii="Arial" w:hAnsi="Arial" w:cs="Arial"/>
          <w:sz w:val="24"/>
          <w:szCs w:val="24"/>
        </w:rPr>
        <w:t>ward</w:t>
      </w:r>
      <w:r w:rsidR="00641DBB" w:rsidRPr="0020159A">
        <w:rPr>
          <w:rFonts w:ascii="Arial" w:hAnsi="Arial" w:cs="Arial"/>
          <w:sz w:val="24"/>
          <w:szCs w:val="24"/>
        </w:rPr>
        <w:t>s</w:t>
      </w:r>
      <w:r w:rsidR="003952BB" w:rsidRPr="0020159A">
        <w:rPr>
          <w:rFonts w:ascii="Arial" w:hAnsi="Arial" w:cs="Arial"/>
          <w:sz w:val="24"/>
          <w:szCs w:val="24"/>
        </w:rPr>
        <w:t xml:space="preserve"> </w:t>
      </w:r>
      <w:r w:rsidRPr="0020159A">
        <w:rPr>
          <w:rFonts w:ascii="Arial" w:hAnsi="Arial" w:cs="Arial"/>
          <w:sz w:val="24"/>
          <w:szCs w:val="24"/>
        </w:rPr>
        <w:t>were</w:t>
      </w:r>
      <w:r w:rsidR="003952BB" w:rsidRPr="0020159A">
        <w:rPr>
          <w:rFonts w:ascii="Arial" w:hAnsi="Arial" w:cs="Arial"/>
          <w:sz w:val="24"/>
          <w:szCs w:val="24"/>
        </w:rPr>
        <w:t xml:space="preserve"> replaced by time limited </w:t>
      </w:r>
      <w:r w:rsidR="00641DBB" w:rsidRPr="0020159A">
        <w:rPr>
          <w:rFonts w:ascii="Arial" w:hAnsi="Arial" w:cs="Arial"/>
          <w:sz w:val="24"/>
          <w:szCs w:val="24"/>
        </w:rPr>
        <w:t xml:space="preserve">inpatient </w:t>
      </w:r>
      <w:r w:rsidR="003952BB" w:rsidRPr="0020159A">
        <w:rPr>
          <w:rFonts w:ascii="Arial" w:hAnsi="Arial" w:cs="Arial"/>
          <w:sz w:val="24"/>
          <w:szCs w:val="24"/>
        </w:rPr>
        <w:t xml:space="preserve">pathways </w:t>
      </w:r>
      <w:r w:rsidRPr="0020159A">
        <w:rPr>
          <w:rFonts w:ascii="Arial" w:hAnsi="Arial" w:cs="Arial"/>
          <w:sz w:val="24"/>
          <w:szCs w:val="24"/>
        </w:rPr>
        <w:t>for</w:t>
      </w:r>
      <w:r w:rsidR="003952BB" w:rsidRPr="0020159A">
        <w:rPr>
          <w:rFonts w:ascii="Arial" w:hAnsi="Arial" w:cs="Arial"/>
          <w:sz w:val="24"/>
          <w:szCs w:val="24"/>
        </w:rPr>
        <w:t xml:space="preserve"> assessment and specific interventions. The Crisis Resolution and Home Treatment Team (CRHTT) provides the foundation for</w:t>
      </w:r>
      <w:r w:rsidR="00641DBB" w:rsidRPr="0020159A">
        <w:rPr>
          <w:rFonts w:ascii="Arial" w:hAnsi="Arial" w:cs="Arial"/>
          <w:sz w:val="24"/>
          <w:szCs w:val="24"/>
        </w:rPr>
        <w:t xml:space="preserve"> th</w:t>
      </w:r>
      <w:r w:rsidR="00011534" w:rsidRPr="0020159A">
        <w:rPr>
          <w:rFonts w:ascii="Arial" w:hAnsi="Arial" w:cs="Arial"/>
          <w:sz w:val="24"/>
          <w:szCs w:val="24"/>
        </w:rPr>
        <w:t>is</w:t>
      </w:r>
      <w:r w:rsidR="003952BB" w:rsidRPr="0020159A">
        <w:rPr>
          <w:rFonts w:ascii="Arial" w:hAnsi="Arial" w:cs="Arial"/>
          <w:sz w:val="24"/>
          <w:szCs w:val="24"/>
        </w:rPr>
        <w:t xml:space="preserve"> </w:t>
      </w:r>
      <w:r w:rsidR="00641DBB" w:rsidRPr="0020159A">
        <w:rPr>
          <w:rFonts w:ascii="Arial" w:hAnsi="Arial" w:cs="Arial"/>
          <w:sz w:val="24"/>
          <w:szCs w:val="24"/>
        </w:rPr>
        <w:t>333 model of inpatient care</w:t>
      </w:r>
      <w:r w:rsidR="00011534" w:rsidRPr="0020159A">
        <w:rPr>
          <w:rFonts w:ascii="Arial" w:hAnsi="Arial" w:cs="Arial"/>
          <w:sz w:val="24"/>
          <w:szCs w:val="24"/>
        </w:rPr>
        <w:t xml:space="preserve"> that</w:t>
      </w:r>
      <w:r w:rsidR="00641DBB" w:rsidRPr="0020159A">
        <w:rPr>
          <w:rFonts w:ascii="Arial" w:hAnsi="Arial" w:cs="Arial"/>
          <w:sz w:val="24"/>
          <w:szCs w:val="24"/>
        </w:rPr>
        <w:t xml:space="preserve"> includes </w:t>
      </w:r>
      <w:r w:rsidR="003952BB" w:rsidRPr="0020159A">
        <w:rPr>
          <w:rFonts w:ascii="Arial" w:hAnsi="Arial" w:cs="Arial"/>
          <w:sz w:val="24"/>
          <w:szCs w:val="24"/>
        </w:rPr>
        <w:t>3 day assessment</w:t>
      </w:r>
      <w:r w:rsidR="00641DBB" w:rsidRPr="0020159A">
        <w:rPr>
          <w:rFonts w:ascii="Arial" w:hAnsi="Arial" w:cs="Arial"/>
          <w:sz w:val="24"/>
          <w:szCs w:val="24"/>
        </w:rPr>
        <w:t xml:space="preserve"> units (AU)</w:t>
      </w:r>
      <w:r w:rsidR="003952BB" w:rsidRPr="0020159A">
        <w:rPr>
          <w:rFonts w:ascii="Arial" w:hAnsi="Arial" w:cs="Arial"/>
          <w:sz w:val="24"/>
          <w:szCs w:val="24"/>
        </w:rPr>
        <w:t>, 3 week treatment</w:t>
      </w:r>
      <w:r w:rsidR="00641DBB" w:rsidRPr="0020159A">
        <w:rPr>
          <w:rFonts w:ascii="Arial" w:hAnsi="Arial" w:cs="Arial"/>
          <w:sz w:val="24"/>
          <w:szCs w:val="24"/>
        </w:rPr>
        <w:t xml:space="preserve"> units (TU)</w:t>
      </w:r>
      <w:r w:rsidR="003952BB" w:rsidRPr="0020159A">
        <w:rPr>
          <w:rFonts w:ascii="Arial" w:hAnsi="Arial" w:cs="Arial"/>
          <w:sz w:val="24"/>
          <w:szCs w:val="24"/>
        </w:rPr>
        <w:t xml:space="preserve"> and 3 month recovery</w:t>
      </w:r>
      <w:r w:rsidR="00641DBB" w:rsidRPr="0020159A">
        <w:rPr>
          <w:rFonts w:ascii="Arial" w:hAnsi="Arial" w:cs="Arial"/>
          <w:sz w:val="24"/>
          <w:szCs w:val="24"/>
        </w:rPr>
        <w:t xml:space="preserve"> units</w:t>
      </w:r>
      <w:r w:rsidR="000E719C" w:rsidRPr="0020159A">
        <w:rPr>
          <w:rFonts w:ascii="Arial" w:hAnsi="Arial" w:cs="Arial"/>
          <w:sz w:val="24"/>
          <w:szCs w:val="24"/>
        </w:rPr>
        <w:t xml:space="preserve"> (</w:t>
      </w:r>
      <w:r w:rsidR="00641DBB" w:rsidRPr="0020159A">
        <w:rPr>
          <w:rFonts w:ascii="Arial" w:hAnsi="Arial" w:cs="Arial"/>
          <w:sz w:val="24"/>
          <w:szCs w:val="24"/>
        </w:rPr>
        <w:t>RU</w:t>
      </w:r>
      <w:r w:rsidR="000E719C" w:rsidRPr="0020159A">
        <w:rPr>
          <w:rFonts w:ascii="Arial" w:hAnsi="Arial" w:cs="Arial"/>
          <w:sz w:val="24"/>
          <w:szCs w:val="24"/>
        </w:rPr>
        <w:t>)</w:t>
      </w:r>
      <w:r w:rsidR="003952BB" w:rsidRPr="0020159A">
        <w:rPr>
          <w:rFonts w:ascii="Arial" w:hAnsi="Arial" w:cs="Arial"/>
          <w:sz w:val="24"/>
          <w:szCs w:val="24"/>
        </w:rPr>
        <w:t>.</w:t>
      </w:r>
      <w:r w:rsidR="000E719C" w:rsidRPr="0020159A">
        <w:rPr>
          <w:rFonts w:ascii="Arial" w:hAnsi="Arial" w:cs="Arial"/>
          <w:sz w:val="24"/>
          <w:szCs w:val="24"/>
        </w:rPr>
        <w:t xml:space="preserve"> </w:t>
      </w:r>
      <w:r w:rsidR="00D7321F" w:rsidRPr="0020159A">
        <w:rPr>
          <w:rFonts w:ascii="Arial" w:hAnsi="Arial" w:cs="Arial"/>
          <w:sz w:val="24"/>
          <w:szCs w:val="24"/>
        </w:rPr>
        <w:t>Box 1</w:t>
      </w:r>
      <w:r w:rsidR="00B86FFB" w:rsidRPr="0020159A">
        <w:rPr>
          <w:rFonts w:ascii="Arial" w:hAnsi="Arial" w:cs="Arial"/>
          <w:sz w:val="24"/>
          <w:szCs w:val="24"/>
        </w:rPr>
        <w:t xml:space="preserve"> provides u</w:t>
      </w:r>
      <w:r w:rsidR="00755046" w:rsidRPr="0020159A">
        <w:rPr>
          <w:rFonts w:ascii="Arial" w:hAnsi="Arial" w:cs="Arial"/>
          <w:sz w:val="24"/>
          <w:szCs w:val="24"/>
        </w:rPr>
        <w:t>nit focus and functions</w:t>
      </w:r>
      <w:r w:rsidR="00B86FFB" w:rsidRPr="0020159A">
        <w:rPr>
          <w:rFonts w:ascii="Arial" w:hAnsi="Arial" w:cs="Arial"/>
          <w:sz w:val="24"/>
          <w:szCs w:val="24"/>
        </w:rPr>
        <w:t>.</w:t>
      </w:r>
      <w:r w:rsidR="00755046" w:rsidRPr="0020159A">
        <w:rPr>
          <w:rFonts w:ascii="Arial" w:hAnsi="Arial" w:cs="Arial"/>
          <w:sz w:val="24"/>
          <w:szCs w:val="24"/>
        </w:rPr>
        <w:t xml:space="preserve"> </w:t>
      </w:r>
      <w:r w:rsidR="00350D40" w:rsidRPr="0020159A">
        <w:rPr>
          <w:rFonts w:ascii="Arial" w:hAnsi="Arial" w:cs="Arial"/>
          <w:sz w:val="24"/>
          <w:szCs w:val="24"/>
        </w:rPr>
        <w:t xml:space="preserve">Roll out was in phases, </w:t>
      </w:r>
      <w:r w:rsidRPr="0020159A">
        <w:rPr>
          <w:rFonts w:ascii="Arial" w:hAnsi="Arial" w:cs="Arial"/>
          <w:sz w:val="24"/>
          <w:szCs w:val="24"/>
        </w:rPr>
        <w:t>Oct 2011 in Peterborough and May 2013 in Cambridge.</w:t>
      </w:r>
      <w:r w:rsidR="003952BB" w:rsidRPr="0020159A">
        <w:rPr>
          <w:rFonts w:ascii="Arial" w:hAnsi="Arial" w:cs="Arial"/>
          <w:sz w:val="24"/>
          <w:szCs w:val="24"/>
        </w:rPr>
        <w:t xml:space="preserve"> </w:t>
      </w:r>
    </w:p>
    <w:p w14:paraId="5E61B73B" w14:textId="153D64BF" w:rsidR="002369D6" w:rsidRPr="0020159A" w:rsidRDefault="002369D6" w:rsidP="003952BB">
      <w:pPr>
        <w:rPr>
          <w:rFonts w:ascii="Arial" w:hAnsi="Arial" w:cs="Arial"/>
          <w:sz w:val="24"/>
          <w:szCs w:val="24"/>
        </w:rPr>
      </w:pPr>
      <w:r w:rsidRPr="0020159A">
        <w:rPr>
          <w:rFonts w:ascii="Arial" w:hAnsi="Arial" w:cs="Arial"/>
          <w:sz w:val="24"/>
          <w:szCs w:val="24"/>
        </w:rPr>
        <w:t xml:space="preserve">-------------------------------------------- </w:t>
      </w:r>
      <w:r w:rsidR="00D7321F" w:rsidRPr="0020159A">
        <w:rPr>
          <w:rFonts w:ascii="Arial" w:hAnsi="Arial" w:cs="Arial"/>
          <w:sz w:val="24"/>
          <w:szCs w:val="24"/>
        </w:rPr>
        <w:t>Box 1</w:t>
      </w:r>
      <w:r w:rsidRPr="0020159A">
        <w:rPr>
          <w:rFonts w:ascii="Arial" w:hAnsi="Arial" w:cs="Arial"/>
          <w:sz w:val="24"/>
          <w:szCs w:val="24"/>
        </w:rPr>
        <w:t xml:space="preserve"> -----------------------------------------------</w:t>
      </w:r>
    </w:p>
    <w:p w14:paraId="7BD53A39" w14:textId="43A36713" w:rsidR="000E719C" w:rsidRPr="0020159A" w:rsidRDefault="003952BB" w:rsidP="00512465">
      <w:pPr>
        <w:rPr>
          <w:rFonts w:ascii="Arial" w:hAnsi="Arial" w:cs="Arial"/>
          <w:sz w:val="24"/>
          <w:szCs w:val="24"/>
        </w:rPr>
      </w:pPr>
      <w:r w:rsidRPr="0020159A">
        <w:rPr>
          <w:rFonts w:ascii="Arial" w:hAnsi="Arial" w:cs="Arial"/>
          <w:sz w:val="24"/>
          <w:szCs w:val="24"/>
        </w:rPr>
        <w:t>Improving access and quality of care</w:t>
      </w:r>
      <w:r w:rsidR="0079683F" w:rsidRPr="0020159A">
        <w:rPr>
          <w:rFonts w:ascii="Arial" w:hAnsi="Arial" w:cs="Arial"/>
          <w:sz w:val="24"/>
          <w:szCs w:val="24"/>
        </w:rPr>
        <w:t>,</w:t>
      </w:r>
      <w:r w:rsidRPr="0020159A">
        <w:rPr>
          <w:rFonts w:ascii="Arial" w:hAnsi="Arial" w:cs="Arial"/>
          <w:sz w:val="24"/>
          <w:szCs w:val="24"/>
        </w:rPr>
        <w:t xml:space="preserve"> when demand for beds far </w:t>
      </w:r>
      <w:r w:rsidR="00667657" w:rsidRPr="0020159A">
        <w:rPr>
          <w:rFonts w:ascii="Arial" w:hAnsi="Arial" w:cs="Arial"/>
          <w:sz w:val="24"/>
          <w:szCs w:val="24"/>
        </w:rPr>
        <w:t xml:space="preserve">exceeded </w:t>
      </w:r>
      <w:r w:rsidRPr="0020159A">
        <w:rPr>
          <w:rFonts w:ascii="Arial" w:hAnsi="Arial" w:cs="Arial"/>
          <w:sz w:val="24"/>
          <w:szCs w:val="24"/>
        </w:rPr>
        <w:t>supply</w:t>
      </w:r>
      <w:r w:rsidR="00354CFD" w:rsidRPr="0020159A">
        <w:rPr>
          <w:rFonts w:ascii="Arial" w:hAnsi="Arial" w:cs="Arial"/>
          <w:sz w:val="24"/>
          <w:szCs w:val="24"/>
        </w:rPr>
        <w:t>,</w:t>
      </w:r>
      <w:r w:rsidRPr="0020159A">
        <w:rPr>
          <w:rFonts w:ascii="Arial" w:hAnsi="Arial" w:cs="Arial"/>
          <w:sz w:val="24"/>
          <w:szCs w:val="24"/>
        </w:rPr>
        <w:t xml:space="preserve"> called for a system rethink. </w:t>
      </w:r>
      <w:r w:rsidR="00350D40" w:rsidRPr="0020159A">
        <w:rPr>
          <w:rFonts w:ascii="Arial" w:hAnsi="Arial" w:cs="Arial"/>
          <w:sz w:val="24"/>
          <w:szCs w:val="24"/>
        </w:rPr>
        <w:t xml:space="preserve">Pushing quality up and costs down was the challenge. </w:t>
      </w:r>
      <w:r w:rsidRPr="0020159A">
        <w:rPr>
          <w:rFonts w:ascii="Arial" w:hAnsi="Arial" w:cs="Arial"/>
          <w:sz w:val="24"/>
          <w:szCs w:val="24"/>
        </w:rPr>
        <w:t>Th</w:t>
      </w:r>
      <w:r w:rsidR="0068514C" w:rsidRPr="0020159A">
        <w:rPr>
          <w:rFonts w:ascii="Arial" w:hAnsi="Arial" w:cs="Arial"/>
          <w:sz w:val="24"/>
          <w:szCs w:val="24"/>
        </w:rPr>
        <w:t xml:space="preserve">is was in the </w:t>
      </w:r>
      <w:r w:rsidRPr="0020159A">
        <w:rPr>
          <w:rFonts w:ascii="Arial" w:hAnsi="Arial" w:cs="Arial"/>
          <w:sz w:val="24"/>
          <w:szCs w:val="24"/>
        </w:rPr>
        <w:t xml:space="preserve">context </w:t>
      </w:r>
      <w:r w:rsidR="0068514C" w:rsidRPr="0020159A">
        <w:rPr>
          <w:rFonts w:ascii="Arial" w:hAnsi="Arial" w:cs="Arial"/>
          <w:sz w:val="24"/>
          <w:szCs w:val="24"/>
        </w:rPr>
        <w:t xml:space="preserve">of </w:t>
      </w:r>
      <w:r w:rsidRPr="0020159A">
        <w:rPr>
          <w:rFonts w:ascii="Arial" w:hAnsi="Arial" w:cs="Arial"/>
          <w:sz w:val="24"/>
          <w:szCs w:val="24"/>
        </w:rPr>
        <w:t>a steep cost improvement programme</w:t>
      </w:r>
      <w:r w:rsidR="009E71DA" w:rsidRPr="0020159A">
        <w:rPr>
          <w:rFonts w:ascii="Arial" w:hAnsi="Arial" w:cs="Arial"/>
          <w:sz w:val="24"/>
          <w:szCs w:val="24"/>
        </w:rPr>
        <w:t xml:space="preserve"> (CIP)</w:t>
      </w:r>
      <w:r w:rsidR="006D4730"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Appleby","given":"John","non-dropping-particle":"","parse-names":false,"suffix":""},{"dropping-particle":"","family":"Galea","given":"Amy","non-dropping-particle":"","parse-names":false,"suffix":""},{"dropping-particle":"","family":"Murray","given":"Richard","non-dropping-particle":"","parse-names":false,"suffix":""}],"id":"ITEM-1","issued":{"date-parts":[["2014"]]},"title":"The NHS productivity challenge: experience from the front line","type":"report"},"uris":["http://www.mendeley.com/documents/?uuid=c010b062-56e9-370e-918a-859d7ea1106d"]},{"id":"ITEM-2","itemData":{"author":[{"dropping-particle":"","family":"National Audit Office Department of Health","given":"","non-dropping-particle":"","parse-names":false,"suffix":""}],"id":"ITEM-2","issued":{"date-parts":[["2011"]]},"number-of-pages":"1-42","title":"Delivering efficiency savings in the NHS","type":"report"},"uris":["http://www.mendeley.com/documents/?uuid=fa193ba4-365c-3cac-bc03-469a2ab02300"]}],"mendeley":{"formattedCitation":"(1,2)","plainTextFormattedCitation":"(1,2)","previouslyFormattedCitation":"(1,2)"},"properties":{"noteIndex":0},"schema":"https://github.com/citation-style-language/schema/raw/master/csl-citation.json"}</w:instrText>
      </w:r>
      <w:r w:rsidR="006D4730" w:rsidRPr="0020159A">
        <w:rPr>
          <w:rFonts w:ascii="Arial" w:hAnsi="Arial" w:cs="Arial"/>
          <w:sz w:val="24"/>
          <w:szCs w:val="24"/>
          <w:vertAlign w:val="superscript"/>
        </w:rPr>
        <w:fldChar w:fldCharType="separate"/>
      </w:r>
      <w:r w:rsidR="006D4730" w:rsidRPr="0020159A">
        <w:rPr>
          <w:rFonts w:ascii="Arial" w:hAnsi="Arial" w:cs="Arial"/>
          <w:noProof/>
          <w:sz w:val="24"/>
          <w:szCs w:val="24"/>
          <w:vertAlign w:val="superscript"/>
        </w:rPr>
        <w:t>(1,2)</w:t>
      </w:r>
      <w:r w:rsidR="006D4730" w:rsidRPr="0020159A">
        <w:rPr>
          <w:rFonts w:ascii="Arial" w:hAnsi="Arial" w:cs="Arial"/>
          <w:sz w:val="24"/>
          <w:szCs w:val="24"/>
          <w:vertAlign w:val="superscript"/>
        </w:rPr>
        <w:fldChar w:fldCharType="end"/>
      </w:r>
      <w:r w:rsidRPr="0020159A">
        <w:rPr>
          <w:rFonts w:ascii="Arial" w:hAnsi="Arial" w:cs="Arial"/>
          <w:sz w:val="24"/>
          <w:szCs w:val="24"/>
        </w:rPr>
        <w:t xml:space="preserve"> and stretch </w:t>
      </w:r>
      <w:r w:rsidR="0033146A" w:rsidRPr="0020159A">
        <w:rPr>
          <w:rFonts w:ascii="Arial" w:hAnsi="Arial" w:cs="Arial"/>
          <w:sz w:val="24"/>
          <w:szCs w:val="24"/>
        </w:rPr>
        <w:t>quality metrics</w:t>
      </w:r>
      <w:r w:rsidRPr="0020159A">
        <w:rPr>
          <w:rFonts w:ascii="Arial" w:hAnsi="Arial" w:cs="Arial"/>
          <w:sz w:val="24"/>
          <w:szCs w:val="24"/>
        </w:rPr>
        <w:t xml:space="preserve"> with close </w:t>
      </w:r>
      <w:r w:rsidR="0079683F" w:rsidRPr="0020159A">
        <w:rPr>
          <w:rFonts w:ascii="Arial" w:hAnsi="Arial" w:cs="Arial"/>
          <w:sz w:val="24"/>
          <w:szCs w:val="24"/>
        </w:rPr>
        <w:t>regulation from</w:t>
      </w:r>
      <w:r w:rsidRPr="0020159A">
        <w:rPr>
          <w:rFonts w:ascii="Arial" w:hAnsi="Arial" w:cs="Arial"/>
          <w:sz w:val="24"/>
          <w:szCs w:val="24"/>
        </w:rPr>
        <w:t xml:space="preserve"> Monitor</w:t>
      </w:r>
      <w:r w:rsidR="008975B8"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{"citationItems":[{"id":"ITEM-1","itemData":{"author":[{"dropping-particle":"","family":"Comptroller and Auditor General","given":"","non-dropping-particle":"","parse-names":false,"suffix":""}],"id":"ITEM-1","issued":{"date-parts":[["2014"]]},"title":"Monitor: Regulating NHS foundation trusts","type":"report"},"uris":["http://www.mendeley.com/documents/?uuid=96bce0f9-43ab-3c64-90ef-11490760bc30"]}],"mendeley":{"formattedCitation":"(3)","plainTextFormattedCitation":"(3)","previouslyFormattedCitation":"(3)"},"properties":{"noteIndex":0},"schema":"https://github.com/citation-style-language/schema/raw/master/csl-citation.json"}</w:instrText>
      </w:r>
      <w:r w:rsidR="008975B8" w:rsidRPr="0020159A">
        <w:rPr>
          <w:rFonts w:ascii="Arial" w:hAnsi="Arial" w:cs="Arial"/>
          <w:sz w:val="24"/>
          <w:szCs w:val="24"/>
          <w:vertAlign w:val="superscript"/>
        </w:rPr>
        <w:fldChar w:fldCharType="separate"/>
      </w:r>
      <w:r w:rsidR="008975B8" w:rsidRPr="0020159A">
        <w:rPr>
          <w:rFonts w:ascii="Arial" w:hAnsi="Arial" w:cs="Arial"/>
          <w:noProof/>
          <w:sz w:val="24"/>
          <w:szCs w:val="24"/>
          <w:vertAlign w:val="superscript"/>
        </w:rPr>
        <w:t>(3)</w:t>
      </w:r>
      <w:r w:rsidR="008975B8" w:rsidRPr="0020159A">
        <w:rPr>
          <w:rFonts w:ascii="Arial" w:hAnsi="Arial" w:cs="Arial"/>
          <w:sz w:val="24"/>
          <w:szCs w:val="24"/>
          <w:vertAlign w:val="superscript"/>
        </w:rPr>
        <w:fldChar w:fldCharType="end"/>
      </w:r>
      <w:r w:rsidRPr="0020159A">
        <w:rPr>
          <w:rFonts w:ascii="Arial" w:hAnsi="Arial" w:cs="Arial"/>
          <w:sz w:val="24"/>
          <w:szCs w:val="24"/>
        </w:rPr>
        <w:t xml:space="preserve"> </w:t>
      </w:r>
      <w:r w:rsidR="00380E64" w:rsidRPr="0020159A">
        <w:rPr>
          <w:rFonts w:ascii="Arial" w:hAnsi="Arial" w:cs="Arial"/>
          <w:sz w:val="24"/>
          <w:szCs w:val="24"/>
        </w:rPr>
        <w:t xml:space="preserve">(financial regulator) </w:t>
      </w:r>
      <w:r w:rsidRPr="0020159A">
        <w:rPr>
          <w:rFonts w:ascii="Arial" w:hAnsi="Arial" w:cs="Arial"/>
          <w:sz w:val="24"/>
          <w:szCs w:val="24"/>
        </w:rPr>
        <w:t>and Care Quality Commissi</w:t>
      </w:r>
      <w:r w:rsidR="00BA1315" w:rsidRPr="0020159A">
        <w:rPr>
          <w:rFonts w:ascii="Arial" w:hAnsi="Arial" w:cs="Arial"/>
          <w:sz w:val="24"/>
          <w:szCs w:val="24"/>
        </w:rPr>
        <w:t>on</w:t>
      </w:r>
      <w:r w:rsidR="00BA1315"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{"citationItems":[{"id":"ITEM-1","itemData":{"URL":"http://www.cqc.org.uk/publications/surveys/adult-inpatient-survey-2016","accessed":{"date-parts":[["2017","12","11"]]},"author":[{"dropping-particle":"","family":"Care Quality Commission","given":"","non-dropping-particle":"","parse-names":false,"suffix":""}],"id":"ITEM-1","issued":{"date-parts":[["2016"]]},"title":"Adult inpatient survey 2016 | Care Quality Commission","type":"webpage"},"uris":["http://www.mendeley.com/documents/?uuid=6e073d4d-26a3-4dfd-b26c-27b67d093aff"]}],"mendeley":{"formattedCitation":"(4)","plainTextFormattedCitation":"(4)","previouslyFormattedCitation":"(4)"},"properties":{"noteIndex":0},"schema":"https://github.com/citation-style-language/schema/raw/master/csl-citation.json"}</w:instrText>
      </w:r>
      <w:r w:rsidR="00BA1315" w:rsidRPr="0020159A">
        <w:rPr>
          <w:rFonts w:ascii="Arial" w:hAnsi="Arial" w:cs="Arial"/>
          <w:sz w:val="24"/>
          <w:szCs w:val="24"/>
          <w:vertAlign w:val="superscript"/>
        </w:rPr>
        <w:fldChar w:fldCharType="separate"/>
      </w:r>
      <w:r w:rsidR="008975B8" w:rsidRPr="0020159A">
        <w:rPr>
          <w:rFonts w:ascii="Arial" w:hAnsi="Arial" w:cs="Arial"/>
          <w:noProof/>
          <w:sz w:val="24"/>
          <w:szCs w:val="24"/>
          <w:vertAlign w:val="superscript"/>
        </w:rPr>
        <w:t>(4)</w:t>
      </w:r>
      <w:r w:rsidR="00BA1315" w:rsidRPr="0020159A">
        <w:rPr>
          <w:rFonts w:ascii="Arial" w:hAnsi="Arial" w:cs="Arial"/>
          <w:sz w:val="24"/>
          <w:szCs w:val="24"/>
          <w:vertAlign w:val="superscript"/>
        </w:rPr>
        <w:fldChar w:fldCharType="end"/>
      </w:r>
      <w:r w:rsidR="00380E64" w:rsidRPr="0020159A">
        <w:rPr>
          <w:rFonts w:ascii="Arial" w:hAnsi="Arial" w:cs="Arial"/>
          <w:sz w:val="24"/>
          <w:szCs w:val="24"/>
        </w:rPr>
        <w:t xml:space="preserve"> (quality regulator).</w:t>
      </w:r>
      <w:r w:rsidRPr="0020159A">
        <w:rPr>
          <w:rFonts w:ascii="Arial" w:hAnsi="Arial" w:cs="Arial"/>
          <w:sz w:val="24"/>
          <w:szCs w:val="24"/>
        </w:rPr>
        <w:t xml:space="preserve"> The bed crisis was driven by</w:t>
      </w:r>
      <w:r w:rsidR="0033146A" w:rsidRPr="0020159A">
        <w:rPr>
          <w:rFonts w:ascii="Arial" w:hAnsi="Arial" w:cs="Arial"/>
          <w:sz w:val="24"/>
          <w:szCs w:val="24"/>
        </w:rPr>
        <w:t xml:space="preserve"> d</w:t>
      </w:r>
      <w:r w:rsidR="00153E10" w:rsidRPr="0020159A">
        <w:rPr>
          <w:rFonts w:ascii="Arial" w:hAnsi="Arial" w:cs="Arial"/>
          <w:sz w:val="24"/>
          <w:szCs w:val="24"/>
        </w:rPr>
        <w:t>ecreasing beds</w:t>
      </w:r>
      <w:r w:rsidR="00931808"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{"citationItems":[{"id":"ITEM-1","itemData":{"author":[{"dropping-particle":"","family":"Crisp, N., Smith, G. and Nicholson","given":"K","non-dropping-particle":"","parse-names":false,"suffix":""}],"id":"ITEM-1","issued":{"date-parts":[["2016"]]},"title":"Old Problems, New Solutions: Improving Acute Psychiatric Care for Adults in England","type":"report"},"uris":["http://www.mendeley.com/documents/?uuid=b8564d08-f370-379e-aecf-76a145f0a66d"]}],"mendeley":{"formattedCitation":"(5)","plainTextFormattedCitation":"(5)","previouslyFormattedCitation":"(5)"},"properties":{"noteIndex":0},"schema":"https://github.com/citation-style-language/schema/raw/master/csl-citation.json"}</w:instrText>
      </w:r>
      <w:r w:rsidR="00931808" w:rsidRPr="0020159A">
        <w:rPr>
          <w:rFonts w:ascii="Arial" w:hAnsi="Arial" w:cs="Arial"/>
          <w:sz w:val="24"/>
          <w:szCs w:val="24"/>
          <w:vertAlign w:val="superscript"/>
        </w:rPr>
        <w:fldChar w:fldCharType="separate"/>
      </w:r>
      <w:r w:rsidR="008975B8" w:rsidRPr="0020159A">
        <w:rPr>
          <w:rFonts w:ascii="Arial" w:hAnsi="Arial" w:cs="Arial"/>
          <w:noProof/>
          <w:sz w:val="24"/>
          <w:szCs w:val="24"/>
          <w:vertAlign w:val="superscript"/>
        </w:rPr>
        <w:t>(5)</w:t>
      </w:r>
      <w:r w:rsidR="00931808" w:rsidRPr="0020159A">
        <w:rPr>
          <w:rFonts w:ascii="Arial" w:hAnsi="Arial" w:cs="Arial"/>
          <w:sz w:val="24"/>
          <w:szCs w:val="24"/>
          <w:vertAlign w:val="superscript"/>
        </w:rPr>
        <w:fldChar w:fldCharType="end"/>
      </w:r>
      <w:r w:rsidR="0033146A" w:rsidRPr="0020159A">
        <w:rPr>
          <w:rFonts w:ascii="Arial" w:hAnsi="Arial" w:cs="Arial"/>
          <w:sz w:val="24"/>
          <w:szCs w:val="24"/>
        </w:rPr>
        <w:t xml:space="preserve">, </w:t>
      </w:r>
      <w:r w:rsidR="00153E10" w:rsidRPr="0020159A">
        <w:rPr>
          <w:rFonts w:ascii="Arial" w:hAnsi="Arial" w:cs="Arial"/>
          <w:sz w:val="24"/>
          <w:szCs w:val="24"/>
        </w:rPr>
        <w:t>i</w:t>
      </w:r>
      <w:r w:rsidRPr="0020159A">
        <w:rPr>
          <w:rFonts w:ascii="Arial" w:hAnsi="Arial" w:cs="Arial"/>
          <w:sz w:val="24"/>
          <w:szCs w:val="24"/>
        </w:rPr>
        <w:t xml:space="preserve">ncreasing population </w:t>
      </w:r>
      <w:r w:rsidR="0068514C" w:rsidRPr="0020159A">
        <w:rPr>
          <w:rFonts w:ascii="Arial" w:hAnsi="Arial" w:cs="Arial"/>
          <w:sz w:val="24"/>
          <w:szCs w:val="24"/>
        </w:rPr>
        <w:t xml:space="preserve">from </w:t>
      </w:r>
      <w:r w:rsidRPr="0020159A">
        <w:rPr>
          <w:rFonts w:ascii="Arial" w:hAnsi="Arial" w:cs="Arial"/>
          <w:sz w:val="24"/>
          <w:szCs w:val="24"/>
        </w:rPr>
        <w:t>immigration into East of England</w:t>
      </w:r>
      <w:r w:rsidR="006D4730"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{"citationItems":[{"id":"ITEM-1","itemData":{"URL":"https://cambridgeshireinsight.org.uk/population/","accessed":{"date-parts":[["2017","12","11"]]},"author":[{"dropping-particle":"","family":"Cambridgeshire Insight","given":"","non-dropping-particle":"","parse-names":false,"suffix":""}],"id":"ITEM-1","issued":{"date-parts":[["0"]]},"title":"Cambridgeshire Insight – Population","type":"webpage"},"uris":["http://www.mendeley.com/documents/?uuid=23571bc0-1a79-3c90-9a38-a59eade6c9e7"]}],"mendeley":{"formattedCitation":"(6)","plainTextFormattedCitation":"(6)","previouslyFormattedCitation":"(6)"},"properties":{"noteIndex":0},"schema":"https://github.com/citation-style-language/schema/raw/master/csl-citation.json"}</w:instrText>
      </w:r>
      <w:r w:rsidR="006D4730" w:rsidRPr="0020159A">
        <w:rPr>
          <w:rFonts w:ascii="Arial" w:hAnsi="Arial" w:cs="Arial"/>
          <w:sz w:val="24"/>
          <w:szCs w:val="24"/>
          <w:vertAlign w:val="superscript"/>
        </w:rPr>
        <w:fldChar w:fldCharType="separate"/>
      </w:r>
      <w:r w:rsidR="008975B8" w:rsidRPr="0020159A">
        <w:rPr>
          <w:rFonts w:ascii="Arial" w:hAnsi="Arial" w:cs="Arial"/>
          <w:noProof/>
          <w:sz w:val="24"/>
          <w:szCs w:val="24"/>
          <w:vertAlign w:val="superscript"/>
        </w:rPr>
        <w:t>(6)</w:t>
      </w:r>
      <w:r w:rsidR="006D4730" w:rsidRPr="0020159A">
        <w:rPr>
          <w:rFonts w:ascii="Arial" w:hAnsi="Arial" w:cs="Arial"/>
          <w:sz w:val="24"/>
          <w:szCs w:val="24"/>
          <w:vertAlign w:val="superscript"/>
        </w:rPr>
        <w:fldChar w:fldCharType="end"/>
      </w:r>
      <w:r w:rsidR="009D05AB" w:rsidRPr="0020159A">
        <w:rPr>
          <w:rFonts w:ascii="Arial" w:hAnsi="Arial" w:cs="Arial"/>
          <w:sz w:val="24"/>
          <w:szCs w:val="24"/>
        </w:rPr>
        <w:t>,</w:t>
      </w:r>
      <w:r w:rsidR="006D4730" w:rsidRPr="0020159A">
        <w:rPr>
          <w:rFonts w:ascii="Arial" w:hAnsi="Arial" w:cs="Arial"/>
          <w:sz w:val="24"/>
          <w:szCs w:val="24"/>
        </w:rPr>
        <w:t xml:space="preserve"> </w:t>
      </w:r>
      <w:r w:rsidR="0068514C" w:rsidRPr="0020159A">
        <w:rPr>
          <w:rFonts w:ascii="Arial" w:hAnsi="Arial" w:cs="Arial"/>
          <w:sz w:val="24"/>
          <w:szCs w:val="24"/>
        </w:rPr>
        <w:t>increasing number</w:t>
      </w:r>
      <w:r w:rsidR="00153E10" w:rsidRPr="0020159A">
        <w:rPr>
          <w:rFonts w:ascii="Arial" w:hAnsi="Arial" w:cs="Arial"/>
          <w:sz w:val="24"/>
          <w:szCs w:val="24"/>
        </w:rPr>
        <w:t xml:space="preserve"> of people in contact with mental health services</w:t>
      </w:r>
      <w:r w:rsidR="00931808"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{"citationItems":[{"id":"ITEM-1","itemData":{"author":[{"dropping-particle":"","family":"Crisp, N., Smith, G. and Nicholson","given":"K","non-dropping-particle":"","parse-names":false,"suffix":""}],"id":"ITEM-1","issued":{"date-parts":[["2016"]]},"title":"Old Problems, New Solutions: Improving Acute Psychiatric Care for Adults in England","type":"report"},"uris":["http://www.mendeley.com/documents/?uuid=b8564d08-f370-379e-aecf-76a145f0a66d"]},{"id":"ITEM-2","itemData":{"author":[{"dropping-particle":"","family":"Health and Social Care Information Centre","given":"","non-dropping-particle":"","parse-names":false,"suffix":""}],"id":"ITEM-2","issued":{"date-parts":[["2015"]]},"number-of-pages":"1-37","title":"Mental Health Bulletin, Annual Report - 2014-15 - NHS Digital","type":"report"},"uris":["http://www.mendeley.com/documents/?uuid=6ce06a30-f965-3111-8c9d-c39ad4963f2d"]}],"mendeley":{"formattedCitation":"(5,7)","plainTextFormattedCitation":"(5,7)","previouslyFormattedCitation":"(5,7)"},"properties":{"noteIndex":0},"schema":"https://github.com/citation-style-language/schema/raw/master/csl-citation.json"}</w:instrText>
      </w:r>
      <w:r w:rsidR="00931808" w:rsidRPr="0020159A">
        <w:rPr>
          <w:rFonts w:ascii="Arial" w:hAnsi="Arial" w:cs="Arial"/>
          <w:sz w:val="24"/>
          <w:szCs w:val="24"/>
          <w:vertAlign w:val="superscript"/>
        </w:rPr>
        <w:fldChar w:fldCharType="separate"/>
      </w:r>
      <w:r w:rsidR="008975B8" w:rsidRPr="0020159A">
        <w:rPr>
          <w:rFonts w:ascii="Arial" w:hAnsi="Arial" w:cs="Arial"/>
          <w:noProof/>
          <w:sz w:val="24"/>
          <w:szCs w:val="24"/>
          <w:vertAlign w:val="superscript"/>
        </w:rPr>
        <w:t>(5,7)</w:t>
      </w:r>
      <w:r w:rsidR="00931808" w:rsidRPr="0020159A">
        <w:rPr>
          <w:rFonts w:ascii="Arial" w:hAnsi="Arial" w:cs="Arial"/>
          <w:sz w:val="24"/>
          <w:szCs w:val="24"/>
          <w:vertAlign w:val="superscript"/>
        </w:rPr>
        <w:fldChar w:fldCharType="end"/>
      </w:r>
      <w:r w:rsidR="0033146A" w:rsidRPr="0020159A">
        <w:rPr>
          <w:rFonts w:ascii="Arial" w:hAnsi="Arial" w:cs="Arial"/>
          <w:sz w:val="24"/>
          <w:szCs w:val="24"/>
        </w:rPr>
        <w:t xml:space="preserve">, </w:t>
      </w:r>
      <w:r w:rsidRPr="0020159A">
        <w:rPr>
          <w:rFonts w:ascii="Arial" w:hAnsi="Arial" w:cs="Arial"/>
          <w:sz w:val="24"/>
          <w:szCs w:val="24"/>
        </w:rPr>
        <w:t>social housi</w:t>
      </w:r>
      <w:r w:rsidR="008975B8" w:rsidRPr="0020159A">
        <w:rPr>
          <w:rFonts w:ascii="Arial" w:hAnsi="Arial" w:cs="Arial"/>
          <w:sz w:val="24"/>
          <w:szCs w:val="24"/>
        </w:rPr>
        <w:t>ng crisis</w:t>
      </w:r>
      <w:r w:rsidR="007A2B2F"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URL":"http://www.communitycare.co.uk/2015/07/15/mental-health-beds-crisis-driven-discharge-delays-finds-report/","accessed":{"date-parts":[["2018","4","2"]]},"author":[{"dropping-particle":"","family":"McNicoll","given":"A","non-dropping-particle":"","parse-names":false,"suffix":""}],"container-title":"Community Care","id":"ITEM-1","issued":{"date-parts":[["2015"]]},"title":"Mental health beds crisis ‘driven by discharge delays’ Community Care","type":"webpage"},"uris":["http://www.mendeley.com/documents/?uuid=25faf8c6-acd5-3b00-9f0f-3e365ea95dd2"]},{"id":"ITEM-2","itemData":{"author":[{"dropping-particle":"","family":"The Commission to review the provision of acute inpatient psychiatric care for Adults","given":"","non-dropping-particle":"","parse-names":false,"suffix":""}],"id":"ITEM-2","issued":{"date-parts":[["2015"]]},"number-of-pages":"36","title":"Improving acute inpatient psychiatric care for adults in England: Interim Report","type":"report"},"uris":["http://www.mendeley.com/documents/?uuid=42569305-a34a-34d0-87db-d3ff78689d3e"]}],"mendeley":{"formattedCitation":"(8,9)","plainTextFormattedCitation":"(8,9)","previouslyFormattedCitation":"(8,9)"},"properties":{"noteIndex":0},"schema":"https://github.com/citation-style-language/schema/raw/master/csl-citation.json"}</w:instrText>
      </w:r>
      <w:r w:rsidR="007A2B2F"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(8,9)</w:t>
      </w:r>
      <w:r w:rsidR="007A2B2F" w:rsidRPr="0020159A">
        <w:rPr>
          <w:rFonts w:ascii="Arial" w:hAnsi="Arial" w:cs="Arial"/>
          <w:sz w:val="24"/>
          <w:szCs w:val="24"/>
          <w:vertAlign w:val="superscript"/>
        </w:rPr>
        <w:fldChar w:fldCharType="end"/>
      </w:r>
      <w:r w:rsidR="00E356BF" w:rsidRPr="0020159A">
        <w:rPr>
          <w:rFonts w:ascii="Arial" w:hAnsi="Arial" w:cs="Arial"/>
          <w:sz w:val="24"/>
          <w:szCs w:val="24"/>
          <w:vertAlign w:val="superscript"/>
        </w:rPr>
        <w:t xml:space="preserve"> </w:t>
      </w:r>
      <w:r w:rsidR="00E356BF" w:rsidRPr="0020159A">
        <w:rPr>
          <w:rFonts w:ascii="Arial" w:hAnsi="Arial" w:cs="Arial"/>
          <w:sz w:val="24"/>
          <w:szCs w:val="24"/>
        </w:rPr>
        <w:t>and</w:t>
      </w:r>
      <w:r w:rsidR="0033146A" w:rsidRPr="0020159A">
        <w:rPr>
          <w:rFonts w:ascii="Arial" w:hAnsi="Arial" w:cs="Arial"/>
          <w:sz w:val="24"/>
          <w:szCs w:val="24"/>
        </w:rPr>
        <w:t xml:space="preserve"> </w:t>
      </w:r>
      <w:r w:rsidR="0090124A" w:rsidRPr="0020159A">
        <w:rPr>
          <w:rFonts w:ascii="Arial" w:hAnsi="Arial" w:cs="Arial"/>
          <w:sz w:val="24"/>
          <w:szCs w:val="24"/>
        </w:rPr>
        <w:t>impact of recession</w:t>
      </w:r>
      <w:r w:rsidR="007A2B2F"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{"citationItems":[{"id":"ITEM-1","itemData":{"DOI":"10.1186/s12889-016-2720-y","ISSN":"1471-2458","PMID":"26847554","abstract":"BACKGROUND Countries in recession experience high unemployment rates and a decline in living conditions, which, it has been suggested, negatively influences their populations' health. The present review examines the recent evidence of the possible association between economic recessions and mental health outcomes. METHODS Literature review of records identified through Medline, PsycINFO, SciELO, and EBSCO Host. Only original research papers, published between 2004 and 2014, peer-reviewed, non-qualitative research, and reporting on associations between economic factors and proxies of mental health were considered. RESULTS One-hundred-one papers met the inclusion criteria. The evidence was consistent that economic recessions and mediators such as unemployment, income decline, and unmanageable debts are significantly associated with poor mental wellbeing, increased rates of common mental disorders, substance-related disorders, and suicidal behaviours. CONCLUSION On the basis of a thorough analysis of the selected investigations, we conclude that periods of economic recession are possibly associated with a higher prevalence of mental health problems, including common mental disorders, substance disorders, and ultimately suicidal behaviour. Most of the research is based on cross-sectional studies, which seriously limits causality inferences. Conclusions are summarised, taking into account international policy recommendations concerning the cost-effective measures that can possibly reduce the occurrence of negative mental health outcomes in populations during periods of economic recession.","author":[{"dropping-particle":"","family":"Frasquilho","given":"Diana","non-dropping-particle":"","parse-names":false,"suffix":""},{"dropping-particle":"","family":"Matos","given":"Margarida Gaspar","non-dropping-particle":"","parse-names":false,"suffix":""},{"dropping-particle":"","family":"Salonna","given":"Ferdinand","non-dropping-particle":"","parse-names":false,"suffix":""},{"dropping-particle":"","family":"Guerreiro","given":"Diogo","non-dropping-particle":"","parse-names":false,"suffix":""},{"dropping-particle":"","family":"Storti","given":"Cláudia C","non-dropping-particle":"","parse-names":false,"suffix":""},{"dropping-particle":"","family":"Gaspar","given":"Tânia","non-dropping-particle":"","parse-names":false,"suffix":""},{"dropping-particle":"","family":"Caldas-de-Almeida","given":"José M","non-dropping-particle":"","parse-names":false,"suffix":""}],"container-title":"BMC public health","id":"ITEM-1","issued":{"date-parts":[["2016","2","3"]]},"page":"115","publisher":"BioMed Central","title":"Mental health outcomes in times of economic recession: a systematic literature review.","type":"article-journal","volume":"16"},"uris":["http://www.mendeley.com/documents/?uuid=ceead36e-3779-3d17-98d8-d54fa1fc4b55"]}],"mendeley":{"formattedCitation":"(10)","plainTextFormattedCitation":"(10)","previouslyFormattedCitation":"(10)"},"properties":{"noteIndex":0},"schema":"https://github.com/citation-style-language/schema/raw/master/csl-citation.json"}</w:instrText>
      </w:r>
      <w:r w:rsidR="007A2B2F"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(10)</w:t>
      </w:r>
      <w:r w:rsidR="007A2B2F" w:rsidRPr="0020159A">
        <w:rPr>
          <w:rFonts w:ascii="Arial" w:hAnsi="Arial" w:cs="Arial"/>
          <w:sz w:val="24"/>
          <w:szCs w:val="24"/>
          <w:vertAlign w:val="superscript"/>
        </w:rPr>
        <w:fldChar w:fldCharType="end"/>
      </w:r>
      <w:r w:rsidR="00E356BF" w:rsidRPr="0020159A">
        <w:rPr>
          <w:rFonts w:ascii="Arial" w:hAnsi="Arial" w:cs="Arial"/>
          <w:sz w:val="24"/>
          <w:szCs w:val="24"/>
        </w:rPr>
        <w:t>.</w:t>
      </w:r>
      <w:r w:rsidRPr="0020159A">
        <w:rPr>
          <w:rFonts w:ascii="Arial" w:hAnsi="Arial" w:cs="Arial"/>
          <w:sz w:val="24"/>
          <w:szCs w:val="24"/>
        </w:rPr>
        <w:t xml:space="preserve"> Locally</w:t>
      </w:r>
      <w:r w:rsidR="00E356BF" w:rsidRPr="0020159A">
        <w:rPr>
          <w:rFonts w:ascii="Arial" w:hAnsi="Arial" w:cs="Arial"/>
          <w:sz w:val="24"/>
          <w:szCs w:val="24"/>
        </w:rPr>
        <w:t>,</w:t>
      </w:r>
      <w:r w:rsidRPr="0020159A">
        <w:rPr>
          <w:rFonts w:ascii="Arial" w:hAnsi="Arial" w:cs="Arial"/>
          <w:sz w:val="24"/>
          <w:szCs w:val="24"/>
        </w:rPr>
        <w:t xml:space="preserve"> </w:t>
      </w:r>
      <w:r w:rsidR="00E356BF" w:rsidRPr="0020159A">
        <w:rPr>
          <w:rFonts w:ascii="Arial" w:hAnsi="Arial" w:cs="Arial"/>
          <w:sz w:val="24"/>
          <w:szCs w:val="24"/>
        </w:rPr>
        <w:t xml:space="preserve">timely </w:t>
      </w:r>
      <w:r w:rsidRPr="0020159A">
        <w:rPr>
          <w:rFonts w:ascii="Arial" w:hAnsi="Arial" w:cs="Arial"/>
          <w:sz w:val="24"/>
          <w:szCs w:val="24"/>
        </w:rPr>
        <w:t>beds were difficult to find and 7</w:t>
      </w:r>
      <w:r w:rsidR="009E71DA" w:rsidRPr="0020159A">
        <w:rPr>
          <w:rFonts w:ascii="Arial" w:hAnsi="Arial" w:cs="Arial"/>
          <w:sz w:val="24"/>
          <w:szCs w:val="24"/>
        </w:rPr>
        <w:t>5</w:t>
      </w:r>
      <w:r w:rsidRPr="0020159A">
        <w:rPr>
          <w:rFonts w:ascii="Arial" w:hAnsi="Arial" w:cs="Arial"/>
          <w:sz w:val="24"/>
          <w:szCs w:val="24"/>
        </w:rPr>
        <w:t xml:space="preserve"> </w:t>
      </w:r>
      <w:r w:rsidR="00673981" w:rsidRPr="0020159A">
        <w:rPr>
          <w:rFonts w:ascii="Arial" w:hAnsi="Arial" w:cs="Arial"/>
          <w:sz w:val="24"/>
          <w:szCs w:val="24"/>
        </w:rPr>
        <w:t>patients w</w:t>
      </w:r>
      <w:r w:rsidRPr="0020159A">
        <w:rPr>
          <w:rFonts w:ascii="Arial" w:hAnsi="Arial" w:cs="Arial"/>
          <w:sz w:val="24"/>
          <w:szCs w:val="24"/>
        </w:rPr>
        <w:t>ere being treated</w:t>
      </w:r>
      <w:r w:rsidR="00673981" w:rsidRPr="0020159A">
        <w:rPr>
          <w:rFonts w:ascii="Arial" w:hAnsi="Arial" w:cs="Arial"/>
          <w:sz w:val="24"/>
          <w:szCs w:val="24"/>
        </w:rPr>
        <w:t xml:space="preserve"> in</w:t>
      </w:r>
      <w:r w:rsidRPr="0020159A">
        <w:rPr>
          <w:rFonts w:ascii="Arial" w:hAnsi="Arial" w:cs="Arial"/>
          <w:sz w:val="24"/>
          <w:szCs w:val="24"/>
        </w:rPr>
        <w:t xml:space="preserve"> </w:t>
      </w:r>
      <w:r w:rsidR="009E71DA" w:rsidRPr="0020159A">
        <w:rPr>
          <w:rFonts w:ascii="Arial" w:hAnsi="Arial" w:cs="Arial"/>
          <w:sz w:val="24"/>
          <w:szCs w:val="24"/>
        </w:rPr>
        <w:t>long term</w:t>
      </w:r>
      <w:r w:rsidRPr="0020159A">
        <w:rPr>
          <w:rFonts w:ascii="Arial" w:hAnsi="Arial" w:cs="Arial"/>
          <w:sz w:val="24"/>
          <w:szCs w:val="24"/>
        </w:rPr>
        <w:t xml:space="preserve"> </w:t>
      </w:r>
      <w:r w:rsidR="009E71DA" w:rsidRPr="0020159A">
        <w:rPr>
          <w:rFonts w:ascii="Arial" w:hAnsi="Arial" w:cs="Arial"/>
          <w:sz w:val="24"/>
          <w:szCs w:val="24"/>
        </w:rPr>
        <w:t xml:space="preserve">private sector </w:t>
      </w:r>
      <w:r w:rsidR="009D05AB" w:rsidRPr="0020159A">
        <w:rPr>
          <w:rFonts w:ascii="Arial" w:hAnsi="Arial" w:cs="Arial"/>
          <w:sz w:val="24"/>
          <w:szCs w:val="24"/>
        </w:rPr>
        <w:t>out of area placements (OAP</w:t>
      </w:r>
      <w:r w:rsidR="00B61490" w:rsidRPr="0020159A">
        <w:rPr>
          <w:rFonts w:ascii="Arial" w:hAnsi="Arial" w:cs="Arial"/>
          <w:sz w:val="24"/>
          <w:szCs w:val="24"/>
        </w:rPr>
        <w:t>s</w:t>
      </w:r>
      <w:r w:rsidR="009D05AB" w:rsidRPr="0020159A">
        <w:rPr>
          <w:rFonts w:ascii="Arial" w:hAnsi="Arial" w:cs="Arial"/>
          <w:sz w:val="24"/>
          <w:szCs w:val="24"/>
        </w:rPr>
        <w:t>)</w:t>
      </w:r>
      <w:r w:rsidRPr="0020159A">
        <w:rPr>
          <w:rFonts w:ascii="Arial" w:hAnsi="Arial" w:cs="Arial"/>
          <w:sz w:val="24"/>
          <w:szCs w:val="24"/>
        </w:rPr>
        <w:t xml:space="preserve">. </w:t>
      </w:r>
      <w:r w:rsidR="00E356BF" w:rsidRPr="0020159A">
        <w:rPr>
          <w:rFonts w:ascii="Arial" w:hAnsi="Arial" w:cs="Arial"/>
          <w:sz w:val="24"/>
          <w:szCs w:val="24"/>
        </w:rPr>
        <w:t>I</w:t>
      </w:r>
      <w:r w:rsidR="009D05AB" w:rsidRPr="0020159A">
        <w:rPr>
          <w:rFonts w:ascii="Arial" w:hAnsi="Arial" w:cs="Arial"/>
          <w:sz w:val="24"/>
          <w:szCs w:val="24"/>
        </w:rPr>
        <w:t xml:space="preserve">npatient treatment </w:t>
      </w:r>
      <w:r w:rsidR="00E356BF" w:rsidRPr="0020159A">
        <w:rPr>
          <w:rFonts w:ascii="Arial" w:hAnsi="Arial" w:cs="Arial"/>
          <w:sz w:val="24"/>
          <w:szCs w:val="24"/>
        </w:rPr>
        <w:t xml:space="preserve">delays </w:t>
      </w:r>
      <w:r w:rsidR="009D05AB" w:rsidRPr="0020159A">
        <w:rPr>
          <w:rFonts w:ascii="Arial" w:hAnsi="Arial" w:cs="Arial"/>
          <w:sz w:val="24"/>
          <w:szCs w:val="24"/>
        </w:rPr>
        <w:t xml:space="preserve">would result in deterioration in the community. </w:t>
      </w:r>
      <w:r w:rsidR="00011534" w:rsidRPr="0020159A">
        <w:rPr>
          <w:rFonts w:ascii="Arial" w:hAnsi="Arial" w:cs="Arial"/>
          <w:sz w:val="24"/>
          <w:szCs w:val="24"/>
        </w:rPr>
        <w:t>W</w:t>
      </w:r>
      <w:r w:rsidR="009D05AB" w:rsidRPr="0020159A">
        <w:rPr>
          <w:rFonts w:ascii="Arial" w:hAnsi="Arial" w:cs="Arial"/>
          <w:sz w:val="24"/>
          <w:szCs w:val="24"/>
        </w:rPr>
        <w:t xml:space="preserve">hen </w:t>
      </w:r>
      <w:r w:rsidRPr="0020159A">
        <w:rPr>
          <w:rFonts w:ascii="Arial" w:hAnsi="Arial" w:cs="Arial"/>
          <w:sz w:val="24"/>
          <w:szCs w:val="24"/>
        </w:rPr>
        <w:t xml:space="preserve">admitted, they would </w:t>
      </w:r>
      <w:r w:rsidR="009D05AB" w:rsidRPr="0020159A">
        <w:rPr>
          <w:rFonts w:ascii="Arial" w:hAnsi="Arial" w:cs="Arial"/>
          <w:sz w:val="24"/>
          <w:szCs w:val="24"/>
        </w:rPr>
        <w:t>be</w:t>
      </w:r>
      <w:r w:rsidRPr="0020159A">
        <w:rPr>
          <w:rFonts w:ascii="Arial" w:hAnsi="Arial" w:cs="Arial"/>
          <w:sz w:val="24"/>
          <w:szCs w:val="24"/>
        </w:rPr>
        <w:t xml:space="preserve"> so unwell that they </w:t>
      </w:r>
      <w:r w:rsidR="009D05AB" w:rsidRPr="0020159A">
        <w:rPr>
          <w:rFonts w:ascii="Arial" w:hAnsi="Arial" w:cs="Arial"/>
          <w:sz w:val="24"/>
          <w:szCs w:val="24"/>
        </w:rPr>
        <w:t xml:space="preserve">would </w:t>
      </w:r>
      <w:r w:rsidR="00E356BF" w:rsidRPr="0020159A">
        <w:rPr>
          <w:rFonts w:ascii="Arial" w:hAnsi="Arial" w:cs="Arial"/>
          <w:sz w:val="24"/>
          <w:szCs w:val="24"/>
        </w:rPr>
        <w:t xml:space="preserve">need longer hospital stays, </w:t>
      </w:r>
      <w:r w:rsidR="009D05AB" w:rsidRPr="0020159A">
        <w:rPr>
          <w:rFonts w:ascii="Arial" w:hAnsi="Arial" w:cs="Arial"/>
          <w:sz w:val="24"/>
          <w:szCs w:val="24"/>
        </w:rPr>
        <w:t>have poor outcomes and</w:t>
      </w:r>
      <w:r w:rsidRPr="0020159A">
        <w:rPr>
          <w:rFonts w:ascii="Arial" w:hAnsi="Arial" w:cs="Arial"/>
          <w:sz w:val="24"/>
          <w:szCs w:val="24"/>
        </w:rPr>
        <w:t xml:space="preserve"> perpetuat</w:t>
      </w:r>
      <w:r w:rsidR="00E356BF" w:rsidRPr="0020159A">
        <w:rPr>
          <w:rFonts w:ascii="Arial" w:hAnsi="Arial" w:cs="Arial"/>
          <w:sz w:val="24"/>
          <w:szCs w:val="24"/>
        </w:rPr>
        <w:t>e</w:t>
      </w:r>
      <w:r w:rsidRPr="0020159A">
        <w:rPr>
          <w:rFonts w:ascii="Arial" w:hAnsi="Arial" w:cs="Arial"/>
          <w:sz w:val="24"/>
          <w:szCs w:val="24"/>
        </w:rPr>
        <w:t xml:space="preserve"> the bed shortage</w:t>
      </w:r>
      <w:r w:rsidR="00E356BF" w:rsidRPr="0020159A">
        <w:rPr>
          <w:rFonts w:ascii="Arial" w:hAnsi="Arial" w:cs="Arial"/>
          <w:sz w:val="24"/>
          <w:szCs w:val="24"/>
        </w:rPr>
        <w:t xml:space="preserve"> cycle</w:t>
      </w:r>
      <w:r w:rsidR="000D0A8B"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 xml:space="preserve">ADDIN CSL_CITATION {"citationItems":[{"id":"ITEM-1","itemData":{"author":[{"dropping-particle":"","family":"Mental Health Taskforce","given":"Independent","non-dropping-particle":"","parse-names":false,"suffix":""}],"id":"ITEM-1","issued":{"date-parts":[["2016"]]},"title":"THE FIVE YEAR FORWARD VIEW FOR MENTAL HEALTH","type":"report"},"uris":["http://www.mendeley.com/documents/?uuid=6e963c59-2093-3936-b985-15029b4d1958"]},{"id":"ITEM-2","itemData":{"abstract":"Key messages </w:instrText>
      </w:r>
      <w:r w:rsidR="00343664" w:rsidRPr="0020159A">
        <w:rPr>
          <w:rFonts w:ascii="Arial" w:hAnsi="Arial" w:cs="Arial"/>
          <w:sz w:val="24"/>
          <w:szCs w:val="24"/>
          <w:vertAlign w:val="superscript"/>
        </w:rPr>
        <w:instrText xml:space="preserve"> An absence of robust data makes it difficult to provide a definitive assessment of the state of mental health services. What is clear is that it is a sector under huge pressure. While increased political support and a stronger policy focus is welcome, parity of esteem for mental health remains a long way off. </w:instrText>
      </w:r>
      <w:r w:rsidR="00343664" w:rsidRPr="0020159A">
        <w:rPr>
          <w:rFonts w:ascii="Arial" w:hAnsi="Arial" w:cs="Arial"/>
          <w:sz w:val="24"/>
          <w:szCs w:val="24"/>
          <w:vertAlign w:val="superscript"/>
        </w:rPr>
        <w:instrText xml:space="preserve"> Funding for mental health services has been cut in recent years. Our analysis shows that around 40 per cent of mental health trusts experienced reductions in income in 2013/14 and 2014/15. </w:instrText>
      </w:r>
      <w:r w:rsidR="00343664" w:rsidRPr="0020159A">
        <w:rPr>
          <w:rFonts w:ascii="Arial" w:hAnsi="Arial" w:cs="Arial"/>
          <w:sz w:val="24"/>
          <w:szCs w:val="24"/>
          <w:vertAlign w:val="superscript"/>
        </w:rPr>
        <w:instrText xml:space="preserve"> There is widespread evidence of poor-quality care. Only 14 per cent of patients say that they received appropriate care in a crisis, and there has been an increase in the number of patients who report a poor experience of community mental health care. </w:instrText>
      </w:r>
      <w:r w:rsidR="00343664" w:rsidRPr="0020159A">
        <w:rPr>
          <w:rFonts w:ascii="Arial" w:hAnsi="Arial" w:cs="Arial"/>
          <w:sz w:val="24"/>
          <w:szCs w:val="24"/>
          <w:vertAlign w:val="superscript"/>
        </w:rPr>
        <w:instrText xml:space="preserve"> Bed occupancy in inpatient facilities is frequently well above recommended levels, with community services, in particular crisis resolution and home treatment teams, often unable to provide sufficient levels of support to compensate for reductions in beds. This is having a negative impact on safety and quality of care. </w:instrText>
      </w:r>
      <w:r w:rsidR="00343664" w:rsidRPr="0020159A">
        <w:rPr>
          <w:rFonts w:ascii="Arial" w:hAnsi="Arial" w:cs="Arial"/>
          <w:sz w:val="24"/>
          <w:szCs w:val="24"/>
          <w:vertAlign w:val="superscript"/>
        </w:rPr>
        <w:instrText xml:space="preserve"> The lack of available beds is leading to high numbers of out-of-area placements for inpatients. Out-of-area placements are costly, have a detrimental impact on the experience of patients and are associated with an increased risk of suicide. </w:instrText>
      </w:r>
      <w:r w:rsidR="00343664" w:rsidRPr="0020159A">
        <w:rPr>
          <w:rFonts w:ascii="Arial" w:hAnsi="Arial" w:cs="Arial"/>
          <w:sz w:val="24"/>
          <w:szCs w:val="24"/>
          <w:vertAlign w:val="superscript"/>
        </w:rPr>
        <w:instrText xml:space="preserve"> In recent years, mental health providers have embarked on transformation programmes to implement large-scale changes to services, workforce and corporate infrastructure. </w:instrText>
      </w:r>
      <w:r w:rsidR="00343664" w:rsidRPr="0020159A">
        <w:rPr>
          <w:rFonts w:ascii="Arial" w:hAnsi="Arial" w:cs="Arial"/>
          <w:sz w:val="24"/>
          <w:szCs w:val="24"/>
          <w:vertAlign w:val="superscript"/>
        </w:rPr>
        <w:instrText xml:space="preserve"> These programmes have been based on reducing costs, shifting demand away from acute services, and delivering care focused on recovery and self-management. </w:instrText>
      </w:r>
      <w:r w:rsidR="00343664" w:rsidRPr="0020159A">
        <w:rPr>
          <w:rFonts w:ascii="Arial" w:hAnsi="Arial" w:cs="Arial"/>
          <w:sz w:val="24"/>
          <w:szCs w:val="24"/>
          <w:vertAlign w:val="superscript"/>
        </w:rPr>
        <w:instrText xml:space="preserve"> This has seen reconfiguration of the evidence-based services implemented under previous national programmes, notably the National Service Framework for Mental Health, in favour of care pathways and models of care in which the evidence base on what works is often limited. These initiatives represent a leap in the dark, with little formal evaluation to indicate impact on the quality of or access to care. </w:instrText>
      </w:r>
      <w:r w:rsidR="00343664" w:rsidRPr="0020159A">
        <w:rPr>
          <w:rFonts w:ascii="Arial" w:hAnsi="Arial" w:cs="Arial"/>
          <w:sz w:val="24"/>
          <w:szCs w:val="24"/>
          <w:vertAlign w:val="superscript"/>
        </w:rPr>
        <w:instrText xml:space="preserve"> These transformation programmes have usually resulted in cost reductions and have prevented many mental health providers from falling into deficit. This may 2 have come at the expense of patient care. There is evidence of increased variation in care and reduced access to services as a result of the changes. </w:instrText>
      </w:r>
      <w:r w:rsidR="00343664" w:rsidRPr="0020159A">
        <w:rPr>
          <w:rFonts w:ascii="Arial" w:hAnsi="Arial" w:cs="Arial"/>
          <w:sz w:val="24"/>
          <w:szCs w:val="24"/>
          <w:vertAlign w:val="superscript"/>
        </w:rPr>
        <w:instrText> These transformation programmes have also resulted in far-reaching changes to the mental health workforce and …","author":[{"dropping-particle":"","family":"Kings Fund","given":"","non-dropping-particle":"","parse-names":false,"suffix":""}],"id":"ITEM-2","issued":{"date-parts":[["0"]]},"title":"Mental health under pressure","type":"report"},"uris":["http://www.mendeley.com/documents/?uuid=1e4a46db-f51f-350a-b73b-8c3c24108228"]}],"mendeley":{"formattedCitation":"(11,12)","plainTextFormattedCitation":"(11,12)","previouslyFormattedCitation":"(11,12)"},"properties":{"noteIndex":0},"schema":"https://github.com/citation-style-language/schema/raw/master/csl-citation.json"}</w:instrText>
      </w:r>
      <w:r w:rsidR="000D0A8B"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(11,12)</w:t>
      </w:r>
      <w:r w:rsidR="000D0A8B" w:rsidRPr="0020159A">
        <w:rPr>
          <w:rFonts w:ascii="Arial" w:hAnsi="Arial" w:cs="Arial"/>
          <w:sz w:val="24"/>
          <w:szCs w:val="24"/>
          <w:vertAlign w:val="superscript"/>
        </w:rPr>
        <w:fldChar w:fldCharType="end"/>
      </w:r>
      <w:r w:rsidRPr="0020159A">
        <w:rPr>
          <w:rFonts w:ascii="Arial" w:hAnsi="Arial" w:cs="Arial"/>
          <w:sz w:val="24"/>
          <w:szCs w:val="24"/>
        </w:rPr>
        <w:t>.</w:t>
      </w:r>
      <w:r w:rsidR="000E719C" w:rsidRPr="0020159A">
        <w:rPr>
          <w:rFonts w:ascii="Arial" w:hAnsi="Arial" w:cs="Arial"/>
          <w:sz w:val="24"/>
          <w:szCs w:val="24"/>
        </w:rPr>
        <w:t xml:space="preserve"> </w:t>
      </w:r>
      <w:r w:rsidR="009D05AB" w:rsidRPr="0020159A">
        <w:rPr>
          <w:rFonts w:ascii="Arial" w:hAnsi="Arial" w:cs="Arial"/>
          <w:sz w:val="24"/>
          <w:szCs w:val="24"/>
        </w:rPr>
        <w:t xml:space="preserve">If they ended up </w:t>
      </w:r>
      <w:r w:rsidR="00FA6B00" w:rsidRPr="0020159A">
        <w:rPr>
          <w:rFonts w:ascii="Arial" w:hAnsi="Arial" w:cs="Arial"/>
          <w:sz w:val="24"/>
          <w:szCs w:val="24"/>
        </w:rPr>
        <w:t>as</w:t>
      </w:r>
      <w:r w:rsidR="009D05AB" w:rsidRPr="0020159A">
        <w:rPr>
          <w:rFonts w:ascii="Arial" w:hAnsi="Arial" w:cs="Arial"/>
          <w:sz w:val="24"/>
          <w:szCs w:val="24"/>
        </w:rPr>
        <w:t xml:space="preserve"> an OAP</w:t>
      </w:r>
      <w:r w:rsidR="00FA6B00" w:rsidRPr="0020159A">
        <w:rPr>
          <w:rFonts w:ascii="Arial" w:hAnsi="Arial" w:cs="Arial"/>
          <w:sz w:val="24"/>
          <w:szCs w:val="24"/>
        </w:rPr>
        <w:t>,</w:t>
      </w:r>
      <w:r w:rsidR="009D05AB" w:rsidRPr="0020159A">
        <w:rPr>
          <w:rFonts w:ascii="Arial" w:hAnsi="Arial" w:cs="Arial"/>
          <w:sz w:val="24"/>
          <w:szCs w:val="24"/>
        </w:rPr>
        <w:t xml:space="preserve"> b</w:t>
      </w:r>
      <w:r w:rsidRPr="0020159A">
        <w:rPr>
          <w:rFonts w:ascii="Arial" w:hAnsi="Arial" w:cs="Arial"/>
          <w:sz w:val="24"/>
          <w:szCs w:val="24"/>
        </w:rPr>
        <w:t xml:space="preserve">eing away from their families </w:t>
      </w:r>
      <w:r w:rsidR="009D05AB" w:rsidRPr="0020159A">
        <w:rPr>
          <w:rFonts w:ascii="Arial" w:hAnsi="Arial" w:cs="Arial"/>
          <w:sz w:val="24"/>
          <w:szCs w:val="24"/>
        </w:rPr>
        <w:t xml:space="preserve">would </w:t>
      </w:r>
      <w:r w:rsidRPr="0020159A">
        <w:rPr>
          <w:rFonts w:ascii="Arial" w:hAnsi="Arial" w:cs="Arial"/>
          <w:sz w:val="24"/>
          <w:szCs w:val="24"/>
        </w:rPr>
        <w:t>result in poor patient experience</w:t>
      </w:r>
      <w:r w:rsidR="007B2323"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Edwards","given":"Tom","non-dropping-particle":"","parse-names":false,"suffix":""},{"dropping-particle":"","family":"Wolfson","given":"Paul","non-dropping-particle":"","parse-names":false,"suffix":""},{"dropping-particle":"","family":"Killaspy","given":"Helen","non-dropping-particle":"","parse-names":false,"suffix":""}],"id":"ITEM-1","issued":{"date-parts":[["2012"]]},"title":"A guide to good practice in the use of out-of-area placements","type":"report"},"uris":["http://www.mendeley.com/documents/?uuid=fe686769-692b-38bf-a8ac-f37dfa330da4"]},{"id":"ITEM-2","itemData":{"DOI":"10.1111/j.1365-2850.2009.01501.x","ISBN":"1365-2850\\r1351-0126","ISSN":"13510126","PMID":"19930367","abstract":"To provide efficient and effective inpatient mental health services, it is imperative to not only ascertain if service users are satisfied with the care received from nurses, but also the degree to which initial expectations are being met. Ten reports of primary research on service users' experiences, perceptions and expectations of inpatient mental health care were examined to understand what service users' expect of inpatient mental health care and the implications for nursing practice. The World Health Organization's description of responsiveness to service users' non-medical expectations of care was used as a framework for retrieving literature and organizing the research outcomes. Responsiveness includes seven categories of healthcare performance ranging from respect for the dignity of the person, to adequacy of amenities, and choice of provider. Service users expect to form interpersonal relationships with nurses; however, non-clinical responsibilities serve as barriers which consume considerable available nursing time that otherwise could be spent developing therapeutic relationships. In addition, inpatient programming ideas are identified for the provision of better services. Hospitals' expectations of mental health nurses will need to be reconsidered if these nurses are to provide the time and resources necessary to meet current service users' expectations.","author":[{"dropping-particle":"","family":"Hopkins","given":"J. E.","non-dropping-particle":"","parse-names":false,"suffix":""},{"dropping-particle":"","family":"Loeb","given":"S. J.","non-dropping-particle":"","parse-names":false,"suffix":""},{"dropping-particle":"","family":"Fick","given":"D. M.","non-dropping-particle":"","parse-names":false,"suffix":""}],"container-title":"Journal of Psychiatric and Mental Health Nursing","id":"ITEM-2","issue":"10","issued":{"date-parts":[["2009"]]},"page":"927-937","title":"Beyond satisfaction, what service users expect of inpatient mental health care: A literature review","type":"article-journal","volume":"16"},"uris":["http://www.mendeley.com/documents/?uuid=88b035f6-1130-4358-8b1d-a7abf79f37f3"]}],"mendeley":{"formattedCitation":"(13,14)","plainTextFormattedCitation":"(13,14)","previouslyFormattedCitation":"(13,14)"},"properties":{"noteIndex":0},"schema":"https://github.com/citation-style-language/schema/raw/master/csl-citation.json"}</w:instrText>
      </w:r>
      <w:r w:rsidR="007B2323"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(13,14)</w:t>
      </w:r>
      <w:r w:rsidR="007B2323" w:rsidRPr="0020159A">
        <w:rPr>
          <w:rFonts w:ascii="Arial" w:hAnsi="Arial" w:cs="Arial"/>
          <w:sz w:val="24"/>
          <w:szCs w:val="24"/>
          <w:vertAlign w:val="superscript"/>
        </w:rPr>
        <w:fldChar w:fldCharType="end"/>
      </w:r>
      <w:r w:rsidRPr="0020159A">
        <w:rPr>
          <w:rFonts w:ascii="Arial" w:hAnsi="Arial" w:cs="Arial"/>
          <w:sz w:val="24"/>
          <w:szCs w:val="24"/>
        </w:rPr>
        <w:t xml:space="preserve">. </w:t>
      </w:r>
      <w:r w:rsidR="00FA6B00" w:rsidRPr="0020159A">
        <w:rPr>
          <w:rFonts w:ascii="Arial" w:hAnsi="Arial" w:cs="Arial"/>
          <w:sz w:val="24"/>
          <w:szCs w:val="24"/>
        </w:rPr>
        <w:t xml:space="preserve">OAPs </w:t>
      </w:r>
      <w:r w:rsidR="00CF3FCA" w:rsidRPr="0020159A">
        <w:rPr>
          <w:rFonts w:ascii="Arial" w:hAnsi="Arial" w:cs="Arial"/>
          <w:sz w:val="24"/>
          <w:szCs w:val="24"/>
        </w:rPr>
        <w:t xml:space="preserve">diverted finances </w:t>
      </w:r>
      <w:r w:rsidR="00E4016C" w:rsidRPr="0020159A">
        <w:rPr>
          <w:rFonts w:ascii="Arial" w:hAnsi="Arial" w:cs="Arial"/>
          <w:sz w:val="24"/>
          <w:szCs w:val="24"/>
        </w:rPr>
        <w:t>away from</w:t>
      </w:r>
      <w:r w:rsidRPr="0020159A">
        <w:rPr>
          <w:rFonts w:ascii="Arial" w:hAnsi="Arial" w:cs="Arial"/>
          <w:sz w:val="24"/>
          <w:szCs w:val="24"/>
        </w:rPr>
        <w:t xml:space="preserve"> community services which was </w:t>
      </w:r>
      <w:r w:rsidR="00E4016C" w:rsidRPr="0020159A">
        <w:rPr>
          <w:rFonts w:ascii="Arial" w:hAnsi="Arial" w:cs="Arial"/>
          <w:sz w:val="24"/>
          <w:szCs w:val="24"/>
        </w:rPr>
        <w:t xml:space="preserve">delivering </w:t>
      </w:r>
      <w:r w:rsidRPr="0020159A">
        <w:rPr>
          <w:rFonts w:ascii="Arial" w:hAnsi="Arial" w:cs="Arial"/>
          <w:sz w:val="24"/>
          <w:szCs w:val="24"/>
        </w:rPr>
        <w:t xml:space="preserve">most </w:t>
      </w:r>
      <w:r w:rsidR="00E4016C" w:rsidRPr="0020159A">
        <w:rPr>
          <w:rFonts w:ascii="Arial" w:hAnsi="Arial" w:cs="Arial"/>
          <w:sz w:val="24"/>
          <w:szCs w:val="24"/>
        </w:rPr>
        <w:t xml:space="preserve">of the </w:t>
      </w:r>
      <w:r w:rsidR="006C192C" w:rsidRPr="0020159A">
        <w:rPr>
          <w:rFonts w:ascii="Arial" w:hAnsi="Arial" w:cs="Arial"/>
          <w:sz w:val="24"/>
          <w:szCs w:val="24"/>
        </w:rPr>
        <w:t>CIPs</w:t>
      </w:r>
      <w:r w:rsidR="000D0A8B"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 xml:space="preserve">ADDIN CSL_CITATION {"citationItems":[{"id":"ITEM-1","itemData":{"abstract":"Key messages </w:instrText>
      </w:r>
      <w:r w:rsidR="00343664" w:rsidRPr="0020159A">
        <w:rPr>
          <w:rFonts w:ascii="Arial" w:hAnsi="Arial" w:cs="Arial"/>
          <w:sz w:val="24"/>
          <w:szCs w:val="24"/>
          <w:vertAlign w:val="superscript"/>
        </w:rPr>
        <w:instrText xml:space="preserve"> An absence of robust data makes it difficult to provide a definitive assessment of the state of mental health services. What is clear is that it is a sector under huge pressure. While increased political support and a stronger policy focus is welcome, parity of esteem for mental health remains a long way off. </w:instrText>
      </w:r>
      <w:r w:rsidR="00343664" w:rsidRPr="0020159A">
        <w:rPr>
          <w:rFonts w:ascii="Arial" w:hAnsi="Arial" w:cs="Arial"/>
          <w:sz w:val="24"/>
          <w:szCs w:val="24"/>
          <w:vertAlign w:val="superscript"/>
        </w:rPr>
        <w:instrText xml:space="preserve"> Funding for mental health services has been cut in recent years. Our analysis shows that around 40 per cent of mental health trusts experienced reductions in income in 2013/14 and 2014/15. </w:instrText>
      </w:r>
      <w:r w:rsidR="00343664" w:rsidRPr="0020159A">
        <w:rPr>
          <w:rFonts w:ascii="Arial" w:hAnsi="Arial" w:cs="Arial"/>
          <w:sz w:val="24"/>
          <w:szCs w:val="24"/>
          <w:vertAlign w:val="superscript"/>
        </w:rPr>
        <w:instrText xml:space="preserve"> There is widespread evidence of poor-quality care. Only 14 per cent of patients say that they received appropriate care in a crisis, and there has been an increase in the number of patients who report a poor experience of community mental health care. </w:instrText>
      </w:r>
      <w:r w:rsidR="00343664" w:rsidRPr="0020159A">
        <w:rPr>
          <w:rFonts w:ascii="Arial" w:hAnsi="Arial" w:cs="Arial"/>
          <w:sz w:val="24"/>
          <w:szCs w:val="24"/>
          <w:vertAlign w:val="superscript"/>
        </w:rPr>
        <w:instrText xml:space="preserve"> Bed occupancy in inpatient facilities is frequently well above recommended levels, with community services, in particular crisis resolution and home treatment teams, often unable to provide sufficient levels of support to compensate for reductions in beds. This is having a negative impact on safety and quality of care. </w:instrText>
      </w:r>
      <w:r w:rsidR="00343664" w:rsidRPr="0020159A">
        <w:rPr>
          <w:rFonts w:ascii="Arial" w:hAnsi="Arial" w:cs="Arial"/>
          <w:sz w:val="24"/>
          <w:szCs w:val="24"/>
          <w:vertAlign w:val="superscript"/>
        </w:rPr>
        <w:instrText xml:space="preserve"> The lack of available beds is leading to high numbers of out-of-area placements for inpatients. Out-of-area placements are costly, have a detrimental impact on the experience of patients and are associated with an increased risk of suicide. </w:instrText>
      </w:r>
      <w:r w:rsidR="00343664" w:rsidRPr="0020159A">
        <w:rPr>
          <w:rFonts w:ascii="Arial" w:hAnsi="Arial" w:cs="Arial"/>
          <w:sz w:val="24"/>
          <w:szCs w:val="24"/>
          <w:vertAlign w:val="superscript"/>
        </w:rPr>
        <w:instrText xml:space="preserve"> In recent years, mental health providers have embarked on transformation programmes to implement large-scale changes to services, workforce and corporate infrastructure. </w:instrText>
      </w:r>
      <w:r w:rsidR="00343664" w:rsidRPr="0020159A">
        <w:rPr>
          <w:rFonts w:ascii="Arial" w:hAnsi="Arial" w:cs="Arial"/>
          <w:sz w:val="24"/>
          <w:szCs w:val="24"/>
          <w:vertAlign w:val="superscript"/>
        </w:rPr>
        <w:instrText xml:space="preserve"> These programmes have been based on reducing costs, shifting demand away from acute services, and delivering care focused on recovery and self-management. </w:instrText>
      </w:r>
      <w:r w:rsidR="00343664" w:rsidRPr="0020159A">
        <w:rPr>
          <w:rFonts w:ascii="Arial" w:hAnsi="Arial" w:cs="Arial"/>
          <w:sz w:val="24"/>
          <w:szCs w:val="24"/>
          <w:vertAlign w:val="superscript"/>
        </w:rPr>
        <w:instrText xml:space="preserve"> This has seen reconfiguration of the evidence-based services implemented under previous national programmes, notably the National Service Framework for Mental Health, in favour of care pathways and models of care in which the evidence base on what works is often limited. These initiatives represent a leap in the dark, with little formal evaluation to indicate impact on the quality of or access to care. </w:instrText>
      </w:r>
      <w:r w:rsidR="00343664" w:rsidRPr="0020159A">
        <w:rPr>
          <w:rFonts w:ascii="Arial" w:hAnsi="Arial" w:cs="Arial"/>
          <w:sz w:val="24"/>
          <w:szCs w:val="24"/>
          <w:vertAlign w:val="superscript"/>
        </w:rPr>
        <w:instrText xml:space="preserve"> These transformation programmes have usually resulted in cost reductions and have prevented many mental health providers from falling into deficit. This may 2 have come at the expense of patient care. There is evidence of increased variation in care and reduced access to services as a result of the changes. </w:instrText>
      </w:r>
      <w:r w:rsidR="00343664" w:rsidRPr="0020159A">
        <w:rPr>
          <w:rFonts w:ascii="Arial" w:hAnsi="Arial" w:cs="Arial"/>
          <w:sz w:val="24"/>
          <w:szCs w:val="24"/>
          <w:vertAlign w:val="superscript"/>
        </w:rPr>
        <w:instrText> These transformation programmes have also resulted in far-reaching changes to the mental health workforce and …","author":[{"dropping-particle":"","family":"Kings Fund","given":"","non-dropping-particle":"","parse-names":false,"suffix":""}],"id":"ITEM-1","issued":{"date-parts":[["0"]]},"title":"Mental health under pressure","type":"report"},"uris":["http://www.mendeley.com/documents/?uuid=1e4a46db-f51f-350a-b73b-8c3c24108228"]}],"mendeley":{"formattedCitation":"(12)","plainTextFormattedCitation":"(12)","previouslyFormattedCitation":"(12)"},"properties":{"noteIndex":0},"schema":"https://github.com/citation-style-language/schema/raw/master/csl-citation.json"}</w:instrText>
      </w:r>
      <w:r w:rsidR="000D0A8B"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(12)</w:t>
      </w:r>
      <w:r w:rsidR="000D0A8B" w:rsidRPr="0020159A">
        <w:rPr>
          <w:rFonts w:ascii="Arial" w:hAnsi="Arial" w:cs="Arial"/>
          <w:sz w:val="24"/>
          <w:szCs w:val="24"/>
          <w:vertAlign w:val="superscript"/>
        </w:rPr>
        <w:fldChar w:fldCharType="end"/>
      </w:r>
      <w:r w:rsidR="000D0A8B" w:rsidRPr="0020159A">
        <w:rPr>
          <w:rFonts w:ascii="Arial" w:hAnsi="Arial" w:cs="Arial"/>
          <w:sz w:val="24"/>
          <w:szCs w:val="24"/>
        </w:rPr>
        <w:t>.</w:t>
      </w:r>
      <w:r w:rsidRPr="0020159A">
        <w:rPr>
          <w:rFonts w:ascii="Arial" w:hAnsi="Arial" w:cs="Arial"/>
          <w:sz w:val="24"/>
          <w:szCs w:val="24"/>
        </w:rPr>
        <w:t xml:space="preserve"> </w:t>
      </w:r>
    </w:p>
    <w:p w14:paraId="3E278D79" w14:textId="001C6C0F" w:rsidR="000C0472" w:rsidRPr="0020159A" w:rsidRDefault="00E4016C" w:rsidP="00512465">
      <w:pPr>
        <w:rPr>
          <w:rFonts w:ascii="Arial" w:hAnsi="Arial" w:cs="Arial"/>
          <w:sz w:val="24"/>
          <w:szCs w:val="24"/>
        </w:rPr>
      </w:pPr>
      <w:r w:rsidRPr="0020159A">
        <w:rPr>
          <w:rFonts w:ascii="Arial" w:hAnsi="Arial" w:cs="Arial"/>
          <w:sz w:val="24"/>
          <w:szCs w:val="24"/>
        </w:rPr>
        <w:t>R</w:t>
      </w:r>
      <w:r w:rsidR="003952BB" w:rsidRPr="0020159A">
        <w:rPr>
          <w:rFonts w:ascii="Arial" w:hAnsi="Arial" w:cs="Arial"/>
          <w:sz w:val="24"/>
          <w:szCs w:val="24"/>
        </w:rPr>
        <w:t xml:space="preserve">educing community provision </w:t>
      </w:r>
      <w:r w:rsidR="00673981" w:rsidRPr="0020159A">
        <w:rPr>
          <w:rFonts w:ascii="Arial" w:hAnsi="Arial" w:cs="Arial"/>
          <w:sz w:val="24"/>
          <w:szCs w:val="24"/>
        </w:rPr>
        <w:t xml:space="preserve">could be </w:t>
      </w:r>
      <w:r w:rsidR="00FA6B00" w:rsidRPr="0020159A">
        <w:rPr>
          <w:rFonts w:ascii="Arial" w:hAnsi="Arial" w:cs="Arial"/>
          <w:sz w:val="24"/>
          <w:szCs w:val="24"/>
        </w:rPr>
        <w:t>a</w:t>
      </w:r>
      <w:r w:rsidR="003952BB" w:rsidRPr="0020159A">
        <w:rPr>
          <w:rFonts w:ascii="Arial" w:hAnsi="Arial" w:cs="Arial"/>
          <w:sz w:val="24"/>
          <w:szCs w:val="24"/>
        </w:rPr>
        <w:t xml:space="preserve"> false economy</w:t>
      </w:r>
      <w:r w:rsidR="005B427A" w:rsidRPr="0020159A">
        <w:rPr>
          <w:rFonts w:ascii="Arial" w:hAnsi="Arial" w:cs="Arial"/>
          <w:sz w:val="24"/>
          <w:szCs w:val="24"/>
        </w:rPr>
        <w:t xml:space="preserve">. </w:t>
      </w:r>
      <w:r w:rsidR="00FA6B00" w:rsidRPr="0020159A">
        <w:rPr>
          <w:rFonts w:ascii="Arial" w:hAnsi="Arial" w:cs="Arial"/>
          <w:sz w:val="24"/>
          <w:szCs w:val="24"/>
        </w:rPr>
        <w:t>I</w:t>
      </w:r>
      <w:r w:rsidR="000E719C" w:rsidRPr="0020159A">
        <w:rPr>
          <w:rFonts w:ascii="Arial" w:hAnsi="Arial" w:cs="Arial"/>
          <w:sz w:val="24"/>
          <w:szCs w:val="24"/>
        </w:rPr>
        <w:t xml:space="preserve">n </w:t>
      </w:r>
      <w:r w:rsidR="005B427A" w:rsidRPr="0020159A">
        <w:rPr>
          <w:rFonts w:ascii="Arial" w:hAnsi="Arial" w:cs="Arial"/>
          <w:sz w:val="24"/>
          <w:szCs w:val="24"/>
        </w:rPr>
        <w:t>2016 the cost of an adult acute bed per</w:t>
      </w:r>
      <w:r w:rsidR="003952BB" w:rsidRPr="0020159A">
        <w:rPr>
          <w:rFonts w:ascii="Arial" w:hAnsi="Arial" w:cs="Arial"/>
          <w:sz w:val="24"/>
          <w:szCs w:val="24"/>
        </w:rPr>
        <w:t xml:space="preserve"> </w:t>
      </w:r>
      <w:r w:rsidR="005B427A" w:rsidRPr="0020159A">
        <w:rPr>
          <w:rFonts w:ascii="Arial" w:hAnsi="Arial" w:cs="Arial"/>
          <w:sz w:val="24"/>
          <w:szCs w:val="24"/>
        </w:rPr>
        <w:t xml:space="preserve">year stood at </w:t>
      </w:r>
      <w:r w:rsidR="002C1B4C" w:rsidRPr="0020159A">
        <w:rPr>
          <w:rFonts w:ascii="Arial" w:hAnsi="Arial" w:cs="Arial"/>
          <w:sz w:val="24"/>
          <w:szCs w:val="24"/>
        </w:rPr>
        <w:t xml:space="preserve">GBP </w:t>
      </w:r>
      <w:r w:rsidR="005B427A" w:rsidRPr="0020159A">
        <w:rPr>
          <w:rFonts w:ascii="Arial" w:hAnsi="Arial" w:cs="Arial"/>
          <w:sz w:val="24"/>
          <w:szCs w:val="24"/>
        </w:rPr>
        <w:t>131,267</w:t>
      </w:r>
      <w:r w:rsidR="002C1B4C" w:rsidRPr="0020159A">
        <w:rPr>
          <w:rFonts w:ascii="Arial" w:hAnsi="Arial" w:cs="Arial"/>
          <w:sz w:val="24"/>
          <w:szCs w:val="24"/>
        </w:rPr>
        <w:t xml:space="preserve"> (USD 161,879)</w:t>
      </w:r>
      <w:r w:rsidR="00C353C9" w:rsidRPr="0020159A">
        <w:rPr>
          <w:rFonts w:ascii="Arial" w:hAnsi="Arial" w:cs="Arial"/>
          <w:sz w:val="24"/>
          <w:szCs w:val="24"/>
        </w:rPr>
        <w:t>, 6% higher than 2015</w:t>
      </w:r>
      <w:r w:rsidR="000D0A8B"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0D0A8B"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(15)</w:t>
      </w:r>
      <w:r w:rsidR="000D0A8B" w:rsidRPr="0020159A">
        <w:rPr>
          <w:rFonts w:ascii="Arial" w:hAnsi="Arial" w:cs="Arial"/>
          <w:sz w:val="24"/>
          <w:szCs w:val="24"/>
          <w:vertAlign w:val="superscript"/>
        </w:rPr>
        <w:fldChar w:fldCharType="end"/>
      </w:r>
      <w:r w:rsidR="00C353C9" w:rsidRPr="0020159A">
        <w:rPr>
          <w:rFonts w:ascii="Arial" w:hAnsi="Arial" w:cs="Arial"/>
          <w:sz w:val="24"/>
          <w:szCs w:val="24"/>
        </w:rPr>
        <w:t>. For a</w:t>
      </w:r>
      <w:r w:rsidR="00FA6B00" w:rsidRPr="0020159A">
        <w:rPr>
          <w:rFonts w:ascii="Arial" w:hAnsi="Arial" w:cs="Arial"/>
          <w:sz w:val="24"/>
          <w:szCs w:val="24"/>
        </w:rPr>
        <w:t>n individual patient a</w:t>
      </w:r>
      <w:r w:rsidR="00C353C9" w:rsidRPr="0020159A">
        <w:rPr>
          <w:rFonts w:ascii="Arial" w:hAnsi="Arial" w:cs="Arial"/>
          <w:sz w:val="24"/>
          <w:szCs w:val="24"/>
        </w:rPr>
        <w:t xml:space="preserve"> year of generic community mental h</w:t>
      </w:r>
      <w:r w:rsidR="00FA6B00" w:rsidRPr="0020159A">
        <w:rPr>
          <w:rFonts w:ascii="Arial" w:hAnsi="Arial" w:cs="Arial"/>
          <w:sz w:val="24"/>
          <w:szCs w:val="24"/>
        </w:rPr>
        <w:t>ealth support</w:t>
      </w:r>
      <w:r w:rsidR="00C353C9" w:rsidRPr="0020159A">
        <w:rPr>
          <w:rFonts w:ascii="Arial" w:hAnsi="Arial" w:cs="Arial"/>
          <w:sz w:val="24"/>
          <w:szCs w:val="24"/>
        </w:rPr>
        <w:t xml:space="preserve"> </w:t>
      </w:r>
      <w:r w:rsidR="003744D8" w:rsidRPr="0020159A">
        <w:rPr>
          <w:rFonts w:ascii="Arial" w:hAnsi="Arial" w:cs="Arial"/>
          <w:sz w:val="24"/>
          <w:szCs w:val="24"/>
        </w:rPr>
        <w:t xml:space="preserve">costed </w:t>
      </w:r>
      <w:r w:rsidR="002C1B4C" w:rsidRPr="0020159A">
        <w:rPr>
          <w:rFonts w:ascii="Arial" w:hAnsi="Arial" w:cs="Arial"/>
          <w:sz w:val="24"/>
          <w:szCs w:val="24"/>
        </w:rPr>
        <w:t xml:space="preserve">GBP </w:t>
      </w:r>
      <w:r w:rsidR="005B427A" w:rsidRPr="0020159A">
        <w:rPr>
          <w:rFonts w:ascii="Arial" w:hAnsi="Arial" w:cs="Arial"/>
          <w:sz w:val="24"/>
          <w:szCs w:val="24"/>
        </w:rPr>
        <w:t>2,880</w:t>
      </w:r>
      <w:r w:rsidR="002C1B4C" w:rsidRPr="0020159A">
        <w:rPr>
          <w:rFonts w:ascii="Arial" w:hAnsi="Arial" w:cs="Arial"/>
          <w:sz w:val="24"/>
          <w:szCs w:val="24"/>
        </w:rPr>
        <w:t xml:space="preserve"> (USD 3551)</w:t>
      </w:r>
      <w:r w:rsidR="00C353C9" w:rsidRPr="0020159A">
        <w:rPr>
          <w:rFonts w:ascii="Arial" w:hAnsi="Arial" w:cs="Arial"/>
          <w:sz w:val="24"/>
          <w:szCs w:val="24"/>
        </w:rPr>
        <w:t>, 3% higher than 2015</w:t>
      </w:r>
      <w:r w:rsidR="000D0A8B"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0D0A8B"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(15)</w:t>
      </w:r>
      <w:r w:rsidR="000D0A8B" w:rsidRPr="0020159A">
        <w:rPr>
          <w:rFonts w:ascii="Arial" w:hAnsi="Arial" w:cs="Arial"/>
          <w:sz w:val="24"/>
          <w:szCs w:val="24"/>
          <w:vertAlign w:val="superscript"/>
        </w:rPr>
        <w:fldChar w:fldCharType="end"/>
      </w:r>
      <w:r w:rsidR="005B427A" w:rsidRPr="0020159A">
        <w:rPr>
          <w:rFonts w:ascii="Arial" w:hAnsi="Arial" w:cs="Arial"/>
          <w:sz w:val="24"/>
          <w:szCs w:val="24"/>
        </w:rPr>
        <w:t xml:space="preserve">. </w:t>
      </w:r>
      <w:r w:rsidR="00DE1A28" w:rsidRPr="0020159A">
        <w:rPr>
          <w:rFonts w:ascii="Arial" w:hAnsi="Arial" w:cs="Arial"/>
          <w:sz w:val="24"/>
          <w:szCs w:val="24"/>
        </w:rPr>
        <w:t xml:space="preserve">The cost of inpatient care </w:t>
      </w:r>
      <w:r w:rsidR="00B6056F" w:rsidRPr="0020159A">
        <w:rPr>
          <w:rFonts w:ascii="Arial" w:hAnsi="Arial" w:cs="Arial"/>
          <w:sz w:val="24"/>
          <w:szCs w:val="24"/>
        </w:rPr>
        <w:t xml:space="preserve">increased more rapidly </w:t>
      </w:r>
      <w:r w:rsidR="00DE1A28" w:rsidRPr="0020159A">
        <w:rPr>
          <w:rFonts w:ascii="Arial" w:hAnsi="Arial" w:cs="Arial"/>
          <w:sz w:val="24"/>
          <w:szCs w:val="24"/>
        </w:rPr>
        <w:t>and annually</w:t>
      </w:r>
      <w:r w:rsidR="009636E3" w:rsidRPr="0020159A">
        <w:rPr>
          <w:rFonts w:ascii="Arial" w:hAnsi="Arial" w:cs="Arial"/>
          <w:sz w:val="24"/>
          <w:szCs w:val="24"/>
        </w:rPr>
        <w:t xml:space="preserve"> the expenditure of </w:t>
      </w:r>
      <w:r w:rsidR="00011534" w:rsidRPr="0020159A">
        <w:rPr>
          <w:rFonts w:ascii="Arial" w:hAnsi="Arial" w:cs="Arial"/>
          <w:sz w:val="24"/>
          <w:szCs w:val="24"/>
        </w:rPr>
        <w:t xml:space="preserve">one adult </w:t>
      </w:r>
      <w:r w:rsidR="009636E3" w:rsidRPr="0020159A">
        <w:rPr>
          <w:rFonts w:ascii="Arial" w:hAnsi="Arial" w:cs="Arial"/>
          <w:sz w:val="24"/>
          <w:szCs w:val="24"/>
        </w:rPr>
        <w:t xml:space="preserve">mental health </w:t>
      </w:r>
      <w:r w:rsidR="00011534" w:rsidRPr="0020159A">
        <w:rPr>
          <w:rFonts w:ascii="Arial" w:hAnsi="Arial" w:cs="Arial"/>
          <w:sz w:val="24"/>
          <w:szCs w:val="24"/>
        </w:rPr>
        <w:t>bed</w:t>
      </w:r>
      <w:r w:rsidR="001D4683" w:rsidRPr="0020159A">
        <w:rPr>
          <w:rFonts w:ascii="Arial" w:hAnsi="Arial" w:cs="Arial"/>
          <w:sz w:val="24"/>
          <w:szCs w:val="24"/>
        </w:rPr>
        <w:t xml:space="preserve"> </w:t>
      </w:r>
      <w:r w:rsidR="009636E3" w:rsidRPr="0020159A">
        <w:rPr>
          <w:rFonts w:ascii="Arial" w:hAnsi="Arial" w:cs="Arial"/>
          <w:sz w:val="24"/>
          <w:szCs w:val="24"/>
        </w:rPr>
        <w:t>can support delivery of care for</w:t>
      </w:r>
      <w:r w:rsidR="000E719C" w:rsidRPr="0020159A">
        <w:rPr>
          <w:rFonts w:ascii="Arial" w:hAnsi="Arial" w:cs="Arial"/>
          <w:sz w:val="24"/>
          <w:szCs w:val="24"/>
        </w:rPr>
        <w:t xml:space="preserve"> 46 </w:t>
      </w:r>
      <w:r w:rsidR="00B6056F" w:rsidRPr="0020159A">
        <w:rPr>
          <w:rFonts w:ascii="Arial" w:hAnsi="Arial" w:cs="Arial"/>
          <w:sz w:val="24"/>
          <w:szCs w:val="24"/>
        </w:rPr>
        <w:t xml:space="preserve">community </w:t>
      </w:r>
      <w:r w:rsidR="000E719C" w:rsidRPr="0020159A">
        <w:rPr>
          <w:rFonts w:ascii="Arial" w:hAnsi="Arial" w:cs="Arial"/>
          <w:sz w:val="24"/>
          <w:szCs w:val="24"/>
        </w:rPr>
        <w:t>patients.</w:t>
      </w:r>
      <w:r w:rsidR="00DE1A28" w:rsidRPr="0020159A">
        <w:rPr>
          <w:rFonts w:ascii="Arial" w:hAnsi="Arial" w:cs="Arial"/>
          <w:sz w:val="24"/>
          <w:szCs w:val="24"/>
        </w:rPr>
        <w:t xml:space="preserve"> Decreasing</w:t>
      </w:r>
      <w:r w:rsidR="005B427A" w:rsidRPr="0020159A">
        <w:rPr>
          <w:rFonts w:ascii="Arial" w:hAnsi="Arial" w:cs="Arial"/>
          <w:sz w:val="24"/>
          <w:szCs w:val="24"/>
        </w:rPr>
        <w:t xml:space="preserve"> community </w:t>
      </w:r>
      <w:r w:rsidR="00DE1A28" w:rsidRPr="0020159A">
        <w:rPr>
          <w:rFonts w:ascii="Arial" w:hAnsi="Arial" w:cs="Arial"/>
          <w:sz w:val="24"/>
          <w:szCs w:val="24"/>
        </w:rPr>
        <w:t>provision</w:t>
      </w:r>
      <w:r w:rsidR="00BC37A9" w:rsidRPr="0020159A">
        <w:rPr>
          <w:rFonts w:ascii="Arial" w:hAnsi="Arial" w:cs="Arial"/>
          <w:sz w:val="24"/>
          <w:szCs w:val="24"/>
        </w:rPr>
        <w:t xml:space="preserve"> delay</w:t>
      </w:r>
      <w:r w:rsidR="00B6056F" w:rsidRPr="0020159A">
        <w:rPr>
          <w:rFonts w:ascii="Arial" w:hAnsi="Arial" w:cs="Arial"/>
          <w:sz w:val="24"/>
          <w:szCs w:val="24"/>
        </w:rPr>
        <w:t>s</w:t>
      </w:r>
      <w:r w:rsidR="00DE1A28" w:rsidRPr="0020159A">
        <w:rPr>
          <w:rFonts w:ascii="Arial" w:hAnsi="Arial" w:cs="Arial"/>
          <w:sz w:val="24"/>
          <w:szCs w:val="24"/>
        </w:rPr>
        <w:t xml:space="preserve"> </w:t>
      </w:r>
      <w:r w:rsidR="00BC37A9" w:rsidRPr="0020159A">
        <w:rPr>
          <w:rFonts w:ascii="Arial" w:hAnsi="Arial" w:cs="Arial"/>
          <w:sz w:val="24"/>
          <w:szCs w:val="24"/>
        </w:rPr>
        <w:t>treatment</w:t>
      </w:r>
      <w:r w:rsidR="00B6056F" w:rsidRPr="0020159A">
        <w:rPr>
          <w:rFonts w:ascii="Arial" w:hAnsi="Arial" w:cs="Arial"/>
          <w:sz w:val="24"/>
          <w:szCs w:val="24"/>
        </w:rPr>
        <w:t>,</w:t>
      </w:r>
      <w:r w:rsidR="00DE1A28" w:rsidRPr="0020159A">
        <w:rPr>
          <w:rFonts w:ascii="Arial" w:hAnsi="Arial" w:cs="Arial"/>
          <w:sz w:val="24"/>
          <w:szCs w:val="24"/>
        </w:rPr>
        <w:t xml:space="preserve"> resulting in more unwell patients needing beds</w:t>
      </w:r>
      <w:r w:rsidR="00B6056F" w:rsidRPr="0020159A">
        <w:rPr>
          <w:rFonts w:ascii="Arial" w:hAnsi="Arial" w:cs="Arial"/>
          <w:sz w:val="24"/>
          <w:szCs w:val="24"/>
        </w:rPr>
        <w:t>,</w:t>
      </w:r>
      <w:r w:rsidR="00DE1A28" w:rsidRPr="0020159A">
        <w:rPr>
          <w:rFonts w:ascii="Arial" w:hAnsi="Arial" w:cs="Arial"/>
          <w:sz w:val="24"/>
          <w:szCs w:val="24"/>
        </w:rPr>
        <w:t xml:space="preserve"> deepening the demand supply mismatch</w:t>
      </w:r>
      <w:r w:rsidR="000D0A8B"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 xml:space="preserve">ADDIN CSL_CITATION {"citationItems":[{"id":"ITEM-1","itemData":{"abstract":"Key messages </w:instrText>
      </w:r>
      <w:r w:rsidR="00343664" w:rsidRPr="0020159A">
        <w:rPr>
          <w:rFonts w:ascii="Arial" w:hAnsi="Arial" w:cs="Arial"/>
          <w:sz w:val="24"/>
          <w:szCs w:val="24"/>
          <w:vertAlign w:val="superscript"/>
        </w:rPr>
        <w:instrText xml:space="preserve"> An absence of robust data makes it difficult to provide a definitive assessment of the state of mental health services. What is clear is that it is a sector under huge pressure. While increased political support and a stronger policy focus is welcome, parity of esteem for mental health remains a long way off. </w:instrText>
      </w:r>
      <w:r w:rsidR="00343664" w:rsidRPr="0020159A">
        <w:rPr>
          <w:rFonts w:ascii="Arial" w:hAnsi="Arial" w:cs="Arial"/>
          <w:sz w:val="24"/>
          <w:szCs w:val="24"/>
          <w:vertAlign w:val="superscript"/>
        </w:rPr>
        <w:instrText xml:space="preserve"> Funding for mental health services has been cut in recent years. Our analysis shows that around 40 per cent of mental health trusts experienced reductions in income in 2013/14 and 2014/15. </w:instrText>
      </w:r>
      <w:r w:rsidR="00343664" w:rsidRPr="0020159A">
        <w:rPr>
          <w:rFonts w:ascii="Arial" w:hAnsi="Arial" w:cs="Arial"/>
          <w:sz w:val="24"/>
          <w:szCs w:val="24"/>
          <w:vertAlign w:val="superscript"/>
        </w:rPr>
        <w:instrText xml:space="preserve"> There is widespread evidence of poor-quality care. Only 14 per cent of patients say that they received appropriate care in a crisis, and there has been an increase in the number of patients who report a poor experience of community mental health care. </w:instrText>
      </w:r>
      <w:r w:rsidR="00343664" w:rsidRPr="0020159A">
        <w:rPr>
          <w:rFonts w:ascii="Arial" w:hAnsi="Arial" w:cs="Arial"/>
          <w:sz w:val="24"/>
          <w:szCs w:val="24"/>
          <w:vertAlign w:val="superscript"/>
        </w:rPr>
        <w:instrText xml:space="preserve"> Bed occupancy in inpatient facilities is frequently well above recommended levels, with community services, in particular crisis resolution and home treatment teams, often unable to provide sufficient levels of support to compensate for reductions in beds. This is having a negative impact on safety and quality of care. </w:instrText>
      </w:r>
      <w:r w:rsidR="00343664" w:rsidRPr="0020159A">
        <w:rPr>
          <w:rFonts w:ascii="Arial" w:hAnsi="Arial" w:cs="Arial"/>
          <w:sz w:val="24"/>
          <w:szCs w:val="24"/>
          <w:vertAlign w:val="superscript"/>
        </w:rPr>
        <w:instrText xml:space="preserve"> The lack of available beds is leading to high numbers of out-of-area placements for inpatients. Out-of-area placements are costly, have a detrimental impact on the experience of patients and are associated with an increased risk of suicide. </w:instrText>
      </w:r>
      <w:r w:rsidR="00343664" w:rsidRPr="0020159A">
        <w:rPr>
          <w:rFonts w:ascii="Arial" w:hAnsi="Arial" w:cs="Arial"/>
          <w:sz w:val="24"/>
          <w:szCs w:val="24"/>
          <w:vertAlign w:val="superscript"/>
        </w:rPr>
        <w:instrText xml:space="preserve"> In recent years, mental health providers have embarked on transformation programmes to implement large-scale changes to services, workforce and corporate infrastructure. </w:instrText>
      </w:r>
      <w:r w:rsidR="00343664" w:rsidRPr="0020159A">
        <w:rPr>
          <w:rFonts w:ascii="Arial" w:hAnsi="Arial" w:cs="Arial"/>
          <w:sz w:val="24"/>
          <w:szCs w:val="24"/>
          <w:vertAlign w:val="superscript"/>
        </w:rPr>
        <w:instrText xml:space="preserve"> These programmes have been based on reducing costs, shifting demand away from acute services, and delivering care focused on recovery and self-management. </w:instrText>
      </w:r>
      <w:r w:rsidR="00343664" w:rsidRPr="0020159A">
        <w:rPr>
          <w:rFonts w:ascii="Arial" w:hAnsi="Arial" w:cs="Arial"/>
          <w:sz w:val="24"/>
          <w:szCs w:val="24"/>
          <w:vertAlign w:val="superscript"/>
        </w:rPr>
        <w:instrText xml:space="preserve"> This has seen reconfiguration of the evidence-based services implemented under previous national programmes, notably the National Service Framework for Mental Health, in favour of care pathways and models of care in which the evidence base on what works is often limited. These initiatives represent a leap in the dark, with little formal evaluation to indicate impact on the quality of or access to care. </w:instrText>
      </w:r>
      <w:r w:rsidR="00343664" w:rsidRPr="0020159A">
        <w:rPr>
          <w:rFonts w:ascii="Arial" w:hAnsi="Arial" w:cs="Arial"/>
          <w:sz w:val="24"/>
          <w:szCs w:val="24"/>
          <w:vertAlign w:val="superscript"/>
        </w:rPr>
        <w:instrText xml:space="preserve"> These transformation programmes have usually resulted in cost reductions and have prevented many mental health providers from falling into deficit. This may 2 have come at the expense of patient care. There is evidence of increased variation in care and reduced access to services as a result of the changes. </w:instrText>
      </w:r>
      <w:r w:rsidR="00343664" w:rsidRPr="0020159A">
        <w:rPr>
          <w:rFonts w:ascii="Arial" w:hAnsi="Arial" w:cs="Arial"/>
          <w:sz w:val="24"/>
          <w:szCs w:val="24"/>
          <w:vertAlign w:val="superscript"/>
        </w:rPr>
        <w:instrText> These transformation programmes have also resulted in far-reaching changes to the mental health workforce and …","author":[{"dropping-particle":"","family":"Kings Fund","given":"","non-dropping-particle":"","parse-names":false,"suffix":""}],"id":"ITEM-1","issued":{"date-parts":[["0"]]},"title":"Mental health under pressure","type":"report"},"uris":["http://www.mendeley.com/documents/?uuid=1e4a46db-f51f-350a-b73b-8c3c24108228"]}],"mendeley":{"formattedCitation":"(12)","plainTextFormattedCitation":"(12)","previouslyFormattedCitation":"(12)"},"properties":{"noteIndex":0},"schema":"https://github.com/citation-style-language/schema/raw/master/csl-citation.json"}</w:instrText>
      </w:r>
      <w:r w:rsidR="000D0A8B"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(12)</w:t>
      </w:r>
      <w:r w:rsidR="000D0A8B" w:rsidRPr="0020159A">
        <w:rPr>
          <w:rFonts w:ascii="Arial" w:hAnsi="Arial" w:cs="Arial"/>
          <w:sz w:val="24"/>
          <w:szCs w:val="24"/>
          <w:vertAlign w:val="superscript"/>
        </w:rPr>
        <w:fldChar w:fldCharType="end"/>
      </w:r>
      <w:r w:rsidR="003952BB" w:rsidRPr="0020159A">
        <w:rPr>
          <w:rFonts w:ascii="Arial" w:hAnsi="Arial" w:cs="Arial"/>
          <w:sz w:val="24"/>
          <w:szCs w:val="24"/>
        </w:rPr>
        <w:t>.</w:t>
      </w:r>
      <w:r w:rsidR="00553A66" w:rsidRPr="0020159A">
        <w:rPr>
          <w:rFonts w:ascii="Arial" w:hAnsi="Arial" w:cs="Arial"/>
          <w:sz w:val="24"/>
          <w:szCs w:val="24"/>
        </w:rPr>
        <w:t xml:space="preserve"> </w:t>
      </w:r>
      <w:r w:rsidR="003952BB" w:rsidRPr="0020159A">
        <w:rPr>
          <w:rFonts w:ascii="Arial" w:hAnsi="Arial" w:cs="Arial"/>
          <w:sz w:val="24"/>
          <w:szCs w:val="24"/>
        </w:rPr>
        <w:t xml:space="preserve">So the </w:t>
      </w:r>
      <w:r w:rsidR="009E71DA" w:rsidRPr="0020159A">
        <w:rPr>
          <w:rFonts w:ascii="Arial" w:hAnsi="Arial" w:cs="Arial"/>
          <w:sz w:val="24"/>
          <w:szCs w:val="24"/>
        </w:rPr>
        <w:t>CIP</w:t>
      </w:r>
      <w:r w:rsidR="003952BB" w:rsidRPr="0020159A">
        <w:rPr>
          <w:rFonts w:ascii="Arial" w:hAnsi="Arial" w:cs="Arial"/>
          <w:sz w:val="24"/>
          <w:szCs w:val="24"/>
        </w:rPr>
        <w:t xml:space="preserve"> was redirected </w:t>
      </w:r>
      <w:r w:rsidR="00C353C9" w:rsidRPr="0020159A">
        <w:rPr>
          <w:rFonts w:ascii="Arial" w:hAnsi="Arial" w:cs="Arial"/>
          <w:sz w:val="24"/>
          <w:szCs w:val="24"/>
        </w:rPr>
        <w:t xml:space="preserve">from community </w:t>
      </w:r>
      <w:r w:rsidR="003952BB" w:rsidRPr="0020159A">
        <w:rPr>
          <w:rFonts w:ascii="Arial" w:hAnsi="Arial" w:cs="Arial"/>
          <w:sz w:val="24"/>
          <w:szCs w:val="24"/>
        </w:rPr>
        <w:t>to inpatient services</w:t>
      </w:r>
      <w:r w:rsidR="000C0472" w:rsidRPr="0020159A">
        <w:rPr>
          <w:rFonts w:ascii="Arial" w:hAnsi="Arial" w:cs="Arial"/>
          <w:sz w:val="24"/>
          <w:szCs w:val="24"/>
        </w:rPr>
        <w:t>.</w:t>
      </w:r>
      <w:r w:rsidR="003952BB" w:rsidRPr="0020159A">
        <w:rPr>
          <w:rFonts w:ascii="Arial" w:hAnsi="Arial" w:cs="Arial"/>
          <w:sz w:val="24"/>
          <w:szCs w:val="24"/>
        </w:rPr>
        <w:t xml:space="preserve"> </w:t>
      </w:r>
      <w:r w:rsidR="000C0472" w:rsidRPr="0020159A">
        <w:rPr>
          <w:rFonts w:ascii="Arial" w:hAnsi="Arial" w:cs="Arial"/>
          <w:sz w:val="24"/>
          <w:szCs w:val="24"/>
        </w:rPr>
        <w:t>A systems solution to inpatient care delivery was needed if there was to be a</w:t>
      </w:r>
      <w:r w:rsidR="003952BB" w:rsidRPr="0020159A">
        <w:rPr>
          <w:rFonts w:ascii="Arial" w:hAnsi="Arial" w:cs="Arial"/>
          <w:sz w:val="24"/>
          <w:szCs w:val="24"/>
        </w:rPr>
        <w:t xml:space="preserve"> reduction of generic adult mental health bed stock and </w:t>
      </w:r>
      <w:r w:rsidR="009E71DA" w:rsidRPr="0020159A">
        <w:rPr>
          <w:rFonts w:ascii="Arial" w:hAnsi="Arial" w:cs="Arial"/>
          <w:sz w:val="24"/>
          <w:szCs w:val="24"/>
        </w:rPr>
        <w:t xml:space="preserve">simultaneous </w:t>
      </w:r>
      <w:r w:rsidR="000C0472" w:rsidRPr="0020159A">
        <w:rPr>
          <w:rFonts w:ascii="Arial" w:hAnsi="Arial" w:cs="Arial"/>
          <w:sz w:val="24"/>
          <w:szCs w:val="24"/>
        </w:rPr>
        <w:t>decrease</w:t>
      </w:r>
      <w:r w:rsidR="001A5B3A" w:rsidRPr="0020159A">
        <w:rPr>
          <w:rFonts w:ascii="Arial" w:hAnsi="Arial" w:cs="Arial"/>
          <w:sz w:val="24"/>
          <w:szCs w:val="24"/>
        </w:rPr>
        <w:t xml:space="preserve"> in</w:t>
      </w:r>
      <w:r w:rsidR="009E71DA" w:rsidRPr="0020159A">
        <w:rPr>
          <w:rFonts w:ascii="Arial" w:hAnsi="Arial" w:cs="Arial"/>
          <w:sz w:val="24"/>
          <w:szCs w:val="24"/>
        </w:rPr>
        <w:t xml:space="preserve"> OA</w:t>
      </w:r>
      <w:r w:rsidR="000C0472" w:rsidRPr="0020159A">
        <w:rPr>
          <w:rFonts w:ascii="Arial" w:hAnsi="Arial" w:cs="Arial"/>
          <w:sz w:val="24"/>
          <w:szCs w:val="24"/>
        </w:rPr>
        <w:t>P</w:t>
      </w:r>
      <w:r w:rsidR="009E71DA" w:rsidRPr="0020159A">
        <w:rPr>
          <w:rFonts w:ascii="Arial" w:hAnsi="Arial" w:cs="Arial"/>
          <w:sz w:val="24"/>
          <w:szCs w:val="24"/>
        </w:rPr>
        <w:t xml:space="preserve">s. </w:t>
      </w:r>
      <w:r w:rsidR="00DE1A28" w:rsidRPr="0020159A">
        <w:rPr>
          <w:rFonts w:ascii="Arial" w:hAnsi="Arial" w:cs="Arial"/>
          <w:sz w:val="24"/>
          <w:szCs w:val="24"/>
        </w:rPr>
        <w:t>M</w:t>
      </w:r>
      <w:r w:rsidR="009E71DA" w:rsidRPr="0020159A">
        <w:rPr>
          <w:rFonts w:ascii="Arial" w:hAnsi="Arial" w:cs="Arial"/>
          <w:sz w:val="24"/>
          <w:szCs w:val="24"/>
        </w:rPr>
        <w:t xml:space="preserve">oneys </w:t>
      </w:r>
      <w:r w:rsidR="00FB2089" w:rsidRPr="0020159A">
        <w:rPr>
          <w:rFonts w:ascii="Arial" w:hAnsi="Arial" w:cs="Arial"/>
          <w:sz w:val="24"/>
          <w:szCs w:val="24"/>
        </w:rPr>
        <w:t xml:space="preserve">released </w:t>
      </w:r>
      <w:r w:rsidR="009E71DA" w:rsidRPr="0020159A">
        <w:rPr>
          <w:rFonts w:ascii="Arial" w:hAnsi="Arial" w:cs="Arial"/>
          <w:sz w:val="24"/>
          <w:szCs w:val="24"/>
        </w:rPr>
        <w:t xml:space="preserve">could </w:t>
      </w:r>
      <w:r w:rsidR="00B6056F" w:rsidRPr="0020159A">
        <w:rPr>
          <w:rFonts w:ascii="Arial" w:hAnsi="Arial" w:cs="Arial"/>
          <w:sz w:val="24"/>
          <w:szCs w:val="24"/>
        </w:rPr>
        <w:t xml:space="preserve">then </w:t>
      </w:r>
      <w:r w:rsidR="00FB2089" w:rsidRPr="0020159A">
        <w:rPr>
          <w:rFonts w:ascii="Arial" w:hAnsi="Arial" w:cs="Arial"/>
          <w:sz w:val="24"/>
          <w:szCs w:val="24"/>
        </w:rPr>
        <w:t xml:space="preserve">be </w:t>
      </w:r>
      <w:r w:rsidR="00DE1A28" w:rsidRPr="0020159A">
        <w:rPr>
          <w:rFonts w:ascii="Arial" w:hAnsi="Arial" w:cs="Arial"/>
          <w:sz w:val="24"/>
          <w:szCs w:val="24"/>
        </w:rPr>
        <w:t>reallocated</w:t>
      </w:r>
      <w:r w:rsidR="00FB2089" w:rsidRPr="0020159A">
        <w:rPr>
          <w:rFonts w:ascii="Arial" w:hAnsi="Arial" w:cs="Arial"/>
          <w:sz w:val="24"/>
          <w:szCs w:val="24"/>
        </w:rPr>
        <w:t xml:space="preserve"> to make community services </w:t>
      </w:r>
      <w:r w:rsidR="009636E3" w:rsidRPr="0020159A">
        <w:rPr>
          <w:rFonts w:ascii="Arial" w:hAnsi="Arial" w:cs="Arial"/>
          <w:sz w:val="24"/>
          <w:szCs w:val="24"/>
        </w:rPr>
        <w:t>robust and</w:t>
      </w:r>
      <w:r w:rsidR="00FB2089" w:rsidRPr="0020159A">
        <w:rPr>
          <w:rFonts w:ascii="Arial" w:hAnsi="Arial" w:cs="Arial"/>
          <w:sz w:val="24"/>
          <w:szCs w:val="24"/>
        </w:rPr>
        <w:t xml:space="preserve"> </w:t>
      </w:r>
      <w:r w:rsidR="000C0472" w:rsidRPr="0020159A">
        <w:rPr>
          <w:rFonts w:ascii="Arial" w:hAnsi="Arial" w:cs="Arial"/>
          <w:sz w:val="24"/>
          <w:szCs w:val="24"/>
        </w:rPr>
        <w:t>responsive</w:t>
      </w:r>
      <w:r w:rsidRPr="0020159A">
        <w:rPr>
          <w:rFonts w:ascii="Arial" w:hAnsi="Arial" w:cs="Arial"/>
          <w:sz w:val="24"/>
          <w:szCs w:val="24"/>
        </w:rPr>
        <w:t>.</w:t>
      </w:r>
    </w:p>
    <w:p w14:paraId="6021FE84" w14:textId="189DFAA9" w:rsidR="00C1080C" w:rsidRPr="0020159A" w:rsidRDefault="004C0163" w:rsidP="00512465">
      <w:pPr>
        <w:rPr>
          <w:rFonts w:ascii="Arial" w:hAnsi="Arial" w:cs="Arial"/>
          <w:sz w:val="24"/>
          <w:szCs w:val="24"/>
        </w:rPr>
      </w:pPr>
      <w:r w:rsidRPr="0020159A">
        <w:rPr>
          <w:rFonts w:ascii="Arial" w:hAnsi="Arial" w:cs="Arial"/>
          <w:sz w:val="24"/>
          <w:szCs w:val="24"/>
        </w:rPr>
        <w:t>In the UK</w:t>
      </w:r>
      <w:r w:rsidR="00231CD0" w:rsidRPr="0020159A">
        <w:rPr>
          <w:rFonts w:ascii="Arial" w:hAnsi="Arial" w:cs="Arial"/>
          <w:sz w:val="24"/>
          <w:szCs w:val="24"/>
        </w:rPr>
        <w:t>,</w:t>
      </w:r>
      <w:r w:rsidRPr="0020159A">
        <w:rPr>
          <w:rFonts w:ascii="Arial" w:hAnsi="Arial" w:cs="Arial"/>
          <w:sz w:val="24"/>
          <w:szCs w:val="24"/>
        </w:rPr>
        <w:t xml:space="preserve"> the last two decades of the 20</w:t>
      </w:r>
      <w:r w:rsidRPr="0020159A">
        <w:rPr>
          <w:rFonts w:ascii="Arial" w:hAnsi="Arial" w:cs="Arial"/>
          <w:sz w:val="24"/>
          <w:szCs w:val="24"/>
          <w:vertAlign w:val="superscript"/>
        </w:rPr>
        <w:t>th</w:t>
      </w:r>
      <w:r w:rsidRPr="0020159A">
        <w:rPr>
          <w:rFonts w:ascii="Arial" w:hAnsi="Arial" w:cs="Arial"/>
          <w:sz w:val="24"/>
          <w:szCs w:val="24"/>
        </w:rPr>
        <w:t xml:space="preserve"> Century witnessed the closure of large mental health institutions and </w:t>
      </w:r>
      <w:r w:rsidR="00231CD0" w:rsidRPr="0020159A">
        <w:rPr>
          <w:rFonts w:ascii="Arial" w:hAnsi="Arial" w:cs="Arial"/>
          <w:sz w:val="24"/>
          <w:szCs w:val="24"/>
        </w:rPr>
        <w:t xml:space="preserve">a </w:t>
      </w:r>
      <w:r w:rsidRPr="0020159A">
        <w:rPr>
          <w:rFonts w:ascii="Arial" w:hAnsi="Arial" w:cs="Arial"/>
          <w:sz w:val="24"/>
          <w:szCs w:val="24"/>
        </w:rPr>
        <w:t>move towards community care</w:t>
      </w:r>
      <w:r w:rsidR="002B2112" w:rsidRPr="0020159A">
        <w:rPr>
          <w:rFonts w:ascii="Arial" w:hAnsi="Arial" w:cs="Arial"/>
          <w:sz w:val="24"/>
          <w:szCs w:val="24"/>
          <w:vertAlign w:val="superscript"/>
        </w:rPr>
        <w:fldChar w:fldCharType="begin" w:fldLock="1"/>
      </w:r>
      <w:r w:rsidR="00525EE7" w:rsidRPr="0020159A">
        <w:rPr>
          <w:rFonts w:ascii="Arial" w:hAnsi="Arial" w:cs="Arial"/>
          <w:sz w:val="24"/>
          <w:szCs w:val="24"/>
          <w:vertAlign w:val="superscript"/>
        </w:rPr>
        <w:instrText>ADDIN CSL_CITATION {"citationItems":[{"id":"ITEM-1","itemData":{"ISSN":"1723-8617","author":[{"dropping-particle":"","family":"Thornicroft","given":"Graham","non-dropping-particle":"","parse-names":false,"suffix":""},{"dropping-particle":"","family":"Tansella","given":"Michele","non-dropping-particle":"","parse-names":false,"suffix":""}],"container-title":"World psychiatry : official journal of the World Psychiatric Association (WPA)","id":"ITEM-1","issue":"2","issued":{"date-parts":[["2002","6"]]},"page":"84-90","publisher":"Masson Italy","title":"Balancing community-basedand hospital-based mental health care","type":"article-journal","volume":"1"},"uris":["http://www.mendeley.com/documents/?uuid=e6744b2e-5b45-42d1-ac76-842b714b4eee"]}],"mendeley":{"formattedCitation":"(16)","plainTextFormattedCitation":"(16)","previouslyFormattedCitation":"(16)"},"properties":{"noteIndex":0},"schema":"https://github.com/citation-style-language/schema/raw/master/csl-citation.json"}</w:instrText>
      </w:r>
      <w:r w:rsidR="002B2112" w:rsidRPr="0020159A">
        <w:rPr>
          <w:rFonts w:ascii="Arial" w:hAnsi="Arial" w:cs="Arial"/>
          <w:sz w:val="24"/>
          <w:szCs w:val="24"/>
          <w:vertAlign w:val="superscript"/>
        </w:rPr>
        <w:fldChar w:fldCharType="separate"/>
      </w:r>
      <w:r w:rsidR="002B2112" w:rsidRPr="0020159A">
        <w:rPr>
          <w:rFonts w:ascii="Arial" w:hAnsi="Arial" w:cs="Arial"/>
          <w:noProof/>
          <w:sz w:val="24"/>
          <w:szCs w:val="24"/>
          <w:vertAlign w:val="superscript"/>
        </w:rPr>
        <w:t>(16)</w:t>
      </w:r>
      <w:r w:rsidR="002B2112" w:rsidRPr="0020159A">
        <w:rPr>
          <w:rFonts w:ascii="Arial" w:hAnsi="Arial" w:cs="Arial"/>
          <w:sz w:val="24"/>
          <w:szCs w:val="24"/>
          <w:vertAlign w:val="superscript"/>
        </w:rPr>
        <w:fldChar w:fldCharType="end"/>
      </w:r>
      <w:r w:rsidRPr="0020159A">
        <w:rPr>
          <w:rFonts w:ascii="Arial" w:hAnsi="Arial" w:cs="Arial"/>
          <w:sz w:val="24"/>
          <w:szCs w:val="24"/>
        </w:rPr>
        <w:t>. In 1999 the National Service Framework was published</w:t>
      </w:r>
      <w:r w:rsidR="00476987" w:rsidRPr="0020159A">
        <w:rPr>
          <w:rFonts w:ascii="Arial" w:hAnsi="Arial" w:cs="Arial"/>
          <w:sz w:val="24"/>
          <w:szCs w:val="24"/>
          <w:vertAlign w:val="superscript"/>
        </w:rPr>
        <w:fldChar w:fldCharType="begin" w:fldLock="1"/>
      </w:r>
      <w:r w:rsidR="00B42665" w:rsidRPr="0020159A">
        <w:rPr>
          <w:rFonts w:ascii="Arial" w:hAnsi="Arial" w:cs="Arial"/>
          <w:sz w:val="24"/>
          <w:szCs w:val="24"/>
          <w:vertAlign w:val="superscript"/>
        </w:rPr>
        <w:instrText>ADDIN CSL_CITATION {"citationItems":[{"id":"ITEM-1","itemData":{"author":[{"dropping-particle":"","family":"Department of Health","given":"","non-dropping-particle":"","parse-names":false,"suffix":""}],"id":"ITEM-1","issued":{"date-parts":[["1999"]]},"title":"Mental Health Modern Standards and Service Models national service frameworks","type":"report"},"uris":["http://www.mendeley.com/documents/?uuid=1788d86d-0e45-49d2-a082-6f727917c310"]}],"mendeley":{"formattedCitation":"(17)","plainTextFormattedCitation":"(17)","previouslyFormattedCitation":"(17)"},"properties":{"noteIndex":0},"schema":"https://github.com/citation-style-language/schema/raw/master/csl-citation.json"}</w:instrText>
      </w:r>
      <w:r w:rsidR="00476987" w:rsidRPr="0020159A">
        <w:rPr>
          <w:rFonts w:ascii="Arial" w:hAnsi="Arial" w:cs="Arial"/>
          <w:sz w:val="24"/>
          <w:szCs w:val="24"/>
          <w:vertAlign w:val="superscript"/>
        </w:rPr>
        <w:fldChar w:fldCharType="separate"/>
      </w:r>
      <w:r w:rsidR="00476987" w:rsidRPr="0020159A">
        <w:rPr>
          <w:rFonts w:ascii="Arial" w:hAnsi="Arial" w:cs="Arial"/>
          <w:noProof/>
          <w:sz w:val="24"/>
          <w:szCs w:val="24"/>
          <w:vertAlign w:val="superscript"/>
        </w:rPr>
        <w:t>(17)</w:t>
      </w:r>
      <w:r w:rsidR="00476987" w:rsidRPr="0020159A">
        <w:rPr>
          <w:rFonts w:ascii="Arial" w:hAnsi="Arial" w:cs="Arial"/>
          <w:sz w:val="24"/>
          <w:szCs w:val="24"/>
          <w:vertAlign w:val="superscript"/>
        </w:rPr>
        <w:fldChar w:fldCharType="end"/>
      </w:r>
      <w:r w:rsidR="00476987" w:rsidRPr="0020159A">
        <w:rPr>
          <w:rFonts w:ascii="Arial" w:hAnsi="Arial" w:cs="Arial"/>
          <w:sz w:val="24"/>
          <w:szCs w:val="24"/>
        </w:rPr>
        <w:t xml:space="preserve">. </w:t>
      </w:r>
      <w:r w:rsidR="00A54DCF" w:rsidRPr="0020159A">
        <w:rPr>
          <w:rFonts w:ascii="Arial" w:hAnsi="Arial" w:cs="Arial"/>
          <w:sz w:val="24"/>
          <w:szCs w:val="24"/>
        </w:rPr>
        <w:t>This</w:t>
      </w:r>
      <w:r w:rsidR="00987687" w:rsidRPr="0020159A">
        <w:rPr>
          <w:rFonts w:ascii="Arial" w:hAnsi="Arial" w:cs="Arial"/>
          <w:sz w:val="24"/>
          <w:szCs w:val="24"/>
        </w:rPr>
        <w:t xml:space="preserve"> was followed by the National Health Service plan in 2000</w:t>
      </w:r>
      <w:r w:rsidR="00603E75" w:rsidRPr="0020159A">
        <w:rPr>
          <w:rFonts w:ascii="Arial" w:hAnsi="Arial" w:cs="Arial"/>
          <w:sz w:val="24"/>
          <w:szCs w:val="24"/>
          <w:vertAlign w:val="superscript"/>
        </w:rPr>
        <w:fldChar w:fldCharType="begin" w:fldLock="1"/>
      </w:r>
      <w:r w:rsidR="003D0047" w:rsidRPr="0020159A">
        <w:rPr>
          <w:rFonts w:ascii="Arial" w:hAnsi="Arial" w:cs="Arial"/>
          <w:sz w:val="24"/>
          <w:szCs w:val="24"/>
          <w:vertAlign w:val="superscript"/>
        </w:rPr>
        <w:instrText>ADDIN CSL_CITATION {"citationItems":[{"id":"ITEM-1","itemData":{"author":[{"dropping-particle":"","family":"Department of Health","given":"","non-dropping-particle":"","parse-names":false,"suffix":""}],"id":"ITEM-1","issued":{"date-parts":[["2000"]]},"title":"The NHS Plan: a plan for investment, a plan for reform","type":"report"},"uris":["http://www.mendeley.com/documents/?uuid=189d9fdc-7395-3bda-a8b0-208badd2d5af"]}],"mendeley":{"formattedCitation":"(18)","plainTextFormattedCitation":"(18)","previouslyFormattedCitation":"(18)"},"properties":{"noteIndex":0},"schema":"https://github.com/citation-style-language/schema/raw/master/csl-citation.json"}</w:instrText>
      </w:r>
      <w:r w:rsidR="00603E75" w:rsidRPr="0020159A">
        <w:rPr>
          <w:rFonts w:ascii="Arial" w:hAnsi="Arial" w:cs="Arial"/>
          <w:sz w:val="24"/>
          <w:szCs w:val="24"/>
          <w:vertAlign w:val="superscript"/>
        </w:rPr>
        <w:fldChar w:fldCharType="separate"/>
      </w:r>
      <w:r w:rsidR="00603E75" w:rsidRPr="0020159A">
        <w:rPr>
          <w:rFonts w:ascii="Arial" w:hAnsi="Arial" w:cs="Arial"/>
          <w:noProof/>
          <w:sz w:val="24"/>
          <w:szCs w:val="24"/>
          <w:vertAlign w:val="superscript"/>
        </w:rPr>
        <w:t>(18)</w:t>
      </w:r>
      <w:r w:rsidR="00603E75" w:rsidRPr="0020159A">
        <w:rPr>
          <w:rFonts w:ascii="Arial" w:hAnsi="Arial" w:cs="Arial"/>
          <w:sz w:val="24"/>
          <w:szCs w:val="24"/>
          <w:vertAlign w:val="superscript"/>
        </w:rPr>
        <w:fldChar w:fldCharType="end"/>
      </w:r>
      <w:r w:rsidR="00603E75" w:rsidRPr="0020159A">
        <w:rPr>
          <w:rFonts w:ascii="Arial" w:hAnsi="Arial" w:cs="Arial"/>
          <w:sz w:val="24"/>
          <w:szCs w:val="24"/>
        </w:rPr>
        <w:t xml:space="preserve"> </w:t>
      </w:r>
      <w:r w:rsidR="00987687" w:rsidRPr="0020159A">
        <w:rPr>
          <w:rFonts w:ascii="Arial" w:hAnsi="Arial" w:cs="Arial"/>
          <w:sz w:val="24"/>
          <w:szCs w:val="24"/>
        </w:rPr>
        <w:t xml:space="preserve">which made CRHTT mandatory for all catchment </w:t>
      </w:r>
      <w:r w:rsidR="00987687" w:rsidRPr="0020159A">
        <w:rPr>
          <w:rFonts w:ascii="Arial" w:hAnsi="Arial" w:cs="Arial"/>
          <w:sz w:val="24"/>
          <w:szCs w:val="24"/>
        </w:rPr>
        <w:lastRenderedPageBreak/>
        <w:t xml:space="preserve">areas in England. There is now considerable evidence to suggest that </w:t>
      </w:r>
      <w:r w:rsidR="00AE4D8F" w:rsidRPr="0020159A">
        <w:rPr>
          <w:rFonts w:ascii="Arial" w:hAnsi="Arial" w:cs="Arial"/>
          <w:sz w:val="24"/>
          <w:szCs w:val="24"/>
        </w:rPr>
        <w:t xml:space="preserve">CRHTTs </w:t>
      </w:r>
      <w:r w:rsidR="00987687" w:rsidRPr="0020159A">
        <w:rPr>
          <w:rFonts w:ascii="Arial" w:hAnsi="Arial" w:cs="Arial"/>
          <w:sz w:val="24"/>
          <w:szCs w:val="24"/>
        </w:rPr>
        <w:t>are an effective alternative to hospital stay</w:t>
      </w:r>
      <w:r w:rsidR="00CF1087" w:rsidRPr="0020159A">
        <w:rPr>
          <w:rFonts w:ascii="Arial" w:hAnsi="Arial" w:cs="Arial"/>
          <w:sz w:val="24"/>
          <w:szCs w:val="24"/>
        </w:rPr>
        <w:t xml:space="preserve"> </w:t>
      </w:r>
      <w:r w:rsidR="00E111F3" w:rsidRPr="0020159A">
        <w:rPr>
          <w:rFonts w:ascii="Arial" w:hAnsi="Arial" w:cs="Arial"/>
          <w:sz w:val="24"/>
          <w:szCs w:val="24"/>
        </w:rPr>
        <w:t>allowing for bed reduction</w:t>
      </w:r>
      <w:r w:rsidR="003D0047" w:rsidRPr="0020159A">
        <w:rPr>
          <w:rFonts w:ascii="Arial" w:hAnsi="Arial" w:cs="Arial"/>
          <w:sz w:val="24"/>
          <w:szCs w:val="24"/>
          <w:vertAlign w:val="superscript"/>
        </w:rPr>
        <w:fldChar w:fldCharType="begin" w:fldLock="1"/>
      </w:r>
      <w:r w:rsidR="003D0047" w:rsidRPr="0020159A">
        <w:rPr>
          <w:rFonts w:ascii="Arial" w:hAnsi="Arial" w:cs="Arial"/>
          <w:sz w:val="24"/>
          <w:szCs w:val="24"/>
          <w:vertAlign w:val="superscript"/>
        </w:rPr>
        <w:instrText>ADDIN CSL_CITATION {"citationItems":[{"id":"ITEM-1","itemData":{"DOI":"10.1192/bjp.bp.110.079830","ISBN":"1472-1465 (Electronic)\\r0007-1250 (Linking)","ISSN":"00071250","PMID":"21292926","abstract":"BACKGROUND: In 2000/01 crisis resolution and home treatment (CRHT) teams were introduced in England and have been associated in previous studies with reductions in in-patient admissions.\\n\\nAIMS: To examine whether the implementation of CRHT teams has been associated with reductions in admissions.\\n\\nMETHOD: We used data from a previous national study for 229 primary care trusts (PCTs) between 1998/99 and 2003/04. We used a robust policy evaluation methodology to simultaneously examine temporal changes (PCTs before versus after the introduction of CRHT teams) and cross-sectional changes (PCTs with and without CRHT teams).\\n\\nRESULTS: Controlling for various confounding factors, using different control groups and estimation methods, we find no significant differences in admissions between PCTs with and without CRHT teams.\\n\\nCONCLUSIONS: Contrary to previous studies, we find no evidence that the CRHT policy per se has made any difference to admissions and suggest a need for more research on the policy as a whole.","author":[{"dropping-particle":"","family":"Jacobs","given":"R.","non-dropping-particle":"","parse-names":false,"suffix":""},{"dropping-particle":"","family":"Barrenho","given":"E.","non-dropping-particle":"","parse-names":false,"suffix":""}],"container-title":"British Journal of Psychiatry","id":"ITEM-1","issue":"1","issued":{"date-parts":[["2011"]]},"page":"71-76","title":"Impact of crisis resolution and home treatment teams on psychiatric admissions in England","type":"article-journal","volume":"199"},"uris":["http://www.mendeley.com/documents/?uuid=f6bc528f-5b0d-43ca-978d-de1b091e0dd1"]},{"id":"ITEM-2","itemData":{"DOI":"10.1192/pb.bp.108.023077","ISSN":"1758-3209","abstract":"Aims and method To compare an existing crisis resolution service with a new crisis resolution team (CRT) in Wales. The impact of the new team was measured by changes in bed days and admissions. A random sample of patients from each service was assessed for service satisfaction, social functioning and quality of life after first presentation. Results The total number of bed days was reduced following the introduction of the new CRT (27.3%). The frequency and duration of compulsory admissions increased by 31% in the CRT between the first and second years and by 7% in the control service, offset by a greater reduction in informal admissions in the CRT (23.5%) compared with the control group (13.3%); overall bed usage was unchanged. Service satisfaction, social functioning and quality of life showed no important differences between the services. Clinical implications Crisis resolution teams may reduce informal admissions in the short term but at the cost of more compulsory admissions later.","author":[{"dropping-particle":"","family":"Tyrer","given":"P","non-dropping-particle":"","parse-names":false,"suffix":""},{"dropping-particle":"","family":"Gordon","given":"F","non-dropping-particle":"","parse-names":false,"suffix":""},{"dropping-particle":"","family":"Nourmand","given":"S","non-dropping-particle":"","parse-names":false,"suffix":""},{"dropping-particle":"","family":"Lawrence","given":"M","non-dropping-particle":"","parse-names":false,"suffix":""},{"dropping-particle":"","family":"Curran","given":"C","non-dropping-particle":"","parse-names":false,"suffix":""},{"dropping-particle":"","family":"Southgate","given":"D","non-dropping-particle":"","parse-names":false,"suffix":""},{"dropping-particle":"","family":"Oruganti","given":"B","non-dropping-particle":"","parse-names":false,"suffix":""},{"dropping-particle":"","family":"Tyler","given":"M","non-dropping-particle":"","parse-names":false,"suffix":""},{"dropping-particle":"","family":"Tottle","given":"S","non-dropping-particle":"","parse-names":false,"suffix":""},{"dropping-particle":"","family":"North","given":"B","non-dropping-particle":"","parse-names":false,"suffix":""},{"dropping-particle":"","family":"Kulinskaya","given":"E","non-dropping-particle":"","parse-names":false,"suffix":""},{"dropping-particle":"","family":"Kaleekal","given":"J T","non-dropping-particle":"","parse-names":false,"suffix":""},{"dropping-particle":"","family":"Morgan","given":"J","non-dropping-particle":"","parse-names":false,"suffix":""}],"container-title":"The Psychiatrist","id":"ITEM-2","issue":"2","issued":{"date-parts":[["2010"]]},"page":"50-54","title":"Controlled comparison of two crisis resolution and home treatment teams","type":"article-journal","volume":"34"},"uris":["http://www.mendeley.com/documents/?uuid=c68cb556-1269-43be-a2d5-762a782a02ea"]},{"id":"ITEM-3","itemData":{"DOI":"10.1192/bjp.187.1.68","ISBN":"0007-1250","ISSN":"00071250","PMID":"15994574","abstract":"BACKGROUND: Crisis resolution teams (CRTs) are being introduced throughout England, but their evidence base is limited. AIMS: To compare outcomes of crises before and after introduction of a CRT. METHOD: A new methodology was developed for identification and operational definition of crises. A quasi-experimental design was used to compare cohorts presenting just before and just after a CRT was established. RESULTS: Following introduction of the CRT, the admission rate in the 6 weeks after a crisis fell from 71% to 49% (OR 0.38, 95% CI 0.21-0.70). A difference of 5.6 points (95% CI 2.0-8.3) on mean Client Satisfaction Questionnaire (CSQ-8) score favoured the CRT. These findings remained significant after adjustment for baseline differences. No clear difference emerged in involuntary hospitalisations, symptoms, social functioning or quality of life. CONCLUSIONS: CRTs may prevent some admissions and patients prefer them, although other outcomes appear unchanged in the short term.","author":[{"dropping-particle":"","family":"Johnson","given":"Sonia","non-dropping-particle":"","parse-names":false,"suffix":""},{"dropping-particle":"","family":"Nolan","given":"Fiona","non-dropping-particle":"","parse-names":false,"suffix":""},{"dropping-particle":"","family":"Hoult","given":"John","non-dropping-particle":"","parse-names":false,"suffix":""},{"dropping-particle":"","family":"White","given":"Ian R.","non-dropping-particle":"","parse-names":false,"suffix":""},{"dropping-particle":"","family":"Bebbington","given":"Paul","non-dropping-particle":"","parse-names":false,"suffix":""},{"dropping-particle":"","family":"Sandor","given":"Andrew","non-dropping-particle":"","parse-names":false,"suffix":""},{"dropping-particle":"","family":"McKenzie","given":"Nigel","non-dropping-particle":"","parse-names":false,"suffix":""},{"dropping-particle":"","family":"Patel","given":"Sejal N.","non-dropping-particle":"","parse-names":false,"suffix":""},{"dropping-particle":"","family":"Pilling","given":"Stephen","non-dropping-particle":"","parse-names":false,"suffix":""}],"container-title":"British Journal of Psychiatry","id":"ITEM-3","issue":"JULY","issued":{"date-parts":[["2005"]]},"page":"68-75","title":"Outcomes of crises before and after introduction of a crisis resolution team","type":"article-journal","volume":"187"},"uris":["http://www.mendeley.com/documents/?uuid=8ce277ed-df8d-4adc-9553-cd472560ec32"]}],"mendeley":{"formattedCitation":"(19–21)","plainTextFormattedCitation":"(19–21)","previouslyFormattedCitation":"(19–21)"},"properties":{"noteIndex":0},"schema":"https://github.com/citation-style-language/schema/raw/master/csl-citation.json"}</w:instrText>
      </w:r>
      <w:r w:rsidR="003D0047" w:rsidRPr="0020159A">
        <w:rPr>
          <w:rFonts w:ascii="Arial" w:hAnsi="Arial" w:cs="Arial"/>
          <w:sz w:val="24"/>
          <w:szCs w:val="24"/>
          <w:vertAlign w:val="superscript"/>
        </w:rPr>
        <w:fldChar w:fldCharType="separate"/>
      </w:r>
      <w:r w:rsidR="003D0047" w:rsidRPr="0020159A">
        <w:rPr>
          <w:rFonts w:ascii="Arial" w:hAnsi="Arial" w:cs="Arial"/>
          <w:noProof/>
          <w:sz w:val="24"/>
          <w:szCs w:val="24"/>
          <w:vertAlign w:val="superscript"/>
        </w:rPr>
        <w:t>(19–21)</w:t>
      </w:r>
      <w:r w:rsidR="003D0047" w:rsidRPr="0020159A">
        <w:rPr>
          <w:rFonts w:ascii="Arial" w:hAnsi="Arial" w:cs="Arial"/>
          <w:sz w:val="24"/>
          <w:szCs w:val="24"/>
          <w:vertAlign w:val="superscript"/>
        </w:rPr>
        <w:fldChar w:fldCharType="end"/>
      </w:r>
      <w:r w:rsidR="00B662EF" w:rsidRPr="0020159A">
        <w:rPr>
          <w:rFonts w:ascii="Arial" w:hAnsi="Arial" w:cs="Arial"/>
          <w:sz w:val="24"/>
          <w:szCs w:val="24"/>
        </w:rPr>
        <w:t>.</w:t>
      </w:r>
      <w:r w:rsidR="00E111F3" w:rsidRPr="0020159A">
        <w:rPr>
          <w:rFonts w:ascii="Arial" w:hAnsi="Arial" w:cs="Arial"/>
          <w:sz w:val="24"/>
          <w:szCs w:val="24"/>
        </w:rPr>
        <w:t xml:space="preserve"> </w:t>
      </w:r>
      <w:r w:rsidR="00987687" w:rsidRPr="0020159A">
        <w:rPr>
          <w:rFonts w:ascii="Arial" w:hAnsi="Arial" w:cs="Arial"/>
          <w:sz w:val="24"/>
          <w:szCs w:val="24"/>
        </w:rPr>
        <w:t>In CPFT</w:t>
      </w:r>
      <w:r w:rsidR="00CF1087" w:rsidRPr="0020159A">
        <w:rPr>
          <w:rFonts w:ascii="Arial" w:hAnsi="Arial" w:cs="Arial"/>
          <w:sz w:val="24"/>
          <w:szCs w:val="24"/>
        </w:rPr>
        <w:t>,</w:t>
      </w:r>
      <w:r w:rsidR="00987687" w:rsidRPr="0020159A">
        <w:rPr>
          <w:rFonts w:ascii="Arial" w:hAnsi="Arial" w:cs="Arial"/>
          <w:sz w:val="24"/>
          <w:szCs w:val="24"/>
        </w:rPr>
        <w:t xml:space="preserve"> CRHTT implementation allowed for closure of a</w:t>
      </w:r>
      <w:r w:rsidR="00AE4D8F" w:rsidRPr="0020159A">
        <w:rPr>
          <w:rFonts w:ascii="Arial" w:hAnsi="Arial" w:cs="Arial"/>
          <w:sz w:val="24"/>
          <w:szCs w:val="24"/>
        </w:rPr>
        <w:t xml:space="preserve">n inpatient </w:t>
      </w:r>
      <w:r w:rsidR="00987687" w:rsidRPr="0020159A">
        <w:rPr>
          <w:rFonts w:ascii="Arial" w:hAnsi="Arial" w:cs="Arial"/>
          <w:sz w:val="24"/>
          <w:szCs w:val="24"/>
        </w:rPr>
        <w:t>ward in 200</w:t>
      </w:r>
      <w:r w:rsidR="00CF1087" w:rsidRPr="0020159A">
        <w:rPr>
          <w:rFonts w:ascii="Arial" w:hAnsi="Arial" w:cs="Arial"/>
          <w:sz w:val="24"/>
          <w:szCs w:val="24"/>
        </w:rPr>
        <w:t>5</w:t>
      </w:r>
      <w:r w:rsidR="00A03CFC" w:rsidRPr="0020159A">
        <w:rPr>
          <w:rFonts w:ascii="Arial" w:hAnsi="Arial" w:cs="Arial"/>
          <w:sz w:val="24"/>
          <w:szCs w:val="24"/>
        </w:rPr>
        <w:t xml:space="preserve"> (CRHTT patient flow diagram available online)</w:t>
      </w:r>
      <w:r w:rsidR="00987687" w:rsidRPr="0020159A">
        <w:rPr>
          <w:rFonts w:ascii="Arial" w:hAnsi="Arial" w:cs="Arial"/>
          <w:sz w:val="24"/>
          <w:szCs w:val="24"/>
        </w:rPr>
        <w:t>.</w:t>
      </w:r>
      <w:r w:rsidR="00B662EF" w:rsidRPr="0020159A">
        <w:rPr>
          <w:rFonts w:ascii="Arial" w:hAnsi="Arial" w:cs="Arial"/>
          <w:sz w:val="24"/>
          <w:szCs w:val="24"/>
        </w:rPr>
        <w:t xml:space="preserve"> </w:t>
      </w:r>
      <w:r w:rsidR="00E111F3" w:rsidRPr="0020159A">
        <w:rPr>
          <w:rFonts w:ascii="Arial" w:hAnsi="Arial" w:cs="Arial"/>
          <w:sz w:val="24"/>
          <w:szCs w:val="24"/>
        </w:rPr>
        <w:t>Even without such alternative to hospital stay, i</w:t>
      </w:r>
      <w:r w:rsidR="00A56123" w:rsidRPr="0020159A">
        <w:rPr>
          <w:rFonts w:ascii="Arial" w:hAnsi="Arial" w:cs="Arial"/>
          <w:sz w:val="24"/>
          <w:szCs w:val="24"/>
        </w:rPr>
        <w:t>n 2006 t</w:t>
      </w:r>
      <w:r w:rsidR="00AE4D8F" w:rsidRPr="0020159A">
        <w:rPr>
          <w:rFonts w:ascii="Arial" w:hAnsi="Arial" w:cs="Arial"/>
          <w:sz w:val="24"/>
          <w:szCs w:val="24"/>
        </w:rPr>
        <w:t xml:space="preserve">he average length of stay </w:t>
      </w:r>
      <w:r w:rsidR="0076492A" w:rsidRPr="0020159A">
        <w:rPr>
          <w:rFonts w:ascii="Arial" w:hAnsi="Arial" w:cs="Arial"/>
          <w:sz w:val="24"/>
          <w:szCs w:val="24"/>
        </w:rPr>
        <w:t xml:space="preserve">in </w:t>
      </w:r>
      <w:r w:rsidR="008B1F97" w:rsidRPr="0020159A">
        <w:rPr>
          <w:rFonts w:ascii="Arial" w:hAnsi="Arial" w:cs="Arial"/>
          <w:sz w:val="24"/>
          <w:szCs w:val="24"/>
        </w:rPr>
        <w:t xml:space="preserve">the </w:t>
      </w:r>
      <w:r w:rsidR="0076492A" w:rsidRPr="0020159A">
        <w:rPr>
          <w:rFonts w:ascii="Arial" w:hAnsi="Arial" w:cs="Arial"/>
          <w:sz w:val="24"/>
          <w:szCs w:val="24"/>
        </w:rPr>
        <w:t xml:space="preserve">US </w:t>
      </w:r>
      <w:r w:rsidR="00AE4D8F" w:rsidRPr="0020159A">
        <w:rPr>
          <w:rFonts w:ascii="Arial" w:hAnsi="Arial" w:cs="Arial"/>
          <w:sz w:val="24"/>
          <w:szCs w:val="24"/>
        </w:rPr>
        <w:t xml:space="preserve">for people with serious mental illness </w:t>
      </w:r>
      <w:r w:rsidR="00293076" w:rsidRPr="0020159A">
        <w:rPr>
          <w:rFonts w:ascii="Arial" w:hAnsi="Arial" w:cs="Arial"/>
          <w:sz w:val="24"/>
          <w:szCs w:val="24"/>
        </w:rPr>
        <w:t>wa</w:t>
      </w:r>
      <w:r w:rsidR="00AE4D8F" w:rsidRPr="0020159A">
        <w:rPr>
          <w:rFonts w:ascii="Arial" w:hAnsi="Arial" w:cs="Arial"/>
          <w:sz w:val="24"/>
          <w:szCs w:val="24"/>
        </w:rPr>
        <w:t xml:space="preserve">s reported to be 10.0 </w:t>
      </w:r>
      <w:r w:rsidR="00AE4D8F" w:rsidRPr="0020159A">
        <w:rPr>
          <w:rFonts w:ascii="Arial" w:hAnsi="Arial" w:cs="Arial"/>
          <w:sz w:val="24"/>
          <w:szCs w:val="24"/>
        </w:rPr>
        <w:sym w:font="Symbol" w:char="F0B1"/>
      </w:r>
      <w:r w:rsidR="00AE4D8F" w:rsidRPr="0020159A">
        <w:rPr>
          <w:rFonts w:ascii="Arial" w:hAnsi="Arial" w:cs="Arial"/>
          <w:sz w:val="24"/>
          <w:szCs w:val="24"/>
        </w:rPr>
        <w:t xml:space="preserve"> 3.0 days</w:t>
      </w:r>
      <w:r w:rsidR="00603E75" w:rsidRPr="0020159A">
        <w:rPr>
          <w:rFonts w:ascii="Arial" w:hAnsi="Arial" w:cs="Arial"/>
          <w:sz w:val="24"/>
          <w:szCs w:val="24"/>
          <w:vertAlign w:val="superscript"/>
        </w:rPr>
        <w:fldChar w:fldCharType="begin" w:fldLock="1"/>
      </w:r>
      <w:r w:rsidR="003D0047" w:rsidRPr="0020159A">
        <w:rPr>
          <w:rFonts w:ascii="Arial" w:hAnsi="Arial" w:cs="Arial"/>
          <w:sz w:val="24"/>
          <w:szCs w:val="24"/>
          <w:vertAlign w:val="superscript"/>
        </w:rPr>
        <w:instrText>ADDIN CSL_CITATION {"citationItems":[{"id":"ITEM-1","itemData":{"DOI":"10.1176/appi.ps.201100412","ISSN":"1075-2730","PMID":"22751995","abstract":"OBJECTIVE This study examined the extent to which hospital and regional characteristics are associated with length of hospitalization among patients with serious mental illness. METHODS Data from the Pennsylvania Health Care Cost Containment Council and 2006 American Hospital Association data were obtained. The sample consisted of 106 hospitals from which 45,497 adults with serious mental illness were discharged in 2006. Guided by the extended version of Andersen's health care utilization model, hierarchical linear modeling, including patient case mix, hospital, and regional characteristics, was used to explain variations in hospitalization length. RESULTS The average length of stay was 10.0 ± 3.0 days. Stays were longer at psychiatric hospitals than at general acute care facilities and at hospitals with a greater percentage of Medicare patients and patients with serious mental illness and a higher rate of readmission. In terms of regional characteristics, stays were also longer at hospitals in counties where the county mental health program received a larger percentage of the state's mental health budget and a smaller share of the budget was used for residential care. CONCLUSIONS Hospital type and case mix, along with the presence of housing resources funded by county mental health programs, were found to be associated with variations in length of hospitalization. Further research of a longitudinal or prospective nature is required to determine whether the availability of housing programs for persons with mental disorders leads to shorter hospital stays for those in crisis and to determine whether longer stays are the result of differences in hospital practices.","author":[{"dropping-particle":"","family":"Lee","given":"Sungkyu","non-dropping-particle":"","parse-names":false,"suffix":""},{"dropping-particle":"","family":"Rothbard","given":"Aileen B.","non-dropping-particle":"","parse-names":false,"suffix":""},{"dropping-particle":"","family":"Noll","given":"Elizabeth L.","non-dropping-particle":"","parse-names":false,"suffix":""}],"container-title":"Psychiatric Services","id":"ITEM-1","issue":"9","issued":{"date-parts":[["2012","9","1"]]},"page":"889-895","title":"Length of Inpatient Stay of Persons With Serious Mental Illness: Effects of Hospital and Regional Characteristics","type":"article-journal","volume":"63"},"uris":["http://www.mendeley.com/documents/?uuid=b8a55017-9209-3087-ac3d-2cbface6f5bc"]}],"mendeley":{"formattedCitation":"(22)","plainTextFormattedCitation":"(22)","previouslyFormattedCitation":"(22)"},"properties":{"noteIndex":0},"schema":"https://github.com/citation-style-language/schema/raw/master/csl-citation.json"}</w:instrText>
      </w:r>
      <w:r w:rsidR="00603E75" w:rsidRPr="0020159A">
        <w:rPr>
          <w:rFonts w:ascii="Arial" w:hAnsi="Arial" w:cs="Arial"/>
          <w:sz w:val="24"/>
          <w:szCs w:val="24"/>
          <w:vertAlign w:val="superscript"/>
        </w:rPr>
        <w:fldChar w:fldCharType="separate"/>
      </w:r>
      <w:r w:rsidR="003D0047" w:rsidRPr="0020159A">
        <w:rPr>
          <w:rFonts w:ascii="Arial" w:hAnsi="Arial" w:cs="Arial"/>
          <w:noProof/>
          <w:sz w:val="24"/>
          <w:szCs w:val="24"/>
          <w:vertAlign w:val="superscript"/>
        </w:rPr>
        <w:t>(22)</w:t>
      </w:r>
      <w:r w:rsidR="00603E75" w:rsidRPr="0020159A">
        <w:rPr>
          <w:rFonts w:ascii="Arial" w:hAnsi="Arial" w:cs="Arial"/>
          <w:sz w:val="24"/>
          <w:szCs w:val="24"/>
          <w:vertAlign w:val="superscript"/>
        </w:rPr>
        <w:fldChar w:fldCharType="end"/>
      </w:r>
      <w:r w:rsidR="00A56123" w:rsidRPr="0020159A">
        <w:rPr>
          <w:rFonts w:ascii="Arial" w:hAnsi="Arial" w:cs="Arial"/>
          <w:sz w:val="24"/>
          <w:szCs w:val="24"/>
        </w:rPr>
        <w:t>,</w:t>
      </w:r>
      <w:r w:rsidR="008B1F97" w:rsidRPr="0020159A">
        <w:rPr>
          <w:rFonts w:ascii="Arial" w:hAnsi="Arial" w:cs="Arial"/>
          <w:sz w:val="24"/>
          <w:szCs w:val="24"/>
        </w:rPr>
        <w:t xml:space="preserve"> considerably shorter than the </w:t>
      </w:r>
      <w:r w:rsidR="00A56123" w:rsidRPr="0020159A">
        <w:rPr>
          <w:rFonts w:ascii="Arial" w:hAnsi="Arial" w:cs="Arial"/>
          <w:sz w:val="24"/>
          <w:szCs w:val="24"/>
        </w:rPr>
        <w:t xml:space="preserve">25.6 </w:t>
      </w:r>
      <w:r w:rsidR="008B1F97" w:rsidRPr="0020159A">
        <w:rPr>
          <w:rFonts w:ascii="Arial" w:hAnsi="Arial" w:cs="Arial"/>
          <w:sz w:val="24"/>
          <w:szCs w:val="24"/>
        </w:rPr>
        <w:t>of</w:t>
      </w:r>
      <w:r w:rsidR="00A56123" w:rsidRPr="0020159A">
        <w:rPr>
          <w:rFonts w:ascii="Arial" w:hAnsi="Arial" w:cs="Arial"/>
          <w:sz w:val="24"/>
          <w:szCs w:val="24"/>
        </w:rPr>
        <w:t xml:space="preserve"> the 1990s</w:t>
      </w:r>
      <w:r w:rsidR="00B92A29" w:rsidRPr="0020159A">
        <w:rPr>
          <w:rFonts w:ascii="Arial" w:hAnsi="Arial" w:cs="Arial"/>
          <w:sz w:val="24"/>
          <w:szCs w:val="24"/>
          <w:vertAlign w:val="superscript"/>
        </w:rPr>
        <w:fldChar w:fldCharType="begin" w:fldLock="1"/>
      </w:r>
      <w:r w:rsidR="007D487E" w:rsidRPr="0020159A">
        <w:rPr>
          <w:rFonts w:ascii="Arial" w:hAnsi="Arial" w:cs="Arial"/>
          <w:sz w:val="24"/>
          <w:szCs w:val="24"/>
          <w:vertAlign w:val="superscript"/>
        </w:rPr>
        <w:instrText>ADDIN CSL_CITATION {"citationItems":[{"id":"ITEM-1","itemData":{"URL":"https://www.nami.org/Press-Media/Press-Releases/2000?page=1","accessed":{"date-parts":[["2011","8","20"]]},"author":[{"dropping-particle":"","family":"NAMI","given":"","non-dropping-particle":"","parse-names":false,"suffix":""}],"container-title":"Outpatient services experience big decline in availability according to new study","id":"ITEM-1","issued":{"date-parts":[["2000"]]},"title":"National Alliance for the Mentally Ill","type":"webpage"},"uris":["http://www.mendeley.com/documents/?uuid=2d3cee88-b114-4c7a-b553-c46aa2f6898b"]}],"mendeley":{"formattedCitation":"(23)","plainTextFormattedCitation":"(23)","previouslyFormattedCitation":"(23)"},"properties":{"noteIndex":0},"schema":"https://github.com/citation-style-language/schema/raw/master/csl-citation.json"}</w:instrText>
      </w:r>
      <w:r w:rsidR="00B92A29" w:rsidRPr="0020159A">
        <w:rPr>
          <w:rFonts w:ascii="Arial" w:hAnsi="Arial" w:cs="Arial"/>
          <w:sz w:val="24"/>
          <w:szCs w:val="24"/>
          <w:vertAlign w:val="superscript"/>
        </w:rPr>
        <w:fldChar w:fldCharType="separate"/>
      </w:r>
      <w:r w:rsidR="00B92A29" w:rsidRPr="0020159A">
        <w:rPr>
          <w:rFonts w:ascii="Arial" w:hAnsi="Arial" w:cs="Arial"/>
          <w:noProof/>
          <w:sz w:val="24"/>
          <w:szCs w:val="24"/>
          <w:vertAlign w:val="superscript"/>
        </w:rPr>
        <w:t>(23)</w:t>
      </w:r>
      <w:r w:rsidR="00B92A29" w:rsidRPr="0020159A">
        <w:rPr>
          <w:rFonts w:ascii="Arial" w:hAnsi="Arial" w:cs="Arial"/>
          <w:sz w:val="24"/>
          <w:szCs w:val="24"/>
          <w:vertAlign w:val="superscript"/>
        </w:rPr>
        <w:fldChar w:fldCharType="end"/>
      </w:r>
      <w:r w:rsidR="00B92A29" w:rsidRPr="0020159A">
        <w:rPr>
          <w:rFonts w:ascii="Arial" w:hAnsi="Arial" w:cs="Arial"/>
          <w:sz w:val="24"/>
          <w:szCs w:val="24"/>
        </w:rPr>
        <w:t>.</w:t>
      </w:r>
      <w:r w:rsidR="00A56123" w:rsidRPr="0020159A">
        <w:rPr>
          <w:rFonts w:ascii="Arial" w:hAnsi="Arial" w:cs="Arial"/>
          <w:sz w:val="24"/>
          <w:szCs w:val="24"/>
        </w:rPr>
        <w:t xml:space="preserve"> </w:t>
      </w:r>
      <w:r w:rsidR="008B1F97" w:rsidRPr="0020159A">
        <w:rPr>
          <w:rFonts w:ascii="Arial" w:hAnsi="Arial" w:cs="Arial"/>
          <w:sz w:val="24"/>
          <w:szCs w:val="24"/>
        </w:rPr>
        <w:t>In comparison, a</w:t>
      </w:r>
      <w:r w:rsidR="00293076" w:rsidRPr="0020159A">
        <w:rPr>
          <w:rFonts w:ascii="Arial" w:hAnsi="Arial" w:cs="Arial"/>
          <w:sz w:val="24"/>
          <w:szCs w:val="24"/>
        </w:rPr>
        <w:t xml:space="preserve"> decade later, </w:t>
      </w:r>
      <w:r w:rsidR="008B1F97" w:rsidRPr="0020159A">
        <w:rPr>
          <w:rFonts w:ascii="Arial" w:hAnsi="Arial" w:cs="Arial"/>
          <w:sz w:val="24"/>
          <w:szCs w:val="24"/>
        </w:rPr>
        <w:t xml:space="preserve">the 2016 </w:t>
      </w:r>
      <w:r w:rsidR="00A56123" w:rsidRPr="0020159A">
        <w:rPr>
          <w:rFonts w:ascii="Arial" w:hAnsi="Arial" w:cs="Arial"/>
          <w:sz w:val="24"/>
          <w:szCs w:val="24"/>
        </w:rPr>
        <w:t xml:space="preserve">UK National benchmarking </w:t>
      </w:r>
      <w:r w:rsidR="00293076" w:rsidRPr="0020159A">
        <w:rPr>
          <w:rFonts w:ascii="Arial" w:hAnsi="Arial" w:cs="Arial"/>
          <w:sz w:val="24"/>
          <w:szCs w:val="24"/>
        </w:rPr>
        <w:t>quotes an average of</w:t>
      </w:r>
      <w:r w:rsidR="00A56123" w:rsidRPr="0020159A">
        <w:rPr>
          <w:rFonts w:ascii="Arial" w:hAnsi="Arial" w:cs="Arial"/>
          <w:sz w:val="24"/>
          <w:szCs w:val="24"/>
        </w:rPr>
        <w:t xml:space="preserve"> 35.9</w:t>
      </w:r>
      <w:r w:rsidR="00293076" w:rsidRPr="0020159A">
        <w:rPr>
          <w:rFonts w:ascii="Arial" w:hAnsi="Arial" w:cs="Arial"/>
          <w:sz w:val="24"/>
          <w:szCs w:val="24"/>
        </w:rPr>
        <w:t xml:space="preserve"> </w:t>
      </w:r>
      <w:r w:rsidR="00A56123" w:rsidRPr="0020159A">
        <w:rPr>
          <w:rFonts w:ascii="Arial" w:hAnsi="Arial" w:cs="Arial"/>
          <w:sz w:val="24"/>
          <w:szCs w:val="24"/>
        </w:rPr>
        <w:t>days</w:t>
      </w:r>
      <w:r w:rsidR="003D0047" w:rsidRPr="0020159A">
        <w:rPr>
          <w:rFonts w:ascii="Arial" w:hAnsi="Arial" w:cs="Arial"/>
          <w:sz w:val="24"/>
          <w:szCs w:val="24"/>
          <w:vertAlign w:val="superscript"/>
        </w:rPr>
        <w:fldChar w:fldCharType="begin" w:fldLock="1"/>
      </w:r>
      <w:r w:rsidR="00174E5C" w:rsidRPr="0020159A">
        <w:rPr>
          <w:rFonts w:ascii="Arial" w:hAnsi="Arial" w:cs="Arial"/>
          <w:sz w:val="24"/>
          <w:szCs w:val="24"/>
          <w:vertAlign w:val="superscript"/>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3D0047" w:rsidRPr="0020159A">
        <w:rPr>
          <w:rFonts w:ascii="Arial" w:hAnsi="Arial" w:cs="Arial"/>
          <w:sz w:val="24"/>
          <w:szCs w:val="24"/>
          <w:vertAlign w:val="superscript"/>
        </w:rPr>
        <w:fldChar w:fldCharType="separate"/>
      </w:r>
      <w:r w:rsidR="003D0047" w:rsidRPr="0020159A">
        <w:rPr>
          <w:rFonts w:ascii="Arial" w:hAnsi="Arial" w:cs="Arial"/>
          <w:noProof/>
          <w:sz w:val="24"/>
          <w:szCs w:val="24"/>
          <w:vertAlign w:val="superscript"/>
        </w:rPr>
        <w:t>(15)</w:t>
      </w:r>
      <w:r w:rsidR="003D0047" w:rsidRPr="0020159A">
        <w:rPr>
          <w:rFonts w:ascii="Arial" w:hAnsi="Arial" w:cs="Arial"/>
          <w:sz w:val="24"/>
          <w:szCs w:val="24"/>
          <w:vertAlign w:val="superscript"/>
        </w:rPr>
        <w:fldChar w:fldCharType="end"/>
      </w:r>
      <w:r w:rsidR="00BE4B63" w:rsidRPr="0020159A">
        <w:rPr>
          <w:rFonts w:ascii="Arial" w:hAnsi="Arial" w:cs="Arial"/>
          <w:sz w:val="24"/>
          <w:szCs w:val="24"/>
        </w:rPr>
        <w:t xml:space="preserve"> revealing potential bed day savings. </w:t>
      </w:r>
      <w:r w:rsidR="008B1F97" w:rsidRPr="0020159A">
        <w:rPr>
          <w:rFonts w:ascii="Arial" w:hAnsi="Arial" w:cs="Arial"/>
          <w:sz w:val="24"/>
          <w:szCs w:val="24"/>
        </w:rPr>
        <w:t>Many would link</w:t>
      </w:r>
      <w:r w:rsidR="00BE4B63" w:rsidRPr="0020159A">
        <w:rPr>
          <w:rFonts w:ascii="Arial" w:hAnsi="Arial" w:cs="Arial"/>
          <w:sz w:val="24"/>
          <w:szCs w:val="24"/>
        </w:rPr>
        <w:t xml:space="preserve"> the US shortening </w:t>
      </w:r>
      <w:r w:rsidR="008B1F97" w:rsidRPr="0020159A">
        <w:rPr>
          <w:rFonts w:ascii="Arial" w:hAnsi="Arial" w:cs="Arial"/>
          <w:sz w:val="24"/>
          <w:szCs w:val="24"/>
        </w:rPr>
        <w:t>to</w:t>
      </w:r>
      <w:r w:rsidR="00BE4B63" w:rsidRPr="0020159A">
        <w:rPr>
          <w:rFonts w:ascii="Arial" w:hAnsi="Arial" w:cs="Arial"/>
          <w:sz w:val="24"/>
          <w:szCs w:val="24"/>
        </w:rPr>
        <w:t xml:space="preserve"> e</w:t>
      </w:r>
      <w:r w:rsidR="00293076" w:rsidRPr="0020159A">
        <w:rPr>
          <w:rFonts w:ascii="Arial" w:hAnsi="Arial" w:cs="Arial"/>
          <w:sz w:val="24"/>
          <w:szCs w:val="24"/>
        </w:rPr>
        <w:t>conomic considerations of insurance providers</w:t>
      </w:r>
      <w:r w:rsidR="00174E5C" w:rsidRPr="0020159A">
        <w:rPr>
          <w:rFonts w:ascii="Arial" w:hAnsi="Arial" w:cs="Arial"/>
          <w:sz w:val="24"/>
          <w:szCs w:val="24"/>
          <w:vertAlign w:val="superscript"/>
        </w:rPr>
        <w:fldChar w:fldCharType="begin" w:fldLock="1"/>
      </w:r>
      <w:r w:rsidR="007D487E" w:rsidRPr="0020159A">
        <w:rPr>
          <w:rFonts w:ascii="Arial" w:hAnsi="Arial" w:cs="Arial"/>
          <w:sz w:val="24"/>
          <w:szCs w:val="24"/>
          <w:vertAlign w:val="superscript"/>
        </w:rPr>
        <w:instrText>ADDIN CSL_CITATION {"citationItems":[{"id":"ITEM-1","itemData":{"author":[{"dropping-particle":"","family":"Jobes","given":"David A.","non-dropping-particle":"","parse-names":false,"suffix":""}],"id":"ITEM-1","issued":{"date-parts":[["2006"]]},"publisher":"The Guilford Press","publisher-place":"New York London","title":"Managing Suicidal Risk A collaborative Approach","type":"book"},"uris":["http://www.mendeley.com/documents/?uuid=0e510984-e899-4208-923b-8ad93dab8b71"]}],"mendeley":{"formattedCitation":"(24)","plainTextFormattedCitation":"(24)","previouslyFormattedCitation":"(24)"},"properties":{"noteIndex":0},"schema":"https://github.com/citation-style-language/schema/raw/master/csl-citation.json"}</w:instrText>
      </w:r>
      <w:r w:rsidR="00174E5C" w:rsidRPr="0020159A">
        <w:rPr>
          <w:rFonts w:ascii="Arial" w:hAnsi="Arial" w:cs="Arial"/>
          <w:sz w:val="24"/>
          <w:szCs w:val="24"/>
          <w:vertAlign w:val="superscript"/>
        </w:rPr>
        <w:fldChar w:fldCharType="separate"/>
      </w:r>
      <w:r w:rsidR="00B92A29" w:rsidRPr="0020159A">
        <w:rPr>
          <w:rFonts w:ascii="Arial" w:hAnsi="Arial" w:cs="Arial"/>
          <w:noProof/>
          <w:sz w:val="24"/>
          <w:szCs w:val="24"/>
          <w:vertAlign w:val="superscript"/>
        </w:rPr>
        <w:t>(24)</w:t>
      </w:r>
      <w:r w:rsidR="00174E5C" w:rsidRPr="0020159A">
        <w:rPr>
          <w:rFonts w:ascii="Arial" w:hAnsi="Arial" w:cs="Arial"/>
          <w:sz w:val="24"/>
          <w:szCs w:val="24"/>
          <w:vertAlign w:val="superscript"/>
        </w:rPr>
        <w:fldChar w:fldCharType="end"/>
      </w:r>
      <w:r w:rsidR="00BE4B63" w:rsidRPr="0020159A">
        <w:rPr>
          <w:rFonts w:ascii="Arial" w:hAnsi="Arial" w:cs="Arial"/>
          <w:sz w:val="24"/>
          <w:szCs w:val="24"/>
        </w:rPr>
        <w:t xml:space="preserve">. </w:t>
      </w:r>
      <w:r w:rsidR="00C1080C" w:rsidRPr="0020159A">
        <w:rPr>
          <w:rFonts w:ascii="Arial" w:hAnsi="Arial" w:cs="Arial"/>
          <w:sz w:val="24"/>
          <w:szCs w:val="24"/>
        </w:rPr>
        <w:t xml:space="preserve">In the UK, </w:t>
      </w:r>
      <w:r w:rsidR="006909A3" w:rsidRPr="0020159A">
        <w:rPr>
          <w:rFonts w:ascii="Arial" w:hAnsi="Arial" w:cs="Arial"/>
          <w:sz w:val="24"/>
          <w:szCs w:val="24"/>
        </w:rPr>
        <w:t xml:space="preserve">bed pressures has brought about </w:t>
      </w:r>
      <w:r w:rsidR="00C1080C" w:rsidRPr="0020159A">
        <w:rPr>
          <w:rFonts w:ascii="Arial" w:hAnsi="Arial" w:cs="Arial"/>
          <w:sz w:val="24"/>
          <w:szCs w:val="24"/>
        </w:rPr>
        <w:t>a similar focus on patient flow</w:t>
      </w:r>
      <w:r w:rsidR="006909A3" w:rsidRPr="0020159A">
        <w:rPr>
          <w:rFonts w:ascii="Arial" w:hAnsi="Arial" w:cs="Arial"/>
          <w:sz w:val="24"/>
          <w:szCs w:val="24"/>
        </w:rPr>
        <w:t xml:space="preserve"> and</w:t>
      </w:r>
      <w:r w:rsidR="00C1080C" w:rsidRPr="0020159A">
        <w:rPr>
          <w:rFonts w:ascii="Arial" w:hAnsi="Arial" w:cs="Arial"/>
          <w:sz w:val="24"/>
          <w:szCs w:val="24"/>
        </w:rPr>
        <w:t xml:space="preserve"> </w:t>
      </w:r>
      <w:r w:rsidR="00B662EF" w:rsidRPr="0020159A">
        <w:rPr>
          <w:rFonts w:ascii="Arial" w:hAnsi="Arial" w:cs="Arial"/>
          <w:sz w:val="24"/>
          <w:szCs w:val="24"/>
        </w:rPr>
        <w:t xml:space="preserve">7 day </w:t>
      </w:r>
      <w:r w:rsidR="00C1080C" w:rsidRPr="0020159A">
        <w:rPr>
          <w:rFonts w:ascii="Arial" w:hAnsi="Arial" w:cs="Arial"/>
          <w:sz w:val="24"/>
          <w:szCs w:val="24"/>
        </w:rPr>
        <w:t>short stay</w:t>
      </w:r>
      <w:r w:rsidR="00B662EF" w:rsidRPr="0020159A">
        <w:rPr>
          <w:rFonts w:ascii="Arial" w:hAnsi="Arial" w:cs="Arial"/>
          <w:sz w:val="24"/>
          <w:szCs w:val="24"/>
        </w:rPr>
        <w:t>/</w:t>
      </w:r>
      <w:r w:rsidR="00C1080C" w:rsidRPr="0020159A">
        <w:rPr>
          <w:rFonts w:ascii="Arial" w:hAnsi="Arial" w:cs="Arial"/>
          <w:sz w:val="24"/>
          <w:szCs w:val="24"/>
        </w:rPr>
        <w:t>assessment units have been tried. However</w:t>
      </w:r>
      <w:r w:rsidR="00BE4B63" w:rsidRPr="0020159A">
        <w:rPr>
          <w:rFonts w:ascii="Arial" w:hAnsi="Arial" w:cs="Arial"/>
          <w:sz w:val="24"/>
          <w:szCs w:val="24"/>
        </w:rPr>
        <w:t>,</w:t>
      </w:r>
      <w:r w:rsidR="00C1080C" w:rsidRPr="0020159A">
        <w:rPr>
          <w:rFonts w:ascii="Arial" w:hAnsi="Arial" w:cs="Arial"/>
          <w:sz w:val="24"/>
          <w:szCs w:val="24"/>
        </w:rPr>
        <w:t xml:space="preserve"> a literature review does not reveal any publications that report on the effectiveness of such</w:t>
      </w:r>
      <w:r w:rsidR="00B23D8C" w:rsidRPr="0020159A">
        <w:rPr>
          <w:rFonts w:ascii="Arial" w:hAnsi="Arial" w:cs="Arial"/>
          <w:sz w:val="24"/>
          <w:szCs w:val="24"/>
        </w:rPr>
        <w:t xml:space="preserve"> approaches</w:t>
      </w:r>
      <w:r w:rsidR="00C1080C" w:rsidRPr="0020159A">
        <w:rPr>
          <w:rFonts w:ascii="Arial" w:hAnsi="Arial" w:cs="Arial"/>
          <w:sz w:val="24"/>
          <w:szCs w:val="24"/>
        </w:rPr>
        <w:t>. This is a gap in the evidence base that urgently needs addressing.</w:t>
      </w:r>
    </w:p>
    <w:p w14:paraId="0E6B4309" w14:textId="6F475AD0" w:rsidR="00D805F6" w:rsidRPr="0020159A" w:rsidRDefault="00231CD0" w:rsidP="00512465">
      <w:pPr>
        <w:rPr>
          <w:rFonts w:ascii="Arial" w:hAnsi="Arial" w:cs="Arial"/>
          <w:b/>
          <w:sz w:val="24"/>
          <w:szCs w:val="24"/>
          <w:lang w:val="en"/>
        </w:rPr>
      </w:pPr>
      <w:r w:rsidRPr="0020159A">
        <w:rPr>
          <w:rFonts w:ascii="Arial" w:hAnsi="Arial" w:cs="Arial"/>
          <w:sz w:val="24"/>
          <w:szCs w:val="24"/>
        </w:rPr>
        <w:t>333 sought to create a step change in quality of care. A focussed recovery approach with clarity about how every inpatient hour added value was expected to release bed days, make inpatient care timely, result in rapid recovery with better outcomes and overall shorten lengths of stay.</w:t>
      </w:r>
      <w:r w:rsidR="00A86D89" w:rsidRPr="0020159A">
        <w:rPr>
          <w:rFonts w:ascii="Arial" w:hAnsi="Arial" w:cs="Arial"/>
          <w:sz w:val="24"/>
          <w:szCs w:val="24"/>
        </w:rPr>
        <w:t xml:space="preserve"> </w:t>
      </w:r>
      <w:r w:rsidR="003952BB" w:rsidRPr="0020159A">
        <w:rPr>
          <w:rFonts w:ascii="Arial" w:hAnsi="Arial" w:cs="Arial"/>
          <w:sz w:val="24"/>
          <w:szCs w:val="24"/>
        </w:rPr>
        <w:t xml:space="preserve">This paper describes </w:t>
      </w:r>
      <w:r w:rsidR="00DE249F" w:rsidRPr="0020159A">
        <w:rPr>
          <w:rFonts w:ascii="Arial" w:hAnsi="Arial" w:cs="Arial"/>
          <w:sz w:val="24"/>
          <w:szCs w:val="24"/>
        </w:rPr>
        <w:t>how 333</w:t>
      </w:r>
      <w:r w:rsidR="00F20F23" w:rsidRPr="0020159A">
        <w:rPr>
          <w:rFonts w:ascii="Arial" w:hAnsi="Arial" w:cs="Arial"/>
          <w:sz w:val="24"/>
          <w:szCs w:val="24"/>
        </w:rPr>
        <w:t xml:space="preserve"> performed</w:t>
      </w:r>
      <w:r w:rsidR="00DE249F" w:rsidRPr="0020159A">
        <w:rPr>
          <w:rFonts w:ascii="Arial" w:hAnsi="Arial" w:cs="Arial"/>
          <w:sz w:val="24"/>
          <w:szCs w:val="24"/>
        </w:rPr>
        <w:t xml:space="preserve"> in </w:t>
      </w:r>
      <w:r w:rsidR="003952BB" w:rsidRPr="0020159A">
        <w:rPr>
          <w:rFonts w:ascii="Arial" w:hAnsi="Arial" w:cs="Arial"/>
          <w:sz w:val="24"/>
          <w:szCs w:val="24"/>
        </w:rPr>
        <w:t xml:space="preserve">the </w:t>
      </w:r>
      <w:r w:rsidR="00DE249F" w:rsidRPr="0020159A">
        <w:rPr>
          <w:rFonts w:ascii="Arial" w:hAnsi="Arial" w:cs="Arial"/>
          <w:sz w:val="24"/>
          <w:szCs w:val="24"/>
        </w:rPr>
        <w:t xml:space="preserve">different </w:t>
      </w:r>
      <w:r w:rsidR="00DC1A06" w:rsidRPr="0020159A">
        <w:rPr>
          <w:rFonts w:ascii="Arial" w:hAnsi="Arial" w:cs="Arial"/>
          <w:sz w:val="24"/>
          <w:szCs w:val="24"/>
        </w:rPr>
        <w:t xml:space="preserve">process </w:t>
      </w:r>
      <w:r w:rsidR="00FB2089" w:rsidRPr="0020159A">
        <w:rPr>
          <w:rFonts w:ascii="Arial" w:hAnsi="Arial" w:cs="Arial"/>
          <w:sz w:val="24"/>
          <w:szCs w:val="24"/>
        </w:rPr>
        <w:t xml:space="preserve">measures </w:t>
      </w:r>
      <w:r w:rsidR="00DE249F" w:rsidRPr="0020159A">
        <w:rPr>
          <w:rFonts w:ascii="Arial" w:hAnsi="Arial" w:cs="Arial"/>
          <w:sz w:val="24"/>
          <w:szCs w:val="24"/>
        </w:rPr>
        <w:t>against</w:t>
      </w:r>
      <w:r w:rsidR="00F55AC6" w:rsidRPr="0020159A">
        <w:rPr>
          <w:rFonts w:ascii="Arial" w:hAnsi="Arial" w:cs="Arial"/>
          <w:sz w:val="24"/>
          <w:szCs w:val="24"/>
        </w:rPr>
        <w:t xml:space="preserve"> national benchmarking and</w:t>
      </w:r>
      <w:r w:rsidR="00DE249F" w:rsidRPr="0020159A">
        <w:rPr>
          <w:rFonts w:ascii="Arial" w:hAnsi="Arial" w:cs="Arial"/>
          <w:sz w:val="24"/>
          <w:szCs w:val="24"/>
        </w:rPr>
        <w:t xml:space="preserve"> targets set at inception</w:t>
      </w:r>
      <w:r w:rsidR="00F20F23" w:rsidRPr="0020159A">
        <w:rPr>
          <w:rFonts w:ascii="Arial" w:hAnsi="Arial" w:cs="Arial"/>
          <w:sz w:val="24"/>
          <w:szCs w:val="24"/>
        </w:rPr>
        <w:t xml:space="preserve">. </w:t>
      </w:r>
      <w:r w:rsidR="00C1080C" w:rsidRPr="0020159A">
        <w:rPr>
          <w:rFonts w:ascii="Arial" w:hAnsi="Arial" w:cs="Arial"/>
          <w:sz w:val="24"/>
          <w:szCs w:val="24"/>
        </w:rPr>
        <w:t xml:space="preserve">To our knowledge this is the first publication attempting to </w:t>
      </w:r>
      <w:r w:rsidR="00030CF6" w:rsidRPr="0020159A">
        <w:rPr>
          <w:rFonts w:ascii="Arial" w:hAnsi="Arial" w:cs="Arial"/>
          <w:sz w:val="24"/>
          <w:szCs w:val="24"/>
        </w:rPr>
        <w:t xml:space="preserve">provide evidence for the effectiveness of a systems solution to the universal problem of bed shortage and </w:t>
      </w:r>
      <w:r w:rsidR="00C1080C" w:rsidRPr="0020159A">
        <w:rPr>
          <w:rFonts w:ascii="Arial" w:hAnsi="Arial" w:cs="Arial"/>
          <w:sz w:val="24"/>
          <w:szCs w:val="24"/>
        </w:rPr>
        <w:t>address the gap in literature</w:t>
      </w:r>
      <w:r w:rsidR="00030CF6" w:rsidRPr="0020159A">
        <w:rPr>
          <w:rFonts w:ascii="Arial" w:hAnsi="Arial" w:cs="Arial"/>
          <w:sz w:val="24"/>
          <w:szCs w:val="24"/>
        </w:rPr>
        <w:t>.</w:t>
      </w:r>
    </w:p>
    <w:p w14:paraId="43F76F36" w14:textId="77777777" w:rsidR="003952BB" w:rsidRPr="0020159A" w:rsidRDefault="003952BB" w:rsidP="003952BB">
      <w:pPr>
        <w:rPr>
          <w:rFonts w:ascii="Arial" w:hAnsi="Arial" w:cs="Arial"/>
          <w:b/>
          <w:sz w:val="24"/>
          <w:szCs w:val="24"/>
          <w:lang w:val="en"/>
        </w:rPr>
      </w:pPr>
      <w:r w:rsidRPr="0020159A">
        <w:rPr>
          <w:rFonts w:ascii="Arial" w:hAnsi="Arial" w:cs="Arial"/>
          <w:b/>
          <w:sz w:val="24"/>
          <w:szCs w:val="24"/>
          <w:lang w:val="en"/>
        </w:rPr>
        <w:t>Methods:</w:t>
      </w:r>
    </w:p>
    <w:p w14:paraId="06723447" w14:textId="573D1009" w:rsidR="006E5AA7" w:rsidRPr="0020159A" w:rsidRDefault="00A7246E" w:rsidP="003952BB">
      <w:pPr>
        <w:rPr>
          <w:rFonts w:ascii="Arial" w:hAnsi="Arial" w:cs="Arial"/>
          <w:sz w:val="24"/>
          <w:szCs w:val="24"/>
          <w:lang w:val="en"/>
        </w:rPr>
      </w:pPr>
      <w:r w:rsidRPr="0020159A">
        <w:rPr>
          <w:rFonts w:ascii="Arial" w:hAnsi="Arial" w:cs="Arial"/>
          <w:sz w:val="24"/>
          <w:szCs w:val="24"/>
          <w:lang w:val="en"/>
        </w:rPr>
        <w:t xml:space="preserve">CPFT </w:t>
      </w:r>
      <w:r w:rsidR="00DC1A06" w:rsidRPr="0020159A">
        <w:rPr>
          <w:rFonts w:ascii="Arial" w:hAnsi="Arial" w:cs="Arial"/>
          <w:sz w:val="24"/>
          <w:szCs w:val="24"/>
          <w:lang w:val="en"/>
        </w:rPr>
        <w:t xml:space="preserve">general adult </w:t>
      </w:r>
      <w:r w:rsidR="006E5AA7" w:rsidRPr="0020159A">
        <w:rPr>
          <w:rFonts w:ascii="Arial" w:hAnsi="Arial" w:cs="Arial"/>
          <w:sz w:val="24"/>
          <w:szCs w:val="24"/>
          <w:lang w:val="en"/>
        </w:rPr>
        <w:t>bed complement</w:t>
      </w:r>
      <w:r w:rsidR="002B6E91" w:rsidRPr="0020159A">
        <w:rPr>
          <w:rFonts w:ascii="Arial" w:hAnsi="Arial" w:cs="Arial"/>
          <w:sz w:val="24"/>
          <w:szCs w:val="24"/>
          <w:lang w:val="en"/>
        </w:rPr>
        <w:t>,</w:t>
      </w:r>
      <w:r w:rsidR="00D805F6" w:rsidRPr="0020159A">
        <w:rPr>
          <w:rFonts w:ascii="Arial" w:hAnsi="Arial" w:cs="Arial"/>
          <w:sz w:val="24"/>
          <w:szCs w:val="24"/>
          <w:lang w:val="en"/>
        </w:rPr>
        <w:t xml:space="preserve"> </w:t>
      </w:r>
      <w:r w:rsidR="006E5AA7" w:rsidRPr="0020159A">
        <w:rPr>
          <w:rFonts w:ascii="Arial" w:hAnsi="Arial" w:cs="Arial"/>
          <w:sz w:val="24"/>
          <w:szCs w:val="24"/>
          <w:lang w:val="en"/>
        </w:rPr>
        <w:t xml:space="preserve">pre and post </w:t>
      </w:r>
      <w:r w:rsidR="00DC1A06" w:rsidRPr="0020159A">
        <w:rPr>
          <w:rFonts w:ascii="Arial" w:hAnsi="Arial" w:cs="Arial"/>
          <w:sz w:val="24"/>
          <w:szCs w:val="24"/>
          <w:lang w:val="en"/>
        </w:rPr>
        <w:t xml:space="preserve">333 </w:t>
      </w:r>
      <w:r w:rsidR="006E5AA7" w:rsidRPr="0020159A">
        <w:rPr>
          <w:rFonts w:ascii="Arial" w:hAnsi="Arial" w:cs="Arial"/>
          <w:sz w:val="24"/>
          <w:szCs w:val="24"/>
          <w:lang w:val="en"/>
        </w:rPr>
        <w:t>implementation was mapped</w:t>
      </w:r>
      <w:r w:rsidR="00DC1A06" w:rsidRPr="0020159A">
        <w:rPr>
          <w:rFonts w:ascii="Arial" w:hAnsi="Arial" w:cs="Arial"/>
          <w:sz w:val="24"/>
          <w:szCs w:val="24"/>
          <w:lang w:val="en"/>
        </w:rPr>
        <w:t xml:space="preserve"> out</w:t>
      </w:r>
      <w:r w:rsidR="006E5AA7" w:rsidRPr="0020159A">
        <w:rPr>
          <w:rFonts w:ascii="Arial" w:hAnsi="Arial" w:cs="Arial"/>
          <w:sz w:val="24"/>
          <w:szCs w:val="24"/>
          <w:lang w:val="en"/>
        </w:rPr>
        <w:t xml:space="preserve">. </w:t>
      </w:r>
      <w:r w:rsidR="003952BB" w:rsidRPr="0020159A">
        <w:rPr>
          <w:rFonts w:ascii="Arial" w:hAnsi="Arial" w:cs="Arial"/>
          <w:sz w:val="24"/>
          <w:szCs w:val="24"/>
          <w:lang w:val="en"/>
        </w:rPr>
        <w:t xml:space="preserve">For two financial years (April 2015 to March 2017), raw data was extracted from the trust’s data warehouse. These were compared against </w:t>
      </w:r>
      <w:r w:rsidR="00F55AC6" w:rsidRPr="0020159A">
        <w:rPr>
          <w:rFonts w:ascii="Arial" w:hAnsi="Arial" w:cs="Arial"/>
          <w:sz w:val="24"/>
          <w:szCs w:val="24"/>
        </w:rPr>
        <w:t>2016 NHS benchmarking</w:t>
      </w:r>
      <w:r w:rsidR="000D0A8B"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0D0A8B"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(15)</w:t>
      </w:r>
      <w:r w:rsidR="000D0A8B" w:rsidRPr="0020159A">
        <w:rPr>
          <w:rFonts w:ascii="Arial" w:hAnsi="Arial" w:cs="Arial"/>
          <w:sz w:val="24"/>
          <w:szCs w:val="24"/>
          <w:vertAlign w:val="superscript"/>
        </w:rPr>
        <w:fldChar w:fldCharType="end"/>
      </w:r>
      <w:r w:rsidR="00F55AC6" w:rsidRPr="0020159A">
        <w:rPr>
          <w:rFonts w:ascii="Arial" w:hAnsi="Arial" w:cs="Arial"/>
          <w:sz w:val="24"/>
          <w:szCs w:val="24"/>
        </w:rPr>
        <w:t xml:space="preserve"> and </w:t>
      </w:r>
      <w:r w:rsidR="003952BB" w:rsidRPr="0020159A">
        <w:rPr>
          <w:rFonts w:ascii="Arial" w:hAnsi="Arial" w:cs="Arial"/>
          <w:sz w:val="24"/>
          <w:szCs w:val="24"/>
          <w:lang w:val="en"/>
        </w:rPr>
        <w:t xml:space="preserve">targets </w:t>
      </w:r>
      <w:r w:rsidR="00F55AC6" w:rsidRPr="0020159A">
        <w:rPr>
          <w:rFonts w:ascii="Arial" w:hAnsi="Arial" w:cs="Arial"/>
          <w:sz w:val="24"/>
          <w:szCs w:val="24"/>
          <w:lang w:val="en"/>
        </w:rPr>
        <w:t>set at the inception of 3</w:t>
      </w:r>
      <w:r w:rsidR="003952BB" w:rsidRPr="0020159A">
        <w:rPr>
          <w:rFonts w:ascii="Arial" w:hAnsi="Arial" w:cs="Arial"/>
          <w:sz w:val="24"/>
          <w:szCs w:val="24"/>
          <w:lang w:val="en"/>
        </w:rPr>
        <w:t>33</w:t>
      </w:r>
      <w:r w:rsidR="00CE7DDC" w:rsidRPr="0020159A">
        <w:rPr>
          <w:rFonts w:ascii="Arial" w:hAnsi="Arial" w:cs="Arial"/>
          <w:sz w:val="24"/>
          <w:szCs w:val="24"/>
          <w:lang w:val="en"/>
        </w:rPr>
        <w:t>.</w:t>
      </w:r>
      <w:r w:rsidR="00ED220C" w:rsidRPr="0020159A">
        <w:rPr>
          <w:rFonts w:ascii="Arial" w:hAnsi="Arial" w:cs="Arial"/>
          <w:sz w:val="24"/>
          <w:szCs w:val="24"/>
          <w:lang w:val="en"/>
        </w:rPr>
        <w:t xml:space="preserve"> These </w:t>
      </w:r>
      <w:r w:rsidRPr="0020159A">
        <w:rPr>
          <w:rFonts w:ascii="Arial" w:hAnsi="Arial" w:cs="Arial"/>
          <w:sz w:val="24"/>
          <w:szCs w:val="24"/>
          <w:lang w:val="en"/>
        </w:rPr>
        <w:t>are</w:t>
      </w:r>
      <w:r w:rsidR="00ED220C" w:rsidRPr="0020159A">
        <w:rPr>
          <w:rFonts w:ascii="Arial" w:hAnsi="Arial" w:cs="Arial"/>
          <w:sz w:val="24"/>
          <w:szCs w:val="24"/>
          <w:lang w:val="en"/>
        </w:rPr>
        <w:t xml:space="preserve"> categorized into:</w:t>
      </w:r>
    </w:p>
    <w:p w14:paraId="664C2A1C" w14:textId="4FB85B91" w:rsidR="00D2114D" w:rsidRPr="0020159A" w:rsidRDefault="002B6E91" w:rsidP="00D2114D">
      <w:pPr>
        <w:pStyle w:val="ListParagraph"/>
        <w:numPr>
          <w:ilvl w:val="0"/>
          <w:numId w:val="2"/>
        </w:numPr>
        <w:rPr>
          <w:rFonts w:ascii="Arial" w:hAnsi="Arial" w:cs="Arial"/>
          <w:sz w:val="24"/>
          <w:szCs w:val="24"/>
          <w:lang w:val="en"/>
        </w:rPr>
      </w:pPr>
      <w:r w:rsidRPr="0020159A">
        <w:rPr>
          <w:rFonts w:ascii="Arial" w:hAnsi="Arial" w:cs="Arial"/>
          <w:sz w:val="24"/>
          <w:szCs w:val="24"/>
          <w:lang w:val="en"/>
        </w:rPr>
        <w:t>A</w:t>
      </w:r>
      <w:r w:rsidR="00ED220C" w:rsidRPr="0020159A">
        <w:rPr>
          <w:rFonts w:ascii="Arial" w:hAnsi="Arial" w:cs="Arial"/>
          <w:sz w:val="24"/>
          <w:szCs w:val="24"/>
          <w:lang w:val="en"/>
        </w:rPr>
        <w:t>dmissions</w:t>
      </w:r>
      <w:r w:rsidR="00C77412" w:rsidRPr="0020159A">
        <w:rPr>
          <w:rFonts w:ascii="Arial" w:hAnsi="Arial" w:cs="Arial"/>
          <w:sz w:val="24"/>
          <w:szCs w:val="24"/>
          <w:lang w:val="en"/>
        </w:rPr>
        <w:t xml:space="preserve"> and patient flow</w:t>
      </w:r>
      <w:r w:rsidRPr="0020159A">
        <w:rPr>
          <w:rFonts w:ascii="Arial" w:hAnsi="Arial" w:cs="Arial"/>
          <w:sz w:val="24"/>
          <w:szCs w:val="24"/>
          <w:lang w:val="en"/>
        </w:rPr>
        <w:t>:</w:t>
      </w:r>
      <w:r w:rsidR="00ED220C" w:rsidRPr="0020159A">
        <w:rPr>
          <w:rFonts w:ascii="Arial" w:hAnsi="Arial" w:cs="Arial"/>
          <w:sz w:val="24"/>
          <w:szCs w:val="24"/>
          <w:lang w:val="en"/>
        </w:rPr>
        <w:t xml:space="preserve"> </w:t>
      </w:r>
    </w:p>
    <w:p w14:paraId="12F8555B" w14:textId="0CF4FB71" w:rsidR="00D2114D" w:rsidRPr="0020159A" w:rsidRDefault="0023094F" w:rsidP="00D2114D">
      <w:pPr>
        <w:pStyle w:val="ListParagraph"/>
        <w:numPr>
          <w:ilvl w:val="1"/>
          <w:numId w:val="2"/>
        </w:numPr>
        <w:rPr>
          <w:rFonts w:ascii="Arial" w:hAnsi="Arial" w:cs="Arial"/>
          <w:sz w:val="24"/>
          <w:szCs w:val="24"/>
          <w:lang w:val="en"/>
        </w:rPr>
      </w:pPr>
      <w:r w:rsidRPr="0020159A">
        <w:rPr>
          <w:rFonts w:ascii="Arial" w:hAnsi="Arial" w:cs="Arial"/>
          <w:sz w:val="24"/>
          <w:szCs w:val="24"/>
          <w:lang w:val="en"/>
        </w:rPr>
        <w:t xml:space="preserve">1200 </w:t>
      </w:r>
      <w:r w:rsidR="002B6E91" w:rsidRPr="0020159A">
        <w:rPr>
          <w:rFonts w:ascii="Arial" w:hAnsi="Arial" w:cs="Arial"/>
          <w:sz w:val="24"/>
          <w:szCs w:val="24"/>
          <w:lang w:val="en"/>
        </w:rPr>
        <w:t xml:space="preserve">care episodes </w:t>
      </w:r>
      <w:r w:rsidR="00EC0E1F" w:rsidRPr="0020159A">
        <w:rPr>
          <w:rFonts w:ascii="Arial" w:hAnsi="Arial" w:cs="Arial"/>
          <w:sz w:val="24"/>
          <w:szCs w:val="24"/>
          <w:lang w:val="en"/>
        </w:rPr>
        <w:t xml:space="preserve">annually </w:t>
      </w:r>
      <w:r w:rsidR="002B6E91" w:rsidRPr="0020159A">
        <w:rPr>
          <w:rFonts w:ascii="Arial" w:hAnsi="Arial" w:cs="Arial"/>
          <w:sz w:val="24"/>
          <w:szCs w:val="24"/>
          <w:lang w:val="en"/>
        </w:rPr>
        <w:t>(</w:t>
      </w:r>
      <w:r w:rsidR="00E236C9" w:rsidRPr="0020159A">
        <w:rPr>
          <w:rFonts w:ascii="Arial" w:hAnsi="Arial" w:cs="Arial"/>
          <w:sz w:val="24"/>
          <w:szCs w:val="24"/>
          <w:lang w:val="en"/>
        </w:rPr>
        <w:t xml:space="preserve">1 care episode is a </w:t>
      </w:r>
      <w:r w:rsidR="002B6E91" w:rsidRPr="0020159A">
        <w:rPr>
          <w:rFonts w:ascii="Arial" w:hAnsi="Arial" w:cs="Arial"/>
          <w:sz w:val="24"/>
          <w:szCs w:val="24"/>
          <w:lang w:val="en"/>
        </w:rPr>
        <w:t xml:space="preserve">patient journey </w:t>
      </w:r>
      <w:r w:rsidRPr="0020159A">
        <w:rPr>
          <w:rFonts w:ascii="Arial" w:hAnsi="Arial" w:cs="Arial"/>
          <w:sz w:val="24"/>
          <w:szCs w:val="24"/>
          <w:lang w:val="en"/>
        </w:rPr>
        <w:t xml:space="preserve">across </w:t>
      </w:r>
      <w:r w:rsidR="002B6E91" w:rsidRPr="0020159A">
        <w:rPr>
          <w:rFonts w:ascii="Arial" w:hAnsi="Arial" w:cs="Arial"/>
          <w:sz w:val="24"/>
          <w:szCs w:val="24"/>
          <w:lang w:val="en"/>
        </w:rPr>
        <w:t>333</w:t>
      </w:r>
      <w:r w:rsidR="00E236C9" w:rsidRPr="0020159A">
        <w:rPr>
          <w:rFonts w:ascii="Arial" w:hAnsi="Arial" w:cs="Arial"/>
          <w:sz w:val="24"/>
          <w:szCs w:val="24"/>
          <w:lang w:val="en"/>
        </w:rPr>
        <w:t>)</w:t>
      </w:r>
    </w:p>
    <w:p w14:paraId="2ACDB020" w14:textId="77777777" w:rsidR="00C77412" w:rsidRPr="0020159A" w:rsidRDefault="00D2114D" w:rsidP="00C77412">
      <w:pPr>
        <w:pStyle w:val="ListParagraph"/>
        <w:numPr>
          <w:ilvl w:val="1"/>
          <w:numId w:val="2"/>
        </w:numPr>
        <w:rPr>
          <w:rFonts w:ascii="Arial" w:hAnsi="Arial" w:cs="Arial"/>
          <w:sz w:val="24"/>
          <w:szCs w:val="24"/>
          <w:lang w:val="en"/>
        </w:rPr>
      </w:pPr>
      <w:r w:rsidRPr="0020159A">
        <w:rPr>
          <w:rFonts w:ascii="Arial" w:hAnsi="Arial" w:cs="Arial"/>
          <w:sz w:val="24"/>
          <w:szCs w:val="24"/>
          <w:lang w:val="en"/>
        </w:rPr>
        <w:t xml:space="preserve">Direct admissions </w:t>
      </w:r>
      <w:r w:rsidR="00F27BB5" w:rsidRPr="0020159A">
        <w:rPr>
          <w:rFonts w:ascii="Arial" w:hAnsi="Arial" w:cs="Arial"/>
          <w:sz w:val="24"/>
          <w:szCs w:val="24"/>
          <w:lang w:val="en"/>
        </w:rPr>
        <w:t>ratio</w:t>
      </w:r>
      <w:r w:rsidRPr="0020159A">
        <w:rPr>
          <w:rFonts w:ascii="Arial" w:hAnsi="Arial" w:cs="Arial"/>
          <w:sz w:val="24"/>
          <w:szCs w:val="24"/>
          <w:lang w:val="en"/>
        </w:rPr>
        <w:t xml:space="preserve"> AU:TU</w:t>
      </w:r>
      <w:r w:rsidR="00F27BB5" w:rsidRPr="0020159A">
        <w:rPr>
          <w:rFonts w:ascii="Arial" w:hAnsi="Arial" w:cs="Arial"/>
          <w:sz w:val="24"/>
          <w:szCs w:val="24"/>
          <w:lang w:val="en"/>
        </w:rPr>
        <w:t>:RU</w:t>
      </w:r>
      <w:r w:rsidRPr="0020159A">
        <w:rPr>
          <w:rFonts w:ascii="Arial" w:hAnsi="Arial" w:cs="Arial"/>
          <w:sz w:val="24"/>
          <w:szCs w:val="24"/>
          <w:lang w:val="en"/>
        </w:rPr>
        <w:t xml:space="preserve"> at 7</w:t>
      </w:r>
      <w:r w:rsidR="0023094F" w:rsidRPr="0020159A">
        <w:rPr>
          <w:rFonts w:ascii="Arial" w:hAnsi="Arial" w:cs="Arial"/>
          <w:sz w:val="24"/>
          <w:szCs w:val="24"/>
          <w:lang w:val="en"/>
        </w:rPr>
        <w:t>5</w:t>
      </w:r>
      <w:r w:rsidRPr="0020159A">
        <w:rPr>
          <w:rFonts w:ascii="Arial" w:hAnsi="Arial" w:cs="Arial"/>
          <w:sz w:val="24"/>
          <w:szCs w:val="24"/>
          <w:lang w:val="en"/>
        </w:rPr>
        <w:t>:</w:t>
      </w:r>
      <w:r w:rsidR="0023094F" w:rsidRPr="0020159A">
        <w:rPr>
          <w:rFonts w:ascii="Arial" w:hAnsi="Arial" w:cs="Arial"/>
          <w:sz w:val="24"/>
          <w:szCs w:val="24"/>
          <w:lang w:val="en"/>
        </w:rPr>
        <w:t>25</w:t>
      </w:r>
      <w:r w:rsidR="00F27BB5" w:rsidRPr="0020159A">
        <w:rPr>
          <w:rFonts w:ascii="Arial" w:hAnsi="Arial" w:cs="Arial"/>
          <w:sz w:val="24"/>
          <w:szCs w:val="24"/>
          <w:lang w:val="en"/>
        </w:rPr>
        <w:t>:0</w:t>
      </w:r>
      <w:r w:rsidR="00C77412" w:rsidRPr="0020159A">
        <w:rPr>
          <w:rFonts w:ascii="Arial" w:hAnsi="Arial" w:cs="Arial"/>
          <w:sz w:val="24"/>
          <w:szCs w:val="24"/>
          <w:lang w:val="en"/>
        </w:rPr>
        <w:t xml:space="preserve"> </w:t>
      </w:r>
    </w:p>
    <w:p w14:paraId="524FEC1D" w14:textId="0F7A0DDD" w:rsidR="00C77412" w:rsidRPr="0020159A" w:rsidRDefault="00C77412" w:rsidP="00C77412">
      <w:pPr>
        <w:pStyle w:val="ListParagraph"/>
        <w:numPr>
          <w:ilvl w:val="1"/>
          <w:numId w:val="2"/>
        </w:numPr>
        <w:rPr>
          <w:rFonts w:ascii="Arial" w:hAnsi="Arial" w:cs="Arial"/>
          <w:sz w:val="24"/>
          <w:szCs w:val="24"/>
          <w:lang w:val="en"/>
        </w:rPr>
      </w:pPr>
      <w:r w:rsidRPr="0020159A">
        <w:rPr>
          <w:rFonts w:ascii="Arial" w:hAnsi="Arial" w:cs="Arial"/>
          <w:sz w:val="24"/>
          <w:szCs w:val="24"/>
          <w:lang w:val="en"/>
        </w:rPr>
        <w:t>Discharge from AU to community≥70%</w:t>
      </w:r>
    </w:p>
    <w:p w14:paraId="1A2615F2" w14:textId="2FEA807C" w:rsidR="00C77412" w:rsidRPr="0020159A" w:rsidRDefault="00C77412" w:rsidP="00C77412">
      <w:pPr>
        <w:pStyle w:val="ListParagraph"/>
        <w:numPr>
          <w:ilvl w:val="1"/>
          <w:numId w:val="2"/>
        </w:numPr>
        <w:rPr>
          <w:rFonts w:ascii="Arial" w:hAnsi="Arial" w:cs="Arial"/>
          <w:sz w:val="24"/>
          <w:szCs w:val="24"/>
          <w:lang w:val="en"/>
        </w:rPr>
      </w:pPr>
      <w:r w:rsidRPr="0020159A">
        <w:rPr>
          <w:rFonts w:ascii="Arial" w:hAnsi="Arial" w:cs="Arial"/>
          <w:sz w:val="24"/>
          <w:szCs w:val="24"/>
          <w:lang w:val="en"/>
        </w:rPr>
        <w:t>Transfers from AU to TU≤30%, TU to RU≤20%, AU to TU to RU≤5%</w:t>
      </w:r>
    </w:p>
    <w:p w14:paraId="5BEF4E16" w14:textId="57DA4F63" w:rsidR="00D2114D" w:rsidRPr="0020159A" w:rsidRDefault="00C77412" w:rsidP="00031908">
      <w:pPr>
        <w:pStyle w:val="ListParagraph"/>
        <w:numPr>
          <w:ilvl w:val="1"/>
          <w:numId w:val="2"/>
        </w:numPr>
        <w:rPr>
          <w:rFonts w:ascii="Arial" w:hAnsi="Arial" w:cs="Arial"/>
          <w:sz w:val="24"/>
          <w:szCs w:val="24"/>
          <w:lang w:val="en"/>
        </w:rPr>
      </w:pPr>
      <w:r w:rsidRPr="0020159A">
        <w:rPr>
          <w:rFonts w:ascii="Arial" w:hAnsi="Arial" w:cs="Arial"/>
          <w:sz w:val="24"/>
          <w:szCs w:val="24"/>
          <w:lang w:val="en"/>
        </w:rPr>
        <w:t>Backflow from TU or RU≤5%</w:t>
      </w:r>
    </w:p>
    <w:p w14:paraId="06938D85" w14:textId="77777777" w:rsidR="006E5AA7" w:rsidRPr="0020159A" w:rsidRDefault="006E5AA7" w:rsidP="006E5AA7">
      <w:pPr>
        <w:pStyle w:val="ListParagraph"/>
        <w:numPr>
          <w:ilvl w:val="0"/>
          <w:numId w:val="2"/>
        </w:numPr>
        <w:rPr>
          <w:rFonts w:ascii="Arial" w:hAnsi="Arial" w:cs="Arial"/>
          <w:sz w:val="24"/>
          <w:szCs w:val="24"/>
          <w:lang w:val="en"/>
        </w:rPr>
      </w:pPr>
      <w:r w:rsidRPr="0020159A">
        <w:rPr>
          <w:rFonts w:ascii="Arial" w:hAnsi="Arial" w:cs="Arial"/>
          <w:sz w:val="24"/>
          <w:szCs w:val="24"/>
          <w:lang w:val="en"/>
        </w:rPr>
        <w:t xml:space="preserve">Length of stay and </w:t>
      </w:r>
      <w:r w:rsidR="00E236C9" w:rsidRPr="0020159A">
        <w:rPr>
          <w:rFonts w:ascii="Arial" w:hAnsi="Arial" w:cs="Arial"/>
          <w:sz w:val="24"/>
          <w:szCs w:val="24"/>
          <w:lang w:val="en"/>
        </w:rPr>
        <w:t>readmission r</w:t>
      </w:r>
      <w:r w:rsidRPr="0020159A">
        <w:rPr>
          <w:rFonts w:ascii="Arial" w:hAnsi="Arial" w:cs="Arial"/>
          <w:sz w:val="24"/>
          <w:szCs w:val="24"/>
          <w:lang w:val="en"/>
        </w:rPr>
        <w:t>ates:</w:t>
      </w:r>
    </w:p>
    <w:p w14:paraId="65A8CD87" w14:textId="04B74256" w:rsidR="006E5AA7" w:rsidRPr="0020159A" w:rsidRDefault="006E5AA7" w:rsidP="006E5AA7">
      <w:pPr>
        <w:pStyle w:val="ListParagraph"/>
        <w:numPr>
          <w:ilvl w:val="1"/>
          <w:numId w:val="2"/>
        </w:numPr>
        <w:rPr>
          <w:rFonts w:ascii="Arial" w:hAnsi="Arial" w:cs="Arial"/>
          <w:sz w:val="24"/>
          <w:szCs w:val="24"/>
          <w:lang w:val="en"/>
        </w:rPr>
      </w:pPr>
      <w:r w:rsidRPr="0020159A">
        <w:rPr>
          <w:rFonts w:ascii="Arial" w:hAnsi="Arial" w:cs="Arial"/>
          <w:sz w:val="24"/>
          <w:szCs w:val="24"/>
          <w:lang w:val="en"/>
        </w:rPr>
        <w:t xml:space="preserve">Median </w:t>
      </w:r>
      <w:r w:rsidR="00F27BB5" w:rsidRPr="0020159A">
        <w:rPr>
          <w:rFonts w:ascii="Arial" w:hAnsi="Arial" w:cs="Arial"/>
          <w:sz w:val="24"/>
          <w:szCs w:val="24"/>
          <w:lang w:val="en"/>
        </w:rPr>
        <w:t xml:space="preserve">length of stay </w:t>
      </w:r>
      <w:r w:rsidRPr="0020159A">
        <w:rPr>
          <w:rFonts w:ascii="Arial" w:hAnsi="Arial" w:cs="Arial"/>
          <w:sz w:val="24"/>
          <w:szCs w:val="24"/>
          <w:lang w:val="en"/>
        </w:rPr>
        <w:t>for AU</w:t>
      </w:r>
      <w:r w:rsidR="00C77412" w:rsidRPr="0020159A">
        <w:rPr>
          <w:rFonts w:ascii="Arial" w:hAnsi="Arial" w:cs="Arial"/>
          <w:sz w:val="24"/>
          <w:szCs w:val="24"/>
          <w:lang w:val="en"/>
        </w:rPr>
        <w:t>≤</w:t>
      </w:r>
      <w:r w:rsidRPr="0020159A">
        <w:rPr>
          <w:rFonts w:ascii="Arial" w:hAnsi="Arial" w:cs="Arial"/>
          <w:sz w:val="24"/>
          <w:szCs w:val="24"/>
          <w:lang w:val="en"/>
        </w:rPr>
        <w:t>3 days</w:t>
      </w:r>
      <w:r w:rsidR="00F27BB5" w:rsidRPr="0020159A">
        <w:rPr>
          <w:rFonts w:ascii="Arial" w:hAnsi="Arial" w:cs="Arial"/>
          <w:sz w:val="24"/>
          <w:szCs w:val="24"/>
          <w:lang w:val="en"/>
        </w:rPr>
        <w:t>,</w:t>
      </w:r>
      <w:r w:rsidRPr="0020159A">
        <w:rPr>
          <w:rFonts w:ascii="Arial" w:hAnsi="Arial" w:cs="Arial"/>
          <w:sz w:val="24"/>
          <w:szCs w:val="24"/>
          <w:lang w:val="en"/>
        </w:rPr>
        <w:t xml:space="preserve"> TU</w:t>
      </w:r>
      <w:r w:rsidR="00C77412" w:rsidRPr="0020159A">
        <w:rPr>
          <w:rFonts w:ascii="Arial" w:hAnsi="Arial" w:cs="Arial"/>
          <w:sz w:val="24"/>
          <w:szCs w:val="24"/>
          <w:lang w:val="en"/>
        </w:rPr>
        <w:t>≤</w:t>
      </w:r>
      <w:r w:rsidRPr="0020159A">
        <w:rPr>
          <w:rFonts w:ascii="Arial" w:hAnsi="Arial" w:cs="Arial"/>
          <w:sz w:val="24"/>
          <w:szCs w:val="24"/>
          <w:lang w:val="en"/>
        </w:rPr>
        <w:t>3 weeks</w:t>
      </w:r>
      <w:r w:rsidR="00F27BB5" w:rsidRPr="0020159A">
        <w:rPr>
          <w:rFonts w:ascii="Arial" w:hAnsi="Arial" w:cs="Arial"/>
          <w:sz w:val="24"/>
          <w:szCs w:val="24"/>
          <w:lang w:val="en"/>
        </w:rPr>
        <w:t>,</w:t>
      </w:r>
      <w:r w:rsidRPr="0020159A">
        <w:rPr>
          <w:rFonts w:ascii="Arial" w:hAnsi="Arial" w:cs="Arial"/>
          <w:sz w:val="24"/>
          <w:szCs w:val="24"/>
          <w:lang w:val="en"/>
        </w:rPr>
        <w:t xml:space="preserve"> RU</w:t>
      </w:r>
      <w:r w:rsidR="00C77412" w:rsidRPr="0020159A">
        <w:rPr>
          <w:rFonts w:ascii="Arial" w:hAnsi="Arial" w:cs="Arial"/>
          <w:sz w:val="24"/>
          <w:szCs w:val="24"/>
          <w:lang w:val="en"/>
        </w:rPr>
        <w:t>≤</w:t>
      </w:r>
      <w:r w:rsidRPr="0020159A">
        <w:rPr>
          <w:rFonts w:ascii="Arial" w:hAnsi="Arial" w:cs="Arial"/>
          <w:sz w:val="24"/>
          <w:szCs w:val="24"/>
          <w:lang w:val="en"/>
        </w:rPr>
        <w:t>3 months</w:t>
      </w:r>
    </w:p>
    <w:p w14:paraId="46B5FE9D" w14:textId="74BF332D" w:rsidR="00ED220C" w:rsidRPr="0020159A" w:rsidRDefault="00F27BB5" w:rsidP="00A7246E">
      <w:pPr>
        <w:pStyle w:val="ListParagraph"/>
        <w:numPr>
          <w:ilvl w:val="1"/>
          <w:numId w:val="2"/>
        </w:numPr>
        <w:rPr>
          <w:rFonts w:ascii="Arial" w:hAnsi="Arial" w:cs="Arial"/>
          <w:sz w:val="24"/>
          <w:szCs w:val="24"/>
          <w:lang w:val="en"/>
        </w:rPr>
      </w:pPr>
      <w:r w:rsidRPr="0020159A">
        <w:rPr>
          <w:rFonts w:ascii="Arial" w:hAnsi="Arial" w:cs="Arial"/>
          <w:sz w:val="24"/>
          <w:szCs w:val="24"/>
          <w:lang w:val="en"/>
        </w:rPr>
        <w:t xml:space="preserve">Readmission rates: </w:t>
      </w:r>
      <w:r w:rsidR="006E5AA7" w:rsidRPr="0020159A">
        <w:rPr>
          <w:rFonts w:ascii="Arial" w:hAnsi="Arial" w:cs="Arial"/>
          <w:sz w:val="24"/>
          <w:szCs w:val="24"/>
          <w:lang w:val="en"/>
        </w:rPr>
        <w:t>30 days</w:t>
      </w:r>
      <w:r w:rsidR="00C77412" w:rsidRPr="0020159A">
        <w:rPr>
          <w:rFonts w:ascii="Arial" w:hAnsi="Arial" w:cs="Arial"/>
          <w:sz w:val="24"/>
          <w:szCs w:val="24"/>
          <w:lang w:val="en"/>
        </w:rPr>
        <w:t>≤</w:t>
      </w:r>
      <w:r w:rsidR="006E5AA7" w:rsidRPr="0020159A">
        <w:rPr>
          <w:rFonts w:ascii="Arial" w:hAnsi="Arial" w:cs="Arial"/>
          <w:sz w:val="24"/>
          <w:szCs w:val="24"/>
          <w:lang w:val="en"/>
        </w:rPr>
        <w:t>15%, 7 days</w:t>
      </w:r>
      <w:r w:rsidR="00C77412" w:rsidRPr="0020159A">
        <w:rPr>
          <w:rFonts w:ascii="Arial" w:hAnsi="Arial" w:cs="Arial"/>
          <w:sz w:val="24"/>
          <w:szCs w:val="24"/>
          <w:lang w:val="en"/>
        </w:rPr>
        <w:t>≤</w:t>
      </w:r>
      <w:r w:rsidR="006E5AA7" w:rsidRPr="0020159A">
        <w:rPr>
          <w:rFonts w:ascii="Arial" w:hAnsi="Arial" w:cs="Arial"/>
          <w:sz w:val="24"/>
          <w:szCs w:val="24"/>
          <w:lang w:val="en"/>
        </w:rPr>
        <w:t>5%</w:t>
      </w:r>
    </w:p>
    <w:p w14:paraId="2DA15480" w14:textId="77777777" w:rsidR="006E5AA7" w:rsidRPr="0020159A" w:rsidRDefault="006E5AA7" w:rsidP="006E5AA7">
      <w:pPr>
        <w:pStyle w:val="ListParagraph"/>
        <w:numPr>
          <w:ilvl w:val="0"/>
          <w:numId w:val="2"/>
        </w:numPr>
        <w:rPr>
          <w:rFonts w:ascii="Arial" w:hAnsi="Arial" w:cs="Arial"/>
          <w:sz w:val="24"/>
          <w:szCs w:val="24"/>
          <w:lang w:val="en"/>
        </w:rPr>
      </w:pPr>
      <w:r w:rsidRPr="0020159A">
        <w:rPr>
          <w:rFonts w:ascii="Arial" w:hAnsi="Arial" w:cs="Arial"/>
          <w:sz w:val="24"/>
          <w:szCs w:val="24"/>
          <w:lang w:val="en"/>
        </w:rPr>
        <w:t>Monthly occupancy levels</w:t>
      </w:r>
    </w:p>
    <w:p w14:paraId="21337ABC" w14:textId="1D870CD3" w:rsidR="006E5AA7" w:rsidRPr="0020159A" w:rsidRDefault="00A14993" w:rsidP="006E5AA7">
      <w:pPr>
        <w:pStyle w:val="ListParagraph"/>
        <w:numPr>
          <w:ilvl w:val="1"/>
          <w:numId w:val="2"/>
        </w:numPr>
        <w:rPr>
          <w:rFonts w:ascii="Arial" w:hAnsi="Arial" w:cs="Arial"/>
          <w:sz w:val="24"/>
          <w:szCs w:val="24"/>
          <w:lang w:val="en"/>
        </w:rPr>
      </w:pPr>
      <w:r w:rsidRPr="0020159A">
        <w:rPr>
          <w:rFonts w:ascii="Arial" w:hAnsi="Arial" w:cs="Arial"/>
          <w:sz w:val="24"/>
          <w:szCs w:val="24"/>
          <w:lang w:val="en"/>
        </w:rPr>
        <w:t>Occupancy (leave beds considered occupied)</w:t>
      </w:r>
      <w:r w:rsidR="006E5AA7" w:rsidRPr="0020159A">
        <w:rPr>
          <w:rFonts w:ascii="Arial" w:hAnsi="Arial" w:cs="Arial"/>
          <w:sz w:val="24"/>
          <w:szCs w:val="24"/>
          <w:lang w:val="en"/>
        </w:rPr>
        <w:t>: AU</w:t>
      </w:r>
      <w:r w:rsidR="00C77412" w:rsidRPr="0020159A">
        <w:rPr>
          <w:rFonts w:ascii="Arial" w:hAnsi="Arial" w:cs="Arial"/>
          <w:sz w:val="24"/>
          <w:szCs w:val="24"/>
          <w:lang w:val="en"/>
        </w:rPr>
        <w:t>≤</w:t>
      </w:r>
      <w:r w:rsidR="006E5AA7" w:rsidRPr="0020159A">
        <w:rPr>
          <w:rFonts w:ascii="Arial" w:hAnsi="Arial" w:cs="Arial"/>
          <w:sz w:val="24"/>
          <w:szCs w:val="24"/>
          <w:lang w:val="en"/>
        </w:rPr>
        <w:t>70%; TU</w:t>
      </w:r>
      <w:r w:rsidR="00C77412" w:rsidRPr="0020159A">
        <w:rPr>
          <w:rFonts w:ascii="Arial" w:hAnsi="Arial" w:cs="Arial"/>
          <w:sz w:val="24"/>
          <w:szCs w:val="24"/>
          <w:lang w:val="en"/>
        </w:rPr>
        <w:t>≤</w:t>
      </w:r>
      <w:r w:rsidR="006E5AA7" w:rsidRPr="0020159A">
        <w:rPr>
          <w:rFonts w:ascii="Arial" w:hAnsi="Arial" w:cs="Arial"/>
          <w:sz w:val="24"/>
          <w:szCs w:val="24"/>
          <w:lang w:val="en"/>
        </w:rPr>
        <w:t>95%, RU</w:t>
      </w:r>
      <w:r w:rsidR="00C77412" w:rsidRPr="0020159A">
        <w:rPr>
          <w:rFonts w:ascii="Arial" w:hAnsi="Arial" w:cs="Arial"/>
          <w:sz w:val="24"/>
          <w:szCs w:val="24"/>
          <w:lang w:val="en"/>
        </w:rPr>
        <w:t>≤</w:t>
      </w:r>
      <w:r w:rsidR="006E5AA7" w:rsidRPr="0020159A">
        <w:rPr>
          <w:rFonts w:ascii="Arial" w:hAnsi="Arial" w:cs="Arial"/>
          <w:sz w:val="24"/>
          <w:szCs w:val="24"/>
          <w:lang w:val="en"/>
        </w:rPr>
        <w:t>100%</w:t>
      </w:r>
      <w:r w:rsidRPr="0020159A">
        <w:rPr>
          <w:rFonts w:ascii="Arial" w:hAnsi="Arial" w:cs="Arial"/>
          <w:sz w:val="24"/>
          <w:szCs w:val="24"/>
          <w:lang w:val="en"/>
        </w:rPr>
        <w:t>, Overall</w:t>
      </w:r>
      <w:r w:rsidR="00C77412" w:rsidRPr="0020159A">
        <w:rPr>
          <w:rFonts w:ascii="Arial" w:hAnsi="Arial" w:cs="Arial"/>
          <w:sz w:val="24"/>
          <w:szCs w:val="24"/>
          <w:lang w:val="en"/>
        </w:rPr>
        <w:t>≤</w:t>
      </w:r>
      <w:r w:rsidRPr="0020159A">
        <w:rPr>
          <w:rFonts w:ascii="Arial" w:hAnsi="Arial" w:cs="Arial"/>
          <w:sz w:val="24"/>
          <w:szCs w:val="24"/>
          <w:lang w:val="en"/>
        </w:rPr>
        <w:t>85%</w:t>
      </w:r>
    </w:p>
    <w:p w14:paraId="4EF835AB" w14:textId="30E02F86" w:rsidR="006E5AA7" w:rsidRPr="0020159A" w:rsidRDefault="00F27BB5" w:rsidP="00A14993">
      <w:pPr>
        <w:pStyle w:val="ListParagraph"/>
        <w:numPr>
          <w:ilvl w:val="1"/>
          <w:numId w:val="2"/>
        </w:numPr>
        <w:rPr>
          <w:rFonts w:ascii="Arial" w:hAnsi="Arial" w:cs="Arial"/>
          <w:sz w:val="24"/>
          <w:szCs w:val="24"/>
          <w:lang w:val="en"/>
        </w:rPr>
      </w:pPr>
      <w:r w:rsidRPr="0020159A">
        <w:rPr>
          <w:rFonts w:ascii="Arial" w:hAnsi="Arial" w:cs="Arial"/>
          <w:sz w:val="24"/>
          <w:szCs w:val="24"/>
          <w:lang w:val="en"/>
        </w:rPr>
        <w:lastRenderedPageBreak/>
        <w:t>N</w:t>
      </w:r>
      <w:r w:rsidR="006E5AA7" w:rsidRPr="0020159A">
        <w:rPr>
          <w:rFonts w:ascii="Arial" w:hAnsi="Arial" w:cs="Arial"/>
          <w:sz w:val="24"/>
          <w:szCs w:val="24"/>
          <w:lang w:val="en"/>
        </w:rPr>
        <w:t xml:space="preserve">ights </w:t>
      </w:r>
      <w:r w:rsidRPr="0020159A">
        <w:rPr>
          <w:rFonts w:ascii="Arial" w:hAnsi="Arial" w:cs="Arial"/>
          <w:sz w:val="24"/>
          <w:szCs w:val="24"/>
          <w:lang w:val="en"/>
        </w:rPr>
        <w:t>without beds/annum (leave beds considered</w:t>
      </w:r>
      <w:r w:rsidR="00A14993" w:rsidRPr="0020159A">
        <w:rPr>
          <w:rFonts w:ascii="Arial" w:hAnsi="Arial" w:cs="Arial"/>
          <w:sz w:val="24"/>
          <w:szCs w:val="24"/>
          <w:lang w:val="en"/>
        </w:rPr>
        <w:t xml:space="preserve"> </w:t>
      </w:r>
      <w:r w:rsidRPr="0020159A">
        <w:rPr>
          <w:rFonts w:ascii="Arial" w:hAnsi="Arial" w:cs="Arial"/>
          <w:sz w:val="24"/>
          <w:szCs w:val="24"/>
          <w:lang w:val="en"/>
        </w:rPr>
        <w:t>vacant):</w:t>
      </w:r>
      <w:r w:rsidR="00A14993" w:rsidRPr="0020159A">
        <w:rPr>
          <w:rFonts w:ascii="Arial" w:hAnsi="Arial" w:cs="Arial"/>
          <w:sz w:val="24"/>
          <w:szCs w:val="24"/>
          <w:lang w:val="en"/>
        </w:rPr>
        <w:t xml:space="preserve"> across </w:t>
      </w:r>
      <w:r w:rsidR="006E5AA7" w:rsidRPr="0020159A">
        <w:rPr>
          <w:rFonts w:ascii="Arial" w:hAnsi="Arial" w:cs="Arial"/>
          <w:sz w:val="24"/>
          <w:szCs w:val="24"/>
          <w:lang w:val="en"/>
        </w:rPr>
        <w:t>CPFT</w:t>
      </w:r>
      <w:r w:rsidRPr="0020159A">
        <w:rPr>
          <w:rFonts w:ascii="Arial" w:hAnsi="Arial" w:cs="Arial"/>
          <w:sz w:val="24"/>
          <w:szCs w:val="24"/>
          <w:lang w:val="en"/>
        </w:rPr>
        <w:t xml:space="preserve"> =</w:t>
      </w:r>
      <w:r w:rsidR="006E5AA7" w:rsidRPr="0020159A">
        <w:rPr>
          <w:rFonts w:ascii="Arial" w:hAnsi="Arial" w:cs="Arial"/>
          <w:sz w:val="24"/>
          <w:szCs w:val="24"/>
          <w:lang w:val="en"/>
        </w:rPr>
        <w:t xml:space="preserve"> 0</w:t>
      </w:r>
      <w:r w:rsidRPr="0020159A">
        <w:rPr>
          <w:rFonts w:ascii="Arial" w:hAnsi="Arial" w:cs="Arial"/>
          <w:sz w:val="24"/>
          <w:szCs w:val="24"/>
          <w:lang w:val="en"/>
        </w:rPr>
        <w:t>,</w:t>
      </w:r>
      <w:r w:rsidR="006E5AA7" w:rsidRPr="0020159A">
        <w:rPr>
          <w:rFonts w:ascii="Arial" w:hAnsi="Arial" w:cs="Arial"/>
          <w:sz w:val="24"/>
          <w:szCs w:val="24"/>
          <w:lang w:val="en"/>
        </w:rPr>
        <w:t xml:space="preserve"> </w:t>
      </w:r>
      <w:r w:rsidR="00A14993" w:rsidRPr="0020159A">
        <w:rPr>
          <w:rFonts w:ascii="Arial" w:hAnsi="Arial" w:cs="Arial"/>
          <w:sz w:val="24"/>
          <w:szCs w:val="24"/>
          <w:lang w:val="en"/>
        </w:rPr>
        <w:t xml:space="preserve">across </w:t>
      </w:r>
      <w:r w:rsidR="006E5AA7" w:rsidRPr="0020159A">
        <w:rPr>
          <w:rFonts w:ascii="Arial" w:hAnsi="Arial" w:cs="Arial"/>
          <w:sz w:val="24"/>
          <w:szCs w:val="24"/>
          <w:lang w:val="en"/>
        </w:rPr>
        <w:t>AU</w:t>
      </w:r>
      <w:r w:rsidR="00A14993" w:rsidRPr="0020159A">
        <w:rPr>
          <w:rFonts w:ascii="Arial" w:hAnsi="Arial" w:cs="Arial"/>
          <w:sz w:val="24"/>
          <w:szCs w:val="24"/>
          <w:lang w:val="en"/>
        </w:rPr>
        <w:t>s</w:t>
      </w:r>
      <w:r w:rsidR="00C77412" w:rsidRPr="0020159A">
        <w:rPr>
          <w:rFonts w:ascii="Arial" w:hAnsi="Arial" w:cs="Arial"/>
          <w:sz w:val="24"/>
          <w:szCs w:val="24"/>
          <w:lang w:val="en"/>
        </w:rPr>
        <w:t>≤</w:t>
      </w:r>
      <w:r w:rsidR="00A14993" w:rsidRPr="0020159A">
        <w:rPr>
          <w:rFonts w:ascii="Arial" w:hAnsi="Arial" w:cs="Arial"/>
          <w:sz w:val="24"/>
          <w:szCs w:val="24"/>
          <w:lang w:val="en"/>
        </w:rPr>
        <w:t>5, a</w:t>
      </w:r>
      <w:r w:rsidR="00E236C9" w:rsidRPr="0020159A">
        <w:rPr>
          <w:rFonts w:ascii="Arial" w:hAnsi="Arial" w:cs="Arial"/>
          <w:sz w:val="24"/>
          <w:szCs w:val="24"/>
          <w:lang w:val="en"/>
        </w:rPr>
        <w:t>cross TU</w:t>
      </w:r>
      <w:r w:rsidR="00C77412" w:rsidRPr="0020159A">
        <w:rPr>
          <w:rFonts w:ascii="Arial" w:hAnsi="Arial" w:cs="Arial"/>
          <w:sz w:val="24"/>
          <w:szCs w:val="24"/>
          <w:lang w:val="en"/>
        </w:rPr>
        <w:t>s≤</w:t>
      </w:r>
      <w:r w:rsidR="00A14993" w:rsidRPr="0020159A">
        <w:rPr>
          <w:rFonts w:ascii="Arial" w:hAnsi="Arial" w:cs="Arial"/>
          <w:sz w:val="24"/>
          <w:szCs w:val="24"/>
          <w:lang w:val="en"/>
        </w:rPr>
        <w:t xml:space="preserve">10, in </w:t>
      </w:r>
      <w:r w:rsidR="00E236C9" w:rsidRPr="0020159A">
        <w:rPr>
          <w:rFonts w:ascii="Arial" w:hAnsi="Arial" w:cs="Arial"/>
          <w:sz w:val="24"/>
          <w:szCs w:val="24"/>
          <w:lang w:val="en"/>
        </w:rPr>
        <w:t>Cambridge</w:t>
      </w:r>
      <w:r w:rsidR="00C77412" w:rsidRPr="0020159A">
        <w:rPr>
          <w:rFonts w:ascii="Arial" w:hAnsi="Arial" w:cs="Arial"/>
          <w:sz w:val="24"/>
          <w:szCs w:val="24"/>
          <w:lang w:val="en"/>
        </w:rPr>
        <w:t>≤</w:t>
      </w:r>
      <w:r w:rsidR="00A14993" w:rsidRPr="0020159A">
        <w:rPr>
          <w:rFonts w:ascii="Arial" w:hAnsi="Arial" w:cs="Arial"/>
          <w:sz w:val="24"/>
          <w:szCs w:val="24"/>
          <w:lang w:val="en"/>
        </w:rPr>
        <w:t xml:space="preserve">5, in </w:t>
      </w:r>
      <w:r w:rsidR="00E236C9" w:rsidRPr="0020159A">
        <w:rPr>
          <w:rFonts w:ascii="Arial" w:hAnsi="Arial" w:cs="Arial"/>
          <w:sz w:val="24"/>
          <w:szCs w:val="24"/>
          <w:lang w:val="en"/>
        </w:rPr>
        <w:t>Peterborough</w:t>
      </w:r>
      <w:r w:rsidR="00C77412" w:rsidRPr="0020159A">
        <w:rPr>
          <w:rFonts w:ascii="Arial" w:hAnsi="Arial" w:cs="Arial"/>
          <w:sz w:val="24"/>
          <w:szCs w:val="24"/>
          <w:lang w:val="en"/>
        </w:rPr>
        <w:t>≤</w:t>
      </w:r>
      <w:r w:rsidR="00A14993" w:rsidRPr="0020159A">
        <w:rPr>
          <w:rFonts w:ascii="Arial" w:hAnsi="Arial" w:cs="Arial"/>
          <w:sz w:val="24"/>
          <w:szCs w:val="24"/>
          <w:lang w:val="en"/>
        </w:rPr>
        <w:t>5</w:t>
      </w:r>
    </w:p>
    <w:p w14:paraId="232FC3E1" w14:textId="77777777" w:rsidR="00F20F23" w:rsidRPr="0020159A" w:rsidRDefault="00F20F23" w:rsidP="00D805F6">
      <w:pPr>
        <w:pStyle w:val="ListParagraph"/>
        <w:ind w:left="0"/>
        <w:rPr>
          <w:rFonts w:ascii="Arial" w:hAnsi="Arial" w:cs="Arial"/>
          <w:b/>
          <w:sz w:val="24"/>
          <w:szCs w:val="24"/>
        </w:rPr>
      </w:pPr>
    </w:p>
    <w:p w14:paraId="7A7A51A5" w14:textId="77777777" w:rsidR="00D805F6" w:rsidRPr="0020159A" w:rsidRDefault="00D805F6" w:rsidP="00D805F6">
      <w:pPr>
        <w:pStyle w:val="ListParagraph"/>
        <w:ind w:left="0"/>
        <w:rPr>
          <w:rFonts w:ascii="Arial" w:hAnsi="Arial" w:cs="Arial"/>
          <w:b/>
          <w:sz w:val="24"/>
          <w:szCs w:val="24"/>
        </w:rPr>
      </w:pPr>
      <w:r w:rsidRPr="0020159A">
        <w:rPr>
          <w:rFonts w:ascii="Arial" w:hAnsi="Arial" w:cs="Arial"/>
          <w:b/>
          <w:sz w:val="24"/>
          <w:szCs w:val="24"/>
        </w:rPr>
        <w:t>Results:</w:t>
      </w:r>
    </w:p>
    <w:p w14:paraId="419B2F03" w14:textId="77777777" w:rsidR="00D732AD" w:rsidRPr="0020159A" w:rsidRDefault="00D732AD" w:rsidP="00D805F6">
      <w:pPr>
        <w:pStyle w:val="ListParagraph"/>
        <w:ind w:left="0"/>
        <w:rPr>
          <w:rFonts w:ascii="Arial" w:hAnsi="Arial" w:cs="Arial"/>
          <w:b/>
          <w:sz w:val="24"/>
          <w:szCs w:val="24"/>
        </w:rPr>
      </w:pPr>
    </w:p>
    <w:p w14:paraId="79675A88" w14:textId="77777777" w:rsidR="00870525" w:rsidRPr="0020159A" w:rsidRDefault="00870525" w:rsidP="00D805F6">
      <w:pPr>
        <w:pStyle w:val="ListParagraph"/>
        <w:ind w:left="0"/>
        <w:rPr>
          <w:rFonts w:ascii="Arial" w:hAnsi="Arial" w:cs="Arial"/>
          <w:b/>
          <w:sz w:val="24"/>
          <w:szCs w:val="24"/>
        </w:rPr>
      </w:pPr>
      <w:r w:rsidRPr="0020159A">
        <w:rPr>
          <w:rFonts w:ascii="Arial" w:hAnsi="Arial" w:cs="Arial"/>
          <w:b/>
          <w:sz w:val="24"/>
          <w:szCs w:val="24"/>
        </w:rPr>
        <w:t>Bed complement and OATs pre and post 333 implementation</w:t>
      </w:r>
    </w:p>
    <w:p w14:paraId="0D090873" w14:textId="528B9DFE" w:rsidR="00D805F6" w:rsidRPr="0020159A" w:rsidRDefault="00B90206" w:rsidP="00D805F6">
      <w:pPr>
        <w:rPr>
          <w:rFonts w:ascii="Arial" w:hAnsi="Arial" w:cs="Arial"/>
          <w:sz w:val="24"/>
          <w:szCs w:val="24"/>
        </w:rPr>
      </w:pPr>
      <w:r>
        <w:rPr>
          <w:rFonts w:ascii="Arial" w:hAnsi="Arial" w:cs="Arial"/>
          <w:sz w:val="24"/>
          <w:szCs w:val="24"/>
        </w:rPr>
        <w:t>Table 1</w:t>
      </w:r>
      <w:r w:rsidR="006B3FEC" w:rsidRPr="0020159A">
        <w:rPr>
          <w:rFonts w:ascii="Arial" w:hAnsi="Arial" w:cs="Arial"/>
          <w:sz w:val="24"/>
          <w:szCs w:val="24"/>
        </w:rPr>
        <w:t xml:space="preserve"> </w:t>
      </w:r>
      <w:r w:rsidR="00DE2B84" w:rsidRPr="0020159A">
        <w:rPr>
          <w:rFonts w:ascii="Arial" w:hAnsi="Arial" w:cs="Arial"/>
          <w:sz w:val="24"/>
          <w:szCs w:val="24"/>
        </w:rPr>
        <w:t xml:space="preserve">provides </w:t>
      </w:r>
      <w:r w:rsidR="006B3FEC" w:rsidRPr="0020159A">
        <w:rPr>
          <w:rFonts w:ascii="Arial" w:hAnsi="Arial" w:cs="Arial"/>
          <w:sz w:val="24"/>
          <w:szCs w:val="24"/>
        </w:rPr>
        <w:t>t</w:t>
      </w:r>
      <w:r w:rsidR="0000011E" w:rsidRPr="0020159A">
        <w:rPr>
          <w:rFonts w:ascii="Arial" w:hAnsi="Arial" w:cs="Arial"/>
          <w:sz w:val="24"/>
          <w:szCs w:val="24"/>
        </w:rPr>
        <w:t xml:space="preserve">he </w:t>
      </w:r>
      <w:r w:rsidR="00DE2B84" w:rsidRPr="0020159A">
        <w:rPr>
          <w:rFonts w:ascii="Arial" w:hAnsi="Arial" w:cs="Arial"/>
          <w:sz w:val="24"/>
          <w:szCs w:val="24"/>
        </w:rPr>
        <w:t xml:space="preserve">changing </w:t>
      </w:r>
      <w:r w:rsidR="00CE7DDC" w:rsidRPr="0020159A">
        <w:rPr>
          <w:rFonts w:ascii="Arial" w:hAnsi="Arial" w:cs="Arial"/>
          <w:sz w:val="24"/>
          <w:szCs w:val="24"/>
        </w:rPr>
        <w:t>a</w:t>
      </w:r>
      <w:r w:rsidR="0000011E" w:rsidRPr="0020159A">
        <w:rPr>
          <w:rFonts w:ascii="Arial" w:hAnsi="Arial" w:cs="Arial"/>
          <w:sz w:val="24"/>
          <w:szCs w:val="24"/>
        </w:rPr>
        <w:t xml:space="preserve">dult </w:t>
      </w:r>
      <w:r w:rsidR="00CE7DDC" w:rsidRPr="0020159A">
        <w:rPr>
          <w:rFonts w:ascii="Arial" w:hAnsi="Arial" w:cs="Arial"/>
          <w:sz w:val="24"/>
          <w:szCs w:val="24"/>
        </w:rPr>
        <w:t>mental h</w:t>
      </w:r>
      <w:r w:rsidR="0000011E" w:rsidRPr="0020159A">
        <w:rPr>
          <w:rFonts w:ascii="Arial" w:hAnsi="Arial" w:cs="Arial"/>
          <w:sz w:val="24"/>
          <w:szCs w:val="24"/>
        </w:rPr>
        <w:t>ealth bed complement within CPFT</w:t>
      </w:r>
      <w:r w:rsidR="006B3FEC" w:rsidRPr="0020159A">
        <w:rPr>
          <w:rFonts w:ascii="Arial" w:hAnsi="Arial" w:cs="Arial"/>
          <w:sz w:val="24"/>
          <w:szCs w:val="24"/>
        </w:rPr>
        <w:t xml:space="preserve"> from 2011 to 2016</w:t>
      </w:r>
      <w:r w:rsidR="00B95F36" w:rsidRPr="0020159A">
        <w:rPr>
          <w:rFonts w:ascii="Arial" w:hAnsi="Arial" w:cs="Arial"/>
          <w:sz w:val="24"/>
          <w:szCs w:val="24"/>
        </w:rPr>
        <w:t>, serving an adult population of 550,000</w:t>
      </w:r>
      <w:r w:rsidR="007C52B6"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{"citationItems":[{"id":"ITEM-1","itemData":{"URL":"https://cambridgeshireinsight.org.uk/population/","accessed":{"date-parts":[["2017","12","11"]]},"author":[{"dropping-particle":"","family":"Cambridgeshire Insight","given":"","non-dropping-particle":"","parse-names":false,"suffix":""}],"id":"ITEM-1","issued":{"date-parts":[["0"]]},"title":"Cambridgeshire Insight – Population","type":"webpage"},"uris":["http://www.mendeley.com/documents/?uuid=2ba9a95a-33af-43c6-829b-77f97f8f672c"]}],"mendeley":{"formattedCitation":"(6)","plainTextFormattedCitation":"(6)","previouslyFormattedCitation":"(6)"},"properties":{"noteIndex":0},"schema":"https://github.com/citation-style-language/schema/raw/master/csl-citation.json"}</w:instrText>
      </w:r>
      <w:r w:rsidR="007C52B6" w:rsidRPr="0020159A">
        <w:rPr>
          <w:rFonts w:ascii="Arial" w:hAnsi="Arial" w:cs="Arial"/>
          <w:sz w:val="24"/>
          <w:szCs w:val="24"/>
          <w:vertAlign w:val="superscript"/>
        </w:rPr>
        <w:fldChar w:fldCharType="separate"/>
      </w:r>
      <w:r w:rsidR="008975B8" w:rsidRPr="0020159A">
        <w:rPr>
          <w:rFonts w:ascii="Arial" w:hAnsi="Arial" w:cs="Arial"/>
          <w:noProof/>
          <w:sz w:val="24"/>
          <w:szCs w:val="24"/>
          <w:vertAlign w:val="superscript"/>
        </w:rPr>
        <w:t>(6)</w:t>
      </w:r>
      <w:r w:rsidR="007C52B6" w:rsidRPr="0020159A">
        <w:rPr>
          <w:rFonts w:ascii="Arial" w:hAnsi="Arial" w:cs="Arial"/>
          <w:sz w:val="24"/>
          <w:szCs w:val="24"/>
          <w:vertAlign w:val="superscript"/>
        </w:rPr>
        <w:fldChar w:fldCharType="end"/>
      </w:r>
      <w:r w:rsidR="0000011E" w:rsidRPr="0020159A">
        <w:rPr>
          <w:rFonts w:ascii="Arial" w:hAnsi="Arial" w:cs="Arial"/>
          <w:sz w:val="24"/>
          <w:szCs w:val="24"/>
        </w:rPr>
        <w:t xml:space="preserve">. </w:t>
      </w:r>
      <w:r w:rsidR="00E236C9" w:rsidRPr="0020159A">
        <w:rPr>
          <w:rFonts w:ascii="Arial" w:hAnsi="Arial" w:cs="Arial"/>
          <w:sz w:val="24"/>
          <w:szCs w:val="24"/>
        </w:rPr>
        <w:t>Given s</w:t>
      </w:r>
      <w:r w:rsidR="00CE7DDC" w:rsidRPr="0020159A">
        <w:rPr>
          <w:rFonts w:ascii="Arial" w:hAnsi="Arial" w:cs="Arial"/>
          <w:sz w:val="24"/>
          <w:szCs w:val="24"/>
        </w:rPr>
        <w:t>maller ward</w:t>
      </w:r>
      <w:r w:rsidR="00E236C9" w:rsidRPr="0020159A">
        <w:rPr>
          <w:rFonts w:ascii="Arial" w:hAnsi="Arial" w:cs="Arial"/>
          <w:sz w:val="24"/>
          <w:szCs w:val="24"/>
        </w:rPr>
        <w:t>s</w:t>
      </w:r>
      <w:r w:rsidR="00CE7DDC" w:rsidRPr="0020159A">
        <w:rPr>
          <w:rFonts w:ascii="Arial" w:hAnsi="Arial" w:cs="Arial"/>
          <w:sz w:val="24"/>
          <w:szCs w:val="24"/>
        </w:rPr>
        <w:t xml:space="preserve"> are at the heart of healing environments</w:t>
      </w:r>
      <w:r w:rsidR="00786F32" w:rsidRPr="0020159A">
        <w:rPr>
          <w:rFonts w:ascii="Arial" w:hAnsi="Arial" w:cs="Arial"/>
          <w:sz w:val="24"/>
          <w:szCs w:val="24"/>
          <w:vertAlign w:val="superscript"/>
        </w:rPr>
        <w:fldChar w:fldCharType="begin" w:fldLock="1"/>
      </w:r>
      <w:r w:rsidR="007D487E" w:rsidRPr="0020159A">
        <w:rPr>
          <w:rFonts w:ascii="Arial" w:hAnsi="Arial" w:cs="Arial"/>
          <w:sz w:val="24"/>
          <w:szCs w:val="24"/>
          <w:vertAlign w:val="superscript"/>
        </w:rPr>
        <w:instrText>ADDIN CSL_CITATION {"citationItems":[{"id":"ITEM-1","itemData":{"author":[{"dropping-particle":"","family":"Royal College of Pyschiatrist","given":"","non-dropping-particle":"","parse-names":false,"suffix":""}],"id":"ITEM-1","issued":{"date-parts":[["2011"]]},"title":"Do the right thing: how to judge a good ward Ten standards for adult in-patient mental healthcare","type":"report"},"uris":["http://www.mendeley.com/documents/?uuid=f0b58dc3-2a4b-3bd6-8214-54fe25a5e24a"]}],"mendeley":{"formattedCitation":"(25)","plainTextFormattedCitation":"(25)","previouslyFormattedCitation":"(25)"},"properties":{"noteIndex":0},"schema":"https://github.com/citation-style-language/schema/raw/master/csl-citation.json"}</w:instrText>
      </w:r>
      <w:r w:rsidR="00786F32" w:rsidRPr="0020159A">
        <w:rPr>
          <w:rFonts w:ascii="Arial" w:hAnsi="Arial" w:cs="Arial"/>
          <w:sz w:val="24"/>
          <w:szCs w:val="24"/>
          <w:vertAlign w:val="superscript"/>
        </w:rPr>
        <w:fldChar w:fldCharType="separate"/>
      </w:r>
      <w:r w:rsidR="00B92A29" w:rsidRPr="0020159A">
        <w:rPr>
          <w:rFonts w:ascii="Arial" w:hAnsi="Arial" w:cs="Arial"/>
          <w:noProof/>
          <w:sz w:val="24"/>
          <w:szCs w:val="24"/>
          <w:vertAlign w:val="superscript"/>
        </w:rPr>
        <w:t>(25)</w:t>
      </w:r>
      <w:r w:rsidR="00786F32" w:rsidRPr="0020159A">
        <w:rPr>
          <w:rFonts w:ascii="Arial" w:hAnsi="Arial" w:cs="Arial"/>
          <w:sz w:val="24"/>
          <w:szCs w:val="24"/>
          <w:vertAlign w:val="superscript"/>
        </w:rPr>
        <w:fldChar w:fldCharType="end"/>
      </w:r>
      <w:r w:rsidR="00DE2B84" w:rsidRPr="0020159A">
        <w:rPr>
          <w:rFonts w:ascii="Arial" w:hAnsi="Arial" w:cs="Arial"/>
          <w:sz w:val="24"/>
          <w:szCs w:val="24"/>
        </w:rPr>
        <w:t xml:space="preserve">, </w:t>
      </w:r>
      <w:r w:rsidR="00E236C9" w:rsidRPr="0020159A">
        <w:rPr>
          <w:rFonts w:ascii="Arial" w:hAnsi="Arial" w:cs="Arial"/>
          <w:sz w:val="24"/>
          <w:szCs w:val="24"/>
        </w:rPr>
        <w:t>l</w:t>
      </w:r>
      <w:r w:rsidR="0000011E" w:rsidRPr="0020159A">
        <w:rPr>
          <w:rFonts w:ascii="Arial" w:hAnsi="Arial" w:cs="Arial"/>
          <w:sz w:val="24"/>
          <w:szCs w:val="24"/>
        </w:rPr>
        <w:t xml:space="preserve">arge catchment wards were functionalised and </w:t>
      </w:r>
      <w:r w:rsidR="00047E87" w:rsidRPr="0020159A">
        <w:rPr>
          <w:rFonts w:ascii="Arial" w:hAnsi="Arial" w:cs="Arial"/>
          <w:sz w:val="24"/>
          <w:szCs w:val="24"/>
        </w:rPr>
        <w:t xml:space="preserve">rebranded into smaller </w:t>
      </w:r>
      <w:r w:rsidR="00173465" w:rsidRPr="0020159A">
        <w:rPr>
          <w:rFonts w:ascii="Arial" w:hAnsi="Arial" w:cs="Arial"/>
          <w:sz w:val="24"/>
          <w:szCs w:val="24"/>
        </w:rPr>
        <w:t xml:space="preserve">333 </w:t>
      </w:r>
      <w:r w:rsidR="00047E87" w:rsidRPr="0020159A">
        <w:rPr>
          <w:rFonts w:ascii="Arial" w:hAnsi="Arial" w:cs="Arial"/>
          <w:sz w:val="24"/>
          <w:szCs w:val="24"/>
        </w:rPr>
        <w:t xml:space="preserve">units. </w:t>
      </w:r>
      <w:r w:rsidR="00CE7DDC" w:rsidRPr="0020159A">
        <w:rPr>
          <w:rFonts w:ascii="Arial" w:hAnsi="Arial" w:cs="Arial"/>
          <w:sz w:val="24"/>
          <w:szCs w:val="24"/>
        </w:rPr>
        <w:t>These are supported by</w:t>
      </w:r>
      <w:r w:rsidR="00DE2B84" w:rsidRPr="0020159A">
        <w:rPr>
          <w:rFonts w:ascii="Arial" w:hAnsi="Arial" w:cs="Arial"/>
          <w:sz w:val="24"/>
          <w:szCs w:val="24"/>
        </w:rPr>
        <w:t xml:space="preserve"> regional</w:t>
      </w:r>
      <w:r w:rsidR="00CE7DDC" w:rsidRPr="0020159A">
        <w:rPr>
          <w:rFonts w:ascii="Arial" w:hAnsi="Arial" w:cs="Arial"/>
          <w:sz w:val="24"/>
          <w:szCs w:val="24"/>
        </w:rPr>
        <w:t xml:space="preserve"> specialist units</w:t>
      </w:r>
      <w:r w:rsidR="00DE2B84" w:rsidRPr="0020159A">
        <w:rPr>
          <w:rFonts w:ascii="Arial" w:hAnsi="Arial" w:cs="Arial"/>
          <w:sz w:val="24"/>
          <w:szCs w:val="24"/>
        </w:rPr>
        <w:t>.</w:t>
      </w:r>
      <w:r w:rsidR="00173465" w:rsidRPr="0020159A">
        <w:rPr>
          <w:rFonts w:ascii="Arial" w:hAnsi="Arial" w:cs="Arial"/>
          <w:sz w:val="24"/>
          <w:szCs w:val="24"/>
        </w:rPr>
        <w:t xml:space="preserve"> </w:t>
      </w:r>
      <w:r>
        <w:rPr>
          <w:rFonts w:ascii="Arial" w:hAnsi="Arial" w:cs="Arial"/>
          <w:sz w:val="24"/>
          <w:szCs w:val="24"/>
        </w:rPr>
        <w:t>Table 1</w:t>
      </w:r>
      <w:r w:rsidR="009761B8" w:rsidRPr="0020159A">
        <w:rPr>
          <w:rFonts w:ascii="Arial" w:hAnsi="Arial" w:cs="Arial"/>
          <w:sz w:val="24"/>
          <w:szCs w:val="24"/>
        </w:rPr>
        <w:t xml:space="preserve"> </w:t>
      </w:r>
      <w:r w:rsidR="00B95F36" w:rsidRPr="0020159A">
        <w:rPr>
          <w:rFonts w:ascii="Arial" w:hAnsi="Arial" w:cs="Arial"/>
          <w:sz w:val="24"/>
          <w:szCs w:val="24"/>
        </w:rPr>
        <w:t xml:space="preserve">shows a </w:t>
      </w:r>
      <w:r w:rsidR="004B4B1B" w:rsidRPr="0020159A">
        <w:rPr>
          <w:rFonts w:ascii="Arial" w:hAnsi="Arial" w:cs="Arial"/>
          <w:sz w:val="24"/>
          <w:szCs w:val="24"/>
        </w:rPr>
        <w:t>44%</w:t>
      </w:r>
      <w:r w:rsidR="00B95F36" w:rsidRPr="0020159A">
        <w:rPr>
          <w:rFonts w:ascii="Arial" w:hAnsi="Arial" w:cs="Arial"/>
          <w:sz w:val="24"/>
          <w:szCs w:val="24"/>
        </w:rPr>
        <w:t xml:space="preserve"> reduction</w:t>
      </w:r>
      <w:r w:rsidR="00676F28" w:rsidRPr="0020159A">
        <w:rPr>
          <w:rFonts w:ascii="Arial" w:hAnsi="Arial" w:cs="Arial"/>
          <w:sz w:val="24"/>
          <w:szCs w:val="24"/>
        </w:rPr>
        <w:t xml:space="preserve"> in beds</w:t>
      </w:r>
      <w:r w:rsidR="009761B8" w:rsidRPr="0020159A">
        <w:rPr>
          <w:rFonts w:ascii="Arial" w:hAnsi="Arial" w:cs="Arial"/>
          <w:sz w:val="24"/>
          <w:szCs w:val="24"/>
        </w:rPr>
        <w:t xml:space="preserve"> in comparison to 17% nationally</w:t>
      </w:r>
      <w:r w:rsidR="00786F32"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786F32"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(15)</w:t>
      </w:r>
      <w:r w:rsidR="00786F32" w:rsidRPr="0020159A">
        <w:rPr>
          <w:rFonts w:ascii="Arial" w:hAnsi="Arial" w:cs="Arial"/>
          <w:sz w:val="24"/>
          <w:szCs w:val="24"/>
          <w:vertAlign w:val="superscript"/>
        </w:rPr>
        <w:fldChar w:fldCharType="end"/>
      </w:r>
      <w:r w:rsidR="00786F32" w:rsidRPr="0020159A">
        <w:rPr>
          <w:rFonts w:ascii="Arial" w:hAnsi="Arial" w:cs="Arial"/>
          <w:sz w:val="24"/>
          <w:szCs w:val="24"/>
        </w:rPr>
        <w:t>.</w:t>
      </w:r>
      <w:r w:rsidR="00224794" w:rsidRPr="0020159A">
        <w:rPr>
          <w:rFonts w:ascii="Arial" w:hAnsi="Arial" w:cs="Arial"/>
          <w:sz w:val="24"/>
          <w:szCs w:val="24"/>
        </w:rPr>
        <w:t xml:space="preserve"> </w:t>
      </w:r>
      <w:r w:rsidR="00DE2B84" w:rsidRPr="0020159A">
        <w:rPr>
          <w:rFonts w:ascii="Arial" w:hAnsi="Arial" w:cs="Arial"/>
          <w:sz w:val="24"/>
          <w:szCs w:val="24"/>
        </w:rPr>
        <w:t>O</w:t>
      </w:r>
      <w:r w:rsidR="00E236C9" w:rsidRPr="0020159A">
        <w:rPr>
          <w:rFonts w:ascii="Arial" w:hAnsi="Arial" w:cs="Arial"/>
          <w:sz w:val="24"/>
          <w:szCs w:val="24"/>
        </w:rPr>
        <w:t>ver 70</w:t>
      </w:r>
      <w:r w:rsidR="00CE7DDC" w:rsidRPr="0020159A">
        <w:rPr>
          <w:rFonts w:ascii="Arial" w:hAnsi="Arial" w:cs="Arial"/>
          <w:sz w:val="24"/>
          <w:szCs w:val="24"/>
        </w:rPr>
        <w:t xml:space="preserve"> OAPs</w:t>
      </w:r>
      <w:r w:rsidR="00676F28" w:rsidRPr="0020159A">
        <w:rPr>
          <w:rFonts w:ascii="Arial" w:hAnsi="Arial" w:cs="Arial"/>
          <w:sz w:val="24"/>
          <w:szCs w:val="24"/>
        </w:rPr>
        <w:t xml:space="preserve"> </w:t>
      </w:r>
      <w:r w:rsidR="00E236C9" w:rsidRPr="0020159A">
        <w:rPr>
          <w:rFonts w:ascii="Arial" w:hAnsi="Arial" w:cs="Arial"/>
          <w:sz w:val="24"/>
          <w:szCs w:val="24"/>
        </w:rPr>
        <w:t xml:space="preserve">were repatriated and new OAPs </w:t>
      </w:r>
      <w:r w:rsidR="00676F28" w:rsidRPr="0020159A">
        <w:rPr>
          <w:rFonts w:ascii="Arial" w:hAnsi="Arial" w:cs="Arial"/>
          <w:sz w:val="24"/>
          <w:szCs w:val="24"/>
        </w:rPr>
        <w:t>became extremely rare</w:t>
      </w:r>
      <w:r w:rsidR="00CE7DDC" w:rsidRPr="0020159A">
        <w:rPr>
          <w:rFonts w:ascii="Arial" w:hAnsi="Arial" w:cs="Arial"/>
          <w:sz w:val="24"/>
          <w:szCs w:val="24"/>
        </w:rPr>
        <w:t>.</w:t>
      </w:r>
      <w:r w:rsidR="00AC4D2D" w:rsidRPr="0020159A">
        <w:rPr>
          <w:rFonts w:ascii="Arial" w:hAnsi="Arial" w:cs="Arial"/>
          <w:sz w:val="24"/>
          <w:szCs w:val="24"/>
        </w:rPr>
        <w:t xml:space="preserve"> Inclusion of these in the percentage bed reduction provides a</w:t>
      </w:r>
      <w:r w:rsidR="00870525" w:rsidRPr="0020159A">
        <w:rPr>
          <w:rFonts w:ascii="Arial" w:hAnsi="Arial" w:cs="Arial"/>
          <w:sz w:val="24"/>
          <w:szCs w:val="24"/>
        </w:rPr>
        <w:t xml:space="preserve"> bed reduction</w:t>
      </w:r>
      <w:r w:rsidR="00AC4D2D" w:rsidRPr="0020159A">
        <w:rPr>
          <w:rFonts w:ascii="Arial" w:hAnsi="Arial" w:cs="Arial"/>
          <w:sz w:val="24"/>
          <w:szCs w:val="24"/>
        </w:rPr>
        <w:t xml:space="preserve"> figure of 62%.</w:t>
      </w:r>
      <w:r w:rsidR="004F0891" w:rsidRPr="0020159A">
        <w:rPr>
          <w:rFonts w:ascii="Arial" w:hAnsi="Arial" w:cs="Arial"/>
          <w:sz w:val="24"/>
          <w:szCs w:val="24"/>
        </w:rPr>
        <w:t xml:space="preserve"> </w:t>
      </w:r>
      <w:r w:rsidR="00C54D67" w:rsidRPr="0020159A">
        <w:rPr>
          <w:rFonts w:ascii="Arial" w:hAnsi="Arial" w:cs="Arial"/>
          <w:sz w:val="24"/>
          <w:szCs w:val="24"/>
        </w:rPr>
        <w:t>As of Dec 2016 a</w:t>
      </w:r>
      <w:r w:rsidR="004F0891" w:rsidRPr="0020159A">
        <w:rPr>
          <w:rFonts w:ascii="Arial" w:hAnsi="Arial" w:cs="Arial"/>
          <w:sz w:val="24"/>
          <w:szCs w:val="24"/>
        </w:rPr>
        <w:t xml:space="preserve">dult acute beds/100,000 adult population for CPFT </w:t>
      </w:r>
      <w:r w:rsidR="00C54D67" w:rsidRPr="0020159A">
        <w:rPr>
          <w:rFonts w:ascii="Arial" w:hAnsi="Arial" w:cs="Arial"/>
          <w:sz w:val="24"/>
          <w:szCs w:val="24"/>
        </w:rPr>
        <w:t>stands at</w:t>
      </w:r>
      <w:r w:rsidR="004F0891" w:rsidRPr="0020159A">
        <w:rPr>
          <w:rFonts w:ascii="Arial" w:hAnsi="Arial" w:cs="Arial"/>
          <w:sz w:val="24"/>
          <w:szCs w:val="24"/>
        </w:rPr>
        <w:t xml:space="preserve"> 16.9</w:t>
      </w:r>
      <w:r w:rsidR="00C54D67" w:rsidRPr="0020159A">
        <w:rPr>
          <w:rFonts w:ascii="Arial" w:hAnsi="Arial" w:cs="Arial"/>
          <w:sz w:val="24"/>
          <w:szCs w:val="24"/>
        </w:rPr>
        <w:t xml:space="preserve"> compared to a median of 19.9 nationally</w:t>
      </w:r>
      <w:r w:rsidR="00354CFD"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354CFD"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(15)</w:t>
      </w:r>
      <w:r w:rsidR="00354CFD" w:rsidRPr="0020159A">
        <w:rPr>
          <w:rFonts w:ascii="Arial" w:hAnsi="Arial" w:cs="Arial"/>
          <w:sz w:val="24"/>
          <w:szCs w:val="24"/>
          <w:vertAlign w:val="superscript"/>
        </w:rPr>
        <w:fldChar w:fldCharType="end"/>
      </w:r>
      <w:r w:rsidR="00786F32" w:rsidRPr="0020159A">
        <w:rPr>
          <w:rFonts w:ascii="Arial" w:hAnsi="Arial" w:cs="Arial"/>
          <w:sz w:val="24"/>
          <w:szCs w:val="24"/>
        </w:rPr>
        <w:t>.</w:t>
      </w:r>
    </w:p>
    <w:p w14:paraId="2E95CCC4" w14:textId="12DE99AC" w:rsidR="00870525" w:rsidRPr="0020159A" w:rsidRDefault="00870525" w:rsidP="00D805F6">
      <w:pPr>
        <w:rPr>
          <w:rFonts w:ascii="Arial" w:hAnsi="Arial" w:cs="Arial"/>
          <w:sz w:val="24"/>
          <w:szCs w:val="24"/>
        </w:rPr>
      </w:pPr>
      <w:r w:rsidRPr="0020159A">
        <w:rPr>
          <w:rFonts w:ascii="Arial" w:hAnsi="Arial" w:cs="Arial"/>
          <w:sz w:val="24"/>
          <w:szCs w:val="24"/>
        </w:rPr>
        <w:t>--------------</w:t>
      </w:r>
      <w:r w:rsidR="00186BF4" w:rsidRPr="0020159A">
        <w:rPr>
          <w:rFonts w:ascii="Arial" w:hAnsi="Arial" w:cs="Arial"/>
          <w:sz w:val="24"/>
          <w:szCs w:val="24"/>
        </w:rPr>
        <w:t>-------------------------</w:t>
      </w:r>
      <w:r w:rsidR="00B90206">
        <w:rPr>
          <w:rFonts w:ascii="Arial" w:hAnsi="Arial" w:cs="Arial"/>
          <w:sz w:val="24"/>
          <w:szCs w:val="24"/>
        </w:rPr>
        <w:t>Table 1</w:t>
      </w:r>
      <w:r w:rsidRPr="0020159A">
        <w:rPr>
          <w:rFonts w:ascii="Arial" w:hAnsi="Arial" w:cs="Arial"/>
          <w:sz w:val="24"/>
          <w:szCs w:val="24"/>
        </w:rPr>
        <w:t>-----------------------------------------</w:t>
      </w:r>
    </w:p>
    <w:p w14:paraId="43DD3C64" w14:textId="0224F3F8" w:rsidR="00870525" w:rsidRPr="0020159A" w:rsidRDefault="00DE2B84" w:rsidP="00D805F6">
      <w:pPr>
        <w:rPr>
          <w:rFonts w:ascii="Arial" w:hAnsi="Arial" w:cs="Arial"/>
          <w:sz w:val="24"/>
          <w:szCs w:val="24"/>
        </w:rPr>
      </w:pPr>
      <w:r w:rsidRPr="0020159A">
        <w:rPr>
          <w:rFonts w:ascii="Arial" w:eastAsia="Times New Roman" w:hAnsi="Arial" w:cs="Arial"/>
          <w:b/>
          <w:bCs/>
          <w:sz w:val="24"/>
          <w:szCs w:val="24"/>
          <w:lang w:eastAsia="en-GB" w:bidi="bn-IN"/>
        </w:rPr>
        <w:t>Admissions and p</w:t>
      </w:r>
      <w:r w:rsidR="00870525" w:rsidRPr="0020159A">
        <w:rPr>
          <w:rFonts w:ascii="Arial" w:eastAsia="Times New Roman" w:hAnsi="Arial" w:cs="Arial"/>
          <w:b/>
          <w:bCs/>
          <w:sz w:val="24"/>
          <w:szCs w:val="24"/>
          <w:lang w:eastAsia="en-GB" w:bidi="bn-IN"/>
        </w:rPr>
        <w:t>atient</w:t>
      </w:r>
      <w:r w:rsidRPr="0020159A">
        <w:rPr>
          <w:rFonts w:ascii="Arial" w:eastAsia="Times New Roman" w:hAnsi="Arial" w:cs="Arial"/>
          <w:b/>
          <w:bCs/>
          <w:sz w:val="24"/>
          <w:szCs w:val="24"/>
          <w:lang w:eastAsia="en-GB" w:bidi="bn-IN"/>
        </w:rPr>
        <w:t xml:space="preserve"> flow</w:t>
      </w:r>
    </w:p>
    <w:p w14:paraId="1962A338" w14:textId="6BE91EFD" w:rsidR="00055211" w:rsidRPr="0020159A" w:rsidRDefault="00B90206" w:rsidP="00D2114D">
      <w:pPr>
        <w:rPr>
          <w:rFonts w:ascii="Arial" w:hAnsi="Arial" w:cs="Arial"/>
          <w:sz w:val="24"/>
          <w:szCs w:val="24"/>
        </w:rPr>
      </w:pPr>
      <w:r>
        <w:rPr>
          <w:rFonts w:ascii="Arial" w:hAnsi="Arial" w:cs="Arial"/>
          <w:sz w:val="24"/>
          <w:szCs w:val="24"/>
        </w:rPr>
        <w:t>Table 2</w:t>
      </w:r>
      <w:r w:rsidR="009761B8" w:rsidRPr="0020159A">
        <w:rPr>
          <w:rFonts w:ascii="Arial" w:hAnsi="Arial" w:cs="Arial"/>
          <w:sz w:val="24"/>
          <w:szCs w:val="24"/>
        </w:rPr>
        <w:t xml:space="preserve"> shows that o</w:t>
      </w:r>
      <w:r w:rsidR="00D2114D" w:rsidRPr="0020159A">
        <w:rPr>
          <w:rFonts w:ascii="Arial" w:hAnsi="Arial" w:cs="Arial"/>
          <w:sz w:val="24"/>
          <w:szCs w:val="24"/>
        </w:rPr>
        <w:t>ver the two years</w:t>
      </w:r>
      <w:r w:rsidR="00676F28" w:rsidRPr="0020159A">
        <w:rPr>
          <w:rFonts w:ascii="Arial" w:hAnsi="Arial" w:cs="Arial"/>
          <w:sz w:val="24"/>
          <w:szCs w:val="24"/>
        </w:rPr>
        <w:t>,</w:t>
      </w:r>
      <w:r w:rsidR="00803999" w:rsidRPr="0020159A">
        <w:rPr>
          <w:rFonts w:ascii="Arial" w:hAnsi="Arial" w:cs="Arial"/>
          <w:sz w:val="24"/>
          <w:szCs w:val="24"/>
        </w:rPr>
        <w:t xml:space="preserve"> 2679 patients received in</w:t>
      </w:r>
      <w:r w:rsidR="00D2114D" w:rsidRPr="0020159A">
        <w:rPr>
          <w:rFonts w:ascii="Arial" w:hAnsi="Arial" w:cs="Arial"/>
          <w:sz w:val="24"/>
          <w:szCs w:val="24"/>
        </w:rPr>
        <w:t>patient care in the 333 system</w:t>
      </w:r>
      <w:r w:rsidR="0023094F" w:rsidRPr="0020159A">
        <w:rPr>
          <w:rFonts w:ascii="Arial" w:hAnsi="Arial" w:cs="Arial"/>
          <w:sz w:val="24"/>
          <w:szCs w:val="24"/>
        </w:rPr>
        <w:t xml:space="preserve">, exceeding the </w:t>
      </w:r>
      <w:r w:rsidR="00C54D67" w:rsidRPr="0020159A">
        <w:rPr>
          <w:rFonts w:ascii="Arial" w:hAnsi="Arial" w:cs="Arial"/>
          <w:sz w:val="24"/>
          <w:szCs w:val="24"/>
        </w:rPr>
        <w:t xml:space="preserve">annual target of 1200 </w:t>
      </w:r>
      <w:r w:rsidR="0023094F" w:rsidRPr="0020159A">
        <w:rPr>
          <w:rFonts w:ascii="Arial" w:hAnsi="Arial" w:cs="Arial"/>
          <w:sz w:val="24"/>
          <w:szCs w:val="24"/>
        </w:rPr>
        <w:t>by 11.</w:t>
      </w:r>
      <w:r w:rsidR="00756A90" w:rsidRPr="0020159A">
        <w:rPr>
          <w:rFonts w:ascii="Arial" w:hAnsi="Arial" w:cs="Arial"/>
          <w:sz w:val="24"/>
          <w:szCs w:val="24"/>
        </w:rPr>
        <w:t>7</w:t>
      </w:r>
      <w:r w:rsidR="0023094F" w:rsidRPr="0020159A">
        <w:rPr>
          <w:rFonts w:ascii="Arial" w:hAnsi="Arial" w:cs="Arial"/>
          <w:sz w:val="24"/>
          <w:szCs w:val="24"/>
        </w:rPr>
        <w:t>%</w:t>
      </w:r>
      <w:r w:rsidR="00D2114D" w:rsidRPr="0020159A">
        <w:rPr>
          <w:rFonts w:ascii="Arial" w:hAnsi="Arial" w:cs="Arial"/>
          <w:sz w:val="24"/>
          <w:szCs w:val="24"/>
        </w:rPr>
        <w:t>.</w:t>
      </w:r>
      <w:r w:rsidR="0023094F" w:rsidRPr="0020159A">
        <w:rPr>
          <w:rFonts w:ascii="Arial" w:hAnsi="Arial" w:cs="Arial"/>
          <w:sz w:val="24"/>
          <w:szCs w:val="24"/>
        </w:rPr>
        <w:t xml:space="preserve"> The </w:t>
      </w:r>
      <w:r w:rsidR="00C54D67" w:rsidRPr="0020159A">
        <w:rPr>
          <w:rFonts w:ascii="Arial" w:hAnsi="Arial" w:cs="Arial"/>
          <w:sz w:val="24"/>
          <w:szCs w:val="24"/>
        </w:rPr>
        <w:t xml:space="preserve">target </w:t>
      </w:r>
      <w:r w:rsidR="00803999" w:rsidRPr="0020159A">
        <w:rPr>
          <w:rFonts w:ascii="Arial" w:hAnsi="Arial" w:cs="Arial"/>
          <w:sz w:val="24"/>
          <w:szCs w:val="24"/>
        </w:rPr>
        <w:t xml:space="preserve">was set </w:t>
      </w:r>
      <w:r w:rsidR="0023094F" w:rsidRPr="0020159A">
        <w:rPr>
          <w:rFonts w:ascii="Arial" w:hAnsi="Arial" w:cs="Arial"/>
          <w:sz w:val="24"/>
          <w:szCs w:val="24"/>
        </w:rPr>
        <w:t>through a bed mapping exercise</w:t>
      </w:r>
      <w:r w:rsidR="00803999" w:rsidRPr="0020159A">
        <w:rPr>
          <w:rFonts w:ascii="Arial" w:hAnsi="Arial" w:cs="Arial"/>
          <w:sz w:val="24"/>
          <w:szCs w:val="24"/>
        </w:rPr>
        <w:t>,</w:t>
      </w:r>
      <w:r w:rsidR="0023094F" w:rsidRPr="0020159A">
        <w:rPr>
          <w:rFonts w:ascii="Arial" w:hAnsi="Arial" w:cs="Arial"/>
          <w:sz w:val="24"/>
          <w:szCs w:val="24"/>
        </w:rPr>
        <w:t xml:space="preserve"> </w:t>
      </w:r>
      <w:r w:rsidR="00803999" w:rsidRPr="0020159A">
        <w:rPr>
          <w:rFonts w:ascii="Arial" w:hAnsi="Arial" w:cs="Arial"/>
          <w:sz w:val="24"/>
          <w:szCs w:val="24"/>
        </w:rPr>
        <w:t>assuming</w:t>
      </w:r>
      <w:r w:rsidR="0023094F" w:rsidRPr="0020159A">
        <w:rPr>
          <w:rFonts w:ascii="Arial" w:hAnsi="Arial" w:cs="Arial"/>
          <w:sz w:val="24"/>
          <w:szCs w:val="24"/>
        </w:rPr>
        <w:t xml:space="preserve"> </w:t>
      </w:r>
      <w:r w:rsidR="00C25C72" w:rsidRPr="0020159A">
        <w:rPr>
          <w:rFonts w:ascii="Arial" w:hAnsi="Arial" w:cs="Arial"/>
          <w:sz w:val="24"/>
          <w:szCs w:val="24"/>
        </w:rPr>
        <w:t xml:space="preserve">bed </w:t>
      </w:r>
      <w:r w:rsidR="0023094F" w:rsidRPr="0020159A">
        <w:rPr>
          <w:rFonts w:ascii="Arial" w:hAnsi="Arial" w:cs="Arial"/>
          <w:sz w:val="24"/>
          <w:szCs w:val="24"/>
        </w:rPr>
        <w:t xml:space="preserve">occupancy </w:t>
      </w:r>
      <w:r w:rsidR="00803999" w:rsidRPr="0020159A">
        <w:rPr>
          <w:rFonts w:ascii="Arial" w:hAnsi="Arial" w:cs="Arial"/>
          <w:sz w:val="24"/>
          <w:szCs w:val="24"/>
        </w:rPr>
        <w:t xml:space="preserve">at </w:t>
      </w:r>
      <w:r w:rsidR="0023094F" w:rsidRPr="0020159A">
        <w:rPr>
          <w:rFonts w:ascii="Arial" w:hAnsi="Arial" w:cs="Arial"/>
          <w:sz w:val="24"/>
          <w:szCs w:val="24"/>
        </w:rPr>
        <w:t xml:space="preserve">85%. </w:t>
      </w:r>
      <w:r w:rsidR="00AC1453" w:rsidRPr="0020159A">
        <w:rPr>
          <w:rFonts w:ascii="Arial" w:hAnsi="Arial" w:cs="Arial"/>
          <w:sz w:val="24"/>
          <w:szCs w:val="24"/>
        </w:rPr>
        <w:t xml:space="preserve">Between AU and TU, target admissions ratio of 75:25 was set. </w:t>
      </w:r>
      <w:r w:rsidR="00C54D67" w:rsidRPr="0020159A">
        <w:rPr>
          <w:rFonts w:ascii="Arial" w:hAnsi="Arial" w:cs="Arial"/>
          <w:sz w:val="24"/>
          <w:szCs w:val="24"/>
          <w:lang w:val="en"/>
        </w:rPr>
        <w:t>This ratio allowed retention of generalist assessment skills on TU, while allowing both units to specialize in their stated function.</w:t>
      </w:r>
      <w:r w:rsidR="00F67832" w:rsidRPr="0020159A">
        <w:rPr>
          <w:rFonts w:ascii="Arial" w:hAnsi="Arial" w:cs="Arial"/>
          <w:sz w:val="24"/>
          <w:szCs w:val="24"/>
        </w:rPr>
        <w:t xml:space="preserve"> </w:t>
      </w:r>
      <w:r w:rsidR="00C54D67" w:rsidRPr="0020159A">
        <w:rPr>
          <w:rFonts w:ascii="Arial" w:hAnsi="Arial" w:cs="Arial"/>
          <w:sz w:val="24"/>
          <w:szCs w:val="24"/>
        </w:rPr>
        <w:t>As detailed in the discussion</w:t>
      </w:r>
      <w:r w:rsidR="00AC1453" w:rsidRPr="0020159A">
        <w:rPr>
          <w:rFonts w:ascii="Arial" w:hAnsi="Arial" w:cs="Arial"/>
          <w:sz w:val="24"/>
          <w:szCs w:val="24"/>
        </w:rPr>
        <w:t>,</w:t>
      </w:r>
      <w:r w:rsidR="00C54D67" w:rsidRPr="0020159A">
        <w:rPr>
          <w:rFonts w:ascii="Arial" w:hAnsi="Arial" w:cs="Arial"/>
          <w:sz w:val="24"/>
          <w:szCs w:val="24"/>
        </w:rPr>
        <w:t xml:space="preserve"> it was also a systems approach to decreasing restrictive care under the Mental Health Act. </w:t>
      </w:r>
      <w:r w:rsidR="00F67832" w:rsidRPr="0020159A">
        <w:rPr>
          <w:rFonts w:ascii="Arial" w:hAnsi="Arial" w:cs="Arial"/>
          <w:sz w:val="24"/>
          <w:szCs w:val="24"/>
        </w:rPr>
        <w:t xml:space="preserve">This </w:t>
      </w:r>
      <w:r w:rsidR="00C54D67" w:rsidRPr="0020159A">
        <w:rPr>
          <w:rFonts w:ascii="Arial" w:hAnsi="Arial" w:cs="Arial"/>
          <w:sz w:val="24"/>
          <w:szCs w:val="24"/>
        </w:rPr>
        <w:t xml:space="preserve">target </w:t>
      </w:r>
      <w:r w:rsidR="00F67832" w:rsidRPr="0020159A">
        <w:rPr>
          <w:rFonts w:ascii="Arial" w:hAnsi="Arial" w:cs="Arial"/>
          <w:sz w:val="24"/>
          <w:szCs w:val="24"/>
        </w:rPr>
        <w:t xml:space="preserve">was delivered successfully at 76% to the AU and 23% to TU. </w:t>
      </w:r>
      <w:r w:rsidR="00E227C5" w:rsidRPr="0020159A">
        <w:rPr>
          <w:rFonts w:ascii="Arial" w:hAnsi="Arial" w:cs="Arial"/>
          <w:sz w:val="24"/>
          <w:szCs w:val="24"/>
        </w:rPr>
        <w:t>Direct a</w:t>
      </w:r>
      <w:r w:rsidR="00F67832" w:rsidRPr="0020159A">
        <w:rPr>
          <w:rFonts w:ascii="Arial" w:hAnsi="Arial" w:cs="Arial"/>
          <w:sz w:val="24"/>
          <w:szCs w:val="24"/>
        </w:rPr>
        <w:t>dmissions to the RU were extremely rare</w:t>
      </w:r>
      <w:r w:rsidR="00A03CFC" w:rsidRPr="0020159A">
        <w:rPr>
          <w:rFonts w:ascii="Arial" w:hAnsi="Arial" w:cs="Arial"/>
          <w:sz w:val="24"/>
          <w:szCs w:val="24"/>
        </w:rPr>
        <w:t xml:space="preserve"> (patient flow diagram available online)</w:t>
      </w:r>
      <w:r w:rsidR="00F67832" w:rsidRPr="0020159A">
        <w:rPr>
          <w:rFonts w:ascii="Arial" w:hAnsi="Arial" w:cs="Arial"/>
          <w:sz w:val="24"/>
          <w:szCs w:val="24"/>
        </w:rPr>
        <w:t xml:space="preserve">. </w:t>
      </w:r>
    </w:p>
    <w:p w14:paraId="3FECE06E" w14:textId="4277DA7D" w:rsidR="00756A90" w:rsidRPr="0020159A" w:rsidRDefault="00756A90" w:rsidP="00D2114D">
      <w:pPr>
        <w:rPr>
          <w:rFonts w:ascii="Arial" w:hAnsi="Arial" w:cs="Arial"/>
          <w:sz w:val="24"/>
          <w:szCs w:val="24"/>
        </w:rPr>
      </w:pPr>
      <w:r w:rsidRPr="0020159A">
        <w:rPr>
          <w:rFonts w:ascii="Arial" w:hAnsi="Arial" w:cs="Arial"/>
          <w:sz w:val="24"/>
          <w:szCs w:val="24"/>
        </w:rPr>
        <w:t>Fragmentation of care due to repeated transfers arising from a singular focus on lengths of stay was a concern. To mitigate</w:t>
      </w:r>
      <w:r w:rsidR="002369D6" w:rsidRPr="0020159A">
        <w:rPr>
          <w:rFonts w:ascii="Arial" w:hAnsi="Arial" w:cs="Arial"/>
          <w:sz w:val="24"/>
          <w:szCs w:val="24"/>
        </w:rPr>
        <w:t xml:space="preserve"> against unnecessary transfers when discharge was impending</w:t>
      </w:r>
      <w:r w:rsidRPr="0020159A">
        <w:rPr>
          <w:rFonts w:ascii="Arial" w:hAnsi="Arial" w:cs="Arial"/>
          <w:sz w:val="24"/>
          <w:szCs w:val="24"/>
        </w:rPr>
        <w:t xml:space="preserve">, balancing targets of percentage turnover back into the community were set. Patient need dictated transfer to the next step and not how long it has been since admission. Time scales were indicative and not absolute. </w:t>
      </w:r>
      <w:r w:rsidR="00B90206">
        <w:rPr>
          <w:rFonts w:ascii="Arial" w:hAnsi="Arial" w:cs="Arial"/>
          <w:sz w:val="24"/>
          <w:szCs w:val="24"/>
        </w:rPr>
        <w:t>Table 2</w:t>
      </w:r>
      <w:r w:rsidRPr="0020159A">
        <w:rPr>
          <w:rFonts w:ascii="Arial" w:hAnsi="Arial" w:cs="Arial"/>
          <w:sz w:val="24"/>
          <w:szCs w:val="24"/>
        </w:rPr>
        <w:t xml:space="preserve"> shows that from AU 74% were discharged back into the community and only 25% were transferred for further treatment. In a similar way only 15.5% of patients on TU were transferred to the RU. Only 1 in 23 patients got exposed to all 3 steps of the pathway and 1 in 26 patients (settled mover) needed to be transferred to an alternative bed to make room for another patient. All balancing targets set around patient transfers were delivered.</w:t>
      </w:r>
    </w:p>
    <w:p w14:paraId="781C5B7B" w14:textId="749D77BE" w:rsidR="00313400" w:rsidRPr="0020159A" w:rsidRDefault="00313400" w:rsidP="00313400">
      <w:pPr>
        <w:rPr>
          <w:rFonts w:ascii="Arial" w:hAnsi="Arial" w:cs="Arial"/>
          <w:sz w:val="24"/>
          <w:szCs w:val="24"/>
        </w:rPr>
      </w:pPr>
      <w:r w:rsidRPr="0020159A">
        <w:rPr>
          <w:rFonts w:ascii="Arial" w:hAnsi="Arial" w:cs="Arial"/>
          <w:sz w:val="24"/>
          <w:szCs w:val="24"/>
        </w:rPr>
        <w:t>---------------------------------------</w:t>
      </w:r>
      <w:r w:rsidR="00B90206">
        <w:rPr>
          <w:rFonts w:ascii="Arial" w:hAnsi="Arial" w:cs="Arial"/>
          <w:sz w:val="24"/>
          <w:szCs w:val="24"/>
        </w:rPr>
        <w:t>Table 2</w:t>
      </w:r>
      <w:r w:rsidRPr="0020159A">
        <w:rPr>
          <w:rFonts w:ascii="Arial" w:hAnsi="Arial" w:cs="Arial"/>
          <w:sz w:val="24"/>
          <w:szCs w:val="24"/>
        </w:rPr>
        <w:t>-----------------------------------------</w:t>
      </w:r>
    </w:p>
    <w:p w14:paraId="72EE6A1A" w14:textId="77777777" w:rsidR="00186BF4" w:rsidRPr="0020159A" w:rsidRDefault="00186BF4" w:rsidP="006E5AA7">
      <w:pPr>
        <w:rPr>
          <w:rFonts w:ascii="Arial" w:hAnsi="Arial" w:cs="Arial"/>
          <w:sz w:val="24"/>
          <w:szCs w:val="24"/>
        </w:rPr>
      </w:pPr>
      <w:r w:rsidRPr="0020159A">
        <w:rPr>
          <w:rFonts w:ascii="Arial" w:hAnsi="Arial" w:cs="Arial"/>
          <w:b/>
          <w:bCs/>
          <w:sz w:val="24"/>
          <w:szCs w:val="24"/>
        </w:rPr>
        <w:lastRenderedPageBreak/>
        <w:t>Lengths of stay and Readmission rates</w:t>
      </w:r>
    </w:p>
    <w:p w14:paraId="3F69615B" w14:textId="26E2062C" w:rsidR="0037155A" w:rsidRPr="0020159A" w:rsidRDefault="00B90206" w:rsidP="006E5AA7">
      <w:pPr>
        <w:rPr>
          <w:rFonts w:ascii="Arial" w:hAnsi="Arial" w:cs="Arial"/>
          <w:sz w:val="24"/>
          <w:szCs w:val="24"/>
        </w:rPr>
      </w:pPr>
      <w:r>
        <w:rPr>
          <w:rFonts w:ascii="Arial" w:hAnsi="Arial" w:cs="Arial"/>
          <w:sz w:val="24"/>
          <w:szCs w:val="24"/>
        </w:rPr>
        <w:t>Table 3</w:t>
      </w:r>
      <w:r w:rsidR="00D732AD" w:rsidRPr="0020159A">
        <w:rPr>
          <w:rFonts w:ascii="Arial" w:hAnsi="Arial" w:cs="Arial"/>
          <w:sz w:val="24"/>
          <w:szCs w:val="24"/>
        </w:rPr>
        <w:t xml:space="preserve"> provides details of length of stay for each step of 333</w:t>
      </w:r>
      <w:r w:rsidR="0037155A" w:rsidRPr="0020159A">
        <w:rPr>
          <w:rFonts w:ascii="Arial" w:hAnsi="Arial" w:cs="Arial"/>
          <w:sz w:val="24"/>
          <w:szCs w:val="24"/>
        </w:rPr>
        <w:t xml:space="preserve">. </w:t>
      </w:r>
      <w:r w:rsidR="0037155A" w:rsidRPr="0020159A">
        <w:rPr>
          <w:rFonts w:ascii="Arial" w:hAnsi="Arial" w:cs="Arial"/>
          <w:sz w:val="24"/>
          <w:szCs w:val="24"/>
          <w:lang w:val="en"/>
        </w:rPr>
        <w:t xml:space="preserve">The </w:t>
      </w:r>
      <w:r w:rsidR="00082A07" w:rsidRPr="0020159A">
        <w:rPr>
          <w:rFonts w:ascii="Arial" w:hAnsi="Arial" w:cs="Arial"/>
          <w:sz w:val="24"/>
          <w:szCs w:val="24"/>
          <w:lang w:val="en"/>
        </w:rPr>
        <w:t xml:space="preserve">median </w:t>
      </w:r>
      <w:r w:rsidR="0037155A" w:rsidRPr="0020159A">
        <w:rPr>
          <w:rFonts w:ascii="Arial" w:hAnsi="Arial" w:cs="Arial"/>
          <w:sz w:val="24"/>
          <w:szCs w:val="24"/>
          <w:lang w:val="en"/>
        </w:rPr>
        <w:t xml:space="preserve">targets of 3 days, 3 weeks and 3 months </w:t>
      </w:r>
      <w:r w:rsidR="00313400" w:rsidRPr="0020159A">
        <w:rPr>
          <w:rFonts w:ascii="Arial" w:hAnsi="Arial" w:cs="Arial"/>
          <w:sz w:val="24"/>
          <w:szCs w:val="24"/>
          <w:lang w:val="en"/>
        </w:rPr>
        <w:t>came from</w:t>
      </w:r>
      <w:r w:rsidR="0037155A" w:rsidRPr="0020159A">
        <w:rPr>
          <w:rFonts w:ascii="Arial" w:hAnsi="Arial" w:cs="Arial"/>
          <w:sz w:val="24"/>
          <w:szCs w:val="24"/>
          <w:lang w:val="en"/>
        </w:rPr>
        <w:t xml:space="preserve"> bed mapping </w:t>
      </w:r>
      <w:r w:rsidR="002369D6" w:rsidRPr="0020159A">
        <w:rPr>
          <w:rFonts w:ascii="Arial" w:hAnsi="Arial" w:cs="Arial"/>
          <w:sz w:val="24"/>
          <w:szCs w:val="24"/>
          <w:lang w:val="en"/>
        </w:rPr>
        <w:t>with aspirations to eliminate</w:t>
      </w:r>
      <w:r w:rsidR="00313400" w:rsidRPr="0020159A">
        <w:rPr>
          <w:rFonts w:ascii="Arial" w:hAnsi="Arial" w:cs="Arial"/>
          <w:sz w:val="24"/>
          <w:szCs w:val="24"/>
          <w:lang w:val="en"/>
        </w:rPr>
        <w:t xml:space="preserve"> OAPs through bed availability</w:t>
      </w:r>
      <w:r w:rsidR="0037155A" w:rsidRPr="0020159A">
        <w:rPr>
          <w:rFonts w:ascii="Arial" w:hAnsi="Arial" w:cs="Arial"/>
          <w:sz w:val="24"/>
          <w:szCs w:val="24"/>
          <w:lang w:val="en"/>
        </w:rPr>
        <w:t xml:space="preserve">. </w:t>
      </w:r>
      <w:r w:rsidR="003E5DF9" w:rsidRPr="0020159A">
        <w:rPr>
          <w:rFonts w:ascii="Arial" w:hAnsi="Arial" w:cs="Arial"/>
          <w:sz w:val="24"/>
          <w:szCs w:val="24"/>
          <w:lang w:val="en"/>
        </w:rPr>
        <w:t>T</w:t>
      </w:r>
      <w:r w:rsidR="0037155A" w:rsidRPr="0020159A">
        <w:rPr>
          <w:rFonts w:ascii="Arial" w:hAnsi="Arial" w:cs="Arial"/>
          <w:sz w:val="24"/>
          <w:szCs w:val="24"/>
        </w:rPr>
        <w:t xml:space="preserve">he AU target was </w:t>
      </w:r>
      <w:r w:rsidR="003E5DF9" w:rsidRPr="0020159A">
        <w:rPr>
          <w:rFonts w:ascii="Arial" w:hAnsi="Arial" w:cs="Arial"/>
          <w:sz w:val="24"/>
          <w:szCs w:val="24"/>
        </w:rPr>
        <w:t xml:space="preserve">missed narrowly but the </w:t>
      </w:r>
      <w:r w:rsidR="00E227C5" w:rsidRPr="0020159A">
        <w:rPr>
          <w:rFonts w:ascii="Arial" w:hAnsi="Arial" w:cs="Arial"/>
          <w:sz w:val="24"/>
          <w:szCs w:val="24"/>
        </w:rPr>
        <w:t>TU</w:t>
      </w:r>
      <w:r w:rsidR="003E5DF9" w:rsidRPr="0020159A">
        <w:rPr>
          <w:rFonts w:ascii="Arial" w:hAnsi="Arial" w:cs="Arial"/>
          <w:sz w:val="24"/>
          <w:szCs w:val="24"/>
        </w:rPr>
        <w:t xml:space="preserve"> and </w:t>
      </w:r>
      <w:r w:rsidR="00E227C5" w:rsidRPr="0020159A">
        <w:rPr>
          <w:rFonts w:ascii="Arial" w:hAnsi="Arial" w:cs="Arial"/>
          <w:sz w:val="24"/>
          <w:szCs w:val="24"/>
        </w:rPr>
        <w:t>RU</w:t>
      </w:r>
      <w:r w:rsidR="003E5DF9" w:rsidRPr="0020159A">
        <w:rPr>
          <w:rFonts w:ascii="Arial" w:hAnsi="Arial" w:cs="Arial"/>
          <w:sz w:val="24"/>
          <w:szCs w:val="24"/>
        </w:rPr>
        <w:t xml:space="preserve"> target were met quite easily. </w:t>
      </w:r>
      <w:r w:rsidR="00E227C5" w:rsidRPr="0020159A">
        <w:rPr>
          <w:rFonts w:ascii="Arial" w:hAnsi="Arial" w:cs="Arial"/>
          <w:sz w:val="24"/>
          <w:szCs w:val="24"/>
        </w:rPr>
        <w:t>Across</w:t>
      </w:r>
      <w:r w:rsidR="00A21F4E" w:rsidRPr="0020159A">
        <w:rPr>
          <w:rFonts w:ascii="Arial" w:hAnsi="Arial" w:cs="Arial"/>
          <w:sz w:val="24"/>
          <w:szCs w:val="24"/>
        </w:rPr>
        <w:t xml:space="preserve"> 333 the median length of stay was 5.83 (2015-16) and 6.13 </w:t>
      </w:r>
      <w:r w:rsidR="00B274D9" w:rsidRPr="0020159A">
        <w:rPr>
          <w:rFonts w:ascii="Arial" w:hAnsi="Arial" w:cs="Arial"/>
          <w:sz w:val="24"/>
          <w:szCs w:val="24"/>
        </w:rPr>
        <w:t xml:space="preserve">days </w:t>
      </w:r>
      <w:r w:rsidR="00A21F4E" w:rsidRPr="0020159A">
        <w:rPr>
          <w:rFonts w:ascii="Arial" w:hAnsi="Arial" w:cs="Arial"/>
          <w:sz w:val="24"/>
          <w:szCs w:val="24"/>
        </w:rPr>
        <w:t xml:space="preserve">(2016-17) </w:t>
      </w:r>
      <w:r w:rsidR="00B274D9" w:rsidRPr="0020159A">
        <w:rPr>
          <w:rFonts w:ascii="Arial" w:hAnsi="Arial" w:cs="Arial"/>
          <w:sz w:val="24"/>
          <w:szCs w:val="24"/>
        </w:rPr>
        <w:t>compared to 2016 national benchmark of 36.1 (including leave)</w:t>
      </w:r>
      <w:r w:rsidR="0060759D"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60759D"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(15)</w:t>
      </w:r>
      <w:r w:rsidR="0060759D" w:rsidRPr="0020159A">
        <w:rPr>
          <w:rFonts w:ascii="Arial" w:hAnsi="Arial" w:cs="Arial"/>
          <w:sz w:val="24"/>
          <w:szCs w:val="24"/>
          <w:vertAlign w:val="superscript"/>
        </w:rPr>
        <w:fldChar w:fldCharType="end"/>
      </w:r>
      <w:r w:rsidR="00B274D9" w:rsidRPr="0020159A">
        <w:rPr>
          <w:rFonts w:ascii="Arial" w:hAnsi="Arial" w:cs="Arial"/>
          <w:sz w:val="24"/>
          <w:szCs w:val="24"/>
        </w:rPr>
        <w:t>. For average, the figures for 333 were 15.32 (2015-16) and 16.02 days (2016-17) compared to 35.9 (including leave) nationally</w:t>
      </w:r>
      <w:r w:rsidR="0060759D" w:rsidRPr="0020159A">
        <w:rPr>
          <w:rFonts w:ascii="Arial" w:hAnsi="Arial" w:cs="Arial"/>
          <w:sz w:val="24"/>
          <w:szCs w:val="24"/>
          <w:vertAlign w:val="superscript"/>
        </w:rPr>
        <w:fldChar w:fldCharType="begin" w:fldLock="1"/>
      </w:r>
      <w:r w:rsidR="00343664" w:rsidRPr="0020159A">
        <w:rPr>
          <w:rFonts w:ascii="Arial" w:hAnsi="Arial" w:cs="Arial"/>
          <w:sz w:val="24"/>
          <w:szCs w:val="24"/>
          <w:vertAlign w:val="superscript"/>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60759D" w:rsidRPr="0020159A">
        <w:rPr>
          <w:rFonts w:ascii="Arial" w:hAnsi="Arial" w:cs="Arial"/>
          <w:sz w:val="24"/>
          <w:szCs w:val="24"/>
          <w:vertAlign w:val="superscript"/>
        </w:rPr>
        <w:fldChar w:fldCharType="separate"/>
      </w:r>
      <w:r w:rsidR="007A2B2F" w:rsidRPr="0020159A">
        <w:rPr>
          <w:rFonts w:ascii="Arial" w:hAnsi="Arial" w:cs="Arial"/>
          <w:noProof/>
          <w:sz w:val="24"/>
          <w:szCs w:val="24"/>
          <w:vertAlign w:val="superscript"/>
        </w:rPr>
        <w:t>(15)</w:t>
      </w:r>
      <w:r w:rsidR="0060759D" w:rsidRPr="0020159A">
        <w:rPr>
          <w:rFonts w:ascii="Arial" w:hAnsi="Arial" w:cs="Arial"/>
          <w:sz w:val="24"/>
          <w:szCs w:val="24"/>
          <w:vertAlign w:val="superscript"/>
        </w:rPr>
        <w:fldChar w:fldCharType="end"/>
      </w:r>
      <w:r w:rsidR="00B274D9" w:rsidRPr="0020159A">
        <w:rPr>
          <w:rFonts w:ascii="Arial" w:hAnsi="Arial" w:cs="Arial"/>
          <w:sz w:val="24"/>
          <w:szCs w:val="24"/>
        </w:rPr>
        <w:t>.</w:t>
      </w:r>
    </w:p>
    <w:p w14:paraId="60C36B00" w14:textId="31F029F5" w:rsidR="00AF3DD1" w:rsidRPr="0020159A" w:rsidRDefault="00AF3DD1" w:rsidP="00AF3DD1">
      <w:pPr>
        <w:rPr>
          <w:rFonts w:ascii="Arial" w:hAnsi="Arial" w:cs="Arial"/>
          <w:sz w:val="24"/>
          <w:szCs w:val="24"/>
        </w:rPr>
      </w:pPr>
      <w:r w:rsidRPr="0020159A">
        <w:rPr>
          <w:rFonts w:ascii="Arial" w:hAnsi="Arial" w:cs="Arial"/>
          <w:sz w:val="24"/>
          <w:szCs w:val="24"/>
        </w:rPr>
        <w:t>---------------------------------------</w:t>
      </w:r>
      <w:r w:rsidR="00B90206">
        <w:rPr>
          <w:rFonts w:ascii="Arial" w:hAnsi="Arial" w:cs="Arial"/>
          <w:sz w:val="24"/>
          <w:szCs w:val="24"/>
        </w:rPr>
        <w:t>Table 3</w:t>
      </w:r>
      <w:r w:rsidRPr="0020159A">
        <w:rPr>
          <w:rFonts w:ascii="Arial" w:hAnsi="Arial" w:cs="Arial"/>
          <w:sz w:val="24"/>
          <w:szCs w:val="24"/>
        </w:rPr>
        <w:t>-----------------------------------------</w:t>
      </w:r>
    </w:p>
    <w:p w14:paraId="48C8A7EA" w14:textId="7288FE31" w:rsidR="009708FB" w:rsidRPr="0020159A" w:rsidRDefault="002E5290" w:rsidP="006E5AA7">
      <w:pPr>
        <w:rPr>
          <w:rFonts w:ascii="Arial" w:hAnsi="Arial" w:cs="Arial"/>
          <w:sz w:val="24"/>
          <w:szCs w:val="24"/>
          <w:lang w:val="en"/>
        </w:rPr>
      </w:pPr>
      <w:r>
        <w:rPr>
          <w:rFonts w:ascii="Arial" w:hAnsi="Arial" w:cs="Arial"/>
          <w:sz w:val="24"/>
          <w:szCs w:val="24"/>
        </w:rPr>
        <w:t xml:space="preserve">The target </w:t>
      </w:r>
      <w:r w:rsidRPr="0020159A">
        <w:rPr>
          <w:rFonts w:ascii="Arial" w:hAnsi="Arial" w:cs="Arial"/>
          <w:sz w:val="24"/>
          <w:szCs w:val="24"/>
        </w:rPr>
        <w:t>readmission rates for patients to any adult ward</w:t>
      </w:r>
      <w:r>
        <w:rPr>
          <w:rFonts w:ascii="Arial" w:hAnsi="Arial" w:cs="Arial"/>
          <w:sz w:val="24"/>
          <w:szCs w:val="24"/>
        </w:rPr>
        <w:t>,</w:t>
      </w:r>
      <w:r w:rsidRPr="0020159A">
        <w:rPr>
          <w:rFonts w:ascii="Arial" w:hAnsi="Arial" w:cs="Arial"/>
          <w:sz w:val="24"/>
          <w:szCs w:val="24"/>
        </w:rPr>
        <w:t xml:space="preserve"> 7 and 30 days post discharge </w:t>
      </w:r>
      <w:r>
        <w:rPr>
          <w:rFonts w:ascii="Arial" w:hAnsi="Arial" w:cs="Arial"/>
          <w:sz w:val="24"/>
          <w:szCs w:val="24"/>
        </w:rPr>
        <w:t xml:space="preserve">was </w:t>
      </w:r>
      <w:r>
        <w:rPr>
          <w:rFonts w:ascii="Arial" w:hAnsi="Arial" w:cs="Arial"/>
          <w:sz w:val="24"/>
          <w:szCs w:val="24"/>
          <w:lang w:val="en"/>
        </w:rPr>
        <w:t>≤</w:t>
      </w:r>
      <w:r w:rsidRPr="00453B08">
        <w:rPr>
          <w:rFonts w:ascii="Arial" w:eastAsia="Times New Roman" w:hAnsi="Arial" w:cs="Arial"/>
          <w:sz w:val="24"/>
          <w:szCs w:val="24"/>
          <w:lang w:eastAsia="en-GB" w:bidi="bn-IN"/>
        </w:rPr>
        <w:t>5%</w:t>
      </w:r>
      <w:r>
        <w:rPr>
          <w:rFonts w:ascii="Arial" w:eastAsia="Times New Roman" w:hAnsi="Arial" w:cs="Arial"/>
          <w:sz w:val="24"/>
          <w:szCs w:val="24"/>
          <w:lang w:eastAsia="en-GB" w:bidi="bn-IN"/>
        </w:rPr>
        <w:t xml:space="preserve"> and </w:t>
      </w:r>
      <w:r>
        <w:rPr>
          <w:rFonts w:ascii="Arial" w:hAnsi="Arial" w:cs="Arial"/>
          <w:sz w:val="24"/>
          <w:szCs w:val="24"/>
          <w:lang w:val="en"/>
        </w:rPr>
        <w:t>≤1</w:t>
      </w:r>
      <w:r w:rsidRPr="00453B08">
        <w:rPr>
          <w:rFonts w:ascii="Arial" w:eastAsia="Times New Roman" w:hAnsi="Arial" w:cs="Arial"/>
          <w:sz w:val="24"/>
          <w:szCs w:val="24"/>
          <w:lang w:eastAsia="en-GB" w:bidi="bn-IN"/>
        </w:rPr>
        <w:t>5%</w:t>
      </w:r>
      <w:r>
        <w:rPr>
          <w:rFonts w:ascii="Arial" w:eastAsia="Times New Roman" w:hAnsi="Arial" w:cs="Arial"/>
          <w:sz w:val="24"/>
          <w:szCs w:val="24"/>
          <w:lang w:eastAsia="en-GB" w:bidi="bn-IN"/>
        </w:rPr>
        <w:t xml:space="preserve"> respectively. For 2015-16 the rates were 7.38% and 17.06% and for 2016-17 they were 5.1% and 13.19% respectively.</w:t>
      </w:r>
      <w:r w:rsidR="00D732AD" w:rsidRPr="0020159A">
        <w:rPr>
          <w:rFonts w:ascii="Arial" w:hAnsi="Arial" w:cs="Arial"/>
          <w:sz w:val="24"/>
          <w:szCs w:val="24"/>
        </w:rPr>
        <w:t xml:space="preserve"> </w:t>
      </w:r>
      <w:r w:rsidR="00ED7A28" w:rsidRPr="0020159A">
        <w:rPr>
          <w:rFonts w:ascii="Arial" w:hAnsi="Arial" w:cs="Arial"/>
          <w:sz w:val="24"/>
          <w:szCs w:val="24"/>
        </w:rPr>
        <w:t xml:space="preserve">Readmission is the </w:t>
      </w:r>
      <w:r w:rsidR="00313400" w:rsidRPr="0020159A">
        <w:rPr>
          <w:rFonts w:ascii="Arial" w:hAnsi="Arial" w:cs="Arial"/>
          <w:sz w:val="24"/>
          <w:szCs w:val="24"/>
        </w:rPr>
        <w:t>anticipated consequence</w:t>
      </w:r>
      <w:r w:rsidR="00ED7A28" w:rsidRPr="0020159A">
        <w:rPr>
          <w:rFonts w:ascii="Arial" w:hAnsi="Arial" w:cs="Arial"/>
          <w:sz w:val="24"/>
          <w:szCs w:val="24"/>
        </w:rPr>
        <w:t xml:space="preserve"> of short lengths of stay.</w:t>
      </w:r>
      <w:r w:rsidR="008055D2" w:rsidRPr="0020159A">
        <w:rPr>
          <w:rFonts w:ascii="Arial" w:hAnsi="Arial" w:cs="Arial"/>
          <w:sz w:val="24"/>
          <w:szCs w:val="24"/>
        </w:rPr>
        <w:t xml:space="preserve"> However </w:t>
      </w:r>
      <w:r w:rsidR="00E227C5" w:rsidRPr="0020159A">
        <w:rPr>
          <w:rFonts w:ascii="Arial" w:hAnsi="Arial" w:cs="Arial"/>
          <w:sz w:val="24"/>
          <w:szCs w:val="24"/>
        </w:rPr>
        <w:t xml:space="preserve">continuous bed availability allowed for </w:t>
      </w:r>
      <w:r w:rsidR="00ED7A28" w:rsidRPr="0020159A">
        <w:rPr>
          <w:rFonts w:ascii="Arial" w:hAnsi="Arial" w:cs="Arial"/>
          <w:sz w:val="24"/>
          <w:szCs w:val="24"/>
        </w:rPr>
        <w:t xml:space="preserve">early </w:t>
      </w:r>
      <w:r w:rsidR="00E227C5" w:rsidRPr="0020159A">
        <w:rPr>
          <w:rFonts w:ascii="Arial" w:hAnsi="Arial" w:cs="Arial"/>
          <w:sz w:val="24"/>
          <w:szCs w:val="24"/>
        </w:rPr>
        <w:t>readmission</w:t>
      </w:r>
      <w:r w:rsidR="00ED7A28" w:rsidRPr="0020159A">
        <w:rPr>
          <w:rFonts w:ascii="Arial" w:hAnsi="Arial" w:cs="Arial"/>
          <w:sz w:val="24"/>
          <w:szCs w:val="24"/>
        </w:rPr>
        <w:t xml:space="preserve"> at first signs of deterioration</w:t>
      </w:r>
      <w:r w:rsidR="00E227C5" w:rsidRPr="0020159A">
        <w:rPr>
          <w:rFonts w:ascii="Arial" w:hAnsi="Arial" w:cs="Arial"/>
          <w:sz w:val="24"/>
          <w:szCs w:val="24"/>
        </w:rPr>
        <w:t>, empower</w:t>
      </w:r>
      <w:r w:rsidR="00313400" w:rsidRPr="0020159A">
        <w:rPr>
          <w:rFonts w:ascii="Arial" w:hAnsi="Arial" w:cs="Arial"/>
          <w:sz w:val="24"/>
          <w:szCs w:val="24"/>
        </w:rPr>
        <w:t>ing patients and clinicians to embrace</w:t>
      </w:r>
      <w:r w:rsidR="00E227C5" w:rsidRPr="0020159A">
        <w:rPr>
          <w:rFonts w:ascii="Arial" w:hAnsi="Arial" w:cs="Arial"/>
          <w:sz w:val="24"/>
          <w:szCs w:val="24"/>
        </w:rPr>
        <w:t xml:space="preserve"> positive risks.</w:t>
      </w:r>
      <w:r w:rsidR="008055D2" w:rsidRPr="0020159A">
        <w:rPr>
          <w:rFonts w:ascii="Arial" w:hAnsi="Arial" w:cs="Arial"/>
          <w:sz w:val="24"/>
          <w:szCs w:val="24"/>
        </w:rPr>
        <w:t xml:space="preserve"> </w:t>
      </w:r>
      <w:r w:rsidR="00313400" w:rsidRPr="0020159A">
        <w:rPr>
          <w:rFonts w:ascii="Arial" w:hAnsi="Arial" w:cs="Arial"/>
          <w:sz w:val="24"/>
          <w:szCs w:val="24"/>
        </w:rPr>
        <w:t>F</w:t>
      </w:r>
      <w:r w:rsidR="0098249E" w:rsidRPr="0020159A">
        <w:rPr>
          <w:rFonts w:ascii="Arial" w:hAnsi="Arial" w:cs="Arial"/>
          <w:sz w:val="24"/>
          <w:szCs w:val="24"/>
          <w:lang w:val="en"/>
        </w:rPr>
        <w:t>rom 1</w:t>
      </w:r>
      <w:r w:rsidR="0098249E" w:rsidRPr="0020159A">
        <w:rPr>
          <w:rFonts w:ascii="Arial" w:hAnsi="Arial" w:cs="Arial"/>
          <w:sz w:val="24"/>
          <w:szCs w:val="24"/>
          <w:vertAlign w:val="superscript"/>
          <w:lang w:val="en"/>
        </w:rPr>
        <w:t>st</w:t>
      </w:r>
      <w:r w:rsidR="0098249E" w:rsidRPr="0020159A">
        <w:rPr>
          <w:rFonts w:ascii="Arial" w:hAnsi="Arial" w:cs="Arial"/>
          <w:sz w:val="24"/>
          <w:szCs w:val="24"/>
          <w:lang w:val="en"/>
        </w:rPr>
        <w:t xml:space="preserve"> April 2015 the AU launched ‘open door’, a proactive initiative to manage care for patients with severe personality disorder</w:t>
      </w:r>
      <w:r w:rsidR="00532290" w:rsidRPr="0020159A">
        <w:rPr>
          <w:rFonts w:ascii="Arial" w:hAnsi="Arial" w:cs="Arial"/>
          <w:sz w:val="24"/>
          <w:szCs w:val="24"/>
          <w:vertAlign w:val="superscript"/>
          <w:lang w:val="en"/>
        </w:rPr>
        <w:fldChar w:fldCharType="begin" w:fldLock="1"/>
      </w:r>
      <w:r w:rsidR="007D487E" w:rsidRPr="0020159A">
        <w:rPr>
          <w:rFonts w:ascii="Arial" w:hAnsi="Arial" w:cs="Arial"/>
          <w:sz w:val="24"/>
          <w:szCs w:val="24"/>
          <w:vertAlign w:val="superscript"/>
          <w:lang w:val="en"/>
        </w:rPr>
        <w:instrText>ADDIN CSL_CITATION {"citationItems":[{"id":"ITEM-1","itemData":{"URL":"http://www.promise.global/promote_open_door.pdf","accessed":{"date-parts":[["2018","3","25"]]},"author":[{"dropping-particle":"","family":"Kar Ray","given":"Manaan","non-dropping-particle":"","parse-names":false,"suffix":""}],"id":"ITEM-1","issued":{"date-parts":[["2016"]]},"title":"PROMISE GLOBAL - Partnerships for Humane Mental Health Care","type":"webpage"},"uris":["http://www.mendeley.com/documents/?uuid=2ec83c6d-cfda-3586-adf8-1e9069bf3975"]}],"mendeley":{"formattedCitation":"(26)","plainTextFormattedCitation":"(26)","previouslyFormattedCitation":"(26)"},"properties":{"noteIndex":0},"schema":"https://github.com/citation-style-language/schema/raw/master/csl-citation.json"}</w:instrText>
      </w:r>
      <w:r w:rsidR="00532290" w:rsidRPr="0020159A">
        <w:rPr>
          <w:rFonts w:ascii="Arial" w:hAnsi="Arial" w:cs="Arial"/>
          <w:sz w:val="24"/>
          <w:szCs w:val="24"/>
          <w:vertAlign w:val="superscript"/>
          <w:lang w:val="en"/>
        </w:rPr>
        <w:fldChar w:fldCharType="separate"/>
      </w:r>
      <w:r w:rsidR="00B92A29" w:rsidRPr="0020159A">
        <w:rPr>
          <w:rFonts w:ascii="Arial" w:hAnsi="Arial" w:cs="Arial"/>
          <w:noProof/>
          <w:sz w:val="24"/>
          <w:szCs w:val="24"/>
          <w:vertAlign w:val="superscript"/>
          <w:lang w:val="en"/>
        </w:rPr>
        <w:t>(26)</w:t>
      </w:r>
      <w:r w:rsidR="00532290" w:rsidRPr="0020159A">
        <w:rPr>
          <w:rFonts w:ascii="Arial" w:hAnsi="Arial" w:cs="Arial"/>
          <w:sz w:val="24"/>
          <w:szCs w:val="24"/>
          <w:vertAlign w:val="superscript"/>
          <w:lang w:val="en"/>
        </w:rPr>
        <w:fldChar w:fldCharType="end"/>
      </w:r>
      <w:r w:rsidR="0098249E" w:rsidRPr="0020159A">
        <w:rPr>
          <w:rFonts w:ascii="Arial" w:hAnsi="Arial" w:cs="Arial"/>
          <w:sz w:val="24"/>
          <w:szCs w:val="24"/>
          <w:lang w:val="en"/>
        </w:rPr>
        <w:t xml:space="preserve">. </w:t>
      </w:r>
      <w:r w:rsidR="0086261D" w:rsidRPr="0020159A">
        <w:rPr>
          <w:rFonts w:ascii="Arial" w:hAnsi="Arial" w:cs="Arial"/>
          <w:sz w:val="24"/>
          <w:szCs w:val="24"/>
          <w:lang w:val="en"/>
        </w:rPr>
        <w:t>At the face of it CPFT figures of</w:t>
      </w:r>
      <w:r w:rsidR="009708FB" w:rsidRPr="0020159A">
        <w:rPr>
          <w:rFonts w:ascii="Arial" w:hAnsi="Arial" w:cs="Arial"/>
          <w:sz w:val="24"/>
          <w:szCs w:val="24"/>
          <w:lang w:val="en"/>
        </w:rPr>
        <w:t xml:space="preserve"> 13 to 17% readmission rates for 30 days</w:t>
      </w:r>
      <w:r w:rsidR="0086261D" w:rsidRPr="0020159A">
        <w:rPr>
          <w:rFonts w:ascii="Arial" w:hAnsi="Arial" w:cs="Arial"/>
          <w:sz w:val="24"/>
          <w:szCs w:val="24"/>
          <w:lang w:val="en"/>
        </w:rPr>
        <w:t xml:space="preserve"> look considerably higher than the national mean of 8.4%</w:t>
      </w:r>
      <w:r w:rsidR="009708FB" w:rsidRPr="0020159A">
        <w:rPr>
          <w:rFonts w:ascii="Arial" w:hAnsi="Arial" w:cs="Arial"/>
          <w:sz w:val="24"/>
          <w:szCs w:val="24"/>
          <w:lang w:val="en"/>
        </w:rPr>
        <w:t>.</w:t>
      </w:r>
      <w:r w:rsidR="0086261D" w:rsidRPr="0020159A">
        <w:rPr>
          <w:rFonts w:ascii="Arial" w:hAnsi="Arial" w:cs="Arial"/>
          <w:sz w:val="24"/>
          <w:szCs w:val="24"/>
          <w:lang w:val="en"/>
        </w:rPr>
        <w:t xml:space="preserve"> However</w:t>
      </w:r>
      <w:r w:rsidR="0060759D" w:rsidRPr="0020159A">
        <w:rPr>
          <w:rFonts w:ascii="Arial" w:hAnsi="Arial" w:cs="Arial"/>
          <w:sz w:val="24"/>
          <w:szCs w:val="24"/>
          <w:lang w:val="en"/>
        </w:rPr>
        <w:t>,</w:t>
      </w:r>
      <w:r w:rsidR="0086261D" w:rsidRPr="0020159A">
        <w:rPr>
          <w:rFonts w:ascii="Arial" w:hAnsi="Arial" w:cs="Arial"/>
          <w:sz w:val="24"/>
          <w:szCs w:val="24"/>
          <w:lang w:val="en"/>
        </w:rPr>
        <w:t xml:space="preserve"> removing 100 open door readmissions (10 patients, 10 readmissions each</w:t>
      </w:r>
      <w:r w:rsidR="00ED7A28" w:rsidRPr="0020159A">
        <w:rPr>
          <w:rFonts w:ascii="Arial" w:hAnsi="Arial" w:cs="Arial"/>
          <w:sz w:val="24"/>
          <w:szCs w:val="24"/>
          <w:lang w:val="en"/>
        </w:rPr>
        <w:t xml:space="preserve"> – detailed in discussion</w:t>
      </w:r>
      <w:r w:rsidR="0086261D" w:rsidRPr="0020159A">
        <w:rPr>
          <w:rFonts w:ascii="Arial" w:hAnsi="Arial" w:cs="Arial"/>
          <w:sz w:val="24"/>
          <w:szCs w:val="24"/>
          <w:lang w:val="en"/>
        </w:rPr>
        <w:t>) from the 2016-17</w:t>
      </w:r>
      <w:r w:rsidR="00ED7A28" w:rsidRPr="0020159A">
        <w:rPr>
          <w:rFonts w:ascii="Arial" w:hAnsi="Arial" w:cs="Arial"/>
          <w:sz w:val="24"/>
          <w:szCs w:val="24"/>
          <w:lang w:val="en"/>
        </w:rPr>
        <w:t xml:space="preserve"> figures would half </w:t>
      </w:r>
      <w:r w:rsidR="0086261D" w:rsidRPr="0020159A">
        <w:rPr>
          <w:rFonts w:ascii="Arial" w:hAnsi="Arial" w:cs="Arial"/>
          <w:sz w:val="24"/>
          <w:szCs w:val="24"/>
          <w:lang w:val="en"/>
        </w:rPr>
        <w:t>the 30 day readmission rate of 13.19%</w:t>
      </w:r>
      <w:proofErr w:type="gramStart"/>
      <w:r w:rsidR="00ED7A28" w:rsidRPr="0020159A">
        <w:rPr>
          <w:rFonts w:ascii="Arial" w:hAnsi="Arial" w:cs="Arial"/>
          <w:sz w:val="24"/>
          <w:szCs w:val="24"/>
          <w:lang w:val="en"/>
        </w:rPr>
        <w:t>.</w:t>
      </w:r>
      <w:proofErr w:type="gramEnd"/>
      <w:r w:rsidR="00ED7A28" w:rsidRPr="0020159A">
        <w:rPr>
          <w:rFonts w:ascii="Arial" w:hAnsi="Arial" w:cs="Arial"/>
          <w:sz w:val="24"/>
          <w:szCs w:val="24"/>
          <w:lang w:val="en"/>
        </w:rPr>
        <w:t xml:space="preserve"> This would</w:t>
      </w:r>
      <w:r w:rsidR="0086261D" w:rsidRPr="0020159A">
        <w:rPr>
          <w:rFonts w:ascii="Arial" w:hAnsi="Arial" w:cs="Arial"/>
          <w:sz w:val="24"/>
          <w:szCs w:val="24"/>
          <w:lang w:val="en"/>
        </w:rPr>
        <w:t xml:space="preserve"> </w:t>
      </w:r>
      <w:r w:rsidR="00ED7A28" w:rsidRPr="0020159A">
        <w:rPr>
          <w:rFonts w:ascii="Arial" w:hAnsi="Arial" w:cs="Arial"/>
          <w:sz w:val="24"/>
          <w:szCs w:val="24"/>
          <w:lang w:val="en"/>
        </w:rPr>
        <w:t xml:space="preserve">bring </w:t>
      </w:r>
      <w:r w:rsidR="0086261D" w:rsidRPr="0020159A">
        <w:rPr>
          <w:rFonts w:ascii="Arial" w:hAnsi="Arial" w:cs="Arial"/>
          <w:sz w:val="24"/>
          <w:szCs w:val="24"/>
          <w:lang w:val="en"/>
        </w:rPr>
        <w:t>CPFT below the national average</w:t>
      </w:r>
      <w:r w:rsidR="0060759D" w:rsidRPr="0020159A">
        <w:rPr>
          <w:rFonts w:ascii="Arial" w:hAnsi="Arial" w:cs="Arial"/>
          <w:sz w:val="24"/>
          <w:szCs w:val="24"/>
          <w:vertAlign w:val="superscript"/>
          <w:lang w:val="en"/>
        </w:rPr>
        <w:fldChar w:fldCharType="begin" w:fldLock="1"/>
      </w:r>
      <w:r w:rsidR="00343664" w:rsidRPr="0020159A">
        <w:rPr>
          <w:rFonts w:ascii="Arial" w:hAnsi="Arial" w:cs="Arial"/>
          <w:sz w:val="24"/>
          <w:szCs w:val="24"/>
          <w:vertAlign w:val="superscript"/>
          <w:lang w:val="en"/>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60759D" w:rsidRPr="0020159A">
        <w:rPr>
          <w:rFonts w:ascii="Arial" w:hAnsi="Arial" w:cs="Arial"/>
          <w:sz w:val="24"/>
          <w:szCs w:val="24"/>
          <w:vertAlign w:val="superscript"/>
          <w:lang w:val="en"/>
        </w:rPr>
        <w:fldChar w:fldCharType="separate"/>
      </w:r>
      <w:r w:rsidR="007A2B2F" w:rsidRPr="0020159A">
        <w:rPr>
          <w:rFonts w:ascii="Arial" w:hAnsi="Arial" w:cs="Arial"/>
          <w:noProof/>
          <w:sz w:val="24"/>
          <w:szCs w:val="24"/>
          <w:vertAlign w:val="superscript"/>
          <w:lang w:val="en"/>
        </w:rPr>
        <w:t>(15)</w:t>
      </w:r>
      <w:r w:rsidR="0060759D" w:rsidRPr="0020159A">
        <w:rPr>
          <w:rFonts w:ascii="Arial" w:hAnsi="Arial" w:cs="Arial"/>
          <w:sz w:val="24"/>
          <w:szCs w:val="24"/>
          <w:vertAlign w:val="superscript"/>
          <w:lang w:val="en"/>
        </w:rPr>
        <w:fldChar w:fldCharType="end"/>
      </w:r>
      <w:r w:rsidR="0086261D" w:rsidRPr="0020159A">
        <w:rPr>
          <w:rFonts w:ascii="Arial" w:hAnsi="Arial" w:cs="Arial"/>
          <w:sz w:val="24"/>
          <w:szCs w:val="24"/>
          <w:lang w:val="en"/>
        </w:rPr>
        <w:t>.</w:t>
      </w:r>
    </w:p>
    <w:p w14:paraId="082A3D78" w14:textId="77777777" w:rsidR="00DA2055" w:rsidRPr="0020159A" w:rsidRDefault="00DA2055" w:rsidP="00186BF4">
      <w:pPr>
        <w:rPr>
          <w:rFonts w:ascii="Arial" w:hAnsi="Arial" w:cs="Arial"/>
          <w:b/>
          <w:sz w:val="24"/>
          <w:szCs w:val="24"/>
        </w:rPr>
      </w:pPr>
      <w:r w:rsidRPr="0020159A">
        <w:rPr>
          <w:rFonts w:ascii="Arial" w:hAnsi="Arial" w:cs="Arial"/>
          <w:b/>
          <w:sz w:val="24"/>
          <w:szCs w:val="24"/>
        </w:rPr>
        <w:t>Bed Occupancy:</w:t>
      </w:r>
    </w:p>
    <w:p w14:paraId="5784CA82" w14:textId="376822B8" w:rsidR="00E07C1D" w:rsidRPr="0020159A" w:rsidRDefault="00E86C2F" w:rsidP="00E07C1D">
      <w:pPr>
        <w:rPr>
          <w:rFonts w:ascii="Arial" w:hAnsi="Arial" w:cs="Arial"/>
          <w:sz w:val="24"/>
          <w:szCs w:val="24"/>
          <w:lang w:val="en"/>
        </w:rPr>
      </w:pPr>
      <w:r w:rsidRPr="0020159A">
        <w:rPr>
          <w:rFonts w:ascii="Arial" w:hAnsi="Arial" w:cs="Arial"/>
          <w:sz w:val="24"/>
          <w:szCs w:val="24"/>
          <w:lang w:val="en"/>
        </w:rPr>
        <w:t xml:space="preserve">There was an overall </w:t>
      </w:r>
      <w:r w:rsidR="00E07C1D" w:rsidRPr="0020159A">
        <w:rPr>
          <w:rFonts w:ascii="Arial" w:hAnsi="Arial" w:cs="Arial"/>
          <w:sz w:val="24"/>
          <w:szCs w:val="24"/>
          <w:lang w:val="en"/>
        </w:rPr>
        <w:t>occupancy (including leave beds) target</w:t>
      </w:r>
      <w:r w:rsidRPr="0020159A">
        <w:rPr>
          <w:rFonts w:ascii="Arial" w:hAnsi="Arial" w:cs="Arial"/>
          <w:sz w:val="24"/>
          <w:szCs w:val="24"/>
          <w:lang w:val="en"/>
        </w:rPr>
        <w:t xml:space="preserve"> of 85%</w:t>
      </w:r>
      <w:r w:rsidR="000C07DE" w:rsidRPr="0020159A">
        <w:rPr>
          <w:rFonts w:ascii="Arial" w:hAnsi="Arial" w:cs="Arial"/>
          <w:sz w:val="24"/>
          <w:szCs w:val="24"/>
          <w:lang w:val="en"/>
        </w:rPr>
        <w:t xml:space="preserve"> (</w:t>
      </w:r>
      <w:r w:rsidR="00B90206">
        <w:rPr>
          <w:rFonts w:ascii="Arial" w:hAnsi="Arial" w:cs="Arial"/>
          <w:sz w:val="24"/>
          <w:szCs w:val="24"/>
          <w:lang w:val="en"/>
        </w:rPr>
        <w:t>Table 4</w:t>
      </w:r>
      <w:r w:rsidR="000C07DE" w:rsidRPr="0020159A">
        <w:rPr>
          <w:rFonts w:ascii="Arial" w:hAnsi="Arial" w:cs="Arial"/>
          <w:sz w:val="24"/>
          <w:szCs w:val="24"/>
          <w:lang w:val="en"/>
        </w:rPr>
        <w:t>)</w:t>
      </w:r>
      <w:r w:rsidRPr="0020159A">
        <w:rPr>
          <w:rFonts w:ascii="Arial" w:hAnsi="Arial" w:cs="Arial"/>
          <w:sz w:val="24"/>
          <w:szCs w:val="24"/>
          <w:lang w:val="en"/>
        </w:rPr>
        <w:t xml:space="preserve"> in keeping with Royal College guidance</w:t>
      </w:r>
      <w:r w:rsidR="0060759D" w:rsidRPr="0020159A">
        <w:rPr>
          <w:rFonts w:ascii="Arial" w:hAnsi="Arial" w:cs="Arial"/>
          <w:sz w:val="24"/>
          <w:szCs w:val="24"/>
          <w:vertAlign w:val="superscript"/>
          <w:lang w:val="en"/>
        </w:rPr>
        <w:fldChar w:fldCharType="begin" w:fldLock="1"/>
      </w:r>
      <w:r w:rsidR="007D487E" w:rsidRPr="0020159A">
        <w:rPr>
          <w:rFonts w:ascii="Arial" w:hAnsi="Arial" w:cs="Arial"/>
          <w:sz w:val="24"/>
          <w:szCs w:val="24"/>
          <w:vertAlign w:val="superscript"/>
          <w:lang w:val="en"/>
        </w:rPr>
        <w:instrText>ADDIN CSL_CITATION {"citationItems":[{"id":"ITEM-1","itemData":{"author":[{"dropping-particle":"","family":"Perry","given":"Jen","non-dropping-particle":"","parse-names":false,"suffix":""},{"dropping-particle":"","family":"Palmer","given":"Lucy","non-dropping-particle":"","parse-names":false,"suffix":""},{"dropping-particle":"","family":"Thompson","given":"Peter","non-dropping-particle":"","parse-names":false,"suffix":""},{"dropping-particle":"","family":"Worrall","given":"Adrian","non-dropping-particle":"","parse-names":false,"suffix":""},{"dropping-particle":"","family":"Chittenden","given":"Jane","non-dropping-particle":"","parse-names":false,"suffix":""},{"dropping-particle":"","family":"Bonnamy","given":"Matt","non-dropping-particle":"","parse-names":false,"suffix":""}],"id":"ITEM-1","issued":{"date-parts":[["2015"]]},"number-of-pages":"1-3-","title":"Standards for Inpatient Mental Health Services","type":"report"},"uris":["http://www.mendeley.com/documents/?uuid=b26cc3b8-86fd-3528-828a-8679dfa01ead"]},{"id":"ITEM-2","itemData":{"author":[{"dropping-particle":"","family":"Royal College of Pyschiatrist","given":"","non-dropping-particle":"","parse-names":false,"suffix":""}],"id":"ITEM-2","issued":{"date-parts":[["2011"]]},"title":"Do the right thing: how to judge a good ward Ten standards for adult in-patient mental healthcare","type":"report"},"uris":["http://www.mendeley.com/documents/?uuid=f0b58dc3-2a4b-3bd6-8214-54fe25a5e24a"]}],"mendeley":{"formattedCitation":"(25,27)","plainTextFormattedCitation":"(25,27)","previouslyFormattedCitation":"(25,27)"},"properties":{"noteIndex":0},"schema":"https://github.com/citation-style-language/schema/raw/master/csl-citation.json"}</w:instrText>
      </w:r>
      <w:r w:rsidR="0060759D" w:rsidRPr="0020159A">
        <w:rPr>
          <w:rFonts w:ascii="Arial" w:hAnsi="Arial" w:cs="Arial"/>
          <w:sz w:val="24"/>
          <w:szCs w:val="24"/>
          <w:vertAlign w:val="superscript"/>
          <w:lang w:val="en"/>
        </w:rPr>
        <w:fldChar w:fldCharType="separate"/>
      </w:r>
      <w:r w:rsidR="00B92A29" w:rsidRPr="0020159A">
        <w:rPr>
          <w:rFonts w:ascii="Arial" w:hAnsi="Arial" w:cs="Arial"/>
          <w:noProof/>
          <w:sz w:val="24"/>
          <w:szCs w:val="24"/>
          <w:vertAlign w:val="superscript"/>
          <w:lang w:val="en"/>
        </w:rPr>
        <w:t>(25,27)</w:t>
      </w:r>
      <w:r w:rsidR="0060759D" w:rsidRPr="0020159A">
        <w:rPr>
          <w:rFonts w:ascii="Arial" w:hAnsi="Arial" w:cs="Arial"/>
          <w:sz w:val="24"/>
          <w:szCs w:val="24"/>
          <w:vertAlign w:val="superscript"/>
          <w:lang w:val="en"/>
        </w:rPr>
        <w:fldChar w:fldCharType="end"/>
      </w:r>
      <w:r w:rsidR="00F67CD4" w:rsidRPr="0020159A">
        <w:rPr>
          <w:rFonts w:ascii="Arial" w:hAnsi="Arial" w:cs="Arial"/>
          <w:sz w:val="24"/>
          <w:szCs w:val="24"/>
          <w:lang w:val="en"/>
        </w:rPr>
        <w:t xml:space="preserve">. </w:t>
      </w:r>
      <w:r w:rsidR="00F570D6" w:rsidRPr="0020159A">
        <w:rPr>
          <w:rFonts w:ascii="Arial" w:hAnsi="Arial" w:cs="Arial"/>
          <w:sz w:val="24"/>
          <w:szCs w:val="24"/>
          <w:lang w:val="en"/>
        </w:rPr>
        <w:t>B</w:t>
      </w:r>
      <w:r w:rsidR="00016727" w:rsidRPr="0020159A">
        <w:rPr>
          <w:rFonts w:ascii="Arial" w:hAnsi="Arial" w:cs="Arial"/>
          <w:sz w:val="24"/>
          <w:szCs w:val="24"/>
          <w:lang w:val="en"/>
        </w:rPr>
        <w:t xml:space="preserve">oth AUs </w:t>
      </w:r>
      <w:r w:rsidR="00F570D6" w:rsidRPr="0020159A">
        <w:rPr>
          <w:rFonts w:ascii="Arial" w:hAnsi="Arial" w:cs="Arial"/>
          <w:sz w:val="24"/>
          <w:szCs w:val="24"/>
          <w:lang w:val="en"/>
        </w:rPr>
        <w:t xml:space="preserve">had a pivotal role in ensuring bed availability and they </w:t>
      </w:r>
      <w:r w:rsidR="00016727" w:rsidRPr="0020159A">
        <w:rPr>
          <w:rFonts w:ascii="Arial" w:hAnsi="Arial" w:cs="Arial"/>
          <w:sz w:val="24"/>
          <w:szCs w:val="24"/>
          <w:lang w:val="en"/>
        </w:rPr>
        <w:t xml:space="preserve">consistently delivered on a stringent 70% target. </w:t>
      </w:r>
      <w:r w:rsidR="00BA4294" w:rsidRPr="0020159A">
        <w:rPr>
          <w:rFonts w:ascii="Arial" w:hAnsi="Arial" w:cs="Arial"/>
          <w:sz w:val="24"/>
          <w:szCs w:val="24"/>
          <w:lang w:val="en"/>
        </w:rPr>
        <w:t>National median bed occupancy (excluding leave) for 2016 was 94.2%</w:t>
      </w:r>
      <w:r w:rsidR="0060759D" w:rsidRPr="0020159A">
        <w:rPr>
          <w:rFonts w:ascii="Arial" w:hAnsi="Arial" w:cs="Arial"/>
          <w:sz w:val="24"/>
          <w:szCs w:val="24"/>
          <w:vertAlign w:val="superscript"/>
          <w:lang w:val="en"/>
        </w:rPr>
        <w:fldChar w:fldCharType="begin" w:fldLock="1"/>
      </w:r>
      <w:r w:rsidR="00343664" w:rsidRPr="0020159A">
        <w:rPr>
          <w:rFonts w:ascii="Arial" w:hAnsi="Arial" w:cs="Arial"/>
          <w:sz w:val="24"/>
          <w:szCs w:val="24"/>
          <w:vertAlign w:val="superscript"/>
          <w:lang w:val="en"/>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60759D" w:rsidRPr="0020159A">
        <w:rPr>
          <w:rFonts w:ascii="Arial" w:hAnsi="Arial" w:cs="Arial"/>
          <w:sz w:val="24"/>
          <w:szCs w:val="24"/>
          <w:vertAlign w:val="superscript"/>
          <w:lang w:val="en"/>
        </w:rPr>
        <w:fldChar w:fldCharType="separate"/>
      </w:r>
      <w:r w:rsidR="007A2B2F" w:rsidRPr="0020159A">
        <w:rPr>
          <w:rFonts w:ascii="Arial" w:hAnsi="Arial" w:cs="Arial"/>
          <w:noProof/>
          <w:sz w:val="24"/>
          <w:szCs w:val="24"/>
          <w:vertAlign w:val="superscript"/>
          <w:lang w:val="en"/>
        </w:rPr>
        <w:t>(15)</w:t>
      </w:r>
      <w:r w:rsidR="0060759D" w:rsidRPr="0020159A">
        <w:rPr>
          <w:rFonts w:ascii="Arial" w:hAnsi="Arial" w:cs="Arial"/>
          <w:sz w:val="24"/>
          <w:szCs w:val="24"/>
          <w:vertAlign w:val="superscript"/>
          <w:lang w:val="en"/>
        </w:rPr>
        <w:fldChar w:fldCharType="end"/>
      </w:r>
      <w:r w:rsidR="0060759D" w:rsidRPr="0020159A">
        <w:rPr>
          <w:rFonts w:ascii="Arial" w:hAnsi="Arial" w:cs="Arial"/>
          <w:sz w:val="24"/>
          <w:szCs w:val="24"/>
          <w:lang w:val="en"/>
        </w:rPr>
        <w:t xml:space="preserve"> </w:t>
      </w:r>
      <w:r w:rsidR="00BA4294" w:rsidRPr="0020159A">
        <w:rPr>
          <w:rFonts w:ascii="Arial" w:hAnsi="Arial" w:cs="Arial"/>
          <w:sz w:val="24"/>
          <w:szCs w:val="24"/>
          <w:lang w:val="en"/>
        </w:rPr>
        <w:t>compared to CPFT’s 80.6%. National median bed occupancy (including leave) for 2016 was 102%</w:t>
      </w:r>
      <w:r w:rsidR="0060759D" w:rsidRPr="0020159A">
        <w:rPr>
          <w:rFonts w:ascii="Arial" w:hAnsi="Arial" w:cs="Arial"/>
          <w:sz w:val="24"/>
          <w:szCs w:val="24"/>
          <w:vertAlign w:val="superscript"/>
          <w:lang w:val="en"/>
        </w:rPr>
        <w:fldChar w:fldCharType="begin" w:fldLock="1"/>
      </w:r>
      <w:r w:rsidR="00343664" w:rsidRPr="0020159A">
        <w:rPr>
          <w:rFonts w:ascii="Arial" w:hAnsi="Arial" w:cs="Arial"/>
          <w:sz w:val="24"/>
          <w:szCs w:val="24"/>
          <w:vertAlign w:val="superscript"/>
          <w:lang w:val="en"/>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60759D" w:rsidRPr="0020159A">
        <w:rPr>
          <w:rFonts w:ascii="Arial" w:hAnsi="Arial" w:cs="Arial"/>
          <w:sz w:val="24"/>
          <w:szCs w:val="24"/>
          <w:vertAlign w:val="superscript"/>
          <w:lang w:val="en"/>
        </w:rPr>
        <w:fldChar w:fldCharType="separate"/>
      </w:r>
      <w:r w:rsidR="007A2B2F" w:rsidRPr="0020159A">
        <w:rPr>
          <w:rFonts w:ascii="Arial" w:hAnsi="Arial" w:cs="Arial"/>
          <w:noProof/>
          <w:sz w:val="24"/>
          <w:szCs w:val="24"/>
          <w:vertAlign w:val="superscript"/>
          <w:lang w:val="en"/>
        </w:rPr>
        <w:t>(15)</w:t>
      </w:r>
      <w:r w:rsidR="0060759D" w:rsidRPr="0020159A">
        <w:rPr>
          <w:rFonts w:ascii="Arial" w:hAnsi="Arial" w:cs="Arial"/>
          <w:sz w:val="24"/>
          <w:szCs w:val="24"/>
          <w:vertAlign w:val="superscript"/>
          <w:lang w:val="en"/>
        </w:rPr>
        <w:fldChar w:fldCharType="end"/>
      </w:r>
      <w:r w:rsidR="00BA4294" w:rsidRPr="0020159A">
        <w:rPr>
          <w:rFonts w:ascii="Arial" w:hAnsi="Arial" w:cs="Arial"/>
          <w:sz w:val="24"/>
          <w:szCs w:val="24"/>
          <w:lang w:val="en"/>
        </w:rPr>
        <w:t xml:space="preserve"> compared to CPFT’s 87.6%.</w:t>
      </w:r>
    </w:p>
    <w:p w14:paraId="1C59B39F" w14:textId="36A73CA3" w:rsidR="00E00C3F" w:rsidRPr="0020159A" w:rsidRDefault="002D4579" w:rsidP="00E00C3F">
      <w:pPr>
        <w:rPr>
          <w:rFonts w:ascii="Arial" w:hAnsi="Arial" w:cs="Arial"/>
          <w:sz w:val="24"/>
          <w:szCs w:val="24"/>
          <w:lang w:val="en"/>
        </w:rPr>
      </w:pPr>
      <w:r w:rsidRPr="0020159A">
        <w:rPr>
          <w:rFonts w:ascii="Arial" w:hAnsi="Arial" w:cs="Arial"/>
          <w:sz w:val="24"/>
          <w:szCs w:val="24"/>
          <w:lang w:val="en"/>
        </w:rPr>
        <w:t>O</w:t>
      </w:r>
      <w:r w:rsidR="00E07C1D" w:rsidRPr="0020159A">
        <w:rPr>
          <w:rFonts w:ascii="Arial" w:hAnsi="Arial" w:cs="Arial"/>
          <w:sz w:val="24"/>
          <w:szCs w:val="24"/>
          <w:lang w:val="en"/>
        </w:rPr>
        <w:t xml:space="preserve">ccupancy figures average out bed pressures and conceal peaks in bed demand. Given the </w:t>
      </w:r>
      <w:r w:rsidR="00F67CD4" w:rsidRPr="0020159A">
        <w:rPr>
          <w:rFonts w:ascii="Arial" w:hAnsi="Arial" w:cs="Arial"/>
          <w:sz w:val="24"/>
          <w:szCs w:val="24"/>
          <w:lang w:val="en"/>
        </w:rPr>
        <w:t xml:space="preserve">aspiration to eliminate </w:t>
      </w:r>
      <w:r w:rsidR="00E07C1D" w:rsidRPr="0020159A">
        <w:rPr>
          <w:rFonts w:ascii="Arial" w:hAnsi="Arial" w:cs="Arial"/>
          <w:sz w:val="24"/>
          <w:szCs w:val="24"/>
          <w:lang w:val="en"/>
        </w:rPr>
        <w:t>OA</w:t>
      </w:r>
      <w:r w:rsidR="00F67CD4" w:rsidRPr="0020159A">
        <w:rPr>
          <w:rFonts w:ascii="Arial" w:hAnsi="Arial" w:cs="Arial"/>
          <w:sz w:val="24"/>
          <w:szCs w:val="24"/>
          <w:lang w:val="en"/>
        </w:rPr>
        <w:t>P</w:t>
      </w:r>
      <w:r w:rsidR="00E07C1D" w:rsidRPr="0020159A">
        <w:rPr>
          <w:rFonts w:ascii="Arial" w:hAnsi="Arial" w:cs="Arial"/>
          <w:sz w:val="24"/>
          <w:szCs w:val="24"/>
          <w:lang w:val="en"/>
        </w:rPr>
        <w:t xml:space="preserve">s, an annual target of 0 was set for number of nights without </w:t>
      </w:r>
      <w:r w:rsidR="003464A9" w:rsidRPr="0020159A">
        <w:rPr>
          <w:rFonts w:ascii="Arial" w:hAnsi="Arial" w:cs="Arial"/>
          <w:sz w:val="24"/>
          <w:szCs w:val="24"/>
          <w:lang w:val="en"/>
        </w:rPr>
        <w:t>333</w:t>
      </w:r>
      <w:r w:rsidR="00E07C1D" w:rsidRPr="0020159A">
        <w:rPr>
          <w:rFonts w:ascii="Arial" w:hAnsi="Arial" w:cs="Arial"/>
          <w:sz w:val="24"/>
          <w:szCs w:val="24"/>
          <w:lang w:val="en"/>
        </w:rPr>
        <w:t xml:space="preserve"> beds</w:t>
      </w:r>
      <w:r w:rsidR="00016727" w:rsidRPr="0020159A">
        <w:rPr>
          <w:rFonts w:ascii="Arial" w:hAnsi="Arial" w:cs="Arial"/>
          <w:sz w:val="24"/>
          <w:szCs w:val="24"/>
          <w:lang w:val="en"/>
        </w:rPr>
        <w:t xml:space="preserve"> (</w:t>
      </w:r>
      <w:r w:rsidR="00E00C3F" w:rsidRPr="0020159A">
        <w:rPr>
          <w:rFonts w:ascii="Arial" w:hAnsi="Arial" w:cs="Arial"/>
          <w:sz w:val="24"/>
          <w:szCs w:val="24"/>
          <w:lang w:val="en"/>
        </w:rPr>
        <w:t>overnight leave bed considered vacant</w:t>
      </w:r>
      <w:r w:rsidR="00016727" w:rsidRPr="0020159A">
        <w:rPr>
          <w:rFonts w:ascii="Arial" w:hAnsi="Arial" w:cs="Arial"/>
          <w:sz w:val="24"/>
          <w:szCs w:val="24"/>
          <w:lang w:val="en"/>
        </w:rPr>
        <w:t>)</w:t>
      </w:r>
      <w:r w:rsidR="00E07C1D" w:rsidRPr="0020159A">
        <w:rPr>
          <w:rFonts w:ascii="Arial" w:hAnsi="Arial" w:cs="Arial"/>
          <w:sz w:val="24"/>
          <w:szCs w:val="24"/>
          <w:lang w:val="en"/>
        </w:rPr>
        <w:t xml:space="preserve">. </w:t>
      </w:r>
      <w:r w:rsidR="003464A9" w:rsidRPr="0020159A">
        <w:rPr>
          <w:rFonts w:ascii="Arial" w:hAnsi="Arial" w:cs="Arial"/>
          <w:sz w:val="24"/>
          <w:szCs w:val="24"/>
          <w:lang w:val="en"/>
        </w:rPr>
        <w:t>O</w:t>
      </w:r>
      <w:r w:rsidR="00016727" w:rsidRPr="0020159A">
        <w:rPr>
          <w:rFonts w:ascii="Arial" w:hAnsi="Arial" w:cs="Arial"/>
          <w:sz w:val="24"/>
          <w:szCs w:val="24"/>
          <w:lang w:val="en"/>
        </w:rPr>
        <w:t>vernight leave beds were taken as available for new admissions</w:t>
      </w:r>
      <w:r w:rsidR="003464A9" w:rsidRPr="0020159A">
        <w:rPr>
          <w:rFonts w:ascii="Arial" w:hAnsi="Arial" w:cs="Arial"/>
          <w:sz w:val="24"/>
          <w:szCs w:val="24"/>
          <w:lang w:val="en"/>
        </w:rPr>
        <w:t>. Within</w:t>
      </w:r>
      <w:r w:rsidR="005A1D7F" w:rsidRPr="0020159A">
        <w:rPr>
          <w:rFonts w:ascii="Arial" w:hAnsi="Arial" w:cs="Arial"/>
          <w:sz w:val="24"/>
          <w:szCs w:val="24"/>
          <w:lang w:val="en"/>
        </w:rPr>
        <w:t xml:space="preserve"> 333</w:t>
      </w:r>
      <w:r w:rsidR="003464A9" w:rsidRPr="0020159A">
        <w:rPr>
          <w:rFonts w:ascii="Arial" w:hAnsi="Arial" w:cs="Arial"/>
          <w:sz w:val="24"/>
          <w:szCs w:val="24"/>
          <w:lang w:val="en"/>
        </w:rPr>
        <w:t>,</w:t>
      </w:r>
      <w:r w:rsidR="005A1D7F" w:rsidRPr="0020159A">
        <w:rPr>
          <w:rFonts w:ascii="Arial" w:hAnsi="Arial" w:cs="Arial"/>
          <w:sz w:val="24"/>
          <w:szCs w:val="24"/>
          <w:lang w:val="en"/>
        </w:rPr>
        <w:t xml:space="preserve"> patients were discharged daily</w:t>
      </w:r>
      <w:r w:rsidR="003464A9" w:rsidRPr="0020159A">
        <w:rPr>
          <w:rFonts w:ascii="Arial" w:hAnsi="Arial" w:cs="Arial"/>
          <w:sz w:val="24"/>
          <w:szCs w:val="24"/>
          <w:lang w:val="en"/>
        </w:rPr>
        <w:t xml:space="preserve"> and</w:t>
      </w:r>
      <w:r w:rsidR="000C07DE" w:rsidRPr="0020159A">
        <w:rPr>
          <w:rFonts w:ascii="Arial" w:hAnsi="Arial" w:cs="Arial"/>
          <w:sz w:val="24"/>
          <w:szCs w:val="24"/>
          <w:lang w:val="en"/>
        </w:rPr>
        <w:t xml:space="preserve"> i</w:t>
      </w:r>
      <w:r w:rsidR="00016727" w:rsidRPr="0020159A">
        <w:rPr>
          <w:rFonts w:ascii="Arial" w:hAnsi="Arial" w:cs="Arial"/>
          <w:sz w:val="24"/>
          <w:szCs w:val="24"/>
          <w:lang w:val="en"/>
        </w:rPr>
        <w:t>f</w:t>
      </w:r>
      <w:r w:rsidRPr="0020159A">
        <w:rPr>
          <w:rFonts w:ascii="Arial" w:hAnsi="Arial" w:cs="Arial"/>
          <w:sz w:val="24"/>
          <w:szCs w:val="24"/>
          <w:lang w:val="en"/>
        </w:rPr>
        <w:t xml:space="preserve"> accommodated</w:t>
      </w:r>
      <w:r w:rsidR="00016727" w:rsidRPr="0020159A">
        <w:rPr>
          <w:rFonts w:ascii="Arial" w:hAnsi="Arial" w:cs="Arial"/>
          <w:sz w:val="24"/>
          <w:szCs w:val="24"/>
          <w:lang w:val="en"/>
        </w:rPr>
        <w:t xml:space="preserve"> overnight, the ward team</w:t>
      </w:r>
      <w:r w:rsidRPr="0020159A">
        <w:rPr>
          <w:rFonts w:ascii="Arial" w:hAnsi="Arial" w:cs="Arial"/>
          <w:sz w:val="24"/>
          <w:szCs w:val="24"/>
          <w:lang w:val="en"/>
        </w:rPr>
        <w:t xml:space="preserve"> could</w:t>
      </w:r>
      <w:r w:rsidR="00016727" w:rsidRPr="0020159A">
        <w:rPr>
          <w:rFonts w:ascii="Arial" w:hAnsi="Arial" w:cs="Arial"/>
          <w:sz w:val="24"/>
          <w:szCs w:val="24"/>
          <w:lang w:val="en"/>
        </w:rPr>
        <w:t xml:space="preserve"> find a bed</w:t>
      </w:r>
      <w:r w:rsidR="005A1D7F" w:rsidRPr="0020159A">
        <w:rPr>
          <w:rFonts w:ascii="Arial" w:hAnsi="Arial" w:cs="Arial"/>
          <w:sz w:val="24"/>
          <w:szCs w:val="24"/>
          <w:lang w:val="en"/>
        </w:rPr>
        <w:t xml:space="preserve"> the next day.</w:t>
      </w:r>
      <w:r w:rsidR="00A20AED" w:rsidRPr="0020159A">
        <w:rPr>
          <w:rFonts w:ascii="Arial" w:hAnsi="Arial" w:cs="Arial"/>
          <w:sz w:val="24"/>
          <w:szCs w:val="24"/>
          <w:lang w:val="en"/>
        </w:rPr>
        <w:t xml:space="preserve"> All </w:t>
      </w:r>
      <w:r w:rsidRPr="0020159A">
        <w:rPr>
          <w:rFonts w:ascii="Arial" w:hAnsi="Arial" w:cs="Arial"/>
          <w:sz w:val="24"/>
          <w:szCs w:val="24"/>
          <w:lang w:val="en"/>
        </w:rPr>
        <w:t xml:space="preserve">site and function specific </w:t>
      </w:r>
      <w:r w:rsidR="00A20AED" w:rsidRPr="0020159A">
        <w:rPr>
          <w:rFonts w:ascii="Arial" w:hAnsi="Arial" w:cs="Arial"/>
          <w:sz w:val="24"/>
          <w:szCs w:val="24"/>
          <w:lang w:val="en"/>
        </w:rPr>
        <w:t>targets were met (</w:t>
      </w:r>
      <w:r w:rsidR="00B90206">
        <w:rPr>
          <w:rFonts w:ascii="Arial" w:hAnsi="Arial" w:cs="Arial"/>
          <w:sz w:val="24"/>
          <w:szCs w:val="24"/>
          <w:lang w:val="en"/>
        </w:rPr>
        <w:t>Table 4</w:t>
      </w:r>
      <w:r w:rsidR="00A20AED" w:rsidRPr="0020159A">
        <w:rPr>
          <w:rFonts w:ascii="Arial" w:hAnsi="Arial" w:cs="Arial"/>
          <w:sz w:val="24"/>
          <w:szCs w:val="24"/>
          <w:lang w:val="en"/>
        </w:rPr>
        <w:t>).</w:t>
      </w:r>
      <w:r w:rsidR="00016727" w:rsidRPr="0020159A">
        <w:rPr>
          <w:rFonts w:ascii="Arial" w:hAnsi="Arial" w:cs="Arial"/>
          <w:sz w:val="24"/>
          <w:szCs w:val="24"/>
          <w:lang w:val="en"/>
        </w:rPr>
        <w:t xml:space="preserve"> </w:t>
      </w:r>
      <w:r w:rsidR="003464A9" w:rsidRPr="0020159A">
        <w:rPr>
          <w:rFonts w:ascii="Arial" w:hAnsi="Arial" w:cs="Arial"/>
          <w:sz w:val="24"/>
          <w:szCs w:val="24"/>
          <w:lang w:val="en"/>
        </w:rPr>
        <w:t>T</w:t>
      </w:r>
      <w:r w:rsidR="00E00C3F" w:rsidRPr="0020159A">
        <w:rPr>
          <w:rFonts w:ascii="Arial" w:hAnsi="Arial" w:cs="Arial"/>
          <w:sz w:val="24"/>
          <w:szCs w:val="24"/>
          <w:lang w:val="en"/>
        </w:rPr>
        <w:t xml:space="preserve">here was not a single night over 2 years that there was not a </w:t>
      </w:r>
      <w:r w:rsidR="00A62FD6" w:rsidRPr="0020159A">
        <w:rPr>
          <w:rFonts w:ascii="Arial" w:hAnsi="Arial" w:cs="Arial"/>
          <w:sz w:val="24"/>
          <w:szCs w:val="24"/>
          <w:lang w:val="en"/>
        </w:rPr>
        <w:t>33</w:t>
      </w:r>
      <w:r w:rsidR="00E00C3F" w:rsidRPr="0020159A">
        <w:rPr>
          <w:rFonts w:ascii="Arial" w:hAnsi="Arial" w:cs="Arial"/>
          <w:sz w:val="24"/>
          <w:szCs w:val="24"/>
          <w:lang w:val="en"/>
        </w:rPr>
        <w:t>3 bed</w:t>
      </w:r>
      <w:r w:rsidRPr="0020159A">
        <w:rPr>
          <w:rFonts w:ascii="Arial" w:hAnsi="Arial" w:cs="Arial"/>
          <w:sz w:val="24"/>
          <w:szCs w:val="24"/>
          <w:lang w:val="en"/>
        </w:rPr>
        <w:t>.</w:t>
      </w:r>
      <w:r w:rsidR="00E00C3F" w:rsidRPr="0020159A">
        <w:rPr>
          <w:rFonts w:ascii="Arial" w:hAnsi="Arial" w:cs="Arial"/>
          <w:sz w:val="24"/>
          <w:szCs w:val="24"/>
          <w:lang w:val="en"/>
        </w:rPr>
        <w:t xml:space="preserve"> </w:t>
      </w:r>
      <w:r w:rsidR="003464A9" w:rsidRPr="0020159A">
        <w:rPr>
          <w:rFonts w:ascii="Arial" w:hAnsi="Arial" w:cs="Arial"/>
          <w:sz w:val="24"/>
          <w:szCs w:val="24"/>
          <w:lang w:val="en"/>
        </w:rPr>
        <w:t>I</w:t>
      </w:r>
      <w:r w:rsidR="00E00C3F" w:rsidRPr="0020159A">
        <w:rPr>
          <w:rFonts w:ascii="Arial" w:hAnsi="Arial" w:cs="Arial"/>
          <w:sz w:val="24"/>
          <w:szCs w:val="24"/>
          <w:lang w:val="en"/>
        </w:rPr>
        <w:t xml:space="preserve">n Peterborough, there was one night (20/3/2016) where there were no beds but beds were available in Cambridge. </w:t>
      </w:r>
      <w:r w:rsidR="00A62FD6" w:rsidRPr="0020159A">
        <w:rPr>
          <w:rFonts w:ascii="Arial" w:hAnsi="Arial" w:cs="Arial"/>
          <w:sz w:val="24"/>
          <w:szCs w:val="24"/>
          <w:lang w:val="en"/>
        </w:rPr>
        <w:t>Similarly, in Cambridge</w:t>
      </w:r>
      <w:r w:rsidR="00E00C3F" w:rsidRPr="0020159A">
        <w:rPr>
          <w:rFonts w:ascii="Arial" w:hAnsi="Arial" w:cs="Arial"/>
          <w:sz w:val="24"/>
          <w:szCs w:val="24"/>
          <w:lang w:val="en"/>
        </w:rPr>
        <w:t xml:space="preserve"> there was one night </w:t>
      </w:r>
      <w:r w:rsidR="003464A9" w:rsidRPr="0020159A">
        <w:rPr>
          <w:rFonts w:ascii="Arial" w:hAnsi="Arial" w:cs="Arial"/>
          <w:sz w:val="24"/>
          <w:szCs w:val="24"/>
          <w:lang w:val="en"/>
        </w:rPr>
        <w:t xml:space="preserve">(27/11/2016) </w:t>
      </w:r>
      <w:r w:rsidR="00E00C3F" w:rsidRPr="0020159A">
        <w:rPr>
          <w:rFonts w:ascii="Arial" w:hAnsi="Arial" w:cs="Arial"/>
          <w:sz w:val="24"/>
          <w:szCs w:val="24"/>
          <w:lang w:val="en"/>
        </w:rPr>
        <w:t>when there were no beds</w:t>
      </w:r>
      <w:r w:rsidR="003464A9" w:rsidRPr="0020159A">
        <w:rPr>
          <w:rFonts w:ascii="Arial" w:hAnsi="Arial" w:cs="Arial"/>
          <w:sz w:val="24"/>
          <w:szCs w:val="24"/>
          <w:lang w:val="en"/>
        </w:rPr>
        <w:t>,</w:t>
      </w:r>
      <w:r w:rsidR="00E00C3F" w:rsidRPr="0020159A">
        <w:rPr>
          <w:rFonts w:ascii="Arial" w:hAnsi="Arial" w:cs="Arial"/>
          <w:sz w:val="24"/>
          <w:szCs w:val="24"/>
          <w:lang w:val="en"/>
        </w:rPr>
        <w:t xml:space="preserve"> but beds were available in Peterborough. </w:t>
      </w:r>
    </w:p>
    <w:p w14:paraId="384C9ECC" w14:textId="22BE28C8" w:rsidR="00186BF4" w:rsidRPr="00453B08" w:rsidRDefault="00186BF4" w:rsidP="00186BF4">
      <w:pPr>
        <w:rPr>
          <w:rFonts w:ascii="Arial" w:hAnsi="Arial" w:cs="Arial"/>
          <w:sz w:val="24"/>
          <w:szCs w:val="24"/>
        </w:rPr>
      </w:pPr>
      <w:r w:rsidRPr="0020159A">
        <w:rPr>
          <w:rFonts w:ascii="Arial" w:hAnsi="Arial" w:cs="Arial"/>
          <w:sz w:val="24"/>
          <w:szCs w:val="24"/>
        </w:rPr>
        <w:t>---------------------------------------</w:t>
      </w:r>
      <w:r w:rsidR="00B90206">
        <w:rPr>
          <w:rFonts w:ascii="Arial" w:hAnsi="Arial" w:cs="Arial"/>
          <w:sz w:val="24"/>
          <w:szCs w:val="24"/>
        </w:rPr>
        <w:t>Table 4</w:t>
      </w:r>
      <w:r w:rsidRPr="0020159A">
        <w:rPr>
          <w:rFonts w:ascii="Arial" w:hAnsi="Arial" w:cs="Arial"/>
          <w:sz w:val="24"/>
          <w:szCs w:val="24"/>
        </w:rPr>
        <w:t>-----------------------------------------</w:t>
      </w:r>
    </w:p>
    <w:p w14:paraId="6E74CF40" w14:textId="77777777" w:rsidR="00E07C1D" w:rsidRPr="00453B08" w:rsidRDefault="005A1D7F" w:rsidP="00E07C1D">
      <w:pPr>
        <w:rPr>
          <w:rFonts w:ascii="Arial" w:hAnsi="Arial" w:cs="Arial"/>
          <w:b/>
          <w:bCs/>
          <w:sz w:val="24"/>
          <w:szCs w:val="24"/>
        </w:rPr>
      </w:pPr>
      <w:r w:rsidRPr="00453B08">
        <w:rPr>
          <w:rFonts w:ascii="Arial" w:hAnsi="Arial" w:cs="Arial"/>
          <w:b/>
          <w:bCs/>
          <w:sz w:val="24"/>
          <w:szCs w:val="24"/>
        </w:rPr>
        <w:t>Discussion</w:t>
      </w:r>
    </w:p>
    <w:p w14:paraId="2FF3E7C1" w14:textId="3C49BB04" w:rsidR="00D30970" w:rsidRPr="00453B08" w:rsidRDefault="00D30970" w:rsidP="00E07C1D">
      <w:pPr>
        <w:rPr>
          <w:rFonts w:ascii="Arial" w:hAnsi="Arial" w:cs="Arial"/>
          <w:b/>
          <w:bCs/>
          <w:sz w:val="24"/>
          <w:szCs w:val="24"/>
        </w:rPr>
      </w:pPr>
      <w:r w:rsidRPr="00453B08">
        <w:rPr>
          <w:rFonts w:ascii="Arial" w:hAnsi="Arial" w:cs="Arial"/>
          <w:sz w:val="24"/>
          <w:szCs w:val="24"/>
          <w:lang w:val="en"/>
        </w:rPr>
        <w:t>333 provides a solution to the national mental health bed crisis. T</w:t>
      </w:r>
      <w:r w:rsidRPr="00453B08">
        <w:rPr>
          <w:rFonts w:ascii="Arial" w:hAnsi="Arial" w:cs="Arial"/>
          <w:sz w:val="24"/>
          <w:szCs w:val="24"/>
        </w:rPr>
        <w:t>he Royal College of Psychiatrists recommend 85 per cent occupancy for quality and safety</w:t>
      </w:r>
      <w:r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{"citationItems":[{"id":"ITEM-1","itemData":{"URL":"https://www.rcpsych.ac.uk/usefulresources/publications/collegereports/op/op75.aspx","accessed":{"date-parts":[["2018","3","31"]]},"author":[{"dropping-particle":"","family":"Royal College of Psychiatrists","given":"","non-dropping-particle":"","parse-names":false,"suffix":""}],"id":"ITEM-1","issued":{"date-parts":[["2011"]]},"title":"Looking ahead – future development of UK mental health services: recommendations from a Royal College of Psychiatrists’ enquiry (Occasional Paper 75).","type":"webpage"},"uris":["http://www.mendeley.com/documents/?uuid=fc01b58f-8173-3fc1-b15b-d875c0a541b1"]},{"id":"ITEM-2","itemData":{"author":[{"dropping-particle":"","family":"Royal College of Pyschiatrist","given":"","non-dropping-particle":"","parse-names":false,"suffix":""}],"id":"ITEM-2","issued":{"date-parts":[["2011"]]},"title":"Do the right thing: how to judge a good ward Ten standards for adult in-patient mental healthcare","type":"report"},"uris":["http://www.mendeley.com/documents/?uuid=f0b58dc3-2a4b-3bd6-8214-54fe25a5e24a"]}],"mendeley":{"formattedCitation":"(25,28)","plainTextFormattedCitation":"(25,28)","previouslyFormattedCitation":"(25,28)"},"properties":{"noteIndex":0},"schema":"https://github.com/citation-style-language/schema/raw/master/csl-citation.json"}</w:instrText>
      </w:r>
      <w:r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(25,28)</w:t>
      </w:r>
      <w:r w:rsidRPr="00B662EF">
        <w:rPr>
          <w:rFonts w:ascii="Arial" w:hAnsi="Arial" w:cs="Arial"/>
          <w:sz w:val="24"/>
          <w:szCs w:val="24"/>
          <w:vertAlign w:val="superscript"/>
        </w:rPr>
        <w:fldChar w:fldCharType="end"/>
      </w:r>
      <w:r w:rsidRPr="00453B08">
        <w:rPr>
          <w:rFonts w:ascii="Arial" w:hAnsi="Arial" w:cs="Arial"/>
          <w:sz w:val="24"/>
          <w:szCs w:val="24"/>
        </w:rPr>
        <w:t>. 10 per cent above recommended levels are associated with violent incidents on wards</w:t>
      </w:r>
      <w:r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{"citationItems":[{"id":"ITEM-1","itemData":{"DOI":"10.1192/bjp.bp.110.082388","ISSN":"0007-1250","PMID":"21282786","abstract":"BACKGROUND Patient overcrowding and violent assaults by patients are two major problems in psychiatric healthcare. However, evidence of an association between overcrowding and aggressive behaviour among patients is mixed and limited to small-scale studies. AIMS This study examined the association between ward overcrowding and violent physical assaults in acute-care psychiatric in-patient hospital wards. METHOD Longitudinal study using ward-level monthly records of bed occupancy and staff reports of the timing of violent acts during a 5-month period in 90 in-patient wards in 13 acute psychiatric hospitals in Finland. In total 1098 employees (physicians, ward head nurses, registered nurses, licensed practical nurses) participated in the study. The outcome measure was staff reports of the timing of physical assaults on both themselves and ward property. RESULTS We found that 46% of hospital staff were working in overcrowded wards, as indicated by &gt;10 percentage units of excess bed occupancy, whereas only 30% of hospital personnel were working in a ward with no excess occupancy. An excess bed occupancy rate of &gt;10 percentage units at the time of an event was associated with violent assaults towards employees (odds ratio (OR) = 1.72, 95% CI 1.05-2.80; OR = 3.04, 95% CI 1.51-6.13 in adult wards) after adjustment for confounding factors. No association was found with assaults on ward property (OR = 1.06, 95% CI 0.75-1.50). CONCLUSIONS These findings suggest that patient overcrowding is highly prevalent in psychiatric hospitals and, importantly, may increase the risk of violence directed at staff.","author":[{"dropping-particle":"","family":"Virtanen","given":"Marianna","non-dropping-particle":"","parse-names":false,"suffix":""},{"dropping-particle":"","family":"Vahtera","given":"Jussi","non-dropping-particle":"","parse-names":false,"suffix":""},{"dropping-particle":"","family":"Batty","given":"G. David","non-dropping-particle":"","parse-names":false,"suffix":""},{"dropping-particle":"","family":"Tuisku","given":"Katinka","non-dropping-particle":"","parse-names":false,"suffix":""},{"dropping-particle":"","family":"Pentti","given":"Jaana","non-dropping-particle":"","parse-names":false,"suffix":""},{"dropping-particle":"","family":"Oksanen","given":"Tuula","non-dropping-particle":"","parse-names":false,"suffix":""},{"dropping-particle":"","family":"Salo","given":"Paula","non-dropping-particle":"","parse-names":false,"suffix":""},{"dropping-particle":"","family":"Ahola","given":"Kirsi","non-dropping-particle":"","parse-names":false,"suffix":""},{"dropping-particle":"","family":"Kivimäki","given":"Mika","non-dropping-particle":"","parse-names":false,"suffix":""}],"container-title":"British Journal of Psychiatry","id":"ITEM-1","issue":"02","issued":{"date-parts":[["2011","2","2"]]},"page":"149-155","title":"Overcrowding in psychiatric wards and physical assaults on staff: data-linked longitudinal study","type":"article-journal","volume":"198"},"uris":["http://www.mendeley.com/documents/?uuid=5b5132af-d8ad-3af9-bb70-7f947e73e197"]}],"mendeley":{"formattedCitation":"(29)","plainTextFormattedCitation":"(29)","previouslyFormattedCitation":"(29)"},"properties":{"noteIndex":0},"schema":"https://github.com/citation-style-language/schema/raw/master/csl-citation.json"}</w:instrText>
      </w:r>
      <w:r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(29)</w:t>
      </w:r>
      <w:r w:rsidRPr="00B662EF">
        <w:rPr>
          <w:rFonts w:ascii="Arial" w:hAnsi="Arial" w:cs="Arial"/>
          <w:sz w:val="24"/>
          <w:szCs w:val="24"/>
          <w:vertAlign w:val="superscript"/>
        </w:rPr>
        <w:fldChar w:fldCharType="end"/>
      </w:r>
      <w:r w:rsidRPr="00453B08">
        <w:rPr>
          <w:rFonts w:ascii="Arial" w:hAnsi="Arial" w:cs="Arial"/>
          <w:sz w:val="24"/>
          <w:szCs w:val="24"/>
        </w:rPr>
        <w:t>. Inspections have shown the use of seclusion rooms to accommodate patients who have been admitted without a bed being available</w:t>
      </w:r>
      <w:r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URL":"http://www.communitycare.co.uk/2013/04/23/concern-as-number-of-mental-health-patients-placed-in-private-hospitals-rises-by-a-third/","accessed":{"date-parts":[["2018","3","31"]]},"author":[{"dropping-particle":"","family":"McNicoll A","given":"","non-dropping-particle":"","parse-names":false,"suffix":""}],"container-title":"Community Care","id":"ITEM-1","issued":{"date-parts":[["2013"]]},"title":"Concern as number of mental health patients placed in private hospitals rises by a third | Community Care","type":"webpage"},"uris":["http://www.mendeley.com/documents/?uuid=4c59e6f9-fe3c-3b07-b178-c44a9b183b4b"]},{"id":"ITEM-2","itemData":{"abstract":"We inspected the following standards to check that action had been taken to meet them. This is what we found: Care and welfare of people who use services Met this standard","author":[{"dropping-particle":"","family":"Care Quality Commission","given":"","non-dropping-particle":"","parse-names":false,"suffix":""}],"id":"ITEM-2","issued":{"date-parts":[["2014"]]},"title":"Inspection Report St Ann's Hospital","type":"report"},"uris":["http://www.mendeley.com/documents/?uuid=22882810-62e1-3602-9d2a-11f8cc7a1384"]}],"mendeley":{"formattedCitation":"(30,31)","plainTextFormattedCitation":"(30,31)","previouslyFormattedCitation":"(30,31)"},"properties":{"noteIndex":0},"schema":"https://github.com/citation-style-language/schema/raw/master/csl-citation.json"}</w:instrText>
      </w:r>
      <w:r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(30,31)</w:t>
      </w:r>
      <w:r w:rsidRPr="00B662EF">
        <w:rPr>
          <w:rFonts w:ascii="Arial" w:hAnsi="Arial" w:cs="Arial"/>
          <w:sz w:val="24"/>
          <w:szCs w:val="24"/>
          <w:vertAlign w:val="superscript"/>
        </w:rPr>
        <w:fldChar w:fldCharType="end"/>
      </w:r>
      <w:r w:rsidRPr="00453B08">
        <w:rPr>
          <w:rFonts w:ascii="Arial" w:hAnsi="Arial" w:cs="Arial"/>
          <w:sz w:val="24"/>
          <w:szCs w:val="24"/>
        </w:rPr>
        <w:t>. OAPs is a natural outcome of this bed crisis. A freedom of information request found a total of 4,447 OAPs among 37 NHS mental health providers in 2014/15, up 23.1 per cent from the previous year</w:t>
      </w:r>
      <w:r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{"citationItems":[{"id":"ITEM-1","itemData":{"URL":"http://www.communitycare.co.uk/2015/07/15/mental-health-patients-sent-hundreds-miles-beds-area-placements-rise-23-per-cent/","accessed":{"date-parts":[["2018","3","31"]]},"author":[{"dropping-particle":"","family":"McNicoll A","given":"","non-dropping-particle":"","parse-names":false,"suffix":""}],"container-title":"Community Care","id":"ITEM-1","issued":{"date-parts":[["2015"]]},"title":"Mental health patients sent hundreds of miles for beds as out of area placements rise 23 per cent | Community Care","type":"webpage"},"uris":["http://www.mendeley.com/documents/?uuid=c54b7864-4c76-34d9-bf72-97bf7b07ed90"]}],"mendeley":{"formattedCitation":"(32)","plainTextFormattedCitation":"(32)","previouslyFormattedCitation":"(32)"},"properties":{"noteIndex":0},"schema":"https://github.com/citation-style-language/schema/raw/master/csl-citation.json"}</w:instrText>
      </w:r>
      <w:r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(32)</w:t>
      </w:r>
      <w:r w:rsidRPr="00B662EF">
        <w:rPr>
          <w:rFonts w:ascii="Arial" w:hAnsi="Arial" w:cs="Arial"/>
          <w:sz w:val="24"/>
          <w:szCs w:val="24"/>
          <w:vertAlign w:val="superscript"/>
        </w:rPr>
        <w:fldChar w:fldCharType="end"/>
      </w:r>
      <w:r w:rsidRPr="00453B08">
        <w:rPr>
          <w:rFonts w:ascii="Arial" w:hAnsi="Arial" w:cs="Arial"/>
          <w:sz w:val="24"/>
          <w:szCs w:val="24"/>
        </w:rPr>
        <w:t>. 88 percent of these were due to local bed unavailability. OAPs not only impact negatively on patient experience, they have also been associated with increases in patient suicides</w:t>
      </w:r>
      <w:r w:rsidRPr="00453B08">
        <w:rPr>
          <w:rFonts w:ascii="Arial" w:hAnsi="Arial" w:cs="Arial"/>
          <w:sz w:val="24"/>
          <w:szCs w:val="24"/>
          <w:vertAlign w:val="superscript"/>
        </w:rPr>
        <w:fldChar w:fldCharType="begin" w:fldLock="1"/>
      </w:r>
      <w:r w:rsidR="00343664">
        <w:rPr>
          <w:rFonts w:ascii="Arial" w:hAnsi="Arial" w:cs="Arial"/>
          <w:sz w:val="24"/>
          <w:szCs w:val="24"/>
          <w:vertAlign w:val="superscript"/>
        </w:rPr>
        <w:instrText>ADDIN CSL_CITATION {"citationItems":[{"id":"ITEM-1","itemData":{"DOI":"10.1186/s12889-016-2720-y","ISSN":"1471-2458","PMID":"26847554","abstract":"BACKGROUND Countries in recession experience high unemployment rates and a decline in living conditions, which, it has been suggested, negatively influences their populations' health. The present review examines the recent evidence of the possible association between economic recessions and mental health outcomes. METHODS Literature review of records identified through Medline, PsycINFO, SciELO, and EBSCO Host. Only original research papers, published between 2004 and 2014, peer-reviewed, non-qualitative research, and reporting on associations between economic factors and proxies of mental health were considered. RESULTS One-hundred-one papers met the inclusion criteria. The evidence was consistent that economic recessions and mediators such as unemployment, income decline, and unmanageable debts are significantly associated with poor mental wellbeing, increased rates of common mental disorders, substance-related disorders, and suicidal behaviours. CONCLUSION On the basis of a thorough analysis of the selected investigations, we conclude that periods of economic recession are possibly associated with a higher prevalence of mental health problems, including common mental disorders, substance disorders, and ultimately suicidal behaviour. Most of the research is based on cross-sectional studies, which seriously limits causality inferences. Conclusions are summarised, taking into account international policy recommendations concerning the cost-effective measures that can possibly reduce the occurrence of negative mental health outcomes in populations during periods of economic recession.","author":[{"dropping-particle":"","family":"Frasquilho","given":"Diana","non-dropping-particle":"","parse-names":false,"suffix":""},{"dropping-particle":"","family":"Matos","given":"Margarida Gaspar","non-dropping-particle":"","parse-names":false,"suffix":""},{"dropping-particle":"","family":"Salonna","given":"Ferdinand","non-dropping-particle":"","parse-names":false,"suffix":""},{"dropping-particle":"","family":"Guerreiro","given":"Diogo","non-dropping-particle":"","parse-names":false,"suffix":""},{"dropping-particle":"","family":"Storti","given":"Cláudia C","non-dropping-particle":"","parse-names":false,"suffix":""},{"dropping-particle":"","family":"Gaspar","given":"Tânia","non-dropping-particle":"","parse-names":false,"suffix":""},{"dropping-particle":"","family":"Caldas-de-Almeida","given":"José M","non-dropping-particle":"","parse-names":false,"suffix":""}],"container-title":"BMC public health","id":"ITEM-1","issued":{"date-parts":[["2016","2","3"]]},"page":"115","publisher":"BioMed Central","title":"Mental health outcomes in times of economic recession: a systematic literature review.","type":"article-journal","volume":"16"},"uris":["http://www.mendeley.com/documents/?uuid=ceead36e-3779-3d17-98d8-d54fa1fc4b55"]}],"mendeley":{"formattedCitation":"(10)","plainTextFormattedCitation":"(10)","previouslyFormattedCitation":"(10)"},"properties":{"noteIndex":0},"schema":"https://github.com/citation-style-language/schema/raw/master/csl-citation.json"}</w:instrText>
      </w:r>
      <w:r w:rsidRPr="00453B08">
        <w:rPr>
          <w:rFonts w:ascii="Arial" w:hAnsi="Arial" w:cs="Arial"/>
          <w:sz w:val="24"/>
          <w:szCs w:val="24"/>
          <w:vertAlign w:val="superscript"/>
        </w:rPr>
        <w:fldChar w:fldCharType="separate"/>
      </w:r>
      <w:r w:rsidRPr="00453B08">
        <w:rPr>
          <w:rFonts w:ascii="Arial" w:hAnsi="Arial" w:cs="Arial"/>
          <w:noProof/>
          <w:sz w:val="24"/>
          <w:szCs w:val="24"/>
          <w:vertAlign w:val="superscript"/>
        </w:rPr>
        <w:t>(10)</w:t>
      </w:r>
      <w:r w:rsidRPr="00453B08">
        <w:rPr>
          <w:rFonts w:ascii="Arial" w:hAnsi="Arial" w:cs="Arial"/>
          <w:sz w:val="24"/>
          <w:szCs w:val="24"/>
          <w:vertAlign w:val="superscript"/>
        </w:rPr>
        <w:fldChar w:fldCharType="end"/>
      </w:r>
      <w:r w:rsidRPr="00453B08">
        <w:rPr>
          <w:rFonts w:ascii="Arial" w:hAnsi="Arial" w:cs="Arial"/>
          <w:sz w:val="24"/>
          <w:szCs w:val="24"/>
        </w:rPr>
        <w:t>. The 2016 national bench marking</w:t>
      </w:r>
      <w:r w:rsidRPr="00453B08">
        <w:rPr>
          <w:rFonts w:ascii="Arial" w:hAnsi="Arial" w:cs="Arial"/>
          <w:sz w:val="24"/>
          <w:szCs w:val="24"/>
          <w:vertAlign w:val="superscript"/>
        </w:rPr>
        <w:fldChar w:fldCharType="begin" w:fldLock="1"/>
      </w:r>
      <w:r w:rsidR="00343664">
        <w:rPr>
          <w:rFonts w:ascii="Arial" w:hAnsi="Arial" w:cs="Arial"/>
          <w:sz w:val="24"/>
          <w:szCs w:val="24"/>
          <w:vertAlign w:val="superscript"/>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Pr="00453B08">
        <w:rPr>
          <w:rFonts w:ascii="Arial" w:hAnsi="Arial" w:cs="Arial"/>
          <w:sz w:val="24"/>
          <w:szCs w:val="24"/>
          <w:vertAlign w:val="superscript"/>
        </w:rPr>
        <w:fldChar w:fldCharType="separate"/>
      </w:r>
      <w:r w:rsidRPr="00453B08">
        <w:rPr>
          <w:rFonts w:ascii="Arial" w:hAnsi="Arial" w:cs="Arial"/>
          <w:noProof/>
          <w:sz w:val="24"/>
          <w:szCs w:val="24"/>
          <w:vertAlign w:val="superscript"/>
        </w:rPr>
        <w:t>(15)</w:t>
      </w:r>
      <w:r w:rsidRPr="00453B08">
        <w:rPr>
          <w:rFonts w:ascii="Arial" w:hAnsi="Arial" w:cs="Arial"/>
          <w:sz w:val="24"/>
          <w:szCs w:val="24"/>
          <w:vertAlign w:val="superscript"/>
        </w:rPr>
        <w:fldChar w:fldCharType="end"/>
      </w:r>
      <w:r w:rsidRPr="00453B08">
        <w:rPr>
          <w:rFonts w:ascii="Arial" w:hAnsi="Arial" w:cs="Arial"/>
          <w:sz w:val="24"/>
          <w:szCs w:val="24"/>
        </w:rPr>
        <w:t xml:space="preserve"> figures for occupancy demonstrate how frequent a crisis this is. 333 was designed to counter this situation by delivering 0 </w:t>
      </w:r>
      <w:r w:rsidR="00C77412">
        <w:rPr>
          <w:rFonts w:ascii="Arial" w:hAnsi="Arial" w:cs="Arial"/>
          <w:sz w:val="24"/>
          <w:szCs w:val="24"/>
        </w:rPr>
        <w:t>n</w:t>
      </w:r>
      <w:r w:rsidRPr="00453B08">
        <w:rPr>
          <w:rFonts w:ascii="Arial" w:hAnsi="Arial" w:cs="Arial"/>
          <w:sz w:val="24"/>
          <w:szCs w:val="24"/>
        </w:rPr>
        <w:t>ights without beds annually. In addition, it supported a 44% bed reduction and virtual elimination of long term OAPs</w:t>
      </w:r>
    </w:p>
    <w:p w14:paraId="3BFB0595" w14:textId="4C71B2E7" w:rsidR="00565896" w:rsidRPr="00453B08" w:rsidRDefault="00A91913" w:rsidP="00C93167">
      <w:pPr>
        <w:spacing w:after="0" w:line="240" w:lineRule="auto"/>
        <w:rPr>
          <w:rFonts w:ascii="Arial" w:hAnsi="Arial" w:cs="Arial"/>
          <w:sz w:val="24"/>
          <w:szCs w:val="24"/>
        </w:rPr>
      </w:pPr>
      <w:r w:rsidRPr="00453B08">
        <w:rPr>
          <w:rFonts w:ascii="Arial" w:hAnsi="Arial" w:cs="Arial"/>
          <w:sz w:val="24"/>
          <w:szCs w:val="24"/>
        </w:rPr>
        <w:t>For</w:t>
      </w:r>
      <w:r w:rsidR="001F395D" w:rsidRPr="00453B08">
        <w:rPr>
          <w:rFonts w:ascii="Arial" w:hAnsi="Arial" w:cs="Arial"/>
          <w:sz w:val="24"/>
          <w:szCs w:val="24"/>
        </w:rPr>
        <w:t xml:space="preserve"> </w:t>
      </w:r>
      <w:r w:rsidR="00C20A09" w:rsidRPr="00453B08">
        <w:rPr>
          <w:rFonts w:ascii="Arial" w:hAnsi="Arial" w:cs="Arial"/>
          <w:sz w:val="24"/>
          <w:szCs w:val="24"/>
        </w:rPr>
        <w:t>a</w:t>
      </w:r>
      <w:r w:rsidR="001F395D" w:rsidRPr="00453B08">
        <w:rPr>
          <w:rFonts w:ascii="Arial" w:hAnsi="Arial" w:cs="Arial"/>
          <w:sz w:val="24"/>
          <w:szCs w:val="24"/>
        </w:rPr>
        <w:t xml:space="preserve"> radical shift in care delivery, the leadership </w:t>
      </w:r>
      <w:r w:rsidR="00C20A09" w:rsidRPr="00453B08">
        <w:rPr>
          <w:rFonts w:ascii="Arial" w:hAnsi="Arial" w:cs="Arial"/>
          <w:sz w:val="24"/>
          <w:szCs w:val="24"/>
        </w:rPr>
        <w:t xml:space="preserve">identified 3 limiting </w:t>
      </w:r>
      <w:r w:rsidR="001F395D" w:rsidRPr="00453B08">
        <w:rPr>
          <w:rFonts w:ascii="Arial" w:hAnsi="Arial" w:cs="Arial"/>
          <w:sz w:val="24"/>
          <w:szCs w:val="24"/>
        </w:rPr>
        <w:t xml:space="preserve">mindsets </w:t>
      </w:r>
      <w:r w:rsidR="00120C2E" w:rsidRPr="00453B08">
        <w:rPr>
          <w:rFonts w:ascii="Arial" w:hAnsi="Arial" w:cs="Arial"/>
          <w:sz w:val="24"/>
          <w:szCs w:val="24"/>
        </w:rPr>
        <w:t>that</w:t>
      </w:r>
      <w:r w:rsidR="001F395D" w:rsidRPr="00453B08">
        <w:rPr>
          <w:rFonts w:ascii="Arial" w:hAnsi="Arial" w:cs="Arial"/>
          <w:sz w:val="24"/>
          <w:szCs w:val="24"/>
        </w:rPr>
        <w:t xml:space="preserve"> </w:t>
      </w:r>
      <w:r w:rsidR="00C20A09" w:rsidRPr="00453B08">
        <w:rPr>
          <w:rFonts w:ascii="Arial" w:hAnsi="Arial" w:cs="Arial"/>
          <w:sz w:val="24"/>
          <w:szCs w:val="24"/>
        </w:rPr>
        <w:t xml:space="preserve">needed </w:t>
      </w:r>
      <w:r w:rsidR="00530968" w:rsidRPr="00453B08">
        <w:rPr>
          <w:rFonts w:ascii="Arial" w:hAnsi="Arial" w:cs="Arial"/>
          <w:sz w:val="24"/>
          <w:szCs w:val="24"/>
        </w:rPr>
        <w:t>chang</w:t>
      </w:r>
      <w:r w:rsidR="00EB3B09" w:rsidRPr="00453B08">
        <w:rPr>
          <w:rFonts w:ascii="Arial" w:hAnsi="Arial" w:cs="Arial"/>
          <w:sz w:val="24"/>
          <w:szCs w:val="24"/>
        </w:rPr>
        <w:t>ing</w:t>
      </w:r>
      <w:r w:rsidR="003C7FDA"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author":[{"dropping-particle":"","family":"Keller","given":"S","non-dropping-particle":"","parse-names":false,"suffix":""},{"dropping-particle":"","family":"Price","given":"C","non-dropping-particle":"","parse-names":false,"suffix":""}],"edition":"6th Editio","id":"ITEM-1","issued":{"date-parts":[["2011"]]},"number-of-pages":"77-107","publisher":"Wiley, J and son","publisher-place":"New Jersey","title":"Beyond performance: How great organizations build ultimate competitive advantage","type":"book"},"uris":["http://www.mendeley.com/documents/?uuid=9ad505f0-f308-49e4-9b44-ae3a64744220"]}],"mendeley":{"formattedCitation":"(33)","plainTextFormattedCitation":"(33)","previouslyFormattedCitation":"(33)"},"properties":{"noteIndex":0},"schema":"https://github.com/citation-style-language/schema/raw/master/csl-citation.json"}</w:instrText>
      </w:r>
      <w:r w:rsidR="003C7FDA"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(33)</w:t>
      </w:r>
      <w:r w:rsidR="003C7FDA" w:rsidRPr="00B662EF">
        <w:rPr>
          <w:rFonts w:ascii="Arial" w:hAnsi="Arial" w:cs="Arial"/>
          <w:sz w:val="24"/>
          <w:szCs w:val="24"/>
          <w:vertAlign w:val="superscript"/>
        </w:rPr>
        <w:fldChar w:fldCharType="end"/>
      </w:r>
      <w:r w:rsidR="003C7FDA" w:rsidRPr="00453B08">
        <w:rPr>
          <w:rFonts w:ascii="Arial" w:hAnsi="Arial" w:cs="Arial"/>
          <w:sz w:val="24"/>
          <w:szCs w:val="24"/>
        </w:rPr>
        <w:t>.</w:t>
      </w:r>
      <w:r w:rsidR="001F395D" w:rsidRPr="00453B08">
        <w:rPr>
          <w:rFonts w:ascii="Arial" w:hAnsi="Arial" w:cs="Arial"/>
          <w:sz w:val="24"/>
          <w:szCs w:val="24"/>
        </w:rPr>
        <w:t xml:space="preserve"> </w:t>
      </w:r>
    </w:p>
    <w:p w14:paraId="2811FEBF" w14:textId="77777777" w:rsidR="001F395D" w:rsidRPr="00453B08" w:rsidRDefault="00C20A09" w:rsidP="001F395D">
      <w:pPr>
        <w:pStyle w:val="ListParagraph"/>
        <w:numPr>
          <w:ilvl w:val="0"/>
          <w:numId w:val="7"/>
        </w:numPr>
        <w:spacing w:after="0" w:line="240" w:lineRule="auto"/>
        <w:rPr>
          <w:rFonts w:ascii="Arial" w:hAnsi="Arial" w:cs="Arial"/>
          <w:sz w:val="24"/>
          <w:szCs w:val="24"/>
        </w:rPr>
      </w:pPr>
      <w:r w:rsidRPr="00453B08">
        <w:rPr>
          <w:rFonts w:ascii="Arial" w:hAnsi="Arial" w:cs="Arial"/>
          <w:sz w:val="24"/>
          <w:szCs w:val="24"/>
        </w:rPr>
        <w:t>S</w:t>
      </w:r>
      <w:r w:rsidR="001F395D" w:rsidRPr="00453B08">
        <w:rPr>
          <w:rFonts w:ascii="Arial" w:hAnsi="Arial" w:cs="Arial"/>
          <w:sz w:val="24"/>
          <w:szCs w:val="24"/>
        </w:rPr>
        <w:t>ilos to collaboration: We are in this together.</w:t>
      </w:r>
    </w:p>
    <w:p w14:paraId="5566A227" w14:textId="77777777" w:rsidR="001F395D" w:rsidRPr="00453B08" w:rsidRDefault="00C20A09" w:rsidP="001F395D">
      <w:pPr>
        <w:pStyle w:val="ListParagraph"/>
        <w:numPr>
          <w:ilvl w:val="0"/>
          <w:numId w:val="7"/>
        </w:numPr>
        <w:spacing w:after="0" w:line="240" w:lineRule="auto"/>
        <w:rPr>
          <w:rFonts w:ascii="Arial" w:hAnsi="Arial" w:cs="Arial"/>
          <w:sz w:val="24"/>
          <w:szCs w:val="24"/>
        </w:rPr>
      </w:pPr>
      <w:r w:rsidRPr="00453B08">
        <w:rPr>
          <w:rFonts w:ascii="Arial" w:hAnsi="Arial" w:cs="Arial"/>
          <w:sz w:val="24"/>
          <w:szCs w:val="24"/>
        </w:rPr>
        <w:t>T</w:t>
      </w:r>
      <w:r w:rsidR="001F395D" w:rsidRPr="00453B08">
        <w:rPr>
          <w:rFonts w:ascii="Arial" w:hAnsi="Arial" w:cs="Arial"/>
          <w:sz w:val="24"/>
          <w:szCs w:val="24"/>
        </w:rPr>
        <w:t>op to tap: I</w:t>
      </w:r>
      <w:r w:rsidRPr="00453B08">
        <w:rPr>
          <w:rFonts w:ascii="Arial" w:hAnsi="Arial" w:cs="Arial"/>
          <w:sz w:val="24"/>
          <w:szCs w:val="24"/>
        </w:rPr>
        <w:t xml:space="preserve"> am here to help</w:t>
      </w:r>
      <w:r w:rsidR="00B425CF" w:rsidRPr="00453B08">
        <w:rPr>
          <w:rFonts w:ascii="Arial" w:hAnsi="Arial" w:cs="Arial"/>
          <w:sz w:val="24"/>
          <w:szCs w:val="24"/>
        </w:rPr>
        <w:t xml:space="preserve"> you help yourself</w:t>
      </w:r>
      <w:r w:rsidRPr="00453B08">
        <w:rPr>
          <w:rFonts w:ascii="Arial" w:hAnsi="Arial" w:cs="Arial"/>
          <w:sz w:val="24"/>
          <w:szCs w:val="24"/>
        </w:rPr>
        <w:t>.</w:t>
      </w:r>
    </w:p>
    <w:p w14:paraId="5D6797EB" w14:textId="77777777" w:rsidR="001F395D" w:rsidRPr="00453B08" w:rsidRDefault="00C20A09" w:rsidP="001F395D">
      <w:pPr>
        <w:pStyle w:val="ListParagraph"/>
        <w:numPr>
          <w:ilvl w:val="0"/>
          <w:numId w:val="7"/>
        </w:numPr>
        <w:spacing w:after="0" w:line="240" w:lineRule="auto"/>
        <w:rPr>
          <w:rFonts w:ascii="Arial" w:hAnsi="Arial" w:cs="Arial"/>
          <w:sz w:val="24"/>
          <w:szCs w:val="24"/>
        </w:rPr>
      </w:pPr>
      <w:r w:rsidRPr="00453B08">
        <w:rPr>
          <w:rFonts w:ascii="Arial" w:hAnsi="Arial" w:cs="Arial"/>
          <w:sz w:val="24"/>
          <w:szCs w:val="24"/>
        </w:rPr>
        <w:t>T</w:t>
      </w:r>
      <w:r w:rsidR="001F395D" w:rsidRPr="00453B08">
        <w:rPr>
          <w:rFonts w:ascii="Arial" w:hAnsi="Arial" w:cs="Arial"/>
          <w:sz w:val="24"/>
          <w:szCs w:val="24"/>
        </w:rPr>
        <w:t>argets to outcomes:</w:t>
      </w:r>
      <w:r w:rsidR="0026454F" w:rsidRPr="00453B08">
        <w:rPr>
          <w:rFonts w:ascii="Arial" w:hAnsi="Arial" w:cs="Arial"/>
          <w:sz w:val="24"/>
          <w:szCs w:val="24"/>
        </w:rPr>
        <w:t xml:space="preserve"> Doing right by the person</w:t>
      </w:r>
      <w:r w:rsidRPr="00453B08">
        <w:rPr>
          <w:rFonts w:ascii="Arial" w:hAnsi="Arial" w:cs="Arial"/>
          <w:sz w:val="24"/>
          <w:szCs w:val="24"/>
        </w:rPr>
        <w:t>.</w:t>
      </w:r>
    </w:p>
    <w:p w14:paraId="6A3C05D5" w14:textId="77777777" w:rsidR="00C20A09" w:rsidRPr="00453B08" w:rsidRDefault="00C20A09" w:rsidP="00C93167">
      <w:pPr>
        <w:spacing w:after="0" w:line="240" w:lineRule="auto"/>
        <w:rPr>
          <w:rFonts w:ascii="Arial" w:hAnsi="Arial" w:cs="Arial"/>
          <w:sz w:val="24"/>
          <w:szCs w:val="24"/>
        </w:rPr>
      </w:pPr>
    </w:p>
    <w:p w14:paraId="1BB8B910" w14:textId="3228D9DF" w:rsidR="0026454F" w:rsidRPr="00453B08" w:rsidRDefault="0026454F" w:rsidP="00C93167">
      <w:pPr>
        <w:spacing w:after="0" w:line="240" w:lineRule="auto"/>
        <w:rPr>
          <w:rFonts w:ascii="Arial" w:hAnsi="Arial" w:cs="Arial"/>
          <w:sz w:val="24"/>
          <w:szCs w:val="24"/>
        </w:rPr>
      </w:pPr>
      <w:r w:rsidRPr="00453B08">
        <w:rPr>
          <w:rFonts w:ascii="Arial" w:hAnsi="Arial" w:cs="Arial"/>
          <w:sz w:val="24"/>
          <w:szCs w:val="24"/>
        </w:rPr>
        <w:t>5 engagement events</w:t>
      </w:r>
      <w:r w:rsidR="008A357B" w:rsidRPr="00453B08">
        <w:rPr>
          <w:rFonts w:ascii="Arial" w:hAnsi="Arial" w:cs="Arial"/>
          <w:sz w:val="24"/>
          <w:szCs w:val="24"/>
        </w:rPr>
        <w:t xml:space="preserve"> </w:t>
      </w:r>
      <w:r w:rsidRPr="00453B08">
        <w:rPr>
          <w:rFonts w:ascii="Arial" w:hAnsi="Arial" w:cs="Arial"/>
          <w:sz w:val="24"/>
          <w:szCs w:val="24"/>
        </w:rPr>
        <w:t xml:space="preserve">with </w:t>
      </w:r>
      <w:r w:rsidR="00530968" w:rsidRPr="00453B08">
        <w:rPr>
          <w:rFonts w:ascii="Arial" w:hAnsi="Arial" w:cs="Arial"/>
          <w:sz w:val="24"/>
          <w:szCs w:val="24"/>
        </w:rPr>
        <w:t xml:space="preserve">over 300 </w:t>
      </w:r>
      <w:r w:rsidRPr="00453B08">
        <w:rPr>
          <w:rFonts w:ascii="Arial" w:hAnsi="Arial" w:cs="Arial"/>
          <w:sz w:val="24"/>
          <w:szCs w:val="24"/>
        </w:rPr>
        <w:t>stakeholders</w:t>
      </w:r>
      <w:r w:rsidR="00530968" w:rsidRPr="00453B08">
        <w:rPr>
          <w:rFonts w:ascii="Arial" w:hAnsi="Arial" w:cs="Arial"/>
          <w:sz w:val="24"/>
          <w:szCs w:val="24"/>
        </w:rPr>
        <w:t xml:space="preserve"> </w:t>
      </w:r>
      <w:r w:rsidRPr="00453B08">
        <w:rPr>
          <w:rFonts w:ascii="Arial" w:hAnsi="Arial" w:cs="Arial"/>
          <w:sz w:val="24"/>
          <w:szCs w:val="24"/>
        </w:rPr>
        <w:t>were held</w:t>
      </w:r>
      <w:r w:rsidR="00EB3B09" w:rsidRPr="00453B08">
        <w:rPr>
          <w:rFonts w:ascii="Arial" w:hAnsi="Arial" w:cs="Arial"/>
          <w:sz w:val="24"/>
          <w:szCs w:val="24"/>
        </w:rPr>
        <w:t>.</w:t>
      </w:r>
      <w:r w:rsidRPr="00453B08">
        <w:rPr>
          <w:rFonts w:ascii="Arial" w:hAnsi="Arial" w:cs="Arial"/>
          <w:sz w:val="24"/>
          <w:szCs w:val="24"/>
        </w:rPr>
        <w:t xml:space="preserve"> The </w:t>
      </w:r>
      <w:r w:rsidR="00EB3B09" w:rsidRPr="00453B08">
        <w:rPr>
          <w:rFonts w:ascii="Arial" w:hAnsi="Arial" w:cs="Arial"/>
          <w:sz w:val="24"/>
          <w:szCs w:val="24"/>
        </w:rPr>
        <w:t>I</w:t>
      </w:r>
      <w:r w:rsidRPr="00453B08">
        <w:rPr>
          <w:rFonts w:ascii="Arial" w:hAnsi="Arial" w:cs="Arial"/>
          <w:sz w:val="24"/>
          <w:szCs w:val="24"/>
        </w:rPr>
        <w:t xml:space="preserve">nfluence </w:t>
      </w:r>
      <w:r w:rsidR="00EB3B09" w:rsidRPr="00453B08">
        <w:rPr>
          <w:rFonts w:ascii="Arial" w:hAnsi="Arial" w:cs="Arial"/>
          <w:sz w:val="24"/>
          <w:szCs w:val="24"/>
        </w:rPr>
        <w:t>M</w:t>
      </w:r>
      <w:r w:rsidRPr="00453B08">
        <w:rPr>
          <w:rFonts w:ascii="Arial" w:hAnsi="Arial" w:cs="Arial"/>
          <w:sz w:val="24"/>
          <w:szCs w:val="24"/>
        </w:rPr>
        <w:t>odel w</w:t>
      </w:r>
      <w:r w:rsidR="008A357B" w:rsidRPr="00453B08">
        <w:rPr>
          <w:rFonts w:ascii="Arial" w:hAnsi="Arial" w:cs="Arial"/>
          <w:sz w:val="24"/>
          <w:szCs w:val="24"/>
        </w:rPr>
        <w:t>as</w:t>
      </w:r>
      <w:r w:rsidRPr="00453B08">
        <w:rPr>
          <w:rFonts w:ascii="Arial" w:hAnsi="Arial" w:cs="Arial"/>
          <w:sz w:val="24"/>
          <w:szCs w:val="24"/>
        </w:rPr>
        <w:t xml:space="preserve"> </w:t>
      </w:r>
      <w:r w:rsidR="00530968" w:rsidRPr="00453B08">
        <w:rPr>
          <w:rFonts w:ascii="Arial" w:hAnsi="Arial" w:cs="Arial"/>
          <w:sz w:val="24"/>
          <w:szCs w:val="24"/>
        </w:rPr>
        <w:t>used to s</w:t>
      </w:r>
      <w:r w:rsidR="008A357B" w:rsidRPr="00453B08">
        <w:rPr>
          <w:rFonts w:ascii="Arial" w:hAnsi="Arial" w:cs="Arial"/>
          <w:sz w:val="24"/>
          <w:szCs w:val="24"/>
        </w:rPr>
        <w:t>cript a</w:t>
      </w:r>
      <w:r w:rsidRPr="00453B08">
        <w:rPr>
          <w:rFonts w:ascii="Arial" w:hAnsi="Arial" w:cs="Arial"/>
          <w:sz w:val="24"/>
          <w:szCs w:val="24"/>
        </w:rPr>
        <w:t xml:space="preserve"> compelling </w:t>
      </w:r>
      <w:r w:rsidR="008A357B" w:rsidRPr="00453B08">
        <w:rPr>
          <w:rFonts w:ascii="Arial" w:hAnsi="Arial" w:cs="Arial"/>
          <w:sz w:val="24"/>
          <w:szCs w:val="24"/>
        </w:rPr>
        <w:t>narrative</w:t>
      </w:r>
      <w:r w:rsidR="00530968" w:rsidRPr="00453B08">
        <w:rPr>
          <w:rFonts w:ascii="Arial" w:hAnsi="Arial" w:cs="Arial"/>
          <w:sz w:val="24"/>
          <w:szCs w:val="24"/>
        </w:rPr>
        <w:t>, set up reinforcement mechanisms, acquire skills for change and role model the new behaviours and mindsets</w:t>
      </w:r>
      <w:r w:rsidR="003C7FDA"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author":[{"dropping-particle":"","family":"Keller","given":"S","non-dropping-particle":"","parse-names":false,"suffix":""},{"dropping-particle":"","family":"Price","given":"C","non-dropping-particle":"","parse-names":false,"suffix":""}],"edition":"6th Editio","id":"ITEM-1","issued":{"date-parts":[["2011"]]},"number-of-pages":"77-107","publisher":"Wiley, J and son","publisher-place":"New Jersey","title":"Beyond performance: How great organizations build ultimate competitive advantage","type":"book"},"uris":["http://www.mendeley.com/documents/?uuid=9ad505f0-f308-49e4-9b44-ae3a64744220"]}],"mendeley":{"formattedCitation":"(33)","plainTextFormattedCitation":"(33)","previouslyFormattedCitation":"(33)"},"properties":{"noteIndex":0},"schema":"https://github.com/citation-style-language/schema/raw/master/csl-citation.json"}</w:instrText>
      </w:r>
      <w:r w:rsidR="003C7FDA"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(33)</w:t>
      </w:r>
      <w:r w:rsidR="003C7FDA" w:rsidRPr="00B662EF">
        <w:rPr>
          <w:rFonts w:ascii="Arial" w:hAnsi="Arial" w:cs="Arial"/>
          <w:sz w:val="24"/>
          <w:szCs w:val="24"/>
          <w:vertAlign w:val="superscript"/>
        </w:rPr>
        <w:fldChar w:fldCharType="end"/>
      </w:r>
      <w:r w:rsidR="003C7FDA" w:rsidRPr="00453B08">
        <w:rPr>
          <w:rFonts w:ascii="Arial" w:hAnsi="Arial" w:cs="Arial"/>
          <w:sz w:val="24"/>
          <w:szCs w:val="24"/>
        </w:rPr>
        <w:t xml:space="preserve">. </w:t>
      </w:r>
      <w:r w:rsidRPr="00453B08">
        <w:rPr>
          <w:rFonts w:ascii="Arial" w:hAnsi="Arial" w:cs="Arial"/>
          <w:sz w:val="24"/>
          <w:szCs w:val="24"/>
        </w:rPr>
        <w:t xml:space="preserve"> </w:t>
      </w:r>
      <w:r w:rsidR="008A357B" w:rsidRPr="00453B08">
        <w:rPr>
          <w:rFonts w:ascii="Arial" w:hAnsi="Arial" w:cs="Arial"/>
          <w:sz w:val="24"/>
          <w:szCs w:val="24"/>
        </w:rPr>
        <w:t xml:space="preserve">Attendees </w:t>
      </w:r>
      <w:r w:rsidRPr="00453B08">
        <w:rPr>
          <w:rFonts w:ascii="Arial" w:hAnsi="Arial" w:cs="Arial"/>
          <w:sz w:val="24"/>
          <w:szCs w:val="24"/>
        </w:rPr>
        <w:t>defin</w:t>
      </w:r>
      <w:r w:rsidR="008A357B" w:rsidRPr="00453B08">
        <w:rPr>
          <w:rFonts w:ascii="Arial" w:hAnsi="Arial" w:cs="Arial"/>
          <w:sz w:val="24"/>
          <w:szCs w:val="24"/>
        </w:rPr>
        <w:t>ed</w:t>
      </w:r>
      <w:r w:rsidRPr="00453B08">
        <w:rPr>
          <w:rFonts w:ascii="Arial" w:hAnsi="Arial" w:cs="Arial"/>
          <w:sz w:val="24"/>
          <w:szCs w:val="24"/>
        </w:rPr>
        <w:t xml:space="preserve"> </w:t>
      </w:r>
      <w:r w:rsidR="008A357B" w:rsidRPr="00453B08">
        <w:rPr>
          <w:rFonts w:ascii="Arial" w:hAnsi="Arial" w:cs="Arial"/>
          <w:sz w:val="24"/>
          <w:szCs w:val="24"/>
        </w:rPr>
        <w:t>‘where</w:t>
      </w:r>
      <w:r w:rsidR="00EB3B09" w:rsidRPr="00453B08">
        <w:rPr>
          <w:rFonts w:ascii="Arial" w:hAnsi="Arial" w:cs="Arial"/>
          <w:sz w:val="24"/>
          <w:szCs w:val="24"/>
        </w:rPr>
        <w:t xml:space="preserve"> we</w:t>
      </w:r>
      <w:r w:rsidR="008A357B" w:rsidRPr="00453B08">
        <w:rPr>
          <w:rFonts w:ascii="Arial" w:hAnsi="Arial" w:cs="Arial"/>
          <w:sz w:val="24"/>
          <w:szCs w:val="24"/>
        </w:rPr>
        <w:t xml:space="preserve"> are’ </w:t>
      </w:r>
      <w:r w:rsidRPr="00453B08">
        <w:rPr>
          <w:rFonts w:ascii="Arial" w:hAnsi="Arial" w:cs="Arial"/>
          <w:sz w:val="24"/>
          <w:szCs w:val="24"/>
        </w:rPr>
        <w:t>and shap</w:t>
      </w:r>
      <w:r w:rsidR="008A357B" w:rsidRPr="00453B08">
        <w:rPr>
          <w:rFonts w:ascii="Arial" w:hAnsi="Arial" w:cs="Arial"/>
          <w:sz w:val="24"/>
          <w:szCs w:val="24"/>
        </w:rPr>
        <w:t>ed</w:t>
      </w:r>
      <w:r w:rsidRPr="00453B08">
        <w:rPr>
          <w:rFonts w:ascii="Arial" w:hAnsi="Arial" w:cs="Arial"/>
          <w:sz w:val="24"/>
          <w:szCs w:val="24"/>
        </w:rPr>
        <w:t xml:space="preserve"> </w:t>
      </w:r>
      <w:r w:rsidR="008A357B" w:rsidRPr="00453B08">
        <w:rPr>
          <w:rFonts w:ascii="Arial" w:hAnsi="Arial" w:cs="Arial"/>
          <w:sz w:val="24"/>
          <w:szCs w:val="24"/>
        </w:rPr>
        <w:t>‘</w:t>
      </w:r>
      <w:r w:rsidRPr="00453B08">
        <w:rPr>
          <w:rFonts w:ascii="Arial" w:hAnsi="Arial" w:cs="Arial"/>
          <w:sz w:val="24"/>
          <w:szCs w:val="24"/>
        </w:rPr>
        <w:t xml:space="preserve">where we want to get </w:t>
      </w:r>
      <w:r w:rsidR="008A357B" w:rsidRPr="00453B08">
        <w:rPr>
          <w:rFonts w:ascii="Arial" w:hAnsi="Arial" w:cs="Arial"/>
          <w:sz w:val="24"/>
          <w:szCs w:val="24"/>
        </w:rPr>
        <w:t xml:space="preserve">to </w:t>
      </w:r>
      <w:r w:rsidRPr="00453B08">
        <w:rPr>
          <w:rFonts w:ascii="Arial" w:hAnsi="Arial" w:cs="Arial"/>
          <w:sz w:val="24"/>
          <w:szCs w:val="24"/>
        </w:rPr>
        <w:t>and how</w:t>
      </w:r>
      <w:r w:rsidR="008A357B" w:rsidRPr="00453B08">
        <w:rPr>
          <w:rFonts w:ascii="Arial" w:hAnsi="Arial" w:cs="Arial"/>
          <w:sz w:val="24"/>
          <w:szCs w:val="24"/>
        </w:rPr>
        <w:t>’</w:t>
      </w:r>
      <w:r w:rsidRPr="00453B08">
        <w:rPr>
          <w:rFonts w:ascii="Arial" w:hAnsi="Arial" w:cs="Arial"/>
          <w:sz w:val="24"/>
          <w:szCs w:val="24"/>
        </w:rPr>
        <w:t xml:space="preserve">. </w:t>
      </w:r>
      <w:r w:rsidR="008A357B" w:rsidRPr="00453B08">
        <w:rPr>
          <w:rFonts w:ascii="Arial" w:hAnsi="Arial" w:cs="Arial"/>
          <w:sz w:val="24"/>
          <w:szCs w:val="24"/>
        </w:rPr>
        <w:t>Open and honest discussion about</w:t>
      </w:r>
      <w:r w:rsidRPr="00453B08">
        <w:rPr>
          <w:rFonts w:ascii="Arial" w:hAnsi="Arial" w:cs="Arial"/>
          <w:sz w:val="24"/>
          <w:szCs w:val="24"/>
        </w:rPr>
        <w:t xml:space="preserve"> what’s in it for me, my patients, my team, my organisation and society</w:t>
      </w:r>
      <w:r w:rsidR="008A357B" w:rsidRPr="00453B08">
        <w:rPr>
          <w:rFonts w:ascii="Arial" w:hAnsi="Arial" w:cs="Arial"/>
          <w:sz w:val="24"/>
          <w:szCs w:val="24"/>
        </w:rPr>
        <w:t xml:space="preserve"> enthus</w:t>
      </w:r>
      <w:r w:rsidR="00B425CF" w:rsidRPr="00453B08">
        <w:rPr>
          <w:rFonts w:ascii="Arial" w:hAnsi="Arial" w:cs="Arial"/>
          <w:sz w:val="24"/>
          <w:szCs w:val="24"/>
        </w:rPr>
        <w:t>ed attendees</w:t>
      </w:r>
      <w:r w:rsidR="003C7FDA"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author":[{"dropping-particle":"","family":"Keller","given":"Scott","non-dropping-particle":"","parse-names":false,"suffix":""},{"dropping-particle":"","family":"Aiken","given":"Carolyn","non-dropping-particle":"","parse-names":false,"suffix":""}],"id":"ITEM-1","issued":{"date-parts":[["0"]]},"title":"The Inconvenient Truth About Change Management","type":"article-journal"},"uris":["http://www.mendeley.com/documents/?uuid=e30b39f6-cb27-3193-b49e-b3936a33240c"]}],"mendeley":{"formattedCitation":"(34)","plainTextFormattedCitation":"(34)","previouslyFormattedCitation":"(34)"},"properties":{"noteIndex":0},"schema":"https://github.com/citation-style-language/schema/raw/master/csl-citation.json"}</w:instrText>
      </w:r>
      <w:r w:rsidR="003C7FDA"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(34)</w:t>
      </w:r>
      <w:r w:rsidR="003C7FDA" w:rsidRPr="00B662EF">
        <w:rPr>
          <w:rFonts w:ascii="Arial" w:hAnsi="Arial" w:cs="Arial"/>
          <w:sz w:val="24"/>
          <w:szCs w:val="24"/>
          <w:vertAlign w:val="superscript"/>
        </w:rPr>
        <w:fldChar w:fldCharType="end"/>
      </w:r>
      <w:r w:rsidR="00B425CF" w:rsidRPr="003E2574">
        <w:rPr>
          <w:rFonts w:ascii="Arial" w:hAnsi="Arial" w:cs="Arial"/>
          <w:sz w:val="24"/>
          <w:szCs w:val="24"/>
        </w:rPr>
        <w:t>.</w:t>
      </w:r>
      <w:r w:rsidRPr="00453B08">
        <w:rPr>
          <w:rFonts w:ascii="Arial" w:hAnsi="Arial" w:cs="Arial"/>
          <w:sz w:val="24"/>
          <w:szCs w:val="24"/>
        </w:rPr>
        <w:t xml:space="preserve"> Site visits to different organisations and detailed process</w:t>
      </w:r>
      <w:r w:rsidR="008A357B" w:rsidRPr="00453B08">
        <w:rPr>
          <w:rFonts w:ascii="Arial" w:hAnsi="Arial" w:cs="Arial"/>
          <w:sz w:val="24"/>
          <w:szCs w:val="24"/>
        </w:rPr>
        <w:t>/bed mapping</w:t>
      </w:r>
      <w:r w:rsidRPr="00453B08">
        <w:rPr>
          <w:rFonts w:ascii="Arial" w:hAnsi="Arial" w:cs="Arial"/>
          <w:sz w:val="24"/>
          <w:szCs w:val="24"/>
        </w:rPr>
        <w:t xml:space="preserve"> was </w:t>
      </w:r>
      <w:r w:rsidR="00530968" w:rsidRPr="00453B08">
        <w:rPr>
          <w:rFonts w:ascii="Arial" w:hAnsi="Arial" w:cs="Arial"/>
          <w:sz w:val="24"/>
          <w:szCs w:val="24"/>
        </w:rPr>
        <w:t>carried out</w:t>
      </w:r>
      <w:r w:rsidRPr="00453B08">
        <w:rPr>
          <w:rFonts w:ascii="Arial" w:hAnsi="Arial" w:cs="Arial"/>
          <w:sz w:val="24"/>
          <w:szCs w:val="24"/>
        </w:rPr>
        <w:t>.</w:t>
      </w:r>
      <w:r w:rsidR="009C5EAC" w:rsidRPr="00453B08">
        <w:rPr>
          <w:rFonts w:ascii="Arial" w:hAnsi="Arial" w:cs="Arial"/>
          <w:sz w:val="24"/>
          <w:szCs w:val="24"/>
        </w:rPr>
        <w:t xml:space="preserve"> </w:t>
      </w:r>
      <w:r w:rsidRPr="00453B08">
        <w:rPr>
          <w:rFonts w:ascii="Arial" w:hAnsi="Arial" w:cs="Arial"/>
          <w:sz w:val="24"/>
          <w:szCs w:val="24"/>
        </w:rPr>
        <w:t xml:space="preserve"> </w:t>
      </w:r>
      <w:r w:rsidR="008A357B" w:rsidRPr="00453B08">
        <w:rPr>
          <w:rFonts w:ascii="Arial" w:hAnsi="Arial" w:cs="Arial"/>
          <w:sz w:val="24"/>
          <w:szCs w:val="24"/>
        </w:rPr>
        <w:t>During</w:t>
      </w:r>
      <w:r w:rsidRPr="00453B08">
        <w:rPr>
          <w:rFonts w:ascii="Arial" w:hAnsi="Arial" w:cs="Arial"/>
          <w:sz w:val="24"/>
          <w:szCs w:val="24"/>
        </w:rPr>
        <w:t xml:space="preserve"> target setting</w:t>
      </w:r>
      <w:r w:rsidR="008A357B" w:rsidRPr="00453B08">
        <w:rPr>
          <w:rFonts w:ascii="Arial" w:hAnsi="Arial" w:cs="Arial"/>
          <w:sz w:val="24"/>
          <w:szCs w:val="24"/>
        </w:rPr>
        <w:t>,</w:t>
      </w:r>
      <w:r w:rsidRPr="00453B08">
        <w:rPr>
          <w:rFonts w:ascii="Arial" w:hAnsi="Arial" w:cs="Arial"/>
          <w:sz w:val="24"/>
          <w:szCs w:val="24"/>
        </w:rPr>
        <w:t xml:space="preserve"> balancing measures </w:t>
      </w:r>
      <w:r w:rsidR="008A357B" w:rsidRPr="00453B08">
        <w:rPr>
          <w:rFonts w:ascii="Arial" w:hAnsi="Arial" w:cs="Arial"/>
          <w:sz w:val="24"/>
          <w:szCs w:val="24"/>
        </w:rPr>
        <w:t>were incorporated to</w:t>
      </w:r>
      <w:r w:rsidR="00530968" w:rsidRPr="00453B08">
        <w:rPr>
          <w:rFonts w:ascii="Arial" w:hAnsi="Arial" w:cs="Arial"/>
          <w:sz w:val="24"/>
          <w:szCs w:val="24"/>
        </w:rPr>
        <w:t xml:space="preserve"> reinforce</w:t>
      </w:r>
      <w:r w:rsidRPr="00453B08">
        <w:rPr>
          <w:rFonts w:ascii="Arial" w:hAnsi="Arial" w:cs="Arial"/>
          <w:sz w:val="24"/>
          <w:szCs w:val="24"/>
        </w:rPr>
        <w:t xml:space="preserve"> the patient story</w:t>
      </w:r>
      <w:r w:rsidR="00530968" w:rsidRPr="00453B08">
        <w:rPr>
          <w:rFonts w:ascii="Arial" w:hAnsi="Arial" w:cs="Arial"/>
          <w:sz w:val="24"/>
          <w:szCs w:val="24"/>
        </w:rPr>
        <w:t xml:space="preserve"> and</w:t>
      </w:r>
      <w:r w:rsidR="00141DBA" w:rsidRPr="00453B08">
        <w:rPr>
          <w:rFonts w:ascii="Arial" w:hAnsi="Arial" w:cs="Arial"/>
          <w:sz w:val="24"/>
          <w:szCs w:val="24"/>
        </w:rPr>
        <w:t xml:space="preserve"> d</w:t>
      </w:r>
      <w:r w:rsidR="00E17F6A" w:rsidRPr="00453B08">
        <w:rPr>
          <w:rFonts w:ascii="Arial" w:hAnsi="Arial" w:cs="Arial"/>
          <w:sz w:val="24"/>
          <w:szCs w:val="24"/>
        </w:rPr>
        <w:t>isincentivis</w:t>
      </w:r>
      <w:r w:rsidR="00141DBA" w:rsidRPr="00453B08">
        <w:rPr>
          <w:rFonts w:ascii="Arial" w:hAnsi="Arial" w:cs="Arial"/>
          <w:sz w:val="24"/>
          <w:szCs w:val="24"/>
        </w:rPr>
        <w:t>e</w:t>
      </w:r>
      <w:r w:rsidR="00C341D8" w:rsidRPr="00453B08">
        <w:rPr>
          <w:rFonts w:ascii="Arial" w:hAnsi="Arial" w:cs="Arial"/>
          <w:sz w:val="24"/>
          <w:szCs w:val="24"/>
        </w:rPr>
        <w:t xml:space="preserve"> target chasing</w:t>
      </w:r>
      <w:r w:rsidR="00141DBA" w:rsidRPr="00453B08">
        <w:rPr>
          <w:rFonts w:ascii="Arial" w:hAnsi="Arial" w:cs="Arial"/>
          <w:sz w:val="24"/>
          <w:szCs w:val="24"/>
        </w:rPr>
        <w:t>, particularly length of stay</w:t>
      </w:r>
      <w:r w:rsidR="00C341D8" w:rsidRPr="00453B08">
        <w:rPr>
          <w:rFonts w:ascii="Arial" w:hAnsi="Arial" w:cs="Arial"/>
          <w:sz w:val="24"/>
          <w:szCs w:val="24"/>
        </w:rPr>
        <w:t xml:space="preserve">. </w:t>
      </w:r>
      <w:r w:rsidR="00530968" w:rsidRPr="00453B08">
        <w:rPr>
          <w:rFonts w:ascii="Arial" w:hAnsi="Arial" w:cs="Arial"/>
          <w:sz w:val="24"/>
          <w:szCs w:val="24"/>
        </w:rPr>
        <w:t>C</w:t>
      </w:r>
      <w:r w:rsidR="00141DBA" w:rsidRPr="00453B08">
        <w:rPr>
          <w:rFonts w:ascii="Arial" w:hAnsi="Arial" w:cs="Arial"/>
          <w:sz w:val="24"/>
          <w:szCs w:val="24"/>
        </w:rPr>
        <w:t xml:space="preserve">ollaboration was </w:t>
      </w:r>
      <w:r w:rsidR="00530968" w:rsidRPr="00453B08">
        <w:rPr>
          <w:rFonts w:ascii="Arial" w:hAnsi="Arial" w:cs="Arial"/>
          <w:sz w:val="24"/>
          <w:szCs w:val="24"/>
        </w:rPr>
        <w:t>the focus, so</w:t>
      </w:r>
      <w:r w:rsidR="00141DBA" w:rsidRPr="00453B08">
        <w:rPr>
          <w:rFonts w:ascii="Arial" w:hAnsi="Arial" w:cs="Arial"/>
          <w:sz w:val="24"/>
          <w:szCs w:val="24"/>
        </w:rPr>
        <w:t xml:space="preserve"> </w:t>
      </w:r>
      <w:r w:rsidR="00C341D8" w:rsidRPr="00453B08">
        <w:rPr>
          <w:rFonts w:ascii="Arial" w:hAnsi="Arial" w:cs="Arial"/>
          <w:sz w:val="24"/>
          <w:szCs w:val="24"/>
        </w:rPr>
        <w:t>system performance</w:t>
      </w:r>
      <w:r w:rsidR="00141DBA" w:rsidRPr="00453B08">
        <w:rPr>
          <w:rFonts w:ascii="Arial" w:hAnsi="Arial" w:cs="Arial"/>
          <w:sz w:val="24"/>
          <w:szCs w:val="24"/>
        </w:rPr>
        <w:t xml:space="preserve"> rather than</w:t>
      </w:r>
      <w:r w:rsidR="00C341D8" w:rsidRPr="00453B08">
        <w:rPr>
          <w:rFonts w:ascii="Arial" w:hAnsi="Arial" w:cs="Arial"/>
          <w:sz w:val="24"/>
          <w:szCs w:val="24"/>
        </w:rPr>
        <w:t xml:space="preserve"> unit level targets</w:t>
      </w:r>
      <w:r w:rsidR="00530968" w:rsidRPr="00453B08">
        <w:rPr>
          <w:rFonts w:ascii="Arial" w:hAnsi="Arial" w:cs="Arial"/>
          <w:sz w:val="24"/>
          <w:szCs w:val="24"/>
        </w:rPr>
        <w:t xml:space="preserve"> took priority</w:t>
      </w:r>
      <w:r w:rsidR="00C341D8" w:rsidRPr="00453B08">
        <w:rPr>
          <w:rFonts w:ascii="Arial" w:hAnsi="Arial" w:cs="Arial"/>
          <w:sz w:val="24"/>
          <w:szCs w:val="24"/>
        </w:rPr>
        <w:t>.</w:t>
      </w:r>
      <w:r w:rsidRPr="00453B08">
        <w:rPr>
          <w:rFonts w:ascii="Arial" w:hAnsi="Arial" w:cs="Arial"/>
          <w:sz w:val="24"/>
          <w:szCs w:val="24"/>
        </w:rPr>
        <w:t xml:space="preserve"> </w:t>
      </w:r>
      <w:r w:rsidR="00530968" w:rsidRPr="00453B08">
        <w:rPr>
          <w:rFonts w:ascii="Arial" w:hAnsi="Arial" w:cs="Arial"/>
          <w:sz w:val="24"/>
          <w:szCs w:val="24"/>
        </w:rPr>
        <w:t xml:space="preserve">To acquire </w:t>
      </w:r>
      <w:r w:rsidR="003464A9" w:rsidRPr="00453B08">
        <w:rPr>
          <w:rFonts w:ascii="Arial" w:hAnsi="Arial" w:cs="Arial"/>
          <w:sz w:val="24"/>
          <w:szCs w:val="24"/>
        </w:rPr>
        <w:t>n</w:t>
      </w:r>
      <w:r w:rsidR="00141DBA" w:rsidRPr="00453B08">
        <w:rPr>
          <w:rFonts w:ascii="Arial" w:hAnsi="Arial" w:cs="Arial"/>
          <w:sz w:val="24"/>
          <w:szCs w:val="24"/>
        </w:rPr>
        <w:t>ew attitudes and aptitudes</w:t>
      </w:r>
      <w:r w:rsidR="00530968" w:rsidRPr="00453B08">
        <w:rPr>
          <w:rFonts w:ascii="Arial" w:hAnsi="Arial" w:cs="Arial"/>
          <w:sz w:val="24"/>
          <w:szCs w:val="24"/>
        </w:rPr>
        <w:t>, a</w:t>
      </w:r>
      <w:r w:rsidR="00141DBA" w:rsidRPr="00453B08">
        <w:rPr>
          <w:rFonts w:ascii="Arial" w:hAnsi="Arial" w:cs="Arial"/>
          <w:sz w:val="24"/>
          <w:szCs w:val="24"/>
        </w:rPr>
        <w:t xml:space="preserve"> ward was </w:t>
      </w:r>
      <w:r w:rsidR="00C341D8" w:rsidRPr="00453B08">
        <w:rPr>
          <w:rFonts w:ascii="Arial" w:hAnsi="Arial" w:cs="Arial"/>
          <w:sz w:val="24"/>
          <w:szCs w:val="24"/>
        </w:rPr>
        <w:t>temporarily closed</w:t>
      </w:r>
      <w:r w:rsidR="00392573" w:rsidRPr="00453B08">
        <w:rPr>
          <w:rFonts w:ascii="Arial" w:hAnsi="Arial" w:cs="Arial"/>
          <w:sz w:val="24"/>
          <w:szCs w:val="24"/>
        </w:rPr>
        <w:t xml:space="preserve"> to release </w:t>
      </w:r>
      <w:r w:rsidR="00530968" w:rsidRPr="00453B08">
        <w:rPr>
          <w:rFonts w:ascii="Arial" w:hAnsi="Arial" w:cs="Arial"/>
          <w:sz w:val="24"/>
          <w:szCs w:val="24"/>
        </w:rPr>
        <w:t>the</w:t>
      </w:r>
      <w:r w:rsidR="00392573" w:rsidRPr="00453B08">
        <w:rPr>
          <w:rFonts w:ascii="Arial" w:hAnsi="Arial" w:cs="Arial"/>
          <w:sz w:val="24"/>
          <w:szCs w:val="24"/>
        </w:rPr>
        <w:t xml:space="preserve"> staff team to train</w:t>
      </w:r>
      <w:r w:rsidR="00530968" w:rsidRPr="00453B08">
        <w:rPr>
          <w:rFonts w:ascii="Arial" w:hAnsi="Arial" w:cs="Arial"/>
          <w:sz w:val="24"/>
          <w:szCs w:val="24"/>
        </w:rPr>
        <w:t xml:space="preserve"> and</w:t>
      </w:r>
      <w:r w:rsidR="00392573" w:rsidRPr="00453B08">
        <w:rPr>
          <w:rFonts w:ascii="Arial" w:hAnsi="Arial" w:cs="Arial"/>
          <w:sz w:val="24"/>
          <w:szCs w:val="24"/>
        </w:rPr>
        <w:t xml:space="preserve"> then</w:t>
      </w:r>
      <w:r w:rsidR="00EB3B09" w:rsidRPr="00453B08">
        <w:rPr>
          <w:rFonts w:ascii="Arial" w:hAnsi="Arial" w:cs="Arial"/>
          <w:sz w:val="24"/>
          <w:szCs w:val="24"/>
        </w:rPr>
        <w:t xml:space="preserve"> backfill</w:t>
      </w:r>
      <w:r w:rsidR="00C341D8" w:rsidRPr="00453B08">
        <w:rPr>
          <w:rFonts w:ascii="Arial" w:hAnsi="Arial" w:cs="Arial"/>
          <w:sz w:val="24"/>
          <w:szCs w:val="24"/>
        </w:rPr>
        <w:t xml:space="preserve"> staff across the system</w:t>
      </w:r>
      <w:r w:rsidR="00530968" w:rsidRPr="00453B08">
        <w:rPr>
          <w:rFonts w:ascii="Arial" w:hAnsi="Arial" w:cs="Arial"/>
          <w:sz w:val="24"/>
          <w:szCs w:val="24"/>
        </w:rPr>
        <w:t xml:space="preserve"> </w:t>
      </w:r>
      <w:r w:rsidR="00B425CF" w:rsidRPr="00453B08">
        <w:rPr>
          <w:rFonts w:ascii="Arial" w:hAnsi="Arial" w:cs="Arial"/>
          <w:sz w:val="24"/>
          <w:szCs w:val="24"/>
        </w:rPr>
        <w:t>for</w:t>
      </w:r>
      <w:r w:rsidR="00530968" w:rsidRPr="00453B08">
        <w:rPr>
          <w:rFonts w:ascii="Arial" w:hAnsi="Arial" w:cs="Arial"/>
          <w:sz w:val="24"/>
          <w:szCs w:val="24"/>
        </w:rPr>
        <w:t xml:space="preserve"> </w:t>
      </w:r>
      <w:r w:rsidR="00C341D8" w:rsidRPr="00453B08">
        <w:rPr>
          <w:rFonts w:ascii="Arial" w:hAnsi="Arial" w:cs="Arial"/>
          <w:sz w:val="24"/>
          <w:szCs w:val="24"/>
        </w:rPr>
        <w:t>train</w:t>
      </w:r>
      <w:r w:rsidR="00B425CF" w:rsidRPr="00453B08">
        <w:rPr>
          <w:rFonts w:ascii="Arial" w:hAnsi="Arial" w:cs="Arial"/>
          <w:sz w:val="24"/>
          <w:szCs w:val="24"/>
        </w:rPr>
        <w:t>ing events</w:t>
      </w:r>
      <w:r w:rsidR="00C341D8" w:rsidRPr="00453B08">
        <w:rPr>
          <w:rFonts w:ascii="Arial" w:hAnsi="Arial" w:cs="Arial"/>
          <w:sz w:val="24"/>
          <w:szCs w:val="24"/>
        </w:rPr>
        <w:t xml:space="preserve">. Patients delivering training </w:t>
      </w:r>
      <w:r w:rsidR="00927561" w:rsidRPr="00453B08">
        <w:rPr>
          <w:rFonts w:ascii="Arial" w:hAnsi="Arial" w:cs="Arial"/>
          <w:sz w:val="24"/>
          <w:szCs w:val="24"/>
        </w:rPr>
        <w:t>was crucial in shifting from the paternalistic “on top” stance to a coaching one of “on tap”</w:t>
      </w:r>
      <w:r w:rsidR="003C7FDA"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author":[{"dropping-particle":"","family":"Shepherd","given":"Geoff","non-dropping-particle":"","parse-names":false,"suffix":""},{"dropping-particle":"","family":"Boardman","given":"Jed","non-dropping-particle":"","parse-names":false,"suffix":""},{"dropping-particle":"","family":"Slade","given":"Mike","non-dropping-particle":"","parse-names":false,"suffix":""}],"id":"ITEM-1","issued":{"date-parts":[["2008"]]},"title":"Making Recovery a Reality","type":"article-journal"},"uris":["http://www.mendeley.com/documents/?uuid=716e1c79-8ebb-3e6a-801c-cb371dbf7261"]}],"mendeley":{"formattedCitation":"(35)","plainTextFormattedCitation":"(35)","previouslyFormattedCitation":"(35)"},"properties":{"noteIndex":0},"schema":"https://github.com/citation-style-language/schema/raw/master/csl-citation.json"}</w:instrText>
      </w:r>
      <w:r w:rsidR="003C7FDA"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(35)</w:t>
      </w:r>
      <w:r w:rsidR="003C7FDA" w:rsidRPr="00B662EF">
        <w:rPr>
          <w:rFonts w:ascii="Arial" w:hAnsi="Arial" w:cs="Arial"/>
          <w:sz w:val="24"/>
          <w:szCs w:val="24"/>
          <w:vertAlign w:val="superscript"/>
        </w:rPr>
        <w:fldChar w:fldCharType="end"/>
      </w:r>
      <w:r w:rsidR="003C7FDA" w:rsidRPr="00453B08">
        <w:rPr>
          <w:rFonts w:ascii="Arial" w:hAnsi="Arial" w:cs="Arial"/>
          <w:sz w:val="24"/>
          <w:szCs w:val="24"/>
        </w:rPr>
        <w:t xml:space="preserve">. </w:t>
      </w:r>
      <w:r w:rsidR="00927561" w:rsidRPr="00453B08">
        <w:rPr>
          <w:rFonts w:ascii="Arial" w:hAnsi="Arial" w:cs="Arial"/>
          <w:sz w:val="24"/>
          <w:szCs w:val="24"/>
        </w:rPr>
        <w:t xml:space="preserve"> </w:t>
      </w:r>
      <w:r w:rsidR="00530968" w:rsidRPr="00453B08">
        <w:rPr>
          <w:rFonts w:ascii="Arial" w:hAnsi="Arial" w:cs="Arial"/>
          <w:sz w:val="24"/>
          <w:szCs w:val="24"/>
        </w:rPr>
        <w:t>V</w:t>
      </w:r>
      <w:r w:rsidR="00927561" w:rsidRPr="00453B08">
        <w:rPr>
          <w:rFonts w:ascii="Arial" w:hAnsi="Arial" w:cs="Arial"/>
          <w:sz w:val="24"/>
          <w:szCs w:val="24"/>
        </w:rPr>
        <w:t>alu</w:t>
      </w:r>
      <w:r w:rsidR="00530968" w:rsidRPr="00453B08">
        <w:rPr>
          <w:rFonts w:ascii="Arial" w:hAnsi="Arial" w:cs="Arial"/>
          <w:sz w:val="24"/>
          <w:szCs w:val="24"/>
        </w:rPr>
        <w:t>ing</w:t>
      </w:r>
      <w:r w:rsidR="00927561" w:rsidRPr="00453B08">
        <w:rPr>
          <w:rFonts w:ascii="Arial" w:hAnsi="Arial" w:cs="Arial"/>
          <w:sz w:val="24"/>
          <w:szCs w:val="24"/>
        </w:rPr>
        <w:t xml:space="preserve"> the person as an expert in the management of their own condition</w:t>
      </w:r>
      <w:r w:rsidR="00EB3B09" w:rsidRPr="00453B08">
        <w:rPr>
          <w:rFonts w:ascii="Arial" w:hAnsi="Arial" w:cs="Arial"/>
          <w:sz w:val="24"/>
          <w:szCs w:val="24"/>
        </w:rPr>
        <w:t xml:space="preserve"> was </w:t>
      </w:r>
      <w:r w:rsidR="003464A9" w:rsidRPr="00453B08">
        <w:rPr>
          <w:rFonts w:ascii="Arial" w:hAnsi="Arial" w:cs="Arial"/>
          <w:sz w:val="24"/>
          <w:szCs w:val="24"/>
        </w:rPr>
        <w:t>a major</w:t>
      </w:r>
      <w:r w:rsidR="00EB3B09" w:rsidRPr="00453B08">
        <w:rPr>
          <w:rFonts w:ascii="Arial" w:hAnsi="Arial" w:cs="Arial"/>
          <w:sz w:val="24"/>
          <w:szCs w:val="24"/>
        </w:rPr>
        <w:t xml:space="preserve"> paradigm shift.</w:t>
      </w:r>
      <w:r w:rsidR="00927561" w:rsidRPr="00453B08">
        <w:rPr>
          <w:rFonts w:ascii="Arial" w:hAnsi="Arial" w:cs="Arial"/>
          <w:sz w:val="24"/>
          <w:szCs w:val="24"/>
        </w:rPr>
        <w:t xml:space="preserve"> </w:t>
      </w:r>
      <w:r w:rsidR="004813CA" w:rsidRPr="00453B08">
        <w:rPr>
          <w:rFonts w:ascii="Arial" w:hAnsi="Arial" w:cs="Arial"/>
          <w:sz w:val="24"/>
          <w:szCs w:val="24"/>
        </w:rPr>
        <w:t>To ensure</w:t>
      </w:r>
      <w:r w:rsidR="007B48A3" w:rsidRPr="00453B08">
        <w:rPr>
          <w:rFonts w:ascii="Arial" w:hAnsi="Arial" w:cs="Arial"/>
          <w:sz w:val="24"/>
          <w:szCs w:val="24"/>
        </w:rPr>
        <w:t xml:space="preserve"> role modelling</w:t>
      </w:r>
      <w:r w:rsidR="004813CA" w:rsidRPr="00453B08">
        <w:rPr>
          <w:rFonts w:ascii="Arial" w:hAnsi="Arial" w:cs="Arial"/>
          <w:sz w:val="24"/>
          <w:szCs w:val="24"/>
        </w:rPr>
        <w:t xml:space="preserve"> k</w:t>
      </w:r>
      <w:r w:rsidR="00874652" w:rsidRPr="00453B08">
        <w:rPr>
          <w:rFonts w:ascii="Arial" w:hAnsi="Arial" w:cs="Arial"/>
          <w:sz w:val="24"/>
          <w:szCs w:val="24"/>
        </w:rPr>
        <w:t>ey individuals (Consultant Psychiatrist</w:t>
      </w:r>
      <w:r w:rsidR="00313D5C" w:rsidRPr="00453B08">
        <w:rPr>
          <w:rFonts w:ascii="Arial" w:hAnsi="Arial" w:cs="Arial"/>
          <w:sz w:val="24"/>
          <w:szCs w:val="24"/>
        </w:rPr>
        <w:t>s</w:t>
      </w:r>
      <w:r w:rsidR="00874652" w:rsidRPr="00453B08">
        <w:rPr>
          <w:rFonts w:ascii="Arial" w:hAnsi="Arial" w:cs="Arial"/>
          <w:sz w:val="24"/>
          <w:szCs w:val="24"/>
        </w:rPr>
        <w:t xml:space="preserve">, Modern Matrons and Ward Managers) went through an open </w:t>
      </w:r>
      <w:r w:rsidR="007B48A3" w:rsidRPr="00453B08">
        <w:rPr>
          <w:rFonts w:ascii="Arial" w:hAnsi="Arial" w:cs="Arial"/>
          <w:sz w:val="24"/>
          <w:szCs w:val="24"/>
        </w:rPr>
        <w:t xml:space="preserve">redeployment process </w:t>
      </w:r>
      <w:r w:rsidR="00874652" w:rsidRPr="00453B08">
        <w:rPr>
          <w:rFonts w:ascii="Arial" w:hAnsi="Arial" w:cs="Arial"/>
          <w:sz w:val="24"/>
          <w:szCs w:val="24"/>
        </w:rPr>
        <w:t xml:space="preserve">to </w:t>
      </w:r>
      <w:r w:rsidR="00313D5C" w:rsidRPr="00453B08">
        <w:rPr>
          <w:rFonts w:ascii="Arial" w:hAnsi="Arial" w:cs="Arial"/>
          <w:sz w:val="24"/>
          <w:szCs w:val="24"/>
        </w:rPr>
        <w:t>ensure sign up and align</w:t>
      </w:r>
      <w:r w:rsidR="004813CA" w:rsidRPr="00453B08">
        <w:rPr>
          <w:rFonts w:ascii="Arial" w:hAnsi="Arial" w:cs="Arial"/>
          <w:sz w:val="24"/>
          <w:szCs w:val="24"/>
        </w:rPr>
        <w:t>ment of</w:t>
      </w:r>
      <w:r w:rsidR="00313D5C" w:rsidRPr="00453B08">
        <w:rPr>
          <w:rFonts w:ascii="Arial" w:hAnsi="Arial" w:cs="Arial"/>
          <w:sz w:val="24"/>
          <w:szCs w:val="24"/>
        </w:rPr>
        <w:t xml:space="preserve"> skill</w:t>
      </w:r>
      <w:r w:rsidR="004813CA" w:rsidRPr="00453B08">
        <w:rPr>
          <w:rFonts w:ascii="Arial" w:hAnsi="Arial" w:cs="Arial"/>
          <w:sz w:val="24"/>
          <w:szCs w:val="24"/>
        </w:rPr>
        <w:t>s to</w:t>
      </w:r>
      <w:r w:rsidR="004C762D" w:rsidRPr="00453B08">
        <w:rPr>
          <w:rFonts w:ascii="Arial" w:hAnsi="Arial" w:cs="Arial"/>
          <w:sz w:val="24"/>
          <w:szCs w:val="24"/>
        </w:rPr>
        <w:t xml:space="preserve"> pathway</w:t>
      </w:r>
      <w:r w:rsidR="004813CA" w:rsidRPr="00453B08">
        <w:rPr>
          <w:rFonts w:ascii="Arial" w:hAnsi="Arial" w:cs="Arial"/>
          <w:sz w:val="24"/>
          <w:szCs w:val="24"/>
        </w:rPr>
        <w:t>s</w:t>
      </w:r>
      <w:r w:rsidR="00874652" w:rsidRPr="00453B08">
        <w:rPr>
          <w:rFonts w:ascii="Arial" w:hAnsi="Arial" w:cs="Arial"/>
          <w:sz w:val="24"/>
          <w:szCs w:val="24"/>
        </w:rPr>
        <w:t>.</w:t>
      </w:r>
      <w:r w:rsidR="00313D5C" w:rsidRPr="00453B08">
        <w:rPr>
          <w:rFonts w:ascii="Arial" w:hAnsi="Arial" w:cs="Arial"/>
          <w:sz w:val="24"/>
          <w:szCs w:val="24"/>
        </w:rPr>
        <w:t xml:space="preserve"> This was then replicated throughout the 333 workforce in a tiered fashion.</w:t>
      </w:r>
      <w:r w:rsidR="00874652" w:rsidRPr="00453B08">
        <w:rPr>
          <w:rFonts w:ascii="Arial" w:hAnsi="Arial" w:cs="Arial"/>
          <w:sz w:val="24"/>
          <w:szCs w:val="24"/>
        </w:rPr>
        <w:t xml:space="preserve"> </w:t>
      </w:r>
    </w:p>
    <w:p w14:paraId="18A057E2" w14:textId="77777777" w:rsidR="007B48A3" w:rsidRPr="00453B08" w:rsidRDefault="007B48A3" w:rsidP="00C93167">
      <w:pPr>
        <w:spacing w:after="0" w:line="240" w:lineRule="auto"/>
        <w:rPr>
          <w:rFonts w:ascii="Arial" w:hAnsi="Arial" w:cs="Arial"/>
          <w:sz w:val="24"/>
          <w:szCs w:val="24"/>
        </w:rPr>
      </w:pPr>
    </w:p>
    <w:p w14:paraId="5A582E00" w14:textId="21C9A13C" w:rsidR="005A1D7F" w:rsidRPr="00453B08" w:rsidRDefault="007B48A3" w:rsidP="00C93167">
      <w:pPr>
        <w:spacing w:after="0" w:line="240" w:lineRule="auto"/>
        <w:rPr>
          <w:rFonts w:ascii="Arial" w:hAnsi="Arial" w:cs="Arial"/>
          <w:sz w:val="24"/>
          <w:szCs w:val="24"/>
        </w:rPr>
      </w:pPr>
      <w:r w:rsidRPr="00453B08">
        <w:rPr>
          <w:rFonts w:ascii="Arial" w:hAnsi="Arial" w:cs="Arial"/>
          <w:sz w:val="24"/>
          <w:szCs w:val="24"/>
        </w:rPr>
        <w:t>R</w:t>
      </w:r>
      <w:r w:rsidR="005610D6" w:rsidRPr="00453B08">
        <w:rPr>
          <w:rFonts w:ascii="Arial" w:hAnsi="Arial" w:cs="Arial"/>
          <w:sz w:val="24"/>
          <w:szCs w:val="24"/>
        </w:rPr>
        <w:t>ecovery principles</w:t>
      </w:r>
      <w:r w:rsidR="00C75040"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author":[{"dropping-particle":"","family":"Shepherd","given":"Geoff","non-dropping-particle":"","parse-names":false,"suffix":""},{"dropping-particle":"","family":"Boardman","given":"Jed","non-dropping-particle":"","parse-names":false,"suffix":""},{"dropping-particle":"","family":"Slade","given":"Mike","non-dropping-particle":"","parse-names":false,"suffix":""}],"id":"ITEM-1","issued":{"date-parts":[["2008"]]},"title":"Making Recovery a Reality","type":"article-journal"},"uris":["http://www.mendeley.com/documents/?uuid=716e1c79-8ebb-3e6a-801c-cb371dbf7261"]}],"mendeley":{"formattedCitation":"(35)","plainTextFormattedCitation":"(35)","previouslyFormattedCitation":"(35)"},"properties":{"noteIndex":0},"schema":"https://github.com/citation-style-language/schema/raw/master/csl-citation.json"}</w:instrText>
      </w:r>
      <w:r w:rsidR="00C75040"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(35)</w:t>
      </w:r>
      <w:r w:rsidR="00C75040" w:rsidRPr="00B662EF">
        <w:rPr>
          <w:rFonts w:ascii="Arial" w:hAnsi="Arial" w:cs="Arial"/>
          <w:sz w:val="24"/>
          <w:szCs w:val="24"/>
          <w:vertAlign w:val="superscript"/>
        </w:rPr>
        <w:fldChar w:fldCharType="end"/>
      </w:r>
      <w:r w:rsidR="00C75040" w:rsidRPr="00453B08">
        <w:rPr>
          <w:rFonts w:ascii="Arial" w:hAnsi="Arial" w:cs="Arial"/>
          <w:sz w:val="24"/>
          <w:szCs w:val="24"/>
        </w:rPr>
        <w:t xml:space="preserve"> </w:t>
      </w:r>
      <w:r w:rsidR="005610D6" w:rsidRPr="00453B08">
        <w:rPr>
          <w:rFonts w:ascii="Arial" w:hAnsi="Arial" w:cs="Arial"/>
          <w:sz w:val="24"/>
          <w:szCs w:val="24"/>
        </w:rPr>
        <w:t>of f</w:t>
      </w:r>
      <w:r w:rsidR="005A1D7F" w:rsidRPr="00453B08">
        <w:rPr>
          <w:rFonts w:ascii="Arial" w:hAnsi="Arial" w:cs="Arial"/>
          <w:sz w:val="24"/>
          <w:szCs w:val="24"/>
        </w:rPr>
        <w:t>inding and maintaining hope</w:t>
      </w:r>
      <w:r w:rsidR="005610D6" w:rsidRPr="00453B08">
        <w:rPr>
          <w:rFonts w:ascii="Arial" w:hAnsi="Arial" w:cs="Arial"/>
          <w:sz w:val="24"/>
          <w:szCs w:val="24"/>
        </w:rPr>
        <w:t>, r</w:t>
      </w:r>
      <w:r w:rsidR="005A1D7F" w:rsidRPr="00453B08">
        <w:rPr>
          <w:rFonts w:ascii="Arial" w:hAnsi="Arial" w:cs="Arial"/>
          <w:sz w:val="24"/>
          <w:szCs w:val="24"/>
        </w:rPr>
        <w:t>e-establish</w:t>
      </w:r>
      <w:r w:rsidR="002E7F68" w:rsidRPr="00453B08">
        <w:rPr>
          <w:rFonts w:ascii="Arial" w:hAnsi="Arial" w:cs="Arial"/>
          <w:sz w:val="24"/>
          <w:szCs w:val="24"/>
        </w:rPr>
        <w:t>ing</w:t>
      </w:r>
      <w:r w:rsidR="005A1D7F" w:rsidRPr="00453B08">
        <w:rPr>
          <w:rFonts w:ascii="Arial" w:hAnsi="Arial" w:cs="Arial"/>
          <w:sz w:val="24"/>
          <w:szCs w:val="24"/>
        </w:rPr>
        <w:t xml:space="preserve"> a positive identity</w:t>
      </w:r>
      <w:r w:rsidR="0069760A" w:rsidRPr="00453B08">
        <w:rPr>
          <w:rFonts w:ascii="Arial" w:hAnsi="Arial" w:cs="Arial"/>
          <w:sz w:val="24"/>
          <w:szCs w:val="24"/>
        </w:rPr>
        <w:t>, taking control and responsibility,</w:t>
      </w:r>
      <w:r w:rsidRPr="00453B08">
        <w:rPr>
          <w:rFonts w:ascii="Arial" w:hAnsi="Arial" w:cs="Arial"/>
          <w:sz w:val="24"/>
          <w:szCs w:val="24"/>
        </w:rPr>
        <w:t xml:space="preserve"> and</w:t>
      </w:r>
      <w:r w:rsidR="002E7F68" w:rsidRPr="00453B08">
        <w:rPr>
          <w:rFonts w:ascii="Arial" w:hAnsi="Arial" w:cs="Arial"/>
          <w:sz w:val="24"/>
          <w:szCs w:val="24"/>
        </w:rPr>
        <w:t xml:space="preserve"> building a </w:t>
      </w:r>
      <w:r w:rsidRPr="00453B08">
        <w:rPr>
          <w:rFonts w:ascii="Arial" w:hAnsi="Arial" w:cs="Arial"/>
          <w:sz w:val="24"/>
          <w:szCs w:val="24"/>
        </w:rPr>
        <w:t xml:space="preserve">life </w:t>
      </w:r>
      <w:r w:rsidR="002E7F68" w:rsidRPr="00453B08">
        <w:rPr>
          <w:rFonts w:ascii="Arial" w:hAnsi="Arial" w:cs="Arial"/>
          <w:sz w:val="24"/>
          <w:szCs w:val="24"/>
        </w:rPr>
        <w:t xml:space="preserve">meaningful </w:t>
      </w:r>
      <w:r w:rsidRPr="00453B08">
        <w:rPr>
          <w:rFonts w:ascii="Arial" w:hAnsi="Arial" w:cs="Arial"/>
          <w:sz w:val="24"/>
          <w:szCs w:val="24"/>
        </w:rPr>
        <w:t>to the person</w:t>
      </w:r>
      <w:r w:rsidR="003F6DB5" w:rsidRPr="00453B08">
        <w:rPr>
          <w:rFonts w:ascii="Arial" w:hAnsi="Arial" w:cs="Arial"/>
          <w:sz w:val="24"/>
          <w:szCs w:val="24"/>
        </w:rPr>
        <w:t>,</w:t>
      </w:r>
      <w:r w:rsidRPr="00453B08">
        <w:rPr>
          <w:rFonts w:ascii="Arial" w:hAnsi="Arial" w:cs="Arial"/>
          <w:sz w:val="24"/>
          <w:szCs w:val="24"/>
        </w:rPr>
        <w:t xml:space="preserve"> </w:t>
      </w:r>
      <w:r w:rsidR="00B425CF" w:rsidRPr="00453B08">
        <w:rPr>
          <w:rFonts w:ascii="Arial" w:hAnsi="Arial" w:cs="Arial"/>
          <w:sz w:val="24"/>
          <w:szCs w:val="24"/>
        </w:rPr>
        <w:t>was</w:t>
      </w:r>
      <w:r w:rsidRPr="00453B08">
        <w:rPr>
          <w:rFonts w:ascii="Arial" w:hAnsi="Arial" w:cs="Arial"/>
          <w:sz w:val="24"/>
          <w:szCs w:val="24"/>
        </w:rPr>
        <w:t xml:space="preserve"> central</w:t>
      </w:r>
      <w:r w:rsidR="002E7F68" w:rsidRPr="00453B08">
        <w:rPr>
          <w:rFonts w:ascii="Arial" w:hAnsi="Arial" w:cs="Arial"/>
          <w:sz w:val="24"/>
          <w:szCs w:val="24"/>
        </w:rPr>
        <w:t xml:space="preserve">. </w:t>
      </w:r>
      <w:r w:rsidR="00635BDA" w:rsidRPr="00453B08">
        <w:rPr>
          <w:rFonts w:ascii="Arial" w:hAnsi="Arial" w:cs="Arial"/>
          <w:sz w:val="24"/>
          <w:szCs w:val="24"/>
        </w:rPr>
        <w:t xml:space="preserve"> </w:t>
      </w:r>
      <w:r w:rsidR="002E7F68" w:rsidRPr="00453B08">
        <w:rPr>
          <w:rFonts w:ascii="Arial" w:hAnsi="Arial" w:cs="Arial"/>
          <w:sz w:val="24"/>
          <w:szCs w:val="24"/>
        </w:rPr>
        <w:t>For example</w:t>
      </w:r>
      <w:r w:rsidR="00463A51" w:rsidRPr="00453B08">
        <w:rPr>
          <w:rFonts w:ascii="Arial" w:hAnsi="Arial" w:cs="Arial"/>
          <w:sz w:val="24"/>
          <w:szCs w:val="24"/>
        </w:rPr>
        <w:t>,</w:t>
      </w:r>
      <w:r w:rsidR="002E7F68" w:rsidRPr="00453B08">
        <w:rPr>
          <w:rFonts w:ascii="Arial" w:hAnsi="Arial" w:cs="Arial"/>
          <w:sz w:val="24"/>
          <w:szCs w:val="24"/>
        </w:rPr>
        <w:t xml:space="preserve"> </w:t>
      </w:r>
      <w:r w:rsidRPr="00453B08">
        <w:rPr>
          <w:rFonts w:ascii="Arial" w:hAnsi="Arial" w:cs="Arial"/>
          <w:sz w:val="24"/>
          <w:szCs w:val="24"/>
        </w:rPr>
        <w:t xml:space="preserve">on </w:t>
      </w:r>
      <w:r w:rsidR="002E7F68" w:rsidRPr="00453B08">
        <w:rPr>
          <w:rFonts w:ascii="Arial" w:hAnsi="Arial" w:cs="Arial"/>
          <w:sz w:val="24"/>
          <w:szCs w:val="24"/>
        </w:rPr>
        <w:t xml:space="preserve">the 3 day AU staff consider themselves </w:t>
      </w:r>
      <w:r w:rsidRPr="00453B08">
        <w:rPr>
          <w:rFonts w:ascii="Arial" w:hAnsi="Arial" w:cs="Arial"/>
          <w:sz w:val="24"/>
          <w:szCs w:val="24"/>
        </w:rPr>
        <w:t>hope</w:t>
      </w:r>
      <w:r w:rsidR="002E7F68" w:rsidRPr="00453B08">
        <w:rPr>
          <w:rFonts w:ascii="Arial" w:hAnsi="Arial" w:cs="Arial"/>
          <w:sz w:val="24"/>
          <w:szCs w:val="24"/>
        </w:rPr>
        <w:t xml:space="preserve"> vendors. </w:t>
      </w:r>
      <w:r w:rsidRPr="00453B08">
        <w:rPr>
          <w:rFonts w:ascii="Arial" w:hAnsi="Arial" w:cs="Arial"/>
          <w:sz w:val="24"/>
          <w:szCs w:val="24"/>
        </w:rPr>
        <w:t xml:space="preserve">For someone severely unwell, </w:t>
      </w:r>
      <w:r w:rsidR="00B425CF" w:rsidRPr="00453B08">
        <w:rPr>
          <w:rFonts w:ascii="Arial" w:hAnsi="Arial" w:cs="Arial"/>
          <w:sz w:val="24"/>
          <w:szCs w:val="24"/>
        </w:rPr>
        <w:t>3 day treatment goals are limited</w:t>
      </w:r>
      <w:r w:rsidRPr="00453B08">
        <w:rPr>
          <w:rFonts w:ascii="Arial" w:hAnsi="Arial" w:cs="Arial"/>
          <w:sz w:val="24"/>
          <w:szCs w:val="24"/>
        </w:rPr>
        <w:t>.</w:t>
      </w:r>
      <w:r w:rsidR="002E7F68" w:rsidRPr="00453B08">
        <w:rPr>
          <w:rFonts w:ascii="Arial" w:hAnsi="Arial" w:cs="Arial"/>
          <w:sz w:val="24"/>
          <w:szCs w:val="24"/>
        </w:rPr>
        <w:t xml:space="preserve"> However </w:t>
      </w:r>
      <w:r w:rsidRPr="00453B08">
        <w:rPr>
          <w:rFonts w:ascii="Arial" w:hAnsi="Arial" w:cs="Arial"/>
          <w:sz w:val="24"/>
          <w:szCs w:val="24"/>
        </w:rPr>
        <w:t>the</w:t>
      </w:r>
      <w:r w:rsidR="00307EBA" w:rsidRPr="00453B08">
        <w:rPr>
          <w:rFonts w:ascii="Arial" w:hAnsi="Arial" w:cs="Arial"/>
          <w:sz w:val="24"/>
          <w:szCs w:val="24"/>
        </w:rPr>
        <w:t xml:space="preserve"> journey of </w:t>
      </w:r>
      <w:r w:rsidR="002E7F68" w:rsidRPr="00453B08">
        <w:rPr>
          <w:rFonts w:ascii="Arial" w:hAnsi="Arial" w:cs="Arial"/>
          <w:sz w:val="24"/>
          <w:szCs w:val="24"/>
        </w:rPr>
        <w:t>rediscovering hope</w:t>
      </w:r>
      <w:r w:rsidR="00B425CF" w:rsidRPr="00453B08">
        <w:rPr>
          <w:rFonts w:ascii="Arial" w:hAnsi="Arial" w:cs="Arial"/>
          <w:sz w:val="24"/>
          <w:szCs w:val="24"/>
        </w:rPr>
        <w:t xml:space="preserve"> may be initiated</w:t>
      </w:r>
      <w:r w:rsidR="00307EBA" w:rsidRPr="00453B08">
        <w:rPr>
          <w:rFonts w:ascii="Arial" w:hAnsi="Arial" w:cs="Arial"/>
          <w:sz w:val="24"/>
          <w:szCs w:val="24"/>
        </w:rPr>
        <w:t xml:space="preserve">. </w:t>
      </w:r>
      <w:r w:rsidR="00B425CF" w:rsidRPr="00453B08">
        <w:rPr>
          <w:rFonts w:ascii="Arial" w:hAnsi="Arial" w:cs="Arial"/>
          <w:sz w:val="24"/>
          <w:szCs w:val="24"/>
        </w:rPr>
        <w:t xml:space="preserve">Establishing </w:t>
      </w:r>
      <w:r w:rsidR="0073280C" w:rsidRPr="00453B08">
        <w:rPr>
          <w:rFonts w:ascii="Arial" w:hAnsi="Arial" w:cs="Arial"/>
          <w:sz w:val="24"/>
          <w:szCs w:val="24"/>
        </w:rPr>
        <w:t xml:space="preserve">all is not lost becomes the foundation of the safety planning </w:t>
      </w:r>
      <w:r w:rsidR="00307EBA" w:rsidRPr="00453B08">
        <w:rPr>
          <w:rFonts w:ascii="Arial" w:hAnsi="Arial" w:cs="Arial"/>
          <w:sz w:val="24"/>
          <w:szCs w:val="24"/>
        </w:rPr>
        <w:t>balance sheet</w:t>
      </w:r>
      <w:r w:rsidR="0073280C" w:rsidRPr="00453B08">
        <w:rPr>
          <w:rFonts w:ascii="Arial" w:hAnsi="Arial" w:cs="Arial"/>
          <w:sz w:val="24"/>
          <w:szCs w:val="24"/>
        </w:rPr>
        <w:t xml:space="preserve"> which involves </w:t>
      </w:r>
      <w:r w:rsidR="003F6DB5" w:rsidRPr="00453B08">
        <w:rPr>
          <w:rFonts w:ascii="Arial" w:hAnsi="Arial" w:cs="Arial"/>
          <w:sz w:val="24"/>
          <w:szCs w:val="24"/>
        </w:rPr>
        <w:t>shared risk mitigation</w:t>
      </w:r>
      <w:r w:rsidR="0073280C" w:rsidRPr="00453B08">
        <w:rPr>
          <w:rFonts w:ascii="Arial" w:hAnsi="Arial" w:cs="Arial"/>
          <w:sz w:val="24"/>
          <w:szCs w:val="24"/>
        </w:rPr>
        <w:t>.</w:t>
      </w:r>
      <w:r w:rsidR="00307EBA" w:rsidRPr="00453B08">
        <w:rPr>
          <w:rFonts w:ascii="Arial" w:hAnsi="Arial" w:cs="Arial"/>
          <w:sz w:val="24"/>
          <w:szCs w:val="24"/>
        </w:rPr>
        <w:t xml:space="preserve"> They still need their treatment, but </w:t>
      </w:r>
      <w:r w:rsidR="0073280C" w:rsidRPr="00453B08">
        <w:rPr>
          <w:rFonts w:ascii="Arial" w:hAnsi="Arial" w:cs="Arial"/>
          <w:sz w:val="24"/>
          <w:szCs w:val="24"/>
        </w:rPr>
        <w:t xml:space="preserve">our results show that for 74% of patients admitted to the </w:t>
      </w:r>
      <w:r w:rsidR="00C93167" w:rsidRPr="00453B08">
        <w:rPr>
          <w:rFonts w:ascii="Arial" w:hAnsi="Arial" w:cs="Arial"/>
          <w:sz w:val="24"/>
          <w:szCs w:val="24"/>
        </w:rPr>
        <w:t>AU</w:t>
      </w:r>
      <w:r w:rsidR="00FD1083" w:rsidRPr="00453B08">
        <w:rPr>
          <w:rFonts w:ascii="Arial" w:hAnsi="Arial" w:cs="Arial"/>
          <w:sz w:val="24"/>
          <w:szCs w:val="24"/>
        </w:rPr>
        <w:t>,</w:t>
      </w:r>
      <w:r w:rsidR="0073280C" w:rsidRPr="00453B08">
        <w:rPr>
          <w:rFonts w:ascii="Arial" w:hAnsi="Arial" w:cs="Arial"/>
          <w:sz w:val="24"/>
          <w:szCs w:val="24"/>
        </w:rPr>
        <w:t xml:space="preserve"> within a median of 3.75 days</w:t>
      </w:r>
      <w:r w:rsidR="003F6DB5" w:rsidRPr="00453B08">
        <w:rPr>
          <w:rFonts w:ascii="Arial" w:hAnsi="Arial" w:cs="Arial"/>
          <w:sz w:val="24"/>
          <w:szCs w:val="24"/>
        </w:rPr>
        <w:t>, they</w:t>
      </w:r>
      <w:r w:rsidR="0073280C" w:rsidRPr="00453B08">
        <w:rPr>
          <w:rFonts w:ascii="Arial" w:hAnsi="Arial" w:cs="Arial"/>
          <w:sz w:val="24"/>
          <w:szCs w:val="24"/>
        </w:rPr>
        <w:t xml:space="preserve"> can be safely managed at home</w:t>
      </w:r>
      <w:r w:rsidR="00FD1083" w:rsidRPr="00453B08">
        <w:rPr>
          <w:rFonts w:ascii="Arial" w:hAnsi="Arial" w:cs="Arial"/>
          <w:sz w:val="24"/>
          <w:szCs w:val="24"/>
        </w:rPr>
        <w:t xml:space="preserve"> using recovery oriented interventions</w:t>
      </w:r>
      <w:r w:rsidR="0073280C" w:rsidRPr="00453B08">
        <w:rPr>
          <w:rFonts w:ascii="Arial" w:hAnsi="Arial" w:cs="Arial"/>
          <w:sz w:val="24"/>
          <w:szCs w:val="24"/>
        </w:rPr>
        <w:t>.</w:t>
      </w:r>
      <w:r w:rsidR="00307EBA" w:rsidRPr="00453B08">
        <w:rPr>
          <w:rFonts w:ascii="Arial" w:hAnsi="Arial" w:cs="Arial"/>
          <w:sz w:val="24"/>
          <w:szCs w:val="24"/>
        </w:rPr>
        <w:t xml:space="preserve"> </w:t>
      </w:r>
      <w:r w:rsidR="00395AD5" w:rsidRPr="00453B08">
        <w:rPr>
          <w:rFonts w:ascii="Arial" w:hAnsi="Arial" w:cs="Arial"/>
          <w:sz w:val="24"/>
          <w:szCs w:val="24"/>
        </w:rPr>
        <w:t>Median from the national confidential enquiry for suicides per 10,000 people under mental health care in 2013-15 is 7.1</w:t>
      </w:r>
      <w:r w:rsidR="00A62FD6" w:rsidRPr="00B662EF">
        <w:rPr>
          <w:rFonts w:ascii="Arial" w:hAnsi="Arial" w:cs="Arial"/>
          <w:sz w:val="24"/>
          <w:szCs w:val="24"/>
          <w:vertAlign w:val="superscript"/>
        </w:rPr>
        <w:fldChar w:fldCharType="begin" w:fldLock="1"/>
      </w:r>
      <w:r w:rsidR="007D487E">
        <w:rPr>
          <w:rFonts w:ascii="Arial" w:hAnsi="Arial" w:cs="Arial"/>
          <w:sz w:val="24"/>
          <w:szCs w:val="24"/>
          <w:vertAlign w:val="superscript"/>
        </w:rPr>
        <w:instrText>ADDIN CSL_CITATION {"citationItems":[{"id":"ITEM-1","itemData":{"author":[{"dropping-particle":"","family":"Burns","given":"James","non-dropping-particle":"","parse-names":false,"suffix":""},{"dropping-particle":"","family":"Flynn","given":"Sandra","non-dropping-particle":"","parse-names":false,"suffix":""},{"dropping-particle":"","family":"Lowe","given":"Rebecca","non-dropping-particle":"","parse-names":false,"suffix":""},{"dropping-particle":"","family":"Turnbull","given":"Pauline","non-dropping-particle":"","parse-names":false,"suffix":""},{"dropping-particle":"","family":"Baird","given":"Alison","non-dropping-particle":"","parse-names":false,"suffix":""},{"dropping-particle":"","family":"Stones","given":"Philip","non-dropping-particle":"","parse-names":false,"suffix":""},{"dropping-particle":"","family":"Hall","given":"Julie","non-dropping-particle":"","parse-names":false,"suffix":""},{"dropping-particle":"","family":"Graney","given":"Jane","non-dropping-particle":"","parse-names":false,"suffix":""},{"dropping-particle":"","family":"Sadhananthamuthusamy","given":"Sindhu","non-dropping-particle":"","parse-names":false,"suffix":""},{"dropping-particle":"","family":"Daud","given":"Huma","non-dropping-particle":"","parse-names":false,"suffix":""},{"dropping-particle":"","family":"Sherlock","given":"Beckie","non-dropping-particle":"","parse-names":false,"suffix":""}],"id":"ITEM-1","issued":{"date-parts":[["2017"]]},"title":"National Confidential Inquiry into Suicide and Homicide by People with Mental Illness","type":"report"},"uris":["http://www.mendeley.com/documents/?uuid=7dc18da6-0f72-39d7-8ea4-66605ebe5feb"]}],"mendeley":{"formattedCitation":"(36)","plainTextFormattedCitation":"(36)","previouslyFormattedCitation":"(36)"},"properties":{"noteIndex":0},"schema":"https://github.com/citation-style-language/schema/raw/master/csl-citation.json"}</w:instrText>
      </w:r>
      <w:r w:rsidR="00A62FD6" w:rsidRPr="00B662EF">
        <w:rPr>
          <w:rFonts w:ascii="Arial" w:hAnsi="Arial" w:cs="Arial"/>
          <w:sz w:val="24"/>
          <w:szCs w:val="24"/>
          <w:vertAlign w:val="superscript"/>
        </w:rPr>
        <w:fldChar w:fldCharType="separate"/>
      </w:r>
      <w:r w:rsidR="00B92A29" w:rsidRPr="00B662EF">
        <w:rPr>
          <w:rFonts w:ascii="Arial" w:hAnsi="Arial" w:cs="Arial"/>
          <w:noProof/>
          <w:sz w:val="24"/>
          <w:szCs w:val="24"/>
          <w:vertAlign w:val="superscript"/>
        </w:rPr>
        <w:t>(36)</w:t>
      </w:r>
      <w:r w:rsidR="00A62FD6" w:rsidRPr="00B662EF">
        <w:rPr>
          <w:rFonts w:ascii="Arial" w:hAnsi="Arial" w:cs="Arial"/>
          <w:sz w:val="24"/>
          <w:szCs w:val="24"/>
          <w:vertAlign w:val="superscript"/>
        </w:rPr>
        <w:fldChar w:fldCharType="end"/>
      </w:r>
      <w:r w:rsidR="00A62FD6" w:rsidRPr="00453B08">
        <w:rPr>
          <w:rFonts w:ascii="Arial" w:hAnsi="Arial" w:cs="Arial"/>
          <w:sz w:val="24"/>
          <w:szCs w:val="24"/>
        </w:rPr>
        <w:t xml:space="preserve"> </w:t>
      </w:r>
      <w:r w:rsidR="00395AD5" w:rsidRPr="00453B08">
        <w:rPr>
          <w:rFonts w:ascii="Arial" w:hAnsi="Arial" w:cs="Arial"/>
          <w:sz w:val="24"/>
          <w:szCs w:val="24"/>
        </w:rPr>
        <w:t>in comparison to CPFT’s 5.5.</w:t>
      </w:r>
      <w:r w:rsidR="00A62FD6" w:rsidRPr="00453B08">
        <w:rPr>
          <w:rFonts w:ascii="Arial" w:hAnsi="Arial" w:cs="Arial"/>
          <w:sz w:val="24"/>
          <w:szCs w:val="24"/>
        </w:rPr>
        <w:t xml:space="preserve"> </w:t>
      </w:r>
    </w:p>
    <w:p w14:paraId="03E998FC" w14:textId="77777777" w:rsidR="002F4AEF" w:rsidRPr="00453B08" w:rsidRDefault="002F4AEF" w:rsidP="00C93167">
      <w:pPr>
        <w:spacing w:after="0" w:line="240" w:lineRule="auto"/>
        <w:rPr>
          <w:rFonts w:ascii="Arial" w:hAnsi="Arial" w:cs="Arial"/>
          <w:sz w:val="24"/>
          <w:szCs w:val="24"/>
        </w:rPr>
      </w:pPr>
    </w:p>
    <w:p w14:paraId="339EAD00" w14:textId="3E819FA8" w:rsidR="002E7F68" w:rsidRPr="00453B08" w:rsidRDefault="002F4AEF" w:rsidP="002E7F68">
      <w:pPr>
        <w:spacing w:after="0" w:line="240" w:lineRule="auto"/>
        <w:rPr>
          <w:rFonts w:ascii="Arial" w:hAnsi="Arial" w:cs="Arial"/>
          <w:sz w:val="24"/>
          <w:szCs w:val="24"/>
        </w:rPr>
      </w:pPr>
      <w:r w:rsidRPr="00453B08">
        <w:rPr>
          <w:rFonts w:ascii="Arial" w:hAnsi="Arial" w:cs="Arial"/>
          <w:sz w:val="24"/>
          <w:szCs w:val="24"/>
        </w:rPr>
        <w:t>Add</w:t>
      </w:r>
      <w:r w:rsidR="00FD1083" w:rsidRPr="00453B08">
        <w:rPr>
          <w:rFonts w:ascii="Arial" w:hAnsi="Arial" w:cs="Arial"/>
          <w:sz w:val="24"/>
          <w:szCs w:val="24"/>
        </w:rPr>
        <w:t>ed</w:t>
      </w:r>
      <w:r w:rsidRPr="00453B08">
        <w:rPr>
          <w:rFonts w:ascii="Arial" w:hAnsi="Arial" w:cs="Arial"/>
          <w:sz w:val="24"/>
          <w:szCs w:val="24"/>
        </w:rPr>
        <w:t xml:space="preserve"> value</w:t>
      </w:r>
      <w:r w:rsidR="00FD1083" w:rsidRPr="00453B08">
        <w:rPr>
          <w:rFonts w:ascii="Arial" w:hAnsi="Arial" w:cs="Arial"/>
          <w:sz w:val="24"/>
          <w:szCs w:val="24"/>
        </w:rPr>
        <w:t xml:space="preserve"> from any stay on any ward</w:t>
      </w:r>
      <w:r w:rsidRPr="00453B08">
        <w:rPr>
          <w:rFonts w:ascii="Arial" w:hAnsi="Arial" w:cs="Arial"/>
          <w:sz w:val="24"/>
          <w:szCs w:val="24"/>
        </w:rPr>
        <w:t xml:space="preserve"> is scrutin</w:t>
      </w:r>
      <w:r w:rsidR="00B425CF" w:rsidRPr="00453B08">
        <w:rPr>
          <w:rFonts w:ascii="Arial" w:hAnsi="Arial" w:cs="Arial"/>
          <w:sz w:val="24"/>
          <w:szCs w:val="24"/>
        </w:rPr>
        <w:t xml:space="preserve">ised with regular exploration of </w:t>
      </w:r>
      <w:r w:rsidR="00E54641" w:rsidRPr="00453B08">
        <w:rPr>
          <w:rFonts w:ascii="Arial" w:hAnsi="Arial" w:cs="Arial"/>
          <w:sz w:val="24"/>
          <w:szCs w:val="24"/>
        </w:rPr>
        <w:t>a</w:t>
      </w:r>
      <w:r w:rsidR="004B2A6A" w:rsidRPr="00453B08">
        <w:rPr>
          <w:rFonts w:ascii="Arial" w:hAnsi="Arial" w:cs="Arial"/>
          <w:sz w:val="24"/>
          <w:szCs w:val="24"/>
        </w:rPr>
        <w:t>lternatives</w:t>
      </w:r>
      <w:r w:rsidR="00B425CF" w:rsidRPr="00453B08">
        <w:rPr>
          <w:rFonts w:ascii="Arial" w:hAnsi="Arial" w:cs="Arial"/>
          <w:sz w:val="24"/>
          <w:szCs w:val="24"/>
        </w:rPr>
        <w:t>.</w:t>
      </w:r>
      <w:r w:rsidRPr="00453B08">
        <w:rPr>
          <w:rFonts w:ascii="Arial" w:hAnsi="Arial" w:cs="Arial"/>
          <w:sz w:val="24"/>
          <w:szCs w:val="24"/>
        </w:rPr>
        <w:t xml:space="preserve"> Staff and patients working in partnership</w:t>
      </w:r>
      <w:r w:rsidR="003D31F4" w:rsidRPr="00453B08">
        <w:rPr>
          <w:rFonts w:ascii="Arial" w:hAnsi="Arial" w:cs="Arial"/>
          <w:sz w:val="24"/>
          <w:szCs w:val="24"/>
        </w:rPr>
        <w:t xml:space="preserve">, </w:t>
      </w:r>
      <w:r w:rsidRPr="00453B08">
        <w:rPr>
          <w:rFonts w:ascii="Arial" w:hAnsi="Arial" w:cs="Arial"/>
          <w:sz w:val="24"/>
          <w:szCs w:val="24"/>
        </w:rPr>
        <w:t xml:space="preserve">set up realistic but challenging </w:t>
      </w:r>
      <w:r w:rsidR="003F6DB5" w:rsidRPr="00453B08">
        <w:rPr>
          <w:rFonts w:ascii="Arial" w:hAnsi="Arial" w:cs="Arial"/>
          <w:sz w:val="24"/>
          <w:szCs w:val="24"/>
        </w:rPr>
        <w:t xml:space="preserve">recovery </w:t>
      </w:r>
      <w:r w:rsidRPr="00453B08">
        <w:rPr>
          <w:rFonts w:ascii="Arial" w:hAnsi="Arial" w:cs="Arial"/>
          <w:sz w:val="24"/>
          <w:szCs w:val="24"/>
        </w:rPr>
        <w:t>milestones towards which they work together and hold themselves to account</w:t>
      </w:r>
      <w:r w:rsidR="004B2A6A" w:rsidRPr="00453B08">
        <w:rPr>
          <w:rFonts w:ascii="Arial" w:hAnsi="Arial" w:cs="Arial"/>
          <w:sz w:val="24"/>
          <w:szCs w:val="24"/>
        </w:rPr>
        <w:t>.</w:t>
      </w:r>
      <w:r w:rsidRPr="00453B08">
        <w:rPr>
          <w:rFonts w:ascii="Arial" w:hAnsi="Arial" w:cs="Arial"/>
          <w:sz w:val="24"/>
          <w:szCs w:val="24"/>
        </w:rPr>
        <w:t xml:space="preserve"> Each pathway has well defined roles. For example</w:t>
      </w:r>
      <w:r w:rsidR="00463A51" w:rsidRPr="00453B08">
        <w:rPr>
          <w:rFonts w:ascii="Arial" w:hAnsi="Arial" w:cs="Arial"/>
          <w:sz w:val="24"/>
          <w:szCs w:val="24"/>
        </w:rPr>
        <w:t>,</w:t>
      </w:r>
      <w:r w:rsidRPr="00453B08">
        <w:rPr>
          <w:rFonts w:ascii="Arial" w:hAnsi="Arial" w:cs="Arial"/>
          <w:sz w:val="24"/>
          <w:szCs w:val="24"/>
        </w:rPr>
        <w:t xml:space="preserve"> in addition to the core function of ‘assuring safety through hope’, AU staff have </w:t>
      </w:r>
      <w:r w:rsidR="00C93167" w:rsidRPr="00453B08">
        <w:rPr>
          <w:rFonts w:ascii="Arial" w:hAnsi="Arial" w:cs="Arial"/>
          <w:sz w:val="24"/>
          <w:szCs w:val="24"/>
        </w:rPr>
        <w:t>five specific assessment goals</w:t>
      </w:r>
      <w:r w:rsidR="004B2A6A" w:rsidRPr="00453B08">
        <w:rPr>
          <w:rFonts w:ascii="Arial" w:hAnsi="Arial" w:cs="Arial"/>
          <w:sz w:val="24"/>
          <w:szCs w:val="24"/>
        </w:rPr>
        <w:t>.</w:t>
      </w:r>
      <w:r w:rsidR="00C93167" w:rsidRPr="00453B08">
        <w:rPr>
          <w:rFonts w:ascii="Arial" w:hAnsi="Arial" w:cs="Arial"/>
          <w:sz w:val="24"/>
          <w:szCs w:val="24"/>
        </w:rPr>
        <w:t xml:space="preserve"> These include a formulation of the person’s needs and strengths, a provisional diagnosis, what treatment is indicated, where is </w:t>
      </w:r>
      <w:r w:rsidR="004B2A6A" w:rsidRPr="00453B08">
        <w:rPr>
          <w:rFonts w:ascii="Arial" w:hAnsi="Arial" w:cs="Arial"/>
          <w:sz w:val="24"/>
          <w:szCs w:val="24"/>
        </w:rPr>
        <w:t>it</w:t>
      </w:r>
      <w:r w:rsidR="00C93167" w:rsidRPr="00453B08">
        <w:rPr>
          <w:rFonts w:ascii="Arial" w:hAnsi="Arial" w:cs="Arial"/>
          <w:sz w:val="24"/>
          <w:szCs w:val="24"/>
        </w:rPr>
        <w:t xml:space="preserve"> best delivered and </w:t>
      </w:r>
      <w:r w:rsidR="004B2A6A" w:rsidRPr="00453B08">
        <w:rPr>
          <w:rFonts w:ascii="Arial" w:hAnsi="Arial" w:cs="Arial"/>
          <w:sz w:val="24"/>
          <w:szCs w:val="24"/>
        </w:rPr>
        <w:t>for how long</w:t>
      </w:r>
      <w:r w:rsidR="00C93167" w:rsidRPr="00453B08">
        <w:rPr>
          <w:rFonts w:ascii="Arial" w:hAnsi="Arial" w:cs="Arial"/>
          <w:sz w:val="24"/>
          <w:szCs w:val="24"/>
        </w:rPr>
        <w:t>.</w:t>
      </w:r>
      <w:r w:rsidRPr="00453B08">
        <w:rPr>
          <w:rFonts w:ascii="Arial" w:hAnsi="Arial" w:cs="Arial"/>
          <w:sz w:val="24"/>
          <w:szCs w:val="24"/>
        </w:rPr>
        <w:t xml:space="preserve"> Every hour of every stay is accounted for on the AU</w:t>
      </w:r>
      <w:r w:rsidR="00226DEE" w:rsidRPr="00453B08">
        <w:rPr>
          <w:rFonts w:ascii="Arial" w:hAnsi="Arial" w:cs="Arial"/>
          <w:sz w:val="24"/>
          <w:szCs w:val="24"/>
        </w:rPr>
        <w:t xml:space="preserve"> with clear milestones from hour one</w:t>
      </w:r>
      <w:r w:rsidRPr="00453B08">
        <w:rPr>
          <w:rFonts w:ascii="Arial" w:hAnsi="Arial" w:cs="Arial"/>
          <w:sz w:val="24"/>
          <w:szCs w:val="24"/>
        </w:rPr>
        <w:t xml:space="preserve">. The assessment process is continuous and is integrated into the daily routine. </w:t>
      </w:r>
      <w:r w:rsidR="004B2A6A" w:rsidRPr="00453B08">
        <w:rPr>
          <w:rFonts w:ascii="Arial" w:hAnsi="Arial" w:cs="Arial"/>
          <w:sz w:val="24"/>
          <w:szCs w:val="24"/>
        </w:rPr>
        <w:t>A</w:t>
      </w:r>
      <w:r w:rsidRPr="00453B08">
        <w:rPr>
          <w:rFonts w:ascii="Arial" w:hAnsi="Arial" w:cs="Arial"/>
          <w:sz w:val="24"/>
          <w:szCs w:val="24"/>
        </w:rPr>
        <w:t xml:space="preserve"> patient</w:t>
      </w:r>
      <w:r w:rsidR="004B2A6A" w:rsidRPr="00453B08">
        <w:rPr>
          <w:rFonts w:ascii="Arial" w:hAnsi="Arial" w:cs="Arial"/>
          <w:sz w:val="24"/>
          <w:szCs w:val="24"/>
        </w:rPr>
        <w:t>’s attempt at</w:t>
      </w:r>
      <w:r w:rsidRPr="00453B08">
        <w:rPr>
          <w:rFonts w:ascii="Arial" w:hAnsi="Arial" w:cs="Arial"/>
          <w:sz w:val="24"/>
          <w:szCs w:val="24"/>
        </w:rPr>
        <w:t xml:space="preserve"> a jig saw</w:t>
      </w:r>
      <w:r w:rsidR="00E54641" w:rsidRPr="00453B08">
        <w:rPr>
          <w:rFonts w:ascii="Arial" w:hAnsi="Arial" w:cs="Arial"/>
          <w:sz w:val="24"/>
          <w:szCs w:val="24"/>
        </w:rPr>
        <w:t>,</w:t>
      </w:r>
      <w:r w:rsidR="004B2A6A" w:rsidRPr="00453B08">
        <w:rPr>
          <w:rFonts w:ascii="Arial" w:hAnsi="Arial" w:cs="Arial"/>
          <w:sz w:val="24"/>
          <w:szCs w:val="24"/>
        </w:rPr>
        <w:t xml:space="preserve"> creates concentration related documentation.</w:t>
      </w:r>
      <w:r w:rsidRPr="00453B08">
        <w:rPr>
          <w:rFonts w:ascii="Arial" w:hAnsi="Arial" w:cs="Arial"/>
          <w:sz w:val="24"/>
          <w:szCs w:val="24"/>
        </w:rPr>
        <w:t xml:space="preserve"> </w:t>
      </w:r>
      <w:r w:rsidR="004B2A6A" w:rsidRPr="00453B08">
        <w:rPr>
          <w:rFonts w:ascii="Arial" w:hAnsi="Arial" w:cs="Arial"/>
          <w:sz w:val="24"/>
          <w:szCs w:val="24"/>
        </w:rPr>
        <w:t>I</w:t>
      </w:r>
      <w:r w:rsidRPr="00453B08">
        <w:rPr>
          <w:rFonts w:ascii="Arial" w:hAnsi="Arial" w:cs="Arial"/>
          <w:sz w:val="24"/>
          <w:szCs w:val="24"/>
        </w:rPr>
        <w:t>f peers are interacting staff will be observing for eye contact</w:t>
      </w:r>
      <w:r w:rsidR="004B2A6A" w:rsidRPr="00453B08">
        <w:rPr>
          <w:rFonts w:ascii="Arial" w:hAnsi="Arial" w:cs="Arial"/>
          <w:sz w:val="24"/>
          <w:szCs w:val="24"/>
        </w:rPr>
        <w:t>,</w:t>
      </w:r>
      <w:r w:rsidRPr="00453B08">
        <w:rPr>
          <w:rFonts w:ascii="Arial" w:hAnsi="Arial" w:cs="Arial"/>
          <w:sz w:val="24"/>
          <w:szCs w:val="24"/>
        </w:rPr>
        <w:t xml:space="preserve"> rapport</w:t>
      </w:r>
      <w:r w:rsidR="00E54641" w:rsidRPr="00453B08">
        <w:rPr>
          <w:rFonts w:ascii="Arial" w:hAnsi="Arial" w:cs="Arial"/>
          <w:sz w:val="24"/>
          <w:szCs w:val="24"/>
        </w:rPr>
        <w:t xml:space="preserve"> and</w:t>
      </w:r>
      <w:r w:rsidR="004B2A6A" w:rsidRPr="00453B08">
        <w:rPr>
          <w:rFonts w:ascii="Arial" w:hAnsi="Arial" w:cs="Arial"/>
          <w:sz w:val="24"/>
          <w:szCs w:val="24"/>
        </w:rPr>
        <w:t xml:space="preserve"> reactivity of mood</w:t>
      </w:r>
      <w:r w:rsidRPr="00453B08">
        <w:rPr>
          <w:rFonts w:ascii="Arial" w:hAnsi="Arial" w:cs="Arial"/>
          <w:sz w:val="24"/>
          <w:szCs w:val="24"/>
        </w:rPr>
        <w:t xml:space="preserve">. This </w:t>
      </w:r>
      <w:r w:rsidR="004B2A6A" w:rsidRPr="00453B08">
        <w:rPr>
          <w:rFonts w:ascii="Arial" w:hAnsi="Arial" w:cs="Arial"/>
          <w:sz w:val="24"/>
          <w:szCs w:val="24"/>
        </w:rPr>
        <w:t xml:space="preserve">continuous process feeds </w:t>
      </w:r>
      <w:r w:rsidRPr="00453B08">
        <w:rPr>
          <w:rFonts w:ascii="Arial" w:hAnsi="Arial" w:cs="Arial"/>
          <w:sz w:val="24"/>
          <w:szCs w:val="24"/>
        </w:rPr>
        <w:t>into a holistic formulation that guides the opinions relating to treatment and saf</w:t>
      </w:r>
      <w:r w:rsidR="00E54641" w:rsidRPr="00453B08">
        <w:rPr>
          <w:rFonts w:ascii="Arial" w:hAnsi="Arial" w:cs="Arial"/>
          <w:sz w:val="24"/>
          <w:szCs w:val="24"/>
        </w:rPr>
        <w:t>ety. Similar to AU, the TU has</w:t>
      </w:r>
      <w:r w:rsidRPr="00453B08">
        <w:rPr>
          <w:rFonts w:ascii="Arial" w:hAnsi="Arial" w:cs="Arial"/>
          <w:sz w:val="24"/>
          <w:szCs w:val="24"/>
        </w:rPr>
        <w:t xml:space="preserve"> day by day </w:t>
      </w:r>
      <w:r w:rsidR="00E54641" w:rsidRPr="00453B08">
        <w:rPr>
          <w:rFonts w:ascii="Arial" w:hAnsi="Arial" w:cs="Arial"/>
          <w:sz w:val="24"/>
          <w:szCs w:val="24"/>
        </w:rPr>
        <w:t>milestones</w:t>
      </w:r>
      <w:r w:rsidRPr="00453B08">
        <w:rPr>
          <w:rFonts w:ascii="Arial" w:hAnsi="Arial" w:cs="Arial"/>
          <w:sz w:val="24"/>
          <w:szCs w:val="24"/>
        </w:rPr>
        <w:t xml:space="preserve"> and </w:t>
      </w:r>
      <w:r w:rsidR="00E54641" w:rsidRPr="00453B08">
        <w:rPr>
          <w:rFonts w:ascii="Arial" w:hAnsi="Arial" w:cs="Arial"/>
          <w:sz w:val="24"/>
          <w:szCs w:val="24"/>
        </w:rPr>
        <w:t>week by week for the RU</w:t>
      </w:r>
      <w:r w:rsidR="00226DEE" w:rsidRPr="00453B08">
        <w:rPr>
          <w:rFonts w:ascii="Arial" w:hAnsi="Arial" w:cs="Arial"/>
          <w:sz w:val="24"/>
          <w:szCs w:val="24"/>
        </w:rPr>
        <w:t>.</w:t>
      </w:r>
    </w:p>
    <w:p w14:paraId="695FAE57" w14:textId="77777777" w:rsidR="007A3AC1" w:rsidRPr="00453B08" w:rsidRDefault="007A3AC1" w:rsidP="002E7F68">
      <w:pPr>
        <w:spacing w:after="0" w:line="240" w:lineRule="auto"/>
        <w:rPr>
          <w:rFonts w:ascii="Arial" w:hAnsi="Arial" w:cs="Arial"/>
          <w:sz w:val="24"/>
          <w:szCs w:val="24"/>
        </w:rPr>
      </w:pPr>
    </w:p>
    <w:p w14:paraId="16B03B8A" w14:textId="1747A282" w:rsidR="005A1D7F" w:rsidRPr="00453B08" w:rsidRDefault="007A3AC1" w:rsidP="007A3AC1">
      <w:pPr>
        <w:spacing w:after="0" w:line="240" w:lineRule="auto"/>
        <w:rPr>
          <w:rFonts w:ascii="Arial" w:hAnsi="Arial" w:cs="Arial"/>
          <w:sz w:val="24"/>
          <w:szCs w:val="24"/>
        </w:rPr>
      </w:pPr>
      <w:r w:rsidRPr="00453B08">
        <w:rPr>
          <w:rFonts w:ascii="Arial" w:hAnsi="Arial" w:cs="Arial"/>
          <w:sz w:val="24"/>
          <w:szCs w:val="24"/>
        </w:rPr>
        <w:t xml:space="preserve">Promoting common sense as common practice </w:t>
      </w:r>
      <w:r w:rsidR="00226DEE" w:rsidRPr="00453B08">
        <w:rPr>
          <w:rFonts w:ascii="Arial" w:hAnsi="Arial" w:cs="Arial"/>
          <w:sz w:val="24"/>
          <w:szCs w:val="24"/>
        </w:rPr>
        <w:t>was adopted as a</w:t>
      </w:r>
      <w:r w:rsidRPr="00453B08">
        <w:rPr>
          <w:rFonts w:ascii="Arial" w:hAnsi="Arial" w:cs="Arial"/>
          <w:sz w:val="24"/>
          <w:szCs w:val="24"/>
        </w:rPr>
        <w:t xml:space="preserve"> principle</w:t>
      </w:r>
      <w:r w:rsidR="00226DEE" w:rsidRPr="00453B08">
        <w:rPr>
          <w:rFonts w:ascii="Arial" w:hAnsi="Arial" w:cs="Arial"/>
          <w:sz w:val="24"/>
          <w:szCs w:val="24"/>
        </w:rPr>
        <w:t xml:space="preserve"> to navigate the</w:t>
      </w:r>
      <w:r w:rsidRPr="00453B08">
        <w:rPr>
          <w:rFonts w:ascii="Arial" w:hAnsi="Arial" w:cs="Arial"/>
          <w:sz w:val="24"/>
          <w:szCs w:val="24"/>
        </w:rPr>
        <w:t xml:space="preserve"> interfaces in the patient journey. </w:t>
      </w:r>
      <w:r w:rsidR="00226DEE" w:rsidRPr="00453B08">
        <w:rPr>
          <w:rFonts w:ascii="Arial" w:hAnsi="Arial" w:cs="Arial"/>
          <w:sz w:val="24"/>
          <w:szCs w:val="24"/>
        </w:rPr>
        <w:t xml:space="preserve">Patients do not fit into pathways, the pathways fit around the patient. </w:t>
      </w:r>
      <w:r w:rsidR="003F6DB5" w:rsidRPr="00453B08">
        <w:rPr>
          <w:rFonts w:ascii="Arial" w:hAnsi="Arial" w:cs="Arial"/>
          <w:sz w:val="24"/>
          <w:szCs w:val="24"/>
        </w:rPr>
        <w:t>C</w:t>
      </w:r>
      <w:r w:rsidR="00226DEE" w:rsidRPr="00453B08">
        <w:rPr>
          <w:rFonts w:ascii="Arial" w:hAnsi="Arial" w:cs="Arial"/>
          <w:sz w:val="24"/>
          <w:szCs w:val="24"/>
        </w:rPr>
        <w:t>linical judgement and common sense overrule archetypal polic</w:t>
      </w:r>
      <w:r w:rsidR="003F6DB5" w:rsidRPr="00453B08">
        <w:rPr>
          <w:rFonts w:ascii="Arial" w:hAnsi="Arial" w:cs="Arial"/>
          <w:sz w:val="24"/>
          <w:szCs w:val="24"/>
        </w:rPr>
        <w:t>ies</w:t>
      </w:r>
      <w:r w:rsidR="00226DEE" w:rsidRPr="00453B08">
        <w:rPr>
          <w:rFonts w:ascii="Arial" w:hAnsi="Arial" w:cs="Arial"/>
          <w:sz w:val="24"/>
          <w:szCs w:val="24"/>
        </w:rPr>
        <w:t>/protocol</w:t>
      </w:r>
      <w:r w:rsidR="003F6DB5" w:rsidRPr="00453B08">
        <w:rPr>
          <w:rFonts w:ascii="Arial" w:hAnsi="Arial" w:cs="Arial"/>
          <w:sz w:val="24"/>
          <w:szCs w:val="24"/>
        </w:rPr>
        <w:t>s</w:t>
      </w:r>
      <w:r w:rsidR="00226DEE" w:rsidRPr="00453B08">
        <w:rPr>
          <w:rFonts w:ascii="Arial" w:hAnsi="Arial" w:cs="Arial"/>
          <w:sz w:val="24"/>
          <w:szCs w:val="24"/>
        </w:rPr>
        <w:t>. Dialogue is the preferred way to resolve any pathway bottleneck</w:t>
      </w:r>
      <w:r w:rsidRPr="00453B08">
        <w:rPr>
          <w:rFonts w:ascii="Arial" w:hAnsi="Arial" w:cs="Arial"/>
          <w:sz w:val="24"/>
          <w:szCs w:val="24"/>
        </w:rPr>
        <w:t xml:space="preserve">. </w:t>
      </w:r>
      <w:r w:rsidR="00226DEE" w:rsidRPr="00453B08">
        <w:rPr>
          <w:rFonts w:ascii="Arial" w:hAnsi="Arial" w:cs="Arial"/>
          <w:sz w:val="24"/>
          <w:szCs w:val="24"/>
        </w:rPr>
        <w:t>T</w:t>
      </w:r>
      <w:r w:rsidRPr="00453B08">
        <w:rPr>
          <w:rFonts w:ascii="Arial" w:hAnsi="Arial" w:cs="Arial"/>
          <w:sz w:val="24"/>
          <w:szCs w:val="24"/>
        </w:rPr>
        <w:t xml:space="preserve">o </w:t>
      </w:r>
      <w:r w:rsidR="00E54641" w:rsidRPr="00453B08">
        <w:rPr>
          <w:rFonts w:ascii="Arial" w:hAnsi="Arial" w:cs="Arial"/>
          <w:sz w:val="24"/>
          <w:szCs w:val="24"/>
        </w:rPr>
        <w:t>provide seamless care</w:t>
      </w:r>
      <w:r w:rsidRPr="00453B08">
        <w:rPr>
          <w:rFonts w:ascii="Arial" w:hAnsi="Arial" w:cs="Arial"/>
          <w:sz w:val="24"/>
          <w:szCs w:val="24"/>
        </w:rPr>
        <w:t xml:space="preserve">, key individuals like the </w:t>
      </w:r>
      <w:r w:rsidR="00E54641" w:rsidRPr="00453B08">
        <w:rPr>
          <w:rFonts w:ascii="Arial" w:hAnsi="Arial" w:cs="Arial"/>
          <w:sz w:val="24"/>
          <w:szCs w:val="24"/>
        </w:rPr>
        <w:t xml:space="preserve">community care coordinator remain involved all through and </w:t>
      </w:r>
      <w:r w:rsidRPr="00453B08">
        <w:rPr>
          <w:rFonts w:ascii="Arial" w:hAnsi="Arial" w:cs="Arial"/>
          <w:sz w:val="24"/>
          <w:szCs w:val="24"/>
        </w:rPr>
        <w:t>consultant work across TU and RU</w:t>
      </w:r>
      <w:r w:rsidR="00226DEE" w:rsidRPr="00453B08">
        <w:rPr>
          <w:rFonts w:ascii="Arial" w:hAnsi="Arial" w:cs="Arial"/>
          <w:sz w:val="24"/>
          <w:szCs w:val="24"/>
        </w:rPr>
        <w:t xml:space="preserve"> following the patient</w:t>
      </w:r>
      <w:r w:rsidRPr="00453B08">
        <w:rPr>
          <w:rFonts w:ascii="Arial" w:hAnsi="Arial" w:cs="Arial"/>
          <w:sz w:val="24"/>
          <w:szCs w:val="24"/>
        </w:rPr>
        <w:t>. CRHTT and AU work very closely and are c</w:t>
      </w:r>
      <w:r w:rsidR="00463A51" w:rsidRPr="00453B08">
        <w:rPr>
          <w:rFonts w:ascii="Arial" w:hAnsi="Arial" w:cs="Arial"/>
          <w:sz w:val="24"/>
          <w:szCs w:val="24"/>
        </w:rPr>
        <w:t>o-l</w:t>
      </w:r>
      <w:r w:rsidRPr="00453B08">
        <w:rPr>
          <w:rFonts w:ascii="Arial" w:hAnsi="Arial" w:cs="Arial"/>
          <w:sz w:val="24"/>
          <w:szCs w:val="24"/>
        </w:rPr>
        <w:t xml:space="preserve">ocated, sharing staff and expertise. This </w:t>
      </w:r>
      <w:r w:rsidR="00E54641" w:rsidRPr="00453B08">
        <w:rPr>
          <w:rFonts w:ascii="Arial" w:hAnsi="Arial" w:cs="Arial"/>
          <w:sz w:val="24"/>
          <w:szCs w:val="24"/>
        </w:rPr>
        <w:t xml:space="preserve">provides smooth transition and </w:t>
      </w:r>
      <w:r w:rsidR="005A1D7F" w:rsidRPr="00453B08">
        <w:rPr>
          <w:rFonts w:ascii="Arial" w:hAnsi="Arial" w:cs="Arial"/>
          <w:sz w:val="24"/>
          <w:szCs w:val="24"/>
        </w:rPr>
        <w:t>eradicat</w:t>
      </w:r>
      <w:r w:rsidR="00E54641" w:rsidRPr="00453B08">
        <w:rPr>
          <w:rFonts w:ascii="Arial" w:hAnsi="Arial" w:cs="Arial"/>
          <w:sz w:val="24"/>
          <w:szCs w:val="24"/>
        </w:rPr>
        <w:t>es</w:t>
      </w:r>
      <w:r w:rsidR="005A1D7F" w:rsidRPr="00453B08">
        <w:rPr>
          <w:rFonts w:ascii="Arial" w:hAnsi="Arial" w:cs="Arial"/>
          <w:sz w:val="24"/>
          <w:szCs w:val="24"/>
        </w:rPr>
        <w:t xml:space="preserve"> wasteful double assessments</w:t>
      </w:r>
      <w:r w:rsidR="00E54641" w:rsidRPr="00453B08">
        <w:rPr>
          <w:rFonts w:ascii="Arial" w:hAnsi="Arial" w:cs="Arial"/>
          <w:sz w:val="24"/>
          <w:szCs w:val="24"/>
        </w:rPr>
        <w:t>.</w:t>
      </w:r>
      <w:r w:rsidR="005A1D7F" w:rsidRPr="00453B08">
        <w:rPr>
          <w:rFonts w:ascii="Arial" w:hAnsi="Arial" w:cs="Arial"/>
          <w:sz w:val="24"/>
          <w:szCs w:val="24"/>
        </w:rPr>
        <w:t xml:space="preserve"> </w:t>
      </w:r>
    </w:p>
    <w:p w14:paraId="01E8E13F" w14:textId="77777777" w:rsidR="007A3AC1" w:rsidRPr="00453B08" w:rsidRDefault="007A3AC1" w:rsidP="007A3AC1">
      <w:pPr>
        <w:spacing w:after="0" w:line="240" w:lineRule="auto"/>
        <w:rPr>
          <w:rFonts w:ascii="Arial" w:hAnsi="Arial" w:cs="Arial"/>
          <w:sz w:val="24"/>
          <w:szCs w:val="24"/>
        </w:rPr>
      </w:pPr>
    </w:p>
    <w:p w14:paraId="5E15E5A2" w14:textId="75FEEE75" w:rsidR="005E0A68" w:rsidRPr="0020159A" w:rsidRDefault="00B31303" w:rsidP="0069760A">
      <w:pPr>
        <w:spacing w:after="0" w:line="240" w:lineRule="auto"/>
        <w:rPr>
          <w:rFonts w:ascii="Arial" w:hAnsi="Arial" w:cs="Arial"/>
          <w:sz w:val="24"/>
          <w:szCs w:val="24"/>
          <w:lang w:val="en"/>
        </w:rPr>
      </w:pPr>
      <w:r w:rsidRPr="00453B08">
        <w:rPr>
          <w:rFonts w:ascii="Arial" w:hAnsi="Arial" w:cs="Arial"/>
          <w:sz w:val="24"/>
          <w:szCs w:val="24"/>
          <w:lang w:val="en"/>
        </w:rPr>
        <w:t xml:space="preserve">The </w:t>
      </w:r>
      <w:r w:rsidR="006C51F2" w:rsidRPr="00453B08">
        <w:rPr>
          <w:rFonts w:ascii="Arial" w:hAnsi="Arial" w:cs="Arial"/>
          <w:sz w:val="24"/>
          <w:szCs w:val="24"/>
          <w:lang w:val="en"/>
        </w:rPr>
        <w:t xml:space="preserve">new mindsets </w:t>
      </w:r>
      <w:r w:rsidRPr="00453B08">
        <w:rPr>
          <w:rFonts w:ascii="Arial" w:hAnsi="Arial" w:cs="Arial"/>
          <w:sz w:val="24"/>
          <w:szCs w:val="24"/>
          <w:lang w:val="en"/>
        </w:rPr>
        <w:t xml:space="preserve">have created a </w:t>
      </w:r>
      <w:r w:rsidR="00226DEE" w:rsidRPr="00453B08">
        <w:rPr>
          <w:rFonts w:ascii="Arial" w:hAnsi="Arial" w:cs="Arial"/>
          <w:sz w:val="24"/>
          <w:szCs w:val="24"/>
          <w:lang w:val="en"/>
        </w:rPr>
        <w:t>‘</w:t>
      </w:r>
      <w:r w:rsidRPr="00453B08">
        <w:rPr>
          <w:rFonts w:ascii="Arial" w:hAnsi="Arial" w:cs="Arial"/>
          <w:sz w:val="24"/>
          <w:szCs w:val="24"/>
          <w:lang w:val="en"/>
        </w:rPr>
        <w:t>can do</w:t>
      </w:r>
      <w:r w:rsidR="00226DEE" w:rsidRPr="00453B08">
        <w:rPr>
          <w:rFonts w:ascii="Arial" w:hAnsi="Arial" w:cs="Arial"/>
          <w:sz w:val="24"/>
          <w:szCs w:val="24"/>
          <w:lang w:val="en"/>
        </w:rPr>
        <w:t>’</w:t>
      </w:r>
      <w:r w:rsidRPr="00453B08">
        <w:rPr>
          <w:rFonts w:ascii="Arial" w:hAnsi="Arial" w:cs="Arial"/>
          <w:sz w:val="24"/>
          <w:szCs w:val="24"/>
          <w:lang w:val="en"/>
        </w:rPr>
        <w:t xml:space="preserve"> attitude and a milieu in which innovation centered on ‘doing right by the patient’ flourish</w:t>
      </w:r>
      <w:r w:rsidR="0069760A" w:rsidRPr="00453B08">
        <w:rPr>
          <w:rFonts w:ascii="Arial" w:hAnsi="Arial" w:cs="Arial"/>
          <w:sz w:val="24"/>
          <w:szCs w:val="24"/>
          <w:lang w:val="en"/>
        </w:rPr>
        <w:t>es</w:t>
      </w:r>
      <w:r w:rsidRPr="00453B08">
        <w:rPr>
          <w:rFonts w:ascii="Arial" w:hAnsi="Arial" w:cs="Arial"/>
          <w:sz w:val="24"/>
          <w:szCs w:val="24"/>
          <w:lang w:val="en"/>
        </w:rPr>
        <w:t xml:space="preserve">. </w:t>
      </w:r>
      <w:r w:rsidR="00226DEE" w:rsidRPr="00453B08">
        <w:rPr>
          <w:rFonts w:ascii="Arial" w:hAnsi="Arial" w:cs="Arial"/>
          <w:sz w:val="24"/>
          <w:szCs w:val="24"/>
          <w:lang w:val="en"/>
        </w:rPr>
        <w:t>‘</w:t>
      </w:r>
      <w:r w:rsidRPr="00453B08">
        <w:rPr>
          <w:rFonts w:ascii="Arial" w:hAnsi="Arial" w:cs="Arial"/>
          <w:sz w:val="24"/>
          <w:szCs w:val="24"/>
          <w:lang w:val="en"/>
        </w:rPr>
        <w:t xml:space="preserve">Open </w:t>
      </w:r>
      <w:r w:rsidR="00226DEE" w:rsidRPr="00453B08">
        <w:rPr>
          <w:rFonts w:ascii="Arial" w:hAnsi="Arial" w:cs="Arial"/>
          <w:sz w:val="24"/>
          <w:szCs w:val="24"/>
          <w:lang w:val="en"/>
        </w:rPr>
        <w:t>D</w:t>
      </w:r>
      <w:r w:rsidRPr="00453B08">
        <w:rPr>
          <w:rFonts w:ascii="Arial" w:hAnsi="Arial" w:cs="Arial"/>
          <w:sz w:val="24"/>
          <w:szCs w:val="24"/>
          <w:lang w:val="en"/>
        </w:rPr>
        <w:t>oor</w:t>
      </w:r>
      <w:r w:rsidR="00226DEE" w:rsidRPr="00453B08">
        <w:rPr>
          <w:rFonts w:ascii="Arial" w:hAnsi="Arial" w:cs="Arial"/>
          <w:sz w:val="24"/>
          <w:szCs w:val="24"/>
          <w:lang w:val="en"/>
        </w:rPr>
        <w:t>’</w:t>
      </w:r>
      <w:r w:rsidRPr="00453B08">
        <w:rPr>
          <w:rFonts w:ascii="Arial" w:hAnsi="Arial" w:cs="Arial"/>
          <w:sz w:val="24"/>
          <w:szCs w:val="24"/>
          <w:lang w:val="en"/>
        </w:rPr>
        <w:t xml:space="preserve"> is such an </w:t>
      </w:r>
      <w:r w:rsidR="006C51F2" w:rsidRPr="00453B08">
        <w:rPr>
          <w:rFonts w:ascii="Arial" w:hAnsi="Arial" w:cs="Arial"/>
          <w:sz w:val="24"/>
          <w:szCs w:val="24"/>
          <w:lang w:val="en"/>
        </w:rPr>
        <w:t>initiative f</w:t>
      </w:r>
      <w:r w:rsidR="00226DEE" w:rsidRPr="00453B08">
        <w:rPr>
          <w:rFonts w:ascii="Arial" w:hAnsi="Arial" w:cs="Arial"/>
          <w:sz w:val="24"/>
          <w:szCs w:val="24"/>
          <w:lang w:val="en"/>
        </w:rPr>
        <w:t>or personality disorder patients</w:t>
      </w:r>
      <w:r w:rsidR="009B4ED3" w:rsidRPr="00B662EF">
        <w:rPr>
          <w:rFonts w:ascii="Arial" w:hAnsi="Arial" w:cs="Arial"/>
          <w:sz w:val="24"/>
          <w:szCs w:val="24"/>
          <w:vertAlign w:val="superscript"/>
          <w:lang w:val="en"/>
        </w:rPr>
        <w:fldChar w:fldCharType="begin" w:fldLock="1"/>
      </w:r>
      <w:r w:rsidR="007D487E">
        <w:rPr>
          <w:rFonts w:ascii="Arial" w:hAnsi="Arial" w:cs="Arial"/>
          <w:sz w:val="24"/>
          <w:szCs w:val="24"/>
          <w:vertAlign w:val="superscript"/>
          <w:lang w:val="en"/>
        </w:rPr>
        <w:instrText>ADDIN CSL_CITATION {"citationItems":[{"id":"ITEM-1","itemData":{"URL":"http://www.promise.global/promote_open_door.pdf","accessed":{"date-parts":[["2018","3","25"]]},"author":[{"dropping-particle":"","family":"Kar Ray","given":"Manaan","non-dropping-particle":"","parse-names":false,"suffix":""}],"id":"ITEM-1","issued":{"date-parts":[["2016"]]},"title":"PROMISE GLOBAL - Partnerships for Humane Mental Health Care","type":"webpage"},"uris":["http://www.mendeley.com/documents/?uuid=2ec83c6d-cfda-3586-adf8-1e9069bf3975"]}],"mendeley":{"formattedCitation":"(26)","plainTextFormattedCitation":"(26)","previouslyFormattedCitation":"(26)"},"properties":{"noteIndex":0},"schema":"https://github.com/citation-style-language/schema/raw/master/csl-citation.json"}</w:instrText>
      </w:r>
      <w:r w:rsidR="009B4ED3" w:rsidRPr="00B662EF">
        <w:rPr>
          <w:rFonts w:ascii="Arial" w:hAnsi="Arial" w:cs="Arial"/>
          <w:sz w:val="24"/>
          <w:szCs w:val="24"/>
          <w:vertAlign w:val="superscript"/>
          <w:lang w:val="en"/>
        </w:rPr>
        <w:fldChar w:fldCharType="separate"/>
      </w:r>
      <w:r w:rsidR="00B92A29" w:rsidRPr="00B662EF">
        <w:rPr>
          <w:rFonts w:ascii="Arial" w:hAnsi="Arial" w:cs="Arial"/>
          <w:noProof/>
          <w:sz w:val="24"/>
          <w:szCs w:val="24"/>
          <w:vertAlign w:val="superscript"/>
          <w:lang w:val="en"/>
        </w:rPr>
        <w:t>(26)</w:t>
      </w:r>
      <w:r w:rsidR="009B4ED3" w:rsidRPr="00B662EF">
        <w:rPr>
          <w:rFonts w:ascii="Arial" w:hAnsi="Arial" w:cs="Arial"/>
          <w:sz w:val="24"/>
          <w:szCs w:val="24"/>
          <w:vertAlign w:val="superscript"/>
          <w:lang w:val="en"/>
        </w:rPr>
        <w:fldChar w:fldCharType="end"/>
      </w:r>
      <w:r w:rsidR="009B4ED3" w:rsidRPr="00453B08">
        <w:rPr>
          <w:rFonts w:ascii="Arial" w:hAnsi="Arial" w:cs="Arial"/>
          <w:sz w:val="24"/>
          <w:szCs w:val="24"/>
          <w:lang w:val="en"/>
        </w:rPr>
        <w:t xml:space="preserve">. </w:t>
      </w:r>
      <w:r w:rsidR="006C51F2" w:rsidRPr="00453B08">
        <w:rPr>
          <w:rFonts w:ascii="Arial" w:hAnsi="Arial" w:cs="Arial"/>
          <w:sz w:val="24"/>
          <w:szCs w:val="24"/>
          <w:lang w:val="en"/>
        </w:rPr>
        <w:t xml:space="preserve">Within 333, </w:t>
      </w:r>
      <w:r w:rsidRPr="00453B08">
        <w:rPr>
          <w:rFonts w:ascii="Arial" w:hAnsi="Arial" w:cs="Arial"/>
          <w:sz w:val="24"/>
          <w:szCs w:val="24"/>
          <w:lang w:val="en"/>
        </w:rPr>
        <w:t xml:space="preserve">AU </w:t>
      </w:r>
      <w:r w:rsidR="006C51F2" w:rsidRPr="00453B08">
        <w:rPr>
          <w:rFonts w:ascii="Arial" w:hAnsi="Arial" w:cs="Arial"/>
          <w:sz w:val="24"/>
          <w:szCs w:val="24"/>
          <w:lang w:val="en"/>
        </w:rPr>
        <w:t>serves as</w:t>
      </w:r>
      <w:r w:rsidR="0069760A" w:rsidRPr="00453B08">
        <w:rPr>
          <w:rFonts w:ascii="Arial" w:hAnsi="Arial" w:cs="Arial"/>
          <w:sz w:val="24"/>
          <w:szCs w:val="24"/>
          <w:lang w:val="en"/>
        </w:rPr>
        <w:t xml:space="preserve"> a</w:t>
      </w:r>
      <w:r w:rsidRPr="00453B08">
        <w:rPr>
          <w:rFonts w:ascii="Arial" w:hAnsi="Arial" w:cs="Arial"/>
          <w:sz w:val="24"/>
          <w:szCs w:val="24"/>
          <w:lang w:val="en"/>
        </w:rPr>
        <w:t xml:space="preserve"> short term safe haven </w:t>
      </w:r>
      <w:r w:rsidR="00226DEE" w:rsidRPr="00453B08">
        <w:rPr>
          <w:rFonts w:ascii="Arial" w:hAnsi="Arial" w:cs="Arial"/>
          <w:sz w:val="24"/>
          <w:szCs w:val="24"/>
          <w:lang w:val="en"/>
        </w:rPr>
        <w:t>for</w:t>
      </w:r>
      <w:r w:rsidRPr="00453B08">
        <w:rPr>
          <w:rFonts w:ascii="Arial" w:hAnsi="Arial" w:cs="Arial"/>
          <w:sz w:val="24"/>
          <w:szCs w:val="24"/>
          <w:lang w:val="en"/>
        </w:rPr>
        <w:t xml:space="preserve"> their distress</w:t>
      </w:r>
      <w:r w:rsidR="00226DEE" w:rsidRPr="00453B08">
        <w:rPr>
          <w:rFonts w:ascii="Arial" w:hAnsi="Arial" w:cs="Arial"/>
          <w:sz w:val="24"/>
          <w:szCs w:val="24"/>
          <w:lang w:val="en"/>
        </w:rPr>
        <w:t xml:space="preserve"> to</w:t>
      </w:r>
      <w:r w:rsidRPr="00453B08">
        <w:rPr>
          <w:rFonts w:ascii="Arial" w:hAnsi="Arial" w:cs="Arial"/>
          <w:sz w:val="24"/>
          <w:szCs w:val="24"/>
          <w:lang w:val="en"/>
        </w:rPr>
        <w:t xml:space="preserve"> settle. </w:t>
      </w:r>
      <w:r w:rsidR="006C51F2" w:rsidRPr="00453B08">
        <w:rPr>
          <w:rFonts w:ascii="Arial" w:hAnsi="Arial" w:cs="Arial"/>
          <w:sz w:val="24"/>
          <w:szCs w:val="24"/>
          <w:lang w:val="en"/>
        </w:rPr>
        <w:t xml:space="preserve">Sometimes to manage risk they would be transferred to TUs where long stays would achieve little. Following emergency presentations, </w:t>
      </w:r>
      <w:r w:rsidR="0069760A" w:rsidRPr="00453B08">
        <w:rPr>
          <w:rFonts w:ascii="Arial" w:hAnsi="Arial" w:cs="Arial"/>
          <w:sz w:val="24"/>
          <w:szCs w:val="24"/>
          <w:lang w:val="en"/>
        </w:rPr>
        <w:t xml:space="preserve">lot of resources are unhelpfully spent in efforts to keep </w:t>
      </w:r>
      <w:r w:rsidR="00E54641" w:rsidRPr="00453B08">
        <w:rPr>
          <w:rFonts w:ascii="Arial" w:hAnsi="Arial" w:cs="Arial"/>
          <w:sz w:val="24"/>
          <w:szCs w:val="24"/>
          <w:lang w:val="en"/>
        </w:rPr>
        <w:t>personality disorder patients</w:t>
      </w:r>
      <w:r w:rsidR="0069760A" w:rsidRPr="00453B08">
        <w:rPr>
          <w:rFonts w:ascii="Arial" w:hAnsi="Arial" w:cs="Arial"/>
          <w:sz w:val="24"/>
          <w:szCs w:val="24"/>
          <w:lang w:val="en"/>
        </w:rPr>
        <w:t xml:space="preserve"> out</w:t>
      </w:r>
      <w:r w:rsidR="00E54641" w:rsidRPr="00453B08">
        <w:rPr>
          <w:rFonts w:ascii="Arial" w:hAnsi="Arial" w:cs="Arial"/>
          <w:sz w:val="24"/>
          <w:szCs w:val="24"/>
          <w:lang w:val="en"/>
        </w:rPr>
        <w:t xml:space="preserve"> of hospital</w:t>
      </w:r>
      <w:r w:rsidR="009B4ED3" w:rsidRPr="00B662EF">
        <w:rPr>
          <w:rFonts w:ascii="Arial" w:hAnsi="Arial" w:cs="Arial"/>
          <w:sz w:val="24"/>
          <w:szCs w:val="24"/>
          <w:vertAlign w:val="superscript"/>
          <w:lang w:val="en"/>
        </w:rPr>
        <w:fldChar w:fldCharType="begin" w:fldLock="1"/>
      </w:r>
      <w:r w:rsidR="007D487E">
        <w:rPr>
          <w:rFonts w:ascii="Arial" w:hAnsi="Arial" w:cs="Arial"/>
          <w:sz w:val="24"/>
          <w:szCs w:val="24"/>
          <w:vertAlign w:val="superscript"/>
          <w:lang w:val="en"/>
        </w:rPr>
        <w:instrText>ADDIN CSL_CITATION {"citationItems":[{"id":"ITEM-1","itemData":{"abstract":"Borderline personality disorder: treatment and management NICE clinical guideline 78 Developed by the National Collaborating Centre for Mental Health NICE clinical guideline 78 Borderline personality disorder: treatment and management Ordering information You can download the following documents from www.nice.org.uk/CG78 • The NICE guideline (this document) – all the recommendations. • A quick reference guide – a summary of the recommendations for healthcare professionals. • 'Understanding NICE guidance' – a summary for patients and carers. • The full guideline – all the recommendations, details of how they were developed, and reviews of the evidence they were based on. For printed copies of the quick reference guide or 'Understanding NICE guidance', phone NICE publications on 0845 003 7783 or email publications@nice.org.uk and quote: • N1765 (quick reference guide) • N1766 ('Understanding NICE guidance'). NICE clinical guidelines are recommendations about the treatment and care of people with specific diseases and conditions in the NHS in England and Wales. This guidance represents the view of NICE, which was arrived at after careful consideration of the evidence available. Healthcare professionals are expected to take it fully into account when exercising their clinical judgement. However, the guidance does not override the individual responsibility of healthcare professionals to make decisions appropriate to the circumstances of the individual patient, in consultation with the patient and/or guardian or carer, and informed by the summary of product characteristics of any drugs they are considering. Implementation of this guidance is the responsibility of local commissioners and/or providers. Commissioners and providers are reminded that it is their responsibility to implement the guidance, in their local context, in light of their duties to avoid unlawful discrimination and to have regard to promoting equality of opportunity. Nothing in this guidance should be interpreted in a way that would be inconsistent with compliance with those duties.","author":[{"dropping-particle":"","family":"Nice","given":"","non-dropping-particle":"","parse-names":false,"suffix":""}],"id":"ITEM-1","issued":{"date-parts":[["0"]]},"title":"Borderline personality disorder: treatment and management (NICE clinical guideline 78)","type":"article-journal"},"uris":["http://www.mendeley.com/documents/?uuid=83f27d80-f11d-348d-ba9f-c3d2b35d427f"]}],"mendeley":{"formattedCitation":"(37)","plainTextFormattedCitation":"(37)","previouslyFormattedCitation":"(37)"},"properties":{"noteIndex":0},"schema":"https://github.com/citation-style-language/schema/raw/master/csl-citation.json"}</w:instrText>
      </w:r>
      <w:r w:rsidR="009B4ED3" w:rsidRPr="00B662EF">
        <w:rPr>
          <w:rFonts w:ascii="Arial" w:hAnsi="Arial" w:cs="Arial"/>
          <w:sz w:val="24"/>
          <w:szCs w:val="24"/>
          <w:vertAlign w:val="superscript"/>
          <w:lang w:val="en"/>
        </w:rPr>
        <w:fldChar w:fldCharType="separate"/>
      </w:r>
      <w:r w:rsidR="00B92A29" w:rsidRPr="00B662EF">
        <w:rPr>
          <w:rFonts w:ascii="Arial" w:hAnsi="Arial" w:cs="Arial"/>
          <w:noProof/>
          <w:sz w:val="24"/>
          <w:szCs w:val="24"/>
          <w:vertAlign w:val="superscript"/>
          <w:lang w:val="en"/>
        </w:rPr>
        <w:t>(37)</w:t>
      </w:r>
      <w:r w:rsidR="009B4ED3" w:rsidRPr="00B662EF">
        <w:rPr>
          <w:rFonts w:ascii="Arial" w:hAnsi="Arial" w:cs="Arial"/>
          <w:sz w:val="24"/>
          <w:szCs w:val="24"/>
          <w:vertAlign w:val="superscript"/>
          <w:lang w:val="en"/>
        </w:rPr>
        <w:fldChar w:fldCharType="end"/>
      </w:r>
      <w:r w:rsidR="009B4ED3" w:rsidRPr="00453B08">
        <w:rPr>
          <w:rFonts w:ascii="Arial" w:hAnsi="Arial" w:cs="Arial"/>
          <w:sz w:val="24"/>
          <w:szCs w:val="24"/>
          <w:lang w:val="en"/>
        </w:rPr>
        <w:t>.</w:t>
      </w:r>
      <w:r w:rsidRPr="00453B08">
        <w:rPr>
          <w:rFonts w:ascii="Arial" w:hAnsi="Arial" w:cs="Arial"/>
          <w:sz w:val="24"/>
          <w:szCs w:val="24"/>
          <w:lang w:val="en"/>
        </w:rPr>
        <w:t xml:space="preserve"> Staff proposed a radically </w:t>
      </w:r>
      <w:r w:rsidR="006C51F2" w:rsidRPr="00453B08">
        <w:rPr>
          <w:rFonts w:ascii="Arial" w:hAnsi="Arial" w:cs="Arial"/>
          <w:sz w:val="24"/>
          <w:szCs w:val="24"/>
          <w:lang w:val="en"/>
        </w:rPr>
        <w:t>opposite</w:t>
      </w:r>
      <w:r w:rsidRPr="00453B08">
        <w:rPr>
          <w:rFonts w:ascii="Arial" w:hAnsi="Arial" w:cs="Arial"/>
          <w:sz w:val="24"/>
          <w:szCs w:val="24"/>
          <w:lang w:val="en"/>
        </w:rPr>
        <w:t xml:space="preserve"> approach</w:t>
      </w:r>
      <w:r w:rsidR="0069760A" w:rsidRPr="00453B08">
        <w:rPr>
          <w:rFonts w:ascii="Arial" w:hAnsi="Arial" w:cs="Arial"/>
          <w:sz w:val="24"/>
          <w:szCs w:val="24"/>
          <w:lang w:val="en"/>
        </w:rPr>
        <w:t xml:space="preserve"> </w:t>
      </w:r>
      <w:r w:rsidR="006C51F2" w:rsidRPr="00453B08">
        <w:rPr>
          <w:rFonts w:ascii="Arial" w:hAnsi="Arial" w:cs="Arial"/>
          <w:sz w:val="24"/>
          <w:szCs w:val="24"/>
          <w:lang w:val="en"/>
        </w:rPr>
        <w:t>of taking</w:t>
      </w:r>
      <w:r w:rsidR="0069760A" w:rsidRPr="00453B08">
        <w:rPr>
          <w:rFonts w:ascii="Arial" w:hAnsi="Arial" w:cs="Arial"/>
          <w:sz w:val="24"/>
          <w:szCs w:val="24"/>
          <w:lang w:val="en"/>
        </w:rPr>
        <w:t xml:space="preserve"> down</w:t>
      </w:r>
      <w:r w:rsidRPr="00453B08">
        <w:rPr>
          <w:rFonts w:ascii="Arial" w:hAnsi="Arial" w:cs="Arial"/>
          <w:sz w:val="24"/>
          <w:szCs w:val="24"/>
          <w:lang w:val="en"/>
        </w:rPr>
        <w:t xml:space="preserve"> barriers to admission and hand</w:t>
      </w:r>
      <w:r w:rsidR="006C51F2" w:rsidRPr="00453B08">
        <w:rPr>
          <w:rFonts w:ascii="Arial" w:hAnsi="Arial" w:cs="Arial"/>
          <w:sz w:val="24"/>
          <w:szCs w:val="24"/>
          <w:lang w:val="en"/>
        </w:rPr>
        <w:t>ing</w:t>
      </w:r>
      <w:r w:rsidRPr="00453B08">
        <w:rPr>
          <w:rFonts w:ascii="Arial" w:hAnsi="Arial" w:cs="Arial"/>
          <w:sz w:val="24"/>
          <w:szCs w:val="24"/>
          <w:lang w:val="en"/>
        </w:rPr>
        <w:t xml:space="preserve"> control over to </w:t>
      </w:r>
      <w:r w:rsidR="00205909" w:rsidRPr="00453B08">
        <w:rPr>
          <w:rFonts w:ascii="Arial" w:hAnsi="Arial" w:cs="Arial"/>
          <w:sz w:val="24"/>
          <w:szCs w:val="24"/>
          <w:lang w:val="en"/>
        </w:rPr>
        <w:t>these</w:t>
      </w:r>
      <w:r w:rsidRPr="00453B08">
        <w:rPr>
          <w:rFonts w:ascii="Arial" w:hAnsi="Arial" w:cs="Arial"/>
          <w:sz w:val="24"/>
          <w:szCs w:val="24"/>
          <w:lang w:val="en"/>
        </w:rPr>
        <w:t xml:space="preserve"> patients. Those included in the </w:t>
      </w:r>
      <w:r w:rsidR="006C51F2" w:rsidRPr="00453B08">
        <w:rPr>
          <w:rFonts w:ascii="Arial" w:hAnsi="Arial" w:cs="Arial"/>
          <w:sz w:val="24"/>
          <w:szCs w:val="24"/>
          <w:lang w:val="en"/>
        </w:rPr>
        <w:t>O</w:t>
      </w:r>
      <w:r w:rsidRPr="00453B08">
        <w:rPr>
          <w:rFonts w:ascii="Arial" w:hAnsi="Arial" w:cs="Arial"/>
          <w:sz w:val="24"/>
          <w:szCs w:val="24"/>
          <w:lang w:val="en"/>
        </w:rPr>
        <w:t xml:space="preserve">pen </w:t>
      </w:r>
      <w:r w:rsidR="006C51F2" w:rsidRPr="00453B08">
        <w:rPr>
          <w:rFonts w:ascii="Arial" w:hAnsi="Arial" w:cs="Arial"/>
          <w:sz w:val="24"/>
          <w:szCs w:val="24"/>
          <w:lang w:val="en"/>
        </w:rPr>
        <w:t>D</w:t>
      </w:r>
      <w:r w:rsidRPr="00453B08">
        <w:rPr>
          <w:rFonts w:ascii="Arial" w:hAnsi="Arial" w:cs="Arial"/>
          <w:sz w:val="24"/>
          <w:szCs w:val="24"/>
          <w:lang w:val="en"/>
        </w:rPr>
        <w:t>oor programme</w:t>
      </w:r>
      <w:r w:rsidR="00205909" w:rsidRPr="00453B08">
        <w:rPr>
          <w:rFonts w:ascii="Arial" w:hAnsi="Arial" w:cs="Arial"/>
          <w:sz w:val="24"/>
          <w:szCs w:val="24"/>
          <w:lang w:val="en"/>
        </w:rPr>
        <w:t xml:space="preserve">, so long they had not self-harmed, </w:t>
      </w:r>
      <w:proofErr w:type="gramStart"/>
      <w:r w:rsidR="00205909" w:rsidRPr="00453B08">
        <w:rPr>
          <w:rFonts w:ascii="Arial" w:hAnsi="Arial" w:cs="Arial"/>
          <w:sz w:val="24"/>
          <w:szCs w:val="24"/>
          <w:lang w:val="en"/>
        </w:rPr>
        <w:t>they</w:t>
      </w:r>
      <w:proofErr w:type="gramEnd"/>
      <w:r w:rsidR="00205909" w:rsidRPr="00453B08">
        <w:rPr>
          <w:rFonts w:ascii="Arial" w:hAnsi="Arial" w:cs="Arial"/>
          <w:sz w:val="24"/>
          <w:szCs w:val="24"/>
          <w:lang w:val="en"/>
        </w:rPr>
        <w:t xml:space="preserve"> </w:t>
      </w:r>
      <w:r w:rsidRPr="00453B08">
        <w:rPr>
          <w:rFonts w:ascii="Arial" w:hAnsi="Arial" w:cs="Arial"/>
          <w:sz w:val="24"/>
          <w:szCs w:val="24"/>
          <w:lang w:val="en"/>
        </w:rPr>
        <w:t xml:space="preserve">could request a 2 day admission without having to give any justification. </w:t>
      </w:r>
      <w:r w:rsidR="00205909" w:rsidRPr="00453B08">
        <w:rPr>
          <w:rFonts w:ascii="Arial" w:hAnsi="Arial" w:cs="Arial"/>
          <w:sz w:val="24"/>
          <w:szCs w:val="24"/>
          <w:lang w:val="en"/>
        </w:rPr>
        <w:t>Following discharge,</w:t>
      </w:r>
      <w:r w:rsidR="0069760A" w:rsidRPr="00453B08">
        <w:rPr>
          <w:rFonts w:ascii="Arial" w:hAnsi="Arial" w:cs="Arial"/>
          <w:sz w:val="24"/>
          <w:szCs w:val="24"/>
          <w:lang w:val="en"/>
        </w:rPr>
        <w:t xml:space="preserve"> </w:t>
      </w:r>
      <w:r w:rsidRPr="00453B08">
        <w:rPr>
          <w:rFonts w:ascii="Arial" w:hAnsi="Arial" w:cs="Arial"/>
          <w:sz w:val="24"/>
          <w:szCs w:val="24"/>
          <w:lang w:val="en"/>
        </w:rPr>
        <w:t xml:space="preserve">24 hours at home </w:t>
      </w:r>
      <w:r w:rsidR="00205909" w:rsidRPr="00453B08">
        <w:rPr>
          <w:rFonts w:ascii="Arial" w:hAnsi="Arial" w:cs="Arial"/>
          <w:sz w:val="24"/>
          <w:szCs w:val="24"/>
          <w:lang w:val="en"/>
        </w:rPr>
        <w:t xml:space="preserve">was expected </w:t>
      </w:r>
      <w:r w:rsidRPr="00453B08">
        <w:rPr>
          <w:rFonts w:ascii="Arial" w:hAnsi="Arial" w:cs="Arial"/>
          <w:sz w:val="24"/>
          <w:szCs w:val="24"/>
          <w:lang w:val="en"/>
        </w:rPr>
        <w:t xml:space="preserve">before </w:t>
      </w:r>
      <w:r w:rsidR="00205909" w:rsidRPr="00453B08">
        <w:rPr>
          <w:rFonts w:ascii="Arial" w:hAnsi="Arial" w:cs="Arial"/>
          <w:sz w:val="24"/>
          <w:szCs w:val="24"/>
          <w:lang w:val="en"/>
        </w:rPr>
        <w:t xml:space="preserve">a further </w:t>
      </w:r>
      <w:r w:rsidRPr="00453B08">
        <w:rPr>
          <w:rFonts w:ascii="Arial" w:hAnsi="Arial" w:cs="Arial"/>
          <w:sz w:val="24"/>
          <w:szCs w:val="24"/>
          <w:lang w:val="en"/>
        </w:rPr>
        <w:t xml:space="preserve">request </w:t>
      </w:r>
      <w:r w:rsidR="00205909" w:rsidRPr="00453B08">
        <w:rPr>
          <w:rFonts w:ascii="Arial" w:hAnsi="Arial" w:cs="Arial"/>
          <w:sz w:val="24"/>
          <w:szCs w:val="24"/>
          <w:lang w:val="en"/>
        </w:rPr>
        <w:t xml:space="preserve">for </w:t>
      </w:r>
      <w:r w:rsidRPr="00453B08">
        <w:rPr>
          <w:rFonts w:ascii="Arial" w:hAnsi="Arial" w:cs="Arial"/>
          <w:sz w:val="24"/>
          <w:szCs w:val="24"/>
          <w:lang w:val="en"/>
        </w:rPr>
        <w:t xml:space="preserve">admission. </w:t>
      </w:r>
      <w:r w:rsidR="00DA2A72" w:rsidRPr="00453B08">
        <w:rPr>
          <w:rFonts w:ascii="Arial" w:hAnsi="Arial" w:cs="Arial"/>
          <w:sz w:val="24"/>
          <w:szCs w:val="24"/>
          <w:lang w:val="en"/>
        </w:rPr>
        <w:t>P</w:t>
      </w:r>
      <w:r w:rsidRPr="00453B08">
        <w:rPr>
          <w:rFonts w:ascii="Arial" w:hAnsi="Arial" w:cs="Arial"/>
          <w:sz w:val="24"/>
          <w:szCs w:val="24"/>
          <w:lang w:val="en"/>
        </w:rPr>
        <w:t xml:space="preserve">atients felt validated and the safety net </w:t>
      </w:r>
      <w:r w:rsidR="00C87647" w:rsidRPr="00453B08">
        <w:rPr>
          <w:rFonts w:ascii="Arial" w:hAnsi="Arial" w:cs="Arial"/>
          <w:sz w:val="24"/>
          <w:szCs w:val="24"/>
          <w:lang w:val="en"/>
        </w:rPr>
        <w:t>creat</w:t>
      </w:r>
      <w:r w:rsidRPr="00453B08">
        <w:rPr>
          <w:rFonts w:ascii="Arial" w:hAnsi="Arial" w:cs="Arial"/>
          <w:sz w:val="24"/>
          <w:szCs w:val="24"/>
          <w:lang w:val="en"/>
        </w:rPr>
        <w:t>e</w:t>
      </w:r>
      <w:r w:rsidR="00DA2A72" w:rsidRPr="00453B08">
        <w:rPr>
          <w:rFonts w:ascii="Arial" w:hAnsi="Arial" w:cs="Arial"/>
          <w:sz w:val="24"/>
          <w:szCs w:val="24"/>
          <w:lang w:val="en"/>
        </w:rPr>
        <w:t>d</w:t>
      </w:r>
      <w:r w:rsidR="00C87647" w:rsidRPr="00453B08">
        <w:rPr>
          <w:rFonts w:ascii="Arial" w:hAnsi="Arial" w:cs="Arial"/>
          <w:sz w:val="24"/>
          <w:szCs w:val="24"/>
          <w:lang w:val="en"/>
        </w:rPr>
        <w:t xml:space="preserve"> a sense of containment. </w:t>
      </w:r>
      <w:r w:rsidR="00DA2A72" w:rsidRPr="00453B08">
        <w:rPr>
          <w:rFonts w:ascii="Arial" w:hAnsi="Arial" w:cs="Arial"/>
          <w:sz w:val="24"/>
          <w:szCs w:val="24"/>
          <w:lang w:val="en"/>
        </w:rPr>
        <w:t xml:space="preserve">Admission requests spaced out fairly quickly for individuals as they treated the </w:t>
      </w:r>
      <w:r w:rsidR="00205909" w:rsidRPr="00453B08">
        <w:rPr>
          <w:rFonts w:ascii="Arial" w:hAnsi="Arial" w:cs="Arial"/>
          <w:sz w:val="24"/>
          <w:szCs w:val="24"/>
          <w:lang w:val="en"/>
        </w:rPr>
        <w:t xml:space="preserve">privileged </w:t>
      </w:r>
      <w:r w:rsidR="00DA2A72" w:rsidRPr="00453B08">
        <w:rPr>
          <w:rFonts w:ascii="Arial" w:hAnsi="Arial" w:cs="Arial"/>
          <w:sz w:val="24"/>
          <w:szCs w:val="24"/>
          <w:lang w:val="en"/>
        </w:rPr>
        <w:t>access with extreme responsibility. Most registered long self-harm free periods and extremely rarely were ‘Open Door’ privileges withdrawn. An initiative like this could only be launched in a system where beds are reliably available</w:t>
      </w:r>
      <w:r w:rsidR="00205909" w:rsidRPr="00453B08">
        <w:rPr>
          <w:rFonts w:ascii="Arial" w:hAnsi="Arial" w:cs="Arial"/>
          <w:sz w:val="24"/>
          <w:szCs w:val="24"/>
          <w:lang w:val="en"/>
        </w:rPr>
        <w:t>.</w:t>
      </w:r>
      <w:r w:rsidR="00DA2A72" w:rsidRPr="00453B08">
        <w:rPr>
          <w:rFonts w:ascii="Arial" w:hAnsi="Arial" w:cs="Arial"/>
          <w:sz w:val="24"/>
          <w:szCs w:val="24"/>
          <w:lang w:val="en"/>
        </w:rPr>
        <w:t xml:space="preserve"> </w:t>
      </w:r>
      <w:r w:rsidR="00205909" w:rsidRPr="00453B08">
        <w:rPr>
          <w:rFonts w:ascii="Arial" w:hAnsi="Arial" w:cs="Arial"/>
          <w:sz w:val="24"/>
          <w:szCs w:val="24"/>
          <w:lang w:val="en"/>
        </w:rPr>
        <w:t>A</w:t>
      </w:r>
      <w:r w:rsidR="00DA2A72" w:rsidRPr="00453B08">
        <w:rPr>
          <w:rFonts w:ascii="Arial" w:hAnsi="Arial" w:cs="Arial"/>
          <w:sz w:val="24"/>
          <w:szCs w:val="24"/>
          <w:lang w:val="en"/>
        </w:rPr>
        <w:t xml:space="preserve">dmission requests need to be </w:t>
      </w:r>
      <w:r w:rsidR="00640AEA" w:rsidRPr="00453B08">
        <w:rPr>
          <w:rFonts w:ascii="Arial" w:hAnsi="Arial" w:cs="Arial"/>
          <w:sz w:val="24"/>
          <w:szCs w:val="24"/>
          <w:lang w:val="en"/>
        </w:rPr>
        <w:t>honored</w:t>
      </w:r>
      <w:r w:rsidR="00DA2A72" w:rsidRPr="00453B08">
        <w:rPr>
          <w:rFonts w:ascii="Arial" w:hAnsi="Arial" w:cs="Arial"/>
          <w:sz w:val="24"/>
          <w:szCs w:val="24"/>
          <w:lang w:val="en"/>
        </w:rPr>
        <w:t xml:space="preserve"> for the safety net to retain its efficacy. It doubled CPFT</w:t>
      </w:r>
      <w:r w:rsidR="003F6DB5" w:rsidRPr="00453B08">
        <w:rPr>
          <w:rFonts w:ascii="Arial" w:hAnsi="Arial" w:cs="Arial"/>
          <w:sz w:val="24"/>
          <w:szCs w:val="24"/>
          <w:lang w:val="en"/>
        </w:rPr>
        <w:t>’s</w:t>
      </w:r>
      <w:r w:rsidR="00DA2A72" w:rsidRPr="00453B08">
        <w:rPr>
          <w:rFonts w:ascii="Arial" w:hAnsi="Arial" w:cs="Arial"/>
          <w:sz w:val="24"/>
          <w:szCs w:val="24"/>
          <w:lang w:val="en"/>
        </w:rPr>
        <w:t xml:space="preserve"> readmission rates but it changed the care </w:t>
      </w:r>
      <w:r w:rsidR="00DA2A72" w:rsidRPr="0020159A">
        <w:rPr>
          <w:rFonts w:ascii="Arial" w:hAnsi="Arial" w:cs="Arial"/>
          <w:sz w:val="24"/>
          <w:szCs w:val="24"/>
          <w:lang w:val="en"/>
        </w:rPr>
        <w:t>seeking trajectory of these patients. The</w:t>
      </w:r>
      <w:r w:rsidR="00C87647" w:rsidRPr="0020159A">
        <w:rPr>
          <w:rFonts w:ascii="Arial" w:hAnsi="Arial" w:cs="Arial"/>
          <w:sz w:val="24"/>
          <w:szCs w:val="24"/>
          <w:lang w:val="en"/>
        </w:rPr>
        <w:t xml:space="preserve"> leadership took the view that </w:t>
      </w:r>
      <w:r w:rsidR="003F6DB5" w:rsidRPr="0020159A">
        <w:rPr>
          <w:rFonts w:ascii="Arial" w:hAnsi="Arial" w:cs="Arial"/>
          <w:sz w:val="24"/>
          <w:szCs w:val="24"/>
          <w:lang w:val="en"/>
        </w:rPr>
        <w:t xml:space="preserve">there is not much to be gained by </w:t>
      </w:r>
      <w:r w:rsidR="00C87647" w:rsidRPr="0020159A">
        <w:rPr>
          <w:rFonts w:ascii="Arial" w:hAnsi="Arial" w:cs="Arial"/>
          <w:sz w:val="24"/>
          <w:szCs w:val="24"/>
          <w:lang w:val="en"/>
        </w:rPr>
        <w:t>hit</w:t>
      </w:r>
      <w:r w:rsidR="00DA2A72" w:rsidRPr="0020159A">
        <w:rPr>
          <w:rFonts w:ascii="Arial" w:hAnsi="Arial" w:cs="Arial"/>
          <w:sz w:val="24"/>
          <w:szCs w:val="24"/>
          <w:lang w:val="en"/>
        </w:rPr>
        <w:t>ting</w:t>
      </w:r>
      <w:r w:rsidR="00C87647" w:rsidRPr="0020159A">
        <w:rPr>
          <w:rFonts w:ascii="Arial" w:hAnsi="Arial" w:cs="Arial"/>
          <w:sz w:val="24"/>
          <w:szCs w:val="24"/>
          <w:lang w:val="en"/>
        </w:rPr>
        <w:t xml:space="preserve"> </w:t>
      </w:r>
      <w:r w:rsidR="003F6DB5" w:rsidRPr="0020159A">
        <w:rPr>
          <w:rFonts w:ascii="Arial" w:hAnsi="Arial" w:cs="Arial"/>
          <w:sz w:val="24"/>
          <w:szCs w:val="24"/>
          <w:lang w:val="en"/>
        </w:rPr>
        <w:t>a</w:t>
      </w:r>
      <w:r w:rsidR="00C87647" w:rsidRPr="0020159A">
        <w:rPr>
          <w:rFonts w:ascii="Arial" w:hAnsi="Arial" w:cs="Arial"/>
          <w:sz w:val="24"/>
          <w:szCs w:val="24"/>
          <w:lang w:val="en"/>
        </w:rPr>
        <w:t xml:space="preserve"> target </w:t>
      </w:r>
      <w:r w:rsidR="00DA2A72" w:rsidRPr="0020159A">
        <w:rPr>
          <w:rFonts w:ascii="Arial" w:hAnsi="Arial" w:cs="Arial"/>
          <w:sz w:val="24"/>
          <w:szCs w:val="24"/>
          <w:lang w:val="en"/>
        </w:rPr>
        <w:t xml:space="preserve">but </w:t>
      </w:r>
      <w:r w:rsidR="00C87647" w:rsidRPr="0020159A">
        <w:rPr>
          <w:rFonts w:ascii="Arial" w:hAnsi="Arial" w:cs="Arial"/>
          <w:sz w:val="24"/>
          <w:szCs w:val="24"/>
          <w:lang w:val="en"/>
        </w:rPr>
        <w:t>completely miss</w:t>
      </w:r>
      <w:r w:rsidR="00DA2A72" w:rsidRPr="0020159A">
        <w:rPr>
          <w:rFonts w:ascii="Arial" w:hAnsi="Arial" w:cs="Arial"/>
          <w:sz w:val="24"/>
          <w:szCs w:val="24"/>
          <w:lang w:val="en"/>
        </w:rPr>
        <w:t>ing</w:t>
      </w:r>
      <w:r w:rsidR="00C87647" w:rsidRPr="0020159A">
        <w:rPr>
          <w:rFonts w:ascii="Arial" w:hAnsi="Arial" w:cs="Arial"/>
          <w:sz w:val="24"/>
          <w:szCs w:val="24"/>
          <w:lang w:val="en"/>
        </w:rPr>
        <w:t xml:space="preserve"> the point</w:t>
      </w:r>
      <w:r w:rsidR="00205909" w:rsidRPr="0020159A">
        <w:rPr>
          <w:rFonts w:ascii="Arial" w:hAnsi="Arial" w:cs="Arial"/>
          <w:sz w:val="24"/>
          <w:szCs w:val="24"/>
          <w:lang w:val="en"/>
        </w:rPr>
        <w:t xml:space="preserve"> of putting</w:t>
      </w:r>
      <w:r w:rsidR="00DA2A72" w:rsidRPr="0020159A">
        <w:rPr>
          <w:rFonts w:ascii="Arial" w:hAnsi="Arial" w:cs="Arial"/>
          <w:sz w:val="24"/>
          <w:szCs w:val="24"/>
          <w:lang w:val="en"/>
        </w:rPr>
        <w:t xml:space="preserve"> patients first</w:t>
      </w:r>
      <w:r w:rsidR="00205909" w:rsidRPr="0020159A">
        <w:rPr>
          <w:rFonts w:ascii="Arial" w:hAnsi="Arial" w:cs="Arial"/>
          <w:sz w:val="24"/>
          <w:szCs w:val="24"/>
          <w:lang w:val="en"/>
        </w:rPr>
        <w:t>.</w:t>
      </w:r>
      <w:r w:rsidRPr="0020159A">
        <w:rPr>
          <w:rFonts w:ascii="Arial" w:hAnsi="Arial" w:cs="Arial"/>
          <w:sz w:val="24"/>
          <w:szCs w:val="24"/>
          <w:lang w:val="en"/>
        </w:rPr>
        <w:t xml:space="preserve"> </w:t>
      </w:r>
      <w:r w:rsidR="00380E64" w:rsidRPr="0020159A">
        <w:rPr>
          <w:rFonts w:ascii="Arial" w:hAnsi="Arial" w:cs="Arial"/>
          <w:sz w:val="24"/>
          <w:szCs w:val="24"/>
          <w:lang w:val="en"/>
        </w:rPr>
        <w:t>Although ‘Open Door’ is a specific in</w:t>
      </w:r>
      <w:r w:rsidR="00DD5200" w:rsidRPr="0020159A">
        <w:rPr>
          <w:rFonts w:ascii="Arial" w:hAnsi="Arial" w:cs="Arial"/>
          <w:sz w:val="24"/>
          <w:szCs w:val="24"/>
          <w:lang w:val="en"/>
        </w:rPr>
        <w:t>itiative</w:t>
      </w:r>
      <w:r w:rsidR="00380E64" w:rsidRPr="0020159A">
        <w:rPr>
          <w:rFonts w:ascii="Arial" w:hAnsi="Arial" w:cs="Arial"/>
          <w:sz w:val="24"/>
          <w:szCs w:val="24"/>
          <w:lang w:val="en"/>
        </w:rPr>
        <w:t xml:space="preserve"> for personality disorder, 333 as a system caters to the needs of all diagnostic groups.</w:t>
      </w:r>
    </w:p>
    <w:p w14:paraId="09175717" w14:textId="77777777" w:rsidR="0069760A" w:rsidRPr="0020159A" w:rsidRDefault="0069760A" w:rsidP="0069760A">
      <w:pPr>
        <w:spacing w:after="0" w:line="240" w:lineRule="auto"/>
        <w:rPr>
          <w:rFonts w:ascii="Arial" w:hAnsi="Arial" w:cs="Arial"/>
          <w:sz w:val="24"/>
          <w:szCs w:val="24"/>
        </w:rPr>
      </w:pPr>
    </w:p>
    <w:p w14:paraId="2706CBAE" w14:textId="77C34AB9" w:rsidR="00F823BE" w:rsidRPr="0020159A" w:rsidRDefault="00E23470" w:rsidP="00A2034F">
      <w:pPr>
        <w:spacing w:after="0" w:line="240" w:lineRule="auto"/>
        <w:rPr>
          <w:rFonts w:ascii="Arial" w:hAnsi="Arial" w:cs="Arial"/>
          <w:sz w:val="24"/>
          <w:szCs w:val="24"/>
          <w:lang w:val="en"/>
        </w:rPr>
      </w:pPr>
      <w:r w:rsidRPr="0020159A">
        <w:rPr>
          <w:rFonts w:ascii="Arial" w:hAnsi="Arial" w:cs="Arial"/>
          <w:sz w:val="24"/>
          <w:szCs w:val="24"/>
        </w:rPr>
        <w:t xml:space="preserve">333 </w:t>
      </w:r>
      <w:r w:rsidR="00C87647" w:rsidRPr="0020159A">
        <w:rPr>
          <w:rFonts w:ascii="Arial" w:hAnsi="Arial" w:cs="Arial"/>
          <w:sz w:val="24"/>
          <w:szCs w:val="24"/>
        </w:rPr>
        <w:t xml:space="preserve">system </w:t>
      </w:r>
      <w:r w:rsidRPr="0020159A">
        <w:rPr>
          <w:rFonts w:ascii="Arial" w:hAnsi="Arial" w:cs="Arial"/>
          <w:sz w:val="24"/>
          <w:szCs w:val="24"/>
        </w:rPr>
        <w:t xml:space="preserve">design </w:t>
      </w:r>
      <w:r w:rsidR="00C87647" w:rsidRPr="0020159A">
        <w:rPr>
          <w:rFonts w:ascii="Arial" w:hAnsi="Arial" w:cs="Arial"/>
          <w:sz w:val="24"/>
          <w:szCs w:val="24"/>
        </w:rPr>
        <w:t>reinforce</w:t>
      </w:r>
      <w:r w:rsidRPr="0020159A">
        <w:rPr>
          <w:rFonts w:ascii="Arial" w:hAnsi="Arial" w:cs="Arial"/>
          <w:sz w:val="24"/>
          <w:szCs w:val="24"/>
        </w:rPr>
        <w:t>d</w:t>
      </w:r>
      <w:r w:rsidR="00C87647" w:rsidRPr="0020159A">
        <w:rPr>
          <w:rFonts w:ascii="Arial" w:hAnsi="Arial" w:cs="Arial"/>
          <w:sz w:val="24"/>
          <w:szCs w:val="24"/>
        </w:rPr>
        <w:t xml:space="preserve"> recovery principles.</w:t>
      </w:r>
      <w:r w:rsidR="00635BDA" w:rsidRPr="0020159A">
        <w:rPr>
          <w:rFonts w:ascii="Arial" w:hAnsi="Arial" w:cs="Arial"/>
          <w:sz w:val="24"/>
          <w:szCs w:val="24"/>
        </w:rPr>
        <w:t xml:space="preserve"> </w:t>
      </w:r>
      <w:r w:rsidR="00C87647" w:rsidRPr="0020159A">
        <w:rPr>
          <w:rFonts w:ascii="Arial" w:hAnsi="Arial" w:cs="Arial"/>
          <w:sz w:val="24"/>
          <w:szCs w:val="24"/>
        </w:rPr>
        <w:t xml:space="preserve"> For example</w:t>
      </w:r>
      <w:r w:rsidR="0061091E" w:rsidRPr="0020159A">
        <w:rPr>
          <w:rFonts w:ascii="Arial" w:hAnsi="Arial" w:cs="Arial"/>
          <w:sz w:val="24"/>
          <w:szCs w:val="24"/>
        </w:rPr>
        <w:t>,</w:t>
      </w:r>
      <w:r w:rsidR="00C87647" w:rsidRPr="0020159A">
        <w:rPr>
          <w:rFonts w:ascii="Arial" w:hAnsi="Arial" w:cs="Arial"/>
          <w:sz w:val="24"/>
          <w:szCs w:val="24"/>
        </w:rPr>
        <w:t xml:space="preserve"> </w:t>
      </w:r>
      <w:r w:rsidR="00C87647" w:rsidRPr="0020159A">
        <w:rPr>
          <w:rFonts w:ascii="Arial" w:hAnsi="Arial" w:cs="Arial"/>
          <w:sz w:val="24"/>
          <w:szCs w:val="24"/>
          <w:lang w:val="en"/>
        </w:rPr>
        <w:t>involuntary patients bypass</w:t>
      </w:r>
      <w:r w:rsidR="00205909" w:rsidRPr="0020159A">
        <w:rPr>
          <w:rFonts w:ascii="Arial" w:hAnsi="Arial" w:cs="Arial"/>
          <w:sz w:val="24"/>
          <w:szCs w:val="24"/>
          <w:lang w:val="en"/>
        </w:rPr>
        <w:t>ed</w:t>
      </w:r>
      <w:r w:rsidR="00C87647" w:rsidRPr="0020159A">
        <w:rPr>
          <w:rFonts w:ascii="Arial" w:hAnsi="Arial" w:cs="Arial"/>
          <w:sz w:val="24"/>
          <w:szCs w:val="24"/>
          <w:lang w:val="en"/>
        </w:rPr>
        <w:t xml:space="preserve"> the AU. So</w:t>
      </w:r>
      <w:r w:rsidR="00A02125" w:rsidRPr="0020159A">
        <w:rPr>
          <w:rFonts w:ascii="Arial" w:hAnsi="Arial" w:cs="Arial"/>
          <w:sz w:val="24"/>
          <w:szCs w:val="24"/>
          <w:lang w:val="en"/>
        </w:rPr>
        <w:t>,</w:t>
      </w:r>
      <w:r w:rsidR="00C87647" w:rsidRPr="0020159A">
        <w:rPr>
          <w:rFonts w:ascii="Arial" w:hAnsi="Arial" w:cs="Arial"/>
          <w:sz w:val="24"/>
          <w:szCs w:val="24"/>
          <w:lang w:val="en"/>
        </w:rPr>
        <w:t xml:space="preserve"> when </w:t>
      </w:r>
      <w:r w:rsidR="00C87647" w:rsidRPr="0020159A">
        <w:rPr>
          <w:rFonts w:ascii="Arial" w:hAnsi="Arial" w:cs="Arial"/>
          <w:sz w:val="24"/>
          <w:szCs w:val="24"/>
        </w:rPr>
        <w:t>setting targets</w:t>
      </w:r>
      <w:r w:rsidR="00205909" w:rsidRPr="0020159A">
        <w:rPr>
          <w:rFonts w:ascii="Arial" w:hAnsi="Arial" w:cs="Arial"/>
          <w:sz w:val="24"/>
          <w:szCs w:val="24"/>
        </w:rPr>
        <w:t>,</w:t>
      </w:r>
      <w:r w:rsidR="00C87647" w:rsidRPr="0020159A">
        <w:rPr>
          <w:rFonts w:ascii="Arial" w:hAnsi="Arial" w:cs="Arial"/>
          <w:sz w:val="24"/>
          <w:szCs w:val="24"/>
        </w:rPr>
        <w:t xml:space="preserve"> recovery oriented care was incentivised through a</w:t>
      </w:r>
      <w:r w:rsidR="00F67832" w:rsidRPr="0020159A">
        <w:rPr>
          <w:rFonts w:ascii="Arial" w:hAnsi="Arial" w:cs="Arial"/>
          <w:sz w:val="24"/>
          <w:szCs w:val="24"/>
          <w:lang w:val="en"/>
        </w:rPr>
        <w:t xml:space="preserve"> target ratio for direct admissions for AU to TU at 75:25. In 2011 the split of voluntary to involuntary admissions stood at 65:35. Thus 75:25 </w:t>
      </w:r>
      <w:r w:rsidR="00205909" w:rsidRPr="0020159A">
        <w:rPr>
          <w:rFonts w:ascii="Arial" w:hAnsi="Arial" w:cs="Arial"/>
          <w:sz w:val="24"/>
          <w:szCs w:val="24"/>
          <w:lang w:val="en"/>
        </w:rPr>
        <w:t xml:space="preserve">reflected </w:t>
      </w:r>
      <w:proofErr w:type="spellStart"/>
      <w:r w:rsidR="00F67832" w:rsidRPr="0020159A">
        <w:rPr>
          <w:rFonts w:ascii="Arial" w:hAnsi="Arial" w:cs="Arial"/>
          <w:sz w:val="24"/>
          <w:szCs w:val="24"/>
          <w:lang w:val="en"/>
        </w:rPr>
        <w:t>o</w:t>
      </w:r>
      <w:r w:rsidR="00A02125" w:rsidRPr="0020159A">
        <w:rPr>
          <w:rFonts w:ascii="Arial" w:hAnsi="Arial" w:cs="Arial"/>
          <w:sz w:val="24"/>
          <w:szCs w:val="24"/>
          <w:lang w:val="en"/>
        </w:rPr>
        <w:t>rganis</w:t>
      </w:r>
      <w:r w:rsidR="00F67832" w:rsidRPr="0020159A">
        <w:rPr>
          <w:rFonts w:ascii="Arial" w:hAnsi="Arial" w:cs="Arial"/>
          <w:sz w:val="24"/>
          <w:szCs w:val="24"/>
          <w:lang w:val="en"/>
        </w:rPr>
        <w:t>ation</w:t>
      </w:r>
      <w:r w:rsidR="00205909" w:rsidRPr="0020159A">
        <w:rPr>
          <w:rFonts w:ascii="Arial" w:hAnsi="Arial" w:cs="Arial"/>
          <w:sz w:val="24"/>
          <w:szCs w:val="24"/>
          <w:lang w:val="en"/>
        </w:rPr>
        <w:t>al</w:t>
      </w:r>
      <w:proofErr w:type="spellEnd"/>
      <w:r w:rsidR="00B33DC2" w:rsidRPr="0020159A">
        <w:rPr>
          <w:rFonts w:ascii="Arial" w:hAnsi="Arial" w:cs="Arial"/>
          <w:sz w:val="24"/>
          <w:szCs w:val="24"/>
          <w:lang w:val="en"/>
        </w:rPr>
        <w:t xml:space="preserve"> </w:t>
      </w:r>
      <w:r w:rsidR="00205909" w:rsidRPr="0020159A">
        <w:rPr>
          <w:rFonts w:ascii="Arial" w:hAnsi="Arial" w:cs="Arial"/>
          <w:sz w:val="24"/>
          <w:szCs w:val="24"/>
          <w:lang w:val="en"/>
        </w:rPr>
        <w:t>aspiration</w:t>
      </w:r>
      <w:r w:rsidR="00F67832" w:rsidRPr="0020159A">
        <w:rPr>
          <w:rFonts w:ascii="Arial" w:hAnsi="Arial" w:cs="Arial"/>
          <w:sz w:val="24"/>
          <w:szCs w:val="24"/>
          <w:lang w:val="en"/>
        </w:rPr>
        <w:t xml:space="preserve"> to provide </w:t>
      </w:r>
      <w:r w:rsidR="00205909" w:rsidRPr="0020159A">
        <w:rPr>
          <w:rFonts w:ascii="Arial" w:hAnsi="Arial" w:cs="Arial"/>
          <w:sz w:val="24"/>
          <w:szCs w:val="24"/>
          <w:lang w:val="en"/>
        </w:rPr>
        <w:t xml:space="preserve">least restrictive </w:t>
      </w:r>
      <w:r w:rsidR="00F67832" w:rsidRPr="0020159A">
        <w:rPr>
          <w:rFonts w:ascii="Arial" w:hAnsi="Arial" w:cs="Arial"/>
          <w:sz w:val="24"/>
          <w:szCs w:val="24"/>
          <w:lang w:val="en"/>
        </w:rPr>
        <w:t xml:space="preserve">care </w:t>
      </w:r>
      <w:r w:rsidR="00205909" w:rsidRPr="0020159A">
        <w:rPr>
          <w:rFonts w:ascii="Arial" w:hAnsi="Arial" w:cs="Arial"/>
          <w:sz w:val="24"/>
          <w:szCs w:val="24"/>
          <w:lang w:val="en"/>
        </w:rPr>
        <w:t>through</w:t>
      </w:r>
      <w:r w:rsidR="00F67832" w:rsidRPr="0020159A">
        <w:rPr>
          <w:rFonts w:ascii="Arial" w:hAnsi="Arial" w:cs="Arial"/>
          <w:sz w:val="24"/>
          <w:szCs w:val="24"/>
          <w:lang w:val="en"/>
        </w:rPr>
        <w:t xml:space="preserve"> a higher proportion being admitted voluntarily to the AU. </w:t>
      </w:r>
      <w:r w:rsidR="004D7A66" w:rsidRPr="0020159A">
        <w:rPr>
          <w:rFonts w:ascii="Arial" w:hAnsi="Arial" w:cs="Arial"/>
          <w:sz w:val="24"/>
          <w:szCs w:val="24"/>
          <w:lang w:val="en"/>
        </w:rPr>
        <w:t>Mental Health Act use declined as c</w:t>
      </w:r>
      <w:r w:rsidR="00205909" w:rsidRPr="0020159A">
        <w:rPr>
          <w:rFonts w:ascii="Arial" w:hAnsi="Arial" w:cs="Arial"/>
          <w:sz w:val="24"/>
          <w:szCs w:val="24"/>
          <w:lang w:val="en"/>
        </w:rPr>
        <w:t>ontinuous bed availability</w:t>
      </w:r>
      <w:r w:rsidR="00F67832" w:rsidRPr="0020159A">
        <w:rPr>
          <w:rFonts w:ascii="Arial" w:hAnsi="Arial" w:cs="Arial"/>
          <w:sz w:val="24"/>
          <w:szCs w:val="24"/>
          <w:lang w:val="en"/>
        </w:rPr>
        <w:t xml:space="preserve"> </w:t>
      </w:r>
      <w:r w:rsidR="004D7A66" w:rsidRPr="0020159A">
        <w:rPr>
          <w:rFonts w:ascii="Arial" w:hAnsi="Arial" w:cs="Arial"/>
          <w:sz w:val="24"/>
          <w:szCs w:val="24"/>
          <w:lang w:val="en"/>
        </w:rPr>
        <w:t>meant</w:t>
      </w:r>
      <w:r w:rsidR="00F67832" w:rsidRPr="0020159A">
        <w:rPr>
          <w:rFonts w:ascii="Arial" w:hAnsi="Arial" w:cs="Arial"/>
          <w:sz w:val="24"/>
          <w:szCs w:val="24"/>
          <w:lang w:val="en"/>
        </w:rPr>
        <w:t xml:space="preserve"> timely inpatient care</w:t>
      </w:r>
      <w:r w:rsidR="004D7A66" w:rsidRPr="0020159A">
        <w:rPr>
          <w:rFonts w:ascii="Arial" w:hAnsi="Arial" w:cs="Arial"/>
          <w:sz w:val="24"/>
          <w:szCs w:val="24"/>
          <w:lang w:val="en"/>
        </w:rPr>
        <w:t xml:space="preserve"> before patients got extremely</w:t>
      </w:r>
      <w:r w:rsidR="00F67832" w:rsidRPr="0020159A">
        <w:rPr>
          <w:rFonts w:ascii="Arial" w:hAnsi="Arial" w:cs="Arial"/>
          <w:sz w:val="24"/>
          <w:szCs w:val="24"/>
          <w:lang w:val="en"/>
        </w:rPr>
        <w:t xml:space="preserve"> unwell</w:t>
      </w:r>
      <w:r w:rsidR="004D7A66" w:rsidRPr="0020159A">
        <w:rPr>
          <w:rFonts w:ascii="Arial" w:hAnsi="Arial" w:cs="Arial"/>
          <w:sz w:val="24"/>
          <w:szCs w:val="24"/>
          <w:lang w:val="en"/>
        </w:rPr>
        <w:t xml:space="preserve"> in the community</w:t>
      </w:r>
      <w:r w:rsidR="00F67832" w:rsidRPr="0020159A">
        <w:rPr>
          <w:rFonts w:ascii="Arial" w:hAnsi="Arial" w:cs="Arial"/>
          <w:sz w:val="24"/>
          <w:szCs w:val="24"/>
          <w:lang w:val="en"/>
        </w:rPr>
        <w:t xml:space="preserve">. Also for many </w:t>
      </w:r>
      <w:r w:rsidR="004D7A66" w:rsidRPr="0020159A">
        <w:rPr>
          <w:rFonts w:ascii="Arial" w:hAnsi="Arial" w:cs="Arial"/>
          <w:sz w:val="24"/>
          <w:szCs w:val="24"/>
          <w:lang w:val="en"/>
        </w:rPr>
        <w:t xml:space="preserve">reluctant </w:t>
      </w:r>
      <w:r w:rsidR="00A02125" w:rsidRPr="0020159A">
        <w:rPr>
          <w:rFonts w:ascii="Arial" w:hAnsi="Arial" w:cs="Arial"/>
          <w:sz w:val="24"/>
          <w:szCs w:val="24"/>
          <w:lang w:val="en"/>
        </w:rPr>
        <w:t>patients</w:t>
      </w:r>
      <w:r w:rsidR="00F67832" w:rsidRPr="0020159A">
        <w:rPr>
          <w:rFonts w:ascii="Arial" w:hAnsi="Arial" w:cs="Arial"/>
          <w:sz w:val="24"/>
          <w:szCs w:val="24"/>
          <w:lang w:val="en"/>
        </w:rPr>
        <w:t xml:space="preserve"> </w:t>
      </w:r>
      <w:r w:rsidR="00A02125" w:rsidRPr="0020159A">
        <w:rPr>
          <w:rFonts w:ascii="Arial" w:hAnsi="Arial" w:cs="Arial"/>
          <w:sz w:val="24"/>
          <w:szCs w:val="24"/>
          <w:lang w:val="en"/>
        </w:rPr>
        <w:t xml:space="preserve">or those worried about the stigma of a hospital stay, </w:t>
      </w:r>
      <w:r w:rsidR="00F67832" w:rsidRPr="0020159A">
        <w:rPr>
          <w:rFonts w:ascii="Arial" w:hAnsi="Arial" w:cs="Arial"/>
          <w:sz w:val="24"/>
          <w:szCs w:val="24"/>
          <w:lang w:val="en"/>
        </w:rPr>
        <w:t xml:space="preserve">a 3 day </w:t>
      </w:r>
      <w:r w:rsidR="004D7A66" w:rsidRPr="0020159A">
        <w:rPr>
          <w:rFonts w:ascii="Arial" w:hAnsi="Arial" w:cs="Arial"/>
          <w:sz w:val="24"/>
          <w:szCs w:val="24"/>
          <w:lang w:val="en"/>
        </w:rPr>
        <w:t xml:space="preserve">voluntary </w:t>
      </w:r>
      <w:r w:rsidR="00F67832" w:rsidRPr="0020159A">
        <w:rPr>
          <w:rFonts w:ascii="Arial" w:hAnsi="Arial" w:cs="Arial"/>
          <w:sz w:val="24"/>
          <w:szCs w:val="24"/>
          <w:lang w:val="en"/>
        </w:rPr>
        <w:t xml:space="preserve">admission </w:t>
      </w:r>
      <w:r w:rsidR="004D7A66" w:rsidRPr="0020159A">
        <w:rPr>
          <w:rFonts w:ascii="Arial" w:hAnsi="Arial" w:cs="Arial"/>
          <w:sz w:val="24"/>
          <w:szCs w:val="24"/>
          <w:lang w:val="en"/>
        </w:rPr>
        <w:t>wa</w:t>
      </w:r>
      <w:r w:rsidR="00F67832" w:rsidRPr="0020159A">
        <w:rPr>
          <w:rFonts w:ascii="Arial" w:hAnsi="Arial" w:cs="Arial"/>
          <w:sz w:val="24"/>
          <w:szCs w:val="24"/>
          <w:lang w:val="en"/>
        </w:rPr>
        <w:t xml:space="preserve">s a compromise they </w:t>
      </w:r>
      <w:r w:rsidR="004D7A66" w:rsidRPr="0020159A">
        <w:rPr>
          <w:rFonts w:ascii="Arial" w:hAnsi="Arial" w:cs="Arial"/>
          <w:sz w:val="24"/>
          <w:szCs w:val="24"/>
          <w:lang w:val="en"/>
        </w:rPr>
        <w:t>we</w:t>
      </w:r>
      <w:r w:rsidR="00F67832" w:rsidRPr="0020159A">
        <w:rPr>
          <w:rFonts w:ascii="Arial" w:hAnsi="Arial" w:cs="Arial"/>
          <w:sz w:val="24"/>
          <w:szCs w:val="24"/>
          <w:lang w:val="en"/>
        </w:rPr>
        <w:t xml:space="preserve">re willing to make. </w:t>
      </w:r>
      <w:r w:rsidR="00A70A31" w:rsidRPr="0020159A">
        <w:rPr>
          <w:rFonts w:ascii="Arial" w:hAnsi="Arial" w:cs="Arial"/>
          <w:sz w:val="24"/>
          <w:szCs w:val="24"/>
          <w:lang w:val="en"/>
        </w:rPr>
        <w:t xml:space="preserve">2016 national benchmarking shows </w:t>
      </w:r>
      <w:r w:rsidRPr="0020159A">
        <w:rPr>
          <w:rFonts w:ascii="Arial" w:hAnsi="Arial" w:cs="Arial"/>
          <w:sz w:val="24"/>
          <w:szCs w:val="24"/>
          <w:lang w:val="en"/>
        </w:rPr>
        <w:t>a</w:t>
      </w:r>
      <w:r w:rsidR="00A70A31" w:rsidRPr="0020159A">
        <w:rPr>
          <w:rFonts w:ascii="Arial" w:hAnsi="Arial" w:cs="Arial"/>
          <w:sz w:val="24"/>
          <w:szCs w:val="24"/>
          <w:lang w:val="en"/>
        </w:rPr>
        <w:t xml:space="preserve"> national mean of 35.1% for proportion of patients admitted involuntarily, </w:t>
      </w:r>
      <w:r w:rsidRPr="0020159A">
        <w:rPr>
          <w:rFonts w:ascii="Arial" w:hAnsi="Arial" w:cs="Arial"/>
          <w:sz w:val="24"/>
          <w:szCs w:val="24"/>
          <w:lang w:val="en"/>
        </w:rPr>
        <w:t>compared to</w:t>
      </w:r>
      <w:r w:rsidR="00A70A31" w:rsidRPr="0020159A">
        <w:rPr>
          <w:rFonts w:ascii="Arial" w:hAnsi="Arial" w:cs="Arial"/>
          <w:sz w:val="24"/>
          <w:szCs w:val="24"/>
          <w:lang w:val="en"/>
        </w:rPr>
        <w:t xml:space="preserve"> CPFT</w:t>
      </w:r>
      <w:r w:rsidRPr="0020159A">
        <w:rPr>
          <w:rFonts w:ascii="Arial" w:hAnsi="Arial" w:cs="Arial"/>
          <w:sz w:val="24"/>
          <w:szCs w:val="24"/>
          <w:lang w:val="en"/>
        </w:rPr>
        <w:t>’s</w:t>
      </w:r>
      <w:r w:rsidR="00A70A31" w:rsidRPr="0020159A">
        <w:rPr>
          <w:rFonts w:ascii="Arial" w:hAnsi="Arial" w:cs="Arial"/>
          <w:sz w:val="24"/>
          <w:szCs w:val="24"/>
          <w:lang w:val="en"/>
        </w:rPr>
        <w:t xml:space="preserve"> 19.8%</w:t>
      </w:r>
      <w:r w:rsidR="0061091E" w:rsidRPr="0020159A">
        <w:rPr>
          <w:rFonts w:ascii="Arial" w:hAnsi="Arial" w:cs="Arial"/>
          <w:sz w:val="24"/>
          <w:szCs w:val="24"/>
          <w:vertAlign w:val="superscript"/>
          <w:lang w:val="en"/>
        </w:rPr>
        <w:fldChar w:fldCharType="begin" w:fldLock="1"/>
      </w:r>
      <w:r w:rsidR="00343664" w:rsidRPr="0020159A">
        <w:rPr>
          <w:rFonts w:ascii="Arial" w:hAnsi="Arial" w:cs="Arial"/>
          <w:sz w:val="24"/>
          <w:szCs w:val="24"/>
          <w:vertAlign w:val="superscript"/>
          <w:lang w:val="en"/>
        </w:rPr>
        <w:instrText>ADDIN CSL_CITATION {"citationItems":[{"id":"ITEM-1","itemData":{"author":[{"dropping-particle":"","family":"NHS Benchmarking Network","given":"","non-dropping-particle":"","parse-names":false,"suffix":""}],"id":"ITEM-1","issue":"November","issued":{"date-parts":[["2016"]]},"number-of-pages":"1-56","title":"Inpatient and Community Mental Health Benchmarking","type":"report"},"uris":["http://www.mendeley.com/documents/?uuid=9560f61d-66ee-4740-a8b5-ecad053a7357"]}],"mendeley":{"formattedCitation":"(15)","plainTextFormattedCitation":"(15)","previouslyFormattedCitation":"(15)"},"properties":{"noteIndex":0},"schema":"https://github.com/citation-style-language/schema/raw/master/csl-citation.json"}</w:instrText>
      </w:r>
      <w:r w:rsidR="0061091E" w:rsidRPr="0020159A">
        <w:rPr>
          <w:rFonts w:ascii="Arial" w:hAnsi="Arial" w:cs="Arial"/>
          <w:sz w:val="24"/>
          <w:szCs w:val="24"/>
          <w:vertAlign w:val="superscript"/>
          <w:lang w:val="en"/>
        </w:rPr>
        <w:fldChar w:fldCharType="separate"/>
      </w:r>
      <w:r w:rsidR="007A2B2F" w:rsidRPr="0020159A">
        <w:rPr>
          <w:rFonts w:ascii="Arial" w:hAnsi="Arial" w:cs="Arial"/>
          <w:noProof/>
          <w:sz w:val="24"/>
          <w:szCs w:val="24"/>
          <w:vertAlign w:val="superscript"/>
          <w:lang w:val="en"/>
        </w:rPr>
        <w:t>(15)</w:t>
      </w:r>
      <w:r w:rsidR="0061091E" w:rsidRPr="0020159A">
        <w:rPr>
          <w:rFonts w:ascii="Arial" w:hAnsi="Arial" w:cs="Arial"/>
          <w:sz w:val="24"/>
          <w:szCs w:val="24"/>
          <w:vertAlign w:val="superscript"/>
          <w:lang w:val="en"/>
        </w:rPr>
        <w:fldChar w:fldCharType="end"/>
      </w:r>
      <w:r w:rsidR="00A70A31" w:rsidRPr="0020159A">
        <w:rPr>
          <w:rFonts w:ascii="Arial" w:hAnsi="Arial" w:cs="Arial"/>
          <w:sz w:val="24"/>
          <w:szCs w:val="24"/>
          <w:lang w:val="en"/>
        </w:rPr>
        <w:t>.</w:t>
      </w:r>
      <w:r w:rsidR="00F67832" w:rsidRPr="0020159A">
        <w:rPr>
          <w:rFonts w:ascii="Arial" w:hAnsi="Arial" w:cs="Arial"/>
          <w:sz w:val="24"/>
          <w:szCs w:val="24"/>
          <w:lang w:val="en"/>
        </w:rPr>
        <w:t xml:space="preserve"> </w:t>
      </w:r>
    </w:p>
    <w:p w14:paraId="1A169E8F" w14:textId="77777777" w:rsidR="00AF0CCB" w:rsidRPr="0020159A" w:rsidRDefault="00AF0CCB" w:rsidP="00A2034F">
      <w:pPr>
        <w:spacing w:after="0" w:line="240" w:lineRule="auto"/>
        <w:rPr>
          <w:rFonts w:ascii="Arial" w:hAnsi="Arial" w:cs="Arial"/>
          <w:sz w:val="24"/>
          <w:szCs w:val="24"/>
          <w:lang w:val="en"/>
        </w:rPr>
      </w:pPr>
    </w:p>
    <w:p w14:paraId="083EA718" w14:textId="05A490A7" w:rsidR="00862973" w:rsidRPr="0020159A" w:rsidRDefault="002C5581" w:rsidP="00AC40FD">
      <w:pPr>
        <w:spacing w:after="160" w:line="259" w:lineRule="auto"/>
        <w:rPr>
          <w:rFonts w:ascii="Arial" w:eastAsia="Times New Roman" w:hAnsi="Arial" w:cs="Arial"/>
          <w:sz w:val="24"/>
          <w:szCs w:val="24"/>
        </w:rPr>
      </w:pPr>
      <w:r w:rsidRPr="0020159A">
        <w:rPr>
          <w:rFonts w:ascii="Arial" w:hAnsi="Arial" w:cs="Arial"/>
          <w:sz w:val="24"/>
          <w:szCs w:val="24"/>
          <w:lang w:val="en"/>
        </w:rPr>
        <w:t xml:space="preserve">Over the same period, </w:t>
      </w:r>
      <w:r w:rsidR="00455146" w:rsidRPr="0020159A">
        <w:rPr>
          <w:rFonts w:ascii="Arial" w:hAnsi="Arial" w:cs="Arial"/>
          <w:sz w:val="24"/>
          <w:szCs w:val="24"/>
          <w:lang w:val="en"/>
        </w:rPr>
        <w:t xml:space="preserve"> </w:t>
      </w:r>
      <w:r w:rsidR="00455146" w:rsidRPr="0020159A">
        <w:rPr>
          <w:rFonts w:ascii="Arial" w:hAnsi="Arial" w:cs="Arial"/>
          <w:strike/>
          <w:sz w:val="24"/>
          <w:szCs w:val="24"/>
          <w:lang w:val="en"/>
        </w:rPr>
        <w:t>i</w:t>
      </w:r>
      <w:r w:rsidR="00893A9A" w:rsidRPr="0020159A">
        <w:rPr>
          <w:rFonts w:ascii="Arial" w:hAnsi="Arial" w:cs="Arial"/>
          <w:strike/>
          <w:sz w:val="24"/>
          <w:szCs w:val="24"/>
          <w:lang w:val="en"/>
        </w:rPr>
        <w:t>n</w:t>
      </w:r>
      <w:r w:rsidR="00455146" w:rsidRPr="0020159A">
        <w:rPr>
          <w:rFonts w:ascii="Arial" w:hAnsi="Arial" w:cs="Arial"/>
          <w:strike/>
          <w:sz w:val="24"/>
          <w:szCs w:val="24"/>
          <w:lang w:val="en"/>
        </w:rPr>
        <w:t xml:space="preserve"> the </w:t>
      </w:r>
      <w:r w:rsidR="00E23470" w:rsidRPr="0020159A">
        <w:rPr>
          <w:rFonts w:ascii="Arial" w:hAnsi="Arial" w:cs="Arial"/>
          <w:strike/>
          <w:sz w:val="24"/>
          <w:szCs w:val="24"/>
          <w:lang w:val="en"/>
        </w:rPr>
        <w:t>same setting within</w:t>
      </w:r>
      <w:r w:rsidR="00E23470" w:rsidRPr="0020159A">
        <w:rPr>
          <w:rFonts w:ascii="Arial" w:hAnsi="Arial" w:cs="Arial"/>
          <w:sz w:val="24"/>
          <w:szCs w:val="24"/>
          <w:lang w:val="en"/>
        </w:rPr>
        <w:t xml:space="preserve"> a parallel programme to decrease coercion in care (PROMISE) </w:t>
      </w:r>
      <w:r w:rsidR="00E23470" w:rsidRPr="0020159A">
        <w:rPr>
          <w:rFonts w:ascii="Arial" w:hAnsi="Arial" w:cs="Arial"/>
          <w:strike/>
          <w:sz w:val="24"/>
          <w:szCs w:val="24"/>
          <w:lang w:val="en"/>
        </w:rPr>
        <w:t>has reduced</w:t>
      </w:r>
      <w:r w:rsidR="00E23470" w:rsidRPr="0020159A">
        <w:rPr>
          <w:rFonts w:ascii="Arial" w:hAnsi="Arial" w:cs="Arial"/>
          <w:sz w:val="24"/>
          <w:szCs w:val="24"/>
          <w:lang w:val="en"/>
        </w:rPr>
        <w:t xml:space="preserve"> </w:t>
      </w:r>
      <w:r w:rsidRPr="0020159A">
        <w:rPr>
          <w:rFonts w:ascii="Arial" w:hAnsi="Arial" w:cs="Arial"/>
          <w:sz w:val="24"/>
          <w:szCs w:val="24"/>
          <w:lang w:val="en"/>
        </w:rPr>
        <w:t xml:space="preserve">was successfully implemented, and </w:t>
      </w:r>
      <w:r w:rsidR="00E23470" w:rsidRPr="0020159A">
        <w:rPr>
          <w:rFonts w:ascii="Arial" w:hAnsi="Arial" w:cs="Arial"/>
          <w:sz w:val="24"/>
          <w:szCs w:val="24"/>
          <w:lang w:val="en"/>
        </w:rPr>
        <w:t>physical interventions</w:t>
      </w:r>
      <w:r w:rsidR="00B451E1" w:rsidRPr="0020159A">
        <w:rPr>
          <w:rFonts w:ascii="Arial" w:hAnsi="Arial" w:cs="Arial"/>
          <w:sz w:val="24"/>
          <w:szCs w:val="24"/>
          <w:lang w:val="en"/>
        </w:rPr>
        <w:t xml:space="preserve"> </w:t>
      </w:r>
      <w:r w:rsidR="00B451E1" w:rsidRPr="0020159A">
        <w:rPr>
          <w:rFonts w:ascii="Arial" w:hAnsi="Arial" w:cs="Arial"/>
          <w:strike/>
          <w:sz w:val="24"/>
          <w:szCs w:val="24"/>
          <w:lang w:val="en"/>
        </w:rPr>
        <w:t>was</w:t>
      </w:r>
      <w:r w:rsidR="00B451E1" w:rsidRPr="0020159A">
        <w:rPr>
          <w:rFonts w:ascii="Arial" w:hAnsi="Arial" w:cs="Arial"/>
          <w:sz w:val="24"/>
          <w:szCs w:val="24"/>
          <w:lang w:val="en"/>
        </w:rPr>
        <w:t xml:space="preserve"> reduced </w:t>
      </w:r>
      <w:r w:rsidR="00E23470" w:rsidRPr="0020159A">
        <w:rPr>
          <w:rFonts w:ascii="Arial" w:hAnsi="Arial" w:cs="Arial"/>
          <w:sz w:val="24"/>
          <w:szCs w:val="24"/>
          <w:lang w:val="en"/>
        </w:rPr>
        <w:t xml:space="preserve">by 36%, </w:t>
      </w:r>
      <w:r w:rsidR="00B451E1" w:rsidRPr="0020159A">
        <w:rPr>
          <w:rFonts w:ascii="Arial" w:hAnsi="Arial" w:cs="Arial"/>
          <w:sz w:val="24"/>
          <w:szCs w:val="24"/>
          <w:lang w:val="en"/>
        </w:rPr>
        <w:t xml:space="preserve">and prone </w:t>
      </w:r>
      <w:r w:rsidR="00E23470" w:rsidRPr="0020159A">
        <w:rPr>
          <w:rFonts w:ascii="Arial" w:hAnsi="Arial" w:cs="Arial"/>
          <w:sz w:val="24"/>
          <w:szCs w:val="24"/>
          <w:lang w:val="en"/>
        </w:rPr>
        <w:t>restrains by 58%</w:t>
      </w:r>
      <w:r w:rsidR="00525EE7" w:rsidRPr="0020159A">
        <w:rPr>
          <w:rFonts w:ascii="Arial" w:hAnsi="Arial" w:cs="Arial"/>
          <w:sz w:val="24"/>
          <w:szCs w:val="24"/>
          <w:vertAlign w:val="superscript"/>
          <w:lang w:val="en"/>
        </w:rPr>
        <w:fldChar w:fldCharType="begin" w:fldLock="1"/>
      </w:r>
      <w:r w:rsidR="007D487E" w:rsidRPr="0020159A">
        <w:rPr>
          <w:rFonts w:ascii="Arial" w:hAnsi="Arial" w:cs="Arial"/>
          <w:sz w:val="24"/>
          <w:szCs w:val="24"/>
          <w:vertAlign w:val="superscript"/>
          <w:lang w:val="en"/>
        </w:rPr>
        <w:instrText>ADDIN CSL_CITATION {"citationItems":[{"id":"ITEM-1","itemData":{"DOI":"10.1136/","abstract":"Reducing physical intervention in mental health inpatient care is a global priority. It is extremely distressing both to patients and staff. PROactive Management of Integrated Services and Environments (PROMISE) was developed within Cambridgeshire and Peterborough NHS Foundation Trust (CPFT) to bring about culture change to decrease coercion in care. This study evaluates the changes in physical intervention numbers and patient experience metrics and proposes an easy-to-adopt and adapt governance framework for complex interventions. PROMISE was based on three core values of: providing a caring response to all distress; courage to challenge the status quo; and coproduction of novel solutions. It sought to transform daily front-line interactions related to risk-based restrictive practice that often leads to physical interventions. PROactive Governance of Recovery Settings and Services, a five-step governance framework (Report, Reflect, Review, Rethink and Refresh), was developed in an iterative and organic fashion to oversee the improvement journey and effectively translate information into knowledge, learning and actions. Overall physical interventions reduced from 328 to 241and210 across consecutive years","author":[{"dropping-particle":"","family":"Lombardo","given":"Chiara","non-dropping-particle":"","parse-names":false,"suffix":""},{"dropping-particle":"","family":"Bortel","given":"Tine","non-dropping-particle":"Van","parse-names":false,"suffix":""},{"dropping-particle":"","family":"Wagner","given":"Adam P","non-dropping-particle":"","parse-names":false,"suffix":""},{"dropping-particle":"","family":"Kaminskiy","given":"Emma","non-dropping-particle":"","parse-names":false,"suffix":""},{"dropping-particle":"","family":"Wilson","given":"Ceri","non-dropping-particle":"","parse-names":false,"suffix":""},{"dropping-particle":"","family":"Krishnamoorthy","given":"Theeba","non-dropping-particle":"","parse-names":false,"suffix":""},{"dropping-particle":"","family":"Rae","given":"Sarah","non-dropping-particle":"","parse-names":false,"suffix":""},{"dropping-particle":"","family":"Rouse","given":"Lorna","non-dropping-particle":"","parse-names":false,"suffix":""},{"dropping-particle":"","family":"Brian Jones","given":"Peter","non-dropping-particle":"","parse-names":false,"suffix":""},{"dropping-particle":"","family":"Kar Ray","given":"Manaan","non-dropping-particle":"","parse-names":false,"suffix":""},{"dropping-particle":"","family":"KarRay","given":"Manaan","non-dropping-particle":"","parse-names":false,"suffix":""}],"container-title":"BMJ Open Quality","id":"ITEM-1","issued":{"date-parts":[["2018"]]},"page":"332","title":"PROGRESS: the PROMISE governance framework to decrease coercion in mental healthcare BMJ Quality Improvement report","type":"article-journal","volume":"7"},"uris":["http://www.mendeley.com/documents/?uuid=332fe714-823e-4f70-ab99-809b669bfd33"]}],"mendeley":{"formattedCitation":"(38)","plainTextFormattedCitation":"(38)","previouslyFormattedCitation":"(38)"},"properties":{"noteIndex":0},"schema":"https://github.com/citation-style-language/schema/raw/master/csl-citation.json"}</w:instrText>
      </w:r>
      <w:r w:rsidR="00525EE7" w:rsidRPr="0020159A">
        <w:rPr>
          <w:rFonts w:ascii="Arial" w:hAnsi="Arial" w:cs="Arial"/>
          <w:sz w:val="24"/>
          <w:szCs w:val="24"/>
          <w:vertAlign w:val="superscript"/>
          <w:lang w:val="en"/>
        </w:rPr>
        <w:fldChar w:fldCharType="separate"/>
      </w:r>
      <w:r w:rsidR="00B92A29" w:rsidRPr="0020159A">
        <w:rPr>
          <w:rFonts w:ascii="Arial" w:hAnsi="Arial" w:cs="Arial"/>
          <w:noProof/>
          <w:sz w:val="24"/>
          <w:szCs w:val="24"/>
          <w:vertAlign w:val="superscript"/>
          <w:lang w:val="en"/>
        </w:rPr>
        <w:t>(38)</w:t>
      </w:r>
      <w:r w:rsidR="00525EE7" w:rsidRPr="0020159A">
        <w:rPr>
          <w:rFonts w:ascii="Arial" w:hAnsi="Arial" w:cs="Arial"/>
          <w:sz w:val="24"/>
          <w:szCs w:val="24"/>
          <w:vertAlign w:val="superscript"/>
          <w:lang w:val="en"/>
        </w:rPr>
        <w:fldChar w:fldCharType="end"/>
      </w:r>
      <w:r w:rsidR="00E23470" w:rsidRPr="0020159A">
        <w:rPr>
          <w:rFonts w:ascii="Arial" w:hAnsi="Arial" w:cs="Arial"/>
          <w:sz w:val="24"/>
          <w:szCs w:val="24"/>
          <w:lang w:val="en"/>
        </w:rPr>
        <w:t xml:space="preserve"> </w:t>
      </w:r>
      <w:r w:rsidR="00E23470" w:rsidRPr="0020159A">
        <w:rPr>
          <w:rFonts w:ascii="Arial" w:hAnsi="Arial" w:cs="Arial"/>
          <w:strike/>
          <w:sz w:val="24"/>
          <w:szCs w:val="24"/>
          <w:lang w:val="en"/>
        </w:rPr>
        <w:t>and registered patient experience scores of 87%</w:t>
      </w:r>
      <w:r w:rsidR="00525EE7" w:rsidRPr="0020159A">
        <w:rPr>
          <w:rFonts w:ascii="Arial" w:hAnsi="Arial" w:cs="Arial"/>
          <w:strike/>
          <w:sz w:val="24"/>
          <w:szCs w:val="24"/>
          <w:lang w:val="en"/>
        </w:rPr>
        <w:fldChar w:fldCharType="begin" w:fldLock="1"/>
      </w:r>
      <w:r w:rsidR="007D487E" w:rsidRPr="0020159A">
        <w:rPr>
          <w:rFonts w:ascii="Arial" w:hAnsi="Arial" w:cs="Arial"/>
          <w:strike/>
          <w:sz w:val="24"/>
          <w:szCs w:val="24"/>
          <w:lang w:val="en"/>
        </w:rPr>
        <w:instrText>ADDIN CSL_CITATION {"citationItems":[{"id":"ITEM-1","itemData":{"DOI":"10.1136/","abstract":"Reducing physical intervention in mental health inpatient care is a global priority. It is extremely distressing both to patients and staff. PROactive Management of Integrated Services and Environments (PROMISE) was developed within Cambridgeshire and Peterborough NHS Foundation Trust (CPFT) to bring about culture change to decrease coercion in care. This study evaluates the changes in physical intervention numbers and patient experience metrics and proposes an easy-to-adopt and adapt governance framework for complex interventions. PROMISE was based on three core values of: providing a caring response to all distress; courage to challenge the status quo; and coproduction of novel solutions. It sought to transform daily front-line interactions related to risk-based restrictive practice that often leads to physical interventions. PROactive Governance of Recovery Settings and Services, a five-step governance framework (Report, Reflect, Review, Rethink and Refresh), was developed in an iterative and organic fashion to oversee the improvement journey and effectively translate information into knowledge, learning and actions. Overall physical interventions reduced from 328 to 241and210 across consecutive years","author":[{"dropping-particle":"","family":"Lombardo","given":"Chiara","non-dropping-particle":"","parse-names":false,"suffix":""},{"dropping-particle":"","family":"Bortel","given":"Tine","non-dropping-particle":"Van","parse-names":false,"suffix":""},{"dropping-particle":"","family":"Wagner","given":"Adam P","non-dropping-particle":"","parse-names":false,"suffix":""},{"dropping-particle":"","family":"Kaminskiy","given":"Emma","non-dropping-particle":"","parse-names":false,"suffix":""},{"dropping-particle":"","family":"Wilson","given":"Ceri","non-dropping-particle":"","parse-names":false,"suffix":""},{"dropping-particle":"","family":"Krishnamoorthy","given":"Theeba","non-dropping-particle":"","parse-names":false,"suffix":""},{"dropping-particle":"","family":"Rae","given":"Sarah","non-dropping-particle":"","parse-names":false,"suffix":""},{"dropping-particle":"","family":"Rouse","given":"Lorna","non-dropping-particle":"","parse-names":false,"suffix":""},{"dropping-particle":"","family":"Brian Jones","given":"Peter","non-dropping-particle":"","parse-names":false,"suffix":""},{"dropping-particle":"","family":"Kar Ray","given":"Manaan","non-dropping-particle":"","parse-names":false,"suffix":""},{"dropping-particle":"","family":"KarRay","given":"Manaan","non-dropping-particle":"","parse-names":false,"suffix":""}],"container-title":"BMJ Open Quality","id":"ITEM-1","issued":{"date-parts":[["2018"]]},"page":"332","title":"PROGRESS: the PROMISE governance framework to decrease coercion in mental healthcare BMJ Quality Improvement report","type":"article-journal","volume":"7"},"uris":["http://www.mendeley.com/documents/?uuid=332fe714-823e-4f70-ab99-809b669bfd33"]}],"mendeley":{"formattedCitation":"(38)","plainTextFormattedCitation":"(38)","previouslyFormattedCitation":"(38)"},"properties":{"noteIndex":0},"schema":"https://github.com/citation-style-language/schema/raw/master/csl-citation.json"}</w:instrText>
      </w:r>
      <w:r w:rsidR="00525EE7" w:rsidRPr="0020159A">
        <w:rPr>
          <w:rFonts w:ascii="Arial" w:hAnsi="Arial" w:cs="Arial"/>
          <w:strike/>
          <w:sz w:val="24"/>
          <w:szCs w:val="24"/>
          <w:lang w:val="en"/>
        </w:rPr>
        <w:fldChar w:fldCharType="separate"/>
      </w:r>
      <w:r w:rsidR="00B92A29" w:rsidRPr="0020159A">
        <w:rPr>
          <w:rFonts w:ascii="Arial" w:hAnsi="Arial" w:cs="Arial"/>
          <w:strike/>
          <w:noProof/>
          <w:sz w:val="24"/>
          <w:szCs w:val="24"/>
          <w:lang w:val="en"/>
        </w:rPr>
        <w:t>(38)</w:t>
      </w:r>
      <w:r w:rsidR="00525EE7" w:rsidRPr="0020159A">
        <w:rPr>
          <w:rFonts w:ascii="Arial" w:hAnsi="Arial" w:cs="Arial"/>
          <w:strike/>
          <w:sz w:val="24"/>
          <w:szCs w:val="24"/>
          <w:lang w:val="en"/>
        </w:rPr>
        <w:fldChar w:fldCharType="end"/>
      </w:r>
      <w:r w:rsidR="007D384D" w:rsidRPr="0020159A">
        <w:rPr>
          <w:rFonts w:ascii="Arial" w:hAnsi="Arial" w:cs="Arial"/>
          <w:sz w:val="24"/>
          <w:szCs w:val="24"/>
          <w:lang w:val="en"/>
        </w:rPr>
        <w:t>.</w:t>
      </w:r>
      <w:r w:rsidR="00E23470" w:rsidRPr="0020159A">
        <w:rPr>
          <w:rFonts w:ascii="Arial" w:hAnsi="Arial" w:cs="Arial"/>
          <w:sz w:val="24"/>
          <w:szCs w:val="24"/>
          <w:lang w:val="en"/>
        </w:rPr>
        <w:t xml:space="preserve"> </w:t>
      </w:r>
      <w:r w:rsidR="0056385D" w:rsidRPr="0020159A">
        <w:rPr>
          <w:rFonts w:ascii="Arial" w:hAnsi="Arial" w:cs="Arial"/>
        </w:rPr>
        <w:t xml:space="preserve">Inpatient experience surveys (N = 4591) administered between April 2014 and March 2017 provide </w:t>
      </w:r>
      <w:r w:rsidR="00AF0CCB" w:rsidRPr="0020159A">
        <w:rPr>
          <w:rFonts w:ascii="Arial" w:hAnsi="Arial" w:cs="Arial"/>
        </w:rPr>
        <w:t>further evidence</w:t>
      </w:r>
      <w:r w:rsidR="0056385D" w:rsidRPr="0020159A">
        <w:rPr>
          <w:rFonts w:ascii="Arial" w:hAnsi="Arial" w:cs="Arial"/>
        </w:rPr>
        <w:t xml:space="preserve"> </w:t>
      </w:r>
      <w:r w:rsidR="00AF0CCB" w:rsidRPr="0020159A">
        <w:rPr>
          <w:rFonts w:ascii="Arial" w:hAnsi="Arial" w:cs="Arial"/>
        </w:rPr>
        <w:t>of high</w:t>
      </w:r>
      <w:r w:rsidR="0056385D" w:rsidRPr="0020159A">
        <w:rPr>
          <w:rFonts w:ascii="Arial" w:hAnsi="Arial" w:cs="Arial"/>
        </w:rPr>
        <w:t xml:space="preserve"> quality care. 87% rated the care received as good, very good or excellent</w:t>
      </w:r>
      <w:r w:rsidR="00AF0CCB" w:rsidRPr="0020159A">
        <w:rPr>
          <w:rFonts w:ascii="Arial" w:hAnsi="Arial" w:cs="Arial"/>
        </w:rPr>
        <w:t xml:space="preserve">, with </w:t>
      </w:r>
      <w:r w:rsidR="00470C84" w:rsidRPr="0020159A">
        <w:rPr>
          <w:rFonts w:ascii="Arial" w:hAnsi="Arial" w:cs="Arial"/>
        </w:rPr>
        <w:t xml:space="preserve">98% feeling involved in their care/treatment. </w:t>
      </w:r>
      <w:r w:rsidR="00470C84" w:rsidRPr="0020159A">
        <w:rPr>
          <w:rFonts w:ascii="Arial" w:hAnsi="Arial" w:cs="Arial"/>
          <w:sz w:val="24"/>
          <w:szCs w:val="24"/>
        </w:rPr>
        <w:t xml:space="preserve">Staff attitudes were highly commended </w:t>
      </w:r>
      <w:r w:rsidR="00AF0CCB" w:rsidRPr="0020159A">
        <w:rPr>
          <w:rFonts w:ascii="Arial" w:hAnsi="Arial" w:cs="Arial"/>
          <w:sz w:val="24"/>
          <w:szCs w:val="24"/>
        </w:rPr>
        <w:t>(staff polite and friendly: 98%, admission welcoming: 97%, respect and dignity maintained: 96%) followed by action oriented measures (medication purpose explained: 94%, weekday activities supported: 93%, have a care plan: 93%).</w:t>
      </w:r>
      <w:r w:rsidR="00B6563B" w:rsidRPr="0020159A">
        <w:rPr>
          <w:rFonts w:ascii="Arial" w:hAnsi="Arial" w:cs="Arial"/>
          <w:sz w:val="24"/>
          <w:szCs w:val="24"/>
        </w:rPr>
        <w:t xml:space="preserve"> These scores were</w:t>
      </w:r>
      <w:r w:rsidR="00AF0CCB" w:rsidRPr="0020159A">
        <w:rPr>
          <w:rFonts w:ascii="Arial" w:hAnsi="Arial" w:cs="Arial"/>
          <w:sz w:val="24"/>
          <w:szCs w:val="24"/>
        </w:rPr>
        <w:t xml:space="preserve"> </w:t>
      </w:r>
      <w:r w:rsidR="00B6563B" w:rsidRPr="0020159A">
        <w:rPr>
          <w:rFonts w:ascii="Arial" w:hAnsi="Arial" w:cs="Arial"/>
          <w:sz w:val="24"/>
          <w:szCs w:val="24"/>
        </w:rPr>
        <w:t xml:space="preserve">registered </w:t>
      </w:r>
      <w:r w:rsidR="00470C84" w:rsidRPr="0020159A">
        <w:rPr>
          <w:rFonts w:ascii="Arial" w:hAnsi="Arial" w:cs="Arial"/>
        </w:rPr>
        <w:t>in spite of the involuntary status of approximately 20%</w:t>
      </w:r>
      <w:r w:rsidR="00B6563B" w:rsidRPr="0020159A">
        <w:rPr>
          <w:rFonts w:ascii="Arial" w:hAnsi="Arial" w:cs="Arial"/>
        </w:rPr>
        <w:t xml:space="preserve"> of patients</w:t>
      </w:r>
      <w:r w:rsidR="00174E5C" w:rsidRPr="0020159A">
        <w:rPr>
          <w:rFonts w:ascii="Arial" w:hAnsi="Arial" w:cs="Arial"/>
          <w:vertAlign w:val="superscript"/>
        </w:rPr>
        <w:fldChar w:fldCharType="begin" w:fldLock="1"/>
      </w:r>
      <w:r w:rsidR="007D487E" w:rsidRPr="0020159A">
        <w:rPr>
          <w:rFonts w:ascii="Arial" w:hAnsi="Arial" w:cs="Arial"/>
          <w:vertAlign w:val="superscript"/>
        </w:rPr>
        <w:instrText>ADDIN CSL_CITATION {"citationItems":[{"id":"ITEM-1","itemData":{"DOI":"10.1136/","abstract":"Reducing physical intervention in mental health inpatient care is a global priority. It is extremely distressing both to patients and staff. PROactive Management of Integrated Services and Environments (PROMISE) was developed within Cambridgeshire and Peterborough NHS Foundation Trust (CPFT) to bring about culture change to decrease coercion in care. This study evaluates the changes in physical intervention numbers and patient experience metrics and proposes an easy-to-adopt and adapt governance framework for complex interventions. PROMISE was based on three core values of: providing a caring response to all distress; courage to challenge the status quo; and coproduction of novel solutions. It sought to transform daily front-line interactions related to risk-based restrictive practice that often leads to physical interventions. PROactive Governance of Recovery Settings and Services, a five-step governance framework (Report, Reflect, Review, Rethink and Refresh), was developed in an iterative and organic fashion to oversee the improvement journey and effectively translate information into knowledge, learning and actions. Overall physical interventions reduced from 328 to 241and210 across consecutive years","author":[{"dropping-particle":"","family":"Lombardo","given":"Chiara","non-dropping-particle":"","parse-names":false,"suffix":""},{"dropping-particle":"","family":"Bortel","given":"Tine","non-dropping-particle":"Van","parse-names":false,"suffix":""},{"dropping-particle":"","family":"Wagner","given":"Adam P","non-dropping-particle":"","parse-names":false,"suffix":""},{"dropping-particle":"","family":"Kaminskiy","given":"Emma","non-dropping-particle":"","parse-names":false,"suffix":""},{"dropping-particle":"","family":"Wilson","given":"Ceri","non-dropping-particle":"","parse-names":false,"suffix":""},{"dropping-particle":"","family":"Krishnamoorthy","given":"Theeba","non-dropping-particle":"","parse-names":false,"suffix":""},{"dropping-particle":"","family":"Rae","given":"Sarah","non-dropping-particle":"","parse-names":false,"suffix":""},{"dropping-particle":"","family":"Rouse","given":"Lorna","non-dropping-particle":"","parse-names":false,"suffix":""},{"dropping-particle":"","family":"Brian Jones","given":"Peter","non-dropping-particle":"","parse-names":false,"suffix":""},{"dropping-particle":"","family":"Kar Ray","given":"Manaan","non-dropping-particle":"","parse-names":false,"suffix":""},{"dropping-particle":"","family":"KarRay","given":"Manaan","non-dropping-particle":"","parse-names":false,"suffix":""}],"container-title":"BMJ Open Quality","id":"ITEM-1","issued":{"date-parts":[["2018"]]},"page":"332","title":"PROGRESS: the PROMISE governance framework to decrease coercion in mental healthcare BMJ Quality Improvement report","type":"article-journal","volume":"7"},"uris":["http://www.mendeley.com/documents/?uuid=332fe714-823e-4f70-ab99-809b669bfd33"]}],"mendeley":{"formattedCitation":"(38)","plainTextFormattedCitation":"(38)","previouslyFormattedCitation":"(38)"},"properties":{"noteIndex":0},"schema":"https://github.com/citation-style-language/schema/raw/master/csl-citation.json"}</w:instrText>
      </w:r>
      <w:r w:rsidR="00174E5C" w:rsidRPr="0020159A">
        <w:rPr>
          <w:rFonts w:ascii="Arial" w:hAnsi="Arial" w:cs="Arial"/>
          <w:vertAlign w:val="superscript"/>
        </w:rPr>
        <w:fldChar w:fldCharType="separate"/>
      </w:r>
      <w:r w:rsidR="00B92A29" w:rsidRPr="0020159A">
        <w:rPr>
          <w:rFonts w:ascii="Arial" w:hAnsi="Arial" w:cs="Arial"/>
          <w:noProof/>
          <w:vertAlign w:val="superscript"/>
        </w:rPr>
        <w:t>(38)</w:t>
      </w:r>
      <w:r w:rsidR="00174E5C" w:rsidRPr="0020159A">
        <w:rPr>
          <w:rFonts w:ascii="Arial" w:hAnsi="Arial" w:cs="Arial"/>
          <w:vertAlign w:val="superscript"/>
        </w:rPr>
        <w:fldChar w:fldCharType="end"/>
      </w:r>
      <w:r w:rsidR="00AC40FD" w:rsidRPr="0020159A">
        <w:rPr>
          <w:rFonts w:ascii="Arial" w:hAnsi="Arial" w:cs="Arial"/>
        </w:rPr>
        <w:t>.</w:t>
      </w:r>
    </w:p>
    <w:p w14:paraId="669CF804" w14:textId="77777777" w:rsidR="00C91DBE" w:rsidRPr="0020159A" w:rsidRDefault="008614CB" w:rsidP="001E6636">
      <w:pPr>
        <w:rPr>
          <w:rFonts w:ascii="Arial" w:hAnsi="Arial" w:cs="Arial"/>
          <w:sz w:val="24"/>
          <w:szCs w:val="24"/>
        </w:rPr>
      </w:pPr>
      <w:r w:rsidRPr="0020159A">
        <w:rPr>
          <w:rFonts w:ascii="Arial" w:hAnsi="Arial" w:cs="Arial"/>
          <w:sz w:val="24"/>
          <w:szCs w:val="24"/>
        </w:rPr>
        <w:t>Limitations:</w:t>
      </w:r>
    </w:p>
    <w:p w14:paraId="6A1CC8E2" w14:textId="77777777" w:rsidR="00C56D97" w:rsidRPr="0020159A" w:rsidRDefault="0048345D" w:rsidP="004E3EAC">
      <w:pPr>
        <w:rPr>
          <w:rFonts w:ascii="Arial" w:hAnsi="Arial" w:cs="Arial"/>
          <w:sz w:val="24"/>
          <w:szCs w:val="24"/>
        </w:rPr>
      </w:pPr>
      <w:r w:rsidRPr="0020159A">
        <w:rPr>
          <w:rFonts w:ascii="Arial" w:hAnsi="Arial" w:cs="Arial"/>
          <w:sz w:val="24"/>
          <w:szCs w:val="24"/>
        </w:rPr>
        <w:t>333 has provided a viable inpatient mental health care solution within the resources available, however it does not meet the needs of patients who</w:t>
      </w:r>
      <w:r w:rsidR="00031908" w:rsidRPr="0020159A">
        <w:rPr>
          <w:rFonts w:ascii="Arial" w:hAnsi="Arial" w:cs="Arial"/>
          <w:sz w:val="24"/>
          <w:szCs w:val="24"/>
        </w:rPr>
        <w:t xml:space="preserve"> require</w:t>
      </w:r>
      <w:r w:rsidRPr="0020159A">
        <w:rPr>
          <w:rFonts w:ascii="Arial" w:hAnsi="Arial" w:cs="Arial"/>
          <w:sz w:val="24"/>
          <w:szCs w:val="24"/>
        </w:rPr>
        <w:t xml:space="preserve"> longer term care and </w:t>
      </w:r>
      <w:r w:rsidR="00C56D97" w:rsidRPr="0020159A">
        <w:rPr>
          <w:rFonts w:ascii="Arial" w:hAnsi="Arial" w:cs="Arial"/>
          <w:sz w:val="24"/>
          <w:szCs w:val="24"/>
        </w:rPr>
        <w:t xml:space="preserve">needs the </w:t>
      </w:r>
      <w:r w:rsidRPr="0020159A">
        <w:rPr>
          <w:rFonts w:ascii="Arial" w:hAnsi="Arial" w:cs="Arial"/>
          <w:sz w:val="24"/>
          <w:szCs w:val="24"/>
        </w:rPr>
        <w:t>support</w:t>
      </w:r>
      <w:r w:rsidR="00C56D97" w:rsidRPr="0020159A">
        <w:rPr>
          <w:rFonts w:ascii="Arial" w:hAnsi="Arial" w:cs="Arial"/>
          <w:sz w:val="24"/>
          <w:szCs w:val="24"/>
        </w:rPr>
        <w:t xml:space="preserve"> of</w:t>
      </w:r>
      <w:r w:rsidRPr="0020159A">
        <w:rPr>
          <w:rFonts w:ascii="Arial" w:hAnsi="Arial" w:cs="Arial"/>
          <w:sz w:val="24"/>
          <w:szCs w:val="24"/>
        </w:rPr>
        <w:t xml:space="preserve"> specialist wards. </w:t>
      </w:r>
      <w:r w:rsidR="00FE47C9" w:rsidRPr="0020159A">
        <w:rPr>
          <w:rFonts w:ascii="Arial" w:hAnsi="Arial" w:cs="Arial"/>
          <w:sz w:val="24"/>
          <w:szCs w:val="24"/>
        </w:rPr>
        <w:t>T</w:t>
      </w:r>
      <w:r w:rsidRPr="0020159A">
        <w:rPr>
          <w:rFonts w:ascii="Arial" w:hAnsi="Arial" w:cs="Arial"/>
          <w:sz w:val="24"/>
          <w:szCs w:val="24"/>
        </w:rPr>
        <w:t>he system is interdepende</w:t>
      </w:r>
      <w:r w:rsidR="00FE47C9" w:rsidRPr="0020159A">
        <w:rPr>
          <w:rFonts w:ascii="Arial" w:hAnsi="Arial" w:cs="Arial"/>
          <w:sz w:val="24"/>
          <w:szCs w:val="24"/>
        </w:rPr>
        <w:t>nt and a</w:t>
      </w:r>
      <w:r w:rsidR="00031908" w:rsidRPr="0020159A">
        <w:rPr>
          <w:rFonts w:ascii="Arial" w:hAnsi="Arial" w:cs="Arial"/>
          <w:sz w:val="24"/>
          <w:szCs w:val="24"/>
        </w:rPr>
        <w:t>ny issue</w:t>
      </w:r>
      <w:r w:rsidRPr="0020159A">
        <w:rPr>
          <w:rFonts w:ascii="Arial" w:hAnsi="Arial" w:cs="Arial"/>
          <w:sz w:val="24"/>
          <w:szCs w:val="24"/>
        </w:rPr>
        <w:t xml:space="preserve"> </w:t>
      </w:r>
      <w:r w:rsidR="00FE47C9" w:rsidRPr="0020159A">
        <w:rPr>
          <w:rFonts w:ascii="Arial" w:hAnsi="Arial" w:cs="Arial"/>
          <w:sz w:val="24"/>
          <w:szCs w:val="24"/>
        </w:rPr>
        <w:t>in one part affects the whole. It</w:t>
      </w:r>
      <w:r w:rsidR="003033C2" w:rsidRPr="0020159A">
        <w:rPr>
          <w:rFonts w:ascii="Arial" w:hAnsi="Arial" w:cs="Arial"/>
          <w:sz w:val="24"/>
          <w:szCs w:val="24"/>
        </w:rPr>
        <w:t xml:space="preserve"> needs daily oversight or else patient flow tends to break down across interfaces. </w:t>
      </w:r>
      <w:r w:rsidR="00031908" w:rsidRPr="0020159A">
        <w:rPr>
          <w:rFonts w:ascii="Arial" w:hAnsi="Arial" w:cs="Arial"/>
          <w:sz w:val="24"/>
          <w:szCs w:val="24"/>
        </w:rPr>
        <w:t xml:space="preserve">Positive risk management is crucial to </w:t>
      </w:r>
      <w:r w:rsidR="00C56D97" w:rsidRPr="0020159A">
        <w:rPr>
          <w:rFonts w:ascii="Arial" w:hAnsi="Arial" w:cs="Arial"/>
          <w:sz w:val="24"/>
          <w:szCs w:val="24"/>
        </w:rPr>
        <w:t xml:space="preserve">its </w:t>
      </w:r>
      <w:r w:rsidR="00031908" w:rsidRPr="0020159A">
        <w:rPr>
          <w:rFonts w:ascii="Arial" w:hAnsi="Arial" w:cs="Arial"/>
          <w:sz w:val="24"/>
          <w:szCs w:val="24"/>
        </w:rPr>
        <w:t xml:space="preserve">success. </w:t>
      </w:r>
      <w:r w:rsidR="00C56D97" w:rsidRPr="0020159A">
        <w:rPr>
          <w:rFonts w:ascii="Arial" w:hAnsi="Arial" w:cs="Arial"/>
          <w:sz w:val="24"/>
          <w:szCs w:val="24"/>
        </w:rPr>
        <w:t xml:space="preserve">It </w:t>
      </w:r>
      <w:r w:rsidR="00031908" w:rsidRPr="0020159A">
        <w:rPr>
          <w:rFonts w:ascii="Arial" w:hAnsi="Arial" w:cs="Arial"/>
          <w:sz w:val="24"/>
          <w:szCs w:val="24"/>
        </w:rPr>
        <w:t xml:space="preserve">requires an engaged recovery oriented workforce that </w:t>
      </w:r>
      <w:r w:rsidR="00C56D97" w:rsidRPr="0020159A">
        <w:rPr>
          <w:rFonts w:ascii="Arial" w:hAnsi="Arial" w:cs="Arial"/>
          <w:sz w:val="24"/>
          <w:szCs w:val="24"/>
        </w:rPr>
        <w:t xml:space="preserve">believes in </w:t>
      </w:r>
      <w:r w:rsidR="00031908" w:rsidRPr="0020159A">
        <w:rPr>
          <w:rFonts w:ascii="Arial" w:hAnsi="Arial" w:cs="Arial"/>
          <w:sz w:val="24"/>
          <w:szCs w:val="24"/>
        </w:rPr>
        <w:t>the model. Recruitment, training</w:t>
      </w:r>
      <w:r w:rsidR="00FE47C9" w:rsidRPr="0020159A">
        <w:rPr>
          <w:rFonts w:ascii="Arial" w:hAnsi="Arial" w:cs="Arial"/>
          <w:sz w:val="24"/>
          <w:szCs w:val="24"/>
        </w:rPr>
        <w:t xml:space="preserve"> and retention of </w:t>
      </w:r>
      <w:r w:rsidR="00031908" w:rsidRPr="0020159A">
        <w:rPr>
          <w:rFonts w:ascii="Arial" w:hAnsi="Arial" w:cs="Arial"/>
          <w:sz w:val="24"/>
          <w:szCs w:val="24"/>
        </w:rPr>
        <w:t>skilled and</w:t>
      </w:r>
      <w:r w:rsidR="00FE47C9" w:rsidRPr="0020159A">
        <w:rPr>
          <w:rFonts w:ascii="Arial" w:hAnsi="Arial" w:cs="Arial"/>
          <w:sz w:val="24"/>
          <w:szCs w:val="24"/>
        </w:rPr>
        <w:t xml:space="preserve"> experienced staff is </w:t>
      </w:r>
      <w:r w:rsidR="00031908" w:rsidRPr="0020159A">
        <w:rPr>
          <w:rFonts w:ascii="Arial" w:hAnsi="Arial" w:cs="Arial"/>
          <w:sz w:val="24"/>
          <w:szCs w:val="24"/>
        </w:rPr>
        <w:t>thus essential</w:t>
      </w:r>
      <w:r w:rsidR="00FE47C9" w:rsidRPr="0020159A">
        <w:rPr>
          <w:rFonts w:ascii="Arial" w:hAnsi="Arial" w:cs="Arial"/>
          <w:sz w:val="24"/>
          <w:szCs w:val="24"/>
        </w:rPr>
        <w:t xml:space="preserve">. </w:t>
      </w:r>
    </w:p>
    <w:p w14:paraId="4D0D9E11" w14:textId="246A7F32" w:rsidR="00146276" w:rsidRPr="0020159A" w:rsidRDefault="00C56D97" w:rsidP="004E3EAC">
      <w:pPr>
        <w:rPr>
          <w:rFonts w:ascii="Arial" w:hAnsi="Arial" w:cs="Arial"/>
          <w:sz w:val="24"/>
          <w:szCs w:val="24"/>
        </w:rPr>
      </w:pPr>
      <w:r w:rsidRPr="0020159A">
        <w:rPr>
          <w:rFonts w:ascii="Arial" w:hAnsi="Arial" w:cs="Arial"/>
          <w:sz w:val="24"/>
          <w:szCs w:val="24"/>
        </w:rPr>
        <w:t>T</w:t>
      </w:r>
      <w:r w:rsidR="00FE47C9" w:rsidRPr="0020159A">
        <w:rPr>
          <w:rFonts w:ascii="Arial" w:hAnsi="Arial" w:cs="Arial"/>
          <w:sz w:val="24"/>
          <w:szCs w:val="24"/>
        </w:rPr>
        <w:t>h</w:t>
      </w:r>
      <w:r w:rsidRPr="0020159A">
        <w:rPr>
          <w:rFonts w:ascii="Arial" w:hAnsi="Arial" w:cs="Arial"/>
          <w:sz w:val="24"/>
          <w:szCs w:val="24"/>
        </w:rPr>
        <w:t>is</w:t>
      </w:r>
      <w:r w:rsidR="00FE47C9" w:rsidRPr="0020159A">
        <w:rPr>
          <w:rFonts w:ascii="Arial" w:hAnsi="Arial" w:cs="Arial"/>
          <w:sz w:val="24"/>
          <w:szCs w:val="24"/>
        </w:rPr>
        <w:t xml:space="preserve"> paper provides a range of process measures and refers to patient safety and experience</w:t>
      </w:r>
      <w:r w:rsidR="00146276" w:rsidRPr="0020159A">
        <w:rPr>
          <w:rFonts w:ascii="Arial" w:hAnsi="Arial" w:cs="Arial"/>
          <w:sz w:val="24"/>
          <w:szCs w:val="24"/>
        </w:rPr>
        <w:t xml:space="preserve">. Claims of quality care are based on enhanced access, shorter lengths of stay, more treatment in the least restrictive environment and decrease in OAPs but not clinical outcomes. </w:t>
      </w:r>
      <w:r w:rsidR="00C54A8F" w:rsidRPr="0020159A">
        <w:rPr>
          <w:rFonts w:ascii="Arial" w:hAnsi="Arial" w:cs="Arial"/>
          <w:sz w:val="24"/>
          <w:szCs w:val="24"/>
        </w:rPr>
        <w:t xml:space="preserve">The primary outcome measure used in CPFT for finished pathway episode is the </w:t>
      </w:r>
      <w:r w:rsidR="002D2670" w:rsidRPr="0020159A">
        <w:rPr>
          <w:rFonts w:ascii="Arial" w:hAnsi="Arial" w:cs="Arial"/>
          <w:sz w:val="24"/>
          <w:szCs w:val="24"/>
        </w:rPr>
        <w:t>Health of the Nation Outcome Scales (</w:t>
      </w:r>
      <w:proofErr w:type="spellStart"/>
      <w:r w:rsidR="00C54A8F" w:rsidRPr="0020159A">
        <w:rPr>
          <w:rFonts w:ascii="Arial" w:hAnsi="Arial" w:cs="Arial"/>
          <w:sz w:val="24"/>
          <w:szCs w:val="24"/>
        </w:rPr>
        <w:t>H</w:t>
      </w:r>
      <w:r w:rsidR="002D2670" w:rsidRPr="0020159A">
        <w:rPr>
          <w:rFonts w:ascii="Arial" w:hAnsi="Arial" w:cs="Arial"/>
          <w:sz w:val="24"/>
          <w:szCs w:val="24"/>
        </w:rPr>
        <w:t>o</w:t>
      </w:r>
      <w:r w:rsidR="00C54A8F" w:rsidRPr="0020159A">
        <w:rPr>
          <w:rFonts w:ascii="Arial" w:hAnsi="Arial" w:cs="Arial"/>
          <w:sz w:val="24"/>
          <w:szCs w:val="24"/>
        </w:rPr>
        <w:t>NOS</w:t>
      </w:r>
      <w:proofErr w:type="spellEnd"/>
      <w:r w:rsidR="002D2670" w:rsidRPr="0020159A">
        <w:rPr>
          <w:rFonts w:ascii="Arial" w:hAnsi="Arial" w:cs="Arial"/>
          <w:sz w:val="24"/>
          <w:szCs w:val="24"/>
        </w:rPr>
        <w:t>)</w:t>
      </w:r>
      <w:r w:rsidR="00C54A8F" w:rsidRPr="0020159A">
        <w:rPr>
          <w:rFonts w:ascii="Arial" w:hAnsi="Arial" w:cs="Arial"/>
          <w:sz w:val="24"/>
          <w:szCs w:val="24"/>
        </w:rPr>
        <w:t xml:space="preserve"> score</w:t>
      </w:r>
      <w:r w:rsidR="001A5EB1" w:rsidRPr="0020159A">
        <w:rPr>
          <w:rFonts w:ascii="Arial" w:hAnsi="Arial" w:cs="Arial"/>
          <w:sz w:val="24"/>
          <w:szCs w:val="24"/>
          <w:vertAlign w:val="superscript"/>
        </w:rPr>
        <w:fldChar w:fldCharType="begin" w:fldLock="1"/>
      </w:r>
      <w:r w:rsidR="001A5EB1" w:rsidRPr="0020159A">
        <w:rPr>
          <w:rFonts w:ascii="Arial" w:hAnsi="Arial" w:cs="Arial"/>
          <w:sz w:val="24"/>
          <w:szCs w:val="24"/>
          <w:vertAlign w:val="superscript"/>
        </w:rPr>
        <w:instrText>ADDIN CSL_CITATION {"citationItems":[{"id":"ITEM-1","itemData":{"author":[{"dropping-particle":"","family":"Royal College of Psychiatrists","given":"","non-dropping-particle":"","parse-names":false,"suffix":""}],"id":"ITEM-1","issued":{"date-parts":[["1996"]]},"title":"HoNOs","type":"patent"},"uris":["http://www.mendeley.com/documents/?uuid=ec309439-b95b-4a4d-a6a4-495fabb1165d"]}],"mendeley":{"formattedCitation":"(39)","plainTextFormattedCitation":"(39)","previouslyFormattedCitation":"(39)"},"properties":{"noteIndex":0},"schema":"https://github.com/citation-style-language/schema/raw/master/csl-citation.json"}</w:instrText>
      </w:r>
      <w:r w:rsidR="001A5EB1" w:rsidRPr="0020159A">
        <w:rPr>
          <w:rFonts w:ascii="Arial" w:hAnsi="Arial" w:cs="Arial"/>
          <w:sz w:val="24"/>
          <w:szCs w:val="24"/>
          <w:vertAlign w:val="superscript"/>
        </w:rPr>
        <w:fldChar w:fldCharType="separate"/>
      </w:r>
      <w:r w:rsidR="001A5EB1" w:rsidRPr="0020159A">
        <w:rPr>
          <w:rFonts w:ascii="Arial" w:hAnsi="Arial" w:cs="Arial"/>
          <w:noProof/>
          <w:sz w:val="24"/>
          <w:szCs w:val="24"/>
          <w:vertAlign w:val="superscript"/>
        </w:rPr>
        <w:t>(39)</w:t>
      </w:r>
      <w:r w:rsidR="001A5EB1" w:rsidRPr="0020159A">
        <w:rPr>
          <w:rFonts w:ascii="Arial" w:hAnsi="Arial" w:cs="Arial"/>
          <w:sz w:val="24"/>
          <w:szCs w:val="24"/>
          <w:vertAlign w:val="superscript"/>
        </w:rPr>
        <w:fldChar w:fldCharType="end"/>
      </w:r>
      <w:r w:rsidR="00C54A8F" w:rsidRPr="0020159A">
        <w:rPr>
          <w:rFonts w:ascii="Arial" w:hAnsi="Arial" w:cs="Arial"/>
          <w:sz w:val="24"/>
          <w:szCs w:val="24"/>
        </w:rPr>
        <w:t>.</w:t>
      </w:r>
      <w:r w:rsidR="008A12A9" w:rsidRPr="0020159A">
        <w:rPr>
          <w:rFonts w:ascii="Arial" w:hAnsi="Arial" w:cs="Arial"/>
          <w:sz w:val="24"/>
          <w:szCs w:val="24"/>
        </w:rPr>
        <w:t xml:space="preserve"> </w:t>
      </w:r>
      <w:r w:rsidR="004E018F" w:rsidRPr="0020159A">
        <w:rPr>
          <w:rFonts w:ascii="Arial" w:hAnsi="Arial" w:cs="Arial"/>
          <w:sz w:val="24"/>
          <w:szCs w:val="24"/>
        </w:rPr>
        <w:t>The scoring is based on the presence of symptoms in the previous two weeks. This makes it unsuitable for assessing outcomes in the 333 system as scores would be unchanged between admission and discharge for patients in the assessment and treatment unit as their median lengths of stay were 3.71 and 15.12 days respectively. HONOS was</w:t>
      </w:r>
      <w:r w:rsidR="00C54A8F" w:rsidRPr="0020159A">
        <w:rPr>
          <w:rFonts w:ascii="Arial" w:hAnsi="Arial" w:cs="Arial"/>
          <w:sz w:val="24"/>
          <w:szCs w:val="24"/>
        </w:rPr>
        <w:t xml:space="preserve"> administered at initial </w:t>
      </w:r>
      <w:r w:rsidR="004E018F" w:rsidRPr="0020159A">
        <w:rPr>
          <w:rFonts w:ascii="Arial" w:hAnsi="Arial" w:cs="Arial"/>
          <w:sz w:val="24"/>
          <w:szCs w:val="24"/>
        </w:rPr>
        <w:t xml:space="preserve">entry into CPFT </w:t>
      </w:r>
      <w:r w:rsidR="00C54A8F" w:rsidRPr="0020159A">
        <w:rPr>
          <w:rFonts w:ascii="Arial" w:hAnsi="Arial" w:cs="Arial"/>
          <w:sz w:val="24"/>
          <w:szCs w:val="24"/>
        </w:rPr>
        <w:t xml:space="preserve">and repeated every 6 months and at discharge from secondary care mental health services into primary care. </w:t>
      </w:r>
      <w:r w:rsidR="00184896" w:rsidRPr="0020159A">
        <w:rPr>
          <w:rFonts w:ascii="Arial" w:hAnsi="Arial" w:cs="Arial"/>
          <w:sz w:val="24"/>
          <w:szCs w:val="24"/>
        </w:rPr>
        <w:t>This was the preferred outcome measure as HONOS clusters were linked to the ‘payment by results’ initiative in the UK and</w:t>
      </w:r>
      <w:r w:rsidR="00C54A8F" w:rsidRPr="0020159A">
        <w:rPr>
          <w:rFonts w:ascii="Arial" w:hAnsi="Arial" w:cs="Arial"/>
          <w:sz w:val="24"/>
          <w:szCs w:val="24"/>
        </w:rPr>
        <w:t xml:space="preserve"> HONOS drop provide</w:t>
      </w:r>
      <w:r w:rsidR="004E018F" w:rsidRPr="0020159A">
        <w:rPr>
          <w:rFonts w:ascii="Arial" w:hAnsi="Arial" w:cs="Arial"/>
          <w:sz w:val="24"/>
          <w:szCs w:val="24"/>
        </w:rPr>
        <w:t>d</w:t>
      </w:r>
      <w:r w:rsidR="00C54A8F" w:rsidRPr="0020159A">
        <w:rPr>
          <w:rFonts w:ascii="Arial" w:hAnsi="Arial" w:cs="Arial"/>
          <w:sz w:val="24"/>
          <w:szCs w:val="24"/>
        </w:rPr>
        <w:t xml:space="preserve"> valuable information for the overall patient journey through </w:t>
      </w:r>
      <w:r w:rsidR="005359AB" w:rsidRPr="0020159A">
        <w:rPr>
          <w:rFonts w:ascii="Arial" w:hAnsi="Arial" w:cs="Arial"/>
          <w:sz w:val="24"/>
          <w:szCs w:val="24"/>
        </w:rPr>
        <w:t>NHS trusts</w:t>
      </w:r>
      <w:r w:rsidR="00C54A8F" w:rsidRPr="0020159A">
        <w:rPr>
          <w:rFonts w:ascii="Arial" w:hAnsi="Arial" w:cs="Arial"/>
          <w:sz w:val="24"/>
          <w:szCs w:val="24"/>
        </w:rPr>
        <w:t xml:space="preserve">, </w:t>
      </w:r>
      <w:r w:rsidR="004E018F" w:rsidRPr="0020159A">
        <w:rPr>
          <w:rFonts w:ascii="Arial" w:hAnsi="Arial" w:cs="Arial"/>
          <w:sz w:val="24"/>
          <w:szCs w:val="24"/>
        </w:rPr>
        <w:t xml:space="preserve">but </w:t>
      </w:r>
      <w:r w:rsidR="00184896" w:rsidRPr="0020159A">
        <w:rPr>
          <w:rFonts w:ascii="Arial" w:hAnsi="Arial" w:cs="Arial"/>
          <w:sz w:val="24"/>
          <w:szCs w:val="24"/>
        </w:rPr>
        <w:t>it</w:t>
      </w:r>
      <w:r w:rsidR="005359AB" w:rsidRPr="0020159A">
        <w:rPr>
          <w:rFonts w:ascii="Arial" w:hAnsi="Arial" w:cs="Arial"/>
          <w:sz w:val="24"/>
          <w:szCs w:val="24"/>
        </w:rPr>
        <w:t>s ‘previous two weeks’</w:t>
      </w:r>
      <w:r w:rsidR="00184896" w:rsidRPr="0020159A">
        <w:rPr>
          <w:rFonts w:ascii="Arial" w:hAnsi="Arial" w:cs="Arial"/>
          <w:sz w:val="24"/>
          <w:szCs w:val="24"/>
        </w:rPr>
        <w:t xml:space="preserve"> </w:t>
      </w:r>
      <w:r w:rsidR="005359AB" w:rsidRPr="0020159A">
        <w:rPr>
          <w:rFonts w:ascii="Arial" w:hAnsi="Arial" w:cs="Arial"/>
          <w:sz w:val="24"/>
          <w:szCs w:val="24"/>
        </w:rPr>
        <w:t>caveat makes it</w:t>
      </w:r>
      <w:r w:rsidR="00184896" w:rsidRPr="0020159A">
        <w:rPr>
          <w:rFonts w:ascii="Arial" w:hAnsi="Arial" w:cs="Arial"/>
          <w:sz w:val="24"/>
          <w:szCs w:val="24"/>
        </w:rPr>
        <w:t xml:space="preserve"> unsuitable </w:t>
      </w:r>
      <w:r w:rsidR="00C54A8F" w:rsidRPr="0020159A">
        <w:rPr>
          <w:rFonts w:ascii="Arial" w:hAnsi="Arial" w:cs="Arial"/>
          <w:sz w:val="24"/>
          <w:szCs w:val="24"/>
        </w:rPr>
        <w:t xml:space="preserve">for evaluating the quality of care within 333. </w:t>
      </w:r>
      <w:r w:rsidR="00184896" w:rsidRPr="0020159A">
        <w:rPr>
          <w:rFonts w:ascii="Arial" w:hAnsi="Arial" w:cs="Arial"/>
          <w:sz w:val="24"/>
          <w:szCs w:val="24"/>
        </w:rPr>
        <w:t>To address this i</w:t>
      </w:r>
      <w:r w:rsidR="008A12A9" w:rsidRPr="0020159A">
        <w:rPr>
          <w:rFonts w:ascii="Arial" w:hAnsi="Arial" w:cs="Arial"/>
          <w:sz w:val="24"/>
          <w:szCs w:val="24"/>
        </w:rPr>
        <w:t>n</w:t>
      </w:r>
      <w:r w:rsidR="00184896" w:rsidRPr="0020159A">
        <w:rPr>
          <w:rFonts w:ascii="Arial" w:hAnsi="Arial" w:cs="Arial"/>
          <w:sz w:val="24"/>
          <w:szCs w:val="24"/>
        </w:rPr>
        <w:t xml:space="preserve"> late </w:t>
      </w:r>
      <w:r w:rsidR="008A12A9" w:rsidRPr="0020159A">
        <w:rPr>
          <w:rFonts w:ascii="Arial" w:hAnsi="Arial" w:cs="Arial"/>
          <w:sz w:val="24"/>
          <w:szCs w:val="24"/>
        </w:rPr>
        <w:t xml:space="preserve">2017, </w:t>
      </w:r>
      <w:r w:rsidR="00184896" w:rsidRPr="0020159A">
        <w:rPr>
          <w:rFonts w:ascii="Arial" w:hAnsi="Arial" w:cs="Arial"/>
          <w:sz w:val="24"/>
          <w:szCs w:val="24"/>
        </w:rPr>
        <w:t xml:space="preserve">attempts were made to incorporate </w:t>
      </w:r>
      <w:r w:rsidR="008A12A9" w:rsidRPr="0020159A">
        <w:rPr>
          <w:rFonts w:ascii="Arial" w:hAnsi="Arial" w:cs="Arial"/>
          <w:sz w:val="24"/>
          <w:szCs w:val="24"/>
        </w:rPr>
        <w:t>Clinical Global Impression into standard practice</w:t>
      </w:r>
      <w:r w:rsidR="001A5EB1" w:rsidRPr="0020159A">
        <w:rPr>
          <w:rFonts w:ascii="Arial" w:hAnsi="Arial" w:cs="Arial"/>
          <w:sz w:val="24"/>
          <w:szCs w:val="24"/>
          <w:vertAlign w:val="superscript"/>
        </w:rPr>
        <w:fldChar w:fldCharType="begin" w:fldLock="1"/>
      </w:r>
      <w:r w:rsidR="001A5EB1" w:rsidRPr="0020159A">
        <w:rPr>
          <w:rFonts w:ascii="Arial" w:hAnsi="Arial" w:cs="Arial"/>
          <w:sz w:val="24"/>
          <w:szCs w:val="24"/>
          <w:vertAlign w:val="superscript"/>
        </w:rPr>
        <w:instrText>ADDIN CSL_CITATION {"citationItems":[{"id":"ITEM-1","itemData":{"ISSN":"1555-5194","PMID":"20526405","abstract":"OBJECTIVE This paper reviews the potential value in daily clinical practice of an easily applied research tool, the Clinical Global Impressions (CGI) Scale, for the nonresearcher clinician to quantify and track patient progress and treatment response over time. METHOD The instrument is described and sample patient scenarios are provided with scoring rationales and a practical charting system. CONCLUSION The CGI severity and improvement scales offer a readily understood, practical measurement tool that can easily be administered by a clinician in a busy clinical practice setting.","author":[{"dropping-particle":"","family":"Busner","given":"Joan","non-dropping-particle":"","parse-names":false,"suffix":""},{"dropping-particle":"","family":"Targum","given":"Steven D","non-dropping-particle":"","parse-names":false,"suffix":""}],"container-title":"Psychiatry (Edgmont (Pa. : Township))","id":"ITEM-1","issue":"7","issued":{"date-parts":[["2007","7"]]},"page":"28-37","publisher":"Matrix Medical Communications","title":"The clinical global impressions scale: applying a research tool in clinical practice.","type":"article-journal","volume":"4"},"uris":["http://www.mendeley.com/documents/?uuid=9009ae1a-5a24-35f1-9f08-86f75d2a5a83"]}],"mendeley":{"formattedCitation":"(40)","plainTextFormattedCitation":"(40)"},"properties":{"noteIndex":0},"schema":"https://github.com/citation-style-language/schema/raw/master/csl-citation.json"}</w:instrText>
      </w:r>
      <w:r w:rsidR="001A5EB1" w:rsidRPr="0020159A">
        <w:rPr>
          <w:rFonts w:ascii="Arial" w:hAnsi="Arial" w:cs="Arial"/>
          <w:sz w:val="24"/>
          <w:szCs w:val="24"/>
          <w:vertAlign w:val="superscript"/>
        </w:rPr>
        <w:fldChar w:fldCharType="separate"/>
      </w:r>
      <w:r w:rsidR="001A5EB1" w:rsidRPr="0020159A">
        <w:rPr>
          <w:rFonts w:ascii="Arial" w:hAnsi="Arial" w:cs="Arial"/>
          <w:noProof/>
          <w:sz w:val="24"/>
          <w:szCs w:val="24"/>
          <w:vertAlign w:val="superscript"/>
        </w:rPr>
        <w:t>(40)</w:t>
      </w:r>
      <w:r w:rsidR="001A5EB1" w:rsidRPr="0020159A">
        <w:rPr>
          <w:rFonts w:ascii="Arial" w:hAnsi="Arial" w:cs="Arial"/>
          <w:sz w:val="24"/>
          <w:szCs w:val="24"/>
          <w:vertAlign w:val="superscript"/>
        </w:rPr>
        <w:fldChar w:fldCharType="end"/>
      </w:r>
      <w:r w:rsidR="005359AB" w:rsidRPr="0020159A">
        <w:rPr>
          <w:rFonts w:ascii="Arial" w:hAnsi="Arial" w:cs="Arial"/>
          <w:sz w:val="24"/>
          <w:szCs w:val="24"/>
        </w:rPr>
        <w:t xml:space="preserve"> for 333</w:t>
      </w:r>
      <w:r w:rsidR="00184896" w:rsidRPr="0020159A">
        <w:rPr>
          <w:rFonts w:ascii="Arial" w:hAnsi="Arial" w:cs="Arial"/>
          <w:sz w:val="24"/>
          <w:szCs w:val="24"/>
        </w:rPr>
        <w:t>.</w:t>
      </w:r>
      <w:r w:rsidR="008A12A9" w:rsidRPr="0020159A">
        <w:rPr>
          <w:rFonts w:ascii="Arial" w:hAnsi="Arial" w:cs="Arial"/>
          <w:sz w:val="24"/>
          <w:szCs w:val="24"/>
        </w:rPr>
        <w:t xml:space="preserve"> However</w:t>
      </w:r>
      <w:r w:rsidR="005359AB" w:rsidRPr="0020159A">
        <w:rPr>
          <w:rFonts w:ascii="Arial" w:hAnsi="Arial" w:cs="Arial"/>
          <w:sz w:val="24"/>
          <w:szCs w:val="24"/>
        </w:rPr>
        <w:t>,</w:t>
      </w:r>
      <w:r w:rsidR="008A12A9" w:rsidRPr="0020159A">
        <w:rPr>
          <w:rFonts w:ascii="Arial" w:hAnsi="Arial" w:cs="Arial"/>
          <w:sz w:val="24"/>
          <w:szCs w:val="24"/>
        </w:rPr>
        <w:t xml:space="preserve"> reporting on it is outside the scope of this paper</w:t>
      </w:r>
      <w:r w:rsidR="005359AB" w:rsidRPr="0020159A">
        <w:rPr>
          <w:rFonts w:ascii="Arial" w:hAnsi="Arial" w:cs="Arial"/>
          <w:sz w:val="24"/>
          <w:szCs w:val="24"/>
        </w:rPr>
        <w:t>.</w:t>
      </w:r>
      <w:r w:rsidR="00184896" w:rsidRPr="0020159A">
        <w:rPr>
          <w:rFonts w:ascii="Arial" w:hAnsi="Arial" w:cs="Arial"/>
          <w:sz w:val="24"/>
          <w:szCs w:val="24"/>
        </w:rPr>
        <w:t xml:space="preserve"> </w:t>
      </w:r>
    </w:p>
    <w:p w14:paraId="6EE719ED" w14:textId="77777777" w:rsidR="00C93167" w:rsidRPr="0020159A" w:rsidRDefault="00C93167" w:rsidP="005E0A68">
      <w:pPr>
        <w:rPr>
          <w:rFonts w:ascii="Arial" w:hAnsi="Arial" w:cs="Arial"/>
          <w:b/>
          <w:sz w:val="24"/>
          <w:szCs w:val="24"/>
          <w:lang w:val="en"/>
        </w:rPr>
      </w:pPr>
      <w:r w:rsidRPr="0020159A">
        <w:rPr>
          <w:rFonts w:ascii="Arial" w:hAnsi="Arial" w:cs="Arial"/>
          <w:b/>
          <w:sz w:val="24"/>
          <w:szCs w:val="24"/>
          <w:lang w:val="en"/>
        </w:rPr>
        <w:t>Conclusion:</w:t>
      </w:r>
    </w:p>
    <w:p w14:paraId="32DA91CF" w14:textId="77777777" w:rsidR="006D7F44" w:rsidRPr="0020159A" w:rsidRDefault="00C731BC" w:rsidP="006D7F44">
      <w:pPr>
        <w:rPr>
          <w:rFonts w:ascii="Arial" w:hAnsi="Arial" w:cs="Arial"/>
          <w:sz w:val="24"/>
          <w:szCs w:val="24"/>
          <w:lang w:val="en"/>
        </w:rPr>
      </w:pPr>
      <w:r w:rsidRPr="0020159A">
        <w:rPr>
          <w:rFonts w:ascii="Arial" w:hAnsi="Arial" w:cs="Arial"/>
          <w:sz w:val="24"/>
          <w:szCs w:val="24"/>
        </w:rPr>
        <w:t>A</w:t>
      </w:r>
      <w:r w:rsidR="00C93167" w:rsidRPr="0020159A">
        <w:rPr>
          <w:rFonts w:ascii="Arial" w:hAnsi="Arial" w:cs="Arial"/>
          <w:sz w:val="24"/>
          <w:szCs w:val="24"/>
        </w:rPr>
        <w:t xml:space="preserve"> focused </w:t>
      </w:r>
      <w:r w:rsidRPr="0020159A">
        <w:rPr>
          <w:rFonts w:ascii="Arial" w:hAnsi="Arial" w:cs="Arial"/>
          <w:sz w:val="24"/>
          <w:szCs w:val="24"/>
        </w:rPr>
        <w:t xml:space="preserve">recovery </w:t>
      </w:r>
      <w:r w:rsidR="00C93167" w:rsidRPr="0020159A">
        <w:rPr>
          <w:rFonts w:ascii="Arial" w:hAnsi="Arial" w:cs="Arial"/>
          <w:sz w:val="24"/>
          <w:szCs w:val="24"/>
        </w:rPr>
        <w:t xml:space="preserve">approach </w:t>
      </w:r>
      <w:r w:rsidRPr="0020159A">
        <w:rPr>
          <w:rFonts w:ascii="Arial" w:hAnsi="Arial" w:cs="Arial"/>
          <w:sz w:val="24"/>
          <w:szCs w:val="24"/>
        </w:rPr>
        <w:t xml:space="preserve">within 333 </w:t>
      </w:r>
      <w:r w:rsidR="00C93167" w:rsidRPr="0020159A">
        <w:rPr>
          <w:rFonts w:ascii="Arial" w:hAnsi="Arial" w:cs="Arial"/>
          <w:sz w:val="24"/>
          <w:szCs w:val="24"/>
        </w:rPr>
        <w:t xml:space="preserve">has reduced lengths of stay and ensured that any stay on any ward is meaningful and adds value. The bed capacity that has been created has made the acute care service more responsive resulting in earlier intervention, decreased suffering and improved outcomes. Over 70 patients in OAPs have returned home and bed stock has been reduced by 44% releasing moneys for CIP and reinvestment in the community. </w:t>
      </w:r>
      <w:r w:rsidR="004D7A66" w:rsidRPr="0020159A">
        <w:rPr>
          <w:rFonts w:ascii="Arial" w:hAnsi="Arial" w:cs="Arial"/>
          <w:sz w:val="24"/>
          <w:szCs w:val="24"/>
        </w:rPr>
        <w:t xml:space="preserve">The new mindsets promoted collaboration through common sense and added value to individual recovery journeys. </w:t>
      </w:r>
      <w:r w:rsidR="00C93167" w:rsidRPr="0020159A">
        <w:rPr>
          <w:rFonts w:ascii="Arial" w:hAnsi="Arial" w:cs="Arial"/>
          <w:sz w:val="24"/>
          <w:szCs w:val="24"/>
        </w:rPr>
        <w:t>On most metrics</w:t>
      </w:r>
      <w:r w:rsidR="002937AA" w:rsidRPr="0020159A">
        <w:rPr>
          <w:rFonts w:ascii="Arial" w:hAnsi="Arial" w:cs="Arial"/>
          <w:sz w:val="24"/>
          <w:szCs w:val="24"/>
        </w:rPr>
        <w:t>,</w:t>
      </w:r>
      <w:r w:rsidR="00C93167" w:rsidRPr="0020159A">
        <w:rPr>
          <w:rFonts w:ascii="Arial" w:hAnsi="Arial" w:cs="Arial"/>
          <w:sz w:val="24"/>
          <w:szCs w:val="24"/>
        </w:rPr>
        <w:t xml:space="preserve"> 333 </w:t>
      </w:r>
      <w:r w:rsidR="00591187" w:rsidRPr="0020159A">
        <w:rPr>
          <w:rFonts w:ascii="Arial" w:hAnsi="Arial" w:cs="Arial"/>
          <w:sz w:val="24"/>
          <w:szCs w:val="24"/>
        </w:rPr>
        <w:t xml:space="preserve">has </w:t>
      </w:r>
      <w:r w:rsidR="00C277A7" w:rsidRPr="0020159A">
        <w:rPr>
          <w:rFonts w:ascii="Arial" w:hAnsi="Arial" w:cs="Arial"/>
          <w:sz w:val="24"/>
          <w:szCs w:val="24"/>
        </w:rPr>
        <w:t>outperformed</w:t>
      </w:r>
      <w:r w:rsidR="00C93167" w:rsidRPr="0020159A">
        <w:rPr>
          <w:rFonts w:ascii="Arial" w:hAnsi="Arial" w:cs="Arial"/>
          <w:sz w:val="24"/>
          <w:szCs w:val="24"/>
        </w:rPr>
        <w:t xml:space="preserve"> national figures</w:t>
      </w:r>
      <w:r w:rsidR="00C87647" w:rsidRPr="0020159A">
        <w:rPr>
          <w:rFonts w:ascii="Arial" w:hAnsi="Arial" w:cs="Arial"/>
          <w:sz w:val="24"/>
          <w:szCs w:val="24"/>
        </w:rPr>
        <w:t xml:space="preserve"> and has now developed a track record of delivering high quality</w:t>
      </w:r>
      <w:r w:rsidR="00591187" w:rsidRPr="0020159A">
        <w:rPr>
          <w:rFonts w:ascii="Arial" w:hAnsi="Arial" w:cs="Arial"/>
          <w:sz w:val="24"/>
          <w:szCs w:val="24"/>
        </w:rPr>
        <w:t>,</w:t>
      </w:r>
      <w:r w:rsidR="004D7A66" w:rsidRPr="0020159A">
        <w:rPr>
          <w:rFonts w:ascii="Arial" w:hAnsi="Arial" w:cs="Arial"/>
          <w:sz w:val="24"/>
          <w:szCs w:val="24"/>
        </w:rPr>
        <w:t xml:space="preserve"> seamless,</w:t>
      </w:r>
      <w:r w:rsidR="00591187" w:rsidRPr="0020159A">
        <w:rPr>
          <w:rFonts w:ascii="Arial" w:hAnsi="Arial" w:cs="Arial"/>
          <w:sz w:val="24"/>
          <w:szCs w:val="24"/>
        </w:rPr>
        <w:t xml:space="preserve"> cost effective,</w:t>
      </w:r>
      <w:r w:rsidR="00C87647" w:rsidRPr="0020159A">
        <w:rPr>
          <w:rFonts w:ascii="Arial" w:hAnsi="Arial" w:cs="Arial"/>
          <w:sz w:val="24"/>
          <w:szCs w:val="24"/>
        </w:rPr>
        <w:t xml:space="preserve"> safe</w:t>
      </w:r>
      <w:r w:rsidR="004D7A66" w:rsidRPr="0020159A">
        <w:rPr>
          <w:rFonts w:ascii="Arial" w:hAnsi="Arial" w:cs="Arial"/>
          <w:sz w:val="24"/>
          <w:szCs w:val="24"/>
        </w:rPr>
        <w:t xml:space="preserve"> and</w:t>
      </w:r>
      <w:r w:rsidR="00C87647" w:rsidRPr="0020159A">
        <w:rPr>
          <w:rFonts w:ascii="Arial" w:hAnsi="Arial" w:cs="Arial"/>
          <w:sz w:val="24"/>
          <w:szCs w:val="24"/>
        </w:rPr>
        <w:t xml:space="preserve"> innovative care</w:t>
      </w:r>
      <w:r w:rsidR="00C93167" w:rsidRPr="0020159A">
        <w:rPr>
          <w:rFonts w:ascii="Arial" w:hAnsi="Arial" w:cs="Arial"/>
          <w:sz w:val="24"/>
          <w:szCs w:val="24"/>
        </w:rPr>
        <w:t>.</w:t>
      </w:r>
      <w:r w:rsidR="004D7A66" w:rsidRPr="0020159A">
        <w:rPr>
          <w:rFonts w:ascii="Arial" w:hAnsi="Arial" w:cs="Arial"/>
          <w:sz w:val="24"/>
          <w:szCs w:val="24"/>
        </w:rPr>
        <w:t xml:space="preserve"> </w:t>
      </w:r>
      <w:r w:rsidR="006D7F44" w:rsidRPr="0020159A">
        <w:rPr>
          <w:rFonts w:ascii="Arial" w:hAnsi="Arial" w:cs="Arial"/>
          <w:sz w:val="24"/>
          <w:szCs w:val="24"/>
        </w:rPr>
        <w:t xml:space="preserve">The paper demonstrates that simultaneous bed and OAPs reduction, along with safe high quality care is both achievable and deliverable. </w:t>
      </w:r>
    </w:p>
    <w:p w14:paraId="06187DA8" w14:textId="77777777" w:rsidR="004D7A66" w:rsidRPr="0020159A" w:rsidRDefault="004D7A66" w:rsidP="004D7A66">
      <w:pPr>
        <w:spacing w:after="0" w:line="240" w:lineRule="auto"/>
        <w:rPr>
          <w:rFonts w:ascii="Arial" w:hAnsi="Arial" w:cs="Arial"/>
          <w:sz w:val="24"/>
          <w:szCs w:val="24"/>
        </w:rPr>
      </w:pPr>
    </w:p>
    <w:p w14:paraId="74994622" w14:textId="77777777" w:rsidR="00C93167" w:rsidRPr="0020159A" w:rsidRDefault="00C93167" w:rsidP="005E0A68">
      <w:pPr>
        <w:rPr>
          <w:rFonts w:ascii="Arial" w:hAnsi="Arial" w:cs="Arial"/>
          <w:sz w:val="24"/>
          <w:szCs w:val="24"/>
          <w:lang w:val="en"/>
        </w:rPr>
      </w:pPr>
    </w:p>
    <w:p w14:paraId="73C1E666" w14:textId="77777777" w:rsidR="0020159A" w:rsidRPr="00453B08" w:rsidRDefault="0020159A" w:rsidP="0020159A">
      <w:pPr>
        <w:rPr>
          <w:rFonts w:ascii="Arial" w:eastAsia="Times New Roman" w:hAnsi="Arial" w:cs="Arial"/>
          <w:sz w:val="24"/>
          <w:szCs w:val="24"/>
          <w:lang w:val="en" w:eastAsia="en-GB"/>
        </w:rPr>
      </w:pPr>
      <w:r w:rsidRPr="00453B08">
        <w:rPr>
          <w:rFonts w:ascii="Arial" w:eastAsia="Times New Roman" w:hAnsi="Arial" w:cs="Arial"/>
          <w:sz w:val="24"/>
          <w:szCs w:val="24"/>
          <w:lang w:val="en" w:eastAsia="en-GB"/>
        </w:rPr>
        <w:t xml:space="preserve">References </w:t>
      </w:r>
    </w:p>
    <w:p w14:paraId="70B0C74B"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453B08">
        <w:rPr>
          <w:rFonts w:ascii="Arial" w:hAnsi="Arial" w:cs="Arial"/>
          <w:sz w:val="24"/>
          <w:szCs w:val="24"/>
        </w:rPr>
        <w:fldChar w:fldCharType="begin" w:fldLock="1"/>
      </w:r>
      <w:r w:rsidRPr="00453B08">
        <w:rPr>
          <w:rFonts w:ascii="Arial" w:hAnsi="Arial" w:cs="Arial"/>
          <w:sz w:val="24"/>
          <w:szCs w:val="24"/>
        </w:rPr>
        <w:instrText xml:space="preserve">ADDIN Mendeley Bibliography CSL_BIBLIOGRAPHY </w:instrText>
      </w:r>
      <w:r w:rsidRPr="00453B08">
        <w:rPr>
          <w:rFonts w:ascii="Arial" w:hAnsi="Arial" w:cs="Arial"/>
          <w:sz w:val="24"/>
          <w:szCs w:val="24"/>
        </w:rPr>
        <w:fldChar w:fldCharType="separate"/>
      </w:r>
      <w:r w:rsidRPr="001A5EB1">
        <w:rPr>
          <w:rFonts w:ascii="Arial" w:hAnsi="Arial" w:cs="Arial"/>
          <w:noProof/>
          <w:sz w:val="24"/>
          <w:lang w:val="en-US"/>
        </w:rPr>
        <w:t xml:space="preserve">1. </w:t>
      </w:r>
      <w:r w:rsidRPr="001A5EB1">
        <w:rPr>
          <w:rFonts w:ascii="Arial" w:hAnsi="Arial" w:cs="Arial"/>
          <w:noProof/>
          <w:sz w:val="24"/>
          <w:lang w:val="en-US"/>
        </w:rPr>
        <w:tab/>
        <w:t>Appleby J, Galea A, Murray R. The NHS productivity challenge: experience from the front line. 2014 [cited 2018 Mar 25]. https://www.kingsfund.org.uk/sites/default/files/field/field_publication_file/the-nhs-productivity-challenge-kingsfund-may14.pdf</w:t>
      </w:r>
    </w:p>
    <w:p w14:paraId="48DA8C58"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 </w:t>
      </w:r>
      <w:r w:rsidRPr="001A5EB1">
        <w:rPr>
          <w:rFonts w:ascii="Arial" w:hAnsi="Arial" w:cs="Arial"/>
          <w:noProof/>
          <w:sz w:val="24"/>
          <w:lang w:val="en-US"/>
        </w:rPr>
        <w:tab/>
        <w:t>National Audit Office Department of Health. Delivering efficiency savings in the NHS . 2011 [cited 2018 Mar 25]. https://www.nao.org.uk/wp-content/uploads/2011/12/NAO_briefing_Delivering_efficiency_savings_NHS.pdf</w:t>
      </w:r>
    </w:p>
    <w:p w14:paraId="0346EECE"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 </w:t>
      </w:r>
      <w:r w:rsidRPr="001A5EB1">
        <w:rPr>
          <w:rFonts w:ascii="Arial" w:hAnsi="Arial" w:cs="Arial"/>
          <w:noProof/>
          <w:sz w:val="24"/>
          <w:lang w:val="en-US"/>
        </w:rPr>
        <w:tab/>
        <w:t>Comptroller and Auditor General. Monitor: Regulating NHS foundation trusts . 2014 [cited 2018 Apr 2]. https://www.nao.org.uk/wp-content/uploads/2015/02/Monitor-regulating-nhs-foundation-trusts.pdf</w:t>
      </w:r>
    </w:p>
    <w:p w14:paraId="5343F85A"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4. </w:t>
      </w:r>
      <w:r w:rsidRPr="001A5EB1">
        <w:rPr>
          <w:rFonts w:ascii="Arial" w:hAnsi="Arial" w:cs="Arial"/>
          <w:noProof/>
          <w:sz w:val="24"/>
          <w:lang w:val="en-US"/>
        </w:rPr>
        <w:tab/>
        <w:t>Care Quality Commission. Adult inpatient survey 2016 | Care Quality Commission . 2016 [cited 2017 Dec 11]. http://www.cqc.org.uk/publications/surveys/adult-inpatient-survey-2016</w:t>
      </w:r>
    </w:p>
    <w:p w14:paraId="719B7248"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5. </w:t>
      </w:r>
      <w:r w:rsidRPr="001A5EB1">
        <w:rPr>
          <w:rFonts w:ascii="Arial" w:hAnsi="Arial" w:cs="Arial"/>
          <w:noProof/>
          <w:sz w:val="24"/>
          <w:lang w:val="en-US"/>
        </w:rPr>
        <w:tab/>
        <w:t>Crisp, N., Smith, G. and Nicholson K. Old Problems, New Solutions: Improving Acute Psychiatric Care for Adults in England . 2016 [cited 2018 Apr 2]. https://www.rcpsych.ac.uk/pdf/Old_Problems_New_Solutions_CAAPC_Report_England.pdf</w:t>
      </w:r>
    </w:p>
    <w:p w14:paraId="737C1FFA"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6. </w:t>
      </w:r>
      <w:r w:rsidRPr="001A5EB1">
        <w:rPr>
          <w:rFonts w:ascii="Arial" w:hAnsi="Arial" w:cs="Arial"/>
          <w:noProof/>
          <w:sz w:val="24"/>
          <w:lang w:val="en-US"/>
        </w:rPr>
        <w:tab/>
        <w:t>Cambridgeshire Insight. Cambridgeshire Insight – Population . [cited 2017 Dec 11]. https://cambridgeshireinsight.org.uk/population/</w:t>
      </w:r>
    </w:p>
    <w:p w14:paraId="7BE3A258"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7. </w:t>
      </w:r>
      <w:r w:rsidRPr="001A5EB1">
        <w:rPr>
          <w:rFonts w:ascii="Arial" w:hAnsi="Arial" w:cs="Arial"/>
          <w:noProof/>
          <w:sz w:val="24"/>
          <w:lang w:val="en-US"/>
        </w:rPr>
        <w:tab/>
        <w:t>Health and Social Care Information Centre. Mental Health Bulletin, Annual Report - 2014-15 - NHS Digital . 2015 [cited 2018 Apr 1]. https://digital.nhs.uk/catalogue/PUB18808</w:t>
      </w:r>
    </w:p>
    <w:p w14:paraId="66D7F2CB"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8. </w:t>
      </w:r>
      <w:r w:rsidRPr="001A5EB1">
        <w:rPr>
          <w:rFonts w:ascii="Arial" w:hAnsi="Arial" w:cs="Arial"/>
          <w:noProof/>
          <w:sz w:val="24"/>
          <w:lang w:val="en-US"/>
        </w:rPr>
        <w:tab/>
        <w:t>McNicoll A. Mental health beds crisis ‘driven by discharge delays’ Community Care . Community Care. 2015 [cited 2018 Apr 2]. http://www.communitycare.co.uk/2015/07/15/mental-health-beds-crisis-driven-discharge-delays-finds-report/</w:t>
      </w:r>
    </w:p>
    <w:p w14:paraId="058A3416"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9. </w:t>
      </w:r>
      <w:r w:rsidRPr="001A5EB1">
        <w:rPr>
          <w:rFonts w:ascii="Arial" w:hAnsi="Arial" w:cs="Arial"/>
          <w:noProof/>
          <w:sz w:val="24"/>
          <w:lang w:val="en-US"/>
        </w:rPr>
        <w:tab/>
        <w:t>The Commission to review the provision of acute inpatient psychiatric care for Adults. Improving acute inpatient psychiatric care for adults in England: Interim Report . 2015 [cited 2018 Apr 2]. http://media.wix.com/ugd/0e662e_a93c62b2ba4449f48695ed36b3cb24ab.pdf</w:t>
      </w:r>
    </w:p>
    <w:p w14:paraId="21FCD768"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10. </w:t>
      </w:r>
      <w:r w:rsidRPr="001A5EB1">
        <w:rPr>
          <w:rFonts w:ascii="Arial" w:hAnsi="Arial" w:cs="Arial"/>
          <w:noProof/>
          <w:sz w:val="24"/>
          <w:lang w:val="en-US"/>
        </w:rPr>
        <w:tab/>
        <w:t>Frasquilho D, Matos MG, Salonna F, Guerreiro D, Storti CC, Gaspar T, et al. Mental health outcomes in times of economic recession: a systematic literature review. BMC Public Health . 2016 Feb 3 [cited 2018 Apr 2];16:115. http://www.ncbi.nlm.nih.gov/pubmed/26847554</w:t>
      </w:r>
    </w:p>
    <w:p w14:paraId="7BE07915"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11. </w:t>
      </w:r>
      <w:r w:rsidRPr="001A5EB1">
        <w:rPr>
          <w:rFonts w:ascii="Arial" w:hAnsi="Arial" w:cs="Arial"/>
          <w:noProof/>
          <w:sz w:val="24"/>
          <w:lang w:val="en-US"/>
        </w:rPr>
        <w:tab/>
        <w:t>Mental Health Taskforce I. THE FIVE YEAR FORWARD VIEW FOR MENTAL HEALTH . 2016 [cited 2018 Apr 1]. https://www.england.nhs.uk/wp-content/uploads/2016/02/Mental-Health-Taskforce-FYFV-final.pdf</w:t>
      </w:r>
    </w:p>
    <w:p w14:paraId="6D9225B1"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12. </w:t>
      </w:r>
      <w:r w:rsidRPr="001A5EB1">
        <w:rPr>
          <w:rFonts w:ascii="Arial" w:hAnsi="Arial" w:cs="Arial"/>
          <w:noProof/>
          <w:sz w:val="24"/>
          <w:lang w:val="en-US"/>
        </w:rPr>
        <w:tab/>
        <w:t>Kings Fund. Mental health under pressure . [cited 2018 Mar 25]. https://www.kingsfund.org.uk/sites/default/files/field/field_publication_file/mental-health-under-pressure-nov15_0.pdf</w:t>
      </w:r>
    </w:p>
    <w:p w14:paraId="1ABCFC4D"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13. </w:t>
      </w:r>
      <w:r w:rsidRPr="001A5EB1">
        <w:rPr>
          <w:rFonts w:ascii="Arial" w:hAnsi="Arial" w:cs="Arial"/>
          <w:noProof/>
          <w:sz w:val="24"/>
          <w:lang w:val="en-US"/>
        </w:rPr>
        <w:tab/>
        <w:t>Edwards T, Wolfson P, Killaspy H. A guide to good practice in the use of out-of-area placements . 2012 [cited 2018 Mar 25]. http://www.rcpsych.ac.uk/pdf/FR RS 06_for web.pdf</w:t>
      </w:r>
    </w:p>
    <w:p w14:paraId="5F27D955"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14. </w:t>
      </w:r>
      <w:r w:rsidRPr="001A5EB1">
        <w:rPr>
          <w:rFonts w:ascii="Arial" w:hAnsi="Arial" w:cs="Arial"/>
          <w:noProof/>
          <w:sz w:val="24"/>
          <w:lang w:val="en-US"/>
        </w:rPr>
        <w:tab/>
        <w:t xml:space="preserve">Hopkins JE, Loeb SJ, Fick DM. Beyond satisfaction, what service users expect of inpatient mental health care: A literature review. J Psychiatr Ment Health Nurs. 2009;16(10):927–37. </w:t>
      </w:r>
    </w:p>
    <w:p w14:paraId="16C97709"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15. </w:t>
      </w:r>
      <w:r w:rsidRPr="001A5EB1">
        <w:rPr>
          <w:rFonts w:ascii="Arial" w:hAnsi="Arial" w:cs="Arial"/>
          <w:noProof/>
          <w:sz w:val="24"/>
          <w:lang w:val="en-US"/>
        </w:rPr>
        <w:tab/>
        <w:t xml:space="preserve">NHS Benchmarking Network. Inpatient and Community Mental Health Benchmarking. 2016. </w:t>
      </w:r>
    </w:p>
    <w:p w14:paraId="49E84FFD"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16. </w:t>
      </w:r>
      <w:r w:rsidRPr="001A5EB1">
        <w:rPr>
          <w:rFonts w:ascii="Arial" w:hAnsi="Arial" w:cs="Arial"/>
          <w:noProof/>
          <w:sz w:val="24"/>
          <w:lang w:val="en-US"/>
        </w:rPr>
        <w:tab/>
        <w:t>Thornicroft G, Tansella M. Balancing community-basedand hospital-based mental health care. World Psychiatry . 2002 Jun;1(2):84–90. https://www.ncbi.nlm.nih.gov/pubmed/16946858</w:t>
      </w:r>
    </w:p>
    <w:p w14:paraId="70516DD5"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17. </w:t>
      </w:r>
      <w:r w:rsidRPr="001A5EB1">
        <w:rPr>
          <w:rFonts w:ascii="Arial" w:hAnsi="Arial" w:cs="Arial"/>
          <w:noProof/>
          <w:sz w:val="24"/>
          <w:lang w:val="en-US"/>
        </w:rPr>
        <w:tab/>
        <w:t>Department of Health. Mental Health Modern Standards and Service Models national service frameworks . 1999 [cited 2018 Nov 15]. https://assets.publishing.service.gov.uk/government/uploads/system/uploads/attachment_data/file/198051/National_Service_Framework_for_Mental_Health.pdf</w:t>
      </w:r>
    </w:p>
    <w:p w14:paraId="7EEF64CF"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18. </w:t>
      </w:r>
      <w:r w:rsidRPr="001A5EB1">
        <w:rPr>
          <w:rFonts w:ascii="Arial" w:hAnsi="Arial" w:cs="Arial"/>
          <w:noProof/>
          <w:sz w:val="24"/>
          <w:lang w:val="en-US"/>
        </w:rPr>
        <w:tab/>
        <w:t>Department of Health. The NHS Plan: a plan for investment, a plan for reform . 2000 [cited 2018 Nov 15]. https://navigator.health.org.uk/content/nhs-plan-plan-investment-plan-reform-2000</w:t>
      </w:r>
    </w:p>
    <w:p w14:paraId="40FB50B6"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19. </w:t>
      </w:r>
      <w:r w:rsidRPr="001A5EB1">
        <w:rPr>
          <w:rFonts w:ascii="Arial" w:hAnsi="Arial" w:cs="Arial"/>
          <w:noProof/>
          <w:sz w:val="24"/>
          <w:lang w:val="en-US"/>
        </w:rPr>
        <w:tab/>
        <w:t xml:space="preserve">Jacobs R, Barrenho E. Impact of crisis resolution and home treatment teams on psychiatric admissions in England. Br J Psychiatry. 2011;199(1):71–6. </w:t>
      </w:r>
    </w:p>
    <w:p w14:paraId="0454252C"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20. </w:t>
      </w:r>
      <w:r w:rsidRPr="001A5EB1">
        <w:rPr>
          <w:rFonts w:ascii="Arial" w:hAnsi="Arial" w:cs="Arial"/>
          <w:noProof/>
          <w:sz w:val="24"/>
          <w:lang w:val="en-US"/>
        </w:rPr>
        <w:tab/>
        <w:t>Tyrer P, Gordon F, Nourmand S, Lawrence M, Curran C, Southgate D, et al. Controlled comparison of two crisis resolution and home treatment teams. Psychiatrist . 2010;34(2):50–4. http://pb.rcpsych.org/content/34/2/50.short</w:t>
      </w:r>
    </w:p>
    <w:p w14:paraId="2B22AE4D"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21. </w:t>
      </w:r>
      <w:r w:rsidRPr="001A5EB1">
        <w:rPr>
          <w:rFonts w:ascii="Arial" w:hAnsi="Arial" w:cs="Arial"/>
          <w:noProof/>
          <w:sz w:val="24"/>
          <w:lang w:val="en-US"/>
        </w:rPr>
        <w:tab/>
        <w:t xml:space="preserve">Johnson S, Nolan F, Hoult J, White IR, Bebbington P, Sandor A, et al. Outcomes of crises before and after introduction of a crisis resolution team. Br J Psychiatry. 2005;187(JULY):68–75. </w:t>
      </w:r>
    </w:p>
    <w:p w14:paraId="6C8584FB"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22. </w:t>
      </w:r>
      <w:r w:rsidRPr="001A5EB1">
        <w:rPr>
          <w:rFonts w:ascii="Arial" w:hAnsi="Arial" w:cs="Arial"/>
          <w:noProof/>
          <w:sz w:val="24"/>
          <w:lang w:val="en-US"/>
        </w:rPr>
        <w:tab/>
        <w:t>Lee S, Rothbard AB, Noll EL. Length of Inpatient Stay of Persons With Serious Mental Illness: Effects of Hospital and Regional Characteristics. Psychiatr Serv . 2012 Sep 1 [cited 2018 Nov 15];63(9):889–95. http://www.ncbi.nlm.nih.gov/pubmed/22751995</w:t>
      </w:r>
    </w:p>
    <w:p w14:paraId="594B7630"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23. </w:t>
      </w:r>
      <w:r w:rsidRPr="001A5EB1">
        <w:rPr>
          <w:rFonts w:ascii="Arial" w:hAnsi="Arial" w:cs="Arial"/>
          <w:noProof/>
          <w:sz w:val="24"/>
          <w:lang w:val="en-US"/>
        </w:rPr>
        <w:tab/>
        <w:t>NAMI. National Alliance for the Mentally Ill . Outpatient services experience big decline in availability according to new study. 2000 [cited 2011 Aug 20]. https://www.nami.org/Press-Media/Press-Releases/2000?page=1</w:t>
      </w:r>
    </w:p>
    <w:p w14:paraId="3F01E395"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24. </w:t>
      </w:r>
      <w:r w:rsidRPr="001A5EB1">
        <w:rPr>
          <w:rFonts w:ascii="Arial" w:hAnsi="Arial" w:cs="Arial"/>
          <w:noProof/>
          <w:sz w:val="24"/>
          <w:lang w:val="en-US"/>
        </w:rPr>
        <w:tab/>
        <w:t xml:space="preserve">Jobes DA. Managing Suicidal Risk A collaborative Approach. New York London: The Guilford Press; 2006. </w:t>
      </w:r>
    </w:p>
    <w:p w14:paraId="4684A44B"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25. </w:t>
      </w:r>
      <w:r w:rsidRPr="001A5EB1">
        <w:rPr>
          <w:rFonts w:ascii="Arial" w:hAnsi="Arial" w:cs="Arial"/>
          <w:noProof/>
          <w:sz w:val="24"/>
          <w:lang w:val="en-US"/>
        </w:rPr>
        <w:tab/>
        <w:t>Royal College of Pyschiatrist. Do the right thing: how to judge a good ward Ten standards for adult in-patient mental healthcare . 2011 [cited 2018 Mar 31]. https://www.rcpsych.ac.uk/pdf/OP79_forweb.pdf</w:t>
      </w:r>
    </w:p>
    <w:p w14:paraId="699FB0ED"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26. </w:t>
      </w:r>
      <w:r w:rsidRPr="001A5EB1">
        <w:rPr>
          <w:rFonts w:ascii="Arial" w:hAnsi="Arial" w:cs="Arial"/>
          <w:noProof/>
          <w:sz w:val="24"/>
          <w:lang w:val="en-US"/>
        </w:rPr>
        <w:tab/>
        <w:t>Kar Ray M. PROMISE GLOBAL - Partnerships for Humane Mental Health Care . 2016 [cited 2018 Mar 25]. http://www.promise.global/promote_open_door.pdf</w:t>
      </w:r>
    </w:p>
    <w:p w14:paraId="2E537294"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27. </w:t>
      </w:r>
      <w:r w:rsidRPr="001A5EB1">
        <w:rPr>
          <w:rFonts w:ascii="Arial" w:hAnsi="Arial" w:cs="Arial"/>
          <w:noProof/>
          <w:sz w:val="24"/>
          <w:lang w:val="en-US"/>
        </w:rPr>
        <w:tab/>
        <w:t>Perry J, Palmer L, Thompson P, Worrall A, Chittenden J, Bonnamy M. Standards for Inpatient Mental Health Services . 2015 [cited 2018 Mar 25]. https://www.rcpsych.ac.uk/pdf/RCPsych_Standards_In_2016.pdf</w:t>
      </w:r>
    </w:p>
    <w:p w14:paraId="525F629E"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28. </w:t>
      </w:r>
      <w:r w:rsidRPr="001A5EB1">
        <w:rPr>
          <w:rFonts w:ascii="Arial" w:hAnsi="Arial" w:cs="Arial"/>
          <w:noProof/>
          <w:sz w:val="24"/>
          <w:lang w:val="en-US"/>
        </w:rPr>
        <w:tab/>
        <w:t>Royal College of Psychiatrists. Looking ahead – future development of UK mental health services: recommendations from a Royal College of Psychiatrists’ enquiry (Occasional Paper 75). . 2011 [cited 2018 Mar 31]. https://www.rcpsych.ac.uk/usefulresources/publications/collegereports/op/op75.aspx</w:t>
      </w:r>
    </w:p>
    <w:p w14:paraId="305732D9"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29. </w:t>
      </w:r>
      <w:r w:rsidRPr="001A5EB1">
        <w:rPr>
          <w:rFonts w:ascii="Arial" w:hAnsi="Arial" w:cs="Arial"/>
          <w:noProof/>
          <w:sz w:val="24"/>
          <w:lang w:val="en-US"/>
        </w:rPr>
        <w:tab/>
        <w:t>Virtanen M, Vahtera J, Batty GD, Tuisku K, Pentti J, Oksanen T, et al. Overcrowding in psychiatric wards and physical assaults on staff: data-linked longitudinal study. Br J Psychiatry . 2011 Feb 2 [cited 2018 Mar 31];198(02):149–55. http://www.ncbi.nlm.nih.gov/pubmed/21282786</w:t>
      </w:r>
    </w:p>
    <w:p w14:paraId="1C467471"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30. </w:t>
      </w:r>
      <w:r w:rsidRPr="001A5EB1">
        <w:rPr>
          <w:rFonts w:ascii="Arial" w:hAnsi="Arial" w:cs="Arial"/>
          <w:noProof/>
          <w:sz w:val="24"/>
          <w:lang w:val="en-US"/>
        </w:rPr>
        <w:tab/>
        <w:t>McNicoll A. Concern as number of mental health patients placed in private hospitals rises by a third | Community Care . Community Care. 2013 [cited 2018 Mar 31]. http://www.communitycare.co.uk/2013/04/23/concern-as-number-of-mental-health-patients-placed-in-private-hospitals-rises-by-a-third/</w:t>
      </w:r>
    </w:p>
    <w:p w14:paraId="55EDE313"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31. </w:t>
      </w:r>
      <w:r w:rsidRPr="001A5EB1">
        <w:rPr>
          <w:rFonts w:ascii="Arial" w:hAnsi="Arial" w:cs="Arial"/>
          <w:noProof/>
          <w:sz w:val="24"/>
          <w:lang w:val="en-US"/>
        </w:rPr>
        <w:tab/>
        <w:t>Care Quality Commission. Inspection Report St Ann’s Hospital . 2014 [cited 2018 Mar 31]. www.cqc.org.uk</w:t>
      </w:r>
    </w:p>
    <w:p w14:paraId="222D2972"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32. </w:t>
      </w:r>
      <w:r w:rsidRPr="001A5EB1">
        <w:rPr>
          <w:rFonts w:ascii="Arial" w:hAnsi="Arial" w:cs="Arial"/>
          <w:noProof/>
          <w:sz w:val="24"/>
          <w:lang w:val="en-US"/>
        </w:rPr>
        <w:tab/>
        <w:t>McNicoll A. Mental health patients sent hundreds of miles for beds as out of area placements rise 23 per cent | Community Care . Community Care. 2015 [cited 2018 Mar 31]. http://www.communitycare.co.uk/2015/07/15/mental-health-patients-sent-hundreds-miles-beds-area-placements-rise-23-per-cent/</w:t>
      </w:r>
    </w:p>
    <w:p w14:paraId="399BB037"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33. </w:t>
      </w:r>
      <w:r w:rsidRPr="001A5EB1">
        <w:rPr>
          <w:rFonts w:ascii="Arial" w:hAnsi="Arial" w:cs="Arial"/>
          <w:noProof/>
          <w:sz w:val="24"/>
          <w:lang w:val="en-US"/>
        </w:rPr>
        <w:tab/>
        <w:t xml:space="preserve">Keller S, Price C. Beyond performance: How great organizations build ultimate competitive advantage. 6th Editio. New Jersey: Wiley, J and son; 2011. 77-107 p. </w:t>
      </w:r>
    </w:p>
    <w:p w14:paraId="24C3F17E"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34. </w:t>
      </w:r>
      <w:r w:rsidRPr="001A5EB1">
        <w:rPr>
          <w:rFonts w:ascii="Arial" w:hAnsi="Arial" w:cs="Arial"/>
          <w:noProof/>
          <w:sz w:val="24"/>
          <w:lang w:val="en-US"/>
        </w:rPr>
        <w:tab/>
        <w:t>Keller S, Aiken C. The Inconvenient Truth About Change Management. [cited 2018 Mar 25]; http://www.aascu.org/corporatepartnership/McKinseyReport2.pdf</w:t>
      </w:r>
    </w:p>
    <w:p w14:paraId="0C143B81"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35. </w:t>
      </w:r>
      <w:r w:rsidRPr="001A5EB1">
        <w:rPr>
          <w:rFonts w:ascii="Arial" w:hAnsi="Arial" w:cs="Arial"/>
          <w:noProof/>
          <w:sz w:val="24"/>
          <w:lang w:val="en-US"/>
        </w:rPr>
        <w:tab/>
        <w:t>Shepherd G, Boardman J, Slade M. Making Recovery a Reality. 2008 [cited 2018 Mar 31]; www.scmh.org.uk</w:t>
      </w:r>
    </w:p>
    <w:p w14:paraId="7F3B7756"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36. </w:t>
      </w:r>
      <w:r w:rsidRPr="001A5EB1">
        <w:rPr>
          <w:rFonts w:ascii="Arial" w:hAnsi="Arial" w:cs="Arial"/>
          <w:noProof/>
          <w:sz w:val="24"/>
          <w:lang w:val="en-US"/>
        </w:rPr>
        <w:tab/>
        <w:t>Burns J, Flynn S, Lowe R, Turnbull P, Baird A, Stones P, et al. National Confidential Inquiry into Suicide and Homicide by People with Mental Illness . 2017 [cited 2018 Mar 31]. http://research.bmh.manchester.ac.uk/cmhs/research/centreforsuicideprevention/nci/reports/2017-report.pdf</w:t>
      </w:r>
    </w:p>
    <w:p w14:paraId="275E1647"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37. </w:t>
      </w:r>
      <w:r w:rsidRPr="001A5EB1">
        <w:rPr>
          <w:rFonts w:ascii="Arial" w:hAnsi="Arial" w:cs="Arial"/>
          <w:noProof/>
          <w:sz w:val="24"/>
          <w:lang w:val="en-US"/>
        </w:rPr>
        <w:tab/>
        <w:t>Nice. Borderline personality disorder: treatment and management (NICE clinical guideline 78). [cited 2018 Mar 31]; www.nice.org.uk</w:t>
      </w:r>
    </w:p>
    <w:p w14:paraId="5F897B55"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38. </w:t>
      </w:r>
      <w:r w:rsidRPr="001A5EB1">
        <w:rPr>
          <w:rFonts w:ascii="Arial" w:hAnsi="Arial" w:cs="Arial"/>
          <w:noProof/>
          <w:sz w:val="24"/>
          <w:lang w:val="en-US"/>
        </w:rPr>
        <w:tab/>
        <w:t>Lombardo C, Van Bortel T, Wagner AP, Kaminskiy E, Wilson C, Krishnamoorthy T, et al. PROGRESS: the PROMISE governance framework to decrease coercion in mental healthcare BMJ Quality Improvement report. BMJ Open Qual . 2018 [cited 2018 Aug 3];7:332. http://dx.doi.org/10.1136/bmjoq-2018-000332</w:t>
      </w:r>
    </w:p>
    <w:p w14:paraId="384D480B"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lang w:val="en-US"/>
        </w:rPr>
      </w:pPr>
      <w:r w:rsidRPr="001A5EB1">
        <w:rPr>
          <w:rFonts w:ascii="Arial" w:hAnsi="Arial" w:cs="Arial"/>
          <w:noProof/>
          <w:sz w:val="24"/>
          <w:lang w:val="en-US"/>
        </w:rPr>
        <w:t xml:space="preserve">39. </w:t>
      </w:r>
      <w:r w:rsidRPr="001A5EB1">
        <w:rPr>
          <w:rFonts w:ascii="Arial" w:hAnsi="Arial" w:cs="Arial"/>
          <w:noProof/>
          <w:sz w:val="24"/>
          <w:lang w:val="en-US"/>
        </w:rPr>
        <w:tab/>
        <w:t>Royal College of Psychiatrists. HoNOs . 1996. https://www.rcpsych.ac.uk/traininpsychiatry/conferencestraining/in-housetraining/honos/copyright.aspx</w:t>
      </w:r>
    </w:p>
    <w:p w14:paraId="07D19183" w14:textId="77777777" w:rsidR="0020159A" w:rsidRPr="001A5EB1" w:rsidRDefault="0020159A" w:rsidP="0020159A">
      <w:pPr>
        <w:widowControl w:val="0"/>
        <w:autoSpaceDE w:val="0"/>
        <w:autoSpaceDN w:val="0"/>
        <w:adjustRightInd w:val="0"/>
        <w:spacing w:line="240" w:lineRule="auto"/>
        <w:ind w:left="640" w:hanging="640"/>
        <w:rPr>
          <w:rFonts w:ascii="Arial" w:hAnsi="Arial" w:cs="Arial"/>
          <w:noProof/>
          <w:sz w:val="24"/>
        </w:rPr>
      </w:pPr>
      <w:r w:rsidRPr="001A5EB1">
        <w:rPr>
          <w:rFonts w:ascii="Arial" w:hAnsi="Arial" w:cs="Arial"/>
          <w:noProof/>
          <w:sz w:val="24"/>
          <w:lang w:val="en-US"/>
        </w:rPr>
        <w:t xml:space="preserve">40. </w:t>
      </w:r>
      <w:r w:rsidRPr="001A5EB1">
        <w:rPr>
          <w:rFonts w:ascii="Arial" w:hAnsi="Arial" w:cs="Arial"/>
          <w:noProof/>
          <w:sz w:val="24"/>
          <w:lang w:val="en-US"/>
        </w:rPr>
        <w:tab/>
        <w:t>Busner J, Targum SD. The clinical global impressions scale: applying a research tool in clinical practice. Psychiatry (Edgmont) . 2007 Jul [cited 2018 Nov 16];4(7):28–37. http://www.ncbi.nlm.nih.gov/pubmed/20526405</w:t>
      </w:r>
    </w:p>
    <w:p w14:paraId="372477B8" w14:textId="0DC7F4F5" w:rsidR="00C93167" w:rsidRDefault="0020159A" w:rsidP="0020159A">
      <w:pPr>
        <w:rPr>
          <w:rFonts w:ascii="Arial" w:hAnsi="Arial" w:cs="Arial"/>
          <w:sz w:val="24"/>
          <w:szCs w:val="24"/>
          <w:lang w:val="en"/>
        </w:rPr>
      </w:pPr>
      <w:r w:rsidRPr="00453B08">
        <w:rPr>
          <w:rFonts w:ascii="Arial" w:hAnsi="Arial" w:cs="Arial"/>
          <w:sz w:val="24"/>
          <w:szCs w:val="24"/>
        </w:rPr>
        <w:fldChar w:fldCharType="end"/>
      </w:r>
    </w:p>
    <w:p w14:paraId="3A5DF835" w14:textId="4207CF03" w:rsidR="0020159A" w:rsidRDefault="0020159A" w:rsidP="005E0A68">
      <w:pPr>
        <w:rPr>
          <w:rFonts w:ascii="Arial" w:hAnsi="Arial" w:cs="Arial"/>
          <w:sz w:val="24"/>
          <w:szCs w:val="24"/>
          <w:lang w:val="en"/>
        </w:rPr>
      </w:pPr>
    </w:p>
    <w:p w14:paraId="409D840D" w14:textId="75DFB804" w:rsidR="0020159A" w:rsidRDefault="0020159A" w:rsidP="005E0A68">
      <w:pPr>
        <w:rPr>
          <w:rFonts w:ascii="Arial" w:hAnsi="Arial" w:cs="Arial"/>
          <w:sz w:val="24"/>
          <w:szCs w:val="24"/>
          <w:lang w:val="en"/>
        </w:rPr>
      </w:pPr>
    </w:p>
    <w:p w14:paraId="22A374BB" w14:textId="77777777" w:rsidR="0020159A" w:rsidRPr="0020159A" w:rsidRDefault="0020159A" w:rsidP="005E0A68">
      <w:pPr>
        <w:rPr>
          <w:rFonts w:ascii="Arial" w:hAnsi="Arial" w:cs="Arial"/>
          <w:sz w:val="24"/>
          <w:szCs w:val="24"/>
          <w:lang w:val="en"/>
        </w:rPr>
      </w:pPr>
    </w:p>
    <w:p w14:paraId="0D11A0F1" w14:textId="77777777" w:rsidR="00C93167" w:rsidRPr="0020159A" w:rsidRDefault="00C93167" w:rsidP="005E0A68">
      <w:pPr>
        <w:rPr>
          <w:rFonts w:ascii="Arial" w:hAnsi="Arial" w:cs="Arial"/>
          <w:sz w:val="24"/>
          <w:szCs w:val="24"/>
          <w:lang w:val="en"/>
        </w:rPr>
      </w:pPr>
    </w:p>
    <w:p w14:paraId="785801E2" w14:textId="77777777" w:rsidR="00C93167" w:rsidRPr="0020159A" w:rsidRDefault="00C93167" w:rsidP="005E0A68">
      <w:pPr>
        <w:rPr>
          <w:rFonts w:ascii="Arial" w:hAnsi="Arial" w:cs="Arial"/>
          <w:sz w:val="24"/>
          <w:szCs w:val="24"/>
          <w:lang w:val="en"/>
        </w:rPr>
      </w:pPr>
    </w:p>
    <w:p w14:paraId="634D2E1D" w14:textId="77777777" w:rsidR="005E0A68" w:rsidRPr="0020159A" w:rsidRDefault="005E0A68" w:rsidP="006E5AA7">
      <w:pPr>
        <w:rPr>
          <w:rFonts w:ascii="Arial" w:hAnsi="Arial" w:cs="Arial"/>
          <w:sz w:val="24"/>
          <w:szCs w:val="24"/>
        </w:rPr>
      </w:pPr>
      <w:r w:rsidRPr="0020159A">
        <w:rPr>
          <w:rFonts w:ascii="Arial" w:hAnsi="Arial" w:cs="Arial"/>
          <w:sz w:val="24"/>
          <w:szCs w:val="24"/>
        </w:rPr>
        <w:br w:type="page"/>
      </w:r>
    </w:p>
    <w:p w14:paraId="6669BEDD" w14:textId="7769FDD0" w:rsidR="00366997" w:rsidRPr="0020159A" w:rsidRDefault="00366997" w:rsidP="00366997">
      <w:pPr>
        <w:spacing w:after="160" w:line="259" w:lineRule="auto"/>
        <w:rPr>
          <w:rFonts w:ascii="Arial" w:hAnsi="Arial" w:cs="Arial"/>
          <w:sz w:val="24"/>
          <w:szCs w:val="24"/>
        </w:rPr>
      </w:pPr>
      <w:r w:rsidRPr="0020159A">
        <w:rPr>
          <w:rFonts w:ascii="Arial" w:hAnsi="Arial" w:cs="Arial"/>
          <w:sz w:val="24"/>
          <w:szCs w:val="24"/>
        </w:rPr>
        <w:t>Box 1: The components of 333 model of acute mental health care delivery</w:t>
      </w:r>
    </w:p>
    <w:tbl>
      <w:tblPr>
        <w:tblStyle w:val="TableGrid"/>
        <w:tblW w:w="0" w:type="auto"/>
        <w:tblLook w:val="04A0" w:firstRow="1" w:lastRow="0" w:firstColumn="1" w:lastColumn="0" w:noHBand="0" w:noVBand="1"/>
      </w:tblPr>
      <w:tblGrid>
        <w:gridCol w:w="8312"/>
      </w:tblGrid>
      <w:tr w:rsidR="001418C2" w:rsidRPr="00453B08" w14:paraId="624E1CD9" w14:textId="77777777" w:rsidTr="001418C2">
        <w:trPr>
          <w:trHeight w:val="6228"/>
        </w:trPr>
        <w:tc>
          <w:tcPr>
            <w:tcW w:w="8312" w:type="dxa"/>
          </w:tcPr>
          <w:p w14:paraId="5EFA4111" w14:textId="77777777" w:rsidR="001418C2" w:rsidRPr="0020159A" w:rsidRDefault="001418C2" w:rsidP="00B90206">
            <w:pPr>
              <w:spacing w:after="160" w:line="259" w:lineRule="auto"/>
              <w:rPr>
                <w:rFonts w:ascii="Arial" w:hAnsi="Arial" w:cs="Arial"/>
                <w:b/>
                <w:sz w:val="24"/>
                <w:szCs w:val="24"/>
              </w:rPr>
            </w:pPr>
          </w:p>
          <w:p w14:paraId="419F0E8E" w14:textId="77777777" w:rsidR="001418C2" w:rsidRPr="0020159A" w:rsidRDefault="001418C2" w:rsidP="00B90206">
            <w:pPr>
              <w:spacing w:after="160" w:line="259" w:lineRule="auto"/>
              <w:rPr>
                <w:rFonts w:ascii="Arial" w:hAnsi="Arial" w:cs="Arial"/>
                <w:b/>
                <w:sz w:val="24"/>
                <w:szCs w:val="24"/>
              </w:rPr>
            </w:pPr>
            <w:r w:rsidRPr="0020159A">
              <w:rPr>
                <w:rFonts w:ascii="Arial" w:hAnsi="Arial" w:cs="Arial"/>
                <w:b/>
                <w:sz w:val="24"/>
                <w:szCs w:val="24"/>
              </w:rPr>
              <w:t xml:space="preserve">Crisis Resolution and Home Treatment </w:t>
            </w:r>
          </w:p>
          <w:p w14:paraId="0DFE2E36"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 xml:space="preserve">Key challenge: assuring patient safety </w:t>
            </w:r>
          </w:p>
          <w:p w14:paraId="6B3F922D"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recovery focus: reconnect to the life that is meaningful to the person</w:t>
            </w:r>
          </w:p>
          <w:p w14:paraId="00D7A9E9"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 xml:space="preserve">Key functions: </w:t>
            </w:r>
          </w:p>
          <w:p w14:paraId="6C9DEFF0" w14:textId="77777777" w:rsidR="001418C2" w:rsidRPr="0020159A" w:rsidRDefault="001418C2" w:rsidP="00B90206">
            <w:pPr>
              <w:pStyle w:val="ListParagraph"/>
              <w:numPr>
                <w:ilvl w:val="0"/>
                <w:numId w:val="10"/>
              </w:numPr>
              <w:spacing w:after="160" w:line="259" w:lineRule="auto"/>
              <w:rPr>
                <w:rFonts w:ascii="Arial" w:hAnsi="Arial" w:cs="Arial"/>
                <w:sz w:val="24"/>
                <w:szCs w:val="24"/>
              </w:rPr>
            </w:pPr>
            <w:r w:rsidRPr="0020159A">
              <w:rPr>
                <w:rFonts w:ascii="Arial" w:hAnsi="Arial" w:cs="Arial"/>
                <w:sz w:val="24"/>
                <w:szCs w:val="24"/>
              </w:rPr>
              <w:t>Rapid response to evolving crisis in the community</w:t>
            </w:r>
          </w:p>
          <w:p w14:paraId="020AAF0C" w14:textId="77777777" w:rsidR="001418C2" w:rsidRPr="0020159A" w:rsidRDefault="001418C2" w:rsidP="00B90206">
            <w:pPr>
              <w:pStyle w:val="ListParagraph"/>
              <w:numPr>
                <w:ilvl w:val="0"/>
                <w:numId w:val="10"/>
              </w:numPr>
              <w:spacing w:after="160" w:line="259" w:lineRule="auto"/>
              <w:rPr>
                <w:rFonts w:ascii="Arial" w:hAnsi="Arial" w:cs="Arial"/>
                <w:sz w:val="24"/>
                <w:szCs w:val="24"/>
              </w:rPr>
            </w:pPr>
            <w:r w:rsidRPr="0020159A">
              <w:rPr>
                <w:rFonts w:ascii="Arial" w:hAnsi="Arial" w:cs="Arial"/>
                <w:sz w:val="24"/>
                <w:szCs w:val="24"/>
              </w:rPr>
              <w:t>Gate keep and facilitate early discharge - judgement calls on home treatability or hospital admission and continued stay</w:t>
            </w:r>
          </w:p>
          <w:p w14:paraId="6EEA0ABE" w14:textId="77777777" w:rsidR="001418C2" w:rsidRPr="0020159A" w:rsidRDefault="001418C2" w:rsidP="00B90206">
            <w:pPr>
              <w:pStyle w:val="ListParagraph"/>
              <w:numPr>
                <w:ilvl w:val="0"/>
                <w:numId w:val="10"/>
              </w:numPr>
              <w:spacing w:after="160" w:line="259" w:lineRule="auto"/>
              <w:rPr>
                <w:rFonts w:ascii="Arial" w:hAnsi="Arial" w:cs="Arial"/>
                <w:sz w:val="24"/>
                <w:szCs w:val="24"/>
              </w:rPr>
            </w:pPr>
            <w:r w:rsidRPr="0020159A">
              <w:rPr>
                <w:rFonts w:ascii="Arial" w:hAnsi="Arial" w:cs="Arial"/>
                <w:sz w:val="24"/>
                <w:szCs w:val="24"/>
              </w:rPr>
              <w:t>Deliver treatment in the least restrictive setting – the person’s home</w:t>
            </w:r>
          </w:p>
          <w:p w14:paraId="23AAFB63"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What is new? Day by day accountability time line on what is to be achieved, setting the right expectations in those who are being admitted to hospital and continued input into inpatient stay to assess home treatment readiness.</w:t>
            </w:r>
          </w:p>
          <w:p w14:paraId="717ABFC8"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b/>
                <w:sz w:val="24"/>
                <w:szCs w:val="24"/>
              </w:rPr>
              <w:t>3 Day Assessment</w:t>
            </w:r>
            <w:r w:rsidRPr="0020159A">
              <w:rPr>
                <w:rFonts w:ascii="Arial" w:hAnsi="Arial" w:cs="Arial"/>
                <w:sz w:val="24"/>
                <w:szCs w:val="24"/>
              </w:rPr>
              <w:t xml:space="preserve"> </w:t>
            </w:r>
            <w:r w:rsidRPr="0020159A">
              <w:rPr>
                <w:rFonts w:ascii="Arial" w:hAnsi="Arial" w:cs="Arial"/>
                <w:b/>
                <w:sz w:val="24"/>
                <w:szCs w:val="24"/>
              </w:rPr>
              <w:t xml:space="preserve">Unit </w:t>
            </w:r>
          </w:p>
          <w:p w14:paraId="0D1C4C0D"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challenge: managing patient turnover</w:t>
            </w:r>
          </w:p>
          <w:p w14:paraId="119E53E2"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recovery focus: finding and maintaining hope in individuals who feel all is lost</w:t>
            </w:r>
          </w:p>
          <w:p w14:paraId="0204D1AF"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functions:</w:t>
            </w:r>
          </w:p>
          <w:p w14:paraId="0DECCC1E" w14:textId="77777777" w:rsidR="001418C2" w:rsidRPr="0020159A" w:rsidRDefault="001418C2" w:rsidP="00B90206">
            <w:pPr>
              <w:pStyle w:val="ListParagraph"/>
              <w:numPr>
                <w:ilvl w:val="0"/>
                <w:numId w:val="11"/>
              </w:numPr>
              <w:spacing w:after="160" w:line="259" w:lineRule="auto"/>
              <w:rPr>
                <w:rFonts w:ascii="Arial" w:hAnsi="Arial" w:cs="Arial"/>
                <w:sz w:val="24"/>
                <w:szCs w:val="24"/>
              </w:rPr>
            </w:pPr>
            <w:r w:rsidRPr="0020159A">
              <w:rPr>
                <w:rFonts w:ascii="Arial" w:hAnsi="Arial" w:cs="Arial"/>
                <w:sz w:val="24"/>
                <w:szCs w:val="24"/>
              </w:rPr>
              <w:t>Assess patient’s current clinical state in terms of safety and severity of illness</w:t>
            </w:r>
          </w:p>
          <w:p w14:paraId="505F4E73" w14:textId="77777777" w:rsidR="001418C2" w:rsidRPr="0020159A" w:rsidRDefault="001418C2" w:rsidP="00B90206">
            <w:pPr>
              <w:pStyle w:val="ListParagraph"/>
              <w:numPr>
                <w:ilvl w:val="0"/>
                <w:numId w:val="11"/>
              </w:numPr>
              <w:spacing w:after="160" w:line="259" w:lineRule="auto"/>
              <w:rPr>
                <w:rFonts w:ascii="Arial" w:hAnsi="Arial" w:cs="Arial"/>
                <w:sz w:val="24"/>
                <w:szCs w:val="24"/>
              </w:rPr>
            </w:pPr>
            <w:r w:rsidRPr="0020159A">
              <w:rPr>
                <w:rFonts w:ascii="Arial" w:hAnsi="Arial" w:cs="Arial"/>
                <w:sz w:val="24"/>
                <w:szCs w:val="24"/>
              </w:rPr>
              <w:t xml:space="preserve">Make a provisional diagnosis </w:t>
            </w:r>
          </w:p>
          <w:p w14:paraId="7351816B" w14:textId="77777777" w:rsidR="001418C2" w:rsidRPr="0020159A" w:rsidRDefault="001418C2" w:rsidP="00B90206">
            <w:pPr>
              <w:pStyle w:val="ListParagraph"/>
              <w:numPr>
                <w:ilvl w:val="0"/>
                <w:numId w:val="11"/>
              </w:numPr>
              <w:spacing w:after="160" w:line="259" w:lineRule="auto"/>
              <w:rPr>
                <w:rFonts w:ascii="Arial" w:hAnsi="Arial" w:cs="Arial"/>
                <w:sz w:val="24"/>
                <w:szCs w:val="24"/>
              </w:rPr>
            </w:pPr>
            <w:r w:rsidRPr="0020159A">
              <w:rPr>
                <w:rFonts w:ascii="Arial" w:hAnsi="Arial" w:cs="Arial"/>
                <w:sz w:val="24"/>
                <w:szCs w:val="24"/>
              </w:rPr>
              <w:t>Formulate needs and strengths, bio-psycho-social aetiology, risk and safety</w:t>
            </w:r>
          </w:p>
          <w:p w14:paraId="18DED870" w14:textId="77777777" w:rsidR="001418C2" w:rsidRPr="0020159A" w:rsidRDefault="001418C2" w:rsidP="00B90206">
            <w:pPr>
              <w:pStyle w:val="ListParagraph"/>
              <w:numPr>
                <w:ilvl w:val="0"/>
                <w:numId w:val="11"/>
              </w:numPr>
              <w:spacing w:after="160" w:line="259" w:lineRule="auto"/>
              <w:rPr>
                <w:rFonts w:ascii="Arial" w:hAnsi="Arial" w:cs="Arial"/>
                <w:sz w:val="24"/>
                <w:szCs w:val="24"/>
              </w:rPr>
            </w:pPr>
            <w:r w:rsidRPr="0020159A">
              <w:rPr>
                <w:rFonts w:ascii="Arial" w:hAnsi="Arial" w:cs="Arial"/>
                <w:sz w:val="24"/>
                <w:szCs w:val="24"/>
              </w:rPr>
              <w:t>Predict what treatment is indicated, where is it best delivered and for how long</w:t>
            </w:r>
          </w:p>
          <w:p w14:paraId="38221030"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What is new? Hour by hour accountability time line on what is to be achieved and hope based safety planning and prediction through the safety balance sheet approach</w:t>
            </w:r>
          </w:p>
          <w:p w14:paraId="0DD3D091"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b/>
                <w:sz w:val="24"/>
                <w:szCs w:val="24"/>
              </w:rPr>
              <w:t>3 Week Treatment Unit</w:t>
            </w:r>
            <w:r w:rsidRPr="0020159A">
              <w:rPr>
                <w:rFonts w:ascii="Arial" w:hAnsi="Arial" w:cs="Arial"/>
                <w:sz w:val="24"/>
                <w:szCs w:val="24"/>
              </w:rPr>
              <w:t xml:space="preserve"> </w:t>
            </w:r>
          </w:p>
          <w:p w14:paraId="11F4F6F6"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challenge: managing patient acuity</w:t>
            </w:r>
          </w:p>
          <w:p w14:paraId="7DB2FC40"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recovery focus: reassuming control and responsibility</w:t>
            </w:r>
          </w:p>
          <w:p w14:paraId="56842EFD"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functions:</w:t>
            </w:r>
          </w:p>
          <w:p w14:paraId="280B96F9" w14:textId="77777777" w:rsidR="001418C2" w:rsidRPr="0020159A" w:rsidRDefault="001418C2" w:rsidP="00B90206">
            <w:pPr>
              <w:pStyle w:val="ListParagraph"/>
              <w:numPr>
                <w:ilvl w:val="0"/>
                <w:numId w:val="12"/>
              </w:numPr>
              <w:spacing w:after="160" w:line="259" w:lineRule="auto"/>
              <w:rPr>
                <w:rFonts w:ascii="Arial" w:hAnsi="Arial" w:cs="Arial"/>
                <w:sz w:val="24"/>
                <w:szCs w:val="24"/>
              </w:rPr>
            </w:pPr>
            <w:r w:rsidRPr="0020159A">
              <w:rPr>
                <w:rFonts w:ascii="Arial" w:hAnsi="Arial" w:cs="Arial"/>
                <w:sz w:val="24"/>
                <w:szCs w:val="24"/>
              </w:rPr>
              <w:t xml:space="preserve">Initiate evidence based treatment </w:t>
            </w:r>
          </w:p>
          <w:p w14:paraId="5FAB99FC" w14:textId="77777777" w:rsidR="001418C2" w:rsidRPr="0020159A" w:rsidRDefault="001418C2" w:rsidP="00B90206">
            <w:pPr>
              <w:pStyle w:val="ListParagraph"/>
              <w:numPr>
                <w:ilvl w:val="0"/>
                <w:numId w:val="12"/>
              </w:numPr>
              <w:spacing w:after="160" w:line="259" w:lineRule="auto"/>
              <w:rPr>
                <w:rFonts w:ascii="Arial" w:hAnsi="Arial" w:cs="Arial"/>
                <w:sz w:val="24"/>
                <w:szCs w:val="24"/>
              </w:rPr>
            </w:pPr>
            <w:r w:rsidRPr="0020159A">
              <w:rPr>
                <w:rFonts w:ascii="Arial" w:hAnsi="Arial" w:cs="Arial"/>
                <w:sz w:val="24"/>
                <w:szCs w:val="24"/>
              </w:rPr>
              <w:t>Monitor response closely and adjust treatment protocol</w:t>
            </w:r>
          </w:p>
          <w:p w14:paraId="553F35FB" w14:textId="77777777" w:rsidR="001418C2" w:rsidRPr="0020159A" w:rsidRDefault="001418C2" w:rsidP="00B90206">
            <w:pPr>
              <w:pStyle w:val="ListParagraph"/>
              <w:numPr>
                <w:ilvl w:val="0"/>
                <w:numId w:val="12"/>
              </w:numPr>
              <w:spacing w:after="160" w:line="259" w:lineRule="auto"/>
              <w:rPr>
                <w:rFonts w:ascii="Arial" w:hAnsi="Arial" w:cs="Arial"/>
                <w:sz w:val="24"/>
                <w:szCs w:val="24"/>
              </w:rPr>
            </w:pPr>
            <w:r w:rsidRPr="0020159A">
              <w:rPr>
                <w:rFonts w:ascii="Arial" w:hAnsi="Arial" w:cs="Arial"/>
                <w:sz w:val="24"/>
                <w:szCs w:val="24"/>
              </w:rPr>
              <w:t>Detailed safety planning</w:t>
            </w:r>
          </w:p>
          <w:p w14:paraId="7506CB6D" w14:textId="77777777" w:rsidR="001418C2" w:rsidRPr="0020159A" w:rsidRDefault="001418C2" w:rsidP="00B90206">
            <w:pPr>
              <w:pStyle w:val="ListParagraph"/>
              <w:numPr>
                <w:ilvl w:val="0"/>
                <w:numId w:val="12"/>
              </w:numPr>
              <w:spacing w:after="160" w:line="259" w:lineRule="auto"/>
              <w:rPr>
                <w:rFonts w:ascii="Arial" w:hAnsi="Arial" w:cs="Arial"/>
                <w:sz w:val="24"/>
                <w:szCs w:val="24"/>
              </w:rPr>
            </w:pPr>
            <w:r w:rsidRPr="0020159A">
              <w:rPr>
                <w:rFonts w:ascii="Arial" w:hAnsi="Arial" w:cs="Arial"/>
                <w:sz w:val="24"/>
                <w:szCs w:val="24"/>
              </w:rPr>
              <w:t>Make early referral and recommendations to home treatment or community team for treatment completion and post discharge care</w:t>
            </w:r>
          </w:p>
          <w:p w14:paraId="20B70E5C"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What is new? Day by day accountability time line on what is to be achieved and continuous evaluation of how any stay on any bed is adding value over and above what home treatment may provide.</w:t>
            </w:r>
          </w:p>
          <w:p w14:paraId="29AE9958"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b/>
                <w:sz w:val="24"/>
                <w:szCs w:val="24"/>
              </w:rPr>
              <w:t>3 Month Recovery Unit</w:t>
            </w:r>
            <w:r w:rsidRPr="0020159A">
              <w:rPr>
                <w:rFonts w:ascii="Arial" w:hAnsi="Arial" w:cs="Arial"/>
                <w:sz w:val="24"/>
                <w:szCs w:val="24"/>
              </w:rPr>
              <w:t xml:space="preserve"> </w:t>
            </w:r>
          </w:p>
          <w:p w14:paraId="2A3D881B"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challenge: managing patient chronicity</w:t>
            </w:r>
          </w:p>
          <w:p w14:paraId="159B440F"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recovery focus: building a positive identity</w:t>
            </w:r>
          </w:p>
          <w:p w14:paraId="008EBB89" w14:textId="77777777" w:rsidR="001418C2" w:rsidRPr="0020159A" w:rsidRDefault="001418C2" w:rsidP="00B90206">
            <w:pPr>
              <w:spacing w:after="160" w:line="259" w:lineRule="auto"/>
              <w:rPr>
                <w:rFonts w:ascii="Arial" w:hAnsi="Arial" w:cs="Arial"/>
                <w:sz w:val="24"/>
                <w:szCs w:val="24"/>
              </w:rPr>
            </w:pPr>
            <w:r w:rsidRPr="0020159A">
              <w:rPr>
                <w:rFonts w:ascii="Arial" w:hAnsi="Arial" w:cs="Arial"/>
                <w:sz w:val="24"/>
                <w:szCs w:val="24"/>
              </w:rPr>
              <w:t>Key functions:</w:t>
            </w:r>
          </w:p>
          <w:p w14:paraId="7EBD2034" w14:textId="77777777" w:rsidR="001418C2" w:rsidRPr="0020159A" w:rsidRDefault="001418C2" w:rsidP="00B90206">
            <w:pPr>
              <w:pStyle w:val="ListParagraph"/>
              <w:numPr>
                <w:ilvl w:val="0"/>
                <w:numId w:val="12"/>
              </w:numPr>
              <w:spacing w:after="160" w:line="259" w:lineRule="auto"/>
              <w:rPr>
                <w:rFonts w:ascii="Arial" w:hAnsi="Arial" w:cs="Arial"/>
                <w:sz w:val="24"/>
                <w:szCs w:val="24"/>
              </w:rPr>
            </w:pPr>
            <w:r w:rsidRPr="0020159A">
              <w:rPr>
                <w:rFonts w:ascii="Arial" w:hAnsi="Arial" w:cs="Arial"/>
                <w:sz w:val="24"/>
                <w:szCs w:val="24"/>
              </w:rPr>
              <w:t>Continue evidence based treatment in patients with continued symptoms that warrant hospital stay</w:t>
            </w:r>
          </w:p>
          <w:p w14:paraId="388955E4" w14:textId="77777777" w:rsidR="001418C2" w:rsidRPr="0020159A" w:rsidRDefault="001418C2" w:rsidP="00B90206">
            <w:pPr>
              <w:pStyle w:val="ListParagraph"/>
              <w:numPr>
                <w:ilvl w:val="0"/>
                <w:numId w:val="12"/>
              </w:numPr>
              <w:spacing w:after="160" w:line="259" w:lineRule="auto"/>
              <w:rPr>
                <w:rFonts w:ascii="Arial" w:hAnsi="Arial" w:cs="Arial"/>
                <w:sz w:val="24"/>
                <w:szCs w:val="24"/>
              </w:rPr>
            </w:pPr>
            <w:r w:rsidRPr="0020159A">
              <w:rPr>
                <w:rFonts w:ascii="Arial" w:hAnsi="Arial" w:cs="Arial"/>
                <w:sz w:val="24"/>
                <w:szCs w:val="24"/>
              </w:rPr>
              <w:t>Rehabilitation that supports independent living</w:t>
            </w:r>
          </w:p>
          <w:p w14:paraId="07B0D988" w14:textId="77777777" w:rsidR="001418C2" w:rsidRPr="0020159A" w:rsidRDefault="001418C2" w:rsidP="00B90206">
            <w:pPr>
              <w:pStyle w:val="ListParagraph"/>
              <w:numPr>
                <w:ilvl w:val="0"/>
                <w:numId w:val="12"/>
              </w:numPr>
              <w:spacing w:after="160" w:line="259" w:lineRule="auto"/>
              <w:rPr>
                <w:rFonts w:ascii="Arial" w:hAnsi="Arial" w:cs="Arial"/>
                <w:sz w:val="24"/>
                <w:szCs w:val="24"/>
              </w:rPr>
            </w:pPr>
            <w:r w:rsidRPr="0020159A">
              <w:rPr>
                <w:rFonts w:ascii="Arial" w:hAnsi="Arial" w:cs="Arial"/>
                <w:sz w:val="24"/>
                <w:szCs w:val="24"/>
              </w:rPr>
              <w:t>Connecting with community resources and preparing for life that is not defined by mental illness</w:t>
            </w:r>
          </w:p>
          <w:p w14:paraId="2695F7BF" w14:textId="77777777" w:rsidR="001418C2" w:rsidRPr="00453B08" w:rsidRDefault="001418C2" w:rsidP="00B90206">
            <w:pPr>
              <w:spacing w:after="160" w:line="259" w:lineRule="auto"/>
              <w:rPr>
                <w:rFonts w:ascii="Arial" w:hAnsi="Arial" w:cs="Arial"/>
                <w:sz w:val="24"/>
                <w:szCs w:val="24"/>
              </w:rPr>
            </w:pPr>
            <w:r w:rsidRPr="0020159A">
              <w:rPr>
                <w:rFonts w:ascii="Arial" w:hAnsi="Arial" w:cs="Arial"/>
                <w:sz w:val="24"/>
                <w:szCs w:val="24"/>
              </w:rPr>
              <w:t>What is new? Week by week accountability time line on what is to be achieved and twin tracking of symptomatic remission and social recovery. This contrasts with previous practice where being relatively asymptomatic was a prerequisite to rehabilitation.</w:t>
            </w:r>
          </w:p>
        </w:tc>
      </w:tr>
    </w:tbl>
    <w:p w14:paraId="0F134443" w14:textId="77777777" w:rsidR="00DD5E22" w:rsidRPr="00453B08" w:rsidRDefault="00DD5E22">
      <w:pPr>
        <w:spacing w:after="160" w:line="259" w:lineRule="auto"/>
        <w:rPr>
          <w:rFonts w:ascii="Arial" w:hAnsi="Arial" w:cs="Arial"/>
          <w:sz w:val="24"/>
          <w:szCs w:val="24"/>
        </w:rPr>
      </w:pPr>
      <w:r w:rsidRPr="00453B08">
        <w:rPr>
          <w:rFonts w:ascii="Arial" w:hAnsi="Arial" w:cs="Arial"/>
          <w:sz w:val="24"/>
          <w:szCs w:val="24"/>
        </w:rPr>
        <w:br w:type="page"/>
      </w:r>
    </w:p>
    <w:p w14:paraId="324436B8" w14:textId="61C7C90D" w:rsidR="00237AC7" w:rsidRPr="00806E74" w:rsidRDefault="00B90206" w:rsidP="00237AC7">
      <w:pPr>
        <w:pStyle w:val="ListParagraph"/>
        <w:ind w:left="0"/>
        <w:rPr>
          <w:rFonts w:ascii="Arial" w:hAnsi="Arial" w:cs="Arial"/>
          <w:sz w:val="24"/>
          <w:szCs w:val="24"/>
        </w:rPr>
      </w:pPr>
      <w:r>
        <w:rPr>
          <w:rFonts w:ascii="Arial" w:hAnsi="Arial" w:cs="Arial"/>
          <w:sz w:val="24"/>
          <w:szCs w:val="24"/>
        </w:rPr>
        <w:t>Table 1</w:t>
      </w:r>
      <w:r w:rsidR="00237AC7" w:rsidRPr="00806E74">
        <w:rPr>
          <w:rFonts w:ascii="Arial" w:hAnsi="Arial" w:cs="Arial"/>
          <w:sz w:val="24"/>
          <w:szCs w:val="24"/>
        </w:rPr>
        <w:t>: Bed complement and out of area placements pre and post 333 implementation.</w:t>
      </w:r>
    </w:p>
    <w:tbl>
      <w:tblPr>
        <w:tblStyle w:val="TableGrid"/>
        <w:tblW w:w="0" w:type="auto"/>
        <w:tblLook w:val="04A0" w:firstRow="1" w:lastRow="0" w:firstColumn="1" w:lastColumn="0" w:noHBand="0" w:noVBand="1"/>
      </w:tblPr>
      <w:tblGrid>
        <w:gridCol w:w="3494"/>
        <w:gridCol w:w="803"/>
        <w:gridCol w:w="1583"/>
        <w:gridCol w:w="803"/>
        <w:gridCol w:w="1530"/>
        <w:gridCol w:w="803"/>
      </w:tblGrid>
      <w:tr w:rsidR="00384802" w:rsidRPr="00453B08" w14:paraId="00D7BA42" w14:textId="77777777" w:rsidTr="00384802">
        <w:tc>
          <w:tcPr>
            <w:tcW w:w="0" w:type="auto"/>
            <w:gridSpan w:val="2"/>
          </w:tcPr>
          <w:p w14:paraId="1678AB2E" w14:textId="77777777" w:rsidR="00384802" w:rsidRPr="00384802" w:rsidRDefault="00384802" w:rsidP="00237AC7">
            <w:pPr>
              <w:rPr>
                <w:rFonts w:ascii="Arial" w:hAnsi="Arial" w:cs="Arial"/>
                <w:b/>
                <w:sz w:val="24"/>
                <w:szCs w:val="24"/>
              </w:rPr>
            </w:pPr>
            <w:r w:rsidRPr="00384802">
              <w:rPr>
                <w:rFonts w:ascii="Arial" w:hAnsi="Arial" w:cs="Arial"/>
                <w:b/>
                <w:sz w:val="24"/>
                <w:szCs w:val="24"/>
              </w:rPr>
              <w:t>Pre 333 (Oct 2011)</w:t>
            </w:r>
          </w:p>
        </w:tc>
        <w:tc>
          <w:tcPr>
            <w:tcW w:w="0" w:type="auto"/>
            <w:gridSpan w:val="2"/>
          </w:tcPr>
          <w:p w14:paraId="2E4BC1AE" w14:textId="77777777" w:rsidR="00384802" w:rsidRPr="00384802" w:rsidRDefault="00384802" w:rsidP="00237AC7">
            <w:pPr>
              <w:rPr>
                <w:rFonts w:ascii="Arial" w:hAnsi="Arial" w:cs="Arial"/>
                <w:b/>
                <w:sz w:val="24"/>
                <w:szCs w:val="24"/>
              </w:rPr>
            </w:pPr>
            <w:r w:rsidRPr="00384802">
              <w:rPr>
                <w:rFonts w:ascii="Arial" w:hAnsi="Arial" w:cs="Arial"/>
                <w:b/>
                <w:sz w:val="24"/>
                <w:szCs w:val="24"/>
              </w:rPr>
              <w:t>333 (April 2015)</w:t>
            </w:r>
          </w:p>
        </w:tc>
        <w:tc>
          <w:tcPr>
            <w:tcW w:w="0" w:type="auto"/>
            <w:gridSpan w:val="2"/>
          </w:tcPr>
          <w:p w14:paraId="2B51EC01" w14:textId="77777777" w:rsidR="00384802" w:rsidRPr="00384802" w:rsidRDefault="00384802" w:rsidP="00237AC7">
            <w:pPr>
              <w:rPr>
                <w:rFonts w:ascii="Arial" w:hAnsi="Arial" w:cs="Arial"/>
                <w:b/>
                <w:sz w:val="24"/>
                <w:szCs w:val="24"/>
              </w:rPr>
            </w:pPr>
            <w:r w:rsidRPr="00384802">
              <w:rPr>
                <w:rFonts w:ascii="Arial" w:hAnsi="Arial" w:cs="Arial"/>
                <w:b/>
                <w:sz w:val="24"/>
                <w:szCs w:val="24"/>
              </w:rPr>
              <w:t>333 (Dec 2016)</w:t>
            </w:r>
          </w:p>
        </w:tc>
      </w:tr>
      <w:tr w:rsidR="00B90206" w:rsidRPr="00453B08" w14:paraId="3EC4E427" w14:textId="77777777" w:rsidTr="00B90206">
        <w:trPr>
          <w:trHeight w:val="335"/>
        </w:trPr>
        <w:tc>
          <w:tcPr>
            <w:tcW w:w="0" w:type="auto"/>
          </w:tcPr>
          <w:p w14:paraId="0332ED6A" w14:textId="57A672B4" w:rsidR="00B90206" w:rsidRPr="007D6652" w:rsidRDefault="00B90206" w:rsidP="00384802">
            <w:pPr>
              <w:ind w:left="720"/>
              <w:rPr>
                <w:rFonts w:ascii="Arial" w:hAnsi="Arial" w:cs="Arial"/>
                <w:b/>
                <w:bCs/>
                <w:sz w:val="24"/>
                <w:szCs w:val="24"/>
              </w:rPr>
            </w:pPr>
            <w:r w:rsidRPr="007D6652">
              <w:rPr>
                <w:rFonts w:ascii="Arial" w:hAnsi="Arial" w:cs="Arial"/>
                <w:b/>
                <w:bCs/>
                <w:sz w:val="24"/>
                <w:szCs w:val="24"/>
              </w:rPr>
              <w:t>Unit / Ward</w:t>
            </w:r>
          </w:p>
        </w:tc>
        <w:tc>
          <w:tcPr>
            <w:tcW w:w="0" w:type="auto"/>
          </w:tcPr>
          <w:p w14:paraId="53CAA731" w14:textId="3EBFA4D9" w:rsidR="00B90206" w:rsidRPr="007D6652" w:rsidRDefault="00B90206" w:rsidP="00237AC7">
            <w:pPr>
              <w:rPr>
                <w:rFonts w:ascii="Arial" w:hAnsi="Arial" w:cs="Arial"/>
                <w:b/>
                <w:bCs/>
                <w:sz w:val="24"/>
                <w:szCs w:val="24"/>
              </w:rPr>
            </w:pPr>
            <w:r w:rsidRPr="007D6652">
              <w:rPr>
                <w:rFonts w:ascii="Arial" w:hAnsi="Arial" w:cs="Arial"/>
                <w:b/>
                <w:bCs/>
                <w:sz w:val="24"/>
                <w:szCs w:val="24"/>
              </w:rPr>
              <w:t>Beds</w:t>
            </w:r>
          </w:p>
        </w:tc>
        <w:tc>
          <w:tcPr>
            <w:tcW w:w="0" w:type="auto"/>
          </w:tcPr>
          <w:p w14:paraId="207CD8AC" w14:textId="278B5030" w:rsidR="00B90206" w:rsidRPr="007D6652" w:rsidRDefault="00B90206" w:rsidP="00237AC7">
            <w:pPr>
              <w:rPr>
                <w:rFonts w:ascii="Arial" w:hAnsi="Arial" w:cs="Arial"/>
                <w:b/>
                <w:bCs/>
                <w:sz w:val="24"/>
                <w:szCs w:val="24"/>
              </w:rPr>
            </w:pPr>
            <w:r w:rsidRPr="007D6652">
              <w:rPr>
                <w:rFonts w:ascii="Arial" w:hAnsi="Arial" w:cs="Arial"/>
                <w:b/>
                <w:bCs/>
                <w:sz w:val="24"/>
                <w:szCs w:val="24"/>
              </w:rPr>
              <w:t>Unit / Ward</w:t>
            </w:r>
          </w:p>
        </w:tc>
        <w:tc>
          <w:tcPr>
            <w:tcW w:w="0" w:type="auto"/>
          </w:tcPr>
          <w:p w14:paraId="70910F1B" w14:textId="5083C04A" w:rsidR="00B90206" w:rsidRPr="007D6652" w:rsidRDefault="00B90206" w:rsidP="00237AC7">
            <w:pPr>
              <w:rPr>
                <w:rFonts w:ascii="Arial" w:hAnsi="Arial" w:cs="Arial"/>
                <w:b/>
                <w:bCs/>
                <w:sz w:val="24"/>
                <w:szCs w:val="24"/>
              </w:rPr>
            </w:pPr>
            <w:r w:rsidRPr="007D6652">
              <w:rPr>
                <w:rFonts w:ascii="Arial" w:hAnsi="Arial" w:cs="Arial"/>
                <w:b/>
                <w:bCs/>
                <w:sz w:val="24"/>
                <w:szCs w:val="24"/>
              </w:rPr>
              <w:t>Beds</w:t>
            </w:r>
          </w:p>
        </w:tc>
        <w:tc>
          <w:tcPr>
            <w:tcW w:w="0" w:type="auto"/>
          </w:tcPr>
          <w:p w14:paraId="07FD69BC" w14:textId="26901163" w:rsidR="00B90206" w:rsidRPr="007D6652" w:rsidRDefault="00B90206" w:rsidP="00237AC7">
            <w:pPr>
              <w:rPr>
                <w:rFonts w:ascii="Arial" w:hAnsi="Arial" w:cs="Arial"/>
                <w:b/>
                <w:bCs/>
                <w:sz w:val="24"/>
                <w:szCs w:val="24"/>
              </w:rPr>
            </w:pPr>
            <w:r w:rsidRPr="007D6652">
              <w:rPr>
                <w:rFonts w:ascii="Arial" w:hAnsi="Arial" w:cs="Arial"/>
                <w:b/>
                <w:bCs/>
                <w:sz w:val="24"/>
                <w:szCs w:val="24"/>
              </w:rPr>
              <w:t>Unit / Ward</w:t>
            </w:r>
          </w:p>
        </w:tc>
        <w:tc>
          <w:tcPr>
            <w:tcW w:w="0" w:type="auto"/>
          </w:tcPr>
          <w:p w14:paraId="1FCE0C91" w14:textId="3CC659B7" w:rsidR="00B90206" w:rsidRPr="007D6652" w:rsidRDefault="00B90206" w:rsidP="00237AC7">
            <w:pPr>
              <w:rPr>
                <w:rFonts w:ascii="Arial" w:hAnsi="Arial" w:cs="Arial"/>
                <w:b/>
                <w:bCs/>
                <w:sz w:val="24"/>
                <w:szCs w:val="24"/>
              </w:rPr>
            </w:pPr>
            <w:r w:rsidRPr="007D6652">
              <w:rPr>
                <w:rFonts w:ascii="Arial" w:hAnsi="Arial" w:cs="Arial"/>
                <w:b/>
                <w:bCs/>
                <w:sz w:val="24"/>
                <w:szCs w:val="24"/>
              </w:rPr>
              <w:t>Beds</w:t>
            </w:r>
          </w:p>
        </w:tc>
      </w:tr>
      <w:tr w:rsidR="00B90206" w:rsidRPr="00453B08" w14:paraId="645C0B77" w14:textId="77777777" w:rsidTr="00B90206">
        <w:trPr>
          <w:trHeight w:val="407"/>
        </w:trPr>
        <w:tc>
          <w:tcPr>
            <w:tcW w:w="0" w:type="auto"/>
            <w:gridSpan w:val="6"/>
          </w:tcPr>
          <w:p w14:paraId="4BD9248D" w14:textId="1360667F" w:rsidR="00B90206" w:rsidRPr="00453B08" w:rsidRDefault="00B90206" w:rsidP="00237AC7">
            <w:pPr>
              <w:rPr>
                <w:rFonts w:ascii="Arial" w:hAnsi="Arial" w:cs="Arial"/>
                <w:sz w:val="24"/>
                <w:szCs w:val="24"/>
              </w:rPr>
            </w:pPr>
            <w:r w:rsidRPr="00384802">
              <w:rPr>
                <w:rFonts w:ascii="Arial" w:hAnsi="Arial" w:cs="Arial"/>
                <w:b/>
                <w:sz w:val="24"/>
                <w:szCs w:val="24"/>
              </w:rPr>
              <w:t>Cambridge</w:t>
            </w:r>
          </w:p>
        </w:tc>
      </w:tr>
      <w:tr w:rsidR="00384802" w:rsidRPr="00453B08" w14:paraId="72BEE2D7" w14:textId="77777777" w:rsidTr="00384802">
        <w:trPr>
          <w:trHeight w:val="749"/>
        </w:trPr>
        <w:tc>
          <w:tcPr>
            <w:tcW w:w="0" w:type="auto"/>
          </w:tcPr>
          <w:p w14:paraId="00CEF48D"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Friends (Generic adult locality ward)</w:t>
            </w:r>
          </w:p>
        </w:tc>
        <w:tc>
          <w:tcPr>
            <w:tcW w:w="0" w:type="auto"/>
          </w:tcPr>
          <w:p w14:paraId="1E886EF6" w14:textId="77777777" w:rsidR="00384802" w:rsidRPr="00453B08" w:rsidRDefault="00384802" w:rsidP="00237AC7">
            <w:pPr>
              <w:rPr>
                <w:rFonts w:ascii="Arial" w:hAnsi="Arial" w:cs="Arial"/>
                <w:sz w:val="24"/>
                <w:szCs w:val="24"/>
              </w:rPr>
            </w:pPr>
            <w:r w:rsidRPr="00453B08">
              <w:rPr>
                <w:rFonts w:ascii="Arial" w:hAnsi="Arial" w:cs="Arial"/>
                <w:sz w:val="24"/>
                <w:szCs w:val="24"/>
              </w:rPr>
              <w:t>25</w:t>
            </w:r>
          </w:p>
        </w:tc>
        <w:tc>
          <w:tcPr>
            <w:tcW w:w="0" w:type="auto"/>
          </w:tcPr>
          <w:p w14:paraId="73158D83" w14:textId="77777777" w:rsidR="00384802" w:rsidRPr="00453B08" w:rsidRDefault="00384802" w:rsidP="00237AC7">
            <w:pPr>
              <w:rPr>
                <w:rFonts w:ascii="Arial" w:hAnsi="Arial" w:cs="Arial"/>
                <w:sz w:val="24"/>
                <w:szCs w:val="24"/>
              </w:rPr>
            </w:pPr>
            <w:r w:rsidRPr="00453B08">
              <w:rPr>
                <w:rFonts w:ascii="Arial" w:hAnsi="Arial" w:cs="Arial"/>
                <w:sz w:val="24"/>
                <w:szCs w:val="24"/>
              </w:rPr>
              <w:t>Mulberry 1 (AU)</w:t>
            </w:r>
          </w:p>
        </w:tc>
        <w:tc>
          <w:tcPr>
            <w:tcW w:w="0" w:type="auto"/>
          </w:tcPr>
          <w:p w14:paraId="1CE2BE22" w14:textId="77777777" w:rsidR="00384802" w:rsidRPr="00453B08" w:rsidRDefault="00384802" w:rsidP="00237AC7">
            <w:pPr>
              <w:rPr>
                <w:rFonts w:ascii="Arial" w:hAnsi="Arial" w:cs="Arial"/>
                <w:sz w:val="24"/>
                <w:szCs w:val="24"/>
              </w:rPr>
            </w:pPr>
            <w:r w:rsidRPr="00453B08">
              <w:rPr>
                <w:rFonts w:ascii="Arial" w:hAnsi="Arial" w:cs="Arial"/>
                <w:sz w:val="24"/>
                <w:szCs w:val="24"/>
              </w:rPr>
              <w:t>14</w:t>
            </w:r>
          </w:p>
        </w:tc>
        <w:tc>
          <w:tcPr>
            <w:tcW w:w="0" w:type="auto"/>
          </w:tcPr>
          <w:p w14:paraId="41A4F0FF" w14:textId="77777777" w:rsidR="00384802" w:rsidRPr="00453B08" w:rsidRDefault="00384802" w:rsidP="00237AC7">
            <w:pPr>
              <w:rPr>
                <w:rFonts w:ascii="Arial" w:hAnsi="Arial" w:cs="Arial"/>
                <w:sz w:val="24"/>
                <w:szCs w:val="24"/>
              </w:rPr>
            </w:pPr>
            <w:r w:rsidRPr="00453B08">
              <w:rPr>
                <w:rFonts w:ascii="Arial" w:hAnsi="Arial" w:cs="Arial"/>
                <w:sz w:val="24"/>
                <w:szCs w:val="24"/>
              </w:rPr>
              <w:t>Mulberry 1 (AU)</w:t>
            </w:r>
          </w:p>
        </w:tc>
        <w:tc>
          <w:tcPr>
            <w:tcW w:w="0" w:type="auto"/>
          </w:tcPr>
          <w:p w14:paraId="6FBE4DE3" w14:textId="77777777" w:rsidR="00384802" w:rsidRPr="00453B08" w:rsidRDefault="00384802" w:rsidP="00237AC7">
            <w:pPr>
              <w:rPr>
                <w:rFonts w:ascii="Arial" w:hAnsi="Arial" w:cs="Arial"/>
                <w:sz w:val="24"/>
                <w:szCs w:val="24"/>
              </w:rPr>
            </w:pPr>
            <w:r w:rsidRPr="00453B08">
              <w:rPr>
                <w:rFonts w:ascii="Arial" w:hAnsi="Arial" w:cs="Arial"/>
                <w:sz w:val="24"/>
                <w:szCs w:val="24"/>
              </w:rPr>
              <w:t>14</w:t>
            </w:r>
          </w:p>
        </w:tc>
      </w:tr>
      <w:tr w:rsidR="00384802" w:rsidRPr="00453B08" w14:paraId="57E1864B" w14:textId="77777777" w:rsidTr="00384802">
        <w:tc>
          <w:tcPr>
            <w:tcW w:w="0" w:type="auto"/>
          </w:tcPr>
          <w:p w14:paraId="5230C239"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Adrian (Generic adult locality ward)</w:t>
            </w:r>
          </w:p>
        </w:tc>
        <w:tc>
          <w:tcPr>
            <w:tcW w:w="0" w:type="auto"/>
          </w:tcPr>
          <w:p w14:paraId="3397E91D" w14:textId="77777777" w:rsidR="00384802" w:rsidRPr="00453B08" w:rsidRDefault="00384802" w:rsidP="00237AC7">
            <w:pPr>
              <w:rPr>
                <w:rFonts w:ascii="Arial" w:hAnsi="Arial" w:cs="Arial"/>
                <w:sz w:val="24"/>
                <w:szCs w:val="24"/>
              </w:rPr>
            </w:pPr>
            <w:r w:rsidRPr="00453B08">
              <w:rPr>
                <w:rFonts w:ascii="Arial" w:hAnsi="Arial" w:cs="Arial"/>
                <w:sz w:val="24"/>
                <w:szCs w:val="24"/>
              </w:rPr>
              <w:t>24</w:t>
            </w:r>
          </w:p>
        </w:tc>
        <w:tc>
          <w:tcPr>
            <w:tcW w:w="0" w:type="auto"/>
          </w:tcPr>
          <w:p w14:paraId="65D6C04B" w14:textId="77777777" w:rsidR="00384802" w:rsidRPr="00453B08" w:rsidRDefault="00384802" w:rsidP="00237AC7">
            <w:pPr>
              <w:rPr>
                <w:rFonts w:ascii="Arial" w:hAnsi="Arial" w:cs="Arial"/>
                <w:sz w:val="24"/>
                <w:szCs w:val="24"/>
              </w:rPr>
            </w:pPr>
            <w:r w:rsidRPr="00453B08">
              <w:rPr>
                <w:rFonts w:ascii="Arial" w:hAnsi="Arial" w:cs="Arial"/>
                <w:sz w:val="24"/>
                <w:szCs w:val="24"/>
              </w:rPr>
              <w:t>Mulberry 2 (TU)</w:t>
            </w:r>
          </w:p>
        </w:tc>
        <w:tc>
          <w:tcPr>
            <w:tcW w:w="0" w:type="auto"/>
          </w:tcPr>
          <w:p w14:paraId="7A9BF760" w14:textId="77777777" w:rsidR="00384802" w:rsidRPr="00453B08" w:rsidRDefault="00384802" w:rsidP="00237AC7">
            <w:pPr>
              <w:rPr>
                <w:rFonts w:ascii="Arial" w:hAnsi="Arial" w:cs="Arial"/>
                <w:sz w:val="24"/>
                <w:szCs w:val="24"/>
              </w:rPr>
            </w:pPr>
            <w:r w:rsidRPr="00453B08">
              <w:rPr>
                <w:rFonts w:ascii="Arial" w:hAnsi="Arial" w:cs="Arial"/>
                <w:sz w:val="24"/>
                <w:szCs w:val="24"/>
              </w:rPr>
              <w:t>16</w:t>
            </w:r>
          </w:p>
        </w:tc>
        <w:tc>
          <w:tcPr>
            <w:tcW w:w="0" w:type="auto"/>
          </w:tcPr>
          <w:p w14:paraId="4C6E20ED" w14:textId="77777777" w:rsidR="00384802" w:rsidRPr="00453B08" w:rsidRDefault="00384802" w:rsidP="00237AC7">
            <w:pPr>
              <w:rPr>
                <w:rFonts w:ascii="Arial" w:hAnsi="Arial" w:cs="Arial"/>
                <w:sz w:val="24"/>
                <w:szCs w:val="24"/>
              </w:rPr>
            </w:pPr>
            <w:r w:rsidRPr="00453B08">
              <w:rPr>
                <w:rFonts w:ascii="Arial" w:hAnsi="Arial" w:cs="Arial"/>
                <w:sz w:val="24"/>
                <w:szCs w:val="24"/>
              </w:rPr>
              <w:t>Mulberry 2 (TU)</w:t>
            </w:r>
          </w:p>
        </w:tc>
        <w:tc>
          <w:tcPr>
            <w:tcW w:w="0" w:type="auto"/>
          </w:tcPr>
          <w:p w14:paraId="37F1F219" w14:textId="77777777" w:rsidR="00384802" w:rsidRPr="00453B08" w:rsidRDefault="00384802" w:rsidP="00237AC7">
            <w:pPr>
              <w:rPr>
                <w:rFonts w:ascii="Arial" w:hAnsi="Arial" w:cs="Arial"/>
                <w:sz w:val="24"/>
                <w:szCs w:val="24"/>
              </w:rPr>
            </w:pPr>
            <w:r w:rsidRPr="00453B08">
              <w:rPr>
                <w:rFonts w:ascii="Arial" w:hAnsi="Arial" w:cs="Arial"/>
                <w:sz w:val="24"/>
                <w:szCs w:val="24"/>
              </w:rPr>
              <w:t>16</w:t>
            </w:r>
          </w:p>
        </w:tc>
      </w:tr>
      <w:tr w:rsidR="00384802" w:rsidRPr="00453B08" w14:paraId="513430AA" w14:textId="77777777" w:rsidTr="00384802">
        <w:tc>
          <w:tcPr>
            <w:tcW w:w="0" w:type="auto"/>
          </w:tcPr>
          <w:p w14:paraId="00013141"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Cedars (Rehabilitation Unit)</w:t>
            </w:r>
          </w:p>
        </w:tc>
        <w:tc>
          <w:tcPr>
            <w:tcW w:w="0" w:type="auto"/>
          </w:tcPr>
          <w:p w14:paraId="48CB4356" w14:textId="77777777" w:rsidR="00384802" w:rsidRPr="00453B08" w:rsidRDefault="00384802" w:rsidP="00237AC7">
            <w:pPr>
              <w:rPr>
                <w:rFonts w:ascii="Arial" w:hAnsi="Arial" w:cs="Arial"/>
                <w:sz w:val="24"/>
                <w:szCs w:val="24"/>
              </w:rPr>
            </w:pPr>
            <w:r w:rsidRPr="00453B08">
              <w:rPr>
                <w:rFonts w:ascii="Arial" w:hAnsi="Arial" w:cs="Arial"/>
                <w:sz w:val="24"/>
                <w:szCs w:val="24"/>
              </w:rPr>
              <w:t>20</w:t>
            </w:r>
          </w:p>
        </w:tc>
        <w:tc>
          <w:tcPr>
            <w:tcW w:w="0" w:type="auto"/>
          </w:tcPr>
          <w:p w14:paraId="38E317F9" w14:textId="77777777" w:rsidR="00384802" w:rsidRPr="00453B08" w:rsidRDefault="00384802" w:rsidP="00237AC7">
            <w:pPr>
              <w:rPr>
                <w:rFonts w:ascii="Arial" w:hAnsi="Arial" w:cs="Arial"/>
                <w:sz w:val="24"/>
                <w:szCs w:val="24"/>
              </w:rPr>
            </w:pPr>
            <w:r w:rsidRPr="00453B08">
              <w:rPr>
                <w:rFonts w:ascii="Arial" w:hAnsi="Arial" w:cs="Arial"/>
                <w:sz w:val="24"/>
                <w:szCs w:val="24"/>
              </w:rPr>
              <w:t>Mulberry 3 (RU)</w:t>
            </w:r>
          </w:p>
        </w:tc>
        <w:tc>
          <w:tcPr>
            <w:tcW w:w="0" w:type="auto"/>
          </w:tcPr>
          <w:p w14:paraId="7B1B7D6D" w14:textId="77777777" w:rsidR="00384802" w:rsidRPr="00453B08" w:rsidRDefault="00384802" w:rsidP="00237AC7">
            <w:pPr>
              <w:rPr>
                <w:rFonts w:ascii="Arial" w:hAnsi="Arial" w:cs="Arial"/>
                <w:sz w:val="24"/>
                <w:szCs w:val="24"/>
              </w:rPr>
            </w:pPr>
            <w:r w:rsidRPr="00453B08">
              <w:rPr>
                <w:rFonts w:ascii="Arial" w:hAnsi="Arial" w:cs="Arial"/>
                <w:sz w:val="24"/>
                <w:szCs w:val="24"/>
              </w:rPr>
              <w:t>16</w:t>
            </w:r>
          </w:p>
        </w:tc>
        <w:tc>
          <w:tcPr>
            <w:tcW w:w="0" w:type="auto"/>
          </w:tcPr>
          <w:p w14:paraId="68A7B3DC" w14:textId="77777777" w:rsidR="00384802" w:rsidRPr="00453B08" w:rsidRDefault="00384802" w:rsidP="00237AC7">
            <w:pPr>
              <w:rPr>
                <w:rFonts w:ascii="Arial" w:hAnsi="Arial" w:cs="Arial"/>
                <w:sz w:val="24"/>
                <w:szCs w:val="24"/>
              </w:rPr>
            </w:pPr>
            <w:r w:rsidRPr="00453B08">
              <w:rPr>
                <w:rFonts w:ascii="Arial" w:hAnsi="Arial" w:cs="Arial"/>
                <w:sz w:val="24"/>
                <w:szCs w:val="24"/>
              </w:rPr>
              <w:t>Mulberry 3 (RU)</w:t>
            </w:r>
          </w:p>
        </w:tc>
        <w:tc>
          <w:tcPr>
            <w:tcW w:w="0" w:type="auto"/>
          </w:tcPr>
          <w:p w14:paraId="04ABE31B" w14:textId="77777777" w:rsidR="00384802" w:rsidRPr="00453B08" w:rsidRDefault="00384802" w:rsidP="00237AC7">
            <w:pPr>
              <w:rPr>
                <w:rFonts w:ascii="Arial" w:hAnsi="Arial" w:cs="Arial"/>
                <w:sz w:val="24"/>
                <w:szCs w:val="24"/>
              </w:rPr>
            </w:pPr>
            <w:r w:rsidRPr="00453B08">
              <w:rPr>
                <w:rFonts w:ascii="Arial" w:hAnsi="Arial" w:cs="Arial"/>
                <w:sz w:val="24"/>
                <w:szCs w:val="24"/>
              </w:rPr>
              <w:t>16</w:t>
            </w:r>
          </w:p>
        </w:tc>
      </w:tr>
      <w:tr w:rsidR="00384802" w:rsidRPr="00453B08" w14:paraId="20D82D80" w14:textId="77777777" w:rsidTr="00384802">
        <w:tc>
          <w:tcPr>
            <w:tcW w:w="0" w:type="auto"/>
          </w:tcPr>
          <w:p w14:paraId="42BD0B64"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Cobwebs (Rehabilitation Step Down Unit)</w:t>
            </w:r>
          </w:p>
        </w:tc>
        <w:tc>
          <w:tcPr>
            <w:tcW w:w="0" w:type="auto"/>
          </w:tcPr>
          <w:p w14:paraId="696AD3D1" w14:textId="77777777" w:rsidR="00384802" w:rsidRPr="00453B08" w:rsidRDefault="00384802" w:rsidP="00237AC7">
            <w:pPr>
              <w:rPr>
                <w:rFonts w:ascii="Arial" w:hAnsi="Arial" w:cs="Arial"/>
                <w:sz w:val="24"/>
                <w:szCs w:val="24"/>
              </w:rPr>
            </w:pPr>
            <w:r w:rsidRPr="00453B08">
              <w:rPr>
                <w:rFonts w:ascii="Arial" w:hAnsi="Arial" w:cs="Arial"/>
                <w:sz w:val="24"/>
                <w:szCs w:val="24"/>
              </w:rPr>
              <w:t>12</w:t>
            </w:r>
          </w:p>
        </w:tc>
        <w:tc>
          <w:tcPr>
            <w:tcW w:w="0" w:type="auto"/>
          </w:tcPr>
          <w:p w14:paraId="424CE69F" w14:textId="77777777" w:rsidR="00384802" w:rsidRPr="00453B08" w:rsidRDefault="00384802" w:rsidP="00237AC7">
            <w:pPr>
              <w:rPr>
                <w:rFonts w:ascii="Arial" w:hAnsi="Arial" w:cs="Arial"/>
                <w:sz w:val="24"/>
                <w:szCs w:val="24"/>
              </w:rPr>
            </w:pPr>
            <w:r w:rsidRPr="00453B08">
              <w:rPr>
                <w:rFonts w:ascii="Arial" w:hAnsi="Arial" w:cs="Arial"/>
                <w:sz w:val="24"/>
                <w:szCs w:val="24"/>
              </w:rPr>
              <w:t>Closed</w:t>
            </w:r>
          </w:p>
        </w:tc>
        <w:tc>
          <w:tcPr>
            <w:tcW w:w="0" w:type="auto"/>
          </w:tcPr>
          <w:p w14:paraId="1B38389B" w14:textId="77777777" w:rsidR="00384802" w:rsidRPr="00453B08" w:rsidRDefault="00384802" w:rsidP="00237AC7">
            <w:pPr>
              <w:rPr>
                <w:rFonts w:ascii="Arial" w:hAnsi="Arial" w:cs="Arial"/>
                <w:sz w:val="24"/>
                <w:szCs w:val="24"/>
              </w:rPr>
            </w:pPr>
            <w:r w:rsidRPr="00453B08">
              <w:rPr>
                <w:rFonts w:ascii="Arial" w:hAnsi="Arial" w:cs="Arial"/>
                <w:sz w:val="24"/>
                <w:szCs w:val="24"/>
              </w:rPr>
              <w:t>0</w:t>
            </w:r>
          </w:p>
        </w:tc>
        <w:tc>
          <w:tcPr>
            <w:tcW w:w="0" w:type="auto"/>
          </w:tcPr>
          <w:p w14:paraId="56E059CA" w14:textId="77777777" w:rsidR="00384802" w:rsidRPr="00453B08" w:rsidRDefault="00384802" w:rsidP="00237AC7">
            <w:pPr>
              <w:rPr>
                <w:rFonts w:ascii="Arial" w:hAnsi="Arial" w:cs="Arial"/>
                <w:sz w:val="24"/>
                <w:szCs w:val="24"/>
              </w:rPr>
            </w:pPr>
            <w:r w:rsidRPr="00453B08">
              <w:rPr>
                <w:rFonts w:ascii="Arial" w:hAnsi="Arial" w:cs="Arial"/>
                <w:sz w:val="24"/>
                <w:szCs w:val="24"/>
              </w:rPr>
              <w:t>Closed</w:t>
            </w:r>
          </w:p>
        </w:tc>
        <w:tc>
          <w:tcPr>
            <w:tcW w:w="0" w:type="auto"/>
          </w:tcPr>
          <w:p w14:paraId="77E17F29" w14:textId="77777777" w:rsidR="00384802" w:rsidRPr="00453B08" w:rsidRDefault="00384802" w:rsidP="00237AC7">
            <w:pPr>
              <w:rPr>
                <w:rFonts w:ascii="Arial" w:hAnsi="Arial" w:cs="Arial"/>
                <w:sz w:val="24"/>
                <w:szCs w:val="24"/>
              </w:rPr>
            </w:pPr>
            <w:r w:rsidRPr="00453B08">
              <w:rPr>
                <w:rFonts w:ascii="Arial" w:hAnsi="Arial" w:cs="Arial"/>
                <w:sz w:val="24"/>
                <w:szCs w:val="24"/>
              </w:rPr>
              <w:t>0</w:t>
            </w:r>
          </w:p>
        </w:tc>
      </w:tr>
      <w:tr w:rsidR="00384802" w:rsidRPr="00453B08" w14:paraId="687466BA" w14:textId="77777777" w:rsidTr="00384802">
        <w:tc>
          <w:tcPr>
            <w:tcW w:w="0" w:type="auto"/>
            <w:gridSpan w:val="6"/>
          </w:tcPr>
          <w:p w14:paraId="68F05EDE" w14:textId="014C1561" w:rsidR="00384802" w:rsidRPr="00384802" w:rsidRDefault="00384802" w:rsidP="00237AC7">
            <w:pPr>
              <w:rPr>
                <w:rFonts w:ascii="Arial" w:hAnsi="Arial" w:cs="Arial"/>
                <w:b/>
                <w:sz w:val="24"/>
                <w:szCs w:val="24"/>
              </w:rPr>
            </w:pPr>
            <w:r w:rsidRPr="00384802">
              <w:rPr>
                <w:rFonts w:ascii="Arial" w:hAnsi="Arial" w:cs="Arial"/>
                <w:b/>
                <w:sz w:val="24"/>
                <w:szCs w:val="24"/>
              </w:rPr>
              <w:t>Huntingdon</w:t>
            </w:r>
          </w:p>
        </w:tc>
      </w:tr>
      <w:tr w:rsidR="00384802" w:rsidRPr="00453B08" w14:paraId="61C389EB" w14:textId="77777777" w:rsidTr="00384802">
        <w:trPr>
          <w:cantSplit/>
          <w:trHeight w:val="649"/>
        </w:trPr>
        <w:tc>
          <w:tcPr>
            <w:tcW w:w="0" w:type="auto"/>
          </w:tcPr>
          <w:p w14:paraId="28E1C652"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Acer (Generic adult locality ward)</w:t>
            </w:r>
          </w:p>
        </w:tc>
        <w:tc>
          <w:tcPr>
            <w:tcW w:w="0" w:type="auto"/>
          </w:tcPr>
          <w:p w14:paraId="7881F41A" w14:textId="77777777" w:rsidR="00384802" w:rsidRPr="00453B08" w:rsidRDefault="00384802" w:rsidP="00237AC7">
            <w:pPr>
              <w:rPr>
                <w:rFonts w:ascii="Arial" w:hAnsi="Arial" w:cs="Arial"/>
                <w:sz w:val="24"/>
                <w:szCs w:val="24"/>
              </w:rPr>
            </w:pPr>
            <w:r w:rsidRPr="00453B08">
              <w:rPr>
                <w:rFonts w:ascii="Arial" w:hAnsi="Arial" w:cs="Arial"/>
                <w:sz w:val="24"/>
                <w:szCs w:val="24"/>
              </w:rPr>
              <w:t>17</w:t>
            </w:r>
          </w:p>
        </w:tc>
        <w:tc>
          <w:tcPr>
            <w:tcW w:w="0" w:type="auto"/>
          </w:tcPr>
          <w:p w14:paraId="2C7E921E" w14:textId="77777777" w:rsidR="00384802" w:rsidRPr="00453B08" w:rsidRDefault="00384802" w:rsidP="00237AC7">
            <w:pPr>
              <w:rPr>
                <w:rFonts w:ascii="Arial" w:hAnsi="Arial" w:cs="Arial"/>
                <w:sz w:val="24"/>
                <w:szCs w:val="24"/>
              </w:rPr>
            </w:pPr>
            <w:r w:rsidRPr="00453B08">
              <w:rPr>
                <w:rFonts w:ascii="Arial" w:hAnsi="Arial" w:cs="Arial"/>
                <w:sz w:val="24"/>
                <w:szCs w:val="24"/>
              </w:rPr>
              <w:t>Closed</w:t>
            </w:r>
          </w:p>
        </w:tc>
        <w:tc>
          <w:tcPr>
            <w:tcW w:w="0" w:type="auto"/>
          </w:tcPr>
          <w:p w14:paraId="0EB8485E" w14:textId="77777777" w:rsidR="00384802" w:rsidRPr="00453B08" w:rsidRDefault="00384802" w:rsidP="00237AC7">
            <w:pPr>
              <w:rPr>
                <w:rFonts w:ascii="Arial" w:hAnsi="Arial" w:cs="Arial"/>
                <w:sz w:val="24"/>
                <w:szCs w:val="24"/>
              </w:rPr>
            </w:pPr>
            <w:r w:rsidRPr="00453B08">
              <w:rPr>
                <w:rFonts w:ascii="Arial" w:hAnsi="Arial" w:cs="Arial"/>
                <w:sz w:val="24"/>
                <w:szCs w:val="24"/>
              </w:rPr>
              <w:t>0</w:t>
            </w:r>
          </w:p>
        </w:tc>
        <w:tc>
          <w:tcPr>
            <w:tcW w:w="0" w:type="auto"/>
          </w:tcPr>
          <w:p w14:paraId="4EBCEBDB" w14:textId="77777777" w:rsidR="00384802" w:rsidRPr="00453B08" w:rsidRDefault="00384802" w:rsidP="00237AC7">
            <w:pPr>
              <w:rPr>
                <w:rFonts w:ascii="Arial" w:hAnsi="Arial" w:cs="Arial"/>
                <w:sz w:val="24"/>
                <w:szCs w:val="24"/>
              </w:rPr>
            </w:pPr>
            <w:r w:rsidRPr="00453B08">
              <w:rPr>
                <w:rFonts w:ascii="Arial" w:hAnsi="Arial" w:cs="Arial"/>
                <w:sz w:val="24"/>
                <w:szCs w:val="24"/>
              </w:rPr>
              <w:t>Closed</w:t>
            </w:r>
          </w:p>
        </w:tc>
        <w:tc>
          <w:tcPr>
            <w:tcW w:w="0" w:type="auto"/>
          </w:tcPr>
          <w:p w14:paraId="40B102C1" w14:textId="77777777" w:rsidR="00384802" w:rsidRPr="00453B08" w:rsidRDefault="00384802" w:rsidP="00237AC7">
            <w:pPr>
              <w:rPr>
                <w:rFonts w:ascii="Arial" w:hAnsi="Arial" w:cs="Arial"/>
                <w:sz w:val="24"/>
                <w:szCs w:val="24"/>
              </w:rPr>
            </w:pPr>
            <w:r w:rsidRPr="00453B08">
              <w:rPr>
                <w:rFonts w:ascii="Arial" w:hAnsi="Arial" w:cs="Arial"/>
                <w:sz w:val="24"/>
                <w:szCs w:val="24"/>
              </w:rPr>
              <w:t>0</w:t>
            </w:r>
          </w:p>
        </w:tc>
      </w:tr>
      <w:tr w:rsidR="00384802" w:rsidRPr="00453B08" w14:paraId="082AE9FB" w14:textId="77777777" w:rsidTr="00384802">
        <w:trPr>
          <w:cantSplit/>
          <w:trHeight w:val="383"/>
        </w:trPr>
        <w:tc>
          <w:tcPr>
            <w:tcW w:w="0" w:type="auto"/>
            <w:gridSpan w:val="6"/>
          </w:tcPr>
          <w:p w14:paraId="71DEB74D" w14:textId="40421743" w:rsidR="00384802" w:rsidRPr="00384802" w:rsidRDefault="00384802" w:rsidP="00237AC7">
            <w:pPr>
              <w:rPr>
                <w:rFonts w:ascii="Arial" w:hAnsi="Arial" w:cs="Arial"/>
                <w:b/>
                <w:sz w:val="24"/>
                <w:szCs w:val="24"/>
              </w:rPr>
            </w:pPr>
            <w:r w:rsidRPr="00384802">
              <w:rPr>
                <w:rFonts w:ascii="Arial" w:hAnsi="Arial" w:cs="Arial"/>
                <w:b/>
                <w:sz w:val="24"/>
                <w:szCs w:val="24"/>
              </w:rPr>
              <w:t>Peterborough</w:t>
            </w:r>
          </w:p>
        </w:tc>
      </w:tr>
      <w:tr w:rsidR="00384802" w:rsidRPr="00453B08" w14:paraId="14AF373B" w14:textId="77777777" w:rsidTr="00384802">
        <w:tc>
          <w:tcPr>
            <w:tcW w:w="0" w:type="auto"/>
          </w:tcPr>
          <w:p w14:paraId="736C2AE8"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Oak 1 (Female Generic adult locality ward)</w:t>
            </w:r>
          </w:p>
        </w:tc>
        <w:tc>
          <w:tcPr>
            <w:tcW w:w="0" w:type="auto"/>
          </w:tcPr>
          <w:p w14:paraId="17B70656" w14:textId="77777777" w:rsidR="00384802" w:rsidRPr="00453B08" w:rsidRDefault="00384802" w:rsidP="00237AC7">
            <w:pPr>
              <w:rPr>
                <w:rFonts w:ascii="Arial" w:hAnsi="Arial" w:cs="Arial"/>
                <w:sz w:val="24"/>
                <w:szCs w:val="24"/>
              </w:rPr>
            </w:pPr>
            <w:r w:rsidRPr="00453B08">
              <w:rPr>
                <w:rFonts w:ascii="Arial" w:hAnsi="Arial" w:cs="Arial"/>
                <w:sz w:val="24"/>
                <w:szCs w:val="24"/>
              </w:rPr>
              <w:t>24</w:t>
            </w:r>
          </w:p>
        </w:tc>
        <w:tc>
          <w:tcPr>
            <w:tcW w:w="0" w:type="auto"/>
          </w:tcPr>
          <w:p w14:paraId="637AD50D" w14:textId="77777777" w:rsidR="00384802" w:rsidRPr="00453B08" w:rsidRDefault="00384802" w:rsidP="00237AC7">
            <w:pPr>
              <w:rPr>
                <w:rFonts w:ascii="Arial" w:hAnsi="Arial" w:cs="Arial"/>
                <w:sz w:val="24"/>
                <w:szCs w:val="24"/>
              </w:rPr>
            </w:pPr>
            <w:r w:rsidRPr="00453B08">
              <w:rPr>
                <w:rFonts w:ascii="Arial" w:hAnsi="Arial" w:cs="Arial"/>
                <w:sz w:val="24"/>
                <w:szCs w:val="24"/>
              </w:rPr>
              <w:t>Oak 1 (TU – Female)</w:t>
            </w:r>
          </w:p>
        </w:tc>
        <w:tc>
          <w:tcPr>
            <w:tcW w:w="0" w:type="auto"/>
          </w:tcPr>
          <w:p w14:paraId="7A4C3C52" w14:textId="77777777" w:rsidR="00384802" w:rsidRPr="00453B08" w:rsidRDefault="00384802" w:rsidP="00237AC7">
            <w:pPr>
              <w:rPr>
                <w:rFonts w:ascii="Arial" w:hAnsi="Arial" w:cs="Arial"/>
                <w:sz w:val="24"/>
                <w:szCs w:val="24"/>
              </w:rPr>
            </w:pPr>
            <w:r w:rsidRPr="00453B08">
              <w:rPr>
                <w:rFonts w:ascii="Arial" w:hAnsi="Arial" w:cs="Arial"/>
                <w:sz w:val="24"/>
                <w:szCs w:val="24"/>
              </w:rPr>
              <w:t>16</w:t>
            </w:r>
          </w:p>
        </w:tc>
        <w:tc>
          <w:tcPr>
            <w:tcW w:w="0" w:type="auto"/>
          </w:tcPr>
          <w:p w14:paraId="59B30582" w14:textId="77777777" w:rsidR="00384802" w:rsidRPr="00453B08" w:rsidRDefault="00384802" w:rsidP="00237AC7">
            <w:pPr>
              <w:rPr>
                <w:rFonts w:ascii="Arial" w:hAnsi="Arial" w:cs="Arial"/>
                <w:sz w:val="24"/>
                <w:szCs w:val="24"/>
              </w:rPr>
            </w:pPr>
            <w:r w:rsidRPr="00453B08">
              <w:rPr>
                <w:rFonts w:ascii="Arial" w:hAnsi="Arial" w:cs="Arial"/>
                <w:sz w:val="24"/>
                <w:szCs w:val="24"/>
              </w:rPr>
              <w:t>Oak 1 (TU – Mixed)</w:t>
            </w:r>
          </w:p>
        </w:tc>
        <w:tc>
          <w:tcPr>
            <w:tcW w:w="0" w:type="auto"/>
          </w:tcPr>
          <w:p w14:paraId="43E71F79" w14:textId="77777777" w:rsidR="00384802" w:rsidRPr="00453B08" w:rsidRDefault="00384802" w:rsidP="00237AC7">
            <w:pPr>
              <w:rPr>
                <w:rFonts w:ascii="Arial" w:hAnsi="Arial" w:cs="Arial"/>
                <w:sz w:val="24"/>
                <w:szCs w:val="24"/>
              </w:rPr>
            </w:pPr>
            <w:r w:rsidRPr="00453B08">
              <w:rPr>
                <w:rFonts w:ascii="Arial" w:hAnsi="Arial" w:cs="Arial"/>
                <w:sz w:val="24"/>
                <w:szCs w:val="24"/>
              </w:rPr>
              <w:t>16</w:t>
            </w:r>
          </w:p>
        </w:tc>
      </w:tr>
      <w:tr w:rsidR="00384802" w:rsidRPr="00453B08" w14:paraId="3982B924" w14:textId="77777777" w:rsidTr="00384802">
        <w:trPr>
          <w:trHeight w:val="522"/>
        </w:trPr>
        <w:tc>
          <w:tcPr>
            <w:tcW w:w="0" w:type="auto"/>
          </w:tcPr>
          <w:p w14:paraId="4935B017"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Oak 2 (Male Generic adult locality ward)</w:t>
            </w:r>
          </w:p>
        </w:tc>
        <w:tc>
          <w:tcPr>
            <w:tcW w:w="0" w:type="auto"/>
          </w:tcPr>
          <w:p w14:paraId="2BB1311B" w14:textId="77777777" w:rsidR="00384802" w:rsidRPr="00453B08" w:rsidRDefault="00384802" w:rsidP="00237AC7">
            <w:pPr>
              <w:rPr>
                <w:rFonts w:ascii="Arial" w:hAnsi="Arial" w:cs="Arial"/>
                <w:sz w:val="24"/>
                <w:szCs w:val="24"/>
              </w:rPr>
            </w:pPr>
            <w:r w:rsidRPr="00453B08">
              <w:rPr>
                <w:rFonts w:ascii="Arial" w:hAnsi="Arial" w:cs="Arial"/>
                <w:sz w:val="24"/>
                <w:szCs w:val="24"/>
              </w:rPr>
              <w:t>24</w:t>
            </w:r>
          </w:p>
        </w:tc>
        <w:tc>
          <w:tcPr>
            <w:tcW w:w="0" w:type="auto"/>
          </w:tcPr>
          <w:p w14:paraId="47B5AEFA" w14:textId="77777777" w:rsidR="00384802" w:rsidRPr="00453B08" w:rsidRDefault="00384802" w:rsidP="00237AC7">
            <w:pPr>
              <w:rPr>
                <w:rFonts w:ascii="Arial" w:hAnsi="Arial" w:cs="Arial"/>
                <w:sz w:val="24"/>
                <w:szCs w:val="24"/>
              </w:rPr>
            </w:pPr>
            <w:r w:rsidRPr="00453B08">
              <w:rPr>
                <w:rFonts w:ascii="Arial" w:hAnsi="Arial" w:cs="Arial"/>
                <w:sz w:val="24"/>
                <w:szCs w:val="24"/>
              </w:rPr>
              <w:t>Oak 2 (TU – Male)</w:t>
            </w:r>
          </w:p>
        </w:tc>
        <w:tc>
          <w:tcPr>
            <w:tcW w:w="0" w:type="auto"/>
          </w:tcPr>
          <w:p w14:paraId="20068251" w14:textId="77777777" w:rsidR="00384802" w:rsidRPr="00453B08" w:rsidRDefault="00384802" w:rsidP="00237AC7">
            <w:pPr>
              <w:rPr>
                <w:rFonts w:ascii="Arial" w:hAnsi="Arial" w:cs="Arial"/>
                <w:sz w:val="24"/>
                <w:szCs w:val="24"/>
              </w:rPr>
            </w:pPr>
            <w:r w:rsidRPr="00453B08">
              <w:rPr>
                <w:rFonts w:ascii="Arial" w:hAnsi="Arial" w:cs="Arial"/>
                <w:sz w:val="24"/>
                <w:szCs w:val="24"/>
              </w:rPr>
              <w:t xml:space="preserve">16 </w:t>
            </w:r>
          </w:p>
        </w:tc>
        <w:tc>
          <w:tcPr>
            <w:tcW w:w="0" w:type="auto"/>
          </w:tcPr>
          <w:p w14:paraId="34C21A91" w14:textId="77777777" w:rsidR="00384802" w:rsidRPr="00453B08" w:rsidRDefault="00384802" w:rsidP="00237AC7">
            <w:pPr>
              <w:rPr>
                <w:rFonts w:ascii="Arial" w:hAnsi="Arial" w:cs="Arial"/>
                <w:sz w:val="24"/>
                <w:szCs w:val="24"/>
              </w:rPr>
            </w:pPr>
            <w:r w:rsidRPr="00453B08">
              <w:rPr>
                <w:rFonts w:ascii="Arial" w:hAnsi="Arial" w:cs="Arial"/>
                <w:sz w:val="24"/>
                <w:szCs w:val="24"/>
              </w:rPr>
              <w:t>Closed</w:t>
            </w:r>
          </w:p>
        </w:tc>
        <w:tc>
          <w:tcPr>
            <w:tcW w:w="0" w:type="auto"/>
          </w:tcPr>
          <w:p w14:paraId="15820EE9" w14:textId="77777777" w:rsidR="00384802" w:rsidRPr="00453B08" w:rsidRDefault="00384802" w:rsidP="00237AC7">
            <w:pPr>
              <w:rPr>
                <w:rFonts w:ascii="Arial" w:hAnsi="Arial" w:cs="Arial"/>
                <w:sz w:val="24"/>
                <w:szCs w:val="24"/>
              </w:rPr>
            </w:pPr>
            <w:r w:rsidRPr="00453B08">
              <w:rPr>
                <w:rFonts w:ascii="Arial" w:hAnsi="Arial" w:cs="Arial"/>
                <w:sz w:val="24"/>
                <w:szCs w:val="24"/>
              </w:rPr>
              <w:t>0</w:t>
            </w:r>
          </w:p>
        </w:tc>
      </w:tr>
      <w:tr w:rsidR="00384802" w:rsidRPr="00453B08" w14:paraId="214F5874" w14:textId="77777777" w:rsidTr="00384802">
        <w:tc>
          <w:tcPr>
            <w:tcW w:w="0" w:type="auto"/>
          </w:tcPr>
          <w:p w14:paraId="56FD92E3" w14:textId="77777777" w:rsidR="00384802" w:rsidRPr="00453B08" w:rsidRDefault="00384802" w:rsidP="00237AC7">
            <w:pPr>
              <w:rPr>
                <w:rFonts w:ascii="Arial" w:hAnsi="Arial" w:cs="Arial"/>
                <w:sz w:val="24"/>
                <w:szCs w:val="24"/>
              </w:rPr>
            </w:pPr>
          </w:p>
        </w:tc>
        <w:tc>
          <w:tcPr>
            <w:tcW w:w="0" w:type="auto"/>
          </w:tcPr>
          <w:p w14:paraId="58F8F5CA" w14:textId="77777777" w:rsidR="00384802" w:rsidRPr="00453B08" w:rsidRDefault="00384802" w:rsidP="00237AC7">
            <w:pPr>
              <w:rPr>
                <w:rFonts w:ascii="Arial" w:hAnsi="Arial" w:cs="Arial"/>
                <w:sz w:val="24"/>
                <w:szCs w:val="24"/>
              </w:rPr>
            </w:pPr>
          </w:p>
        </w:tc>
        <w:tc>
          <w:tcPr>
            <w:tcW w:w="0" w:type="auto"/>
          </w:tcPr>
          <w:p w14:paraId="61FA32BA" w14:textId="77777777" w:rsidR="00384802" w:rsidRPr="00453B08" w:rsidRDefault="00384802" w:rsidP="00237AC7">
            <w:pPr>
              <w:rPr>
                <w:rFonts w:ascii="Arial" w:hAnsi="Arial" w:cs="Arial"/>
                <w:sz w:val="24"/>
                <w:szCs w:val="24"/>
              </w:rPr>
            </w:pPr>
            <w:r w:rsidRPr="00453B08">
              <w:rPr>
                <w:rFonts w:ascii="Arial" w:hAnsi="Arial" w:cs="Arial"/>
                <w:sz w:val="24"/>
                <w:szCs w:val="24"/>
              </w:rPr>
              <w:t>Oak 3 (AU)</w:t>
            </w:r>
          </w:p>
        </w:tc>
        <w:tc>
          <w:tcPr>
            <w:tcW w:w="0" w:type="auto"/>
          </w:tcPr>
          <w:p w14:paraId="5678FC6F" w14:textId="77777777" w:rsidR="00384802" w:rsidRPr="00453B08" w:rsidRDefault="00384802" w:rsidP="00237AC7">
            <w:pPr>
              <w:rPr>
                <w:rFonts w:ascii="Arial" w:hAnsi="Arial" w:cs="Arial"/>
                <w:sz w:val="24"/>
                <w:szCs w:val="24"/>
              </w:rPr>
            </w:pPr>
            <w:r w:rsidRPr="00453B08">
              <w:rPr>
                <w:rFonts w:ascii="Arial" w:hAnsi="Arial" w:cs="Arial"/>
                <w:sz w:val="24"/>
                <w:szCs w:val="24"/>
              </w:rPr>
              <w:t>14</w:t>
            </w:r>
          </w:p>
        </w:tc>
        <w:tc>
          <w:tcPr>
            <w:tcW w:w="0" w:type="auto"/>
          </w:tcPr>
          <w:p w14:paraId="7A79199E" w14:textId="77777777" w:rsidR="00384802" w:rsidRPr="00453B08" w:rsidRDefault="00384802" w:rsidP="00237AC7">
            <w:pPr>
              <w:rPr>
                <w:rFonts w:ascii="Arial" w:hAnsi="Arial" w:cs="Arial"/>
                <w:sz w:val="24"/>
                <w:szCs w:val="24"/>
              </w:rPr>
            </w:pPr>
            <w:r w:rsidRPr="00453B08">
              <w:rPr>
                <w:rFonts w:ascii="Arial" w:hAnsi="Arial" w:cs="Arial"/>
                <w:sz w:val="24"/>
                <w:szCs w:val="24"/>
              </w:rPr>
              <w:t>Oak 3 (AU)</w:t>
            </w:r>
          </w:p>
        </w:tc>
        <w:tc>
          <w:tcPr>
            <w:tcW w:w="0" w:type="auto"/>
          </w:tcPr>
          <w:p w14:paraId="12D8C6CD" w14:textId="77777777" w:rsidR="00384802" w:rsidRPr="00453B08" w:rsidRDefault="00384802" w:rsidP="00237AC7">
            <w:pPr>
              <w:rPr>
                <w:rFonts w:ascii="Arial" w:hAnsi="Arial" w:cs="Arial"/>
                <w:sz w:val="24"/>
                <w:szCs w:val="24"/>
              </w:rPr>
            </w:pPr>
            <w:r w:rsidRPr="00453B08">
              <w:rPr>
                <w:rFonts w:ascii="Arial" w:hAnsi="Arial" w:cs="Arial"/>
                <w:sz w:val="24"/>
                <w:szCs w:val="24"/>
              </w:rPr>
              <w:t>13</w:t>
            </w:r>
          </w:p>
        </w:tc>
      </w:tr>
      <w:tr w:rsidR="00384802" w:rsidRPr="00453B08" w14:paraId="6876AD32" w14:textId="77777777" w:rsidTr="00384802">
        <w:tc>
          <w:tcPr>
            <w:tcW w:w="0" w:type="auto"/>
            <w:tcBorders>
              <w:bottom w:val="single" w:sz="4" w:space="0" w:color="auto"/>
            </w:tcBorders>
          </w:tcPr>
          <w:p w14:paraId="50574DDA"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 xml:space="preserve">Lucille Van </w:t>
            </w:r>
            <w:proofErr w:type="spellStart"/>
            <w:r w:rsidRPr="00453B08">
              <w:rPr>
                <w:rFonts w:ascii="Arial" w:hAnsi="Arial" w:cs="Arial"/>
                <w:sz w:val="24"/>
                <w:szCs w:val="24"/>
              </w:rPr>
              <w:t>Geest</w:t>
            </w:r>
            <w:proofErr w:type="spellEnd"/>
            <w:r w:rsidRPr="00453B08">
              <w:rPr>
                <w:rFonts w:ascii="Arial" w:hAnsi="Arial" w:cs="Arial"/>
                <w:sz w:val="24"/>
                <w:szCs w:val="24"/>
              </w:rPr>
              <w:t xml:space="preserve"> (Rehabilitation Unit) </w:t>
            </w:r>
          </w:p>
        </w:tc>
        <w:tc>
          <w:tcPr>
            <w:tcW w:w="0" w:type="auto"/>
            <w:tcBorders>
              <w:bottom w:val="single" w:sz="4" w:space="0" w:color="auto"/>
            </w:tcBorders>
          </w:tcPr>
          <w:p w14:paraId="4052915E" w14:textId="77777777" w:rsidR="00384802" w:rsidRPr="00453B08" w:rsidRDefault="00384802" w:rsidP="00237AC7">
            <w:pPr>
              <w:rPr>
                <w:rFonts w:ascii="Arial" w:hAnsi="Arial" w:cs="Arial"/>
                <w:sz w:val="24"/>
                <w:szCs w:val="24"/>
              </w:rPr>
            </w:pPr>
            <w:r w:rsidRPr="00453B08">
              <w:rPr>
                <w:rFonts w:ascii="Arial" w:hAnsi="Arial" w:cs="Arial"/>
                <w:sz w:val="24"/>
                <w:szCs w:val="24"/>
              </w:rPr>
              <w:t>20</w:t>
            </w:r>
          </w:p>
        </w:tc>
        <w:tc>
          <w:tcPr>
            <w:tcW w:w="0" w:type="auto"/>
            <w:tcBorders>
              <w:bottom w:val="single" w:sz="4" w:space="0" w:color="auto"/>
            </w:tcBorders>
          </w:tcPr>
          <w:p w14:paraId="3A9F8F93" w14:textId="77777777" w:rsidR="00384802" w:rsidRPr="00453B08" w:rsidRDefault="00384802" w:rsidP="00237AC7">
            <w:pPr>
              <w:rPr>
                <w:rFonts w:ascii="Arial" w:hAnsi="Arial" w:cs="Arial"/>
                <w:sz w:val="24"/>
                <w:szCs w:val="24"/>
              </w:rPr>
            </w:pPr>
            <w:r w:rsidRPr="00453B08">
              <w:rPr>
                <w:rFonts w:ascii="Arial" w:hAnsi="Arial" w:cs="Arial"/>
                <w:sz w:val="24"/>
                <w:szCs w:val="24"/>
              </w:rPr>
              <w:t>Oak 4 (RU)</w:t>
            </w:r>
          </w:p>
        </w:tc>
        <w:tc>
          <w:tcPr>
            <w:tcW w:w="0" w:type="auto"/>
            <w:tcBorders>
              <w:bottom w:val="single" w:sz="4" w:space="0" w:color="auto"/>
            </w:tcBorders>
          </w:tcPr>
          <w:p w14:paraId="1653DEBC" w14:textId="77777777" w:rsidR="00384802" w:rsidRPr="00453B08" w:rsidRDefault="00384802" w:rsidP="00237AC7">
            <w:pPr>
              <w:rPr>
                <w:rFonts w:ascii="Arial" w:hAnsi="Arial" w:cs="Arial"/>
                <w:sz w:val="24"/>
                <w:szCs w:val="24"/>
              </w:rPr>
            </w:pPr>
            <w:r w:rsidRPr="00453B08">
              <w:rPr>
                <w:rFonts w:ascii="Arial" w:hAnsi="Arial" w:cs="Arial"/>
                <w:sz w:val="24"/>
                <w:szCs w:val="24"/>
              </w:rPr>
              <w:t>14</w:t>
            </w:r>
          </w:p>
        </w:tc>
        <w:tc>
          <w:tcPr>
            <w:tcW w:w="0" w:type="auto"/>
            <w:tcBorders>
              <w:bottom w:val="single" w:sz="4" w:space="0" w:color="auto"/>
            </w:tcBorders>
          </w:tcPr>
          <w:p w14:paraId="2A948E17" w14:textId="77777777" w:rsidR="00384802" w:rsidRPr="00453B08" w:rsidRDefault="00384802" w:rsidP="00237AC7">
            <w:pPr>
              <w:rPr>
                <w:rFonts w:ascii="Arial" w:hAnsi="Arial" w:cs="Arial"/>
                <w:sz w:val="24"/>
                <w:szCs w:val="24"/>
              </w:rPr>
            </w:pPr>
            <w:r w:rsidRPr="00453B08">
              <w:rPr>
                <w:rFonts w:ascii="Arial" w:hAnsi="Arial" w:cs="Arial"/>
                <w:sz w:val="24"/>
                <w:szCs w:val="24"/>
              </w:rPr>
              <w:t>Oak 4 (RU)</w:t>
            </w:r>
          </w:p>
        </w:tc>
        <w:tc>
          <w:tcPr>
            <w:tcW w:w="0" w:type="auto"/>
            <w:tcBorders>
              <w:bottom w:val="single" w:sz="4" w:space="0" w:color="auto"/>
            </w:tcBorders>
          </w:tcPr>
          <w:p w14:paraId="201BE040" w14:textId="77777777" w:rsidR="00384802" w:rsidRPr="00453B08" w:rsidRDefault="00384802" w:rsidP="00237AC7">
            <w:pPr>
              <w:rPr>
                <w:rFonts w:ascii="Arial" w:hAnsi="Arial" w:cs="Arial"/>
                <w:sz w:val="24"/>
                <w:szCs w:val="24"/>
              </w:rPr>
            </w:pPr>
            <w:r w:rsidRPr="00453B08">
              <w:rPr>
                <w:rFonts w:ascii="Arial" w:hAnsi="Arial" w:cs="Arial"/>
                <w:sz w:val="24"/>
                <w:szCs w:val="24"/>
              </w:rPr>
              <w:t>18</w:t>
            </w:r>
          </w:p>
        </w:tc>
      </w:tr>
      <w:tr w:rsidR="00384802" w:rsidRPr="00453B08" w14:paraId="455CB2BB" w14:textId="77777777" w:rsidTr="00384802">
        <w:tc>
          <w:tcPr>
            <w:tcW w:w="0" w:type="auto"/>
            <w:tcBorders>
              <w:bottom w:val="single" w:sz="4" w:space="0" w:color="auto"/>
            </w:tcBorders>
            <w:shd w:val="clear" w:color="auto" w:fill="E2EFD9" w:themeFill="accent6" w:themeFillTint="33"/>
          </w:tcPr>
          <w:p w14:paraId="30E5914E" w14:textId="77777777" w:rsidR="00384802" w:rsidRPr="00453B08" w:rsidRDefault="00384802" w:rsidP="00384802">
            <w:pPr>
              <w:ind w:left="720"/>
              <w:rPr>
                <w:rFonts w:ascii="Arial" w:hAnsi="Arial" w:cs="Arial"/>
                <w:b/>
                <w:sz w:val="24"/>
                <w:szCs w:val="24"/>
              </w:rPr>
            </w:pPr>
            <w:r w:rsidRPr="00453B08">
              <w:rPr>
                <w:rFonts w:ascii="Arial" w:hAnsi="Arial" w:cs="Arial"/>
                <w:b/>
                <w:sz w:val="24"/>
                <w:szCs w:val="24"/>
              </w:rPr>
              <w:t xml:space="preserve">9 Wards </w:t>
            </w:r>
          </w:p>
        </w:tc>
        <w:tc>
          <w:tcPr>
            <w:tcW w:w="0" w:type="auto"/>
            <w:tcBorders>
              <w:bottom w:val="single" w:sz="4" w:space="0" w:color="auto"/>
            </w:tcBorders>
            <w:shd w:val="clear" w:color="auto" w:fill="E2EFD9" w:themeFill="accent6" w:themeFillTint="33"/>
          </w:tcPr>
          <w:p w14:paraId="720437EC" w14:textId="77777777" w:rsidR="00384802" w:rsidRPr="00453B08" w:rsidRDefault="00384802" w:rsidP="00237AC7">
            <w:pPr>
              <w:rPr>
                <w:rFonts w:ascii="Arial" w:hAnsi="Arial" w:cs="Arial"/>
                <w:b/>
                <w:sz w:val="24"/>
                <w:szCs w:val="24"/>
              </w:rPr>
            </w:pPr>
            <w:r w:rsidRPr="00453B08">
              <w:rPr>
                <w:rFonts w:ascii="Arial" w:hAnsi="Arial" w:cs="Arial"/>
                <w:b/>
                <w:sz w:val="24"/>
                <w:szCs w:val="24"/>
              </w:rPr>
              <w:t>166</w:t>
            </w:r>
          </w:p>
        </w:tc>
        <w:tc>
          <w:tcPr>
            <w:tcW w:w="0" w:type="auto"/>
            <w:tcBorders>
              <w:bottom w:val="single" w:sz="4" w:space="0" w:color="auto"/>
            </w:tcBorders>
            <w:shd w:val="clear" w:color="auto" w:fill="E2EFD9" w:themeFill="accent6" w:themeFillTint="33"/>
          </w:tcPr>
          <w:p w14:paraId="26E249BA" w14:textId="77777777" w:rsidR="00384802" w:rsidRPr="00453B08" w:rsidRDefault="00384802" w:rsidP="00237AC7">
            <w:pPr>
              <w:rPr>
                <w:rFonts w:ascii="Arial" w:hAnsi="Arial" w:cs="Arial"/>
                <w:b/>
                <w:sz w:val="24"/>
                <w:szCs w:val="24"/>
              </w:rPr>
            </w:pPr>
            <w:r w:rsidRPr="00453B08">
              <w:rPr>
                <w:rFonts w:ascii="Arial" w:hAnsi="Arial" w:cs="Arial"/>
                <w:b/>
                <w:sz w:val="24"/>
                <w:szCs w:val="24"/>
              </w:rPr>
              <w:t>7 Wards</w:t>
            </w:r>
          </w:p>
        </w:tc>
        <w:tc>
          <w:tcPr>
            <w:tcW w:w="0" w:type="auto"/>
            <w:tcBorders>
              <w:bottom w:val="single" w:sz="4" w:space="0" w:color="auto"/>
            </w:tcBorders>
            <w:shd w:val="clear" w:color="auto" w:fill="E2EFD9" w:themeFill="accent6" w:themeFillTint="33"/>
          </w:tcPr>
          <w:p w14:paraId="52333B1D" w14:textId="77777777" w:rsidR="00384802" w:rsidRPr="00453B08" w:rsidRDefault="00384802" w:rsidP="00237AC7">
            <w:pPr>
              <w:rPr>
                <w:rFonts w:ascii="Arial" w:hAnsi="Arial" w:cs="Arial"/>
                <w:b/>
                <w:sz w:val="24"/>
                <w:szCs w:val="24"/>
              </w:rPr>
            </w:pPr>
            <w:r w:rsidRPr="00453B08">
              <w:rPr>
                <w:rFonts w:ascii="Arial" w:hAnsi="Arial" w:cs="Arial"/>
                <w:b/>
                <w:sz w:val="24"/>
                <w:szCs w:val="24"/>
              </w:rPr>
              <w:t>106</w:t>
            </w:r>
          </w:p>
        </w:tc>
        <w:tc>
          <w:tcPr>
            <w:tcW w:w="0" w:type="auto"/>
            <w:tcBorders>
              <w:bottom w:val="single" w:sz="4" w:space="0" w:color="auto"/>
            </w:tcBorders>
            <w:shd w:val="clear" w:color="auto" w:fill="E2EFD9" w:themeFill="accent6" w:themeFillTint="33"/>
          </w:tcPr>
          <w:p w14:paraId="126F9983" w14:textId="77777777" w:rsidR="00384802" w:rsidRPr="00453B08" w:rsidRDefault="00384802" w:rsidP="00237AC7">
            <w:pPr>
              <w:rPr>
                <w:rFonts w:ascii="Arial" w:hAnsi="Arial" w:cs="Arial"/>
                <w:b/>
                <w:sz w:val="24"/>
                <w:szCs w:val="24"/>
              </w:rPr>
            </w:pPr>
            <w:r w:rsidRPr="00453B08">
              <w:rPr>
                <w:rFonts w:ascii="Arial" w:hAnsi="Arial" w:cs="Arial"/>
                <w:b/>
                <w:sz w:val="24"/>
                <w:szCs w:val="24"/>
              </w:rPr>
              <w:t>6 Wards</w:t>
            </w:r>
          </w:p>
        </w:tc>
        <w:tc>
          <w:tcPr>
            <w:tcW w:w="0" w:type="auto"/>
            <w:tcBorders>
              <w:bottom w:val="single" w:sz="4" w:space="0" w:color="auto"/>
            </w:tcBorders>
            <w:shd w:val="clear" w:color="auto" w:fill="E2EFD9" w:themeFill="accent6" w:themeFillTint="33"/>
          </w:tcPr>
          <w:p w14:paraId="5E60DF20" w14:textId="77777777" w:rsidR="00384802" w:rsidRPr="00453B08" w:rsidRDefault="00384802" w:rsidP="00237AC7">
            <w:pPr>
              <w:rPr>
                <w:rFonts w:ascii="Arial" w:hAnsi="Arial" w:cs="Arial"/>
                <w:b/>
                <w:sz w:val="24"/>
                <w:szCs w:val="24"/>
              </w:rPr>
            </w:pPr>
            <w:r w:rsidRPr="00453B08">
              <w:rPr>
                <w:rFonts w:ascii="Arial" w:hAnsi="Arial" w:cs="Arial"/>
                <w:b/>
                <w:sz w:val="24"/>
                <w:szCs w:val="24"/>
              </w:rPr>
              <w:t>93</w:t>
            </w:r>
          </w:p>
        </w:tc>
      </w:tr>
      <w:tr w:rsidR="00384802" w:rsidRPr="00453B08" w14:paraId="3F8B19A4" w14:textId="77777777" w:rsidTr="00384802">
        <w:trPr>
          <w:trHeight w:val="359"/>
        </w:trPr>
        <w:tc>
          <w:tcPr>
            <w:tcW w:w="0" w:type="auto"/>
            <w:shd w:val="clear" w:color="auto" w:fill="D9E2F3" w:themeFill="accent5" w:themeFillTint="33"/>
          </w:tcPr>
          <w:p w14:paraId="3B6C5854" w14:textId="77777777" w:rsidR="00384802" w:rsidRPr="00E1307D" w:rsidRDefault="00384802" w:rsidP="00237AC7">
            <w:pPr>
              <w:rPr>
                <w:rFonts w:ascii="Arial" w:hAnsi="Arial" w:cs="Arial"/>
                <w:b/>
                <w:sz w:val="24"/>
                <w:szCs w:val="24"/>
              </w:rPr>
            </w:pPr>
            <w:r w:rsidRPr="00E1307D">
              <w:rPr>
                <w:rFonts w:ascii="Arial" w:hAnsi="Arial" w:cs="Arial"/>
                <w:b/>
                <w:sz w:val="24"/>
                <w:szCs w:val="24"/>
              </w:rPr>
              <w:t>Long term out of area placements</w:t>
            </w:r>
          </w:p>
        </w:tc>
        <w:tc>
          <w:tcPr>
            <w:tcW w:w="0" w:type="auto"/>
            <w:shd w:val="clear" w:color="auto" w:fill="D9E2F3" w:themeFill="accent5" w:themeFillTint="33"/>
          </w:tcPr>
          <w:p w14:paraId="468569B4" w14:textId="77777777" w:rsidR="00384802" w:rsidRPr="00E1307D" w:rsidRDefault="00384802" w:rsidP="00237AC7">
            <w:pPr>
              <w:rPr>
                <w:rFonts w:ascii="Arial" w:hAnsi="Arial" w:cs="Arial"/>
                <w:b/>
                <w:sz w:val="24"/>
                <w:szCs w:val="24"/>
              </w:rPr>
            </w:pPr>
            <w:r w:rsidRPr="00E1307D">
              <w:rPr>
                <w:rFonts w:ascii="Arial" w:hAnsi="Arial" w:cs="Arial"/>
                <w:b/>
                <w:sz w:val="24"/>
                <w:szCs w:val="24"/>
              </w:rPr>
              <w:t>&gt;75</w:t>
            </w:r>
          </w:p>
        </w:tc>
        <w:tc>
          <w:tcPr>
            <w:tcW w:w="0" w:type="auto"/>
            <w:shd w:val="clear" w:color="auto" w:fill="D9E2F3" w:themeFill="accent5" w:themeFillTint="33"/>
          </w:tcPr>
          <w:p w14:paraId="0734FA68" w14:textId="77777777" w:rsidR="00384802" w:rsidRPr="00E1307D" w:rsidRDefault="00384802" w:rsidP="00237AC7">
            <w:pPr>
              <w:rPr>
                <w:rFonts w:ascii="Arial" w:hAnsi="Arial" w:cs="Arial"/>
                <w:b/>
                <w:sz w:val="24"/>
                <w:szCs w:val="24"/>
              </w:rPr>
            </w:pPr>
          </w:p>
        </w:tc>
        <w:tc>
          <w:tcPr>
            <w:tcW w:w="0" w:type="auto"/>
            <w:shd w:val="clear" w:color="auto" w:fill="D9E2F3" w:themeFill="accent5" w:themeFillTint="33"/>
          </w:tcPr>
          <w:p w14:paraId="16771D5C" w14:textId="77777777" w:rsidR="00384802" w:rsidRPr="00E1307D" w:rsidRDefault="00384802" w:rsidP="00237AC7">
            <w:pPr>
              <w:rPr>
                <w:rFonts w:ascii="Arial" w:hAnsi="Arial" w:cs="Arial"/>
                <w:b/>
                <w:sz w:val="24"/>
                <w:szCs w:val="24"/>
              </w:rPr>
            </w:pPr>
          </w:p>
        </w:tc>
        <w:tc>
          <w:tcPr>
            <w:tcW w:w="0" w:type="auto"/>
            <w:shd w:val="clear" w:color="auto" w:fill="D9E2F3" w:themeFill="accent5" w:themeFillTint="33"/>
          </w:tcPr>
          <w:p w14:paraId="72AE0106" w14:textId="77777777" w:rsidR="00384802" w:rsidRPr="00E1307D" w:rsidRDefault="00384802" w:rsidP="00237AC7">
            <w:pPr>
              <w:rPr>
                <w:rFonts w:ascii="Arial" w:hAnsi="Arial" w:cs="Arial"/>
                <w:b/>
                <w:sz w:val="24"/>
                <w:szCs w:val="24"/>
              </w:rPr>
            </w:pPr>
          </w:p>
        </w:tc>
        <w:tc>
          <w:tcPr>
            <w:tcW w:w="0" w:type="auto"/>
            <w:shd w:val="clear" w:color="auto" w:fill="D9E2F3" w:themeFill="accent5" w:themeFillTint="33"/>
          </w:tcPr>
          <w:p w14:paraId="186A42A3" w14:textId="77777777" w:rsidR="00384802" w:rsidRPr="00E1307D" w:rsidRDefault="00384802" w:rsidP="00237AC7">
            <w:pPr>
              <w:rPr>
                <w:rFonts w:ascii="Arial" w:hAnsi="Arial" w:cs="Arial"/>
                <w:b/>
                <w:sz w:val="24"/>
                <w:szCs w:val="24"/>
              </w:rPr>
            </w:pPr>
            <w:r w:rsidRPr="00E1307D">
              <w:rPr>
                <w:rFonts w:ascii="Arial" w:hAnsi="Arial" w:cs="Arial"/>
                <w:b/>
                <w:sz w:val="24"/>
                <w:szCs w:val="24"/>
              </w:rPr>
              <w:t>&lt;2</w:t>
            </w:r>
          </w:p>
        </w:tc>
      </w:tr>
      <w:tr w:rsidR="00384802" w:rsidRPr="00453B08" w14:paraId="5E75A638" w14:textId="77777777" w:rsidTr="00384802">
        <w:trPr>
          <w:trHeight w:val="322"/>
        </w:trPr>
        <w:tc>
          <w:tcPr>
            <w:tcW w:w="0" w:type="auto"/>
            <w:gridSpan w:val="6"/>
          </w:tcPr>
          <w:p w14:paraId="43F66461" w14:textId="2E6F1403" w:rsidR="00384802" w:rsidRPr="00453B08" w:rsidRDefault="00384802" w:rsidP="00237AC7">
            <w:pPr>
              <w:rPr>
                <w:rFonts w:ascii="Arial" w:hAnsi="Arial" w:cs="Arial"/>
                <w:sz w:val="24"/>
                <w:szCs w:val="24"/>
              </w:rPr>
            </w:pPr>
            <w:r w:rsidRPr="00384802">
              <w:rPr>
                <w:rFonts w:ascii="Arial" w:hAnsi="Arial" w:cs="Arial"/>
                <w:b/>
                <w:sz w:val="24"/>
                <w:szCs w:val="24"/>
              </w:rPr>
              <w:t>Specialist Wards</w:t>
            </w:r>
            <w:r>
              <w:rPr>
                <w:rFonts w:ascii="Arial" w:hAnsi="Arial" w:cs="Arial"/>
                <w:sz w:val="24"/>
                <w:szCs w:val="24"/>
              </w:rPr>
              <w:t xml:space="preserve"> (beds used regionally and not just for CPFT catchment) </w:t>
            </w:r>
          </w:p>
        </w:tc>
      </w:tr>
      <w:tr w:rsidR="00384802" w:rsidRPr="00453B08" w14:paraId="577AA6DC" w14:textId="77777777" w:rsidTr="00384802">
        <w:trPr>
          <w:trHeight w:val="556"/>
        </w:trPr>
        <w:tc>
          <w:tcPr>
            <w:tcW w:w="0" w:type="auto"/>
          </w:tcPr>
          <w:p w14:paraId="7873FE2D"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Male Psychiatric Intensive Care Unit (PICU)</w:t>
            </w:r>
          </w:p>
        </w:tc>
        <w:tc>
          <w:tcPr>
            <w:tcW w:w="0" w:type="auto"/>
          </w:tcPr>
          <w:p w14:paraId="14EAF15F" w14:textId="77777777" w:rsidR="00384802" w:rsidRPr="00453B08" w:rsidRDefault="00384802" w:rsidP="00237AC7">
            <w:pPr>
              <w:rPr>
                <w:rFonts w:ascii="Arial" w:hAnsi="Arial" w:cs="Arial"/>
                <w:sz w:val="24"/>
                <w:szCs w:val="24"/>
              </w:rPr>
            </w:pPr>
            <w:r w:rsidRPr="00453B08">
              <w:rPr>
                <w:rFonts w:ascii="Arial" w:hAnsi="Arial" w:cs="Arial"/>
                <w:sz w:val="24"/>
                <w:szCs w:val="24"/>
              </w:rPr>
              <w:t>6</w:t>
            </w:r>
          </w:p>
        </w:tc>
        <w:tc>
          <w:tcPr>
            <w:tcW w:w="0" w:type="auto"/>
          </w:tcPr>
          <w:p w14:paraId="143A8814" w14:textId="77777777" w:rsidR="00384802" w:rsidRPr="00453B08" w:rsidRDefault="00384802" w:rsidP="00237AC7">
            <w:pPr>
              <w:rPr>
                <w:rFonts w:ascii="Arial" w:hAnsi="Arial" w:cs="Arial"/>
                <w:sz w:val="24"/>
                <w:szCs w:val="24"/>
              </w:rPr>
            </w:pPr>
          </w:p>
        </w:tc>
        <w:tc>
          <w:tcPr>
            <w:tcW w:w="0" w:type="auto"/>
          </w:tcPr>
          <w:p w14:paraId="24833472" w14:textId="77777777" w:rsidR="00384802" w:rsidRPr="00453B08" w:rsidRDefault="00384802" w:rsidP="00237AC7">
            <w:pPr>
              <w:rPr>
                <w:rFonts w:ascii="Arial" w:hAnsi="Arial" w:cs="Arial"/>
                <w:sz w:val="24"/>
                <w:szCs w:val="24"/>
              </w:rPr>
            </w:pPr>
            <w:r w:rsidRPr="00453B08">
              <w:rPr>
                <w:rFonts w:ascii="Arial" w:hAnsi="Arial" w:cs="Arial"/>
                <w:sz w:val="24"/>
                <w:szCs w:val="24"/>
              </w:rPr>
              <w:t>6</w:t>
            </w:r>
          </w:p>
        </w:tc>
        <w:tc>
          <w:tcPr>
            <w:tcW w:w="0" w:type="auto"/>
          </w:tcPr>
          <w:p w14:paraId="587FB056" w14:textId="77777777" w:rsidR="00384802" w:rsidRPr="00453B08" w:rsidRDefault="00384802" w:rsidP="00237AC7">
            <w:pPr>
              <w:rPr>
                <w:rFonts w:ascii="Arial" w:hAnsi="Arial" w:cs="Arial"/>
                <w:sz w:val="24"/>
                <w:szCs w:val="24"/>
              </w:rPr>
            </w:pPr>
          </w:p>
        </w:tc>
        <w:tc>
          <w:tcPr>
            <w:tcW w:w="0" w:type="auto"/>
          </w:tcPr>
          <w:p w14:paraId="359CB28D" w14:textId="77777777" w:rsidR="00384802" w:rsidRPr="00453B08" w:rsidRDefault="00384802" w:rsidP="00237AC7">
            <w:pPr>
              <w:rPr>
                <w:rFonts w:ascii="Arial" w:hAnsi="Arial" w:cs="Arial"/>
                <w:sz w:val="24"/>
                <w:szCs w:val="24"/>
              </w:rPr>
            </w:pPr>
            <w:r w:rsidRPr="00453B08">
              <w:rPr>
                <w:rFonts w:ascii="Arial" w:hAnsi="Arial" w:cs="Arial"/>
                <w:sz w:val="24"/>
                <w:szCs w:val="24"/>
              </w:rPr>
              <w:t>6</w:t>
            </w:r>
          </w:p>
        </w:tc>
      </w:tr>
      <w:tr w:rsidR="00384802" w:rsidRPr="00453B08" w14:paraId="0C09AE95" w14:textId="77777777" w:rsidTr="00384802">
        <w:trPr>
          <w:trHeight w:val="285"/>
        </w:trPr>
        <w:tc>
          <w:tcPr>
            <w:tcW w:w="0" w:type="auto"/>
          </w:tcPr>
          <w:p w14:paraId="5E86E3D0"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Learning Disability</w:t>
            </w:r>
          </w:p>
        </w:tc>
        <w:tc>
          <w:tcPr>
            <w:tcW w:w="0" w:type="auto"/>
          </w:tcPr>
          <w:p w14:paraId="77DE79C7" w14:textId="77777777" w:rsidR="00384802" w:rsidRPr="00453B08" w:rsidRDefault="00384802" w:rsidP="00237AC7">
            <w:pPr>
              <w:rPr>
                <w:rFonts w:ascii="Arial" w:hAnsi="Arial" w:cs="Arial"/>
                <w:sz w:val="24"/>
                <w:szCs w:val="24"/>
              </w:rPr>
            </w:pPr>
            <w:r w:rsidRPr="00453B08">
              <w:rPr>
                <w:rFonts w:ascii="Arial" w:hAnsi="Arial" w:cs="Arial"/>
                <w:sz w:val="24"/>
                <w:szCs w:val="24"/>
              </w:rPr>
              <w:t>16</w:t>
            </w:r>
          </w:p>
        </w:tc>
        <w:tc>
          <w:tcPr>
            <w:tcW w:w="0" w:type="auto"/>
          </w:tcPr>
          <w:p w14:paraId="2CF2B19E" w14:textId="77777777" w:rsidR="00384802" w:rsidRPr="00453B08" w:rsidRDefault="00384802" w:rsidP="00237AC7">
            <w:pPr>
              <w:rPr>
                <w:rFonts w:ascii="Arial" w:hAnsi="Arial" w:cs="Arial"/>
                <w:sz w:val="24"/>
                <w:szCs w:val="24"/>
              </w:rPr>
            </w:pPr>
          </w:p>
        </w:tc>
        <w:tc>
          <w:tcPr>
            <w:tcW w:w="0" w:type="auto"/>
          </w:tcPr>
          <w:p w14:paraId="7594CAA5" w14:textId="77777777" w:rsidR="00384802" w:rsidRPr="00453B08" w:rsidRDefault="00384802" w:rsidP="00237AC7">
            <w:pPr>
              <w:rPr>
                <w:rFonts w:ascii="Arial" w:hAnsi="Arial" w:cs="Arial"/>
                <w:sz w:val="24"/>
                <w:szCs w:val="24"/>
              </w:rPr>
            </w:pPr>
            <w:r w:rsidRPr="00453B08">
              <w:rPr>
                <w:rFonts w:ascii="Arial" w:hAnsi="Arial" w:cs="Arial"/>
                <w:sz w:val="24"/>
                <w:szCs w:val="24"/>
              </w:rPr>
              <w:t>16</w:t>
            </w:r>
          </w:p>
        </w:tc>
        <w:tc>
          <w:tcPr>
            <w:tcW w:w="0" w:type="auto"/>
          </w:tcPr>
          <w:p w14:paraId="682F0A62" w14:textId="77777777" w:rsidR="00384802" w:rsidRPr="00453B08" w:rsidRDefault="00384802" w:rsidP="00237AC7">
            <w:pPr>
              <w:rPr>
                <w:rFonts w:ascii="Arial" w:hAnsi="Arial" w:cs="Arial"/>
                <w:sz w:val="24"/>
                <w:szCs w:val="24"/>
              </w:rPr>
            </w:pPr>
          </w:p>
        </w:tc>
        <w:tc>
          <w:tcPr>
            <w:tcW w:w="0" w:type="auto"/>
          </w:tcPr>
          <w:p w14:paraId="6FAE47E9" w14:textId="77777777" w:rsidR="00384802" w:rsidRPr="00453B08" w:rsidRDefault="00384802" w:rsidP="00237AC7">
            <w:pPr>
              <w:rPr>
                <w:rFonts w:ascii="Arial" w:hAnsi="Arial" w:cs="Arial"/>
                <w:sz w:val="24"/>
                <w:szCs w:val="24"/>
              </w:rPr>
            </w:pPr>
            <w:r w:rsidRPr="00453B08">
              <w:rPr>
                <w:rFonts w:ascii="Arial" w:hAnsi="Arial" w:cs="Arial"/>
                <w:sz w:val="24"/>
                <w:szCs w:val="24"/>
              </w:rPr>
              <w:t>10</w:t>
            </w:r>
          </w:p>
        </w:tc>
      </w:tr>
      <w:tr w:rsidR="00384802" w:rsidRPr="00453B08" w14:paraId="0BF84119" w14:textId="77777777" w:rsidTr="00384802">
        <w:trPr>
          <w:trHeight w:val="293"/>
        </w:trPr>
        <w:tc>
          <w:tcPr>
            <w:tcW w:w="0" w:type="auto"/>
          </w:tcPr>
          <w:p w14:paraId="15F4299A"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Personality Disorder</w:t>
            </w:r>
          </w:p>
        </w:tc>
        <w:tc>
          <w:tcPr>
            <w:tcW w:w="0" w:type="auto"/>
          </w:tcPr>
          <w:p w14:paraId="52ECC0F3" w14:textId="77777777" w:rsidR="00384802" w:rsidRPr="00453B08" w:rsidRDefault="00384802" w:rsidP="00237AC7">
            <w:pPr>
              <w:rPr>
                <w:rFonts w:ascii="Arial" w:hAnsi="Arial" w:cs="Arial"/>
                <w:sz w:val="24"/>
                <w:szCs w:val="24"/>
              </w:rPr>
            </w:pPr>
            <w:r w:rsidRPr="00453B08">
              <w:rPr>
                <w:rFonts w:ascii="Arial" w:hAnsi="Arial" w:cs="Arial"/>
                <w:sz w:val="24"/>
                <w:szCs w:val="24"/>
              </w:rPr>
              <w:t>12</w:t>
            </w:r>
          </w:p>
        </w:tc>
        <w:tc>
          <w:tcPr>
            <w:tcW w:w="0" w:type="auto"/>
          </w:tcPr>
          <w:p w14:paraId="5FB31978" w14:textId="77777777" w:rsidR="00384802" w:rsidRPr="00453B08" w:rsidRDefault="00384802" w:rsidP="00237AC7">
            <w:pPr>
              <w:rPr>
                <w:rFonts w:ascii="Arial" w:hAnsi="Arial" w:cs="Arial"/>
                <w:sz w:val="24"/>
                <w:szCs w:val="24"/>
              </w:rPr>
            </w:pPr>
          </w:p>
        </w:tc>
        <w:tc>
          <w:tcPr>
            <w:tcW w:w="0" w:type="auto"/>
          </w:tcPr>
          <w:p w14:paraId="74E4FFB6" w14:textId="77777777" w:rsidR="00384802" w:rsidRPr="00453B08" w:rsidRDefault="00384802" w:rsidP="00237AC7">
            <w:pPr>
              <w:rPr>
                <w:rFonts w:ascii="Arial" w:hAnsi="Arial" w:cs="Arial"/>
                <w:sz w:val="24"/>
                <w:szCs w:val="24"/>
              </w:rPr>
            </w:pPr>
            <w:r w:rsidRPr="00453B08">
              <w:rPr>
                <w:rFonts w:ascii="Arial" w:hAnsi="Arial" w:cs="Arial"/>
                <w:sz w:val="24"/>
                <w:szCs w:val="24"/>
              </w:rPr>
              <w:t>12</w:t>
            </w:r>
          </w:p>
        </w:tc>
        <w:tc>
          <w:tcPr>
            <w:tcW w:w="0" w:type="auto"/>
          </w:tcPr>
          <w:p w14:paraId="1032D145" w14:textId="77777777" w:rsidR="00384802" w:rsidRPr="00453B08" w:rsidRDefault="00384802" w:rsidP="00237AC7">
            <w:pPr>
              <w:rPr>
                <w:rFonts w:ascii="Arial" w:hAnsi="Arial" w:cs="Arial"/>
                <w:sz w:val="24"/>
                <w:szCs w:val="24"/>
              </w:rPr>
            </w:pPr>
          </w:p>
        </w:tc>
        <w:tc>
          <w:tcPr>
            <w:tcW w:w="0" w:type="auto"/>
          </w:tcPr>
          <w:p w14:paraId="08930A21" w14:textId="77777777" w:rsidR="00384802" w:rsidRPr="00453B08" w:rsidRDefault="00384802" w:rsidP="00237AC7">
            <w:pPr>
              <w:rPr>
                <w:rFonts w:ascii="Arial" w:hAnsi="Arial" w:cs="Arial"/>
                <w:sz w:val="24"/>
                <w:szCs w:val="24"/>
              </w:rPr>
            </w:pPr>
            <w:r w:rsidRPr="00453B08">
              <w:rPr>
                <w:rFonts w:ascii="Arial" w:hAnsi="Arial" w:cs="Arial"/>
                <w:sz w:val="24"/>
                <w:szCs w:val="24"/>
              </w:rPr>
              <w:t>12</w:t>
            </w:r>
          </w:p>
        </w:tc>
      </w:tr>
      <w:tr w:rsidR="00384802" w:rsidRPr="00453B08" w14:paraId="229B71DB" w14:textId="77777777" w:rsidTr="00384802">
        <w:trPr>
          <w:trHeight w:val="273"/>
        </w:trPr>
        <w:tc>
          <w:tcPr>
            <w:tcW w:w="0" w:type="auto"/>
          </w:tcPr>
          <w:p w14:paraId="0FEF5B9B"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 xml:space="preserve">Eating Disorder </w:t>
            </w:r>
          </w:p>
        </w:tc>
        <w:tc>
          <w:tcPr>
            <w:tcW w:w="0" w:type="auto"/>
          </w:tcPr>
          <w:p w14:paraId="6C99F7B0" w14:textId="77777777" w:rsidR="00384802" w:rsidRPr="00453B08" w:rsidRDefault="00384802" w:rsidP="00237AC7">
            <w:pPr>
              <w:rPr>
                <w:rFonts w:ascii="Arial" w:hAnsi="Arial" w:cs="Arial"/>
                <w:sz w:val="24"/>
                <w:szCs w:val="24"/>
              </w:rPr>
            </w:pPr>
            <w:r w:rsidRPr="00453B08">
              <w:rPr>
                <w:rFonts w:ascii="Arial" w:hAnsi="Arial" w:cs="Arial"/>
                <w:sz w:val="24"/>
                <w:szCs w:val="24"/>
              </w:rPr>
              <w:t>14</w:t>
            </w:r>
          </w:p>
        </w:tc>
        <w:tc>
          <w:tcPr>
            <w:tcW w:w="0" w:type="auto"/>
          </w:tcPr>
          <w:p w14:paraId="69C0057C" w14:textId="77777777" w:rsidR="00384802" w:rsidRPr="00453B08" w:rsidRDefault="00384802" w:rsidP="00237AC7">
            <w:pPr>
              <w:rPr>
                <w:rFonts w:ascii="Arial" w:hAnsi="Arial" w:cs="Arial"/>
                <w:sz w:val="24"/>
                <w:szCs w:val="24"/>
              </w:rPr>
            </w:pPr>
          </w:p>
        </w:tc>
        <w:tc>
          <w:tcPr>
            <w:tcW w:w="0" w:type="auto"/>
          </w:tcPr>
          <w:p w14:paraId="069F4B47" w14:textId="77777777" w:rsidR="00384802" w:rsidRPr="00453B08" w:rsidRDefault="00384802" w:rsidP="00237AC7">
            <w:pPr>
              <w:rPr>
                <w:rFonts w:ascii="Arial" w:hAnsi="Arial" w:cs="Arial"/>
                <w:sz w:val="24"/>
                <w:szCs w:val="24"/>
              </w:rPr>
            </w:pPr>
            <w:r w:rsidRPr="00453B08">
              <w:rPr>
                <w:rFonts w:ascii="Arial" w:hAnsi="Arial" w:cs="Arial"/>
                <w:sz w:val="24"/>
                <w:szCs w:val="24"/>
              </w:rPr>
              <w:t>14</w:t>
            </w:r>
          </w:p>
        </w:tc>
        <w:tc>
          <w:tcPr>
            <w:tcW w:w="0" w:type="auto"/>
          </w:tcPr>
          <w:p w14:paraId="2817A57B" w14:textId="77777777" w:rsidR="00384802" w:rsidRPr="00453B08" w:rsidRDefault="00384802" w:rsidP="00237AC7">
            <w:pPr>
              <w:rPr>
                <w:rFonts w:ascii="Arial" w:hAnsi="Arial" w:cs="Arial"/>
                <w:sz w:val="24"/>
                <w:szCs w:val="24"/>
              </w:rPr>
            </w:pPr>
          </w:p>
        </w:tc>
        <w:tc>
          <w:tcPr>
            <w:tcW w:w="0" w:type="auto"/>
          </w:tcPr>
          <w:p w14:paraId="2E342C7D" w14:textId="77777777" w:rsidR="00384802" w:rsidRPr="00453B08" w:rsidRDefault="00384802" w:rsidP="00237AC7">
            <w:pPr>
              <w:rPr>
                <w:rFonts w:ascii="Arial" w:hAnsi="Arial" w:cs="Arial"/>
                <w:sz w:val="24"/>
                <w:szCs w:val="24"/>
              </w:rPr>
            </w:pPr>
            <w:r w:rsidRPr="00453B08">
              <w:rPr>
                <w:rFonts w:ascii="Arial" w:hAnsi="Arial" w:cs="Arial"/>
                <w:sz w:val="24"/>
                <w:szCs w:val="24"/>
              </w:rPr>
              <w:t>14</w:t>
            </w:r>
          </w:p>
        </w:tc>
      </w:tr>
      <w:tr w:rsidR="00384802" w:rsidRPr="00453B08" w14:paraId="5A43D7C0" w14:textId="77777777" w:rsidTr="00384802">
        <w:trPr>
          <w:trHeight w:val="274"/>
        </w:trPr>
        <w:tc>
          <w:tcPr>
            <w:tcW w:w="0" w:type="auto"/>
          </w:tcPr>
          <w:p w14:paraId="7DB687EF" w14:textId="77777777" w:rsidR="00384802" w:rsidRPr="00453B08" w:rsidRDefault="00384802" w:rsidP="00384802">
            <w:pPr>
              <w:ind w:left="720"/>
              <w:rPr>
                <w:rFonts w:ascii="Arial" w:hAnsi="Arial" w:cs="Arial"/>
                <w:sz w:val="24"/>
                <w:szCs w:val="24"/>
              </w:rPr>
            </w:pPr>
            <w:r w:rsidRPr="00453B08">
              <w:rPr>
                <w:rFonts w:ascii="Arial" w:hAnsi="Arial" w:cs="Arial"/>
                <w:sz w:val="24"/>
                <w:szCs w:val="24"/>
              </w:rPr>
              <w:t xml:space="preserve">Low Secure </w:t>
            </w:r>
          </w:p>
        </w:tc>
        <w:tc>
          <w:tcPr>
            <w:tcW w:w="0" w:type="auto"/>
          </w:tcPr>
          <w:p w14:paraId="5E89CCE4" w14:textId="77777777" w:rsidR="00384802" w:rsidRPr="00453B08" w:rsidRDefault="00384802" w:rsidP="00237AC7">
            <w:pPr>
              <w:rPr>
                <w:rFonts w:ascii="Arial" w:hAnsi="Arial" w:cs="Arial"/>
                <w:sz w:val="24"/>
                <w:szCs w:val="24"/>
              </w:rPr>
            </w:pPr>
            <w:r w:rsidRPr="00453B08">
              <w:rPr>
                <w:rFonts w:ascii="Arial" w:hAnsi="Arial" w:cs="Arial"/>
                <w:sz w:val="24"/>
                <w:szCs w:val="24"/>
              </w:rPr>
              <w:t>20</w:t>
            </w:r>
          </w:p>
        </w:tc>
        <w:tc>
          <w:tcPr>
            <w:tcW w:w="0" w:type="auto"/>
          </w:tcPr>
          <w:p w14:paraId="67862469" w14:textId="77777777" w:rsidR="00384802" w:rsidRPr="00453B08" w:rsidRDefault="00384802" w:rsidP="00237AC7">
            <w:pPr>
              <w:rPr>
                <w:rFonts w:ascii="Arial" w:hAnsi="Arial" w:cs="Arial"/>
                <w:sz w:val="24"/>
                <w:szCs w:val="24"/>
              </w:rPr>
            </w:pPr>
          </w:p>
        </w:tc>
        <w:tc>
          <w:tcPr>
            <w:tcW w:w="0" w:type="auto"/>
          </w:tcPr>
          <w:p w14:paraId="202FCB54" w14:textId="77777777" w:rsidR="00384802" w:rsidRPr="00453B08" w:rsidRDefault="00384802" w:rsidP="00237AC7">
            <w:pPr>
              <w:rPr>
                <w:rFonts w:ascii="Arial" w:hAnsi="Arial" w:cs="Arial"/>
                <w:sz w:val="24"/>
                <w:szCs w:val="24"/>
              </w:rPr>
            </w:pPr>
            <w:r w:rsidRPr="00453B08">
              <w:rPr>
                <w:rFonts w:ascii="Arial" w:hAnsi="Arial" w:cs="Arial"/>
                <w:sz w:val="24"/>
                <w:szCs w:val="24"/>
              </w:rPr>
              <w:t>20</w:t>
            </w:r>
          </w:p>
        </w:tc>
        <w:tc>
          <w:tcPr>
            <w:tcW w:w="0" w:type="auto"/>
          </w:tcPr>
          <w:p w14:paraId="649820AB" w14:textId="77777777" w:rsidR="00384802" w:rsidRPr="00453B08" w:rsidRDefault="00384802" w:rsidP="00237AC7">
            <w:pPr>
              <w:rPr>
                <w:rFonts w:ascii="Arial" w:hAnsi="Arial" w:cs="Arial"/>
                <w:sz w:val="24"/>
                <w:szCs w:val="24"/>
              </w:rPr>
            </w:pPr>
          </w:p>
        </w:tc>
        <w:tc>
          <w:tcPr>
            <w:tcW w:w="0" w:type="auto"/>
          </w:tcPr>
          <w:p w14:paraId="3B2A2114" w14:textId="77777777" w:rsidR="00384802" w:rsidRPr="00453B08" w:rsidRDefault="00384802" w:rsidP="00237AC7">
            <w:pPr>
              <w:rPr>
                <w:rFonts w:ascii="Arial" w:hAnsi="Arial" w:cs="Arial"/>
                <w:sz w:val="24"/>
                <w:szCs w:val="24"/>
              </w:rPr>
            </w:pPr>
            <w:r w:rsidRPr="00453B08">
              <w:rPr>
                <w:rFonts w:ascii="Arial" w:hAnsi="Arial" w:cs="Arial"/>
                <w:sz w:val="24"/>
                <w:szCs w:val="24"/>
              </w:rPr>
              <w:t>20</w:t>
            </w:r>
          </w:p>
        </w:tc>
      </w:tr>
    </w:tbl>
    <w:p w14:paraId="77B8D8A2" w14:textId="77777777" w:rsidR="00237AC7" w:rsidRDefault="00237AC7" w:rsidP="00237AC7">
      <w:pPr>
        <w:spacing w:after="160" w:line="259" w:lineRule="auto"/>
        <w:rPr>
          <w:rFonts w:ascii="Arial" w:hAnsi="Arial" w:cs="Arial"/>
          <w:sz w:val="24"/>
          <w:szCs w:val="24"/>
        </w:rPr>
      </w:pPr>
      <w:r>
        <w:rPr>
          <w:rFonts w:ascii="Arial" w:hAnsi="Arial" w:cs="Arial"/>
          <w:sz w:val="24"/>
          <w:szCs w:val="24"/>
        </w:rPr>
        <w:br w:type="page"/>
      </w:r>
    </w:p>
    <w:p w14:paraId="5059E647" w14:textId="7507EF6F" w:rsidR="00870525" w:rsidRPr="004C154D" w:rsidRDefault="00B90206" w:rsidP="00870525">
      <w:pPr>
        <w:rPr>
          <w:rFonts w:ascii="Arial" w:hAnsi="Arial" w:cs="Arial"/>
          <w:sz w:val="24"/>
          <w:szCs w:val="24"/>
        </w:rPr>
      </w:pPr>
      <w:r>
        <w:rPr>
          <w:rFonts w:ascii="Arial" w:hAnsi="Arial" w:cs="Arial"/>
          <w:sz w:val="24"/>
          <w:szCs w:val="24"/>
        </w:rPr>
        <w:t>Table 2</w:t>
      </w:r>
      <w:r w:rsidR="00870525" w:rsidRPr="004C154D">
        <w:rPr>
          <w:rFonts w:ascii="Arial" w:hAnsi="Arial" w:cs="Arial"/>
          <w:sz w:val="24"/>
          <w:szCs w:val="24"/>
        </w:rPr>
        <w:t>:</w:t>
      </w:r>
      <w:r w:rsidR="00870525" w:rsidRPr="004C154D">
        <w:rPr>
          <w:rFonts w:ascii="Arial" w:eastAsia="Times New Roman" w:hAnsi="Arial" w:cs="Arial"/>
          <w:bCs/>
          <w:sz w:val="24"/>
          <w:szCs w:val="24"/>
          <w:lang w:eastAsia="en-GB" w:bidi="bn-IN"/>
        </w:rPr>
        <w:t xml:space="preserve"> </w:t>
      </w:r>
      <w:r w:rsidR="00F71036" w:rsidRPr="004C154D">
        <w:rPr>
          <w:rFonts w:ascii="Arial" w:eastAsia="Times New Roman" w:hAnsi="Arial" w:cs="Arial"/>
          <w:bCs/>
          <w:sz w:val="24"/>
          <w:szCs w:val="24"/>
          <w:lang w:eastAsia="en-GB" w:bidi="bn-IN"/>
        </w:rPr>
        <w:t>Patient flow</w:t>
      </w:r>
      <w:r w:rsidR="00DD5E22" w:rsidRPr="004C154D">
        <w:rPr>
          <w:rFonts w:ascii="Arial" w:eastAsia="Times New Roman" w:hAnsi="Arial" w:cs="Arial"/>
          <w:bCs/>
          <w:sz w:val="24"/>
          <w:szCs w:val="24"/>
          <w:lang w:eastAsia="en-GB" w:bidi="bn-IN"/>
        </w:rPr>
        <w:t xml:space="preserve"> and care fragmentation</w:t>
      </w:r>
      <w:r w:rsidR="00F71036" w:rsidRPr="004C154D">
        <w:rPr>
          <w:rFonts w:ascii="Arial" w:eastAsia="Times New Roman" w:hAnsi="Arial" w:cs="Arial"/>
          <w:bCs/>
          <w:sz w:val="24"/>
          <w:szCs w:val="24"/>
          <w:lang w:eastAsia="en-GB" w:bidi="bn-IN"/>
        </w:rPr>
        <w:t xml:space="preserve">: </w:t>
      </w:r>
      <w:r w:rsidR="00D21E52" w:rsidRPr="004C154D">
        <w:rPr>
          <w:rFonts w:ascii="Arial" w:eastAsia="Times New Roman" w:hAnsi="Arial" w:cs="Arial"/>
          <w:bCs/>
          <w:sz w:val="24"/>
          <w:szCs w:val="24"/>
          <w:lang w:eastAsia="en-GB" w:bidi="bn-IN"/>
        </w:rPr>
        <w:t>admission split across units, total patient</w:t>
      </w:r>
      <w:r w:rsidR="00870525" w:rsidRPr="004C154D">
        <w:rPr>
          <w:rFonts w:ascii="Arial" w:eastAsia="Times New Roman" w:hAnsi="Arial" w:cs="Arial"/>
          <w:bCs/>
          <w:sz w:val="24"/>
          <w:szCs w:val="24"/>
          <w:lang w:eastAsia="en-GB" w:bidi="bn-IN"/>
        </w:rPr>
        <w:t>s</w:t>
      </w:r>
      <w:r w:rsidR="004D4879" w:rsidRPr="004C154D">
        <w:rPr>
          <w:rFonts w:ascii="Arial" w:eastAsia="Times New Roman" w:hAnsi="Arial" w:cs="Arial"/>
          <w:bCs/>
          <w:sz w:val="24"/>
          <w:szCs w:val="24"/>
          <w:lang w:eastAsia="en-GB" w:bidi="bn-IN"/>
        </w:rPr>
        <w:t xml:space="preserve"> admitted</w:t>
      </w:r>
      <w:r w:rsidR="00D21E52" w:rsidRPr="004C154D">
        <w:rPr>
          <w:rFonts w:ascii="Arial" w:eastAsia="Times New Roman" w:hAnsi="Arial" w:cs="Arial"/>
          <w:bCs/>
          <w:sz w:val="24"/>
          <w:szCs w:val="24"/>
          <w:lang w:eastAsia="en-GB" w:bidi="bn-IN"/>
        </w:rPr>
        <w:t>,</w:t>
      </w:r>
      <w:r w:rsidR="00F71036" w:rsidRPr="004C154D">
        <w:rPr>
          <w:rFonts w:ascii="Arial" w:eastAsia="Times New Roman" w:hAnsi="Arial" w:cs="Arial"/>
          <w:bCs/>
          <w:sz w:val="24"/>
          <w:szCs w:val="24"/>
          <w:lang w:eastAsia="en-GB" w:bidi="bn-IN"/>
        </w:rPr>
        <w:t xml:space="preserve"> </w:t>
      </w:r>
      <w:r w:rsidR="00D21E52" w:rsidRPr="004C154D">
        <w:rPr>
          <w:rFonts w:ascii="Arial" w:eastAsia="Times New Roman" w:hAnsi="Arial" w:cs="Arial"/>
          <w:bCs/>
          <w:sz w:val="24"/>
          <w:szCs w:val="24"/>
          <w:lang w:eastAsia="en-GB" w:bidi="bn-IN"/>
        </w:rPr>
        <w:t>p</w:t>
      </w:r>
      <w:r w:rsidR="00D21E52" w:rsidRPr="004C154D">
        <w:rPr>
          <w:rFonts w:ascii="Arial" w:hAnsi="Arial" w:cs="Arial"/>
          <w:bCs/>
          <w:sz w:val="24"/>
          <w:szCs w:val="24"/>
        </w:rPr>
        <w:t>atient t</w:t>
      </w:r>
      <w:r w:rsidR="00F71036" w:rsidRPr="004C154D">
        <w:rPr>
          <w:rFonts w:ascii="Arial" w:hAnsi="Arial" w:cs="Arial"/>
          <w:bCs/>
          <w:sz w:val="24"/>
          <w:szCs w:val="24"/>
        </w:rPr>
        <w:t xml:space="preserve">ransfers </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049"/>
        <w:gridCol w:w="947"/>
        <w:gridCol w:w="969"/>
        <w:gridCol w:w="947"/>
        <w:gridCol w:w="969"/>
        <w:gridCol w:w="947"/>
        <w:gridCol w:w="973"/>
      </w:tblGrid>
      <w:tr w:rsidR="00D44E7C" w:rsidRPr="00453B08" w14:paraId="51F715C7" w14:textId="77777777" w:rsidTr="00D44E7C">
        <w:trPr>
          <w:trHeight w:val="300"/>
        </w:trPr>
        <w:tc>
          <w:tcPr>
            <w:tcW w:w="1064" w:type="pct"/>
            <w:shd w:val="clear" w:color="auto" w:fill="auto"/>
            <w:noWrap/>
            <w:vAlign w:val="bottom"/>
            <w:hideMark/>
          </w:tcPr>
          <w:p w14:paraId="23E404E4" w14:textId="1E9E3EE0" w:rsidR="00D44E7C" w:rsidRPr="00453B08" w:rsidRDefault="00D44E7C" w:rsidP="00D21E52">
            <w:pPr>
              <w:spacing w:after="0" w:line="240" w:lineRule="auto"/>
              <w:rPr>
                <w:rFonts w:ascii="Arial" w:eastAsia="Times New Roman" w:hAnsi="Arial" w:cs="Arial"/>
                <w:sz w:val="24"/>
                <w:szCs w:val="24"/>
                <w:lang w:eastAsia="en-GB" w:bidi="bn-IN"/>
              </w:rPr>
            </w:pPr>
          </w:p>
        </w:tc>
        <w:tc>
          <w:tcPr>
            <w:tcW w:w="607" w:type="pct"/>
            <w:shd w:val="clear" w:color="auto" w:fill="auto"/>
            <w:noWrap/>
            <w:vAlign w:val="bottom"/>
            <w:hideMark/>
          </w:tcPr>
          <w:p w14:paraId="7D9C6329" w14:textId="08F23B53" w:rsidR="00D44E7C" w:rsidRPr="00453B08" w:rsidRDefault="00D44E7C" w:rsidP="00870525">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Target % (N)</w:t>
            </w:r>
          </w:p>
        </w:tc>
        <w:tc>
          <w:tcPr>
            <w:tcW w:w="548" w:type="pct"/>
            <w:shd w:val="clear" w:color="auto" w:fill="auto"/>
            <w:noWrap/>
            <w:vAlign w:val="bottom"/>
            <w:hideMark/>
          </w:tcPr>
          <w:p w14:paraId="73950EE8" w14:textId="77777777" w:rsidR="00D44E7C" w:rsidRPr="00453B08" w:rsidRDefault="00D44E7C" w:rsidP="00870525">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2015-16 (N)</w:t>
            </w:r>
          </w:p>
        </w:tc>
        <w:tc>
          <w:tcPr>
            <w:tcW w:w="561" w:type="pct"/>
            <w:shd w:val="clear" w:color="auto" w:fill="auto"/>
            <w:noWrap/>
            <w:vAlign w:val="bottom"/>
            <w:hideMark/>
          </w:tcPr>
          <w:p w14:paraId="3869D397" w14:textId="77777777" w:rsidR="00D44E7C" w:rsidRPr="00453B08" w:rsidRDefault="00D44E7C" w:rsidP="00870525">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2015-16 (%)</w:t>
            </w:r>
          </w:p>
        </w:tc>
        <w:tc>
          <w:tcPr>
            <w:tcW w:w="548" w:type="pct"/>
            <w:shd w:val="clear" w:color="auto" w:fill="auto"/>
            <w:noWrap/>
            <w:vAlign w:val="bottom"/>
            <w:hideMark/>
          </w:tcPr>
          <w:p w14:paraId="4EE724B1" w14:textId="77777777" w:rsidR="00D44E7C" w:rsidRPr="00453B08" w:rsidRDefault="00D44E7C" w:rsidP="00870525">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2016-17 (N)</w:t>
            </w:r>
          </w:p>
        </w:tc>
        <w:tc>
          <w:tcPr>
            <w:tcW w:w="561" w:type="pct"/>
            <w:shd w:val="clear" w:color="auto" w:fill="auto"/>
            <w:noWrap/>
            <w:vAlign w:val="bottom"/>
            <w:hideMark/>
          </w:tcPr>
          <w:p w14:paraId="1477762A" w14:textId="77777777" w:rsidR="00D44E7C" w:rsidRPr="00453B08" w:rsidRDefault="00D44E7C" w:rsidP="00870525">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2016-17 (%)</w:t>
            </w:r>
          </w:p>
        </w:tc>
        <w:tc>
          <w:tcPr>
            <w:tcW w:w="548" w:type="pct"/>
            <w:shd w:val="clear" w:color="auto" w:fill="auto"/>
            <w:noWrap/>
            <w:vAlign w:val="bottom"/>
            <w:hideMark/>
          </w:tcPr>
          <w:p w14:paraId="45FCF742" w14:textId="77777777" w:rsidR="00D44E7C" w:rsidRPr="00453B08" w:rsidRDefault="00D44E7C" w:rsidP="00870525">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2015-17 (N)</w:t>
            </w:r>
          </w:p>
        </w:tc>
        <w:tc>
          <w:tcPr>
            <w:tcW w:w="563" w:type="pct"/>
            <w:shd w:val="clear" w:color="auto" w:fill="auto"/>
            <w:noWrap/>
            <w:vAlign w:val="bottom"/>
            <w:hideMark/>
          </w:tcPr>
          <w:p w14:paraId="14A67C31" w14:textId="77777777" w:rsidR="00D44E7C" w:rsidRPr="00453B08" w:rsidRDefault="00D44E7C" w:rsidP="00870525">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2015-17 (%)</w:t>
            </w:r>
          </w:p>
        </w:tc>
      </w:tr>
      <w:tr w:rsidR="00D44E7C" w:rsidRPr="00453B08" w14:paraId="2A2C86BC" w14:textId="77777777" w:rsidTr="00D44E7C">
        <w:trPr>
          <w:trHeight w:val="300"/>
        </w:trPr>
        <w:tc>
          <w:tcPr>
            <w:tcW w:w="5000" w:type="pct"/>
            <w:gridSpan w:val="8"/>
            <w:shd w:val="clear" w:color="auto" w:fill="auto"/>
            <w:noWrap/>
            <w:vAlign w:val="bottom"/>
          </w:tcPr>
          <w:p w14:paraId="34653845" w14:textId="37DEEC45" w:rsidR="00D44E7C" w:rsidRPr="00D44E7C" w:rsidRDefault="00D44E7C" w:rsidP="00D44E7C">
            <w:pPr>
              <w:spacing w:after="0" w:line="240" w:lineRule="auto"/>
              <w:rPr>
                <w:rFonts w:ascii="Arial" w:eastAsia="Times New Roman" w:hAnsi="Arial" w:cs="Arial"/>
                <w:b/>
                <w:sz w:val="24"/>
                <w:szCs w:val="24"/>
                <w:lang w:eastAsia="en-GB" w:bidi="bn-IN"/>
              </w:rPr>
            </w:pPr>
            <w:r w:rsidRPr="00D44E7C">
              <w:rPr>
                <w:rFonts w:ascii="Arial" w:eastAsia="Times New Roman" w:hAnsi="Arial" w:cs="Arial"/>
                <w:b/>
                <w:sz w:val="24"/>
                <w:szCs w:val="24"/>
                <w:lang w:eastAsia="en-GB" w:bidi="bn-IN"/>
              </w:rPr>
              <w:t>Admissions to:</w:t>
            </w:r>
          </w:p>
        </w:tc>
      </w:tr>
      <w:tr w:rsidR="00D44E7C" w:rsidRPr="00453B08" w14:paraId="60B7E0E9" w14:textId="77777777" w:rsidTr="00D44E7C">
        <w:trPr>
          <w:trHeight w:val="300"/>
        </w:trPr>
        <w:tc>
          <w:tcPr>
            <w:tcW w:w="1064" w:type="pct"/>
            <w:shd w:val="clear" w:color="auto" w:fill="auto"/>
            <w:noWrap/>
            <w:vAlign w:val="bottom"/>
            <w:hideMark/>
          </w:tcPr>
          <w:p w14:paraId="0F0B530E" w14:textId="223996AD" w:rsidR="00D44E7C" w:rsidRPr="00453B08" w:rsidRDefault="00D44E7C" w:rsidP="00D44E7C">
            <w:pPr>
              <w:spacing w:after="0" w:line="240" w:lineRule="auto"/>
              <w:ind w:left="306"/>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AU</w:t>
            </w:r>
          </w:p>
        </w:tc>
        <w:tc>
          <w:tcPr>
            <w:tcW w:w="607" w:type="pct"/>
            <w:shd w:val="clear" w:color="auto" w:fill="auto"/>
            <w:noWrap/>
            <w:vAlign w:val="bottom"/>
            <w:hideMark/>
          </w:tcPr>
          <w:p w14:paraId="407DF8CF" w14:textId="1C21F2FB"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75%</w:t>
            </w:r>
          </w:p>
        </w:tc>
        <w:tc>
          <w:tcPr>
            <w:tcW w:w="548" w:type="pct"/>
            <w:shd w:val="clear" w:color="auto" w:fill="auto"/>
            <w:noWrap/>
            <w:vAlign w:val="bottom"/>
            <w:hideMark/>
          </w:tcPr>
          <w:p w14:paraId="3BBEE3EF" w14:textId="77777777"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1120</w:t>
            </w:r>
          </w:p>
        </w:tc>
        <w:tc>
          <w:tcPr>
            <w:tcW w:w="561" w:type="pct"/>
            <w:shd w:val="clear" w:color="auto" w:fill="auto"/>
            <w:noWrap/>
            <w:vAlign w:val="bottom"/>
            <w:hideMark/>
          </w:tcPr>
          <w:p w14:paraId="253B0D49" w14:textId="19AB08F0" w:rsidR="00D44E7C" w:rsidRPr="00453B08" w:rsidRDefault="00D44E7C" w:rsidP="00DA740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77.7%</w:t>
            </w:r>
          </w:p>
        </w:tc>
        <w:tc>
          <w:tcPr>
            <w:tcW w:w="548" w:type="pct"/>
            <w:shd w:val="clear" w:color="auto" w:fill="auto"/>
            <w:noWrap/>
            <w:vAlign w:val="bottom"/>
            <w:hideMark/>
          </w:tcPr>
          <w:p w14:paraId="65796B9B" w14:textId="77777777"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919</w:t>
            </w:r>
          </w:p>
        </w:tc>
        <w:tc>
          <w:tcPr>
            <w:tcW w:w="561" w:type="pct"/>
            <w:shd w:val="clear" w:color="auto" w:fill="auto"/>
            <w:noWrap/>
            <w:vAlign w:val="bottom"/>
            <w:hideMark/>
          </w:tcPr>
          <w:p w14:paraId="7E21FB16" w14:textId="12B0B6CF" w:rsidR="00D44E7C" w:rsidRPr="00453B08" w:rsidRDefault="00D44E7C" w:rsidP="00DA740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74.3%</w:t>
            </w:r>
          </w:p>
        </w:tc>
        <w:tc>
          <w:tcPr>
            <w:tcW w:w="548" w:type="pct"/>
            <w:shd w:val="clear" w:color="auto" w:fill="auto"/>
            <w:noWrap/>
            <w:vAlign w:val="bottom"/>
            <w:hideMark/>
          </w:tcPr>
          <w:p w14:paraId="78AA7CC4" w14:textId="77777777"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2039</w:t>
            </w:r>
          </w:p>
        </w:tc>
        <w:tc>
          <w:tcPr>
            <w:tcW w:w="563" w:type="pct"/>
            <w:shd w:val="clear" w:color="auto" w:fill="auto"/>
            <w:noWrap/>
            <w:vAlign w:val="bottom"/>
            <w:hideMark/>
          </w:tcPr>
          <w:p w14:paraId="3F815C1F" w14:textId="7796A8C7" w:rsidR="00D44E7C" w:rsidRPr="00453B08" w:rsidRDefault="00D44E7C" w:rsidP="00DA740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76 %</w:t>
            </w:r>
          </w:p>
        </w:tc>
      </w:tr>
      <w:tr w:rsidR="00D44E7C" w:rsidRPr="00453B08" w14:paraId="4CF5901F" w14:textId="77777777" w:rsidTr="00D44E7C">
        <w:trPr>
          <w:trHeight w:val="300"/>
        </w:trPr>
        <w:tc>
          <w:tcPr>
            <w:tcW w:w="1064" w:type="pct"/>
            <w:shd w:val="clear" w:color="auto" w:fill="auto"/>
            <w:noWrap/>
            <w:vAlign w:val="bottom"/>
            <w:hideMark/>
          </w:tcPr>
          <w:p w14:paraId="093C27B6" w14:textId="025FF61C" w:rsidR="00D44E7C" w:rsidRPr="00453B08" w:rsidRDefault="00D44E7C" w:rsidP="00D44E7C">
            <w:pPr>
              <w:spacing w:after="0" w:line="240" w:lineRule="auto"/>
              <w:ind w:left="306"/>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TU</w:t>
            </w:r>
          </w:p>
        </w:tc>
        <w:tc>
          <w:tcPr>
            <w:tcW w:w="607" w:type="pct"/>
            <w:shd w:val="clear" w:color="auto" w:fill="auto"/>
            <w:noWrap/>
            <w:vAlign w:val="bottom"/>
            <w:hideMark/>
          </w:tcPr>
          <w:p w14:paraId="63CC1528" w14:textId="7C3DEB60"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25%</w:t>
            </w:r>
          </w:p>
        </w:tc>
        <w:tc>
          <w:tcPr>
            <w:tcW w:w="548" w:type="pct"/>
            <w:shd w:val="clear" w:color="auto" w:fill="auto"/>
            <w:noWrap/>
            <w:vAlign w:val="bottom"/>
            <w:hideMark/>
          </w:tcPr>
          <w:p w14:paraId="27548789" w14:textId="77777777"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312</w:t>
            </w:r>
          </w:p>
        </w:tc>
        <w:tc>
          <w:tcPr>
            <w:tcW w:w="561" w:type="pct"/>
            <w:shd w:val="clear" w:color="auto" w:fill="auto"/>
            <w:noWrap/>
            <w:vAlign w:val="bottom"/>
            <w:hideMark/>
          </w:tcPr>
          <w:p w14:paraId="70E04ABD" w14:textId="5182AB04" w:rsidR="00D44E7C" w:rsidRPr="00453B08" w:rsidRDefault="00D44E7C" w:rsidP="00DA740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21.6%</w:t>
            </w:r>
          </w:p>
        </w:tc>
        <w:tc>
          <w:tcPr>
            <w:tcW w:w="548" w:type="pct"/>
            <w:shd w:val="clear" w:color="auto" w:fill="auto"/>
            <w:noWrap/>
            <w:vAlign w:val="bottom"/>
            <w:hideMark/>
          </w:tcPr>
          <w:p w14:paraId="67A028CC" w14:textId="77777777"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309</w:t>
            </w:r>
          </w:p>
        </w:tc>
        <w:tc>
          <w:tcPr>
            <w:tcW w:w="561" w:type="pct"/>
            <w:shd w:val="clear" w:color="auto" w:fill="auto"/>
            <w:noWrap/>
            <w:vAlign w:val="bottom"/>
            <w:hideMark/>
          </w:tcPr>
          <w:p w14:paraId="064A08EF" w14:textId="30B3ED1D" w:rsidR="00D44E7C" w:rsidRPr="00453B08" w:rsidRDefault="00D44E7C" w:rsidP="00DA740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25%</w:t>
            </w:r>
          </w:p>
        </w:tc>
        <w:tc>
          <w:tcPr>
            <w:tcW w:w="548" w:type="pct"/>
            <w:shd w:val="clear" w:color="auto" w:fill="auto"/>
            <w:noWrap/>
            <w:vAlign w:val="bottom"/>
            <w:hideMark/>
          </w:tcPr>
          <w:p w14:paraId="61455EBC" w14:textId="77777777"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621</w:t>
            </w:r>
          </w:p>
        </w:tc>
        <w:tc>
          <w:tcPr>
            <w:tcW w:w="563" w:type="pct"/>
            <w:shd w:val="clear" w:color="auto" w:fill="auto"/>
            <w:noWrap/>
            <w:vAlign w:val="bottom"/>
            <w:hideMark/>
          </w:tcPr>
          <w:p w14:paraId="3D504F0E" w14:textId="6C447BE2" w:rsidR="00D44E7C" w:rsidRPr="00453B08" w:rsidRDefault="00D44E7C" w:rsidP="00DA740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23.2%</w:t>
            </w:r>
          </w:p>
        </w:tc>
      </w:tr>
      <w:tr w:rsidR="00D44E7C" w:rsidRPr="00453B08" w14:paraId="31AD82ED" w14:textId="77777777" w:rsidTr="00D44E7C">
        <w:trPr>
          <w:trHeight w:val="300"/>
        </w:trPr>
        <w:tc>
          <w:tcPr>
            <w:tcW w:w="1064" w:type="pct"/>
            <w:shd w:val="clear" w:color="auto" w:fill="auto"/>
            <w:noWrap/>
            <w:vAlign w:val="bottom"/>
            <w:hideMark/>
          </w:tcPr>
          <w:p w14:paraId="03A6CC68" w14:textId="33CC9701" w:rsidR="00D44E7C" w:rsidRPr="00453B08" w:rsidRDefault="00D44E7C" w:rsidP="00D44E7C">
            <w:pPr>
              <w:spacing w:after="0" w:line="240" w:lineRule="auto"/>
              <w:ind w:left="306"/>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RU</w:t>
            </w:r>
          </w:p>
        </w:tc>
        <w:tc>
          <w:tcPr>
            <w:tcW w:w="607" w:type="pct"/>
            <w:shd w:val="clear" w:color="auto" w:fill="auto"/>
            <w:noWrap/>
            <w:vAlign w:val="bottom"/>
            <w:hideMark/>
          </w:tcPr>
          <w:p w14:paraId="30FC6EC6" w14:textId="1F948864"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c>
          <w:tcPr>
            <w:tcW w:w="548" w:type="pct"/>
            <w:shd w:val="clear" w:color="auto" w:fill="auto"/>
            <w:noWrap/>
            <w:vAlign w:val="bottom"/>
            <w:hideMark/>
          </w:tcPr>
          <w:p w14:paraId="5F327639" w14:textId="77777777"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10</w:t>
            </w:r>
          </w:p>
        </w:tc>
        <w:tc>
          <w:tcPr>
            <w:tcW w:w="561" w:type="pct"/>
            <w:shd w:val="clear" w:color="auto" w:fill="auto"/>
            <w:noWrap/>
            <w:vAlign w:val="bottom"/>
            <w:hideMark/>
          </w:tcPr>
          <w:p w14:paraId="2DEE4FCF" w14:textId="7A4EBAD1" w:rsidR="00D44E7C" w:rsidRPr="00453B08" w:rsidRDefault="00D44E7C" w:rsidP="00DA740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0.7%</w:t>
            </w:r>
          </w:p>
        </w:tc>
        <w:tc>
          <w:tcPr>
            <w:tcW w:w="548" w:type="pct"/>
            <w:shd w:val="clear" w:color="auto" w:fill="auto"/>
            <w:noWrap/>
            <w:vAlign w:val="bottom"/>
            <w:hideMark/>
          </w:tcPr>
          <w:p w14:paraId="2A788FA4" w14:textId="77777777"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w:t>
            </w:r>
          </w:p>
        </w:tc>
        <w:tc>
          <w:tcPr>
            <w:tcW w:w="561" w:type="pct"/>
            <w:shd w:val="clear" w:color="auto" w:fill="auto"/>
            <w:noWrap/>
            <w:vAlign w:val="bottom"/>
            <w:hideMark/>
          </w:tcPr>
          <w:p w14:paraId="6E2B5F71" w14:textId="019C32BA" w:rsidR="00D44E7C" w:rsidRPr="00453B08" w:rsidRDefault="00D44E7C" w:rsidP="00DA740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0.7%</w:t>
            </w:r>
          </w:p>
        </w:tc>
        <w:tc>
          <w:tcPr>
            <w:tcW w:w="548" w:type="pct"/>
            <w:shd w:val="clear" w:color="auto" w:fill="auto"/>
            <w:noWrap/>
            <w:vAlign w:val="bottom"/>
            <w:hideMark/>
          </w:tcPr>
          <w:p w14:paraId="10F95C3A" w14:textId="77777777" w:rsidR="00D44E7C" w:rsidRPr="00453B08" w:rsidRDefault="00D44E7C" w:rsidP="0087052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19</w:t>
            </w:r>
          </w:p>
        </w:tc>
        <w:tc>
          <w:tcPr>
            <w:tcW w:w="563" w:type="pct"/>
            <w:shd w:val="clear" w:color="auto" w:fill="auto"/>
            <w:noWrap/>
            <w:vAlign w:val="bottom"/>
            <w:hideMark/>
          </w:tcPr>
          <w:p w14:paraId="4953DF62" w14:textId="6052BE18" w:rsidR="00D44E7C" w:rsidRPr="00453B08" w:rsidRDefault="00D44E7C" w:rsidP="00DA7405">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0.7%</w:t>
            </w:r>
          </w:p>
        </w:tc>
      </w:tr>
      <w:tr w:rsidR="00D44E7C" w:rsidRPr="00453B08" w14:paraId="37D26F59" w14:textId="77777777" w:rsidTr="00D44E7C">
        <w:trPr>
          <w:trHeight w:val="315"/>
        </w:trPr>
        <w:tc>
          <w:tcPr>
            <w:tcW w:w="1064" w:type="pct"/>
            <w:shd w:val="clear" w:color="auto" w:fill="auto"/>
            <w:noWrap/>
            <w:vAlign w:val="bottom"/>
            <w:hideMark/>
          </w:tcPr>
          <w:p w14:paraId="68848D25" w14:textId="3AF14253" w:rsidR="00D44E7C" w:rsidRPr="00453B08" w:rsidRDefault="00D44E7C" w:rsidP="00D44E7C">
            <w:pPr>
              <w:spacing w:after="0" w:line="240" w:lineRule="auto"/>
              <w:ind w:left="306"/>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Total</w:t>
            </w:r>
          </w:p>
        </w:tc>
        <w:tc>
          <w:tcPr>
            <w:tcW w:w="607" w:type="pct"/>
            <w:shd w:val="clear" w:color="auto" w:fill="auto"/>
            <w:noWrap/>
            <w:vAlign w:val="bottom"/>
            <w:hideMark/>
          </w:tcPr>
          <w:p w14:paraId="4027B67C" w14:textId="28143D47" w:rsidR="00D44E7C" w:rsidRPr="00453B08" w:rsidRDefault="00D44E7C" w:rsidP="00DA7405">
            <w:pPr>
              <w:spacing w:after="0" w:line="240" w:lineRule="auto"/>
              <w:jc w:val="right"/>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1200</w:t>
            </w:r>
          </w:p>
        </w:tc>
        <w:tc>
          <w:tcPr>
            <w:tcW w:w="548" w:type="pct"/>
            <w:shd w:val="clear" w:color="auto" w:fill="auto"/>
            <w:noWrap/>
            <w:vAlign w:val="bottom"/>
            <w:hideMark/>
          </w:tcPr>
          <w:p w14:paraId="4E90780E" w14:textId="77777777" w:rsidR="00D44E7C" w:rsidRPr="00453B08" w:rsidRDefault="00D44E7C" w:rsidP="00870525">
            <w:pPr>
              <w:spacing w:after="0" w:line="240" w:lineRule="auto"/>
              <w:jc w:val="right"/>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1442</w:t>
            </w:r>
          </w:p>
        </w:tc>
        <w:tc>
          <w:tcPr>
            <w:tcW w:w="561" w:type="pct"/>
            <w:shd w:val="clear" w:color="auto" w:fill="auto"/>
            <w:noWrap/>
            <w:vAlign w:val="bottom"/>
            <w:hideMark/>
          </w:tcPr>
          <w:p w14:paraId="175A9618" w14:textId="77777777" w:rsidR="00D44E7C" w:rsidRPr="00453B08" w:rsidRDefault="00D44E7C" w:rsidP="00870525">
            <w:pPr>
              <w:spacing w:after="0" w:line="240" w:lineRule="auto"/>
              <w:jc w:val="right"/>
              <w:rPr>
                <w:rFonts w:ascii="Arial" w:eastAsia="Times New Roman" w:hAnsi="Arial" w:cs="Arial"/>
                <w:b/>
                <w:bCs/>
                <w:sz w:val="24"/>
                <w:szCs w:val="24"/>
                <w:lang w:eastAsia="en-GB" w:bidi="bn-IN"/>
              </w:rPr>
            </w:pPr>
          </w:p>
        </w:tc>
        <w:tc>
          <w:tcPr>
            <w:tcW w:w="548" w:type="pct"/>
            <w:shd w:val="clear" w:color="auto" w:fill="auto"/>
            <w:noWrap/>
            <w:vAlign w:val="bottom"/>
            <w:hideMark/>
          </w:tcPr>
          <w:p w14:paraId="093CC481" w14:textId="77777777" w:rsidR="00D44E7C" w:rsidRPr="00453B08" w:rsidRDefault="00D44E7C" w:rsidP="00870525">
            <w:pPr>
              <w:spacing w:after="0" w:line="240" w:lineRule="auto"/>
              <w:jc w:val="right"/>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1237</w:t>
            </w:r>
          </w:p>
        </w:tc>
        <w:tc>
          <w:tcPr>
            <w:tcW w:w="561" w:type="pct"/>
            <w:shd w:val="clear" w:color="auto" w:fill="auto"/>
            <w:noWrap/>
            <w:vAlign w:val="bottom"/>
            <w:hideMark/>
          </w:tcPr>
          <w:p w14:paraId="7B4B3BA9" w14:textId="77777777" w:rsidR="00D44E7C" w:rsidRPr="00453B08" w:rsidRDefault="00D44E7C" w:rsidP="00870525">
            <w:pPr>
              <w:spacing w:after="0" w:line="240" w:lineRule="auto"/>
              <w:jc w:val="right"/>
              <w:rPr>
                <w:rFonts w:ascii="Arial" w:eastAsia="Times New Roman" w:hAnsi="Arial" w:cs="Arial"/>
                <w:b/>
                <w:bCs/>
                <w:sz w:val="24"/>
                <w:szCs w:val="24"/>
                <w:lang w:eastAsia="en-GB" w:bidi="bn-IN"/>
              </w:rPr>
            </w:pPr>
          </w:p>
        </w:tc>
        <w:tc>
          <w:tcPr>
            <w:tcW w:w="548" w:type="pct"/>
            <w:shd w:val="clear" w:color="auto" w:fill="auto"/>
            <w:noWrap/>
            <w:vAlign w:val="bottom"/>
            <w:hideMark/>
          </w:tcPr>
          <w:p w14:paraId="103CC872" w14:textId="77777777" w:rsidR="00D44E7C" w:rsidRPr="00453B08" w:rsidRDefault="00D44E7C" w:rsidP="00870525">
            <w:pPr>
              <w:spacing w:after="0" w:line="240" w:lineRule="auto"/>
              <w:jc w:val="right"/>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2679</w:t>
            </w:r>
          </w:p>
        </w:tc>
        <w:tc>
          <w:tcPr>
            <w:tcW w:w="563" w:type="pct"/>
            <w:shd w:val="clear" w:color="auto" w:fill="auto"/>
            <w:noWrap/>
            <w:vAlign w:val="bottom"/>
            <w:hideMark/>
          </w:tcPr>
          <w:p w14:paraId="06E26F3F" w14:textId="77777777" w:rsidR="00D44E7C" w:rsidRPr="00453B08" w:rsidRDefault="00D44E7C" w:rsidP="00870525">
            <w:pPr>
              <w:spacing w:after="0" w:line="240" w:lineRule="auto"/>
              <w:jc w:val="right"/>
              <w:rPr>
                <w:rFonts w:ascii="Arial" w:eastAsia="Times New Roman" w:hAnsi="Arial" w:cs="Arial"/>
                <w:b/>
                <w:bCs/>
                <w:sz w:val="24"/>
                <w:szCs w:val="24"/>
                <w:lang w:eastAsia="en-GB" w:bidi="bn-IN"/>
              </w:rPr>
            </w:pPr>
          </w:p>
        </w:tc>
      </w:tr>
      <w:tr w:rsidR="00D44E7C" w:rsidRPr="00453B08" w14:paraId="2638DF5A" w14:textId="77777777" w:rsidTr="00D44E7C">
        <w:trPr>
          <w:trHeight w:val="315"/>
        </w:trPr>
        <w:tc>
          <w:tcPr>
            <w:tcW w:w="5000" w:type="pct"/>
            <w:gridSpan w:val="8"/>
            <w:shd w:val="clear" w:color="auto" w:fill="auto"/>
            <w:noWrap/>
            <w:vAlign w:val="bottom"/>
          </w:tcPr>
          <w:p w14:paraId="52085F32" w14:textId="16F9EFC5" w:rsidR="00D44E7C" w:rsidRPr="00453B08" w:rsidRDefault="00D44E7C" w:rsidP="00D44E7C">
            <w:pPr>
              <w:spacing w:after="0" w:line="240" w:lineRule="auto"/>
              <w:rPr>
                <w:rFonts w:ascii="Arial" w:eastAsia="Times New Roman" w:hAnsi="Arial" w:cs="Arial"/>
                <w:b/>
                <w:bCs/>
                <w:sz w:val="24"/>
                <w:szCs w:val="24"/>
                <w:lang w:eastAsia="en-GB" w:bidi="bn-IN"/>
              </w:rPr>
            </w:pPr>
            <w:r>
              <w:rPr>
                <w:rFonts w:ascii="Arial" w:eastAsia="Times New Roman" w:hAnsi="Arial" w:cs="Arial"/>
                <w:b/>
                <w:bCs/>
                <w:sz w:val="24"/>
                <w:szCs w:val="24"/>
                <w:lang w:eastAsia="en-GB" w:bidi="bn-IN"/>
              </w:rPr>
              <w:t>Transfers from:</w:t>
            </w:r>
          </w:p>
        </w:tc>
      </w:tr>
      <w:tr w:rsidR="00D44E7C" w:rsidRPr="00453B08" w14:paraId="4FAA1B04" w14:textId="77777777" w:rsidTr="00D44E7C">
        <w:trPr>
          <w:trHeight w:val="315"/>
        </w:trPr>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4BB13" w14:textId="4240149D" w:rsidR="00D44E7C" w:rsidRPr="00453B08" w:rsidRDefault="00D44E7C" w:rsidP="00D44E7C">
            <w:pPr>
              <w:spacing w:after="0" w:line="240" w:lineRule="auto"/>
              <w:ind w:left="306"/>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AU to Community</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99C0B" w14:textId="660DB7F5"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≥70%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45185"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836</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86184" w14:textId="69D5D22D"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74.6%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1C4B8"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674</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4906C" w14:textId="404554A7"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73.3%</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56750"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1510</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92700" w14:textId="39E22FD1"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74.1%</w:t>
            </w:r>
          </w:p>
        </w:tc>
      </w:tr>
      <w:tr w:rsidR="00D44E7C" w:rsidRPr="00453B08" w14:paraId="32A3C674" w14:textId="77777777" w:rsidTr="00D44E7C">
        <w:trPr>
          <w:trHeight w:val="315"/>
        </w:trPr>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B577F" w14:textId="1A5D5235" w:rsidR="00D44E7C" w:rsidRPr="00453B08" w:rsidRDefault="00D44E7C" w:rsidP="00D44E7C">
            <w:pPr>
              <w:spacing w:after="0" w:line="240" w:lineRule="auto"/>
              <w:ind w:left="306"/>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AU to TU</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88452" w14:textId="2602FA61"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≤30%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907D2"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275</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DC872" w14:textId="16A3F194"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24.6%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FB05B"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236</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5EF6" w14:textId="0C76AFDC"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25.7%</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0DD47"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511</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5EBCB" w14:textId="3359EE15"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25.1%</w:t>
            </w:r>
          </w:p>
        </w:tc>
      </w:tr>
      <w:tr w:rsidR="00D44E7C" w:rsidRPr="00453B08" w14:paraId="516428F3" w14:textId="77777777" w:rsidTr="00D44E7C">
        <w:trPr>
          <w:trHeight w:val="315"/>
        </w:trPr>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25B5" w14:textId="4BF4A965" w:rsidR="00D44E7C" w:rsidRPr="00453B08" w:rsidRDefault="00D44E7C" w:rsidP="00D44E7C">
            <w:pPr>
              <w:spacing w:after="0" w:line="240" w:lineRule="auto"/>
              <w:ind w:left="306"/>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TU to RU</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07B3A" w14:textId="10C9098D"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≤20%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43E2F"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84</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249F1" w14:textId="1F5F6CBA"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12.1%</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9D96"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111</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940DB" w14:textId="2A7928F9"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17.1%</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A08B1"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209</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C6750" w14:textId="1C0F63F0"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15.5%</w:t>
            </w:r>
          </w:p>
        </w:tc>
      </w:tr>
      <w:tr w:rsidR="00D44E7C" w:rsidRPr="00453B08" w14:paraId="47DDF310" w14:textId="77777777" w:rsidTr="00D44E7C">
        <w:trPr>
          <w:trHeight w:val="315"/>
        </w:trPr>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D7A9" w14:textId="760D3606" w:rsidR="00D44E7C" w:rsidRPr="00453B08" w:rsidRDefault="00D44E7C" w:rsidP="00D44E7C">
            <w:pPr>
              <w:spacing w:after="0" w:line="240" w:lineRule="auto"/>
              <w:ind w:left="306"/>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AU to TU to RU</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518A7" w14:textId="65B766C0"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≥5%</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FA998"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68</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9E77D"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4.72%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273E3"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47</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49E43"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3.80%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83F2A"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115</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C0B64" w14:textId="6466F77F"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4.3%</w:t>
            </w:r>
          </w:p>
        </w:tc>
      </w:tr>
      <w:tr w:rsidR="00D44E7C" w:rsidRPr="00453B08" w14:paraId="2E1F3C2C" w14:textId="77777777" w:rsidTr="00D44E7C">
        <w:trPr>
          <w:trHeight w:val="315"/>
        </w:trPr>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290D8" w14:textId="3A21FA01" w:rsidR="00D44E7C" w:rsidRPr="00453B08" w:rsidRDefault="00D44E7C" w:rsidP="00D44E7C">
            <w:pPr>
              <w:spacing w:after="0" w:line="240" w:lineRule="auto"/>
              <w:ind w:left="306"/>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Backflow from TU or RU</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74C0" w14:textId="053D3F1E"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≥5%</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AD220"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52</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BF071" w14:textId="5D31A178"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3.6%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3D83A"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50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ACCE3" w14:textId="45F086F0"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2F390" w14:textId="77777777" w:rsidR="00D44E7C" w:rsidRPr="00453B08" w:rsidRDefault="00D44E7C" w:rsidP="0048345D">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102</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6AB1D" w14:textId="37758ED6" w:rsidR="00D44E7C" w:rsidRPr="00453B08" w:rsidRDefault="00D44E7C" w:rsidP="00DA7405">
            <w:pPr>
              <w:spacing w:after="0" w:line="240" w:lineRule="auto"/>
              <w:jc w:val="right"/>
              <w:rPr>
                <w:rFonts w:ascii="Arial" w:eastAsia="Times New Roman" w:hAnsi="Arial" w:cs="Arial"/>
                <w:bCs/>
                <w:sz w:val="24"/>
                <w:szCs w:val="24"/>
                <w:lang w:eastAsia="en-GB" w:bidi="bn-IN"/>
              </w:rPr>
            </w:pPr>
            <w:r w:rsidRPr="00453B08">
              <w:rPr>
                <w:rFonts w:ascii="Arial" w:eastAsia="Times New Roman" w:hAnsi="Arial" w:cs="Arial"/>
                <w:bCs/>
                <w:sz w:val="24"/>
                <w:szCs w:val="24"/>
                <w:lang w:eastAsia="en-GB" w:bidi="bn-IN"/>
              </w:rPr>
              <w:t>3.8%</w:t>
            </w:r>
          </w:p>
        </w:tc>
      </w:tr>
    </w:tbl>
    <w:p w14:paraId="1F066A4C" w14:textId="6655980E" w:rsidR="004C154D" w:rsidRDefault="004C154D" w:rsidP="00870525">
      <w:pPr>
        <w:rPr>
          <w:rFonts w:ascii="Arial" w:hAnsi="Arial" w:cs="Arial"/>
          <w:sz w:val="24"/>
          <w:szCs w:val="24"/>
        </w:rPr>
      </w:pPr>
    </w:p>
    <w:p w14:paraId="7CB74525" w14:textId="77777777" w:rsidR="004C154D" w:rsidRDefault="004C154D">
      <w:pPr>
        <w:spacing w:after="160" w:line="259" w:lineRule="auto"/>
        <w:rPr>
          <w:rFonts w:ascii="Arial" w:hAnsi="Arial" w:cs="Arial"/>
          <w:sz w:val="24"/>
          <w:szCs w:val="24"/>
        </w:rPr>
      </w:pPr>
      <w:r>
        <w:rPr>
          <w:rFonts w:ascii="Arial" w:hAnsi="Arial" w:cs="Arial"/>
          <w:sz w:val="24"/>
          <w:szCs w:val="24"/>
        </w:rPr>
        <w:br w:type="page"/>
      </w:r>
    </w:p>
    <w:p w14:paraId="685D821E" w14:textId="77777777" w:rsidR="00870525" w:rsidRPr="004C154D" w:rsidRDefault="00870525" w:rsidP="00870525">
      <w:pPr>
        <w:rPr>
          <w:rFonts w:ascii="Arial" w:hAnsi="Arial" w:cs="Arial"/>
          <w:sz w:val="24"/>
          <w:szCs w:val="24"/>
        </w:rPr>
      </w:pPr>
    </w:p>
    <w:p w14:paraId="5428AB97" w14:textId="392157AF" w:rsidR="00186BF4" w:rsidRPr="004C154D" w:rsidRDefault="00B90206" w:rsidP="00186BF4">
      <w:pPr>
        <w:rPr>
          <w:rFonts w:ascii="Arial" w:hAnsi="Arial" w:cs="Arial"/>
          <w:bCs/>
          <w:sz w:val="24"/>
          <w:szCs w:val="24"/>
        </w:rPr>
      </w:pPr>
      <w:r>
        <w:rPr>
          <w:rFonts w:ascii="Arial" w:hAnsi="Arial" w:cs="Arial"/>
          <w:bCs/>
          <w:sz w:val="24"/>
          <w:szCs w:val="24"/>
        </w:rPr>
        <w:t>Table 3</w:t>
      </w:r>
      <w:r w:rsidR="00AF3DD1">
        <w:rPr>
          <w:rFonts w:ascii="Arial" w:hAnsi="Arial" w:cs="Arial"/>
          <w:bCs/>
          <w:sz w:val="24"/>
          <w:szCs w:val="24"/>
        </w:rPr>
        <w:t>: Length of stay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03"/>
        <w:gridCol w:w="1503"/>
        <w:gridCol w:w="1502"/>
        <w:gridCol w:w="1503"/>
        <w:gridCol w:w="1503"/>
      </w:tblGrid>
      <w:tr w:rsidR="00AF3DD1" w:rsidRPr="00453B08" w14:paraId="48EEAE6B" w14:textId="0B0CF5CA" w:rsidTr="00AF3DD1">
        <w:trPr>
          <w:trHeight w:val="300"/>
        </w:trPr>
        <w:tc>
          <w:tcPr>
            <w:tcW w:w="1502" w:type="dxa"/>
            <w:shd w:val="clear" w:color="auto" w:fill="auto"/>
            <w:noWrap/>
            <w:vAlign w:val="bottom"/>
            <w:hideMark/>
          </w:tcPr>
          <w:p w14:paraId="1654CB1E" w14:textId="77777777" w:rsidR="00AF3DD1" w:rsidRPr="00453B08" w:rsidRDefault="00AF3DD1"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Length of Stay (Days)</w:t>
            </w:r>
          </w:p>
        </w:tc>
        <w:tc>
          <w:tcPr>
            <w:tcW w:w="1503" w:type="dxa"/>
            <w:shd w:val="clear" w:color="auto" w:fill="auto"/>
            <w:noWrap/>
            <w:vAlign w:val="bottom"/>
            <w:hideMark/>
          </w:tcPr>
          <w:p w14:paraId="4E00EFE0" w14:textId="77777777" w:rsidR="00AF3DD1" w:rsidRPr="00453B08" w:rsidRDefault="00AF3DD1"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Target Median</w:t>
            </w:r>
          </w:p>
        </w:tc>
        <w:tc>
          <w:tcPr>
            <w:tcW w:w="1503" w:type="dxa"/>
            <w:shd w:val="clear" w:color="auto" w:fill="auto"/>
            <w:noWrap/>
            <w:vAlign w:val="bottom"/>
            <w:hideMark/>
          </w:tcPr>
          <w:p w14:paraId="14FF4423" w14:textId="5839A941" w:rsidR="00AF3DD1" w:rsidRPr="00453B08" w:rsidRDefault="00AF3DD1"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 xml:space="preserve">Median 15/16 </w:t>
            </w:r>
          </w:p>
        </w:tc>
        <w:tc>
          <w:tcPr>
            <w:tcW w:w="1502" w:type="dxa"/>
          </w:tcPr>
          <w:p w14:paraId="72ED613A" w14:textId="4935735F" w:rsidR="00AF3DD1" w:rsidRPr="00453B08" w:rsidRDefault="00AF3DD1" w:rsidP="00F67CD4">
            <w:pPr>
              <w:spacing w:after="0" w:line="240" w:lineRule="auto"/>
              <w:rPr>
                <w:rFonts w:ascii="Arial" w:eastAsia="Times New Roman" w:hAnsi="Arial" w:cs="Arial"/>
                <w:sz w:val="24"/>
                <w:szCs w:val="24"/>
                <w:lang w:eastAsia="en-GB" w:bidi="bn-IN"/>
              </w:rPr>
            </w:pPr>
            <w:r>
              <w:rPr>
                <w:rFonts w:ascii="Arial" w:eastAsia="Times New Roman" w:hAnsi="Arial" w:cs="Arial"/>
                <w:sz w:val="24"/>
                <w:szCs w:val="24"/>
                <w:lang w:eastAsia="en-GB" w:bidi="bn-IN"/>
              </w:rPr>
              <w:t>Mean 15/16</w:t>
            </w:r>
          </w:p>
        </w:tc>
        <w:tc>
          <w:tcPr>
            <w:tcW w:w="1503" w:type="dxa"/>
            <w:shd w:val="clear" w:color="auto" w:fill="auto"/>
            <w:noWrap/>
            <w:vAlign w:val="bottom"/>
            <w:hideMark/>
          </w:tcPr>
          <w:p w14:paraId="1FE5AB70" w14:textId="3E9BFB90" w:rsidR="00AF3DD1" w:rsidRPr="00453B08" w:rsidRDefault="00AF3DD1" w:rsidP="00F67CD4">
            <w:pPr>
              <w:spacing w:after="0" w:line="240" w:lineRule="auto"/>
              <w:rPr>
                <w:rFonts w:ascii="Arial" w:eastAsia="Times New Roman" w:hAnsi="Arial" w:cs="Arial"/>
                <w:sz w:val="24"/>
                <w:szCs w:val="24"/>
                <w:lang w:eastAsia="en-GB" w:bidi="bn-IN"/>
              </w:rPr>
            </w:pPr>
            <w:r>
              <w:rPr>
                <w:rFonts w:ascii="Arial" w:eastAsia="Times New Roman" w:hAnsi="Arial" w:cs="Arial"/>
                <w:sz w:val="24"/>
                <w:szCs w:val="24"/>
                <w:lang w:eastAsia="en-GB" w:bidi="bn-IN"/>
              </w:rPr>
              <w:t xml:space="preserve">Median 16/17 </w:t>
            </w:r>
          </w:p>
        </w:tc>
        <w:tc>
          <w:tcPr>
            <w:tcW w:w="1503" w:type="dxa"/>
          </w:tcPr>
          <w:p w14:paraId="0B3DF990" w14:textId="169E6F80" w:rsidR="00AF3DD1" w:rsidRPr="00453B08" w:rsidRDefault="00AF3DD1" w:rsidP="00F67CD4">
            <w:pPr>
              <w:spacing w:after="0" w:line="240" w:lineRule="auto"/>
              <w:rPr>
                <w:rFonts w:ascii="Arial" w:eastAsia="Times New Roman" w:hAnsi="Arial" w:cs="Arial"/>
                <w:sz w:val="24"/>
                <w:szCs w:val="24"/>
                <w:lang w:eastAsia="en-GB" w:bidi="bn-IN"/>
              </w:rPr>
            </w:pPr>
            <w:r>
              <w:rPr>
                <w:rFonts w:ascii="Arial" w:eastAsia="Times New Roman" w:hAnsi="Arial" w:cs="Arial"/>
                <w:sz w:val="24"/>
                <w:szCs w:val="24"/>
                <w:lang w:eastAsia="en-GB" w:bidi="bn-IN"/>
              </w:rPr>
              <w:t xml:space="preserve">Mean </w:t>
            </w:r>
            <w:r w:rsidRPr="00453B08">
              <w:rPr>
                <w:rFonts w:ascii="Arial" w:eastAsia="Times New Roman" w:hAnsi="Arial" w:cs="Arial"/>
                <w:sz w:val="24"/>
                <w:szCs w:val="24"/>
                <w:lang w:eastAsia="en-GB" w:bidi="bn-IN"/>
              </w:rPr>
              <w:t>16/17</w:t>
            </w:r>
          </w:p>
        </w:tc>
      </w:tr>
      <w:tr w:rsidR="00AF3DD1" w:rsidRPr="00453B08" w14:paraId="6B699DD7" w14:textId="2CB9BC16" w:rsidTr="00AF3DD1">
        <w:trPr>
          <w:trHeight w:val="300"/>
        </w:trPr>
        <w:tc>
          <w:tcPr>
            <w:tcW w:w="1502" w:type="dxa"/>
            <w:shd w:val="clear" w:color="auto" w:fill="auto"/>
            <w:noWrap/>
            <w:vAlign w:val="bottom"/>
            <w:hideMark/>
          </w:tcPr>
          <w:p w14:paraId="07A62AB2" w14:textId="77777777" w:rsidR="00AF3DD1" w:rsidRPr="00453B08" w:rsidRDefault="00AF3DD1"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AU</w:t>
            </w:r>
          </w:p>
        </w:tc>
        <w:tc>
          <w:tcPr>
            <w:tcW w:w="1503" w:type="dxa"/>
            <w:shd w:val="clear" w:color="auto" w:fill="auto"/>
            <w:noWrap/>
            <w:vAlign w:val="bottom"/>
            <w:hideMark/>
          </w:tcPr>
          <w:p w14:paraId="0CC0B0C1" w14:textId="6C1149F4" w:rsidR="00AF3DD1" w:rsidRPr="00453B08" w:rsidRDefault="00AF3DD1" w:rsidP="00AF3DD1">
            <w:pPr>
              <w:spacing w:after="0" w:line="240" w:lineRule="auto"/>
              <w:jc w:val="right"/>
              <w:rPr>
                <w:rFonts w:ascii="Arial" w:eastAsia="Times New Roman" w:hAnsi="Arial" w:cs="Arial"/>
                <w:sz w:val="24"/>
                <w:szCs w:val="24"/>
                <w:lang w:eastAsia="en-GB" w:bidi="bn-IN"/>
              </w:rPr>
            </w:pPr>
            <w:r>
              <w:rPr>
                <w:rFonts w:ascii="Arial" w:hAnsi="Arial" w:cs="Arial"/>
                <w:sz w:val="24"/>
                <w:szCs w:val="24"/>
                <w:lang w:val="en"/>
              </w:rPr>
              <w:t>≤</w:t>
            </w:r>
            <w:r w:rsidRPr="00453B08">
              <w:rPr>
                <w:rFonts w:ascii="Arial" w:eastAsia="Times New Roman" w:hAnsi="Arial" w:cs="Arial"/>
                <w:sz w:val="24"/>
                <w:szCs w:val="24"/>
                <w:lang w:eastAsia="en-GB" w:bidi="bn-IN"/>
              </w:rPr>
              <w:t>3</w:t>
            </w:r>
          </w:p>
        </w:tc>
        <w:tc>
          <w:tcPr>
            <w:tcW w:w="1503" w:type="dxa"/>
            <w:shd w:val="clear" w:color="auto" w:fill="auto"/>
            <w:noWrap/>
            <w:vAlign w:val="bottom"/>
            <w:hideMark/>
          </w:tcPr>
          <w:p w14:paraId="57499788" w14:textId="3F804AA5" w:rsidR="00AF3DD1" w:rsidRPr="00453B08" w:rsidRDefault="00AF3DD1" w:rsidP="00F67CD4">
            <w:pPr>
              <w:spacing w:after="0" w:line="240" w:lineRule="auto"/>
              <w:jc w:val="right"/>
              <w:rPr>
                <w:rFonts w:ascii="Arial" w:eastAsia="Times New Roman" w:hAnsi="Arial" w:cs="Arial"/>
                <w:sz w:val="24"/>
                <w:szCs w:val="24"/>
                <w:lang w:eastAsia="en-GB" w:bidi="bn-IN"/>
              </w:rPr>
            </w:pPr>
            <w:r>
              <w:rPr>
                <w:rFonts w:ascii="Arial" w:eastAsia="Times New Roman" w:hAnsi="Arial" w:cs="Arial"/>
                <w:sz w:val="24"/>
                <w:szCs w:val="24"/>
                <w:lang w:eastAsia="en-GB" w:bidi="bn-IN"/>
              </w:rPr>
              <w:t>3.75</w:t>
            </w:r>
          </w:p>
        </w:tc>
        <w:tc>
          <w:tcPr>
            <w:tcW w:w="1502" w:type="dxa"/>
          </w:tcPr>
          <w:p w14:paraId="445FDCAE" w14:textId="56F2B29D" w:rsidR="00AF3DD1" w:rsidRPr="00453B08" w:rsidRDefault="00AF3DD1" w:rsidP="00F67CD4">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4.81</w:t>
            </w:r>
          </w:p>
        </w:tc>
        <w:tc>
          <w:tcPr>
            <w:tcW w:w="1503" w:type="dxa"/>
            <w:shd w:val="clear" w:color="auto" w:fill="auto"/>
            <w:noWrap/>
            <w:vAlign w:val="bottom"/>
            <w:hideMark/>
          </w:tcPr>
          <w:p w14:paraId="3D4717D2" w14:textId="72AA27A7" w:rsidR="00AF3DD1" w:rsidRPr="00453B08" w:rsidRDefault="00AF3DD1" w:rsidP="00F67CD4">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3.71</w:t>
            </w:r>
          </w:p>
        </w:tc>
        <w:tc>
          <w:tcPr>
            <w:tcW w:w="1503" w:type="dxa"/>
          </w:tcPr>
          <w:p w14:paraId="6C7171D4" w14:textId="616A4254" w:rsidR="00AF3DD1" w:rsidRPr="00453B08" w:rsidRDefault="00AF3DD1" w:rsidP="00F67CD4">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5.18</w:t>
            </w:r>
          </w:p>
        </w:tc>
      </w:tr>
      <w:tr w:rsidR="00AF3DD1" w:rsidRPr="00453B08" w14:paraId="4BDEC80C" w14:textId="63E79C80" w:rsidTr="00AF3DD1">
        <w:trPr>
          <w:trHeight w:val="300"/>
        </w:trPr>
        <w:tc>
          <w:tcPr>
            <w:tcW w:w="1502" w:type="dxa"/>
            <w:shd w:val="clear" w:color="auto" w:fill="auto"/>
            <w:noWrap/>
            <w:vAlign w:val="bottom"/>
            <w:hideMark/>
          </w:tcPr>
          <w:p w14:paraId="4DD9370B" w14:textId="77777777" w:rsidR="00AF3DD1" w:rsidRPr="00453B08" w:rsidRDefault="00AF3DD1"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TU</w:t>
            </w:r>
          </w:p>
        </w:tc>
        <w:tc>
          <w:tcPr>
            <w:tcW w:w="1503" w:type="dxa"/>
            <w:shd w:val="clear" w:color="auto" w:fill="auto"/>
            <w:noWrap/>
            <w:vAlign w:val="bottom"/>
            <w:hideMark/>
          </w:tcPr>
          <w:p w14:paraId="2121773E" w14:textId="66B602E0" w:rsidR="00AF3DD1" w:rsidRPr="00453B08" w:rsidRDefault="00AF3DD1" w:rsidP="00AF3DD1">
            <w:pPr>
              <w:spacing w:after="0" w:line="240" w:lineRule="auto"/>
              <w:jc w:val="right"/>
              <w:rPr>
                <w:rFonts w:ascii="Arial" w:eastAsia="Times New Roman" w:hAnsi="Arial" w:cs="Arial"/>
                <w:sz w:val="24"/>
                <w:szCs w:val="24"/>
                <w:lang w:eastAsia="en-GB" w:bidi="bn-IN"/>
              </w:rPr>
            </w:pPr>
            <w:r>
              <w:rPr>
                <w:rFonts w:ascii="Arial" w:hAnsi="Arial" w:cs="Arial"/>
                <w:sz w:val="24"/>
                <w:szCs w:val="24"/>
                <w:lang w:val="en"/>
              </w:rPr>
              <w:t>≤</w:t>
            </w:r>
            <w:r w:rsidRPr="00453B08">
              <w:rPr>
                <w:rFonts w:ascii="Arial" w:eastAsia="Times New Roman" w:hAnsi="Arial" w:cs="Arial"/>
                <w:sz w:val="24"/>
                <w:szCs w:val="24"/>
                <w:lang w:eastAsia="en-GB" w:bidi="bn-IN"/>
              </w:rPr>
              <w:t>21</w:t>
            </w:r>
          </w:p>
        </w:tc>
        <w:tc>
          <w:tcPr>
            <w:tcW w:w="1503" w:type="dxa"/>
            <w:shd w:val="clear" w:color="auto" w:fill="auto"/>
            <w:noWrap/>
            <w:vAlign w:val="bottom"/>
            <w:hideMark/>
          </w:tcPr>
          <w:p w14:paraId="1BE83BA0" w14:textId="7B0BF23C" w:rsidR="00AF3DD1" w:rsidRPr="00453B08" w:rsidRDefault="00AF3DD1" w:rsidP="00F67CD4">
            <w:pPr>
              <w:spacing w:after="0" w:line="240" w:lineRule="auto"/>
              <w:jc w:val="right"/>
              <w:rPr>
                <w:rFonts w:ascii="Arial" w:eastAsia="Times New Roman" w:hAnsi="Arial" w:cs="Arial"/>
                <w:sz w:val="24"/>
                <w:szCs w:val="24"/>
                <w:lang w:eastAsia="en-GB" w:bidi="bn-IN"/>
              </w:rPr>
            </w:pPr>
            <w:r>
              <w:rPr>
                <w:rFonts w:ascii="Arial" w:eastAsia="Times New Roman" w:hAnsi="Arial" w:cs="Arial"/>
                <w:sz w:val="24"/>
                <w:szCs w:val="24"/>
                <w:lang w:eastAsia="en-GB" w:bidi="bn-IN"/>
              </w:rPr>
              <w:t>16.21</w:t>
            </w:r>
          </w:p>
        </w:tc>
        <w:tc>
          <w:tcPr>
            <w:tcW w:w="1502" w:type="dxa"/>
          </w:tcPr>
          <w:p w14:paraId="50A86288" w14:textId="312599F2" w:rsidR="00AF3DD1" w:rsidRPr="00453B08" w:rsidRDefault="00AF3DD1" w:rsidP="00F67CD4">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23.08</w:t>
            </w:r>
          </w:p>
        </w:tc>
        <w:tc>
          <w:tcPr>
            <w:tcW w:w="1503" w:type="dxa"/>
            <w:shd w:val="clear" w:color="auto" w:fill="auto"/>
            <w:noWrap/>
            <w:vAlign w:val="bottom"/>
            <w:hideMark/>
          </w:tcPr>
          <w:p w14:paraId="37442225" w14:textId="5FF74D6D" w:rsidR="00AF3DD1" w:rsidRPr="00453B08" w:rsidRDefault="00AF3DD1" w:rsidP="00F67CD4">
            <w:pPr>
              <w:spacing w:after="0" w:line="240" w:lineRule="auto"/>
              <w:jc w:val="right"/>
              <w:rPr>
                <w:rFonts w:ascii="Arial" w:eastAsia="Times New Roman" w:hAnsi="Arial" w:cs="Arial"/>
                <w:sz w:val="24"/>
                <w:szCs w:val="24"/>
                <w:lang w:eastAsia="en-GB" w:bidi="bn-IN"/>
              </w:rPr>
            </w:pPr>
            <w:r>
              <w:rPr>
                <w:rFonts w:ascii="Arial" w:eastAsia="Times New Roman" w:hAnsi="Arial" w:cs="Arial"/>
                <w:sz w:val="24"/>
                <w:szCs w:val="24"/>
                <w:lang w:eastAsia="en-GB" w:bidi="bn-IN"/>
              </w:rPr>
              <w:t>15.12</w:t>
            </w:r>
          </w:p>
        </w:tc>
        <w:tc>
          <w:tcPr>
            <w:tcW w:w="1503" w:type="dxa"/>
          </w:tcPr>
          <w:p w14:paraId="476BC460" w14:textId="294672D4" w:rsidR="00AF3DD1" w:rsidRPr="00453B08" w:rsidRDefault="00AF3DD1" w:rsidP="00F67CD4">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20.89</w:t>
            </w:r>
          </w:p>
        </w:tc>
      </w:tr>
      <w:tr w:rsidR="00AF3DD1" w:rsidRPr="00453B08" w14:paraId="10B87EB8" w14:textId="59ABC4B1" w:rsidTr="00AF3DD1">
        <w:trPr>
          <w:trHeight w:val="300"/>
        </w:trPr>
        <w:tc>
          <w:tcPr>
            <w:tcW w:w="1502" w:type="dxa"/>
            <w:shd w:val="clear" w:color="auto" w:fill="auto"/>
            <w:noWrap/>
            <w:vAlign w:val="bottom"/>
            <w:hideMark/>
          </w:tcPr>
          <w:p w14:paraId="3CAD4FB3" w14:textId="77777777" w:rsidR="00AF3DD1" w:rsidRPr="00453B08" w:rsidRDefault="00AF3DD1"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RU</w:t>
            </w:r>
          </w:p>
        </w:tc>
        <w:tc>
          <w:tcPr>
            <w:tcW w:w="1503" w:type="dxa"/>
            <w:shd w:val="clear" w:color="auto" w:fill="auto"/>
            <w:noWrap/>
            <w:vAlign w:val="bottom"/>
            <w:hideMark/>
          </w:tcPr>
          <w:p w14:paraId="5FD7499C" w14:textId="63A264B7" w:rsidR="00AF3DD1" w:rsidRPr="00453B08" w:rsidRDefault="00AF3DD1" w:rsidP="00AF3DD1">
            <w:pPr>
              <w:spacing w:after="0" w:line="240" w:lineRule="auto"/>
              <w:jc w:val="right"/>
              <w:rPr>
                <w:rFonts w:ascii="Arial" w:eastAsia="Times New Roman" w:hAnsi="Arial" w:cs="Arial"/>
                <w:sz w:val="24"/>
                <w:szCs w:val="24"/>
                <w:lang w:eastAsia="en-GB" w:bidi="bn-IN"/>
              </w:rPr>
            </w:pPr>
            <w:r>
              <w:rPr>
                <w:rFonts w:ascii="Arial" w:hAnsi="Arial" w:cs="Arial"/>
                <w:sz w:val="24"/>
                <w:szCs w:val="24"/>
                <w:lang w:val="en"/>
              </w:rPr>
              <w:t>≤</w:t>
            </w:r>
            <w:r w:rsidRPr="00453B08">
              <w:rPr>
                <w:rFonts w:ascii="Arial" w:eastAsia="Times New Roman" w:hAnsi="Arial" w:cs="Arial"/>
                <w:sz w:val="24"/>
                <w:szCs w:val="24"/>
                <w:lang w:eastAsia="en-GB" w:bidi="bn-IN"/>
              </w:rPr>
              <w:t>90</w:t>
            </w:r>
          </w:p>
        </w:tc>
        <w:tc>
          <w:tcPr>
            <w:tcW w:w="1503" w:type="dxa"/>
            <w:shd w:val="clear" w:color="auto" w:fill="auto"/>
            <w:noWrap/>
            <w:vAlign w:val="bottom"/>
            <w:hideMark/>
          </w:tcPr>
          <w:p w14:paraId="612FDFBA" w14:textId="336076E3" w:rsidR="00AF3DD1" w:rsidRPr="00453B08" w:rsidRDefault="00AF3DD1" w:rsidP="00F67CD4">
            <w:pPr>
              <w:spacing w:after="0" w:line="240" w:lineRule="auto"/>
              <w:jc w:val="right"/>
              <w:rPr>
                <w:rFonts w:ascii="Arial" w:eastAsia="Times New Roman" w:hAnsi="Arial" w:cs="Arial"/>
                <w:sz w:val="24"/>
                <w:szCs w:val="24"/>
                <w:lang w:eastAsia="en-GB" w:bidi="bn-IN"/>
              </w:rPr>
            </w:pPr>
            <w:r>
              <w:rPr>
                <w:rFonts w:ascii="Arial" w:eastAsia="Times New Roman" w:hAnsi="Arial" w:cs="Arial"/>
                <w:sz w:val="24"/>
                <w:szCs w:val="24"/>
                <w:lang w:eastAsia="en-GB" w:bidi="bn-IN"/>
              </w:rPr>
              <w:t>36.71</w:t>
            </w:r>
          </w:p>
        </w:tc>
        <w:tc>
          <w:tcPr>
            <w:tcW w:w="1502" w:type="dxa"/>
          </w:tcPr>
          <w:p w14:paraId="66B27CA1" w14:textId="05A602B9" w:rsidR="00AF3DD1" w:rsidRPr="00453B08" w:rsidRDefault="00AF3DD1" w:rsidP="00F67CD4">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75.14</w:t>
            </w:r>
          </w:p>
        </w:tc>
        <w:tc>
          <w:tcPr>
            <w:tcW w:w="1503" w:type="dxa"/>
            <w:shd w:val="clear" w:color="auto" w:fill="auto"/>
            <w:noWrap/>
            <w:vAlign w:val="bottom"/>
            <w:hideMark/>
          </w:tcPr>
          <w:p w14:paraId="04A6DEA8" w14:textId="025D58CE" w:rsidR="00AF3DD1" w:rsidRPr="00453B08" w:rsidRDefault="00AF3DD1" w:rsidP="00F67CD4">
            <w:pPr>
              <w:spacing w:after="0" w:line="240" w:lineRule="auto"/>
              <w:jc w:val="right"/>
              <w:rPr>
                <w:rFonts w:ascii="Arial" w:eastAsia="Times New Roman" w:hAnsi="Arial" w:cs="Arial"/>
                <w:sz w:val="24"/>
                <w:szCs w:val="24"/>
                <w:lang w:eastAsia="en-GB" w:bidi="bn-IN"/>
              </w:rPr>
            </w:pPr>
            <w:r>
              <w:rPr>
                <w:rFonts w:ascii="Arial" w:eastAsia="Times New Roman" w:hAnsi="Arial" w:cs="Arial"/>
                <w:sz w:val="24"/>
                <w:szCs w:val="24"/>
                <w:lang w:eastAsia="en-GB" w:bidi="bn-IN"/>
              </w:rPr>
              <w:t>42.40</w:t>
            </w:r>
          </w:p>
        </w:tc>
        <w:tc>
          <w:tcPr>
            <w:tcW w:w="1503" w:type="dxa"/>
          </w:tcPr>
          <w:p w14:paraId="2DA593B1" w14:textId="04D55D99" w:rsidR="00AF3DD1" w:rsidRPr="00453B08" w:rsidRDefault="00AF3DD1" w:rsidP="00F67CD4">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63.22</w:t>
            </w:r>
          </w:p>
        </w:tc>
      </w:tr>
      <w:tr w:rsidR="00AF3DD1" w:rsidRPr="00453B08" w14:paraId="5FC8C529" w14:textId="4C075F16" w:rsidTr="00AF3DD1">
        <w:trPr>
          <w:trHeight w:val="300"/>
        </w:trPr>
        <w:tc>
          <w:tcPr>
            <w:tcW w:w="1502" w:type="dxa"/>
            <w:shd w:val="clear" w:color="auto" w:fill="auto"/>
            <w:noWrap/>
            <w:vAlign w:val="bottom"/>
            <w:hideMark/>
          </w:tcPr>
          <w:p w14:paraId="10E2085A" w14:textId="77777777" w:rsidR="00AF3DD1" w:rsidRPr="00453B08" w:rsidRDefault="00AF3DD1"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All</w:t>
            </w:r>
          </w:p>
        </w:tc>
        <w:tc>
          <w:tcPr>
            <w:tcW w:w="1503" w:type="dxa"/>
            <w:shd w:val="clear" w:color="auto" w:fill="auto"/>
            <w:noWrap/>
            <w:vAlign w:val="bottom"/>
            <w:hideMark/>
          </w:tcPr>
          <w:p w14:paraId="4A671E51" w14:textId="77777777" w:rsidR="00AF3DD1" w:rsidRPr="00453B08" w:rsidRDefault="00AF3DD1" w:rsidP="00F67CD4">
            <w:pPr>
              <w:spacing w:after="0" w:line="240" w:lineRule="auto"/>
              <w:rPr>
                <w:rFonts w:ascii="Arial" w:eastAsia="Times New Roman" w:hAnsi="Arial" w:cs="Arial"/>
                <w:sz w:val="24"/>
                <w:szCs w:val="24"/>
                <w:lang w:eastAsia="en-GB" w:bidi="bn-IN"/>
              </w:rPr>
            </w:pPr>
          </w:p>
        </w:tc>
        <w:tc>
          <w:tcPr>
            <w:tcW w:w="1503" w:type="dxa"/>
            <w:shd w:val="clear" w:color="auto" w:fill="auto"/>
            <w:noWrap/>
            <w:vAlign w:val="bottom"/>
            <w:hideMark/>
          </w:tcPr>
          <w:p w14:paraId="7102D70C" w14:textId="76F49DE4" w:rsidR="00AF3DD1" w:rsidRPr="00453B08" w:rsidRDefault="00AF3DD1" w:rsidP="00F67CD4">
            <w:pPr>
              <w:spacing w:after="0" w:line="240" w:lineRule="auto"/>
              <w:jc w:val="right"/>
              <w:rPr>
                <w:rFonts w:ascii="Arial" w:eastAsia="Times New Roman" w:hAnsi="Arial" w:cs="Arial"/>
                <w:sz w:val="24"/>
                <w:szCs w:val="24"/>
                <w:lang w:eastAsia="en-GB" w:bidi="bn-IN"/>
              </w:rPr>
            </w:pPr>
            <w:r>
              <w:rPr>
                <w:rFonts w:ascii="Arial" w:eastAsia="Times New Roman" w:hAnsi="Arial" w:cs="Arial"/>
                <w:sz w:val="24"/>
                <w:szCs w:val="24"/>
                <w:lang w:eastAsia="en-GB" w:bidi="bn-IN"/>
              </w:rPr>
              <w:t>5.83</w:t>
            </w:r>
          </w:p>
        </w:tc>
        <w:tc>
          <w:tcPr>
            <w:tcW w:w="1502" w:type="dxa"/>
          </w:tcPr>
          <w:p w14:paraId="54CCBC2A" w14:textId="4244C52B" w:rsidR="00AF3DD1" w:rsidRPr="00453B08" w:rsidRDefault="00AF3DD1" w:rsidP="00F67CD4">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15.32</w:t>
            </w:r>
          </w:p>
        </w:tc>
        <w:tc>
          <w:tcPr>
            <w:tcW w:w="1503" w:type="dxa"/>
            <w:shd w:val="clear" w:color="auto" w:fill="auto"/>
            <w:noWrap/>
            <w:vAlign w:val="bottom"/>
            <w:hideMark/>
          </w:tcPr>
          <w:p w14:paraId="1500EE75" w14:textId="65C34B77" w:rsidR="00AF3DD1" w:rsidRPr="00453B08" w:rsidRDefault="00AF3DD1" w:rsidP="00F67CD4">
            <w:pPr>
              <w:spacing w:after="0" w:line="240" w:lineRule="auto"/>
              <w:jc w:val="right"/>
              <w:rPr>
                <w:rFonts w:ascii="Arial" w:eastAsia="Times New Roman" w:hAnsi="Arial" w:cs="Arial"/>
                <w:sz w:val="24"/>
                <w:szCs w:val="24"/>
                <w:lang w:eastAsia="en-GB" w:bidi="bn-IN"/>
              </w:rPr>
            </w:pPr>
            <w:r>
              <w:rPr>
                <w:rFonts w:ascii="Arial" w:eastAsia="Times New Roman" w:hAnsi="Arial" w:cs="Arial"/>
                <w:sz w:val="24"/>
                <w:szCs w:val="24"/>
                <w:lang w:eastAsia="en-GB" w:bidi="bn-IN"/>
              </w:rPr>
              <w:t>6.13</w:t>
            </w:r>
          </w:p>
        </w:tc>
        <w:tc>
          <w:tcPr>
            <w:tcW w:w="1503" w:type="dxa"/>
          </w:tcPr>
          <w:p w14:paraId="51D7AFE0" w14:textId="4529AB35" w:rsidR="00AF3DD1" w:rsidRPr="00453B08" w:rsidRDefault="00AF3DD1" w:rsidP="00F67CD4">
            <w:pPr>
              <w:spacing w:after="0" w:line="240" w:lineRule="auto"/>
              <w:jc w:val="right"/>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16.02</w:t>
            </w:r>
          </w:p>
        </w:tc>
      </w:tr>
    </w:tbl>
    <w:p w14:paraId="6EF72167" w14:textId="77777777" w:rsidR="00D7321F" w:rsidRDefault="00D7321F" w:rsidP="00186BF4">
      <w:pPr>
        <w:rPr>
          <w:rFonts w:ascii="Arial" w:hAnsi="Arial" w:cs="Arial"/>
          <w:sz w:val="24"/>
          <w:szCs w:val="24"/>
        </w:rPr>
      </w:pPr>
    </w:p>
    <w:p w14:paraId="201F6518" w14:textId="1ED9DFE7" w:rsidR="007D6652" w:rsidRDefault="007D6652">
      <w:pPr>
        <w:spacing w:after="160" w:line="259" w:lineRule="auto"/>
        <w:rPr>
          <w:rFonts w:ascii="Arial" w:hAnsi="Arial" w:cs="Arial"/>
          <w:sz w:val="24"/>
          <w:szCs w:val="24"/>
        </w:rPr>
      </w:pPr>
      <w:r>
        <w:rPr>
          <w:rFonts w:ascii="Arial" w:hAnsi="Arial" w:cs="Arial"/>
          <w:sz w:val="24"/>
          <w:szCs w:val="24"/>
        </w:rPr>
        <w:br w:type="page"/>
      </w:r>
    </w:p>
    <w:p w14:paraId="6F76013D" w14:textId="712A5F3C" w:rsidR="00186BF4" w:rsidRPr="00453B08" w:rsidRDefault="00B90206" w:rsidP="00186BF4">
      <w:pPr>
        <w:rPr>
          <w:rFonts w:ascii="Arial" w:hAnsi="Arial" w:cs="Arial"/>
          <w:sz w:val="24"/>
          <w:szCs w:val="24"/>
        </w:rPr>
      </w:pPr>
      <w:r>
        <w:rPr>
          <w:rFonts w:ascii="Arial" w:hAnsi="Arial" w:cs="Arial"/>
          <w:sz w:val="24"/>
          <w:szCs w:val="24"/>
        </w:rPr>
        <w:t>Table 4</w:t>
      </w:r>
      <w:r w:rsidR="00186BF4" w:rsidRPr="00453B08">
        <w:rPr>
          <w:rFonts w:ascii="Arial" w:hAnsi="Arial" w:cs="Arial"/>
          <w:sz w:val="24"/>
          <w:szCs w:val="24"/>
        </w:rPr>
        <w:t>: Bed Occupancy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81"/>
        <w:gridCol w:w="1517"/>
        <w:gridCol w:w="1423"/>
        <w:gridCol w:w="1517"/>
        <w:gridCol w:w="1423"/>
      </w:tblGrid>
      <w:tr w:rsidR="00186BF4" w:rsidRPr="00453B08" w14:paraId="4658241E" w14:textId="77777777" w:rsidTr="00F67CD4">
        <w:trPr>
          <w:trHeight w:val="315"/>
        </w:trPr>
        <w:tc>
          <w:tcPr>
            <w:tcW w:w="1555" w:type="dxa"/>
            <w:shd w:val="clear" w:color="auto" w:fill="auto"/>
            <w:noWrap/>
            <w:vAlign w:val="bottom"/>
            <w:hideMark/>
          </w:tcPr>
          <w:p w14:paraId="1D1A71DB" w14:textId="77777777" w:rsidR="00186BF4" w:rsidRPr="00DB2A7B" w:rsidRDefault="00186BF4" w:rsidP="00F67CD4">
            <w:pPr>
              <w:spacing w:after="0" w:line="240" w:lineRule="auto"/>
              <w:rPr>
                <w:rFonts w:ascii="Arial" w:eastAsia="Times New Roman" w:hAnsi="Arial" w:cs="Arial"/>
                <w:b/>
                <w:bCs/>
                <w:sz w:val="20"/>
                <w:szCs w:val="20"/>
                <w:lang w:eastAsia="en-GB" w:bidi="bn-IN"/>
              </w:rPr>
            </w:pPr>
            <w:r w:rsidRPr="00DB2A7B">
              <w:rPr>
                <w:rFonts w:ascii="Arial" w:eastAsia="Times New Roman" w:hAnsi="Arial" w:cs="Arial"/>
                <w:b/>
                <w:bCs/>
                <w:sz w:val="20"/>
                <w:szCs w:val="20"/>
                <w:lang w:eastAsia="en-GB" w:bidi="bn-IN"/>
              </w:rPr>
              <w:t>Annual Occupancy Levels</w:t>
            </w:r>
          </w:p>
        </w:tc>
        <w:tc>
          <w:tcPr>
            <w:tcW w:w="1581" w:type="dxa"/>
            <w:shd w:val="clear" w:color="auto" w:fill="auto"/>
            <w:noWrap/>
            <w:vAlign w:val="bottom"/>
            <w:hideMark/>
          </w:tcPr>
          <w:p w14:paraId="1A8E993B" w14:textId="77777777" w:rsidR="00186BF4" w:rsidRPr="00453B08" w:rsidRDefault="00186BF4" w:rsidP="00F67CD4">
            <w:pPr>
              <w:spacing w:after="0" w:line="240" w:lineRule="auto"/>
              <w:rPr>
                <w:rFonts w:ascii="Arial" w:eastAsia="Times New Roman" w:hAnsi="Arial" w:cs="Arial"/>
                <w:b/>
                <w:bCs/>
                <w:sz w:val="24"/>
                <w:szCs w:val="24"/>
                <w:lang w:eastAsia="en-GB" w:bidi="bn-IN"/>
              </w:rPr>
            </w:pPr>
          </w:p>
        </w:tc>
        <w:tc>
          <w:tcPr>
            <w:tcW w:w="1517" w:type="dxa"/>
            <w:shd w:val="clear" w:color="auto" w:fill="auto"/>
            <w:noWrap/>
            <w:vAlign w:val="bottom"/>
            <w:hideMark/>
          </w:tcPr>
          <w:p w14:paraId="6B992886"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2015-16 (%)</w:t>
            </w:r>
          </w:p>
        </w:tc>
        <w:tc>
          <w:tcPr>
            <w:tcW w:w="1423" w:type="dxa"/>
            <w:shd w:val="clear" w:color="auto" w:fill="auto"/>
            <w:noWrap/>
            <w:vAlign w:val="bottom"/>
            <w:hideMark/>
          </w:tcPr>
          <w:p w14:paraId="6DB49071"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2015-16 (%)</w:t>
            </w:r>
          </w:p>
        </w:tc>
        <w:tc>
          <w:tcPr>
            <w:tcW w:w="1517" w:type="dxa"/>
            <w:shd w:val="clear" w:color="auto" w:fill="auto"/>
            <w:noWrap/>
            <w:vAlign w:val="bottom"/>
            <w:hideMark/>
          </w:tcPr>
          <w:p w14:paraId="43163151"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2016-17 (%)</w:t>
            </w:r>
          </w:p>
        </w:tc>
        <w:tc>
          <w:tcPr>
            <w:tcW w:w="1423" w:type="dxa"/>
            <w:shd w:val="clear" w:color="auto" w:fill="auto"/>
            <w:noWrap/>
            <w:vAlign w:val="bottom"/>
            <w:hideMark/>
          </w:tcPr>
          <w:p w14:paraId="456ECA6A"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2016-17 (%)</w:t>
            </w:r>
          </w:p>
        </w:tc>
      </w:tr>
      <w:tr w:rsidR="00186BF4" w:rsidRPr="00453B08" w14:paraId="51BF24C9" w14:textId="77777777" w:rsidTr="00F67CD4">
        <w:trPr>
          <w:trHeight w:val="300"/>
        </w:trPr>
        <w:tc>
          <w:tcPr>
            <w:tcW w:w="1555" w:type="dxa"/>
            <w:shd w:val="clear" w:color="auto" w:fill="auto"/>
            <w:noWrap/>
            <w:vAlign w:val="bottom"/>
            <w:hideMark/>
          </w:tcPr>
          <w:p w14:paraId="3E6E640C"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Bed Occupancy</w:t>
            </w:r>
          </w:p>
        </w:tc>
        <w:tc>
          <w:tcPr>
            <w:tcW w:w="1581" w:type="dxa"/>
            <w:shd w:val="clear" w:color="auto" w:fill="auto"/>
            <w:noWrap/>
            <w:vAlign w:val="bottom"/>
            <w:hideMark/>
          </w:tcPr>
          <w:p w14:paraId="2C00EF56"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Target % including home leave</w:t>
            </w:r>
          </w:p>
        </w:tc>
        <w:tc>
          <w:tcPr>
            <w:tcW w:w="1517" w:type="dxa"/>
            <w:shd w:val="clear" w:color="auto" w:fill="auto"/>
            <w:noWrap/>
            <w:vAlign w:val="bottom"/>
            <w:hideMark/>
          </w:tcPr>
          <w:p w14:paraId="3AEA7AF4"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Including Home Leave</w:t>
            </w:r>
          </w:p>
        </w:tc>
        <w:tc>
          <w:tcPr>
            <w:tcW w:w="1423" w:type="dxa"/>
            <w:shd w:val="clear" w:color="auto" w:fill="auto"/>
            <w:noWrap/>
            <w:vAlign w:val="bottom"/>
            <w:hideMark/>
          </w:tcPr>
          <w:p w14:paraId="507BABC5"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Excluding Home Leave</w:t>
            </w:r>
          </w:p>
        </w:tc>
        <w:tc>
          <w:tcPr>
            <w:tcW w:w="1517" w:type="dxa"/>
            <w:shd w:val="clear" w:color="auto" w:fill="auto"/>
            <w:noWrap/>
            <w:vAlign w:val="bottom"/>
            <w:hideMark/>
          </w:tcPr>
          <w:p w14:paraId="33798932"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Including Home Leave</w:t>
            </w:r>
          </w:p>
        </w:tc>
        <w:tc>
          <w:tcPr>
            <w:tcW w:w="1423" w:type="dxa"/>
            <w:shd w:val="clear" w:color="auto" w:fill="auto"/>
            <w:noWrap/>
            <w:vAlign w:val="bottom"/>
            <w:hideMark/>
          </w:tcPr>
          <w:p w14:paraId="58911AD4"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Excluding Home Leave</w:t>
            </w:r>
          </w:p>
        </w:tc>
      </w:tr>
      <w:tr w:rsidR="00186BF4" w:rsidRPr="00453B08" w14:paraId="0399D1EC" w14:textId="77777777" w:rsidTr="00F67CD4">
        <w:trPr>
          <w:trHeight w:val="315"/>
        </w:trPr>
        <w:tc>
          <w:tcPr>
            <w:tcW w:w="1555" w:type="dxa"/>
            <w:shd w:val="clear" w:color="auto" w:fill="auto"/>
            <w:hideMark/>
          </w:tcPr>
          <w:p w14:paraId="2CF310D5" w14:textId="77777777" w:rsidR="00186BF4" w:rsidRPr="00DB2A7B" w:rsidRDefault="00186BF4" w:rsidP="00F67CD4">
            <w:pPr>
              <w:spacing w:after="0" w:line="240" w:lineRule="auto"/>
              <w:rPr>
                <w:rFonts w:ascii="Arial" w:eastAsia="Times New Roman" w:hAnsi="Arial" w:cs="Arial"/>
                <w:b/>
                <w:bCs/>
                <w:sz w:val="20"/>
                <w:szCs w:val="20"/>
                <w:lang w:eastAsia="en-GB" w:bidi="bn-IN"/>
              </w:rPr>
            </w:pPr>
            <w:r w:rsidRPr="00DB2A7B">
              <w:rPr>
                <w:rFonts w:ascii="Arial" w:eastAsia="Times New Roman" w:hAnsi="Arial" w:cs="Arial"/>
                <w:b/>
                <w:bCs/>
                <w:sz w:val="20"/>
                <w:szCs w:val="20"/>
                <w:lang w:eastAsia="en-GB" w:bidi="bn-IN"/>
              </w:rPr>
              <w:t>CAMBRIDGE</w:t>
            </w:r>
          </w:p>
        </w:tc>
        <w:tc>
          <w:tcPr>
            <w:tcW w:w="1581" w:type="dxa"/>
            <w:shd w:val="clear" w:color="auto" w:fill="auto"/>
            <w:hideMark/>
          </w:tcPr>
          <w:p w14:paraId="03D97EBE" w14:textId="1482A120" w:rsidR="00186BF4" w:rsidRPr="00453B08" w:rsidRDefault="00663718" w:rsidP="00663718">
            <w:pPr>
              <w:spacing w:after="0" w:line="240" w:lineRule="auto"/>
              <w:jc w:val="center"/>
              <w:rPr>
                <w:rFonts w:ascii="Arial" w:eastAsia="Times New Roman" w:hAnsi="Arial" w:cs="Arial"/>
                <w:b/>
                <w:bCs/>
                <w:sz w:val="24"/>
                <w:szCs w:val="24"/>
                <w:lang w:eastAsia="en-GB" w:bidi="bn-IN"/>
              </w:rPr>
            </w:pPr>
            <w:r>
              <w:rPr>
                <w:rFonts w:ascii="Arial" w:hAnsi="Arial" w:cs="Arial"/>
                <w:sz w:val="24"/>
                <w:szCs w:val="24"/>
                <w:lang w:val="en"/>
              </w:rPr>
              <w:t>≤</w:t>
            </w:r>
            <w:r w:rsidR="00186BF4" w:rsidRPr="00453B08">
              <w:rPr>
                <w:rFonts w:ascii="Arial" w:eastAsia="Times New Roman" w:hAnsi="Arial" w:cs="Arial"/>
                <w:b/>
                <w:bCs/>
                <w:sz w:val="24"/>
                <w:szCs w:val="24"/>
                <w:lang w:eastAsia="en-GB" w:bidi="bn-IN"/>
              </w:rPr>
              <w:t>85%</w:t>
            </w:r>
          </w:p>
        </w:tc>
        <w:tc>
          <w:tcPr>
            <w:tcW w:w="1517" w:type="dxa"/>
            <w:shd w:val="clear" w:color="auto" w:fill="auto"/>
            <w:hideMark/>
          </w:tcPr>
          <w:p w14:paraId="49DFFDD0" w14:textId="77777777" w:rsidR="00186BF4" w:rsidRPr="00453B08" w:rsidRDefault="00186BF4" w:rsidP="00F67CD4">
            <w:pPr>
              <w:spacing w:after="0" w:line="240" w:lineRule="auto"/>
              <w:jc w:val="center"/>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87.23%</w:t>
            </w:r>
          </w:p>
        </w:tc>
        <w:tc>
          <w:tcPr>
            <w:tcW w:w="1423" w:type="dxa"/>
            <w:shd w:val="clear" w:color="auto" w:fill="auto"/>
            <w:hideMark/>
          </w:tcPr>
          <w:p w14:paraId="3118F6A5" w14:textId="77777777" w:rsidR="00186BF4" w:rsidRPr="00453B08" w:rsidRDefault="00186BF4" w:rsidP="00F67CD4">
            <w:pPr>
              <w:spacing w:after="0" w:line="240" w:lineRule="auto"/>
              <w:jc w:val="center"/>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83.02%</w:t>
            </w:r>
          </w:p>
        </w:tc>
        <w:tc>
          <w:tcPr>
            <w:tcW w:w="1517" w:type="dxa"/>
            <w:shd w:val="clear" w:color="auto" w:fill="auto"/>
            <w:hideMark/>
          </w:tcPr>
          <w:p w14:paraId="25BAE8DE" w14:textId="77777777" w:rsidR="00186BF4" w:rsidRPr="00453B08" w:rsidRDefault="00186BF4" w:rsidP="00F67CD4">
            <w:pPr>
              <w:spacing w:after="0" w:line="240" w:lineRule="auto"/>
              <w:jc w:val="center"/>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89.44%</w:t>
            </w:r>
          </w:p>
        </w:tc>
        <w:tc>
          <w:tcPr>
            <w:tcW w:w="1423" w:type="dxa"/>
            <w:shd w:val="clear" w:color="auto" w:fill="auto"/>
            <w:hideMark/>
          </w:tcPr>
          <w:p w14:paraId="0E8446B9" w14:textId="77777777" w:rsidR="00186BF4" w:rsidRPr="00453B08" w:rsidRDefault="00186BF4" w:rsidP="00F67CD4">
            <w:pPr>
              <w:spacing w:after="0" w:line="240" w:lineRule="auto"/>
              <w:jc w:val="center"/>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85.47%</w:t>
            </w:r>
          </w:p>
        </w:tc>
      </w:tr>
      <w:tr w:rsidR="00186BF4" w:rsidRPr="00453B08" w14:paraId="33AD66F6" w14:textId="77777777" w:rsidTr="00F67CD4">
        <w:trPr>
          <w:trHeight w:val="300"/>
        </w:trPr>
        <w:tc>
          <w:tcPr>
            <w:tcW w:w="1555" w:type="dxa"/>
            <w:shd w:val="clear" w:color="auto" w:fill="auto"/>
            <w:hideMark/>
          </w:tcPr>
          <w:p w14:paraId="3F16EC61"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Cambridge AU</w:t>
            </w:r>
          </w:p>
        </w:tc>
        <w:tc>
          <w:tcPr>
            <w:tcW w:w="1581" w:type="dxa"/>
            <w:shd w:val="clear" w:color="auto" w:fill="auto"/>
            <w:hideMark/>
          </w:tcPr>
          <w:p w14:paraId="6D770E11" w14:textId="332F0911"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70%</w:t>
            </w:r>
          </w:p>
        </w:tc>
        <w:tc>
          <w:tcPr>
            <w:tcW w:w="1517" w:type="dxa"/>
            <w:shd w:val="clear" w:color="auto" w:fill="auto"/>
            <w:hideMark/>
          </w:tcPr>
          <w:p w14:paraId="0B63914C"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68.11%</w:t>
            </w:r>
          </w:p>
        </w:tc>
        <w:tc>
          <w:tcPr>
            <w:tcW w:w="1423" w:type="dxa"/>
            <w:shd w:val="clear" w:color="auto" w:fill="auto"/>
            <w:hideMark/>
          </w:tcPr>
          <w:p w14:paraId="05C9D27A"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67.77%</w:t>
            </w:r>
          </w:p>
        </w:tc>
        <w:tc>
          <w:tcPr>
            <w:tcW w:w="1517" w:type="dxa"/>
            <w:shd w:val="clear" w:color="auto" w:fill="auto"/>
            <w:hideMark/>
          </w:tcPr>
          <w:p w14:paraId="2A9C38D6"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69.67%</w:t>
            </w:r>
          </w:p>
        </w:tc>
        <w:tc>
          <w:tcPr>
            <w:tcW w:w="1423" w:type="dxa"/>
            <w:shd w:val="clear" w:color="auto" w:fill="auto"/>
            <w:hideMark/>
          </w:tcPr>
          <w:p w14:paraId="463D2B28"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68.04%</w:t>
            </w:r>
          </w:p>
        </w:tc>
      </w:tr>
      <w:tr w:rsidR="00186BF4" w:rsidRPr="00453B08" w14:paraId="4F1B3AE9" w14:textId="77777777" w:rsidTr="00F67CD4">
        <w:trPr>
          <w:trHeight w:val="300"/>
        </w:trPr>
        <w:tc>
          <w:tcPr>
            <w:tcW w:w="1555" w:type="dxa"/>
            <w:shd w:val="clear" w:color="auto" w:fill="auto"/>
            <w:hideMark/>
          </w:tcPr>
          <w:p w14:paraId="1E53C582"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Cambridge TU</w:t>
            </w:r>
          </w:p>
        </w:tc>
        <w:tc>
          <w:tcPr>
            <w:tcW w:w="1581" w:type="dxa"/>
            <w:shd w:val="clear" w:color="auto" w:fill="auto"/>
            <w:hideMark/>
          </w:tcPr>
          <w:p w14:paraId="0ECCD369" w14:textId="58F50EC8"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95%</w:t>
            </w:r>
          </w:p>
        </w:tc>
        <w:tc>
          <w:tcPr>
            <w:tcW w:w="1517" w:type="dxa"/>
            <w:shd w:val="clear" w:color="auto" w:fill="auto"/>
            <w:hideMark/>
          </w:tcPr>
          <w:p w14:paraId="62D72C0C"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94.06%</w:t>
            </w:r>
          </w:p>
        </w:tc>
        <w:tc>
          <w:tcPr>
            <w:tcW w:w="1423" w:type="dxa"/>
            <w:shd w:val="clear" w:color="auto" w:fill="auto"/>
            <w:hideMark/>
          </w:tcPr>
          <w:p w14:paraId="73C1BE72"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87.69%</w:t>
            </w:r>
          </w:p>
        </w:tc>
        <w:tc>
          <w:tcPr>
            <w:tcW w:w="1517" w:type="dxa"/>
            <w:shd w:val="clear" w:color="auto" w:fill="auto"/>
            <w:hideMark/>
          </w:tcPr>
          <w:p w14:paraId="6AB3FF71"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95.45%</w:t>
            </w:r>
          </w:p>
        </w:tc>
        <w:tc>
          <w:tcPr>
            <w:tcW w:w="1423" w:type="dxa"/>
            <w:shd w:val="clear" w:color="auto" w:fill="auto"/>
            <w:hideMark/>
          </w:tcPr>
          <w:p w14:paraId="165B7EC6"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89.11%</w:t>
            </w:r>
          </w:p>
        </w:tc>
      </w:tr>
      <w:tr w:rsidR="00186BF4" w:rsidRPr="00453B08" w14:paraId="16D507A7" w14:textId="77777777" w:rsidTr="00F67CD4">
        <w:trPr>
          <w:trHeight w:val="300"/>
        </w:trPr>
        <w:tc>
          <w:tcPr>
            <w:tcW w:w="1555" w:type="dxa"/>
            <w:shd w:val="clear" w:color="auto" w:fill="auto"/>
            <w:hideMark/>
          </w:tcPr>
          <w:p w14:paraId="62AFD356"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Cambridge RU</w:t>
            </w:r>
          </w:p>
        </w:tc>
        <w:tc>
          <w:tcPr>
            <w:tcW w:w="1581" w:type="dxa"/>
            <w:shd w:val="clear" w:color="auto" w:fill="auto"/>
            <w:hideMark/>
          </w:tcPr>
          <w:p w14:paraId="0E4B6A27" w14:textId="09C36B62"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100%</w:t>
            </w:r>
          </w:p>
        </w:tc>
        <w:tc>
          <w:tcPr>
            <w:tcW w:w="1517" w:type="dxa"/>
            <w:shd w:val="clear" w:color="auto" w:fill="auto"/>
            <w:hideMark/>
          </w:tcPr>
          <w:p w14:paraId="7E3420D2"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93.30%</w:t>
            </w:r>
          </w:p>
        </w:tc>
        <w:tc>
          <w:tcPr>
            <w:tcW w:w="1423" w:type="dxa"/>
            <w:shd w:val="clear" w:color="auto" w:fill="auto"/>
            <w:hideMark/>
          </w:tcPr>
          <w:p w14:paraId="30DC2382"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88.65%</w:t>
            </w:r>
          </w:p>
        </w:tc>
        <w:tc>
          <w:tcPr>
            <w:tcW w:w="1517" w:type="dxa"/>
            <w:shd w:val="clear" w:color="auto" w:fill="auto"/>
            <w:hideMark/>
          </w:tcPr>
          <w:p w14:paraId="084AF897"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96.43%</w:t>
            </w:r>
          </w:p>
        </w:tc>
        <w:tc>
          <w:tcPr>
            <w:tcW w:w="1423" w:type="dxa"/>
            <w:shd w:val="clear" w:color="auto" w:fill="auto"/>
            <w:hideMark/>
          </w:tcPr>
          <w:p w14:paraId="3F2F5B79"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93.38%</w:t>
            </w:r>
          </w:p>
        </w:tc>
      </w:tr>
      <w:tr w:rsidR="00186BF4" w:rsidRPr="00453B08" w14:paraId="3FC545C7" w14:textId="77777777" w:rsidTr="00F67CD4">
        <w:trPr>
          <w:trHeight w:val="315"/>
        </w:trPr>
        <w:tc>
          <w:tcPr>
            <w:tcW w:w="1555" w:type="dxa"/>
            <w:shd w:val="clear" w:color="auto" w:fill="auto"/>
            <w:hideMark/>
          </w:tcPr>
          <w:p w14:paraId="05934B37" w14:textId="77777777" w:rsidR="00186BF4" w:rsidRPr="00DB2A7B" w:rsidRDefault="00186BF4" w:rsidP="00F67CD4">
            <w:pPr>
              <w:spacing w:after="0" w:line="240" w:lineRule="auto"/>
              <w:rPr>
                <w:rFonts w:ascii="Arial" w:eastAsia="Times New Roman" w:hAnsi="Arial" w:cs="Arial"/>
                <w:b/>
                <w:bCs/>
                <w:sz w:val="20"/>
                <w:szCs w:val="20"/>
                <w:lang w:eastAsia="en-GB" w:bidi="bn-IN"/>
              </w:rPr>
            </w:pPr>
            <w:r w:rsidRPr="00DB2A7B">
              <w:rPr>
                <w:rFonts w:ascii="Arial" w:eastAsia="Times New Roman" w:hAnsi="Arial" w:cs="Arial"/>
                <w:b/>
                <w:bCs/>
                <w:sz w:val="20"/>
                <w:szCs w:val="20"/>
                <w:lang w:eastAsia="en-GB" w:bidi="bn-IN"/>
              </w:rPr>
              <w:t>PETERBOROUGH</w:t>
            </w:r>
          </w:p>
        </w:tc>
        <w:tc>
          <w:tcPr>
            <w:tcW w:w="1581" w:type="dxa"/>
            <w:shd w:val="clear" w:color="auto" w:fill="auto"/>
            <w:hideMark/>
          </w:tcPr>
          <w:p w14:paraId="7EB943A2" w14:textId="49C6CF13" w:rsidR="00186BF4" w:rsidRPr="00453B08" w:rsidRDefault="00663718" w:rsidP="00663718">
            <w:pPr>
              <w:spacing w:after="0" w:line="240" w:lineRule="auto"/>
              <w:jc w:val="center"/>
              <w:rPr>
                <w:rFonts w:ascii="Arial" w:eastAsia="Times New Roman" w:hAnsi="Arial" w:cs="Arial"/>
                <w:b/>
                <w:bCs/>
                <w:sz w:val="24"/>
                <w:szCs w:val="24"/>
                <w:lang w:eastAsia="en-GB" w:bidi="bn-IN"/>
              </w:rPr>
            </w:pPr>
            <w:r>
              <w:rPr>
                <w:rFonts w:ascii="Arial" w:hAnsi="Arial" w:cs="Arial"/>
                <w:sz w:val="24"/>
                <w:szCs w:val="24"/>
                <w:lang w:val="en"/>
              </w:rPr>
              <w:t>≤</w:t>
            </w:r>
            <w:r w:rsidR="00186BF4" w:rsidRPr="00453B08">
              <w:rPr>
                <w:rFonts w:ascii="Arial" w:eastAsia="Times New Roman" w:hAnsi="Arial" w:cs="Arial"/>
                <w:b/>
                <w:bCs/>
                <w:sz w:val="24"/>
                <w:szCs w:val="24"/>
                <w:lang w:eastAsia="en-GB" w:bidi="bn-IN"/>
              </w:rPr>
              <w:t>85%</w:t>
            </w:r>
          </w:p>
        </w:tc>
        <w:tc>
          <w:tcPr>
            <w:tcW w:w="1517" w:type="dxa"/>
            <w:shd w:val="clear" w:color="auto" w:fill="auto"/>
            <w:hideMark/>
          </w:tcPr>
          <w:p w14:paraId="2464A912" w14:textId="77777777" w:rsidR="00186BF4" w:rsidRPr="00453B08" w:rsidRDefault="00186BF4" w:rsidP="00F67CD4">
            <w:pPr>
              <w:spacing w:after="0" w:line="240" w:lineRule="auto"/>
              <w:jc w:val="center"/>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87.27%</w:t>
            </w:r>
          </w:p>
        </w:tc>
        <w:tc>
          <w:tcPr>
            <w:tcW w:w="1423" w:type="dxa"/>
            <w:shd w:val="clear" w:color="auto" w:fill="auto"/>
            <w:hideMark/>
          </w:tcPr>
          <w:p w14:paraId="44B6DDE6" w14:textId="77777777" w:rsidR="00186BF4" w:rsidRPr="00453B08" w:rsidRDefault="00186BF4" w:rsidP="00F67CD4">
            <w:pPr>
              <w:spacing w:after="0" w:line="240" w:lineRule="auto"/>
              <w:jc w:val="center"/>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80.93%</w:t>
            </w:r>
          </w:p>
        </w:tc>
        <w:tc>
          <w:tcPr>
            <w:tcW w:w="1517" w:type="dxa"/>
            <w:shd w:val="clear" w:color="auto" w:fill="auto"/>
            <w:hideMark/>
          </w:tcPr>
          <w:p w14:paraId="366B8989" w14:textId="77777777" w:rsidR="00186BF4" w:rsidRPr="00453B08" w:rsidRDefault="00186BF4" w:rsidP="00F67CD4">
            <w:pPr>
              <w:spacing w:after="0" w:line="240" w:lineRule="auto"/>
              <w:jc w:val="center"/>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78.63%</w:t>
            </w:r>
          </w:p>
        </w:tc>
        <w:tc>
          <w:tcPr>
            <w:tcW w:w="1423" w:type="dxa"/>
            <w:shd w:val="clear" w:color="auto" w:fill="auto"/>
            <w:hideMark/>
          </w:tcPr>
          <w:p w14:paraId="56882376" w14:textId="77777777" w:rsidR="00186BF4" w:rsidRPr="00453B08" w:rsidRDefault="00186BF4" w:rsidP="00F67CD4">
            <w:pPr>
              <w:spacing w:after="0" w:line="240" w:lineRule="auto"/>
              <w:jc w:val="center"/>
              <w:rPr>
                <w:rFonts w:ascii="Arial" w:eastAsia="Times New Roman" w:hAnsi="Arial" w:cs="Arial"/>
                <w:b/>
                <w:bCs/>
                <w:sz w:val="24"/>
                <w:szCs w:val="24"/>
                <w:lang w:eastAsia="en-GB" w:bidi="bn-IN"/>
              </w:rPr>
            </w:pPr>
            <w:r w:rsidRPr="00453B08">
              <w:rPr>
                <w:rFonts w:ascii="Arial" w:eastAsia="Times New Roman" w:hAnsi="Arial" w:cs="Arial"/>
                <w:b/>
                <w:bCs/>
                <w:sz w:val="24"/>
                <w:szCs w:val="24"/>
                <w:lang w:eastAsia="en-GB" w:bidi="bn-IN"/>
              </w:rPr>
              <w:t>73.19%</w:t>
            </w:r>
          </w:p>
        </w:tc>
      </w:tr>
      <w:tr w:rsidR="00186BF4" w:rsidRPr="00453B08" w14:paraId="0E89494E" w14:textId="77777777" w:rsidTr="00F67CD4">
        <w:trPr>
          <w:trHeight w:val="300"/>
        </w:trPr>
        <w:tc>
          <w:tcPr>
            <w:tcW w:w="1555" w:type="dxa"/>
            <w:shd w:val="clear" w:color="auto" w:fill="auto"/>
            <w:hideMark/>
          </w:tcPr>
          <w:p w14:paraId="0E12A9F4"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Peterborough AU</w:t>
            </w:r>
          </w:p>
        </w:tc>
        <w:tc>
          <w:tcPr>
            <w:tcW w:w="1581" w:type="dxa"/>
            <w:shd w:val="clear" w:color="auto" w:fill="auto"/>
            <w:hideMark/>
          </w:tcPr>
          <w:p w14:paraId="7D0EB421" w14:textId="6BA71F80"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70%</w:t>
            </w:r>
          </w:p>
        </w:tc>
        <w:tc>
          <w:tcPr>
            <w:tcW w:w="1517" w:type="dxa"/>
            <w:shd w:val="clear" w:color="auto" w:fill="auto"/>
            <w:hideMark/>
          </w:tcPr>
          <w:p w14:paraId="3821428F"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69.33%</w:t>
            </w:r>
          </w:p>
        </w:tc>
        <w:tc>
          <w:tcPr>
            <w:tcW w:w="1423" w:type="dxa"/>
            <w:shd w:val="clear" w:color="auto" w:fill="auto"/>
            <w:hideMark/>
          </w:tcPr>
          <w:p w14:paraId="6F03496E"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67.67%</w:t>
            </w:r>
          </w:p>
        </w:tc>
        <w:tc>
          <w:tcPr>
            <w:tcW w:w="1517" w:type="dxa"/>
            <w:shd w:val="clear" w:color="auto" w:fill="auto"/>
            <w:hideMark/>
          </w:tcPr>
          <w:p w14:paraId="6C24E6DC"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55.77%</w:t>
            </w:r>
          </w:p>
        </w:tc>
        <w:tc>
          <w:tcPr>
            <w:tcW w:w="1423" w:type="dxa"/>
            <w:shd w:val="clear" w:color="auto" w:fill="auto"/>
            <w:hideMark/>
          </w:tcPr>
          <w:p w14:paraId="5EB98752"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54.54%</w:t>
            </w:r>
          </w:p>
        </w:tc>
      </w:tr>
      <w:tr w:rsidR="00186BF4" w:rsidRPr="00453B08" w14:paraId="5BE1283C" w14:textId="77777777" w:rsidTr="00F67CD4">
        <w:trPr>
          <w:trHeight w:val="300"/>
        </w:trPr>
        <w:tc>
          <w:tcPr>
            <w:tcW w:w="1555" w:type="dxa"/>
            <w:shd w:val="clear" w:color="auto" w:fill="auto"/>
            <w:hideMark/>
          </w:tcPr>
          <w:p w14:paraId="43CDFA1F"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Peterborough TU (F)</w:t>
            </w:r>
          </w:p>
        </w:tc>
        <w:tc>
          <w:tcPr>
            <w:tcW w:w="1581" w:type="dxa"/>
            <w:shd w:val="clear" w:color="auto" w:fill="auto"/>
            <w:hideMark/>
          </w:tcPr>
          <w:p w14:paraId="5001475C" w14:textId="434E7497"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95%</w:t>
            </w:r>
          </w:p>
        </w:tc>
        <w:tc>
          <w:tcPr>
            <w:tcW w:w="1517" w:type="dxa"/>
            <w:shd w:val="clear" w:color="auto" w:fill="auto"/>
            <w:hideMark/>
          </w:tcPr>
          <w:p w14:paraId="5C1B74EE"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92.32%</w:t>
            </w:r>
          </w:p>
        </w:tc>
        <w:tc>
          <w:tcPr>
            <w:tcW w:w="1423" w:type="dxa"/>
            <w:shd w:val="clear" w:color="auto" w:fill="auto"/>
            <w:hideMark/>
          </w:tcPr>
          <w:p w14:paraId="2461A681"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82.13%</w:t>
            </w:r>
          </w:p>
        </w:tc>
        <w:tc>
          <w:tcPr>
            <w:tcW w:w="1517" w:type="dxa"/>
            <w:shd w:val="clear" w:color="auto" w:fill="auto"/>
            <w:hideMark/>
          </w:tcPr>
          <w:p w14:paraId="513D66BF"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81.27%</w:t>
            </w:r>
          </w:p>
        </w:tc>
        <w:tc>
          <w:tcPr>
            <w:tcW w:w="1423" w:type="dxa"/>
            <w:shd w:val="clear" w:color="auto" w:fill="auto"/>
            <w:hideMark/>
          </w:tcPr>
          <w:p w14:paraId="3B9B9CF5"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74.71%</w:t>
            </w:r>
          </w:p>
        </w:tc>
      </w:tr>
      <w:tr w:rsidR="00186BF4" w:rsidRPr="00453B08" w14:paraId="4AA66179" w14:textId="77777777" w:rsidTr="00F67CD4">
        <w:trPr>
          <w:trHeight w:val="300"/>
        </w:trPr>
        <w:tc>
          <w:tcPr>
            <w:tcW w:w="1555" w:type="dxa"/>
            <w:shd w:val="clear" w:color="auto" w:fill="auto"/>
            <w:hideMark/>
          </w:tcPr>
          <w:p w14:paraId="67D17FB4"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Peterborough TU (M)</w:t>
            </w:r>
          </w:p>
        </w:tc>
        <w:tc>
          <w:tcPr>
            <w:tcW w:w="1581" w:type="dxa"/>
            <w:shd w:val="clear" w:color="auto" w:fill="auto"/>
            <w:hideMark/>
          </w:tcPr>
          <w:p w14:paraId="6B1D0A88" w14:textId="0A419167"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95%</w:t>
            </w:r>
          </w:p>
        </w:tc>
        <w:tc>
          <w:tcPr>
            <w:tcW w:w="1517" w:type="dxa"/>
            <w:shd w:val="clear" w:color="auto" w:fill="auto"/>
            <w:hideMark/>
          </w:tcPr>
          <w:p w14:paraId="542A040F"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90.54%</w:t>
            </w:r>
          </w:p>
        </w:tc>
        <w:tc>
          <w:tcPr>
            <w:tcW w:w="1423" w:type="dxa"/>
            <w:shd w:val="clear" w:color="auto" w:fill="auto"/>
            <w:hideMark/>
          </w:tcPr>
          <w:p w14:paraId="6AEA88A4"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83.64%</w:t>
            </w:r>
          </w:p>
        </w:tc>
        <w:tc>
          <w:tcPr>
            <w:tcW w:w="1517" w:type="dxa"/>
            <w:shd w:val="clear" w:color="auto" w:fill="auto"/>
            <w:hideMark/>
          </w:tcPr>
          <w:p w14:paraId="4288E993"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86.72%</w:t>
            </w:r>
          </w:p>
        </w:tc>
        <w:tc>
          <w:tcPr>
            <w:tcW w:w="1423" w:type="dxa"/>
            <w:shd w:val="clear" w:color="auto" w:fill="auto"/>
            <w:hideMark/>
          </w:tcPr>
          <w:p w14:paraId="197578C2"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76.69%</w:t>
            </w:r>
          </w:p>
        </w:tc>
      </w:tr>
      <w:tr w:rsidR="00186BF4" w:rsidRPr="00453B08" w14:paraId="2674EDCF" w14:textId="77777777" w:rsidTr="00F67CD4">
        <w:trPr>
          <w:trHeight w:val="300"/>
        </w:trPr>
        <w:tc>
          <w:tcPr>
            <w:tcW w:w="1555" w:type="dxa"/>
            <w:shd w:val="clear" w:color="auto" w:fill="auto"/>
            <w:hideMark/>
          </w:tcPr>
          <w:p w14:paraId="6BF6453B"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Peterborough RU</w:t>
            </w:r>
          </w:p>
        </w:tc>
        <w:tc>
          <w:tcPr>
            <w:tcW w:w="1581" w:type="dxa"/>
            <w:shd w:val="clear" w:color="auto" w:fill="auto"/>
            <w:hideMark/>
          </w:tcPr>
          <w:p w14:paraId="61CAE650" w14:textId="450CC099"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100%</w:t>
            </w:r>
          </w:p>
        </w:tc>
        <w:tc>
          <w:tcPr>
            <w:tcW w:w="1517" w:type="dxa"/>
            <w:shd w:val="clear" w:color="auto" w:fill="auto"/>
            <w:hideMark/>
          </w:tcPr>
          <w:p w14:paraId="3FF26AE5"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97.47%</w:t>
            </w:r>
          </w:p>
        </w:tc>
        <w:tc>
          <w:tcPr>
            <w:tcW w:w="1423" w:type="dxa"/>
            <w:shd w:val="clear" w:color="auto" w:fill="auto"/>
            <w:hideMark/>
          </w:tcPr>
          <w:p w14:paraId="51FBB93E"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90.86%</w:t>
            </w:r>
          </w:p>
        </w:tc>
        <w:tc>
          <w:tcPr>
            <w:tcW w:w="1517" w:type="dxa"/>
            <w:shd w:val="clear" w:color="auto" w:fill="auto"/>
            <w:hideMark/>
          </w:tcPr>
          <w:p w14:paraId="40FE6880"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91.61%</w:t>
            </w:r>
          </w:p>
        </w:tc>
        <w:tc>
          <w:tcPr>
            <w:tcW w:w="1423" w:type="dxa"/>
            <w:shd w:val="clear" w:color="auto" w:fill="auto"/>
            <w:hideMark/>
          </w:tcPr>
          <w:p w14:paraId="7AFBBC54" w14:textId="77777777" w:rsidR="00186BF4" w:rsidRPr="00453B08" w:rsidRDefault="00186BF4" w:rsidP="00F67CD4">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86.71%</w:t>
            </w:r>
          </w:p>
        </w:tc>
      </w:tr>
      <w:tr w:rsidR="00186BF4" w:rsidRPr="00453B08" w14:paraId="52FC7F08" w14:textId="77777777" w:rsidTr="00F67CD4">
        <w:trPr>
          <w:trHeight w:val="300"/>
        </w:trPr>
        <w:tc>
          <w:tcPr>
            <w:tcW w:w="9016" w:type="dxa"/>
            <w:gridSpan w:val="6"/>
            <w:shd w:val="clear" w:color="auto" w:fill="auto"/>
            <w:noWrap/>
            <w:vAlign w:val="bottom"/>
            <w:hideMark/>
          </w:tcPr>
          <w:p w14:paraId="6ED3EB73" w14:textId="77777777" w:rsidR="00186BF4" w:rsidRPr="00DB2A7B" w:rsidRDefault="00186BF4" w:rsidP="00663718">
            <w:pPr>
              <w:spacing w:after="0" w:line="240" w:lineRule="auto"/>
              <w:jc w:val="center"/>
              <w:rPr>
                <w:rFonts w:ascii="Arial" w:eastAsia="Times New Roman" w:hAnsi="Arial" w:cs="Arial"/>
                <w:sz w:val="20"/>
                <w:szCs w:val="20"/>
                <w:lang w:eastAsia="en-GB" w:bidi="bn-IN"/>
              </w:rPr>
            </w:pPr>
          </w:p>
        </w:tc>
      </w:tr>
      <w:tr w:rsidR="00186BF4" w:rsidRPr="00453B08" w14:paraId="654EE4FC" w14:textId="77777777" w:rsidTr="00F67CD4">
        <w:trPr>
          <w:trHeight w:val="315"/>
        </w:trPr>
        <w:tc>
          <w:tcPr>
            <w:tcW w:w="1555" w:type="dxa"/>
            <w:shd w:val="clear" w:color="auto" w:fill="auto"/>
            <w:noWrap/>
            <w:vAlign w:val="bottom"/>
            <w:hideMark/>
          </w:tcPr>
          <w:p w14:paraId="3BA2313F" w14:textId="77777777" w:rsidR="00186BF4" w:rsidRPr="00DB2A7B" w:rsidRDefault="00186BF4" w:rsidP="00F67CD4">
            <w:pPr>
              <w:spacing w:after="0" w:line="240" w:lineRule="auto"/>
              <w:rPr>
                <w:rFonts w:ascii="Arial" w:eastAsia="Times New Roman" w:hAnsi="Arial" w:cs="Arial"/>
                <w:b/>
                <w:bCs/>
                <w:sz w:val="20"/>
                <w:szCs w:val="20"/>
                <w:lang w:eastAsia="en-GB" w:bidi="bn-IN"/>
              </w:rPr>
            </w:pPr>
            <w:r w:rsidRPr="00DB2A7B">
              <w:rPr>
                <w:rFonts w:ascii="Arial" w:eastAsia="Times New Roman" w:hAnsi="Arial" w:cs="Arial"/>
                <w:b/>
                <w:bCs/>
                <w:sz w:val="20"/>
                <w:szCs w:val="20"/>
                <w:lang w:eastAsia="en-GB" w:bidi="bn-IN"/>
              </w:rPr>
              <w:t>Nights without beds</w:t>
            </w:r>
          </w:p>
        </w:tc>
        <w:tc>
          <w:tcPr>
            <w:tcW w:w="1581" w:type="dxa"/>
            <w:shd w:val="clear" w:color="auto" w:fill="auto"/>
            <w:noWrap/>
            <w:vAlign w:val="bottom"/>
            <w:hideMark/>
          </w:tcPr>
          <w:p w14:paraId="58480179" w14:textId="77777777" w:rsidR="00186BF4" w:rsidRPr="00453B08" w:rsidRDefault="00186BF4" w:rsidP="00663718">
            <w:pPr>
              <w:spacing w:after="0" w:line="240" w:lineRule="auto"/>
              <w:jc w:val="center"/>
              <w:rPr>
                <w:rFonts w:ascii="Arial" w:eastAsia="Times New Roman" w:hAnsi="Arial" w:cs="Arial"/>
                <w:b/>
                <w:bCs/>
                <w:sz w:val="24"/>
                <w:szCs w:val="24"/>
                <w:lang w:eastAsia="en-GB" w:bidi="bn-IN"/>
              </w:rPr>
            </w:pPr>
          </w:p>
        </w:tc>
        <w:tc>
          <w:tcPr>
            <w:tcW w:w="1517" w:type="dxa"/>
            <w:shd w:val="clear" w:color="auto" w:fill="auto"/>
            <w:noWrap/>
            <w:vAlign w:val="bottom"/>
            <w:hideMark/>
          </w:tcPr>
          <w:p w14:paraId="5D6D52A7"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2015-16 (N)</w:t>
            </w:r>
          </w:p>
        </w:tc>
        <w:tc>
          <w:tcPr>
            <w:tcW w:w="1423" w:type="dxa"/>
            <w:shd w:val="clear" w:color="auto" w:fill="auto"/>
            <w:noWrap/>
            <w:vAlign w:val="bottom"/>
            <w:hideMark/>
          </w:tcPr>
          <w:p w14:paraId="4608A663"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2015-16 (N)</w:t>
            </w:r>
          </w:p>
        </w:tc>
        <w:tc>
          <w:tcPr>
            <w:tcW w:w="1517" w:type="dxa"/>
            <w:shd w:val="clear" w:color="auto" w:fill="auto"/>
            <w:noWrap/>
            <w:vAlign w:val="bottom"/>
            <w:hideMark/>
          </w:tcPr>
          <w:p w14:paraId="54E3F603"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2016-17 (N)</w:t>
            </w:r>
          </w:p>
        </w:tc>
        <w:tc>
          <w:tcPr>
            <w:tcW w:w="1423" w:type="dxa"/>
            <w:shd w:val="clear" w:color="auto" w:fill="auto"/>
            <w:noWrap/>
            <w:vAlign w:val="bottom"/>
            <w:hideMark/>
          </w:tcPr>
          <w:p w14:paraId="4861A6F5"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2016-17 (N)</w:t>
            </w:r>
          </w:p>
        </w:tc>
      </w:tr>
      <w:tr w:rsidR="00186BF4" w:rsidRPr="00453B08" w14:paraId="0F3280D3" w14:textId="77777777" w:rsidTr="00F67CD4">
        <w:trPr>
          <w:trHeight w:val="300"/>
        </w:trPr>
        <w:tc>
          <w:tcPr>
            <w:tcW w:w="1555" w:type="dxa"/>
            <w:shd w:val="clear" w:color="auto" w:fill="auto"/>
            <w:noWrap/>
            <w:vAlign w:val="bottom"/>
            <w:hideMark/>
          </w:tcPr>
          <w:p w14:paraId="1EB38B8A" w14:textId="77777777" w:rsidR="00186BF4" w:rsidRPr="00DB2A7B" w:rsidRDefault="00186BF4" w:rsidP="00F67CD4">
            <w:pPr>
              <w:spacing w:after="0" w:line="240" w:lineRule="auto"/>
              <w:rPr>
                <w:rFonts w:ascii="Arial" w:eastAsia="Times New Roman" w:hAnsi="Arial" w:cs="Arial"/>
                <w:sz w:val="20"/>
                <w:szCs w:val="20"/>
                <w:lang w:eastAsia="en-GB" w:bidi="bn-IN"/>
              </w:rPr>
            </w:pPr>
          </w:p>
        </w:tc>
        <w:tc>
          <w:tcPr>
            <w:tcW w:w="1581" w:type="dxa"/>
            <w:shd w:val="clear" w:color="auto" w:fill="auto"/>
            <w:noWrap/>
            <w:vAlign w:val="bottom"/>
            <w:hideMark/>
          </w:tcPr>
          <w:p w14:paraId="68FCE780"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Target (Leave beds vacant)</w:t>
            </w:r>
          </w:p>
        </w:tc>
        <w:tc>
          <w:tcPr>
            <w:tcW w:w="1517" w:type="dxa"/>
            <w:shd w:val="clear" w:color="auto" w:fill="auto"/>
            <w:noWrap/>
            <w:vAlign w:val="bottom"/>
            <w:hideMark/>
          </w:tcPr>
          <w:p w14:paraId="494A0672"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Leave beds considered occupied</w:t>
            </w:r>
          </w:p>
        </w:tc>
        <w:tc>
          <w:tcPr>
            <w:tcW w:w="1423" w:type="dxa"/>
            <w:shd w:val="clear" w:color="auto" w:fill="auto"/>
            <w:noWrap/>
            <w:vAlign w:val="bottom"/>
            <w:hideMark/>
          </w:tcPr>
          <w:p w14:paraId="37E6214D"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Leave beds considered vacant</w:t>
            </w:r>
          </w:p>
        </w:tc>
        <w:tc>
          <w:tcPr>
            <w:tcW w:w="1517" w:type="dxa"/>
            <w:shd w:val="clear" w:color="auto" w:fill="auto"/>
            <w:noWrap/>
            <w:vAlign w:val="bottom"/>
            <w:hideMark/>
          </w:tcPr>
          <w:p w14:paraId="1298514E"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Leave beds considered occupied</w:t>
            </w:r>
          </w:p>
        </w:tc>
        <w:tc>
          <w:tcPr>
            <w:tcW w:w="1423" w:type="dxa"/>
            <w:shd w:val="clear" w:color="auto" w:fill="auto"/>
            <w:noWrap/>
            <w:vAlign w:val="bottom"/>
            <w:hideMark/>
          </w:tcPr>
          <w:p w14:paraId="7873D800"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Leave beds considered vacant</w:t>
            </w:r>
          </w:p>
        </w:tc>
      </w:tr>
      <w:tr w:rsidR="00186BF4" w:rsidRPr="00453B08" w14:paraId="48604449" w14:textId="77777777" w:rsidTr="00F67CD4">
        <w:trPr>
          <w:trHeight w:val="300"/>
        </w:trPr>
        <w:tc>
          <w:tcPr>
            <w:tcW w:w="1555" w:type="dxa"/>
            <w:shd w:val="clear" w:color="auto" w:fill="auto"/>
            <w:noWrap/>
            <w:vAlign w:val="bottom"/>
            <w:hideMark/>
          </w:tcPr>
          <w:p w14:paraId="1F84C5D8"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All 333 Beds in CPFT</w:t>
            </w:r>
          </w:p>
        </w:tc>
        <w:tc>
          <w:tcPr>
            <w:tcW w:w="1581" w:type="dxa"/>
            <w:shd w:val="clear" w:color="auto" w:fill="auto"/>
            <w:noWrap/>
            <w:vAlign w:val="bottom"/>
            <w:hideMark/>
          </w:tcPr>
          <w:p w14:paraId="43A6A2DF"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c>
          <w:tcPr>
            <w:tcW w:w="1517" w:type="dxa"/>
            <w:shd w:val="clear" w:color="auto" w:fill="auto"/>
            <w:noWrap/>
            <w:vAlign w:val="bottom"/>
            <w:hideMark/>
          </w:tcPr>
          <w:p w14:paraId="6AC30FB7"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c>
          <w:tcPr>
            <w:tcW w:w="1423" w:type="dxa"/>
            <w:shd w:val="clear" w:color="auto" w:fill="auto"/>
            <w:noWrap/>
            <w:vAlign w:val="bottom"/>
            <w:hideMark/>
          </w:tcPr>
          <w:p w14:paraId="583EBCFD"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c>
          <w:tcPr>
            <w:tcW w:w="1517" w:type="dxa"/>
            <w:shd w:val="clear" w:color="auto" w:fill="auto"/>
            <w:noWrap/>
            <w:vAlign w:val="bottom"/>
            <w:hideMark/>
          </w:tcPr>
          <w:p w14:paraId="79E52A1F"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c>
          <w:tcPr>
            <w:tcW w:w="1423" w:type="dxa"/>
            <w:shd w:val="clear" w:color="auto" w:fill="auto"/>
            <w:noWrap/>
            <w:vAlign w:val="bottom"/>
            <w:hideMark/>
          </w:tcPr>
          <w:p w14:paraId="678DDCE6"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r>
      <w:tr w:rsidR="00186BF4" w:rsidRPr="00453B08" w14:paraId="442FF0A8" w14:textId="77777777" w:rsidTr="00F67CD4">
        <w:trPr>
          <w:trHeight w:val="300"/>
        </w:trPr>
        <w:tc>
          <w:tcPr>
            <w:tcW w:w="1555" w:type="dxa"/>
            <w:shd w:val="clear" w:color="auto" w:fill="auto"/>
            <w:noWrap/>
            <w:vAlign w:val="bottom"/>
            <w:hideMark/>
          </w:tcPr>
          <w:p w14:paraId="30289177"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All 333 Beds in Cambridge</w:t>
            </w:r>
          </w:p>
        </w:tc>
        <w:tc>
          <w:tcPr>
            <w:tcW w:w="1581" w:type="dxa"/>
            <w:shd w:val="clear" w:color="auto" w:fill="auto"/>
            <w:noWrap/>
            <w:vAlign w:val="bottom"/>
            <w:hideMark/>
          </w:tcPr>
          <w:p w14:paraId="1F61601E" w14:textId="26DC323F"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5</w:t>
            </w:r>
          </w:p>
        </w:tc>
        <w:tc>
          <w:tcPr>
            <w:tcW w:w="1517" w:type="dxa"/>
            <w:shd w:val="clear" w:color="auto" w:fill="auto"/>
            <w:noWrap/>
            <w:vAlign w:val="bottom"/>
            <w:hideMark/>
          </w:tcPr>
          <w:p w14:paraId="75B12939"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10</w:t>
            </w:r>
          </w:p>
        </w:tc>
        <w:tc>
          <w:tcPr>
            <w:tcW w:w="1423" w:type="dxa"/>
            <w:shd w:val="clear" w:color="auto" w:fill="auto"/>
            <w:noWrap/>
            <w:vAlign w:val="bottom"/>
            <w:hideMark/>
          </w:tcPr>
          <w:p w14:paraId="2887771B"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c>
          <w:tcPr>
            <w:tcW w:w="1517" w:type="dxa"/>
            <w:shd w:val="clear" w:color="auto" w:fill="auto"/>
            <w:noWrap/>
            <w:vAlign w:val="bottom"/>
            <w:hideMark/>
          </w:tcPr>
          <w:p w14:paraId="6FF102F9"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17</w:t>
            </w:r>
          </w:p>
        </w:tc>
        <w:tc>
          <w:tcPr>
            <w:tcW w:w="1423" w:type="dxa"/>
            <w:shd w:val="clear" w:color="auto" w:fill="auto"/>
            <w:noWrap/>
            <w:vAlign w:val="bottom"/>
            <w:hideMark/>
          </w:tcPr>
          <w:p w14:paraId="0C0C0531"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w:t>
            </w:r>
          </w:p>
        </w:tc>
      </w:tr>
      <w:tr w:rsidR="00186BF4" w:rsidRPr="00453B08" w14:paraId="00A29A8F" w14:textId="77777777" w:rsidTr="00F67CD4">
        <w:trPr>
          <w:trHeight w:val="300"/>
        </w:trPr>
        <w:tc>
          <w:tcPr>
            <w:tcW w:w="1555" w:type="dxa"/>
            <w:shd w:val="clear" w:color="auto" w:fill="auto"/>
            <w:noWrap/>
            <w:vAlign w:val="bottom"/>
            <w:hideMark/>
          </w:tcPr>
          <w:p w14:paraId="7E303E49"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All 333 Beds in Peterborough</w:t>
            </w:r>
          </w:p>
        </w:tc>
        <w:tc>
          <w:tcPr>
            <w:tcW w:w="1581" w:type="dxa"/>
            <w:shd w:val="clear" w:color="auto" w:fill="auto"/>
            <w:noWrap/>
            <w:vAlign w:val="bottom"/>
            <w:hideMark/>
          </w:tcPr>
          <w:p w14:paraId="1BD26DE2" w14:textId="1EBDE6C7"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5</w:t>
            </w:r>
          </w:p>
        </w:tc>
        <w:tc>
          <w:tcPr>
            <w:tcW w:w="1517" w:type="dxa"/>
            <w:shd w:val="clear" w:color="auto" w:fill="auto"/>
            <w:noWrap/>
            <w:vAlign w:val="bottom"/>
            <w:hideMark/>
          </w:tcPr>
          <w:p w14:paraId="72CE3836"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w:t>
            </w:r>
          </w:p>
        </w:tc>
        <w:tc>
          <w:tcPr>
            <w:tcW w:w="1423" w:type="dxa"/>
            <w:shd w:val="clear" w:color="auto" w:fill="auto"/>
            <w:noWrap/>
            <w:vAlign w:val="bottom"/>
            <w:hideMark/>
          </w:tcPr>
          <w:p w14:paraId="6C4F69E6"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c>
          <w:tcPr>
            <w:tcW w:w="1517" w:type="dxa"/>
            <w:shd w:val="clear" w:color="auto" w:fill="auto"/>
            <w:noWrap/>
            <w:vAlign w:val="bottom"/>
            <w:hideMark/>
          </w:tcPr>
          <w:p w14:paraId="3D9E872E"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c>
          <w:tcPr>
            <w:tcW w:w="1423" w:type="dxa"/>
            <w:shd w:val="clear" w:color="auto" w:fill="auto"/>
            <w:noWrap/>
            <w:vAlign w:val="bottom"/>
            <w:hideMark/>
          </w:tcPr>
          <w:p w14:paraId="05B4B579"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r>
      <w:tr w:rsidR="00186BF4" w:rsidRPr="00453B08" w14:paraId="329ECB50" w14:textId="77777777" w:rsidTr="00F67CD4">
        <w:trPr>
          <w:trHeight w:val="300"/>
        </w:trPr>
        <w:tc>
          <w:tcPr>
            <w:tcW w:w="1555" w:type="dxa"/>
            <w:shd w:val="clear" w:color="auto" w:fill="auto"/>
            <w:noWrap/>
            <w:vAlign w:val="bottom"/>
            <w:hideMark/>
          </w:tcPr>
          <w:p w14:paraId="79100AE1"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All AU Beds in CPFT</w:t>
            </w:r>
          </w:p>
        </w:tc>
        <w:tc>
          <w:tcPr>
            <w:tcW w:w="1581" w:type="dxa"/>
            <w:shd w:val="clear" w:color="auto" w:fill="auto"/>
            <w:noWrap/>
            <w:vAlign w:val="bottom"/>
            <w:hideMark/>
          </w:tcPr>
          <w:p w14:paraId="777E5D03" w14:textId="3A02D593"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5</w:t>
            </w:r>
          </w:p>
        </w:tc>
        <w:tc>
          <w:tcPr>
            <w:tcW w:w="1517" w:type="dxa"/>
            <w:shd w:val="clear" w:color="auto" w:fill="auto"/>
            <w:noWrap/>
            <w:vAlign w:val="bottom"/>
            <w:hideMark/>
          </w:tcPr>
          <w:p w14:paraId="45C32A76"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3</w:t>
            </w:r>
          </w:p>
        </w:tc>
        <w:tc>
          <w:tcPr>
            <w:tcW w:w="1423" w:type="dxa"/>
            <w:shd w:val="clear" w:color="auto" w:fill="auto"/>
            <w:noWrap/>
            <w:vAlign w:val="bottom"/>
            <w:hideMark/>
          </w:tcPr>
          <w:p w14:paraId="6B40B9C5"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2</w:t>
            </w:r>
          </w:p>
        </w:tc>
        <w:tc>
          <w:tcPr>
            <w:tcW w:w="1517" w:type="dxa"/>
            <w:shd w:val="clear" w:color="auto" w:fill="auto"/>
            <w:noWrap/>
            <w:vAlign w:val="bottom"/>
            <w:hideMark/>
          </w:tcPr>
          <w:p w14:paraId="2D23B0A8"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c>
          <w:tcPr>
            <w:tcW w:w="1423" w:type="dxa"/>
            <w:shd w:val="clear" w:color="auto" w:fill="auto"/>
            <w:noWrap/>
            <w:vAlign w:val="bottom"/>
            <w:hideMark/>
          </w:tcPr>
          <w:p w14:paraId="4D3CDAB2"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0</w:t>
            </w:r>
          </w:p>
        </w:tc>
      </w:tr>
      <w:tr w:rsidR="00186BF4" w:rsidRPr="00453B08" w14:paraId="7DC3AAAF" w14:textId="77777777" w:rsidTr="00F67CD4">
        <w:trPr>
          <w:trHeight w:val="300"/>
        </w:trPr>
        <w:tc>
          <w:tcPr>
            <w:tcW w:w="1555" w:type="dxa"/>
            <w:shd w:val="clear" w:color="auto" w:fill="auto"/>
            <w:noWrap/>
            <w:vAlign w:val="bottom"/>
            <w:hideMark/>
          </w:tcPr>
          <w:p w14:paraId="10EA7E14"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All TU Beds in CPFT</w:t>
            </w:r>
          </w:p>
        </w:tc>
        <w:tc>
          <w:tcPr>
            <w:tcW w:w="1581" w:type="dxa"/>
            <w:shd w:val="clear" w:color="auto" w:fill="auto"/>
            <w:noWrap/>
            <w:vAlign w:val="bottom"/>
            <w:hideMark/>
          </w:tcPr>
          <w:p w14:paraId="0EF379B8" w14:textId="317163E8" w:rsidR="00186BF4" w:rsidRPr="00453B08" w:rsidRDefault="00663718" w:rsidP="00663718">
            <w:pPr>
              <w:spacing w:after="0" w:line="240" w:lineRule="auto"/>
              <w:jc w:val="center"/>
              <w:rPr>
                <w:rFonts w:ascii="Arial" w:eastAsia="Times New Roman" w:hAnsi="Arial" w:cs="Arial"/>
                <w:sz w:val="24"/>
                <w:szCs w:val="24"/>
                <w:lang w:eastAsia="en-GB" w:bidi="bn-IN"/>
              </w:rPr>
            </w:pPr>
            <w:r>
              <w:rPr>
                <w:rFonts w:ascii="Arial" w:hAnsi="Arial" w:cs="Arial"/>
                <w:sz w:val="24"/>
                <w:szCs w:val="24"/>
                <w:lang w:val="en"/>
              </w:rPr>
              <w:t>≤</w:t>
            </w:r>
            <w:r w:rsidR="00186BF4" w:rsidRPr="00453B08">
              <w:rPr>
                <w:rFonts w:ascii="Arial" w:eastAsia="Times New Roman" w:hAnsi="Arial" w:cs="Arial"/>
                <w:sz w:val="24"/>
                <w:szCs w:val="24"/>
                <w:lang w:eastAsia="en-GB" w:bidi="bn-IN"/>
              </w:rPr>
              <w:t>10</w:t>
            </w:r>
          </w:p>
        </w:tc>
        <w:tc>
          <w:tcPr>
            <w:tcW w:w="1517" w:type="dxa"/>
            <w:shd w:val="clear" w:color="auto" w:fill="auto"/>
            <w:noWrap/>
            <w:vAlign w:val="bottom"/>
            <w:hideMark/>
          </w:tcPr>
          <w:p w14:paraId="2D914104"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14</w:t>
            </w:r>
          </w:p>
        </w:tc>
        <w:tc>
          <w:tcPr>
            <w:tcW w:w="1423" w:type="dxa"/>
            <w:shd w:val="clear" w:color="auto" w:fill="auto"/>
            <w:noWrap/>
            <w:vAlign w:val="bottom"/>
            <w:hideMark/>
          </w:tcPr>
          <w:p w14:paraId="387800A2"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3</w:t>
            </w:r>
          </w:p>
        </w:tc>
        <w:tc>
          <w:tcPr>
            <w:tcW w:w="1517" w:type="dxa"/>
            <w:shd w:val="clear" w:color="auto" w:fill="auto"/>
            <w:noWrap/>
            <w:vAlign w:val="bottom"/>
            <w:hideMark/>
          </w:tcPr>
          <w:p w14:paraId="6EBD19F2"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7</w:t>
            </w:r>
          </w:p>
        </w:tc>
        <w:tc>
          <w:tcPr>
            <w:tcW w:w="1423" w:type="dxa"/>
            <w:shd w:val="clear" w:color="auto" w:fill="auto"/>
            <w:noWrap/>
            <w:vAlign w:val="bottom"/>
            <w:hideMark/>
          </w:tcPr>
          <w:p w14:paraId="6799439C"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w:t>
            </w:r>
          </w:p>
        </w:tc>
      </w:tr>
      <w:tr w:rsidR="00186BF4" w:rsidRPr="00453B08" w14:paraId="45087005" w14:textId="77777777" w:rsidTr="00F67CD4">
        <w:trPr>
          <w:trHeight w:val="300"/>
        </w:trPr>
        <w:tc>
          <w:tcPr>
            <w:tcW w:w="1555" w:type="dxa"/>
            <w:shd w:val="clear" w:color="auto" w:fill="auto"/>
            <w:noWrap/>
            <w:vAlign w:val="bottom"/>
            <w:hideMark/>
          </w:tcPr>
          <w:p w14:paraId="5677F4CF" w14:textId="77777777" w:rsidR="00186BF4" w:rsidRPr="00DB2A7B" w:rsidRDefault="00186BF4" w:rsidP="00F67CD4">
            <w:pPr>
              <w:spacing w:after="0" w:line="240" w:lineRule="auto"/>
              <w:rPr>
                <w:rFonts w:ascii="Arial" w:eastAsia="Times New Roman" w:hAnsi="Arial" w:cs="Arial"/>
                <w:sz w:val="20"/>
                <w:szCs w:val="20"/>
                <w:lang w:eastAsia="en-GB" w:bidi="bn-IN"/>
              </w:rPr>
            </w:pPr>
            <w:r w:rsidRPr="00DB2A7B">
              <w:rPr>
                <w:rFonts w:ascii="Arial" w:eastAsia="Times New Roman" w:hAnsi="Arial" w:cs="Arial"/>
                <w:sz w:val="20"/>
                <w:szCs w:val="20"/>
                <w:lang w:eastAsia="en-GB" w:bidi="bn-IN"/>
              </w:rPr>
              <w:t>All RU Beds in CPFT</w:t>
            </w:r>
          </w:p>
        </w:tc>
        <w:tc>
          <w:tcPr>
            <w:tcW w:w="1581" w:type="dxa"/>
            <w:shd w:val="clear" w:color="auto" w:fill="auto"/>
            <w:noWrap/>
            <w:vAlign w:val="bottom"/>
            <w:hideMark/>
          </w:tcPr>
          <w:p w14:paraId="52F77F24" w14:textId="77777777" w:rsidR="00186BF4" w:rsidRPr="00453B08" w:rsidRDefault="00186BF4" w:rsidP="00F67CD4">
            <w:pPr>
              <w:spacing w:after="0" w:line="240" w:lineRule="auto"/>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Direct admissions not expected</w:t>
            </w:r>
          </w:p>
        </w:tc>
        <w:tc>
          <w:tcPr>
            <w:tcW w:w="1517" w:type="dxa"/>
            <w:shd w:val="clear" w:color="auto" w:fill="auto"/>
            <w:noWrap/>
            <w:vAlign w:val="bottom"/>
            <w:hideMark/>
          </w:tcPr>
          <w:p w14:paraId="7BD56F07"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147</w:t>
            </w:r>
          </w:p>
        </w:tc>
        <w:tc>
          <w:tcPr>
            <w:tcW w:w="1423" w:type="dxa"/>
            <w:shd w:val="clear" w:color="auto" w:fill="auto"/>
            <w:noWrap/>
            <w:vAlign w:val="bottom"/>
            <w:hideMark/>
          </w:tcPr>
          <w:p w14:paraId="46114F69"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31</w:t>
            </w:r>
          </w:p>
        </w:tc>
        <w:tc>
          <w:tcPr>
            <w:tcW w:w="1517" w:type="dxa"/>
            <w:shd w:val="clear" w:color="auto" w:fill="auto"/>
            <w:noWrap/>
            <w:vAlign w:val="bottom"/>
            <w:hideMark/>
          </w:tcPr>
          <w:p w14:paraId="21205054"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96</w:t>
            </w:r>
          </w:p>
        </w:tc>
        <w:tc>
          <w:tcPr>
            <w:tcW w:w="1423" w:type="dxa"/>
            <w:shd w:val="clear" w:color="auto" w:fill="auto"/>
            <w:noWrap/>
            <w:vAlign w:val="bottom"/>
            <w:hideMark/>
          </w:tcPr>
          <w:p w14:paraId="6FB6708B" w14:textId="77777777" w:rsidR="00186BF4" w:rsidRPr="00453B08" w:rsidRDefault="00186BF4" w:rsidP="00663718">
            <w:pPr>
              <w:spacing w:after="0" w:line="240" w:lineRule="auto"/>
              <w:jc w:val="center"/>
              <w:rPr>
                <w:rFonts w:ascii="Arial" w:eastAsia="Times New Roman" w:hAnsi="Arial" w:cs="Arial"/>
                <w:sz w:val="24"/>
                <w:szCs w:val="24"/>
                <w:lang w:eastAsia="en-GB" w:bidi="bn-IN"/>
              </w:rPr>
            </w:pPr>
            <w:r w:rsidRPr="00453B08">
              <w:rPr>
                <w:rFonts w:ascii="Arial" w:eastAsia="Times New Roman" w:hAnsi="Arial" w:cs="Arial"/>
                <w:sz w:val="24"/>
                <w:szCs w:val="24"/>
                <w:lang w:eastAsia="en-GB" w:bidi="bn-IN"/>
              </w:rPr>
              <w:t>35</w:t>
            </w:r>
          </w:p>
        </w:tc>
      </w:tr>
    </w:tbl>
    <w:p w14:paraId="6FBE3C77" w14:textId="77777777" w:rsidR="00186BF4" w:rsidRPr="00453B08" w:rsidRDefault="00186BF4" w:rsidP="00186BF4">
      <w:pPr>
        <w:rPr>
          <w:rFonts w:ascii="Arial" w:hAnsi="Arial" w:cs="Arial"/>
          <w:sz w:val="24"/>
          <w:szCs w:val="24"/>
        </w:rPr>
      </w:pPr>
    </w:p>
    <w:p w14:paraId="70229A76" w14:textId="77777777" w:rsidR="005E0A68" w:rsidRPr="00453B08" w:rsidRDefault="005E0A68" w:rsidP="005E0A68">
      <w:pPr>
        <w:rPr>
          <w:rFonts w:ascii="Arial" w:hAnsi="Arial" w:cs="Arial"/>
          <w:sz w:val="24"/>
          <w:szCs w:val="24"/>
        </w:rPr>
      </w:pPr>
    </w:p>
    <w:p w14:paraId="7A8C9D2C" w14:textId="77777777" w:rsidR="005E0A68" w:rsidRPr="00453B08" w:rsidRDefault="005E0A68" w:rsidP="005E0A68">
      <w:pPr>
        <w:rPr>
          <w:rFonts w:ascii="Arial" w:hAnsi="Arial" w:cs="Arial"/>
          <w:sz w:val="24"/>
          <w:szCs w:val="24"/>
        </w:rPr>
      </w:pPr>
    </w:p>
    <w:p w14:paraId="7F768802" w14:textId="77777777" w:rsidR="005E0A68" w:rsidRPr="00453B08" w:rsidRDefault="005E0A68" w:rsidP="005E0A68">
      <w:pPr>
        <w:rPr>
          <w:rFonts w:ascii="Arial" w:hAnsi="Arial" w:cs="Arial"/>
          <w:sz w:val="24"/>
          <w:szCs w:val="24"/>
        </w:rPr>
      </w:pPr>
    </w:p>
    <w:p w14:paraId="2CCB7278" w14:textId="6996A5FC" w:rsidR="00091018" w:rsidRPr="00453B08" w:rsidRDefault="00091018" w:rsidP="001A5EB1">
      <w:pPr>
        <w:widowControl w:val="0"/>
        <w:autoSpaceDE w:val="0"/>
        <w:autoSpaceDN w:val="0"/>
        <w:adjustRightInd w:val="0"/>
        <w:spacing w:line="240" w:lineRule="auto"/>
        <w:ind w:left="640" w:hanging="640"/>
        <w:rPr>
          <w:rFonts w:ascii="Arial" w:hAnsi="Arial" w:cs="Arial"/>
          <w:sz w:val="24"/>
          <w:szCs w:val="24"/>
        </w:rPr>
      </w:pPr>
    </w:p>
    <w:sectPr w:rsidR="00091018" w:rsidRPr="00453B08" w:rsidSect="00012BF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1778"/>
    <w:multiLevelType w:val="hybridMultilevel"/>
    <w:tmpl w:val="3AECC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D45DE"/>
    <w:multiLevelType w:val="hybridMultilevel"/>
    <w:tmpl w:val="3536C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11406"/>
    <w:multiLevelType w:val="hybridMultilevel"/>
    <w:tmpl w:val="C5B08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83123"/>
    <w:multiLevelType w:val="hybridMultilevel"/>
    <w:tmpl w:val="A2E0F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936DD"/>
    <w:multiLevelType w:val="hybridMultilevel"/>
    <w:tmpl w:val="E32A5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0A3238"/>
    <w:multiLevelType w:val="hybridMultilevel"/>
    <w:tmpl w:val="0F84B35E"/>
    <w:lvl w:ilvl="0" w:tplc="404AD6A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B70DB"/>
    <w:multiLevelType w:val="hybridMultilevel"/>
    <w:tmpl w:val="A8A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A051D"/>
    <w:multiLevelType w:val="hybridMultilevel"/>
    <w:tmpl w:val="CD1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970B7"/>
    <w:multiLevelType w:val="hybridMultilevel"/>
    <w:tmpl w:val="5B7AD36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69AA6435"/>
    <w:multiLevelType w:val="hybridMultilevel"/>
    <w:tmpl w:val="0390F6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17CA5"/>
    <w:multiLevelType w:val="hybridMultilevel"/>
    <w:tmpl w:val="5244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A6462"/>
    <w:multiLevelType w:val="hybridMultilevel"/>
    <w:tmpl w:val="A07A0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C85E96"/>
    <w:multiLevelType w:val="multilevel"/>
    <w:tmpl w:val="DB7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9"/>
  </w:num>
  <w:num w:numId="7">
    <w:abstractNumId w:val="11"/>
  </w:num>
  <w:num w:numId="8">
    <w:abstractNumId w:val="3"/>
  </w:num>
  <w:num w:numId="9">
    <w:abstractNumId w:val="5"/>
  </w:num>
  <w:num w:numId="10">
    <w:abstractNumId w:val="6"/>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BB"/>
    <w:rsid w:val="0000011E"/>
    <w:rsid w:val="00011534"/>
    <w:rsid w:val="00012BF5"/>
    <w:rsid w:val="00016727"/>
    <w:rsid w:val="00030CF6"/>
    <w:rsid w:val="00031908"/>
    <w:rsid w:val="00041370"/>
    <w:rsid w:val="00047E87"/>
    <w:rsid w:val="00052B34"/>
    <w:rsid w:val="00055211"/>
    <w:rsid w:val="000553A9"/>
    <w:rsid w:val="000606C3"/>
    <w:rsid w:val="00071476"/>
    <w:rsid w:val="000730D5"/>
    <w:rsid w:val="00073AD0"/>
    <w:rsid w:val="00082A07"/>
    <w:rsid w:val="00091018"/>
    <w:rsid w:val="000B019B"/>
    <w:rsid w:val="000B30A9"/>
    <w:rsid w:val="000C0472"/>
    <w:rsid w:val="000C07DE"/>
    <w:rsid w:val="000D0A8B"/>
    <w:rsid w:val="000E719C"/>
    <w:rsid w:val="001063C9"/>
    <w:rsid w:val="001103CB"/>
    <w:rsid w:val="00120C2E"/>
    <w:rsid w:val="001418C2"/>
    <w:rsid w:val="00141DBA"/>
    <w:rsid w:val="00146276"/>
    <w:rsid w:val="00153E10"/>
    <w:rsid w:val="001579F2"/>
    <w:rsid w:val="00173465"/>
    <w:rsid w:val="00174E5C"/>
    <w:rsid w:val="0018184F"/>
    <w:rsid w:val="00184896"/>
    <w:rsid w:val="00186BF4"/>
    <w:rsid w:val="00192177"/>
    <w:rsid w:val="001961BC"/>
    <w:rsid w:val="00197DF7"/>
    <w:rsid w:val="001A5B3A"/>
    <w:rsid w:val="001A5EB1"/>
    <w:rsid w:val="001B60D4"/>
    <w:rsid w:val="001C15AE"/>
    <w:rsid w:val="001D4683"/>
    <w:rsid w:val="001E6636"/>
    <w:rsid w:val="001F395D"/>
    <w:rsid w:val="001F5D76"/>
    <w:rsid w:val="0020159A"/>
    <w:rsid w:val="00205909"/>
    <w:rsid w:val="002147B9"/>
    <w:rsid w:val="0021772C"/>
    <w:rsid w:val="00224794"/>
    <w:rsid w:val="00226DEE"/>
    <w:rsid w:val="0023094F"/>
    <w:rsid w:val="00231CD0"/>
    <w:rsid w:val="002369D6"/>
    <w:rsid w:val="00237AC7"/>
    <w:rsid w:val="002448C4"/>
    <w:rsid w:val="0026454F"/>
    <w:rsid w:val="00271C94"/>
    <w:rsid w:val="00293076"/>
    <w:rsid w:val="002937AA"/>
    <w:rsid w:val="0029644C"/>
    <w:rsid w:val="002B2112"/>
    <w:rsid w:val="002B3E70"/>
    <w:rsid w:val="002B6E91"/>
    <w:rsid w:val="002C1B4C"/>
    <w:rsid w:val="002C5581"/>
    <w:rsid w:val="002C59A2"/>
    <w:rsid w:val="002D2670"/>
    <w:rsid w:val="002D4579"/>
    <w:rsid w:val="002E436D"/>
    <w:rsid w:val="002E5290"/>
    <w:rsid w:val="002E6F8E"/>
    <w:rsid w:val="002E7911"/>
    <w:rsid w:val="002E7F68"/>
    <w:rsid w:val="002F0C95"/>
    <w:rsid w:val="002F1688"/>
    <w:rsid w:val="002F4AEF"/>
    <w:rsid w:val="003033C2"/>
    <w:rsid w:val="00307EBA"/>
    <w:rsid w:val="00311AD0"/>
    <w:rsid w:val="00313400"/>
    <w:rsid w:val="00313D5C"/>
    <w:rsid w:val="00317C8B"/>
    <w:rsid w:val="0033146A"/>
    <w:rsid w:val="003361EB"/>
    <w:rsid w:val="003409DE"/>
    <w:rsid w:val="00343664"/>
    <w:rsid w:val="003464A9"/>
    <w:rsid w:val="00350D40"/>
    <w:rsid w:val="00354CFD"/>
    <w:rsid w:val="003617B5"/>
    <w:rsid w:val="00366997"/>
    <w:rsid w:val="0037155A"/>
    <w:rsid w:val="003744D8"/>
    <w:rsid w:val="00380E64"/>
    <w:rsid w:val="00384802"/>
    <w:rsid w:val="00387C92"/>
    <w:rsid w:val="00392573"/>
    <w:rsid w:val="003952BB"/>
    <w:rsid w:val="00395AD5"/>
    <w:rsid w:val="003B58D0"/>
    <w:rsid w:val="003B79A3"/>
    <w:rsid w:val="003C7FDA"/>
    <w:rsid w:val="003D0047"/>
    <w:rsid w:val="003D31F4"/>
    <w:rsid w:val="003D4C3E"/>
    <w:rsid w:val="003E2574"/>
    <w:rsid w:val="003E5DF9"/>
    <w:rsid w:val="003F45F0"/>
    <w:rsid w:val="003F6DB5"/>
    <w:rsid w:val="004048AF"/>
    <w:rsid w:val="00433763"/>
    <w:rsid w:val="004419E9"/>
    <w:rsid w:val="004522EB"/>
    <w:rsid w:val="00453B08"/>
    <w:rsid w:val="00455146"/>
    <w:rsid w:val="00463A51"/>
    <w:rsid w:val="00470C84"/>
    <w:rsid w:val="0047228D"/>
    <w:rsid w:val="00476987"/>
    <w:rsid w:val="0048018B"/>
    <w:rsid w:val="004813CA"/>
    <w:rsid w:val="0048345D"/>
    <w:rsid w:val="004B2A6A"/>
    <w:rsid w:val="004B4B1B"/>
    <w:rsid w:val="004B53E5"/>
    <w:rsid w:val="004B57DC"/>
    <w:rsid w:val="004C0163"/>
    <w:rsid w:val="004C154D"/>
    <w:rsid w:val="004C762D"/>
    <w:rsid w:val="004D2AED"/>
    <w:rsid w:val="004D4879"/>
    <w:rsid w:val="004D7A66"/>
    <w:rsid w:val="004E018F"/>
    <w:rsid w:val="004E1F18"/>
    <w:rsid w:val="004E3EAC"/>
    <w:rsid w:val="004F0891"/>
    <w:rsid w:val="005031BC"/>
    <w:rsid w:val="00511C13"/>
    <w:rsid w:val="00512465"/>
    <w:rsid w:val="0052161F"/>
    <w:rsid w:val="00525EE7"/>
    <w:rsid w:val="00530968"/>
    <w:rsid w:val="00532290"/>
    <w:rsid w:val="0053343D"/>
    <w:rsid w:val="005359AB"/>
    <w:rsid w:val="00540E3F"/>
    <w:rsid w:val="00553A66"/>
    <w:rsid w:val="005610D6"/>
    <w:rsid w:val="00563669"/>
    <w:rsid w:val="0056385D"/>
    <w:rsid w:val="00565896"/>
    <w:rsid w:val="00567B1B"/>
    <w:rsid w:val="00567F84"/>
    <w:rsid w:val="00591187"/>
    <w:rsid w:val="005922DC"/>
    <w:rsid w:val="005A1D7F"/>
    <w:rsid w:val="005B427A"/>
    <w:rsid w:val="005B619F"/>
    <w:rsid w:val="005E0A68"/>
    <w:rsid w:val="005F3CB3"/>
    <w:rsid w:val="005F4222"/>
    <w:rsid w:val="00603E75"/>
    <w:rsid w:val="0060759D"/>
    <w:rsid w:val="0061091E"/>
    <w:rsid w:val="00616A72"/>
    <w:rsid w:val="00635BDA"/>
    <w:rsid w:val="00640AEA"/>
    <w:rsid w:val="00641DBB"/>
    <w:rsid w:val="00663718"/>
    <w:rsid w:val="00667657"/>
    <w:rsid w:val="00673981"/>
    <w:rsid w:val="00676F28"/>
    <w:rsid w:val="00677EAD"/>
    <w:rsid w:val="0068514C"/>
    <w:rsid w:val="006909A3"/>
    <w:rsid w:val="006953FE"/>
    <w:rsid w:val="0069760A"/>
    <w:rsid w:val="006A26BF"/>
    <w:rsid w:val="006A2996"/>
    <w:rsid w:val="006A2B6E"/>
    <w:rsid w:val="006B3FEC"/>
    <w:rsid w:val="006C192C"/>
    <w:rsid w:val="006C51F2"/>
    <w:rsid w:val="006D0953"/>
    <w:rsid w:val="006D0C20"/>
    <w:rsid w:val="006D4730"/>
    <w:rsid w:val="006D5213"/>
    <w:rsid w:val="006D7F44"/>
    <w:rsid w:val="006E5AA7"/>
    <w:rsid w:val="006E6B9F"/>
    <w:rsid w:val="00710C20"/>
    <w:rsid w:val="00721E1B"/>
    <w:rsid w:val="0072215C"/>
    <w:rsid w:val="0073280C"/>
    <w:rsid w:val="007335C1"/>
    <w:rsid w:val="00747EC8"/>
    <w:rsid w:val="00755046"/>
    <w:rsid w:val="00756A90"/>
    <w:rsid w:val="0076492A"/>
    <w:rsid w:val="007661DD"/>
    <w:rsid w:val="007706AF"/>
    <w:rsid w:val="00786F32"/>
    <w:rsid w:val="00786F70"/>
    <w:rsid w:val="0079683F"/>
    <w:rsid w:val="0079786F"/>
    <w:rsid w:val="007A2B2F"/>
    <w:rsid w:val="007A3AC1"/>
    <w:rsid w:val="007B1451"/>
    <w:rsid w:val="007B2323"/>
    <w:rsid w:val="007B48A3"/>
    <w:rsid w:val="007C3D82"/>
    <w:rsid w:val="007C52B6"/>
    <w:rsid w:val="007D384D"/>
    <w:rsid w:val="007D3B4A"/>
    <w:rsid w:val="007D487E"/>
    <w:rsid w:val="007D58C0"/>
    <w:rsid w:val="007D6652"/>
    <w:rsid w:val="008009C6"/>
    <w:rsid w:val="00803999"/>
    <w:rsid w:val="00804366"/>
    <w:rsid w:val="008055D2"/>
    <w:rsid w:val="00806E74"/>
    <w:rsid w:val="00810CAE"/>
    <w:rsid w:val="008261C8"/>
    <w:rsid w:val="00831F2A"/>
    <w:rsid w:val="0084268D"/>
    <w:rsid w:val="00842DFB"/>
    <w:rsid w:val="008614CB"/>
    <w:rsid w:val="0086261D"/>
    <w:rsid w:val="00862973"/>
    <w:rsid w:val="00865CC6"/>
    <w:rsid w:val="00870525"/>
    <w:rsid w:val="008714E5"/>
    <w:rsid w:val="00874652"/>
    <w:rsid w:val="00893A9A"/>
    <w:rsid w:val="008975B8"/>
    <w:rsid w:val="008A12A9"/>
    <w:rsid w:val="008A357B"/>
    <w:rsid w:val="008A4AFC"/>
    <w:rsid w:val="008B1F97"/>
    <w:rsid w:val="008D08E5"/>
    <w:rsid w:val="0090124A"/>
    <w:rsid w:val="009104C5"/>
    <w:rsid w:val="009172F2"/>
    <w:rsid w:val="00927561"/>
    <w:rsid w:val="00931808"/>
    <w:rsid w:val="00932A92"/>
    <w:rsid w:val="00944875"/>
    <w:rsid w:val="00945484"/>
    <w:rsid w:val="00962FB7"/>
    <w:rsid w:val="009636E3"/>
    <w:rsid w:val="00970455"/>
    <w:rsid w:val="009708FB"/>
    <w:rsid w:val="0097254A"/>
    <w:rsid w:val="009761B8"/>
    <w:rsid w:val="0098249E"/>
    <w:rsid w:val="00987687"/>
    <w:rsid w:val="009A2289"/>
    <w:rsid w:val="009A72D9"/>
    <w:rsid w:val="009B062C"/>
    <w:rsid w:val="009B4ED3"/>
    <w:rsid w:val="009C5EAC"/>
    <w:rsid w:val="009D05AB"/>
    <w:rsid w:val="009E71DA"/>
    <w:rsid w:val="009F2757"/>
    <w:rsid w:val="009F47D7"/>
    <w:rsid w:val="00A02125"/>
    <w:rsid w:val="00A0372B"/>
    <w:rsid w:val="00A03CFC"/>
    <w:rsid w:val="00A0614D"/>
    <w:rsid w:val="00A06D45"/>
    <w:rsid w:val="00A07B71"/>
    <w:rsid w:val="00A12E95"/>
    <w:rsid w:val="00A14993"/>
    <w:rsid w:val="00A2034F"/>
    <w:rsid w:val="00A20AED"/>
    <w:rsid w:val="00A21F4E"/>
    <w:rsid w:val="00A301BA"/>
    <w:rsid w:val="00A31E7D"/>
    <w:rsid w:val="00A50562"/>
    <w:rsid w:val="00A50BB1"/>
    <w:rsid w:val="00A54DCF"/>
    <w:rsid w:val="00A56123"/>
    <w:rsid w:val="00A617A8"/>
    <w:rsid w:val="00A62FD6"/>
    <w:rsid w:val="00A64C0C"/>
    <w:rsid w:val="00A70A31"/>
    <w:rsid w:val="00A7246E"/>
    <w:rsid w:val="00A86D89"/>
    <w:rsid w:val="00A91913"/>
    <w:rsid w:val="00A95B93"/>
    <w:rsid w:val="00AB3D57"/>
    <w:rsid w:val="00AC1453"/>
    <w:rsid w:val="00AC40FD"/>
    <w:rsid w:val="00AC4D2D"/>
    <w:rsid w:val="00AE4D8F"/>
    <w:rsid w:val="00AF0CCB"/>
    <w:rsid w:val="00AF3DD1"/>
    <w:rsid w:val="00B038C7"/>
    <w:rsid w:val="00B04C3D"/>
    <w:rsid w:val="00B06E65"/>
    <w:rsid w:val="00B23D8C"/>
    <w:rsid w:val="00B274D9"/>
    <w:rsid w:val="00B31303"/>
    <w:rsid w:val="00B33DC2"/>
    <w:rsid w:val="00B40ED2"/>
    <w:rsid w:val="00B425CF"/>
    <w:rsid w:val="00B42665"/>
    <w:rsid w:val="00B451E1"/>
    <w:rsid w:val="00B6056F"/>
    <w:rsid w:val="00B61490"/>
    <w:rsid w:val="00B6254E"/>
    <w:rsid w:val="00B6396C"/>
    <w:rsid w:val="00B6563B"/>
    <w:rsid w:val="00B662EF"/>
    <w:rsid w:val="00B86FFB"/>
    <w:rsid w:val="00B90206"/>
    <w:rsid w:val="00B9198F"/>
    <w:rsid w:val="00B92955"/>
    <w:rsid w:val="00B92A29"/>
    <w:rsid w:val="00B95800"/>
    <w:rsid w:val="00B95F36"/>
    <w:rsid w:val="00B96B09"/>
    <w:rsid w:val="00BA1315"/>
    <w:rsid w:val="00BA16A0"/>
    <w:rsid w:val="00BA4294"/>
    <w:rsid w:val="00BB3E31"/>
    <w:rsid w:val="00BC37A9"/>
    <w:rsid w:val="00BC4EC3"/>
    <w:rsid w:val="00BE4B63"/>
    <w:rsid w:val="00C0087A"/>
    <w:rsid w:val="00C05642"/>
    <w:rsid w:val="00C1080C"/>
    <w:rsid w:val="00C20A09"/>
    <w:rsid w:val="00C251F4"/>
    <w:rsid w:val="00C25C72"/>
    <w:rsid w:val="00C277A7"/>
    <w:rsid w:val="00C33D41"/>
    <w:rsid w:val="00C341D8"/>
    <w:rsid w:val="00C353C9"/>
    <w:rsid w:val="00C415E1"/>
    <w:rsid w:val="00C425F7"/>
    <w:rsid w:val="00C54A8F"/>
    <w:rsid w:val="00C54D67"/>
    <w:rsid w:val="00C56D97"/>
    <w:rsid w:val="00C62B6D"/>
    <w:rsid w:val="00C731BC"/>
    <w:rsid w:val="00C74726"/>
    <w:rsid w:val="00C75040"/>
    <w:rsid w:val="00C77412"/>
    <w:rsid w:val="00C829E7"/>
    <w:rsid w:val="00C87647"/>
    <w:rsid w:val="00C91DBE"/>
    <w:rsid w:val="00C93167"/>
    <w:rsid w:val="00CA210E"/>
    <w:rsid w:val="00CB5D6B"/>
    <w:rsid w:val="00CD4C9C"/>
    <w:rsid w:val="00CD7626"/>
    <w:rsid w:val="00CE7DDC"/>
    <w:rsid w:val="00CF1087"/>
    <w:rsid w:val="00CF3FCA"/>
    <w:rsid w:val="00CF5E91"/>
    <w:rsid w:val="00D064FC"/>
    <w:rsid w:val="00D07E35"/>
    <w:rsid w:val="00D207F5"/>
    <w:rsid w:val="00D2114D"/>
    <w:rsid w:val="00D21A31"/>
    <w:rsid w:val="00D21E52"/>
    <w:rsid w:val="00D30970"/>
    <w:rsid w:val="00D361EC"/>
    <w:rsid w:val="00D436D9"/>
    <w:rsid w:val="00D44E7C"/>
    <w:rsid w:val="00D507C2"/>
    <w:rsid w:val="00D7321F"/>
    <w:rsid w:val="00D732AD"/>
    <w:rsid w:val="00D805F6"/>
    <w:rsid w:val="00DA2055"/>
    <w:rsid w:val="00DA2A72"/>
    <w:rsid w:val="00DA50A3"/>
    <w:rsid w:val="00DA7405"/>
    <w:rsid w:val="00DB2A7B"/>
    <w:rsid w:val="00DB7DD7"/>
    <w:rsid w:val="00DC1A06"/>
    <w:rsid w:val="00DC37B1"/>
    <w:rsid w:val="00DD5200"/>
    <w:rsid w:val="00DD5E22"/>
    <w:rsid w:val="00DE1A28"/>
    <w:rsid w:val="00DE249F"/>
    <w:rsid w:val="00DE2B84"/>
    <w:rsid w:val="00DF142D"/>
    <w:rsid w:val="00DF5FB2"/>
    <w:rsid w:val="00E00C3F"/>
    <w:rsid w:val="00E04201"/>
    <w:rsid w:val="00E07C1D"/>
    <w:rsid w:val="00E111F3"/>
    <w:rsid w:val="00E1307D"/>
    <w:rsid w:val="00E1703C"/>
    <w:rsid w:val="00E17F6A"/>
    <w:rsid w:val="00E227C5"/>
    <w:rsid w:val="00E23470"/>
    <w:rsid w:val="00E236C9"/>
    <w:rsid w:val="00E356BF"/>
    <w:rsid w:val="00E37EA7"/>
    <w:rsid w:val="00E4016C"/>
    <w:rsid w:val="00E42A74"/>
    <w:rsid w:val="00E44667"/>
    <w:rsid w:val="00E54641"/>
    <w:rsid w:val="00E5496B"/>
    <w:rsid w:val="00E56D76"/>
    <w:rsid w:val="00E571FE"/>
    <w:rsid w:val="00E86C2F"/>
    <w:rsid w:val="00EB16EA"/>
    <w:rsid w:val="00EB3B09"/>
    <w:rsid w:val="00EC0E1F"/>
    <w:rsid w:val="00EC7C7E"/>
    <w:rsid w:val="00ED220C"/>
    <w:rsid w:val="00ED7A28"/>
    <w:rsid w:val="00EE5A36"/>
    <w:rsid w:val="00F20F23"/>
    <w:rsid w:val="00F216DF"/>
    <w:rsid w:val="00F27BB5"/>
    <w:rsid w:val="00F4477D"/>
    <w:rsid w:val="00F51277"/>
    <w:rsid w:val="00F55AC6"/>
    <w:rsid w:val="00F56E05"/>
    <w:rsid w:val="00F570D6"/>
    <w:rsid w:val="00F667E2"/>
    <w:rsid w:val="00F67832"/>
    <w:rsid w:val="00F67CD4"/>
    <w:rsid w:val="00F71036"/>
    <w:rsid w:val="00F823BE"/>
    <w:rsid w:val="00F853CE"/>
    <w:rsid w:val="00F9601B"/>
    <w:rsid w:val="00FA553A"/>
    <w:rsid w:val="00FA6B00"/>
    <w:rsid w:val="00FB2089"/>
    <w:rsid w:val="00FC4281"/>
    <w:rsid w:val="00FD1083"/>
    <w:rsid w:val="00FD172A"/>
    <w:rsid w:val="00FD4C9B"/>
    <w:rsid w:val="00FE47C9"/>
    <w:rsid w:val="00FF0ACA"/>
    <w:rsid w:val="00FF262A"/>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85A1"/>
  <w15:docId w15:val="{7DCF443F-7677-C64A-9D5A-47925A3B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BB"/>
    <w:pPr>
      <w:ind w:left="720"/>
      <w:contextualSpacing/>
    </w:pPr>
  </w:style>
  <w:style w:type="character" w:styleId="Hyperlink">
    <w:name w:val="Hyperlink"/>
    <w:basedOn w:val="DefaultParagraphFont"/>
    <w:uiPriority w:val="99"/>
    <w:unhideWhenUsed/>
    <w:rsid w:val="003952BB"/>
    <w:rPr>
      <w:color w:val="0563C1" w:themeColor="hyperlink"/>
      <w:u w:val="single"/>
    </w:rPr>
  </w:style>
  <w:style w:type="character" w:styleId="Emphasis">
    <w:name w:val="Emphasis"/>
    <w:basedOn w:val="DefaultParagraphFont"/>
    <w:uiPriority w:val="20"/>
    <w:qFormat/>
    <w:rsid w:val="003952BB"/>
    <w:rPr>
      <w:i/>
      <w:iCs/>
    </w:rPr>
  </w:style>
  <w:style w:type="table" w:styleId="TableGrid">
    <w:name w:val="Table Grid"/>
    <w:basedOn w:val="TableNormal"/>
    <w:uiPriority w:val="59"/>
    <w:rsid w:val="005E0A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0891"/>
    <w:rPr>
      <w:color w:val="954F72" w:themeColor="followedHyperlink"/>
      <w:u w:val="single"/>
    </w:rPr>
  </w:style>
  <w:style w:type="paragraph" w:styleId="BalloonText">
    <w:name w:val="Balloon Text"/>
    <w:basedOn w:val="Normal"/>
    <w:link w:val="BalloonTextChar"/>
    <w:uiPriority w:val="99"/>
    <w:semiHidden/>
    <w:unhideWhenUsed/>
    <w:rsid w:val="00A21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4E"/>
    <w:rPr>
      <w:rFonts w:ascii="Tahoma" w:hAnsi="Tahoma" w:cs="Tahoma"/>
      <w:sz w:val="16"/>
      <w:szCs w:val="16"/>
    </w:rPr>
  </w:style>
  <w:style w:type="character" w:customStyle="1" w:styleId="A6">
    <w:name w:val="A6"/>
    <w:uiPriority w:val="99"/>
    <w:rsid w:val="00153E10"/>
    <w:rPr>
      <w:rFonts w:cs="Interstate"/>
      <w:color w:val="000000"/>
      <w:sz w:val="16"/>
      <w:szCs w:val="16"/>
    </w:rPr>
  </w:style>
  <w:style w:type="character" w:styleId="CommentReference">
    <w:name w:val="annotation reference"/>
    <w:basedOn w:val="DefaultParagraphFont"/>
    <w:uiPriority w:val="99"/>
    <w:semiHidden/>
    <w:unhideWhenUsed/>
    <w:rsid w:val="0047228D"/>
    <w:rPr>
      <w:sz w:val="16"/>
      <w:szCs w:val="16"/>
    </w:rPr>
  </w:style>
  <w:style w:type="paragraph" w:styleId="CommentText">
    <w:name w:val="annotation text"/>
    <w:basedOn w:val="Normal"/>
    <w:link w:val="CommentTextChar"/>
    <w:uiPriority w:val="99"/>
    <w:semiHidden/>
    <w:unhideWhenUsed/>
    <w:rsid w:val="0047228D"/>
    <w:pPr>
      <w:spacing w:line="240" w:lineRule="auto"/>
    </w:pPr>
    <w:rPr>
      <w:sz w:val="20"/>
      <w:szCs w:val="20"/>
    </w:rPr>
  </w:style>
  <w:style w:type="character" w:customStyle="1" w:styleId="CommentTextChar">
    <w:name w:val="Comment Text Char"/>
    <w:basedOn w:val="DefaultParagraphFont"/>
    <w:link w:val="CommentText"/>
    <w:uiPriority w:val="99"/>
    <w:semiHidden/>
    <w:rsid w:val="0047228D"/>
    <w:rPr>
      <w:sz w:val="20"/>
      <w:szCs w:val="20"/>
    </w:rPr>
  </w:style>
  <w:style w:type="paragraph" w:styleId="CommentSubject">
    <w:name w:val="annotation subject"/>
    <w:basedOn w:val="CommentText"/>
    <w:next w:val="CommentText"/>
    <w:link w:val="CommentSubjectChar"/>
    <w:uiPriority w:val="99"/>
    <w:semiHidden/>
    <w:unhideWhenUsed/>
    <w:rsid w:val="0047228D"/>
    <w:rPr>
      <w:b/>
      <w:bCs/>
    </w:rPr>
  </w:style>
  <w:style w:type="character" w:customStyle="1" w:styleId="CommentSubjectChar">
    <w:name w:val="Comment Subject Char"/>
    <w:basedOn w:val="CommentTextChar"/>
    <w:link w:val="CommentSubject"/>
    <w:uiPriority w:val="99"/>
    <w:semiHidden/>
    <w:rsid w:val="0047228D"/>
    <w:rPr>
      <w:b/>
      <w:bCs/>
      <w:sz w:val="20"/>
      <w:szCs w:val="20"/>
    </w:rPr>
  </w:style>
  <w:style w:type="character" w:styleId="PlaceholderText">
    <w:name w:val="Placeholder Text"/>
    <w:basedOn w:val="DefaultParagraphFont"/>
    <w:uiPriority w:val="99"/>
    <w:semiHidden/>
    <w:rsid w:val="00C77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548">
      <w:bodyDiv w:val="1"/>
      <w:marLeft w:val="0"/>
      <w:marRight w:val="0"/>
      <w:marTop w:val="0"/>
      <w:marBottom w:val="0"/>
      <w:divBdr>
        <w:top w:val="none" w:sz="0" w:space="0" w:color="auto"/>
        <w:left w:val="none" w:sz="0" w:space="0" w:color="auto"/>
        <w:bottom w:val="none" w:sz="0" w:space="0" w:color="auto"/>
        <w:right w:val="none" w:sz="0" w:space="0" w:color="auto"/>
      </w:divBdr>
    </w:div>
    <w:div w:id="343556953">
      <w:bodyDiv w:val="1"/>
      <w:marLeft w:val="0"/>
      <w:marRight w:val="0"/>
      <w:marTop w:val="0"/>
      <w:marBottom w:val="0"/>
      <w:divBdr>
        <w:top w:val="none" w:sz="0" w:space="0" w:color="auto"/>
        <w:left w:val="none" w:sz="0" w:space="0" w:color="auto"/>
        <w:bottom w:val="none" w:sz="0" w:space="0" w:color="auto"/>
        <w:right w:val="none" w:sz="0" w:space="0" w:color="auto"/>
      </w:divBdr>
    </w:div>
    <w:div w:id="1103955959">
      <w:bodyDiv w:val="1"/>
      <w:marLeft w:val="0"/>
      <w:marRight w:val="0"/>
      <w:marTop w:val="0"/>
      <w:marBottom w:val="0"/>
      <w:divBdr>
        <w:top w:val="none" w:sz="0" w:space="0" w:color="auto"/>
        <w:left w:val="none" w:sz="0" w:space="0" w:color="auto"/>
        <w:bottom w:val="none" w:sz="0" w:space="0" w:color="auto"/>
        <w:right w:val="none" w:sz="0" w:space="0" w:color="auto"/>
      </w:divBdr>
    </w:div>
    <w:div w:id="1242522296">
      <w:bodyDiv w:val="1"/>
      <w:marLeft w:val="0"/>
      <w:marRight w:val="0"/>
      <w:marTop w:val="0"/>
      <w:marBottom w:val="0"/>
      <w:divBdr>
        <w:top w:val="none" w:sz="0" w:space="0" w:color="auto"/>
        <w:left w:val="none" w:sz="0" w:space="0" w:color="auto"/>
        <w:bottom w:val="none" w:sz="0" w:space="0" w:color="auto"/>
        <w:right w:val="none" w:sz="0" w:space="0" w:color="auto"/>
      </w:divBdr>
    </w:div>
    <w:div w:id="1242906689">
      <w:bodyDiv w:val="1"/>
      <w:marLeft w:val="0"/>
      <w:marRight w:val="0"/>
      <w:marTop w:val="0"/>
      <w:marBottom w:val="0"/>
      <w:divBdr>
        <w:top w:val="none" w:sz="0" w:space="0" w:color="auto"/>
        <w:left w:val="none" w:sz="0" w:space="0" w:color="auto"/>
        <w:bottom w:val="none" w:sz="0" w:space="0" w:color="auto"/>
        <w:right w:val="none" w:sz="0" w:space="0" w:color="auto"/>
      </w:divBdr>
    </w:div>
    <w:div w:id="1684474304">
      <w:bodyDiv w:val="1"/>
      <w:marLeft w:val="0"/>
      <w:marRight w:val="0"/>
      <w:marTop w:val="0"/>
      <w:marBottom w:val="0"/>
      <w:divBdr>
        <w:top w:val="none" w:sz="0" w:space="0" w:color="auto"/>
        <w:left w:val="none" w:sz="0" w:space="0" w:color="auto"/>
        <w:bottom w:val="none" w:sz="0" w:space="0" w:color="auto"/>
        <w:right w:val="none" w:sz="0" w:space="0" w:color="auto"/>
      </w:divBdr>
    </w:div>
    <w:div w:id="20423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0300-AA73-4333-BDF9-D5940395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18227</Words>
  <Characters>103894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121878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Manaan Kar Ray</dc:creator>
  <cp:lastModifiedBy>Michele Atiemo</cp:lastModifiedBy>
  <cp:revision>2</cp:revision>
  <cp:lastPrinted>2018-03-22T16:07:00Z</cp:lastPrinted>
  <dcterms:created xsi:type="dcterms:W3CDTF">2019-11-08T16:27:00Z</dcterms:created>
  <dcterms:modified xsi:type="dcterms:W3CDTF">2019-11-08T16:27:00Z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df34de08-3251-3b90-8c6b-a209f7bb1810</vt:lpwstr>
  </property>
  <property fmtid="{D5CDD505-2E9C-101B-9397-08002B2CF9AE}" pid="24" name="Mendeley Citation Style_1">
    <vt:lpwstr>http://www.zotero.org/styles/vancouver</vt:lpwstr>
  </property>
</Properties>
</file>