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5901" w:rsidRPr="00990234" w:rsidRDefault="009F70C7" w:rsidP="00DD2B39">
      <w:pPr>
        <w:suppressLineNumbers/>
        <w:spacing w:after="0" w:line="240" w:lineRule="auto"/>
        <w:ind w:right="-113"/>
        <w:rPr>
          <w:rFonts w:ascii="Times New Roman" w:hAnsi="Times New Roman" w:cs="Times New Roman"/>
        </w:rPr>
      </w:pPr>
      <w:r w:rsidRPr="00990234">
        <w:rPr>
          <w:rFonts w:ascii="Times New Roman" w:hAnsi="Times New Roman" w:cs="Times New Roman"/>
          <w:b/>
        </w:rPr>
        <w:t>Running head</w:t>
      </w:r>
      <w:r w:rsidR="00A45901" w:rsidRPr="00990234">
        <w:rPr>
          <w:rFonts w:ascii="Times New Roman" w:hAnsi="Times New Roman" w:cs="Times New Roman"/>
          <w:b/>
        </w:rPr>
        <w:t>:</w:t>
      </w:r>
      <w:r w:rsidR="00A45901" w:rsidRPr="00990234">
        <w:rPr>
          <w:rFonts w:ascii="Times New Roman" w:hAnsi="Times New Roman" w:cs="Times New Roman"/>
        </w:rPr>
        <w:t xml:space="preserve"> </w:t>
      </w:r>
      <w:r w:rsidR="00A95A81" w:rsidRPr="00990234">
        <w:rPr>
          <w:rFonts w:ascii="Times New Roman" w:hAnsi="Times New Roman" w:cs="Times New Roman"/>
        </w:rPr>
        <w:t>DISSOCIATING TASTE PREDICTION ERROR AND SALIENCE</w:t>
      </w:r>
    </w:p>
    <w:p w:rsidR="008A4BDB" w:rsidRPr="00990234" w:rsidRDefault="008A4BDB" w:rsidP="00DD2B39">
      <w:pPr>
        <w:suppressLineNumbers/>
        <w:spacing w:after="0" w:line="240" w:lineRule="auto"/>
        <w:ind w:right="-113"/>
        <w:rPr>
          <w:rFonts w:ascii="Times New Roman" w:hAnsi="Times New Roman" w:cs="Times New Roman"/>
        </w:rPr>
      </w:pPr>
    </w:p>
    <w:p w:rsidR="002B2274" w:rsidRPr="00990234" w:rsidRDefault="00FF2A37" w:rsidP="00DD2B39">
      <w:pPr>
        <w:suppressLineNumbers/>
        <w:spacing w:after="0" w:line="240" w:lineRule="auto"/>
        <w:ind w:right="-113" w:firstLine="720"/>
        <w:jc w:val="center"/>
        <w:rPr>
          <w:rFonts w:ascii="Times New Roman" w:hAnsi="Times New Roman" w:cs="Times New Roman"/>
          <w:b/>
          <w:bCs/>
        </w:rPr>
      </w:pPr>
      <w:bookmarkStart w:id="0" w:name="OLE_LINK5"/>
      <w:bookmarkStart w:id="1" w:name="OLE_LINK6"/>
      <w:r w:rsidRPr="00990234">
        <w:rPr>
          <w:rFonts w:ascii="Times New Roman" w:hAnsi="Times New Roman" w:cs="Times New Roman"/>
        </w:rPr>
        <w:t xml:space="preserve"> </w:t>
      </w:r>
      <w:r w:rsidRPr="00990234">
        <w:rPr>
          <w:rFonts w:ascii="Times New Roman" w:hAnsi="Times New Roman" w:cs="Times New Roman"/>
          <w:b/>
          <w:bCs/>
        </w:rPr>
        <w:t>Temporal dissociation of salience and prediction error responses to appetitive and aversive taste</w:t>
      </w:r>
      <w:r w:rsidR="002B2274" w:rsidRPr="00990234">
        <w:rPr>
          <w:rFonts w:ascii="Times New Roman" w:hAnsi="Times New Roman" w:cs="Times New Roman"/>
          <w:b/>
          <w:bCs/>
        </w:rPr>
        <w:t xml:space="preserve"> </w:t>
      </w:r>
    </w:p>
    <w:p w:rsidR="00A45901" w:rsidRPr="00990234" w:rsidRDefault="00A45901" w:rsidP="00DD2B39">
      <w:pPr>
        <w:suppressLineNumbers/>
        <w:spacing w:after="0" w:line="240" w:lineRule="auto"/>
        <w:ind w:right="-113"/>
        <w:jc w:val="center"/>
        <w:rPr>
          <w:rFonts w:ascii="Times New Roman" w:hAnsi="Times New Roman" w:cs="Times New Roman"/>
          <w:b/>
          <w:bCs/>
        </w:rPr>
      </w:pPr>
      <w:proofErr w:type="gramStart"/>
      <w:r w:rsidRPr="00990234">
        <w:rPr>
          <w:rFonts w:ascii="Times New Roman" w:hAnsi="Times New Roman" w:cs="Times New Roman"/>
        </w:rPr>
        <w:t>Hird</w:t>
      </w:r>
      <w:r w:rsidRPr="00990234">
        <w:rPr>
          <w:rFonts w:ascii="Times New Roman" w:hAnsi="Times New Roman" w:cs="Times New Roman"/>
          <w:vertAlign w:val="superscript"/>
        </w:rPr>
        <w:t>1</w:t>
      </w:r>
      <w:r w:rsidRPr="00990234">
        <w:rPr>
          <w:rFonts w:ascii="Times New Roman" w:hAnsi="Times New Roman" w:cs="Times New Roman"/>
        </w:rPr>
        <w:t>, E., El-Deredy</w:t>
      </w:r>
      <w:r w:rsidRPr="00990234">
        <w:rPr>
          <w:rFonts w:ascii="Times New Roman" w:hAnsi="Times New Roman" w:cs="Times New Roman"/>
          <w:vertAlign w:val="superscript"/>
        </w:rPr>
        <w:t>1</w:t>
      </w:r>
      <w:r w:rsidRPr="00990234">
        <w:rPr>
          <w:rFonts w:ascii="Times New Roman" w:hAnsi="Times New Roman" w:cs="Times New Roman"/>
        </w:rPr>
        <w:t xml:space="preserve">, W., </w:t>
      </w:r>
      <w:r w:rsidR="006C7C15" w:rsidRPr="00990234">
        <w:rPr>
          <w:rFonts w:ascii="Times New Roman" w:hAnsi="Times New Roman" w:cs="Times New Roman"/>
        </w:rPr>
        <w:t>Jones</w:t>
      </w:r>
      <w:r w:rsidR="006C7C15" w:rsidRPr="00990234">
        <w:rPr>
          <w:rFonts w:ascii="Times New Roman" w:hAnsi="Times New Roman" w:cs="Times New Roman"/>
          <w:vertAlign w:val="superscript"/>
        </w:rPr>
        <w:t>1</w:t>
      </w:r>
      <w:r w:rsidR="006C7C15" w:rsidRPr="00990234">
        <w:rPr>
          <w:rFonts w:ascii="Times New Roman" w:hAnsi="Times New Roman" w:cs="Times New Roman"/>
        </w:rPr>
        <w:t xml:space="preserve">, A., </w:t>
      </w:r>
      <w:r w:rsidRPr="00990234">
        <w:rPr>
          <w:rFonts w:ascii="Times New Roman" w:hAnsi="Times New Roman" w:cs="Times New Roman"/>
        </w:rPr>
        <w:t>and Talmi</w:t>
      </w:r>
      <w:r w:rsidRPr="00990234">
        <w:rPr>
          <w:rFonts w:ascii="Times New Roman" w:hAnsi="Times New Roman" w:cs="Times New Roman"/>
          <w:vertAlign w:val="superscript"/>
        </w:rPr>
        <w:t>1</w:t>
      </w:r>
      <w:r w:rsidRPr="00990234">
        <w:rPr>
          <w:rFonts w:ascii="Times New Roman" w:hAnsi="Times New Roman" w:cs="Times New Roman"/>
        </w:rPr>
        <w:t>, D.</w:t>
      </w:r>
      <w:proofErr w:type="gramEnd"/>
    </w:p>
    <w:p w:rsidR="00A45901" w:rsidRPr="00990234" w:rsidRDefault="00A45901" w:rsidP="00DD2B39">
      <w:pPr>
        <w:suppressLineNumbers/>
        <w:spacing w:after="0" w:line="240" w:lineRule="auto"/>
        <w:ind w:right="-113"/>
        <w:rPr>
          <w:rFonts w:ascii="Times New Roman" w:hAnsi="Times New Roman" w:cs="Times New Roman"/>
          <w:b/>
        </w:rPr>
      </w:pPr>
      <w:r w:rsidRPr="00990234">
        <w:rPr>
          <w:rFonts w:ascii="Times New Roman" w:hAnsi="Times New Roman" w:cs="Times New Roman"/>
          <w:b/>
        </w:rPr>
        <w:t>Affiliations</w:t>
      </w:r>
    </w:p>
    <w:p w:rsidR="00A45901" w:rsidRPr="00990234" w:rsidRDefault="00A45901" w:rsidP="003B7F76">
      <w:pPr>
        <w:pStyle w:val="ListParagraph"/>
        <w:numPr>
          <w:ilvl w:val="0"/>
          <w:numId w:val="2"/>
        </w:numPr>
        <w:suppressLineNumbers/>
        <w:spacing w:after="0" w:line="240" w:lineRule="auto"/>
        <w:ind w:right="-113"/>
        <w:rPr>
          <w:rFonts w:ascii="Times New Roman" w:hAnsi="Times New Roman" w:cs="Times New Roman"/>
        </w:rPr>
      </w:pPr>
      <w:r w:rsidRPr="00990234">
        <w:rPr>
          <w:rFonts w:ascii="Times New Roman" w:hAnsi="Times New Roman" w:cs="Times New Roman"/>
        </w:rPr>
        <w:t>Division of Neuroscience and Experimental Psychology, University of Manchester, United Kingdom</w:t>
      </w:r>
      <w:r w:rsidRPr="00990234">
        <w:rPr>
          <w:rFonts w:ascii="Times New Roman" w:hAnsi="Times New Roman" w:cs="Times New Roman"/>
          <w:shd w:val="clear" w:color="auto" w:fill="FFFFFF"/>
        </w:rPr>
        <w:t>, M139GB</w:t>
      </w:r>
    </w:p>
    <w:bookmarkEnd w:id="0"/>
    <w:bookmarkEnd w:id="1"/>
    <w:p w:rsidR="00477B59" w:rsidRPr="00990234" w:rsidRDefault="00477B59" w:rsidP="00DD2B39">
      <w:pPr>
        <w:suppressLineNumbers/>
        <w:spacing w:after="0" w:line="240" w:lineRule="auto"/>
        <w:ind w:right="-113"/>
        <w:rPr>
          <w:rFonts w:ascii="Times New Roman" w:hAnsi="Times New Roman" w:cs="Times New Roman"/>
          <w:b/>
        </w:rPr>
      </w:pPr>
    </w:p>
    <w:p w:rsidR="007C5ACF" w:rsidRPr="00990234" w:rsidRDefault="007C5ACF" w:rsidP="00DD2B39">
      <w:pPr>
        <w:suppressLineNumbers/>
        <w:spacing w:after="0" w:line="240" w:lineRule="auto"/>
        <w:ind w:right="-113"/>
        <w:rPr>
          <w:rFonts w:ascii="Times New Roman" w:hAnsi="Times New Roman" w:cs="Times New Roman"/>
          <w:b/>
        </w:rPr>
      </w:pPr>
      <w:r w:rsidRPr="00990234">
        <w:rPr>
          <w:rFonts w:ascii="Times New Roman" w:hAnsi="Times New Roman" w:cs="Times New Roman"/>
          <w:b/>
        </w:rPr>
        <w:t>Author information</w:t>
      </w:r>
    </w:p>
    <w:p w:rsidR="000C3522" w:rsidRPr="00990234" w:rsidRDefault="00A45901" w:rsidP="00DD2B39">
      <w:pPr>
        <w:suppressLineNumbers/>
        <w:spacing w:after="0" w:line="240" w:lineRule="auto"/>
        <w:ind w:right="-113"/>
        <w:rPr>
          <w:rFonts w:ascii="Times New Roman" w:hAnsi="Times New Roman" w:cs="Times New Roman"/>
          <w:b/>
        </w:rPr>
      </w:pPr>
      <w:r w:rsidRPr="00990234">
        <w:rPr>
          <w:rFonts w:ascii="Times New Roman" w:hAnsi="Times New Roman" w:cs="Times New Roman"/>
          <w:b/>
        </w:rPr>
        <w:t>Corresponding author</w:t>
      </w:r>
    </w:p>
    <w:p w:rsidR="00A45901" w:rsidRPr="00990234" w:rsidRDefault="00A45901" w:rsidP="00DD2B39">
      <w:pPr>
        <w:suppressLineNumbers/>
        <w:spacing w:after="0" w:line="240" w:lineRule="auto"/>
        <w:ind w:right="-113"/>
        <w:rPr>
          <w:rFonts w:ascii="Times New Roman" w:hAnsi="Times New Roman" w:cs="Times New Roman"/>
          <w:shd w:val="clear" w:color="auto" w:fill="FFFFFF"/>
        </w:rPr>
      </w:pPr>
      <w:proofErr w:type="gramStart"/>
      <w:r w:rsidRPr="00990234">
        <w:rPr>
          <w:rFonts w:ascii="Times New Roman" w:hAnsi="Times New Roman" w:cs="Times New Roman"/>
        </w:rPr>
        <w:t xml:space="preserve">Miss Emily Hird, </w:t>
      </w:r>
      <w:proofErr w:type="spellStart"/>
      <w:r w:rsidRPr="00990234">
        <w:rPr>
          <w:rFonts w:ascii="Times New Roman" w:hAnsi="Times New Roman" w:cs="Times New Roman"/>
        </w:rPr>
        <w:t>Zochonis</w:t>
      </w:r>
      <w:proofErr w:type="spellEnd"/>
      <w:r w:rsidRPr="00990234">
        <w:rPr>
          <w:rFonts w:ascii="Times New Roman" w:hAnsi="Times New Roman" w:cs="Times New Roman"/>
        </w:rPr>
        <w:t xml:space="preserve"> building, Division of Neuroscience and Experimental Psychology, University of Manchester, United Kingdom</w:t>
      </w:r>
      <w:r w:rsidRPr="00990234">
        <w:rPr>
          <w:rFonts w:ascii="Times New Roman" w:hAnsi="Times New Roman" w:cs="Times New Roman"/>
          <w:shd w:val="clear" w:color="auto" w:fill="FFFFFF"/>
        </w:rPr>
        <w:t>, M139GB.</w:t>
      </w:r>
      <w:proofErr w:type="gramEnd"/>
      <w:r w:rsidRPr="00990234">
        <w:rPr>
          <w:rFonts w:ascii="Times New Roman" w:hAnsi="Times New Roman" w:cs="Times New Roman"/>
          <w:shd w:val="clear" w:color="auto" w:fill="FFFFFF"/>
        </w:rPr>
        <w:t xml:space="preserve"> </w:t>
      </w:r>
      <w:hyperlink r:id="rId9" w:history="1">
        <w:r w:rsidRPr="00990234">
          <w:rPr>
            <w:rStyle w:val="Hyperlink"/>
            <w:rFonts w:ascii="Times New Roman" w:hAnsi="Times New Roman" w:cs="Times New Roman"/>
            <w:color w:val="auto"/>
            <w:shd w:val="clear" w:color="auto" w:fill="FFFFFF"/>
          </w:rPr>
          <w:t>emily.hird@manchester.ac.uk</w:t>
        </w:r>
      </w:hyperlink>
      <w:r w:rsidRPr="00990234">
        <w:rPr>
          <w:rFonts w:ascii="Times New Roman" w:hAnsi="Times New Roman" w:cs="Times New Roman"/>
          <w:shd w:val="clear" w:color="auto" w:fill="FFFFFF"/>
        </w:rPr>
        <w:t>. Telephone number: 01613060437</w:t>
      </w:r>
    </w:p>
    <w:p w:rsidR="00B74480" w:rsidRPr="00990234" w:rsidRDefault="00B74480" w:rsidP="00DD2B39">
      <w:pPr>
        <w:suppressLineNumbers/>
        <w:spacing w:after="0" w:line="240" w:lineRule="auto"/>
        <w:ind w:right="-113"/>
        <w:rPr>
          <w:rFonts w:ascii="Times New Roman" w:hAnsi="Times New Roman" w:cs="Times New Roman"/>
        </w:rPr>
      </w:pPr>
    </w:p>
    <w:p w:rsidR="003B7F76" w:rsidRPr="00990234" w:rsidRDefault="003B7F76" w:rsidP="003B7F76">
      <w:pPr>
        <w:suppressLineNumbers/>
        <w:tabs>
          <w:tab w:val="left" w:pos="4962"/>
        </w:tabs>
        <w:spacing w:after="0" w:line="240" w:lineRule="auto"/>
        <w:ind w:right="-113"/>
        <w:rPr>
          <w:rFonts w:ascii="Times New Roman" w:hAnsi="Times New Roman" w:cs="Times New Roman"/>
          <w:b/>
          <w:bCs/>
        </w:rPr>
      </w:pPr>
    </w:p>
    <w:p w:rsidR="003B7F76" w:rsidRPr="00990234" w:rsidRDefault="003B7F76" w:rsidP="003B7F76">
      <w:pPr>
        <w:suppressLineNumbers/>
        <w:tabs>
          <w:tab w:val="left" w:pos="4962"/>
        </w:tabs>
        <w:spacing w:after="0" w:line="240" w:lineRule="auto"/>
        <w:ind w:right="-113"/>
        <w:rPr>
          <w:rFonts w:ascii="Times New Roman" w:hAnsi="Times New Roman" w:cs="Times New Roman"/>
          <w:b/>
          <w:bCs/>
        </w:rPr>
      </w:pPr>
    </w:p>
    <w:p w:rsidR="003B7F76" w:rsidRPr="00990234" w:rsidRDefault="003B7F76" w:rsidP="003B7F76">
      <w:pPr>
        <w:suppressLineNumbers/>
        <w:tabs>
          <w:tab w:val="left" w:pos="4962"/>
        </w:tabs>
        <w:spacing w:after="0" w:line="240" w:lineRule="auto"/>
        <w:ind w:right="-113"/>
        <w:rPr>
          <w:rFonts w:ascii="Times New Roman" w:hAnsi="Times New Roman" w:cs="Times New Roman"/>
          <w:b/>
          <w:bCs/>
        </w:rPr>
      </w:pPr>
    </w:p>
    <w:p w:rsidR="003B7F76" w:rsidRPr="00990234" w:rsidRDefault="003B7F76" w:rsidP="003B7F76">
      <w:pPr>
        <w:suppressLineNumbers/>
        <w:tabs>
          <w:tab w:val="left" w:pos="4962"/>
        </w:tabs>
        <w:spacing w:after="0" w:line="240" w:lineRule="auto"/>
        <w:ind w:right="-113"/>
        <w:rPr>
          <w:rFonts w:ascii="Times New Roman" w:hAnsi="Times New Roman" w:cs="Times New Roman"/>
          <w:b/>
          <w:bCs/>
        </w:rPr>
      </w:pPr>
    </w:p>
    <w:p w:rsidR="003B7F76" w:rsidRPr="00990234" w:rsidRDefault="003B7F76" w:rsidP="003B7F76">
      <w:pPr>
        <w:suppressLineNumbers/>
        <w:tabs>
          <w:tab w:val="left" w:pos="4962"/>
        </w:tabs>
        <w:spacing w:after="0" w:line="240" w:lineRule="auto"/>
        <w:ind w:right="-113"/>
        <w:rPr>
          <w:rFonts w:ascii="Times New Roman" w:hAnsi="Times New Roman" w:cs="Times New Roman"/>
          <w:b/>
          <w:bCs/>
        </w:rPr>
      </w:pPr>
    </w:p>
    <w:p w:rsidR="003B7F76" w:rsidRPr="00990234" w:rsidRDefault="003B7F76" w:rsidP="003B7F76">
      <w:pPr>
        <w:suppressLineNumbers/>
        <w:tabs>
          <w:tab w:val="left" w:pos="4962"/>
        </w:tabs>
        <w:spacing w:after="0" w:line="240" w:lineRule="auto"/>
        <w:ind w:right="-113"/>
        <w:rPr>
          <w:rFonts w:ascii="Times New Roman" w:hAnsi="Times New Roman" w:cs="Times New Roman"/>
          <w:b/>
          <w:bCs/>
        </w:rPr>
      </w:pPr>
    </w:p>
    <w:p w:rsidR="003B7F76" w:rsidRPr="00990234" w:rsidRDefault="003B7F76" w:rsidP="003B7F76">
      <w:pPr>
        <w:suppressLineNumbers/>
        <w:tabs>
          <w:tab w:val="left" w:pos="4962"/>
        </w:tabs>
        <w:spacing w:after="0" w:line="240" w:lineRule="auto"/>
        <w:ind w:right="-113"/>
        <w:rPr>
          <w:rFonts w:ascii="Times New Roman" w:hAnsi="Times New Roman" w:cs="Times New Roman"/>
          <w:b/>
          <w:bCs/>
        </w:rPr>
      </w:pPr>
    </w:p>
    <w:p w:rsidR="003B7F76" w:rsidRPr="00990234" w:rsidRDefault="003B7F76" w:rsidP="003B7F76">
      <w:pPr>
        <w:suppressLineNumbers/>
        <w:tabs>
          <w:tab w:val="left" w:pos="4962"/>
        </w:tabs>
        <w:spacing w:after="0" w:line="240" w:lineRule="auto"/>
        <w:ind w:right="-113"/>
        <w:rPr>
          <w:rFonts w:ascii="Times New Roman" w:hAnsi="Times New Roman" w:cs="Times New Roman"/>
          <w:b/>
          <w:bCs/>
        </w:rPr>
      </w:pPr>
    </w:p>
    <w:p w:rsidR="003B7F76" w:rsidRPr="00990234" w:rsidRDefault="003B7F76" w:rsidP="003B7F76">
      <w:pPr>
        <w:suppressLineNumbers/>
        <w:tabs>
          <w:tab w:val="left" w:pos="4962"/>
        </w:tabs>
        <w:spacing w:after="0" w:line="240" w:lineRule="auto"/>
        <w:ind w:right="-113"/>
        <w:rPr>
          <w:rFonts w:ascii="Times New Roman" w:hAnsi="Times New Roman" w:cs="Times New Roman"/>
          <w:b/>
          <w:bCs/>
        </w:rPr>
      </w:pPr>
    </w:p>
    <w:p w:rsidR="003B7F76" w:rsidRPr="00990234" w:rsidRDefault="003B7F76" w:rsidP="003B7F76">
      <w:pPr>
        <w:suppressLineNumbers/>
        <w:tabs>
          <w:tab w:val="left" w:pos="4962"/>
        </w:tabs>
        <w:spacing w:after="0" w:line="240" w:lineRule="auto"/>
        <w:ind w:right="-113"/>
        <w:rPr>
          <w:rFonts w:ascii="Times New Roman" w:hAnsi="Times New Roman" w:cs="Times New Roman"/>
          <w:b/>
          <w:bCs/>
        </w:rPr>
      </w:pPr>
    </w:p>
    <w:p w:rsidR="003B7F76" w:rsidRPr="00990234" w:rsidRDefault="003B7F76" w:rsidP="003B7F76">
      <w:pPr>
        <w:suppressLineNumbers/>
        <w:tabs>
          <w:tab w:val="left" w:pos="4962"/>
        </w:tabs>
        <w:spacing w:after="0" w:line="240" w:lineRule="auto"/>
        <w:ind w:right="-113"/>
        <w:rPr>
          <w:rFonts w:ascii="Times New Roman" w:hAnsi="Times New Roman" w:cs="Times New Roman"/>
          <w:b/>
          <w:bCs/>
        </w:rPr>
      </w:pPr>
    </w:p>
    <w:p w:rsidR="003B7F76" w:rsidRPr="00990234" w:rsidRDefault="003B7F76" w:rsidP="003B7F76">
      <w:pPr>
        <w:suppressLineNumbers/>
        <w:tabs>
          <w:tab w:val="left" w:pos="4962"/>
        </w:tabs>
        <w:spacing w:after="0" w:line="240" w:lineRule="auto"/>
        <w:ind w:right="-113"/>
        <w:rPr>
          <w:rFonts w:ascii="Times New Roman" w:hAnsi="Times New Roman" w:cs="Times New Roman"/>
          <w:b/>
          <w:bCs/>
        </w:rPr>
      </w:pPr>
    </w:p>
    <w:p w:rsidR="003B7F76" w:rsidRPr="00990234" w:rsidRDefault="003B7F76" w:rsidP="003B7F76">
      <w:pPr>
        <w:suppressLineNumbers/>
        <w:tabs>
          <w:tab w:val="left" w:pos="4962"/>
        </w:tabs>
        <w:spacing w:after="0" w:line="240" w:lineRule="auto"/>
        <w:ind w:right="-113"/>
        <w:rPr>
          <w:rFonts w:ascii="Times New Roman" w:hAnsi="Times New Roman" w:cs="Times New Roman"/>
          <w:b/>
          <w:bCs/>
        </w:rPr>
      </w:pPr>
    </w:p>
    <w:p w:rsidR="003B7F76" w:rsidRPr="00990234" w:rsidRDefault="003B7F76" w:rsidP="003B7F76">
      <w:pPr>
        <w:suppressLineNumbers/>
        <w:tabs>
          <w:tab w:val="left" w:pos="4962"/>
        </w:tabs>
        <w:spacing w:after="0" w:line="240" w:lineRule="auto"/>
        <w:ind w:right="-113"/>
        <w:rPr>
          <w:rFonts w:ascii="Times New Roman" w:hAnsi="Times New Roman" w:cs="Times New Roman"/>
          <w:b/>
          <w:bCs/>
        </w:rPr>
      </w:pPr>
    </w:p>
    <w:p w:rsidR="003B7F76" w:rsidRPr="00990234" w:rsidRDefault="003B7F76" w:rsidP="003B7F76">
      <w:pPr>
        <w:suppressLineNumbers/>
        <w:tabs>
          <w:tab w:val="left" w:pos="4962"/>
        </w:tabs>
        <w:spacing w:after="0" w:line="240" w:lineRule="auto"/>
        <w:ind w:right="-113"/>
        <w:rPr>
          <w:rFonts w:ascii="Times New Roman" w:hAnsi="Times New Roman" w:cs="Times New Roman"/>
          <w:b/>
          <w:bCs/>
        </w:rPr>
      </w:pPr>
    </w:p>
    <w:p w:rsidR="003B7F76" w:rsidRPr="00990234" w:rsidRDefault="003B7F76" w:rsidP="003B7F76">
      <w:pPr>
        <w:suppressLineNumbers/>
        <w:tabs>
          <w:tab w:val="left" w:pos="4962"/>
        </w:tabs>
        <w:spacing w:after="0" w:line="240" w:lineRule="auto"/>
        <w:ind w:right="-113"/>
        <w:rPr>
          <w:rFonts w:ascii="Times New Roman" w:hAnsi="Times New Roman" w:cs="Times New Roman"/>
          <w:b/>
          <w:bCs/>
        </w:rPr>
      </w:pPr>
    </w:p>
    <w:p w:rsidR="003B7F76" w:rsidRPr="00990234" w:rsidRDefault="003B7F76" w:rsidP="003B7F76">
      <w:pPr>
        <w:suppressLineNumbers/>
        <w:tabs>
          <w:tab w:val="left" w:pos="4962"/>
        </w:tabs>
        <w:spacing w:after="0" w:line="240" w:lineRule="auto"/>
        <w:ind w:right="-113"/>
        <w:rPr>
          <w:rFonts w:ascii="Times New Roman" w:hAnsi="Times New Roman" w:cs="Times New Roman"/>
          <w:b/>
          <w:bCs/>
        </w:rPr>
      </w:pPr>
    </w:p>
    <w:p w:rsidR="003B7F76" w:rsidRPr="00990234" w:rsidRDefault="003B7F76" w:rsidP="003B7F76">
      <w:pPr>
        <w:suppressLineNumbers/>
        <w:tabs>
          <w:tab w:val="left" w:pos="4962"/>
        </w:tabs>
        <w:spacing w:after="0" w:line="240" w:lineRule="auto"/>
        <w:ind w:right="-113"/>
        <w:rPr>
          <w:rFonts w:ascii="Times New Roman" w:hAnsi="Times New Roman" w:cs="Times New Roman"/>
          <w:b/>
          <w:bCs/>
        </w:rPr>
      </w:pPr>
    </w:p>
    <w:p w:rsidR="003B7F76" w:rsidRPr="00990234" w:rsidRDefault="003B7F76" w:rsidP="003B7F76">
      <w:pPr>
        <w:suppressLineNumbers/>
        <w:tabs>
          <w:tab w:val="left" w:pos="4962"/>
        </w:tabs>
        <w:spacing w:after="0" w:line="240" w:lineRule="auto"/>
        <w:ind w:right="-113"/>
        <w:rPr>
          <w:rFonts w:ascii="Times New Roman" w:hAnsi="Times New Roman" w:cs="Times New Roman"/>
          <w:b/>
          <w:bCs/>
        </w:rPr>
      </w:pPr>
    </w:p>
    <w:p w:rsidR="003B7F76" w:rsidRPr="00990234" w:rsidRDefault="003B7F76" w:rsidP="003B7F76">
      <w:pPr>
        <w:suppressLineNumbers/>
        <w:tabs>
          <w:tab w:val="left" w:pos="4962"/>
        </w:tabs>
        <w:spacing w:after="0" w:line="240" w:lineRule="auto"/>
        <w:ind w:right="-113"/>
        <w:rPr>
          <w:rFonts w:ascii="Times New Roman" w:hAnsi="Times New Roman" w:cs="Times New Roman"/>
          <w:b/>
          <w:bCs/>
        </w:rPr>
      </w:pPr>
    </w:p>
    <w:p w:rsidR="003B7F76" w:rsidRPr="00990234" w:rsidRDefault="003B7F76" w:rsidP="003B7F76">
      <w:pPr>
        <w:suppressLineNumbers/>
        <w:tabs>
          <w:tab w:val="left" w:pos="4962"/>
        </w:tabs>
        <w:spacing w:after="0" w:line="240" w:lineRule="auto"/>
        <w:ind w:right="-113"/>
        <w:rPr>
          <w:rFonts w:ascii="Times New Roman" w:hAnsi="Times New Roman" w:cs="Times New Roman"/>
          <w:b/>
          <w:bCs/>
        </w:rPr>
      </w:pPr>
    </w:p>
    <w:p w:rsidR="003B7F76" w:rsidRPr="00990234" w:rsidRDefault="003B7F76" w:rsidP="003B7F76">
      <w:pPr>
        <w:suppressLineNumbers/>
        <w:tabs>
          <w:tab w:val="left" w:pos="4962"/>
        </w:tabs>
        <w:spacing w:after="0" w:line="240" w:lineRule="auto"/>
        <w:ind w:right="-113"/>
        <w:rPr>
          <w:rFonts w:ascii="Times New Roman" w:hAnsi="Times New Roman" w:cs="Times New Roman"/>
          <w:b/>
          <w:bCs/>
        </w:rPr>
      </w:pPr>
    </w:p>
    <w:p w:rsidR="003B7F76" w:rsidRPr="00990234" w:rsidRDefault="003B7F76" w:rsidP="003B7F76">
      <w:pPr>
        <w:suppressLineNumbers/>
        <w:tabs>
          <w:tab w:val="left" w:pos="4962"/>
        </w:tabs>
        <w:spacing w:after="0" w:line="240" w:lineRule="auto"/>
        <w:ind w:right="-113"/>
        <w:rPr>
          <w:rFonts w:ascii="Times New Roman" w:hAnsi="Times New Roman" w:cs="Times New Roman"/>
          <w:b/>
          <w:bCs/>
        </w:rPr>
      </w:pPr>
    </w:p>
    <w:p w:rsidR="003B7F76" w:rsidRPr="00990234" w:rsidRDefault="003B7F76" w:rsidP="003B7F76">
      <w:pPr>
        <w:suppressLineNumbers/>
        <w:tabs>
          <w:tab w:val="left" w:pos="4962"/>
        </w:tabs>
        <w:spacing w:after="0" w:line="240" w:lineRule="auto"/>
        <w:ind w:right="-113"/>
        <w:rPr>
          <w:rFonts w:ascii="Times New Roman" w:hAnsi="Times New Roman" w:cs="Times New Roman"/>
          <w:b/>
          <w:bCs/>
        </w:rPr>
      </w:pPr>
    </w:p>
    <w:p w:rsidR="00B01F9F" w:rsidRPr="00990234" w:rsidRDefault="00B01F9F" w:rsidP="00DD2B39">
      <w:pPr>
        <w:suppressLineNumbers/>
        <w:spacing w:after="0" w:line="480" w:lineRule="auto"/>
        <w:ind w:right="-113" w:firstLine="720"/>
        <w:rPr>
          <w:rFonts w:ascii="Times New Roman" w:hAnsi="Times New Roman" w:cs="Times New Roman"/>
          <w:b/>
          <w:bCs/>
        </w:rPr>
        <w:sectPr w:rsidR="00B01F9F" w:rsidRPr="00990234" w:rsidSect="00490B44">
          <w:footerReference w:type="default" r:id="rId10"/>
          <w:pgSz w:w="11906" w:h="16838" w:code="9"/>
          <w:pgMar w:top="1440" w:right="1440" w:bottom="1440" w:left="1440" w:header="709" w:footer="709" w:gutter="0"/>
          <w:lnNumType w:countBy="1" w:restart="continuous"/>
          <w:cols w:space="708"/>
          <w:docGrid w:linePitch="360"/>
        </w:sectPr>
      </w:pPr>
    </w:p>
    <w:p w:rsidR="00A45901" w:rsidRPr="00990234" w:rsidRDefault="00A45901" w:rsidP="00CC546C">
      <w:pPr>
        <w:suppressLineNumbers/>
        <w:spacing w:after="0" w:line="480" w:lineRule="auto"/>
        <w:ind w:right="-113" w:firstLine="720"/>
        <w:jc w:val="center"/>
        <w:rPr>
          <w:rFonts w:ascii="Times New Roman" w:hAnsi="Times New Roman" w:cs="Times New Roman"/>
          <w:b/>
          <w:bCs/>
          <w:sz w:val="26"/>
          <w:szCs w:val="26"/>
          <w:u w:val="single"/>
        </w:rPr>
      </w:pPr>
      <w:r w:rsidRPr="00990234">
        <w:rPr>
          <w:rFonts w:ascii="Times New Roman" w:hAnsi="Times New Roman" w:cs="Times New Roman"/>
          <w:b/>
          <w:bCs/>
          <w:sz w:val="26"/>
          <w:szCs w:val="26"/>
          <w:u w:val="single"/>
        </w:rPr>
        <w:lastRenderedPageBreak/>
        <w:t>Abstract</w:t>
      </w:r>
    </w:p>
    <w:p w:rsidR="00A45901" w:rsidRPr="00990234" w:rsidRDefault="00A45901" w:rsidP="008C1429">
      <w:pPr>
        <w:spacing w:after="0" w:line="480" w:lineRule="auto"/>
        <w:ind w:right="-113" w:firstLine="720"/>
        <w:rPr>
          <w:rFonts w:ascii="Times New Roman" w:hAnsi="Times New Roman" w:cs="Times New Roman"/>
        </w:rPr>
      </w:pPr>
      <w:r w:rsidRPr="00990234">
        <w:rPr>
          <w:rFonts w:ascii="Times New Roman" w:hAnsi="Times New Roman" w:cs="Times New Roman"/>
        </w:rPr>
        <w:t xml:space="preserve">The </w:t>
      </w:r>
      <w:r w:rsidR="00BE1C7E" w:rsidRPr="00990234">
        <w:rPr>
          <w:rFonts w:ascii="Times New Roman" w:hAnsi="Times New Roman" w:cs="Times New Roman"/>
        </w:rPr>
        <w:t>feedback-related negativity</w:t>
      </w:r>
      <w:r w:rsidRPr="00990234">
        <w:rPr>
          <w:rFonts w:ascii="Times New Roman" w:hAnsi="Times New Roman" w:cs="Times New Roman"/>
        </w:rPr>
        <w:t xml:space="preserve">, </w:t>
      </w:r>
      <w:proofErr w:type="gramStart"/>
      <w:r w:rsidRPr="00990234">
        <w:rPr>
          <w:rFonts w:ascii="Times New Roman" w:hAnsi="Times New Roman" w:cs="Times New Roman"/>
        </w:rPr>
        <w:t>a frontocentral</w:t>
      </w:r>
      <w:proofErr w:type="gramEnd"/>
      <w:r w:rsidRPr="00990234">
        <w:rPr>
          <w:rFonts w:ascii="Times New Roman" w:hAnsi="Times New Roman" w:cs="Times New Roman"/>
        </w:rPr>
        <w:t xml:space="preserve"> event-related potential (ERP) o</w:t>
      </w:r>
      <w:r w:rsidR="00986158" w:rsidRPr="00990234">
        <w:rPr>
          <w:rFonts w:ascii="Times New Roman" w:hAnsi="Times New Roman" w:cs="Times New Roman"/>
        </w:rPr>
        <w:t>ccurring 200-</w:t>
      </w:r>
      <w:r w:rsidR="009C5E2E" w:rsidRPr="00990234">
        <w:rPr>
          <w:rFonts w:ascii="Times New Roman" w:hAnsi="Times New Roman" w:cs="Times New Roman"/>
        </w:rPr>
        <w:t>35</w:t>
      </w:r>
      <w:r w:rsidR="00FC7ABB" w:rsidRPr="00990234">
        <w:rPr>
          <w:rFonts w:ascii="Times New Roman" w:hAnsi="Times New Roman" w:cs="Times New Roman"/>
        </w:rPr>
        <w:t xml:space="preserve">0 </w:t>
      </w:r>
      <w:r w:rsidR="00986158" w:rsidRPr="00990234">
        <w:rPr>
          <w:rFonts w:ascii="Times New Roman" w:hAnsi="Times New Roman" w:cs="Times New Roman"/>
        </w:rPr>
        <w:t>milliseconds (m</w:t>
      </w:r>
      <w:r w:rsidRPr="00990234">
        <w:rPr>
          <w:rFonts w:ascii="Times New Roman" w:hAnsi="Times New Roman" w:cs="Times New Roman"/>
        </w:rPr>
        <w:t>s</w:t>
      </w:r>
      <w:r w:rsidR="00986158" w:rsidRPr="00990234">
        <w:rPr>
          <w:rFonts w:ascii="Times New Roman" w:hAnsi="Times New Roman" w:cs="Times New Roman"/>
        </w:rPr>
        <w:t>)</w:t>
      </w:r>
      <w:r w:rsidRPr="00990234">
        <w:rPr>
          <w:rFonts w:ascii="Times New Roman" w:hAnsi="Times New Roman" w:cs="Times New Roman"/>
        </w:rPr>
        <w:t xml:space="preserve"> after </w:t>
      </w:r>
      <w:r w:rsidR="008C1429" w:rsidRPr="00990234">
        <w:rPr>
          <w:rFonts w:ascii="Times New Roman" w:hAnsi="Times New Roman" w:cs="Times New Roman"/>
        </w:rPr>
        <w:t>emotionally-valued outcomes</w:t>
      </w:r>
      <w:r w:rsidRPr="00990234">
        <w:rPr>
          <w:rFonts w:ascii="Times New Roman" w:hAnsi="Times New Roman" w:cs="Times New Roman"/>
        </w:rPr>
        <w:t xml:space="preserve">, has been posited </w:t>
      </w:r>
      <w:r w:rsidR="008E12EE" w:rsidRPr="00990234">
        <w:rPr>
          <w:rFonts w:ascii="Times New Roman" w:hAnsi="Times New Roman" w:cs="Times New Roman"/>
        </w:rPr>
        <w:t xml:space="preserve">as </w:t>
      </w:r>
      <w:r w:rsidR="0030228D" w:rsidRPr="00990234">
        <w:rPr>
          <w:rFonts w:ascii="Times New Roman" w:hAnsi="Times New Roman" w:cs="Times New Roman"/>
        </w:rPr>
        <w:t>the</w:t>
      </w:r>
      <w:r w:rsidRPr="00990234">
        <w:rPr>
          <w:rFonts w:ascii="Times New Roman" w:hAnsi="Times New Roman" w:cs="Times New Roman"/>
        </w:rPr>
        <w:t xml:space="preserve"> neural correlate</w:t>
      </w:r>
      <w:r w:rsidR="0030228D" w:rsidRPr="00990234">
        <w:rPr>
          <w:rFonts w:ascii="Times New Roman" w:hAnsi="Times New Roman" w:cs="Times New Roman"/>
        </w:rPr>
        <w:t xml:space="preserve"> of </w:t>
      </w:r>
      <w:r w:rsidR="00E732EF" w:rsidRPr="00990234">
        <w:rPr>
          <w:rFonts w:ascii="Times New Roman" w:hAnsi="Times New Roman" w:cs="Times New Roman"/>
        </w:rPr>
        <w:t>r</w:t>
      </w:r>
      <w:r w:rsidR="0030228D" w:rsidRPr="00990234">
        <w:rPr>
          <w:rFonts w:ascii="Times New Roman" w:hAnsi="Times New Roman" w:cs="Times New Roman"/>
        </w:rPr>
        <w:t>eward prediction error, a key component of associative learning.</w:t>
      </w:r>
      <w:r w:rsidRPr="00990234">
        <w:rPr>
          <w:rFonts w:ascii="Times New Roman" w:hAnsi="Times New Roman" w:cs="Times New Roman"/>
        </w:rPr>
        <w:t xml:space="preserve"> </w:t>
      </w:r>
      <w:r w:rsidR="0030228D" w:rsidRPr="00990234">
        <w:rPr>
          <w:rFonts w:ascii="Times New Roman" w:hAnsi="Times New Roman" w:cs="Times New Roman"/>
        </w:rPr>
        <w:t>R</w:t>
      </w:r>
      <w:r w:rsidRPr="00990234">
        <w:rPr>
          <w:rFonts w:ascii="Times New Roman" w:hAnsi="Times New Roman" w:cs="Times New Roman"/>
        </w:rPr>
        <w:t xml:space="preserve">ecent evidence </w:t>
      </w:r>
      <w:r w:rsidR="0030228D" w:rsidRPr="00990234">
        <w:rPr>
          <w:rFonts w:ascii="Times New Roman" w:hAnsi="Times New Roman" w:cs="Times New Roman"/>
        </w:rPr>
        <w:t xml:space="preserve">challenged this interpretation and </w:t>
      </w:r>
      <w:r w:rsidRPr="00990234">
        <w:rPr>
          <w:rFonts w:ascii="Times New Roman" w:hAnsi="Times New Roman" w:cs="Times New Roman"/>
        </w:rPr>
        <w:t>has led to the suggestion t</w:t>
      </w:r>
      <w:r w:rsidR="00FC7ABB" w:rsidRPr="00990234">
        <w:rPr>
          <w:rFonts w:ascii="Times New Roman" w:hAnsi="Times New Roman" w:cs="Times New Roman"/>
        </w:rPr>
        <w:t>hat this ERP express</w:t>
      </w:r>
      <w:r w:rsidR="0030228D" w:rsidRPr="00990234">
        <w:rPr>
          <w:rFonts w:ascii="Times New Roman" w:hAnsi="Times New Roman" w:cs="Times New Roman"/>
        </w:rPr>
        <w:t>es</w:t>
      </w:r>
      <w:r w:rsidRPr="00990234">
        <w:rPr>
          <w:rFonts w:ascii="Times New Roman" w:hAnsi="Times New Roman" w:cs="Times New Roman"/>
        </w:rPr>
        <w:t xml:space="preserve"> salience, </w:t>
      </w:r>
      <w:r w:rsidR="0030228D" w:rsidRPr="00990234">
        <w:rPr>
          <w:rFonts w:ascii="Times New Roman" w:hAnsi="Times New Roman" w:cs="Times New Roman"/>
        </w:rPr>
        <w:t>instead</w:t>
      </w:r>
      <w:r w:rsidRPr="00990234">
        <w:rPr>
          <w:rFonts w:ascii="Times New Roman" w:hAnsi="Times New Roman" w:cs="Times New Roman"/>
        </w:rPr>
        <w:t xml:space="preserve">. Here we distinguish between </w:t>
      </w:r>
      <w:r w:rsidR="003761B4" w:rsidRPr="00990234">
        <w:rPr>
          <w:rFonts w:ascii="Times New Roman" w:hAnsi="Times New Roman" w:cs="Times New Roman"/>
        </w:rPr>
        <w:t xml:space="preserve">utility </w:t>
      </w:r>
      <w:r w:rsidR="0030228D" w:rsidRPr="00990234">
        <w:rPr>
          <w:rFonts w:ascii="Times New Roman" w:hAnsi="Times New Roman" w:cs="Times New Roman"/>
        </w:rPr>
        <w:t xml:space="preserve">prediction error </w:t>
      </w:r>
      <w:r w:rsidRPr="00990234">
        <w:rPr>
          <w:rFonts w:ascii="Times New Roman" w:hAnsi="Times New Roman" w:cs="Times New Roman"/>
        </w:rPr>
        <w:t>and salience by delivering or withholding hedonistically</w:t>
      </w:r>
      <w:r w:rsidR="00A03C67" w:rsidRPr="00990234">
        <w:rPr>
          <w:rFonts w:ascii="Times New Roman" w:hAnsi="Times New Roman" w:cs="Times New Roman"/>
        </w:rPr>
        <w:t xml:space="preserve"> </w:t>
      </w:r>
      <w:r w:rsidR="00201E3A" w:rsidRPr="00990234">
        <w:rPr>
          <w:rFonts w:ascii="Times New Roman" w:hAnsi="Times New Roman" w:cs="Times New Roman"/>
        </w:rPr>
        <w:t xml:space="preserve">matched </w:t>
      </w:r>
      <w:r w:rsidRPr="00990234">
        <w:rPr>
          <w:rFonts w:ascii="Times New Roman" w:hAnsi="Times New Roman" w:cs="Times New Roman"/>
        </w:rPr>
        <w:t>appetitive and aversive taste</w:t>
      </w:r>
      <w:r w:rsidR="0030228D" w:rsidRPr="00990234">
        <w:rPr>
          <w:rFonts w:ascii="Times New Roman" w:hAnsi="Times New Roman" w:cs="Times New Roman"/>
        </w:rPr>
        <w:t>s</w:t>
      </w:r>
      <w:r w:rsidRPr="00990234">
        <w:rPr>
          <w:rFonts w:ascii="Times New Roman" w:hAnsi="Times New Roman" w:cs="Times New Roman"/>
        </w:rPr>
        <w:t xml:space="preserve">, and measure ERPs to cues signalling each taste. </w:t>
      </w:r>
      <w:r w:rsidR="001B11F5" w:rsidRPr="00990234">
        <w:rPr>
          <w:rFonts w:ascii="Times New Roman" w:hAnsi="Times New Roman" w:cs="Times New Roman"/>
        </w:rPr>
        <w:t>We observed a</w:t>
      </w:r>
      <w:r w:rsidR="008C1429" w:rsidRPr="00990234">
        <w:rPr>
          <w:rFonts w:ascii="Times New Roman" w:hAnsi="Times New Roman" w:cs="Times New Roman"/>
        </w:rPr>
        <w:t xml:space="preserve"> typical</w:t>
      </w:r>
      <w:r w:rsidR="001B11F5" w:rsidRPr="00990234">
        <w:rPr>
          <w:rFonts w:ascii="Times New Roman" w:hAnsi="Times New Roman" w:cs="Times New Roman"/>
        </w:rPr>
        <w:t xml:space="preserve"> FRN </w:t>
      </w:r>
      <w:r w:rsidR="008C1429" w:rsidRPr="00990234">
        <w:rPr>
          <w:rFonts w:ascii="Times New Roman" w:hAnsi="Times New Roman" w:cs="Times New Roman"/>
        </w:rPr>
        <w:t xml:space="preserve">(computed as the loss-minus-gain difference wave) </w:t>
      </w:r>
      <w:r w:rsidR="001B11F5" w:rsidRPr="00990234">
        <w:rPr>
          <w:rFonts w:ascii="Times New Roman" w:hAnsi="Times New Roman" w:cs="Times New Roman"/>
        </w:rPr>
        <w:t xml:space="preserve">to appetitive </w:t>
      </w:r>
      <w:r w:rsidR="00F243EC" w:rsidRPr="00990234">
        <w:rPr>
          <w:rFonts w:ascii="Times New Roman" w:hAnsi="Times New Roman" w:cs="Times New Roman"/>
        </w:rPr>
        <w:t xml:space="preserve">taste, </w:t>
      </w:r>
      <w:r w:rsidR="008C1429" w:rsidRPr="00990234">
        <w:rPr>
          <w:rFonts w:ascii="Times New Roman" w:hAnsi="Times New Roman" w:cs="Times New Roman"/>
        </w:rPr>
        <w:t>but</w:t>
      </w:r>
      <w:r w:rsidR="00F243EC" w:rsidRPr="00990234">
        <w:rPr>
          <w:rFonts w:ascii="Times New Roman" w:hAnsi="Times New Roman" w:cs="Times New Roman"/>
        </w:rPr>
        <w:t xml:space="preserve"> a reverse-FRN to a</w:t>
      </w:r>
      <w:r w:rsidR="001B11F5" w:rsidRPr="00990234">
        <w:rPr>
          <w:rFonts w:ascii="Times New Roman" w:hAnsi="Times New Roman" w:cs="Times New Roman"/>
        </w:rPr>
        <w:t>versive taste. When tested axiomatically, f</w:t>
      </w:r>
      <w:r w:rsidRPr="00990234">
        <w:rPr>
          <w:rFonts w:ascii="Times New Roman" w:hAnsi="Times New Roman" w:cs="Times New Roman"/>
        </w:rPr>
        <w:t xml:space="preserve">rontocentral ERPs showed a salience response across tastes, </w:t>
      </w:r>
      <w:r w:rsidR="008C1429" w:rsidRPr="00990234">
        <w:rPr>
          <w:rFonts w:ascii="Times New Roman" w:hAnsi="Times New Roman" w:cs="Times New Roman"/>
        </w:rPr>
        <w:t xml:space="preserve">with a particularly early response to outcome delivery, </w:t>
      </w:r>
      <w:r w:rsidRPr="00990234">
        <w:rPr>
          <w:rFonts w:ascii="Times New Roman" w:hAnsi="Times New Roman" w:cs="Times New Roman"/>
        </w:rPr>
        <w:t xml:space="preserve">supporting recent propositions of a fast, unsigned and unspecific response to </w:t>
      </w:r>
      <w:r w:rsidR="008C1429" w:rsidRPr="00990234">
        <w:rPr>
          <w:rFonts w:ascii="Times New Roman" w:hAnsi="Times New Roman" w:cs="Times New Roman"/>
        </w:rPr>
        <w:t>salient stimuli</w:t>
      </w:r>
      <w:r w:rsidRPr="00990234">
        <w:rPr>
          <w:rFonts w:ascii="Times New Roman" w:hAnsi="Times New Roman" w:cs="Times New Roman"/>
        </w:rPr>
        <w:t xml:space="preserve">. ERPs </w:t>
      </w:r>
      <w:r w:rsidR="00D1529A" w:rsidRPr="00990234">
        <w:rPr>
          <w:rFonts w:ascii="Times New Roman" w:hAnsi="Times New Roman" w:cs="Times New Roman"/>
        </w:rPr>
        <w:t xml:space="preserve">also </w:t>
      </w:r>
      <w:r w:rsidRPr="00990234">
        <w:rPr>
          <w:rFonts w:ascii="Times New Roman" w:hAnsi="Times New Roman" w:cs="Times New Roman"/>
        </w:rPr>
        <w:t>expressed aversive prediction error</w:t>
      </w:r>
      <w:r w:rsidR="00FF70EA" w:rsidRPr="00990234">
        <w:rPr>
          <w:rFonts w:ascii="Times New Roman" w:hAnsi="Times New Roman" w:cs="Times New Roman"/>
        </w:rPr>
        <w:t xml:space="preserve"> peaking at 285ms</w:t>
      </w:r>
      <w:r w:rsidRPr="00990234">
        <w:rPr>
          <w:rFonts w:ascii="Times New Roman" w:hAnsi="Times New Roman" w:cs="Times New Roman"/>
        </w:rPr>
        <w:t xml:space="preserve">, which conformed to the logic of an axiomatic model of prediction error. With stimuli that most resemble those used in animal models we did not detect any frontocentral ERP signal for utility prediction error, in contrast with dominant views of the functional role of the </w:t>
      </w:r>
      <w:r w:rsidR="00BE1C7E" w:rsidRPr="00990234">
        <w:rPr>
          <w:rFonts w:ascii="Times New Roman" w:hAnsi="Times New Roman" w:cs="Times New Roman"/>
        </w:rPr>
        <w:t>feedback-related negativity</w:t>
      </w:r>
      <w:r w:rsidRPr="00990234">
        <w:rPr>
          <w:rFonts w:ascii="Times New Roman" w:hAnsi="Times New Roman" w:cs="Times New Roman"/>
        </w:rPr>
        <w:t xml:space="preserve"> ERP. </w:t>
      </w:r>
      <w:r w:rsidR="00310CA3" w:rsidRPr="00990234">
        <w:rPr>
          <w:rFonts w:ascii="Times New Roman" w:hAnsi="Times New Roman" w:cs="Times New Roman"/>
        </w:rPr>
        <w:t>We link the animal and human literature and present a challenge for current perspectives on associative learning research using ERPs.</w:t>
      </w:r>
    </w:p>
    <w:p w:rsidR="00750235" w:rsidRPr="00990234" w:rsidRDefault="00750235" w:rsidP="00E756E0">
      <w:pPr>
        <w:spacing w:after="0" w:line="480" w:lineRule="auto"/>
        <w:ind w:right="-113" w:firstLine="720"/>
        <w:rPr>
          <w:rFonts w:ascii="Times New Roman" w:hAnsi="Times New Roman" w:cs="Times New Roman"/>
        </w:rPr>
      </w:pPr>
    </w:p>
    <w:p w:rsidR="00750235" w:rsidRPr="00990234" w:rsidRDefault="00750235" w:rsidP="00E756E0">
      <w:pPr>
        <w:spacing w:after="0" w:line="480" w:lineRule="auto"/>
        <w:ind w:right="-113" w:firstLine="720"/>
        <w:rPr>
          <w:rFonts w:ascii="Times New Roman" w:hAnsi="Times New Roman" w:cs="Times New Roman"/>
        </w:rPr>
      </w:pPr>
    </w:p>
    <w:p w:rsidR="00750235" w:rsidRPr="00990234" w:rsidRDefault="00750235" w:rsidP="00E756E0">
      <w:pPr>
        <w:spacing w:after="0" w:line="480" w:lineRule="auto"/>
        <w:ind w:right="-113" w:firstLine="720"/>
        <w:rPr>
          <w:rFonts w:ascii="Times New Roman" w:hAnsi="Times New Roman" w:cs="Times New Roman"/>
        </w:rPr>
      </w:pPr>
    </w:p>
    <w:p w:rsidR="00750235" w:rsidRPr="00990234" w:rsidRDefault="00750235" w:rsidP="00E756E0">
      <w:pPr>
        <w:spacing w:after="0" w:line="480" w:lineRule="auto"/>
        <w:ind w:right="-113" w:firstLine="720"/>
        <w:rPr>
          <w:rFonts w:ascii="Times New Roman" w:hAnsi="Times New Roman" w:cs="Times New Roman"/>
        </w:rPr>
      </w:pPr>
    </w:p>
    <w:p w:rsidR="00750235" w:rsidRPr="00990234" w:rsidRDefault="00750235" w:rsidP="00E756E0">
      <w:pPr>
        <w:spacing w:after="0" w:line="480" w:lineRule="auto"/>
        <w:ind w:right="-113" w:firstLine="720"/>
        <w:rPr>
          <w:rFonts w:ascii="Times New Roman" w:hAnsi="Times New Roman" w:cs="Times New Roman"/>
        </w:rPr>
      </w:pPr>
    </w:p>
    <w:p w:rsidR="00750235" w:rsidRPr="00990234" w:rsidRDefault="00750235" w:rsidP="00E756E0">
      <w:pPr>
        <w:spacing w:after="0" w:line="480" w:lineRule="auto"/>
        <w:ind w:right="-113" w:firstLine="720"/>
        <w:rPr>
          <w:rFonts w:ascii="Times New Roman" w:hAnsi="Times New Roman" w:cs="Times New Roman"/>
        </w:rPr>
      </w:pPr>
    </w:p>
    <w:p w:rsidR="00750235" w:rsidRPr="00990234" w:rsidRDefault="00750235" w:rsidP="00E756E0">
      <w:pPr>
        <w:spacing w:after="0" w:line="480" w:lineRule="auto"/>
        <w:ind w:right="-113" w:firstLine="720"/>
        <w:rPr>
          <w:rFonts w:ascii="Times New Roman" w:hAnsi="Times New Roman" w:cs="Times New Roman"/>
        </w:rPr>
      </w:pPr>
    </w:p>
    <w:p w:rsidR="006B00F7" w:rsidRPr="00990234" w:rsidRDefault="006B00F7" w:rsidP="00E756E0">
      <w:pPr>
        <w:spacing w:after="0" w:line="480" w:lineRule="auto"/>
        <w:ind w:right="-113" w:firstLine="720"/>
        <w:rPr>
          <w:rFonts w:ascii="Times New Roman" w:hAnsi="Times New Roman" w:cs="Times New Roman"/>
        </w:rPr>
      </w:pPr>
    </w:p>
    <w:p w:rsidR="00A03EBA" w:rsidRPr="00990234" w:rsidRDefault="00A03EBA" w:rsidP="00E756E0">
      <w:pPr>
        <w:spacing w:after="0" w:line="480" w:lineRule="auto"/>
        <w:ind w:right="-113" w:firstLine="720"/>
        <w:rPr>
          <w:rFonts w:ascii="Times New Roman" w:hAnsi="Times New Roman" w:cs="Times New Roman"/>
        </w:rPr>
      </w:pPr>
    </w:p>
    <w:p w:rsidR="00A03EBA" w:rsidRPr="00990234" w:rsidRDefault="00A03EBA" w:rsidP="00E756E0">
      <w:pPr>
        <w:spacing w:after="0" w:line="480" w:lineRule="auto"/>
        <w:ind w:right="-113" w:firstLine="720"/>
        <w:rPr>
          <w:rFonts w:ascii="Times New Roman" w:hAnsi="Times New Roman" w:cs="Times New Roman"/>
        </w:rPr>
      </w:pPr>
    </w:p>
    <w:p w:rsidR="00E732EF" w:rsidRPr="00990234" w:rsidRDefault="00E732EF" w:rsidP="00E756E0">
      <w:pPr>
        <w:spacing w:after="0" w:line="480" w:lineRule="auto"/>
        <w:ind w:right="-113" w:firstLine="720"/>
        <w:rPr>
          <w:rFonts w:ascii="Times New Roman" w:hAnsi="Times New Roman" w:cs="Times New Roman"/>
        </w:rPr>
      </w:pPr>
    </w:p>
    <w:p w:rsidR="00A45901" w:rsidRPr="00990234" w:rsidRDefault="00A45901" w:rsidP="00CC546C">
      <w:pPr>
        <w:spacing w:after="0" w:line="480" w:lineRule="auto"/>
        <w:ind w:right="-113" w:firstLine="720"/>
        <w:jc w:val="center"/>
        <w:rPr>
          <w:rFonts w:ascii="Times New Roman" w:hAnsi="Times New Roman" w:cs="Times New Roman"/>
          <w:b/>
          <w:sz w:val="28"/>
          <w:szCs w:val="28"/>
          <w:u w:val="single"/>
        </w:rPr>
      </w:pPr>
      <w:r w:rsidRPr="00990234">
        <w:rPr>
          <w:rFonts w:ascii="Times New Roman" w:hAnsi="Times New Roman" w:cs="Times New Roman"/>
          <w:b/>
          <w:sz w:val="28"/>
          <w:szCs w:val="28"/>
          <w:u w:val="single"/>
        </w:rPr>
        <w:lastRenderedPageBreak/>
        <w:t>Introduction</w:t>
      </w:r>
    </w:p>
    <w:p w:rsidR="009A78A9" w:rsidRPr="00990234" w:rsidRDefault="00A45901" w:rsidP="00353AE1">
      <w:pPr>
        <w:spacing w:after="0" w:line="480" w:lineRule="auto"/>
        <w:ind w:right="-113" w:firstLine="720"/>
        <w:rPr>
          <w:rFonts w:ascii="Times New Roman" w:hAnsi="Times New Roman" w:cs="Times New Roman"/>
        </w:rPr>
      </w:pPr>
      <w:r w:rsidRPr="00990234">
        <w:rPr>
          <w:rFonts w:ascii="Times New Roman" w:hAnsi="Times New Roman" w:cs="Times New Roman"/>
        </w:rPr>
        <w:t>The reward prediction error hypothesis of associative learning provides a foundational understanding of adaptive behaviour</w:t>
      </w:r>
      <w:r w:rsidR="00964351" w:rsidRPr="00990234">
        <w:rPr>
          <w:rFonts w:ascii="Times New Roman" w:hAnsi="Times New Roman" w:cs="Times New Roman"/>
        </w:rPr>
        <w:t xml:space="preserve"> </w:t>
      </w:r>
      <w:r w:rsidR="00845EEC" w:rsidRPr="00990234">
        <w:rPr>
          <w:rFonts w:ascii="Times New Roman" w:hAnsi="Times New Roman" w:cs="Times New Roman"/>
        </w:rPr>
        <w:t xml:space="preserve">and is used widely to explain the neuroimaging correlates of associative learning in humans </w:t>
      </w:r>
      <w:r w:rsidR="00845EEC" w:rsidRPr="00990234">
        <w:rPr>
          <w:rFonts w:ascii="Times New Roman" w:hAnsi="Times New Roman" w:cs="Times New Roman"/>
        </w:rPr>
        <w:fldChar w:fldCharType="begin" w:fldLock="1"/>
      </w:r>
      <w:r w:rsidR="00843A57" w:rsidRPr="00990234">
        <w:rPr>
          <w:rFonts w:ascii="Times New Roman" w:hAnsi="Times New Roman" w:cs="Times New Roman"/>
        </w:rPr>
        <w:instrText>ADDIN CSL_CITATION { "citationItems" : [ { "id" : "ITEM-1", "itemData" : { "DOI" : "10.1037/0033-295X.109.4.679.", "ISBN" : "1939-1471", "author" : [ { "dropping-particle" : "", "family" : "Holroyd", "given" : "", "non-dropping-particle" : "", "parse-names" : false, "suffix" : "" }, { "dropping-particle" : "", "family" : "Coles", "given" : "Michael", "non-dropping-particle" : "", "parse-names" : false, "suffix" : "" } ], "container-title" : "Psychological Review", "id" : "ITEM-1", "issue" : "4", "issued" : { "date-parts" : [ [ "2002" ] ] }, "page" : "679", "title" : "The neural basis of human error processing: reinforcement learning, dopamine, and the error-related negativity", "type" : "article-journal", "volume" : "109" }, "uris" : [ "http://www.mendeley.com/documents/?uuid=07a7dfcc-fc29-49af-acb6-9367fe421883" ] }, { "id" : "ITEM-2", "itemData" : { "DOI" : "10.1196/annals.1390.022", "ISBN" : "1749-6632", "abstract" : "Abstract:\u2002In model-based functional magnetic resonance imaging (fMRI), signals derived from a computational model for a specific cognitive process are correlated against fMRI data from subjects performing a relevant task to determine brain regions showing a response profile consistent with that model. A key advantage of this technique over more conventional neuroimaging approaches is that model-based fMRI can provide insights into how a particular cognitive process is implemented in a specific brain area as opposed to merely identifying where a particular process is located. This review will briefly summarize the approach of model-based fMRI, with reference to the field of reward learning and decision making, where computational models have been used to probe the neural mechanisms underlying learning of reward associations, modifying action choice to obtain reward, as well as in encoding expected value signals that reflect the abstract structure of a decision problem. Finally, some of the limitations of this approach will be discussed.", "author" : [ { "dropping-particle" : "", "family" : "O'Doherty", "given" : "John P", "non-dropping-particle" : "", "parse-names" : false, "suffix" : "" }, { "dropping-particle" : "", "family" : "Hampton", "given" : "Alan", "non-dropping-particle" : "", "parse-names" : false, "suffix" : "" }, { "dropping-particle" : "", "family" : "Kim", "given" : "Hackjin", "non-dropping-particle" : "", "parse-names" : false, "suffix" : "" } ], "container-title" : "Annals of the New York Academy of Sciences", "id" : "ITEM-2", "issue" : "1", "issued" : { "date-parts" : [ [ "2007" ] ] }, "page" : "35-53", "publisher" : "Blackwell Publishing Inc", "title" : "Model-Based fMRI and Its Application to Reward Learning and Decision Making", "type" : "article-journal", "volume" : "1104" }, "uris" : [ "http://www.mendeley.com/documents/?uuid=ba546d3c-c337-4361-bc41-67e17830e7fc" ] } ], "mendeley" : { "formattedCitation" : "(Holroyd &amp; Coles, 2002; O\u2019Doherty, Hampton, &amp; Kim, 2007)", "manualFormatting" : "(Holroyd &amp; Coles, 2002; O\u2019Doherty, Hampton, &amp; Kim, 2007)", "plainTextFormattedCitation" : "(Holroyd &amp; Coles, 2002; O\u2019Doherty, Hampton, &amp; Kim, 2007)", "previouslyFormattedCitation" : "(Holroyd &amp; Coles, 2002; O\u2019Doherty, Hampton, &amp; Kim, 2007)" }, "properties" : { "noteIndex" : 0 }, "schema" : "https://github.com/citation-style-language/schema/raw/master/csl-citation.json" }</w:instrText>
      </w:r>
      <w:r w:rsidR="00845EEC" w:rsidRPr="00990234">
        <w:rPr>
          <w:rFonts w:ascii="Times New Roman" w:hAnsi="Times New Roman" w:cs="Times New Roman"/>
        </w:rPr>
        <w:fldChar w:fldCharType="separate"/>
      </w:r>
      <w:r w:rsidR="00845EEC" w:rsidRPr="00990234">
        <w:rPr>
          <w:rFonts w:ascii="Times New Roman" w:hAnsi="Times New Roman" w:cs="Times New Roman"/>
          <w:noProof/>
        </w:rPr>
        <w:t>(Holroyd &amp; Coles, 2002; O’Doherty, Hampton, &amp; Kim, 2007)</w:t>
      </w:r>
      <w:r w:rsidR="00845EEC" w:rsidRPr="00990234">
        <w:rPr>
          <w:rFonts w:ascii="Times New Roman" w:hAnsi="Times New Roman" w:cs="Times New Roman"/>
        </w:rPr>
        <w:fldChar w:fldCharType="end"/>
      </w:r>
      <w:r w:rsidR="00845EEC" w:rsidRPr="00990234">
        <w:rPr>
          <w:rFonts w:ascii="Times New Roman" w:hAnsi="Times New Roman" w:cs="Times New Roman"/>
        </w:rPr>
        <w:t>. The seminal finding that sparked much of this research is that midbrain dopamine neurons</w:t>
      </w:r>
      <w:r w:rsidR="00E51ADF" w:rsidRPr="00990234">
        <w:rPr>
          <w:rFonts w:ascii="Times New Roman" w:hAnsi="Times New Roman" w:cs="Times New Roman"/>
        </w:rPr>
        <w:t xml:space="preserve"> express </w:t>
      </w:r>
      <w:r w:rsidR="001F223D" w:rsidRPr="00990234">
        <w:rPr>
          <w:rFonts w:ascii="Times New Roman" w:hAnsi="Times New Roman" w:cs="Times New Roman"/>
        </w:rPr>
        <w:t>reward prediction error</w:t>
      </w:r>
      <w:r w:rsidR="00E51ADF" w:rsidRPr="00990234">
        <w:rPr>
          <w:rFonts w:ascii="Times New Roman" w:hAnsi="Times New Roman" w:cs="Times New Roman"/>
        </w:rPr>
        <w:t xml:space="preserve">, </w:t>
      </w:r>
      <w:r w:rsidR="00845EEC" w:rsidRPr="00990234">
        <w:rPr>
          <w:rFonts w:ascii="Times New Roman" w:hAnsi="Times New Roman" w:cs="Times New Roman"/>
        </w:rPr>
        <w:t xml:space="preserve"> increas</w:t>
      </w:r>
      <w:r w:rsidR="00E51ADF" w:rsidRPr="00990234">
        <w:rPr>
          <w:rFonts w:ascii="Times New Roman" w:hAnsi="Times New Roman" w:cs="Times New Roman"/>
        </w:rPr>
        <w:t>ing</w:t>
      </w:r>
      <w:r w:rsidR="00845EEC" w:rsidRPr="00990234">
        <w:rPr>
          <w:rFonts w:ascii="Times New Roman" w:hAnsi="Times New Roman" w:cs="Times New Roman"/>
        </w:rPr>
        <w:t xml:space="preserve"> their firing to unexpected reward and reduc</w:t>
      </w:r>
      <w:r w:rsidR="009A78A9" w:rsidRPr="00990234">
        <w:rPr>
          <w:rFonts w:ascii="Times New Roman" w:hAnsi="Times New Roman" w:cs="Times New Roman"/>
        </w:rPr>
        <w:t>ing</w:t>
      </w:r>
      <w:r w:rsidR="00845EEC" w:rsidRPr="00990234">
        <w:rPr>
          <w:rFonts w:ascii="Times New Roman" w:hAnsi="Times New Roman" w:cs="Times New Roman"/>
        </w:rPr>
        <w:t xml:space="preserve"> their firing to unexpected omission of reward </w:t>
      </w:r>
      <w:r w:rsidR="00845EEC" w:rsidRPr="00990234">
        <w:rPr>
          <w:rFonts w:ascii="Times New Roman" w:hAnsi="Times New Roman" w:cs="Times New Roman"/>
        </w:rPr>
        <w:fldChar w:fldCharType="begin" w:fldLock="1"/>
      </w:r>
      <w:r w:rsidR="00C06EE8" w:rsidRPr="00990234">
        <w:rPr>
          <w:rFonts w:ascii="Times New Roman" w:hAnsi="Times New Roman" w:cs="Times New Roman"/>
        </w:rPr>
        <w:instrText>ADDIN CSL_CITATION { "citationItems" : [ { "id" : "ITEM-1", "itemData" : { "DOI" : "10.1126/science.275.5306.1593", "abstract" : "The capacity to predict future events permits a creature to detect, model, and manipulate the causal structure of its interactions with its environment. Behavioral experiments suggest that learning is driven by changes in the expectations about future salient events such as rewards and punishments. Physiological work has recently complemented these studies by identifying dopaminergic neurons in the primate whose fluctuating output apparently signals changes or errors in the predictions of future salient and rewarding events. Taken together, these findings can be understood through quantitative theories of adaptive optimizing control.", "author" : [ { "dropping-particle" : "", "family" : "Schultz", "given" : "Wolfram", "non-dropping-particle" : "", "parse-names" : false, "suffix" : "" }, { "dropping-particle" : "", "family" : "Dayan", "given" : "Peter", "non-dropping-particle" : "", "parse-names" : false, "suffix" : "" }, { "dropping-particle" : "", "family" : "Montague", "given" : "P Read", "non-dropping-particle" : "", "parse-names" : false, "suffix" : "" } ], "container-title" : "Science", "id" : "ITEM-1", "issue" : "5306", "issued" : { "date-parts" : [ [ "1997" ] ] }, "page" : "1593-1599", "title" : "A Neural Substrate of Prediction and Reward", "type" : "article-journal", "volume" : "275" }, "uris" : [ "http://www.mendeley.com/documents/?uuid=3f32cfd9-0d14-4e4a-8b2e-4a66f2607494" ] } ], "mendeley" : { "formattedCitation" : "(Wolfram Schultz, Dayan, &amp; Montague, 1997)", "manualFormatting" : "(Schultz et al., 1997)", "plainTextFormattedCitation" : "(Wolfram Schultz, Dayan, &amp; Montague, 1997)", "previouslyFormattedCitation" : "(Wolfram Schultz, Dayan, &amp; Montague, 1997)" }, "properties" : { "noteIndex" : 0 }, "schema" : "https://github.com/citation-style-language/schema/raw/master/csl-citation.json" }</w:instrText>
      </w:r>
      <w:r w:rsidR="00845EEC" w:rsidRPr="00990234">
        <w:rPr>
          <w:rFonts w:ascii="Times New Roman" w:hAnsi="Times New Roman" w:cs="Times New Roman"/>
        </w:rPr>
        <w:fldChar w:fldCharType="separate"/>
      </w:r>
      <w:r w:rsidR="00845EEC" w:rsidRPr="00990234">
        <w:rPr>
          <w:rFonts w:ascii="Times New Roman" w:hAnsi="Times New Roman" w:cs="Times New Roman"/>
          <w:noProof/>
        </w:rPr>
        <w:t>(Schultz et al., 1997)</w:t>
      </w:r>
      <w:r w:rsidR="00845EEC" w:rsidRPr="00990234">
        <w:rPr>
          <w:rFonts w:ascii="Times New Roman" w:hAnsi="Times New Roman" w:cs="Times New Roman"/>
        </w:rPr>
        <w:fldChar w:fldCharType="end"/>
      </w:r>
      <w:r w:rsidR="00845EEC" w:rsidRPr="00990234">
        <w:rPr>
          <w:rFonts w:ascii="Times New Roman" w:hAnsi="Times New Roman" w:cs="Times New Roman"/>
        </w:rPr>
        <w:t xml:space="preserve">, with an impressive homogeneity in the firing of individual dopamine neurons </w:t>
      </w:r>
      <w:r w:rsidR="00845EEC" w:rsidRPr="00990234">
        <w:rPr>
          <w:rFonts w:ascii="Times New Roman" w:hAnsi="Times New Roman" w:cs="Times New Roman"/>
        </w:rPr>
        <w:fldChar w:fldCharType="begin" w:fldLock="1"/>
      </w:r>
      <w:r w:rsidR="00E730F1" w:rsidRPr="00990234">
        <w:rPr>
          <w:rFonts w:ascii="Times New Roman" w:hAnsi="Times New Roman" w:cs="Times New Roman"/>
        </w:rPr>
        <w:instrText>ADDIN CSL_CITATION { "citationItems" : [ { "id" : "ITEM-1", "itemData" : { "DOI" : "10.1038/nn.4239", "ISSN" : "1097-6256", "PMID" : "26854803", "author" : [ { "dropping-particle" : "", "family" : "Eshel", "given" : "Neir", "non-dropping-particle" : "", "parse-names" : false, "suffix" : "" }, { "dropping-particle" : "", "family" : "Tian", "given" : "Ju", "non-dropping-particle" : "", "parse-names" : false, "suffix" : "" }, { "dropping-particle" : "", "family" : "Bukwich", "given" : "Michael", "non-dropping-particle" : "", "parse-names" : false, "suffix" : "" }, { "dropping-particle" : "", "family" : "Uchida", "given" : "Naoshige", "non-dropping-particle" : "", "parse-names" : false, "suffix" : "" } ], "container-title" : "Nature Neuroscience", "id" : "ITEM-1", "issue" : "3", "issued" : { "date-parts" : [ [ "2016" ] ] }, "title" : "Dopamine neurons share common response function for reward prediction error", "type" : "article-journal", "volume" : "19" }, "uris" : [ "http://www.mendeley.com/documents/?uuid=72d9b652-e427-44c3-8b16-958f0271f59d" ] } ], "mendeley" : { "formattedCitation" : "(Eshel, Tian, Bukwich, &amp; Uchida, 2016)", "plainTextFormattedCitation" : "(Eshel, Tian, Bukwich, &amp; Uchida, 2016)", "previouslyFormattedCitation" : "(Eshel, Tian, Bukwich, &amp; Uchida, 2016)" }, "properties" : { "noteIndex" : 0 }, "schema" : "https://github.com/citation-style-language/schema/raw/master/csl-citation.json" }</w:instrText>
      </w:r>
      <w:r w:rsidR="00845EEC" w:rsidRPr="00990234">
        <w:rPr>
          <w:rFonts w:ascii="Times New Roman" w:hAnsi="Times New Roman" w:cs="Times New Roman"/>
        </w:rPr>
        <w:fldChar w:fldCharType="separate"/>
      </w:r>
      <w:r w:rsidR="00845EEC" w:rsidRPr="00990234">
        <w:rPr>
          <w:rFonts w:ascii="Times New Roman" w:hAnsi="Times New Roman" w:cs="Times New Roman"/>
          <w:noProof/>
        </w:rPr>
        <w:t>(Eshel, Tian, Bukwich, &amp; Uchida, 2016)</w:t>
      </w:r>
      <w:r w:rsidR="00845EEC" w:rsidRPr="00990234">
        <w:rPr>
          <w:rFonts w:ascii="Times New Roman" w:hAnsi="Times New Roman" w:cs="Times New Roman"/>
        </w:rPr>
        <w:fldChar w:fldCharType="end"/>
      </w:r>
      <w:r w:rsidR="00845EEC" w:rsidRPr="00990234">
        <w:rPr>
          <w:rFonts w:ascii="Times New Roman" w:hAnsi="Times New Roman" w:cs="Times New Roman"/>
        </w:rPr>
        <w:t>.</w:t>
      </w:r>
      <w:r w:rsidRPr="00990234">
        <w:rPr>
          <w:rFonts w:ascii="Times New Roman" w:hAnsi="Times New Roman" w:cs="Times New Roman"/>
        </w:rPr>
        <w:t xml:space="preserve"> </w:t>
      </w:r>
      <w:r w:rsidR="009A78A9" w:rsidRPr="00990234">
        <w:rPr>
          <w:rFonts w:ascii="Times New Roman" w:hAnsi="Times New Roman" w:cs="Times New Roman"/>
        </w:rPr>
        <w:t xml:space="preserve">The term ‘reward’ is inherently related to the term ‘utility’, </w:t>
      </w:r>
      <w:r w:rsidR="0011318A" w:rsidRPr="00990234">
        <w:rPr>
          <w:rFonts w:ascii="Times New Roman" w:hAnsi="Times New Roman" w:cs="Times New Roman"/>
        </w:rPr>
        <w:t>an economic term that denotes</w:t>
      </w:r>
      <w:r w:rsidR="00FF70EA" w:rsidRPr="00990234">
        <w:rPr>
          <w:rFonts w:ascii="Times New Roman" w:hAnsi="Times New Roman" w:cs="Times New Roman"/>
        </w:rPr>
        <w:t xml:space="preserve"> the </w:t>
      </w:r>
      <w:r w:rsidR="0011318A" w:rsidRPr="00990234">
        <w:rPr>
          <w:rFonts w:ascii="Times New Roman" w:hAnsi="Times New Roman" w:cs="Times New Roman"/>
        </w:rPr>
        <w:t xml:space="preserve">subjective </w:t>
      </w:r>
      <w:r w:rsidR="00FF70EA" w:rsidRPr="00990234">
        <w:rPr>
          <w:rFonts w:ascii="Times New Roman" w:hAnsi="Times New Roman" w:cs="Times New Roman"/>
        </w:rPr>
        <w:t>value of an outcome, from ‘good’ to ‘bad’</w:t>
      </w:r>
      <w:r w:rsidR="0011318A" w:rsidRPr="00990234">
        <w:rPr>
          <w:rFonts w:ascii="Times New Roman" w:hAnsi="Times New Roman" w:cs="Times New Roman"/>
        </w:rPr>
        <w:t xml:space="preserve"> </w:t>
      </w:r>
      <w:r w:rsidR="001C3C09" w:rsidRPr="00990234">
        <w:rPr>
          <w:rFonts w:ascii="Times New Roman" w:hAnsi="Times New Roman" w:cs="Times New Roman"/>
        </w:rPr>
        <w:fldChar w:fldCharType="begin" w:fldLock="1"/>
      </w:r>
      <w:r w:rsidR="00701DB1" w:rsidRPr="00990234">
        <w:rPr>
          <w:rFonts w:ascii="Times New Roman" w:hAnsi="Times New Roman" w:cs="Times New Roman"/>
        </w:rPr>
        <w:instrText>ADDIN CSL_CITATION { "citationItems" : [ { "id" : "ITEM-1", "itemData" : { "author" : [ { "dropping-particle" : "", "family" : "Friedman", "given" : "Milton", "non-dropping-particle" : "", "parse-names" : false, "suffix" : "" }, { "dropping-particle" : "", "family" : "Savage", "given" : "L.T.", "non-dropping-particle" : "", "parse-names" : false, "suffix" : "" } ], "container-title" : "Journal of Political Economy", "id" : "ITEM-1", "issue" : "6", "issued" : { "date-parts" : [ [ "1952" ] ] }, "page" : "463-474", "title" : "The Expected-Utility Hypothesis and the Measurability of Utility", "type" : "article-journal", "volume" : "60" }, "uris" : [ "http://www.mendeley.com/documents/?uuid=0cf14721-9a10-4844-9077-162d00f6f548" ] } ], "mendeley" : { "formattedCitation" : "(Friedman &amp; Savage, 1952)", "plainTextFormattedCitation" : "(Friedman &amp; Savage, 1952)", "previouslyFormattedCitation" : "(Friedman &amp; Savage, 1952)" }, "properties" : { "noteIndex" : 0 }, "schema" : "https://github.com/citation-style-language/schema/raw/master/csl-citation.json" }</w:instrText>
      </w:r>
      <w:r w:rsidR="001C3C09" w:rsidRPr="00990234">
        <w:rPr>
          <w:rFonts w:ascii="Times New Roman" w:hAnsi="Times New Roman" w:cs="Times New Roman"/>
        </w:rPr>
        <w:fldChar w:fldCharType="separate"/>
      </w:r>
      <w:r w:rsidR="001C3C09" w:rsidRPr="00990234">
        <w:rPr>
          <w:rFonts w:ascii="Times New Roman" w:hAnsi="Times New Roman" w:cs="Times New Roman"/>
          <w:noProof/>
        </w:rPr>
        <w:t>(Friedman &amp; Savage, 1952)</w:t>
      </w:r>
      <w:r w:rsidR="001C3C09" w:rsidRPr="00990234">
        <w:rPr>
          <w:rFonts w:ascii="Times New Roman" w:hAnsi="Times New Roman" w:cs="Times New Roman"/>
        </w:rPr>
        <w:fldChar w:fldCharType="end"/>
      </w:r>
      <w:r w:rsidR="001C3C09" w:rsidRPr="00990234">
        <w:rPr>
          <w:rFonts w:ascii="Times New Roman" w:hAnsi="Times New Roman" w:cs="Times New Roman"/>
        </w:rPr>
        <w:t xml:space="preserve">. </w:t>
      </w:r>
      <w:r w:rsidR="009A78A9" w:rsidRPr="00990234">
        <w:rPr>
          <w:rFonts w:ascii="Times New Roman" w:hAnsi="Times New Roman" w:cs="Times New Roman"/>
        </w:rPr>
        <w:t>Reward prediction error specifically refers to the signal the brain is thought to compute when it encounters an unexpected delivery or omission of an appetitive outcome, but the literature often assumes that reward prediction error signals actually reflects the utility of either appetitive or aversive outcomes (S</w:t>
      </w:r>
      <w:r w:rsidR="006613AF" w:rsidRPr="00990234">
        <w:rPr>
          <w:rFonts w:ascii="Times New Roman" w:hAnsi="Times New Roman" w:cs="Times New Roman"/>
        </w:rPr>
        <w:t>c</w:t>
      </w:r>
      <w:r w:rsidR="009A78A9" w:rsidRPr="00990234">
        <w:rPr>
          <w:rFonts w:ascii="Times New Roman" w:hAnsi="Times New Roman" w:cs="Times New Roman"/>
        </w:rPr>
        <w:t xml:space="preserve">hultz, 2016). This assumption means that unexpected delivery of appetitive outcomes should be signalled similarly to the unexpected omission of aversive outcomes. </w:t>
      </w:r>
    </w:p>
    <w:p w:rsidR="00353AE1" w:rsidRPr="00990234" w:rsidRDefault="0011318A" w:rsidP="00353AE1">
      <w:pPr>
        <w:pStyle w:val="PlainText"/>
        <w:spacing w:line="480" w:lineRule="auto"/>
        <w:ind w:firstLine="720"/>
        <w:rPr>
          <w:rFonts w:ascii="Times New Roman" w:hAnsi="Times New Roman" w:cs="Times New Roman"/>
        </w:rPr>
      </w:pPr>
      <w:r w:rsidRPr="00990234">
        <w:rPr>
          <w:rFonts w:ascii="Times New Roman" w:hAnsi="Times New Roman" w:cs="Times New Roman"/>
        </w:rPr>
        <w:t>T</w:t>
      </w:r>
      <w:r w:rsidR="00A45901" w:rsidRPr="00990234">
        <w:rPr>
          <w:rFonts w:ascii="Times New Roman" w:hAnsi="Times New Roman" w:cs="Times New Roman"/>
        </w:rPr>
        <w:t>his</w:t>
      </w:r>
      <w:r w:rsidR="00C83AB5" w:rsidRPr="00990234">
        <w:rPr>
          <w:rFonts w:ascii="Times New Roman" w:hAnsi="Times New Roman" w:cs="Times New Roman"/>
        </w:rPr>
        <w:t xml:space="preserve"> interpretation of </w:t>
      </w:r>
      <w:r w:rsidRPr="00990234">
        <w:rPr>
          <w:rFonts w:ascii="Times New Roman" w:hAnsi="Times New Roman" w:cs="Times New Roman"/>
        </w:rPr>
        <w:t xml:space="preserve">the midbrain </w:t>
      </w:r>
      <w:r w:rsidR="00C83AB5" w:rsidRPr="00990234">
        <w:rPr>
          <w:rFonts w:ascii="Times New Roman" w:hAnsi="Times New Roman" w:cs="Times New Roman"/>
        </w:rPr>
        <w:t>dopamine</w:t>
      </w:r>
      <w:r w:rsidR="00A45901" w:rsidRPr="00990234">
        <w:rPr>
          <w:rFonts w:ascii="Times New Roman" w:hAnsi="Times New Roman" w:cs="Times New Roman"/>
        </w:rPr>
        <w:t xml:space="preserve"> </w:t>
      </w:r>
      <w:r w:rsidRPr="00990234">
        <w:rPr>
          <w:rFonts w:ascii="Times New Roman" w:hAnsi="Times New Roman" w:cs="Times New Roman"/>
        </w:rPr>
        <w:t xml:space="preserve">signal </w:t>
      </w:r>
      <w:r w:rsidR="00964351" w:rsidRPr="00990234">
        <w:rPr>
          <w:rFonts w:ascii="Times New Roman" w:hAnsi="Times New Roman" w:cs="Times New Roman"/>
        </w:rPr>
        <w:t>has</w:t>
      </w:r>
      <w:r w:rsidR="00A45901" w:rsidRPr="00990234">
        <w:rPr>
          <w:rFonts w:ascii="Times New Roman" w:hAnsi="Times New Roman" w:cs="Times New Roman"/>
        </w:rPr>
        <w:t xml:space="preserve"> been challenged by evidence that some dopamine neurons respond with phasic bursts to the delivery of </w:t>
      </w:r>
      <w:r w:rsidR="0030228D" w:rsidRPr="00990234">
        <w:rPr>
          <w:rFonts w:ascii="Times New Roman" w:hAnsi="Times New Roman" w:cs="Times New Roman"/>
          <w:i/>
          <w:iCs/>
        </w:rPr>
        <w:t xml:space="preserve">both </w:t>
      </w:r>
      <w:r w:rsidR="0030228D" w:rsidRPr="00990234">
        <w:rPr>
          <w:rFonts w:ascii="Times New Roman" w:hAnsi="Times New Roman" w:cs="Times New Roman"/>
        </w:rPr>
        <w:t>appetitive and aversive outcomes</w:t>
      </w:r>
      <w:r w:rsidR="00A45901" w:rsidRPr="00990234">
        <w:rPr>
          <w:rFonts w:ascii="Times New Roman" w:hAnsi="Times New Roman" w:cs="Times New Roman"/>
        </w:rPr>
        <w:t>, suggesting tha</w:t>
      </w:r>
      <w:r w:rsidR="00964351" w:rsidRPr="00990234">
        <w:rPr>
          <w:rFonts w:ascii="Times New Roman" w:hAnsi="Times New Roman" w:cs="Times New Roman"/>
        </w:rPr>
        <w:t>t they code salience</w:t>
      </w:r>
      <w:r w:rsidR="00C83AB5" w:rsidRPr="00990234">
        <w:rPr>
          <w:rFonts w:ascii="Times New Roman" w:hAnsi="Times New Roman" w:cs="Times New Roman"/>
        </w:rPr>
        <w:t>, instead</w:t>
      </w:r>
      <w:r w:rsidR="003761B4" w:rsidRPr="00990234">
        <w:rPr>
          <w:rFonts w:ascii="Times New Roman" w:hAnsi="Times New Roman" w:cs="Times New Roman"/>
        </w:rPr>
        <w:t xml:space="preserve"> </w:t>
      </w:r>
      <w:r w:rsidR="009A78A9" w:rsidRPr="00990234">
        <w:rPr>
          <w:rFonts w:ascii="Times New Roman" w:hAnsi="Times New Roman" w:cs="Times New Roman"/>
        </w:rPr>
        <w:t xml:space="preserve">of utility </w:t>
      </w:r>
      <w:r w:rsidR="00A45901" w:rsidRPr="00990234">
        <w:rPr>
          <w:rFonts w:ascii="Times New Roman" w:hAnsi="Times New Roman" w:cs="Times New Roman"/>
        </w:rPr>
        <w:fldChar w:fldCharType="begin" w:fldLock="1"/>
      </w:r>
      <w:r w:rsidR="00E730F1" w:rsidRPr="00990234">
        <w:rPr>
          <w:rFonts w:ascii="Times New Roman" w:hAnsi="Times New Roman" w:cs="Times New Roman"/>
        </w:rPr>
        <w:instrText>ADDIN CSL_CITATION { "citationItems" : [ { "id" : "ITEM-1", "itemData" : { "DOI" : "10.1016/j.neuron.2010.11.022", "ISBN" : "0896-6273", "ISSN" : "08966273", "PMID" : "21144997", "abstract" : "Midbrain dopamine neurons are well known for their strong responses to rewards and their critical role in positive motivation. It has become increasingly clear, however, that dopamine neurons also transmit signals related to salient but nonrewarding experiences such as aversive and alerting events. Here we review recent advances in understanding the reward and nonreward functions of dopamine. Based on this data, we propose that dopamine neurons come in multiple types that are connected with distinct brain networks and have distinct roles in motivational control. Some dopamine neurons encode motivational value, supporting brain networks for seeking, evaluation, and value learning. Others encode motivational salience, supporting brain networks for orienting, cognition, and general motivation. Both types of dopamine neurons are augmented by an alerting signal involved in rapid detection of potentially important sensory cues. We hypothesize that these dopaminergic pathways for value, salience, and alerting cooperate to support adaptive behavior. \u00a9 2010 Elsevier Inc.", "author" : [ { "dropping-particle" : "", "family" : "Bromberg-Martin", "given" : "Ethan S.", "non-dropping-particle" : "", "parse-names" : false, "suffix" : "" }, { "dropping-particle" : "", "family" : "Matsumoto", "given" : "Masayuki", "non-dropping-particle" : "", "parse-names" : false, "suffix" : "" }, { "dropping-particle" : "", "family" : "Hikosaka", "given" : "Okihide", "non-dropping-particle" : "", "parse-names" : false, "suffix" : "" } ], "container-title" : "Neuron", "id" : "ITEM-1", "issue" : "5", "issued" : { "date-parts" : [ [ "2010" ] ] }, "page" : "815-834", "publisher" : "Elsevier Inc.", "title" : "Dopamine in Motivational Control: Rewarding, Aversive, and Alerting", "type" : "article-journal", "volume" : "68" }, "uris" : [ "http://www.mendeley.com/documents/?uuid=dedca657-bc25-47c5-9a82-f43ae7e71f36" ] }, { "id" : "ITEM-2", "itemData" : { "DOI" : "10.1073/pnas.0811507106", "ISBN" : "0811507106", "ISSN" : "1091-6490", "PMID" : "19261850", "abstract" : "Midbrain dopamine neurons play central roles in reward processing. It is widely assumed that all dopamine neurons encode the same information. Some evidence, however, suggests functional differences between subgroups of dopamine neurons, particularly with respect to processing nonrewarding, aversive stimuli. To directly test this possibility, we recorded from and juxtacellularly labeled individual ventral tegmental area (VTA) dopamine neurons in anesthetized rats so that we could link precise anatomical position and neurochemical identity with coding for noxious stimuli. Here, we show that dopamine neurons in the dorsal VTA are inhibited by noxious footshocks, consistent with their role in reward processing. In contrast, we find that dopamine neurons in the ventral VTA are phasically excited by footshocks. This observation can explain a number of previously confusing findings that suggested a role for dopamine in processing both rewarding and aversive events. Taken together, our results indicate that there are 2 functionally and anatomically distinct VTA dopamine systems.", "author" : [ { "dropping-particle" : "", "family" : "Brischoux", "given" : "Fr\u00e9d\u00e9ric", "non-dropping-particle" : "", "parse-names" : false, "suffix" : "" }, { "dropping-particle" : "", "family" : "Chakraborty", "given" : "Subhojit", "non-dropping-particle" : "", "parse-names" : false, "suffix" : "" }, { "dropping-particle" : "", "family" : "Brierley", "given" : "Daniel I", "non-dropping-particle" : "", "parse-names" : false, "suffix" : "" }, { "dropping-particle" : "", "family" : "Ungless", "given" : "Mark a", "non-dropping-particle" : "", "parse-names" : false, "suffix" : "" } ], "container-title" : "Proceedings of the National Academy of Sciences of the United States of America", "id" : "ITEM-2", "issue" : "12", "issued" : { "date-parts" : [ [ "2009" ] ] }, "page" : "4894-9", "title" : "Phasic excitation of dopamine neurons in ventral VTA by noxious stimuli.", "type" : "article-journal", "volume" : "106" }, "uris" : [ "http://www.mendeley.com/documents/?uuid=f4ddc1c6-783a-4074-9993-5fc774c93441" ] }, { "id" : "ITEM-3", "itemData" : { "DOI" : "10.1523/JNEUROSCI.3839-08.2008", "ISBN" : "1529-2401 (Electronic)\\n0270-6474 (Linking)", "ISSN" : "1529-2401 (ELECTRONIC) 0270-6474 (LINKING)", "PMID" : "18987203", "abstract" : "Midbrain dopaminergic neurons (DANs) typically increase their discharge rate in response to appetitive predictive cues and outcomes, whereas striatal cholinergic tonically active interneurons (TANs) decrease their rate. This may indicate that the activity of TANs and DANs is negatively correlated and that TANs can broaden the basal ganglia reinforcement teaching signal, for instance by encoding worse than predicted events. We studied the activity of 106 DANs and 180 TANs of two monkeys recorded during the performance of a classical conditioning task with cues predicting the probability of food, neutral, and air puff outcomes. DANs responded to all cues with elevations of discharge rate, whereas TANs depressed their discharge rate. Nevertheless, although dopaminergic responses to appetitive cues were larger than their responses to neutral or aversive cues, the TAN responses were more similar. Both TANs and DANs responded faster to an air puff than to a food outcome; however, DANs responded with a discharge elevation, whereas the TAN responses included major negative and positive deflections. Finally, food versus air puff omission was better encoded by TANs. In terms of the activity of single neurons with distinct responses to the different behavioral events, both DANs and TANs were more strongly modulated by reward than by aversive related events and better reflected the probability of reward than aversive outcome. Thus, TANs and DANs encode the task episodes differentially. The DANs encode mainly the cue and outcome delivery, whereas the TANs mainly encode outcome delivery and omission at termination of the behavioral trial episode.", "author" : [ { "dropping-particle" : "", "family" : "Joshua", "given" : "M.", "non-dropping-particle" : "", "parse-names" : false, "suffix" : "" }, { "dropping-particle" : "", "family" : "Adler", "given" : "a.", "non-dropping-particle" : "", "parse-names" : false, "suffix" : "" }, { "dropping-particle" : "", "family" : "Mitelman", "given" : "R.", "non-dropping-particle" : "", "parse-names" : false, "suffix" : "" }, { "dropping-particle" : "", "family" : "Vaadia", "given" : "E.", "non-dropping-particle" : "", "parse-names" : false, "suffix" : "" }, { "dropping-particle" : "", "family" : "Bergman", "given" : "H.", "non-dropping-particle" : "", "parse-names" : false, "suffix" : "" } ], "container-title" : "J Neurosci", "id" : "ITEM-3", "issue" : "45", "issued" : { "date-parts" : [ [ "2008" ] ] }, "page" : "11673-84", "title" : "Midbrain dopaminergic neurons and striatal cholinergic interneurons encode the difference between reward and aversive events at different epochs of probabilistic classical conditioning trials", "type" : "article-journal", "volume" : "28" }, "uris" : [ "http://www.mendeley.com/documents/?uuid=35f00834-9067-453c-90fa-2b6d46aba8db" ] } ], "mendeley" : { "formattedCitation" : "(Brischoux, Chakraborty, Brierley, &amp; Ungless, 2009; Bromberg-Martin, Matsumoto, &amp; Hikosaka, 2010; Joshua, Adler, Mitelman, Vaadia, &amp; Bergman, 2008)", "plainTextFormattedCitation" : "(Brischoux, Chakraborty, Brierley, &amp; Ungless, 2009; Bromberg-Martin, Matsumoto, &amp; Hikosaka, 2010; Joshua, Adler, Mitelman, Vaadia, &amp; Bergman, 2008)", "previouslyFormattedCitation" : "(Brischoux, Chakraborty, Brierley, &amp; Ungless, 2009; Bromberg-Martin, Matsumoto, &amp; Hikosaka, 2010; Joshua, Adler, Mitelman, Vaadia, &amp; Bergman, 2008)" }, "properties" : { "noteIndex" : 0 }, "schema" : "https://github.com/citation-style-language/schema/raw/master/csl-citation.json" }</w:instrText>
      </w:r>
      <w:r w:rsidR="00A45901" w:rsidRPr="00990234">
        <w:rPr>
          <w:rFonts w:ascii="Times New Roman" w:hAnsi="Times New Roman" w:cs="Times New Roman"/>
        </w:rPr>
        <w:fldChar w:fldCharType="separate"/>
      </w:r>
      <w:r w:rsidR="00A45901" w:rsidRPr="00990234">
        <w:rPr>
          <w:rFonts w:ascii="Times New Roman" w:hAnsi="Times New Roman" w:cs="Times New Roman"/>
          <w:noProof/>
        </w:rPr>
        <w:t>(Brischoux, Chakraborty, Brierley, &amp; Ungless, 2009; Bromberg-Martin, Matsumoto, &amp; Hikosaka, 2010; Joshua, Adler, Mitelman, Vaadia, &amp; Bergman, 2008)</w:t>
      </w:r>
      <w:r w:rsidR="00A45901" w:rsidRPr="00990234">
        <w:rPr>
          <w:rFonts w:ascii="Times New Roman" w:hAnsi="Times New Roman" w:cs="Times New Roman"/>
        </w:rPr>
        <w:fldChar w:fldCharType="end"/>
      </w:r>
      <w:r w:rsidR="00A45901" w:rsidRPr="00990234">
        <w:rPr>
          <w:rFonts w:ascii="Times New Roman" w:hAnsi="Times New Roman" w:cs="Times New Roman"/>
        </w:rPr>
        <w:t>.</w:t>
      </w:r>
      <w:r w:rsidR="00FF70EA" w:rsidRPr="00990234">
        <w:rPr>
          <w:rFonts w:ascii="Times New Roman" w:hAnsi="Times New Roman" w:cs="Times New Roman"/>
        </w:rPr>
        <w:t xml:space="preserve"> </w:t>
      </w:r>
      <w:r w:rsidR="000E6EA9" w:rsidRPr="00990234">
        <w:rPr>
          <w:rFonts w:ascii="Times New Roman" w:hAnsi="Times New Roman" w:cs="Times New Roman"/>
        </w:rPr>
        <w:t xml:space="preserve">Schultz (2016) proposed that the challenge salience presents to the interpretation of  midbrain dopamine firing as a reward prediction error can be addressed by distinguishing between two temporally separate signals within 500 ms of a predictive cue: an initial </w:t>
      </w:r>
      <w:proofErr w:type="spellStart"/>
      <w:r w:rsidR="000E6EA9" w:rsidRPr="00990234">
        <w:rPr>
          <w:rFonts w:ascii="Times New Roman" w:hAnsi="Times New Roman" w:cs="Times New Roman"/>
        </w:rPr>
        <w:t>nondiscriminative</w:t>
      </w:r>
      <w:proofErr w:type="spellEnd"/>
      <w:r w:rsidR="000E6EA9" w:rsidRPr="00990234">
        <w:rPr>
          <w:rFonts w:ascii="Times New Roman" w:hAnsi="Times New Roman" w:cs="Times New Roman"/>
        </w:rPr>
        <w:t xml:space="preserve"> response to various forms of salience, between 100-200ms from the cue, followed by a utility prediction error signal from 150-350ms </w:t>
      </w:r>
      <w:r w:rsidR="000E6EA9" w:rsidRPr="00990234">
        <w:rPr>
          <w:rFonts w:ascii="Times New Roman" w:hAnsi="Times New Roman" w:cs="Times New Roman"/>
        </w:rPr>
        <w:fldChar w:fldCharType="begin" w:fldLock="1"/>
      </w:r>
      <w:r w:rsidR="000E6EA9" w:rsidRPr="00990234">
        <w:rPr>
          <w:rFonts w:ascii="Times New Roman" w:hAnsi="Times New Roman" w:cs="Times New Roman"/>
        </w:rPr>
        <w:instrText>ADDIN CSL_CITATION { "citationItems" : [ { "id" : "ITEM-1", "itemData" : { "DOI" : "10.1038/nrn.2015.26", "ISSN" : "1471-003X", "PMID" : "26865020", "author" : [ { "dropping-particle" : "", "family" : "Schultz", "given" : "Wolfram", "non-dropping-particle" : "", "parse-names" : false, "suffix" : "" } ], "container-title" : "Nature Publishing Group", "id" : "ITEM-1", "issue" : "3", "issued" : { "date-parts" : [ [ "2016" ] ] }, "page" : "183-195", "publisher" : "Nature Publishing Group", "title" : "Dopamine reward prediction- error signalling: a two-component response", "type" : "article-journal", "volume" : "17" }, "uris" : [ "http://www.mendeley.com/documents/?uuid=3f2acb5d-c4fc-429f-9cbe-0a4d399b2f8d" ] } ], "mendeley" : { "formattedCitation" : "(Wolfram Schultz, 2016)", "manualFormatting" : "(Schultz, 2016)", "plainTextFormattedCitation" : "(Wolfram Schultz, 2016)", "previouslyFormattedCitation" : "(Wolfram Schultz, 2016)" }, "properties" : { "noteIndex" : 0 }, "schema" : "https://github.com/citation-style-language/schema/raw/master/csl-citation.json" }</w:instrText>
      </w:r>
      <w:r w:rsidR="000E6EA9" w:rsidRPr="00990234">
        <w:rPr>
          <w:rFonts w:ascii="Times New Roman" w:hAnsi="Times New Roman" w:cs="Times New Roman"/>
        </w:rPr>
        <w:fldChar w:fldCharType="separate"/>
      </w:r>
      <w:r w:rsidR="000E6EA9" w:rsidRPr="00990234">
        <w:rPr>
          <w:rFonts w:ascii="Times New Roman" w:hAnsi="Times New Roman" w:cs="Times New Roman"/>
          <w:noProof/>
        </w:rPr>
        <w:t>(Schultz, 2016)</w:t>
      </w:r>
      <w:r w:rsidR="000E6EA9" w:rsidRPr="00990234">
        <w:rPr>
          <w:rFonts w:ascii="Times New Roman" w:hAnsi="Times New Roman" w:cs="Times New Roman"/>
        </w:rPr>
        <w:fldChar w:fldCharType="end"/>
      </w:r>
      <w:r w:rsidR="000E6EA9" w:rsidRPr="00990234">
        <w:rPr>
          <w:rFonts w:ascii="Times New Roman" w:hAnsi="Times New Roman" w:cs="Times New Roman"/>
        </w:rPr>
        <w:t xml:space="preserve">. </w:t>
      </w:r>
      <w:r w:rsidRPr="00990234">
        <w:rPr>
          <w:rFonts w:ascii="Times New Roman" w:hAnsi="Times New Roman" w:cs="Times New Roman"/>
        </w:rPr>
        <w:t xml:space="preserve">Schultz (2016) listed </w:t>
      </w:r>
      <w:r w:rsidR="003003DC" w:rsidRPr="00990234">
        <w:rPr>
          <w:rFonts w:ascii="Times New Roman" w:hAnsi="Times New Roman" w:cs="Times New Roman"/>
        </w:rPr>
        <w:t xml:space="preserve">three </w:t>
      </w:r>
      <w:r w:rsidRPr="00990234">
        <w:rPr>
          <w:rFonts w:ascii="Times New Roman" w:hAnsi="Times New Roman" w:cs="Times New Roman"/>
        </w:rPr>
        <w:t xml:space="preserve">reasons </w:t>
      </w:r>
      <w:r w:rsidR="00C914D8" w:rsidRPr="00990234">
        <w:rPr>
          <w:rFonts w:ascii="Times New Roman" w:hAnsi="Times New Roman" w:cs="Times New Roman"/>
        </w:rPr>
        <w:t xml:space="preserve">for </w:t>
      </w:r>
      <w:r w:rsidR="000E6EA9" w:rsidRPr="00990234">
        <w:rPr>
          <w:rFonts w:ascii="Times New Roman" w:hAnsi="Times New Roman" w:cs="Times New Roman"/>
        </w:rPr>
        <w:t xml:space="preserve">this initial </w:t>
      </w:r>
      <w:r w:rsidR="00C914D8" w:rsidRPr="00990234">
        <w:rPr>
          <w:rFonts w:ascii="Times New Roman" w:hAnsi="Times New Roman" w:cs="Times New Roman"/>
        </w:rPr>
        <w:t>salience</w:t>
      </w:r>
      <w:r w:rsidR="000E6EA9" w:rsidRPr="00990234">
        <w:rPr>
          <w:rFonts w:ascii="Times New Roman" w:hAnsi="Times New Roman" w:cs="Times New Roman"/>
        </w:rPr>
        <w:t xml:space="preserve"> response</w:t>
      </w:r>
      <w:r w:rsidR="006C5415" w:rsidRPr="00990234">
        <w:rPr>
          <w:rFonts w:ascii="Times New Roman" w:hAnsi="Times New Roman" w:cs="Times New Roman"/>
        </w:rPr>
        <w:t xml:space="preserve">. </w:t>
      </w:r>
      <w:r w:rsidR="003003DC" w:rsidRPr="00990234">
        <w:rPr>
          <w:rFonts w:ascii="Times New Roman" w:hAnsi="Times New Roman" w:cs="Times New Roman"/>
        </w:rPr>
        <w:t>Physical salience refers to physical attributes such as size and colour</w:t>
      </w:r>
      <w:r w:rsidR="003E5097" w:rsidRPr="00990234">
        <w:rPr>
          <w:rFonts w:ascii="Times New Roman" w:hAnsi="Times New Roman" w:cs="Times New Roman"/>
        </w:rPr>
        <w:t>,</w:t>
      </w:r>
      <w:r w:rsidR="003003DC" w:rsidRPr="00990234">
        <w:rPr>
          <w:rFonts w:ascii="Times New Roman" w:hAnsi="Times New Roman" w:cs="Times New Roman"/>
        </w:rPr>
        <w:t xml:space="preserve"> </w:t>
      </w:r>
      <w:r w:rsidR="003E5097" w:rsidRPr="00990234">
        <w:rPr>
          <w:rFonts w:ascii="Times New Roman" w:hAnsi="Times New Roman" w:cs="Times New Roman"/>
        </w:rPr>
        <w:t>m</w:t>
      </w:r>
      <w:r w:rsidR="006C5415" w:rsidRPr="00990234">
        <w:rPr>
          <w:rFonts w:ascii="Times New Roman" w:hAnsi="Times New Roman" w:cs="Times New Roman"/>
        </w:rPr>
        <w:t xml:space="preserve">otivational salience </w:t>
      </w:r>
      <w:r w:rsidR="008E12EE" w:rsidRPr="00990234">
        <w:rPr>
          <w:rFonts w:ascii="Times New Roman" w:hAnsi="Times New Roman" w:cs="Times New Roman"/>
        </w:rPr>
        <w:t>refers to</w:t>
      </w:r>
      <w:r w:rsidR="006C5415" w:rsidRPr="00990234">
        <w:rPr>
          <w:rFonts w:ascii="Times New Roman" w:hAnsi="Times New Roman" w:cs="Times New Roman"/>
        </w:rPr>
        <w:t xml:space="preserve"> the </w:t>
      </w:r>
      <w:r w:rsidR="006E699F" w:rsidRPr="00990234">
        <w:rPr>
          <w:rFonts w:ascii="Times New Roman" w:hAnsi="Times New Roman" w:cs="Times New Roman"/>
        </w:rPr>
        <w:t xml:space="preserve">ability of an outcome </w:t>
      </w:r>
      <w:r w:rsidR="006C5415" w:rsidRPr="00990234">
        <w:rPr>
          <w:rFonts w:ascii="Times New Roman" w:hAnsi="Times New Roman" w:cs="Times New Roman"/>
        </w:rPr>
        <w:t>to elicit attention due to its</w:t>
      </w:r>
      <w:r w:rsidR="00670E50" w:rsidRPr="00990234">
        <w:rPr>
          <w:rFonts w:ascii="Times New Roman" w:hAnsi="Times New Roman" w:cs="Times New Roman"/>
        </w:rPr>
        <w:t xml:space="preserve"> high</w:t>
      </w:r>
      <w:r w:rsidR="006C5415" w:rsidRPr="00990234">
        <w:rPr>
          <w:rFonts w:ascii="Times New Roman" w:hAnsi="Times New Roman" w:cs="Times New Roman"/>
        </w:rPr>
        <w:t xml:space="preserve"> motivational </w:t>
      </w:r>
      <w:r w:rsidR="00670E50" w:rsidRPr="00990234">
        <w:rPr>
          <w:rFonts w:ascii="Times New Roman" w:hAnsi="Times New Roman" w:cs="Times New Roman"/>
        </w:rPr>
        <w:t>relevance</w:t>
      </w:r>
      <w:r w:rsidRPr="00990234">
        <w:rPr>
          <w:rFonts w:ascii="Times New Roman" w:hAnsi="Times New Roman" w:cs="Times New Roman"/>
        </w:rPr>
        <w:t>, while s</w:t>
      </w:r>
      <w:r w:rsidR="006C5415" w:rsidRPr="00990234">
        <w:rPr>
          <w:rFonts w:ascii="Times New Roman" w:hAnsi="Times New Roman" w:cs="Times New Roman"/>
        </w:rPr>
        <w:t>urprise salience refers to the</w:t>
      </w:r>
      <w:r w:rsidR="00670E50" w:rsidRPr="00990234">
        <w:rPr>
          <w:rFonts w:ascii="Times New Roman" w:hAnsi="Times New Roman" w:cs="Times New Roman"/>
        </w:rPr>
        <w:t xml:space="preserve"> </w:t>
      </w:r>
      <w:r w:rsidR="006E699F" w:rsidRPr="00990234">
        <w:rPr>
          <w:rFonts w:ascii="Times New Roman" w:hAnsi="Times New Roman" w:cs="Times New Roman"/>
        </w:rPr>
        <w:t>unexpectedness</w:t>
      </w:r>
      <w:r w:rsidR="00FF70EA" w:rsidRPr="00990234">
        <w:rPr>
          <w:rFonts w:ascii="Times New Roman" w:hAnsi="Times New Roman" w:cs="Times New Roman"/>
        </w:rPr>
        <w:t xml:space="preserve"> or novelty</w:t>
      </w:r>
      <w:r w:rsidR="006E699F" w:rsidRPr="00990234">
        <w:rPr>
          <w:rFonts w:ascii="Times New Roman" w:hAnsi="Times New Roman" w:cs="Times New Roman"/>
        </w:rPr>
        <w:t xml:space="preserve"> of an outcome.</w:t>
      </w:r>
      <w:r w:rsidR="006C5415" w:rsidRPr="00990234">
        <w:rPr>
          <w:rFonts w:ascii="Times New Roman" w:hAnsi="Times New Roman" w:cs="Times New Roman"/>
        </w:rPr>
        <w:t xml:space="preserve"> </w:t>
      </w:r>
      <w:r w:rsidR="009A78A9" w:rsidRPr="00990234">
        <w:rPr>
          <w:rFonts w:ascii="Times New Roman" w:hAnsi="Times New Roman" w:cs="Times New Roman"/>
        </w:rPr>
        <w:t>Clearly, b</w:t>
      </w:r>
      <w:r w:rsidR="00A728A1" w:rsidRPr="00990234">
        <w:rPr>
          <w:rFonts w:ascii="Times New Roman" w:hAnsi="Times New Roman" w:cs="Times New Roman"/>
        </w:rPr>
        <w:t xml:space="preserve">oth </w:t>
      </w:r>
      <w:r w:rsidR="009A78A9" w:rsidRPr="00990234">
        <w:rPr>
          <w:rFonts w:ascii="Times New Roman" w:hAnsi="Times New Roman" w:cs="Times New Roman"/>
        </w:rPr>
        <w:t xml:space="preserve">appetitive </w:t>
      </w:r>
      <w:r w:rsidR="00A728A1" w:rsidRPr="00990234">
        <w:rPr>
          <w:rFonts w:ascii="Times New Roman" w:hAnsi="Times New Roman" w:cs="Times New Roman"/>
        </w:rPr>
        <w:t xml:space="preserve">and </w:t>
      </w:r>
      <w:r w:rsidR="009A78A9" w:rsidRPr="00990234">
        <w:rPr>
          <w:rFonts w:ascii="Times New Roman" w:hAnsi="Times New Roman" w:cs="Times New Roman"/>
        </w:rPr>
        <w:t xml:space="preserve">aversive </w:t>
      </w:r>
      <w:r w:rsidR="00A728A1" w:rsidRPr="00990234">
        <w:rPr>
          <w:rFonts w:ascii="Times New Roman" w:hAnsi="Times New Roman" w:cs="Times New Roman"/>
        </w:rPr>
        <w:t xml:space="preserve">outcomes can </w:t>
      </w:r>
      <w:r w:rsidR="009A78A9" w:rsidRPr="00990234">
        <w:rPr>
          <w:rFonts w:ascii="Times New Roman" w:hAnsi="Times New Roman" w:cs="Times New Roman"/>
        </w:rPr>
        <w:t>have</w:t>
      </w:r>
      <w:r w:rsidR="00A728A1" w:rsidRPr="00990234">
        <w:rPr>
          <w:rFonts w:ascii="Times New Roman" w:hAnsi="Times New Roman" w:cs="Times New Roman"/>
        </w:rPr>
        <w:t xml:space="preserve"> high mot</w:t>
      </w:r>
      <w:r w:rsidR="00712020" w:rsidRPr="00990234">
        <w:rPr>
          <w:rFonts w:ascii="Times New Roman" w:hAnsi="Times New Roman" w:cs="Times New Roman"/>
        </w:rPr>
        <w:t xml:space="preserve">ivational and surprise salience </w:t>
      </w:r>
      <w:r w:rsidR="00712020" w:rsidRPr="00990234">
        <w:rPr>
          <w:rFonts w:ascii="Times New Roman" w:hAnsi="Times New Roman" w:cs="Times New Roman"/>
        </w:rPr>
        <w:fldChar w:fldCharType="begin" w:fldLock="1"/>
      </w:r>
      <w:r w:rsidR="00E730F1" w:rsidRPr="00990234">
        <w:rPr>
          <w:rFonts w:ascii="Times New Roman" w:hAnsi="Times New Roman" w:cs="Times New Roman"/>
        </w:rPr>
        <w:instrText>ADDIN CSL_CITATION { "citationItems" : [ { "id" : "ITEM-1", "itemData" : { "DOI" : "10.1016/j.neuropsychologia.2014.06.004", "ISSN" : "18733514", "PMID" : "24946315", "abstract" : "Reinforcement learning models make use of reward prediction errors (RPEs), the difference between an expected and obtained reward. There is evidence that the brain computes RPEs, but an outstanding question is whether positive RPEs (\"better than expected\") and negative RPEs (\"worse than expected\") are represented in a single integrated system. An electrophysiological component, feedback related negativity, has been claimed to encode an RPE but its relative sensitivity to the utility of positive and negative RPEs remains unclear. This study explored the question by varying the utility of positive and negative RPEs in a design that controlled for other closely related properties of feedback and could distinguish utility from salience. It revealed a mediofrontal sensitivity to utility, for positive RPEs at 275-310. ms and for negative RPEs at 310-390. ms. These effects were preceded and succeeded by a response consistent with an unsigned prediction error, or \"salience\" coding. ?? 2014 Elsevier Ltd.", "author" : [ { "dropping-particle" : "", "family" : "Sambrook", "given" : "Thomas D.", "non-dropping-particle" : "", "parse-names" : false, "suffix" : "" }, { "dropping-particle" : "", "family" : "Goslin", "given" : "Jeremy", "non-dropping-particle" : "", "parse-names" : false, "suffix" : "" } ], "container-title" : "Neuropsychologia", "id" : "ITEM-1", "issue" : "1", "issued" : { "date-parts" : [ [ "2014" ] ] }, "page" : "1-10", "publisher" : "Elsevier", "title" : "Mediofrontal event-related potentials in response to positive, negative and unsigned prediction errors", "type" : "article-journal", "volume" : "61" }, "uris" : [ "http://www.mendeley.com/documents/?uuid=646131eb-72e9-4272-8e79-5123169856f8" ] } ], "mendeley" : { "formattedCitation" : "(Sambrook &amp; Goslin, 2014)", "plainTextFormattedCitation" : "(Sambrook &amp; Goslin, 2014)", "previouslyFormattedCitation" : "(Sambrook &amp; Goslin, 2014)" }, "properties" : { "noteIndex" : 0 }, "schema" : "https://github.com/citation-style-language/schema/raw/master/csl-citation.json" }</w:instrText>
      </w:r>
      <w:r w:rsidR="00712020" w:rsidRPr="00990234">
        <w:rPr>
          <w:rFonts w:ascii="Times New Roman" w:hAnsi="Times New Roman" w:cs="Times New Roman"/>
        </w:rPr>
        <w:fldChar w:fldCharType="separate"/>
      </w:r>
      <w:r w:rsidR="00712020" w:rsidRPr="00990234">
        <w:rPr>
          <w:rFonts w:ascii="Times New Roman" w:hAnsi="Times New Roman" w:cs="Times New Roman"/>
          <w:noProof/>
        </w:rPr>
        <w:t xml:space="preserve">(Sambrook &amp; </w:t>
      </w:r>
      <w:r w:rsidR="00712020" w:rsidRPr="00990234">
        <w:rPr>
          <w:rFonts w:ascii="Times New Roman" w:hAnsi="Times New Roman" w:cs="Times New Roman"/>
          <w:noProof/>
        </w:rPr>
        <w:lastRenderedPageBreak/>
        <w:t>Goslin, 2014)</w:t>
      </w:r>
      <w:r w:rsidR="00712020" w:rsidRPr="00990234">
        <w:rPr>
          <w:rFonts w:ascii="Times New Roman" w:hAnsi="Times New Roman" w:cs="Times New Roman"/>
        </w:rPr>
        <w:fldChar w:fldCharType="end"/>
      </w:r>
      <w:r w:rsidR="00DC3230" w:rsidRPr="00990234">
        <w:rPr>
          <w:rFonts w:ascii="Times New Roman" w:hAnsi="Times New Roman" w:cs="Times New Roman"/>
        </w:rPr>
        <w:t>.</w:t>
      </w:r>
      <w:r w:rsidR="003E5097" w:rsidRPr="00990234">
        <w:rPr>
          <w:rFonts w:ascii="Times New Roman" w:hAnsi="Times New Roman" w:cs="Times New Roman"/>
        </w:rPr>
        <w:t xml:space="preserve"> </w:t>
      </w:r>
      <w:r w:rsidR="00353AE1" w:rsidRPr="00990234">
        <w:rPr>
          <w:rFonts w:ascii="Times New Roman" w:hAnsi="Times New Roman" w:cs="Times New Roman"/>
        </w:rPr>
        <w:t xml:space="preserve">Higher salience of stimuli increases their ability to capture attention. For example, an unpleasant taste is low in utility and so could elicit a negative reward prediction error, but is also high in motivational salience, because it represents a potentially harmful substance which would attract attention so that it is avoided in the future </w:t>
      </w:r>
      <w:r w:rsidR="00353AE1" w:rsidRPr="00990234">
        <w:rPr>
          <w:rFonts w:ascii="Times New Roman" w:hAnsi="Times New Roman" w:cs="Times New Roman"/>
        </w:rPr>
        <w:fldChar w:fldCharType="begin" w:fldLock="1"/>
      </w:r>
      <w:r w:rsidR="009608AC" w:rsidRPr="00990234">
        <w:rPr>
          <w:rFonts w:ascii="Times New Roman" w:hAnsi="Times New Roman" w:cs="Times New Roman"/>
        </w:rPr>
        <w:instrText>ADDIN CSL_CITATION { "citationItems" : [ { "id" : "ITEM-1", "itemData" : { "DOI" : "10.1098/rspb.2011.0836", "ISBN" : "1471-2954 (Electronic)\\r0962-8452 (Linking)", "ISSN" : "0962-8452", "PMID" : "21653585", "abstract" : "Theories of selective attention in associative learning posit that the salience of a cue will be high if the cue is the best available predictor of reinforcement (high predictiveness). In contrast, a different class of attentional theory stipulates that the salience of a cue will be high if the cue is an inaccurate predictor of reinforcement (high uncertainty). Evidence in support of these seemingly contradictory propositions has led to: (i) the development of hybrid attentional models that assume the coexistence of separate, predictiveness-driven and uncertainty-driven mechanisms of changes in cue salience; and (ii) a surge of interest in identifying the neural circuits underpinning these mechanisms. Here, we put forward a formal attentional model of learning that reconciles the roles of predictiveness and uncertainty in salience modification. The issues discussed are relevant to psychologists, behavioural neuroscientists and neuroeconomists investigating the roles of predictiveness and uncertainty in behaviour.", "author" : [ { "dropping-particle" : "", "family" : "Esber", "given" : "Guillem R", "non-dropping-particle" : "", "parse-names" : false, "suffix" : "" }, { "dropping-particle" : "", "family" : "Haselgrove", "given" : "Mark", "non-dropping-particle" : "", "parse-names" : false, "suffix" : "" } ], "container-title" : "Proceedings. Biological sciences / The Royal Society", "id" : "ITEM-1", "issue" : "1718", "issued" : { "date-parts" : [ [ "2011" ] ] }, "page" : "2553-2561", "title" : "Reconciling the influence of predictiveness and uncertainty on stimulus salience: a model of attention in associative learning.", "type" : "article-journal", "volume" : "278" }, "uris" : [ "http://www.mendeley.com/documents/?uuid=56d5f646-2c69-44f1-a0c1-09f200af9e7e" ] } ], "mendeley" : { "formattedCitation" : "(Esber &amp; Haselgrove, 2011)", "plainTextFormattedCitation" : "(Esber &amp; Haselgrove, 2011)", "previouslyFormattedCitation" : "(Esber &amp; Haselgrove, 2011)" }, "properties" : { "noteIndex" : 0 }, "schema" : "https://github.com/citation-style-language/schema/raw/master/csl-citation.json" }</w:instrText>
      </w:r>
      <w:r w:rsidR="00353AE1" w:rsidRPr="00990234">
        <w:rPr>
          <w:rFonts w:ascii="Times New Roman" w:hAnsi="Times New Roman" w:cs="Times New Roman"/>
        </w:rPr>
        <w:fldChar w:fldCharType="separate"/>
      </w:r>
      <w:r w:rsidR="00353AE1" w:rsidRPr="00990234">
        <w:rPr>
          <w:rFonts w:ascii="Times New Roman" w:hAnsi="Times New Roman" w:cs="Times New Roman"/>
          <w:noProof/>
        </w:rPr>
        <w:t>(Esber &amp; Haselgrove, 2011)</w:t>
      </w:r>
      <w:r w:rsidR="00353AE1" w:rsidRPr="00990234">
        <w:rPr>
          <w:rFonts w:ascii="Times New Roman" w:hAnsi="Times New Roman" w:cs="Times New Roman"/>
        </w:rPr>
        <w:fldChar w:fldCharType="end"/>
      </w:r>
      <w:r w:rsidR="00353AE1" w:rsidRPr="00990234">
        <w:rPr>
          <w:rFonts w:ascii="Times New Roman" w:hAnsi="Times New Roman" w:cs="Times New Roman"/>
        </w:rPr>
        <w:t>.</w:t>
      </w:r>
      <w:r w:rsidR="00857698" w:rsidRPr="00990234">
        <w:rPr>
          <w:rFonts w:ascii="Times New Roman" w:hAnsi="Times New Roman" w:cs="Times New Roman"/>
        </w:rPr>
        <w:t xml:space="preserve">  A negative reward prediction error would be expressed by a reduction in neural activity, whereas a salience response would be expressed by an increase.</w:t>
      </w:r>
    </w:p>
    <w:p w:rsidR="00C914D8" w:rsidRPr="00990234" w:rsidRDefault="00A45901" w:rsidP="00715741">
      <w:pPr>
        <w:spacing w:after="0" w:line="480" w:lineRule="auto"/>
        <w:ind w:right="-113" w:firstLine="720"/>
        <w:rPr>
          <w:rFonts w:ascii="Times New Roman" w:hAnsi="Times New Roman" w:cs="Times New Roman"/>
          <w:lang w:val="es-ES"/>
        </w:rPr>
      </w:pPr>
      <w:r w:rsidRPr="00990234">
        <w:rPr>
          <w:rFonts w:ascii="Times New Roman" w:hAnsi="Times New Roman" w:cs="Times New Roman"/>
        </w:rPr>
        <w:t xml:space="preserve">Distinguishing between </w:t>
      </w:r>
      <w:r w:rsidR="00DE65DD" w:rsidRPr="00990234">
        <w:rPr>
          <w:rFonts w:ascii="Times New Roman" w:hAnsi="Times New Roman" w:cs="Times New Roman"/>
        </w:rPr>
        <w:t>utility and</w:t>
      </w:r>
      <w:r w:rsidRPr="00990234">
        <w:rPr>
          <w:rFonts w:ascii="Times New Roman" w:hAnsi="Times New Roman" w:cs="Times New Roman"/>
        </w:rPr>
        <w:t xml:space="preserve"> salience is fundamental in </w:t>
      </w:r>
      <w:r w:rsidR="00C914D8" w:rsidRPr="00990234">
        <w:rPr>
          <w:rFonts w:ascii="Times New Roman" w:hAnsi="Times New Roman" w:cs="Times New Roman"/>
        </w:rPr>
        <w:t xml:space="preserve">the </w:t>
      </w:r>
      <w:r w:rsidRPr="00990234">
        <w:rPr>
          <w:rFonts w:ascii="Times New Roman" w:hAnsi="Times New Roman" w:cs="Times New Roman"/>
        </w:rPr>
        <w:t xml:space="preserve">burgeoning literature in </w:t>
      </w:r>
      <w:proofErr w:type="spellStart"/>
      <w:r w:rsidRPr="00990234">
        <w:rPr>
          <w:rFonts w:ascii="Times New Roman" w:hAnsi="Times New Roman" w:cs="Times New Roman"/>
        </w:rPr>
        <w:t>neuroeconomics</w:t>
      </w:r>
      <w:proofErr w:type="spellEnd"/>
      <w:r w:rsidRPr="00990234">
        <w:rPr>
          <w:rFonts w:ascii="Times New Roman" w:hAnsi="Times New Roman" w:cs="Times New Roman"/>
        </w:rPr>
        <w:t xml:space="preserve"> and affective neuroscience</w:t>
      </w:r>
      <w:r w:rsidR="005E7BFE" w:rsidRPr="00990234">
        <w:rPr>
          <w:rFonts w:ascii="Times New Roman" w:hAnsi="Times New Roman" w:cs="Times New Roman"/>
        </w:rPr>
        <w:t>. This is</w:t>
      </w:r>
      <w:r w:rsidRPr="00990234">
        <w:rPr>
          <w:rFonts w:ascii="Times New Roman" w:hAnsi="Times New Roman" w:cs="Times New Roman"/>
        </w:rPr>
        <w:t xml:space="preserve"> evident in recent meta-analyses of human neuroimaging </w:t>
      </w:r>
      <w:r w:rsidRPr="00990234">
        <w:rPr>
          <w:rFonts w:ascii="Times New Roman" w:hAnsi="Times New Roman" w:cs="Times New Roman"/>
        </w:rPr>
        <w:fldChar w:fldCharType="begin" w:fldLock="1"/>
      </w:r>
      <w:r w:rsidR="009002E1" w:rsidRPr="00990234">
        <w:rPr>
          <w:rFonts w:ascii="Times New Roman" w:hAnsi="Times New Roman" w:cs="Times New Roman"/>
        </w:rPr>
        <w:instrText>ADDIN CSL_CITATION { "citationItems" : [ { "id" : "ITEM-1", "itemData" : { "DOI" : "10.1016/j.neuroimage.2013.02.063", "ISBN" : "1095-9572 (Electronic)\\n1053-8119 (Linking)", "ISSN" : "10538119", "PMID" : "23507394", "abstract" : "Numerous experiments have recently sought to identify neural signals associated with the subjective value (SV) of choice alternatives. Theoretically, SV assessment is an intermediate computational step during decision making, in which alternatives are placed on a common scale to facilitate value-maximizing choice. Here we present a quantitative, coordinate-based meta-analysis of 206 published fMRI studies investigating neural correlates of SV. Our results identify two general patterns of SV-correlated brain responses. In one set of regions, both positive and negative effects of SV on BOLD are reported at above-chance rates across the literature. Areas exhibiting this pattern include anterior insula, dorsomedial prefrontal cortex, dorsal and posterior striatum, and thalamus. The mixture of positive and negative effects potentially reflects an underlying U-shaped function, indicative of signal related to arousal or salience. In a second set of areas, including ventromedial prefrontal cortex and anterior ventral striatum, positive effects predominate. Positive effects in the latter regions are seen both when a decision is confronted and when an outcome is delivered, as well as for both monetary and primary rewards. These regions appear to constitute a \"valuation system,\" carrying a domain-general SV signal and potentially contributing to value-based decision making. \u00a9 2013 Elsevier Inc.", "author" : [ { "dropping-particle" : "", "family" : "Bartra", "given" : "Oscar", "non-dropping-particle" : "", "parse-names" : false, "suffix" : "" }, { "dropping-particle" : "", "family" : "McGuire", "given" : "Joseph T.", "non-dropping-particle" : "", "parse-names" : false, "suffix" : "" }, { "dropping-particle" : "", "family" : "Kable", "given" : "Joseph W.", "non-dropping-particle" : "", "parse-names" : false, "suffix" : "" } ], "container-title" : "NeuroImage", "id" : "ITEM-1", "issued" : { "date-parts" : [ [ "2013" ] ] }, "page" : "412-427", "publisher" : "Elsevier Inc.", "title" : "The valuation system: A coordinate-based meta-analysis of BOLD fMRI experiments examining neural correlates of subjective value", "type" : "article-journal", "volume" : "76" }, "uris" : [ "http://www.mendeley.com/documents/?uuid=05bbb2db-5b3f-4459-9435-ed0bc7c2df1f" ] }, { "id" : "ITEM-2", "itemData" : { "DOI" : "10.1093/cercor/bhv001", "ISBN" : "1460-2199 (Electronic)\\r1047-3211 (Linking)", "ISSN" : "1460-2199", "PMID" : "25631056", "abstract" : "The ability to experience pleasant or unpleasant feelings or to represent objects as \"positive\" or \"negative\" is known as representing hedonic \"valence.\" Although scientists overwhelmingly agree that valence is a basic psychological phenomenon, debate continues about how to best conceptualize it scientifically. We used a meta-analysis of 397 functional magnetic resonance imaging (fMRI) and positron emission tomography studies (containing 914 experimental contrasts and 6827 participants) to test 3 competing hypotheses about the brain basis of valence: the bipolarity hypothesis that positive and negative affect are supported by a brain system that monotonically increases and/or decreases along the valence dimension, the bivalent hypothesis that positive and negative affect are supported by independent brain systems, and the affective workspace hypothesis that positive and negative affect are supported by a flexible set of valence-general regions. We found little evidence for the bipolar or bivalent hypotheses. Findings instead supported the hypothesis that, at the level of brain activity measurable by fMRI, valence is flexibly implemented across instances by a set of valence-general limbic and paralimbic brain regions.", "author" : [ { "dropping-particle" : "", "family" : "Lindquist", "given" : "Kristen a", "non-dropping-particle" : "", "parse-names" : false, "suffix" : "" }, { "dropping-particle" : "", "family" : "Satpute", "given" : "Ajay B", "non-dropping-particle" : "", "parse-names" : false, "suffix" : "" }, { "dropping-particle" : "", "family" : "Wager", "given" : "Tor D", "non-dropping-particle" : "", "parse-names" : false, "suffix" : "" }, { "dropping-particle" : "", "family" : "Weber", "given" : "Jochen", "non-dropping-particle" : "", "parse-names" : false, "suffix" : "" }, { "dropping-particle" : "", "family" : "Barrett", "given" : "Lisa Feldman", "non-dropping-particle" : "", "parse-names" : false, "suffix" : "" } ], "container-title" : "Cerebral cortex (New York, N.Y. : 1991)", "id" : "ITEM-2", "issue" : "January 2015", "issued" : { "date-parts" : [ [ "2015" ] ] }, "page" : "bhv001-", "title" : "The Brain Basis of Positive and Negative Affect: Evidence from a Meta-Analysis of the Human Neuroimaging Literature.", "type" : "article-journal" }, "uris" : [ "http://www.mendeley.com/documents/?uuid=530e7631-5935-49c6-ae59-3d2080ddf0af" ] }, { "id" : "ITEM-3", "itemData" : { "DOI" : "10.1037/bul0000006", "ISBN" : "1939-1455(Electronic);0033-2909(Print)", "ISSN" : "1939-1455", "PMID" : "25495239", "abstract" : "Economic approaches to decision making assume that people attach values to prospective goods and act to maximize their obtained value. Neuroeconomics strives to observe these values directly in the brain. A widely used valuation term in formal learning and decision-making models is the reward prediction error: the value of an outcome relative to its expected value. An influential theory (Holroyd &amp; Coles, 2002) claims that an electrophysiological component, feedback related negativity (FRN), codes a reward prediction error in the human brain. Such a component should be sensitive to both the prior likelihood of reward and its magnitude on receipt. A number of studies have found the FRN to be insensitive to reward magnitude, thus questioning the Holroyd and Coles account. However, because of marked inconsistencies in how the FRN is measured, a meaningful synthesis of this evidence is highly problematic. We conducted a meta-analysis of the FRN\u2019s response to both reward magnitude and likelihood using a novel method in which published effect sizes were disregarded in favor of direct measurement of the published waveforms themselves, with these waveforms then averaged to produce \u201cgreat grand averages.\u201d Under this standardized measure, the meta-analysis revealed strong effects of magnitude and likelihood on the FRN, consistent with it encoding a reward prediction error. In addition, it revealed strong main effects of reward magnitude and likelihood across much of the waveform, indicating sensitivity to unsigned prediction errors or \u201csalience.\u201d The great grand average technique is proposed as a general method for meta-analysis of event-related potential (ERP).", "author" : [ { "dropping-particle" : "", "family" : "Sambrook", "given" : "Thomas D", "non-dropping-particle" : "", "parse-names" : false, "suffix" : "" }, { "dropping-particle" : "", "family" : "Goslin", "given" : "Jeremy", "non-dropping-particle" : "", "parse-names" : false, "suffix" : "" } ], "container-title" : "Psychological Bulletin", "id" : "ITEM-3", "issue" : "1", "issued" : { "date-parts" : [ [ "2015" ] ] }, "page" : "213-235", "title" : "A neural reward prediction error revealed by a meta-analysis of ERPs using great grand averages", "type" : "article-journal", "volume" : "141" }, "uris" : [ "http://www.mendeley.com/documents/?uuid=1a1d129d-5655-4a68-874c-2674fa1915eb" ] } ], "mendeley" : { "formattedCitation" : "(Bartra, McGuire, &amp; Kable, 2013; Lindquist, Satpute, Wager, Weber, &amp; Barrett, 2015; Sambrook &amp; Goslin, 2015a)", "plainTextFormattedCitation" : "(Bartra, McGuire, &amp; Kable, 2013; Lindquist, Satpute, Wager, Weber, &amp; Barrett, 2015; Sambrook &amp; Goslin, 2015a)", "previouslyFormattedCitation" : "(Bartra, McGuire, &amp; Kable, 2013; Lindquist, Satpute, Wager, Weber, &amp; Barrett, 2015; Sambrook &amp; Goslin, 2015a)" }, "properties" : { "noteIndex" : 0 }, "schema" : "https://github.com/citation-style-language/schema/raw/master/csl-citation.json" }</w:instrText>
      </w:r>
      <w:r w:rsidRPr="00990234">
        <w:rPr>
          <w:rFonts w:ascii="Times New Roman" w:hAnsi="Times New Roman" w:cs="Times New Roman"/>
        </w:rPr>
        <w:fldChar w:fldCharType="separate"/>
      </w:r>
      <w:r w:rsidR="00E730F1" w:rsidRPr="00990234">
        <w:rPr>
          <w:rFonts w:ascii="Times New Roman" w:hAnsi="Times New Roman" w:cs="Times New Roman"/>
          <w:noProof/>
        </w:rPr>
        <w:t>(Bartra, McGuire, &amp; Kable, 2013; Lindquist, Satpute, Wager, Weber, &amp; Barrett, 2015; Sambrook &amp; Goslin, 2015a)</w:t>
      </w:r>
      <w:r w:rsidRPr="00990234">
        <w:rPr>
          <w:rFonts w:ascii="Times New Roman" w:hAnsi="Times New Roman" w:cs="Times New Roman"/>
        </w:rPr>
        <w:fldChar w:fldCharType="end"/>
      </w:r>
      <w:r w:rsidRPr="00990234">
        <w:rPr>
          <w:rFonts w:ascii="Times New Roman" w:hAnsi="Times New Roman" w:cs="Times New Roman"/>
        </w:rPr>
        <w:t>. The doubt regarding what dopamine neurons compute has triggered a re-examin</w:t>
      </w:r>
      <w:r w:rsidR="00C914D8" w:rsidRPr="00990234">
        <w:rPr>
          <w:rFonts w:ascii="Times New Roman" w:hAnsi="Times New Roman" w:cs="Times New Roman"/>
        </w:rPr>
        <w:t>ation</w:t>
      </w:r>
      <w:r w:rsidRPr="00990234">
        <w:rPr>
          <w:rFonts w:ascii="Times New Roman" w:hAnsi="Times New Roman" w:cs="Times New Roman"/>
        </w:rPr>
        <w:t xml:space="preserve"> of the functional role of a key event-related potential (ERP)</w:t>
      </w:r>
      <w:r w:rsidR="00142FF8" w:rsidRPr="00990234">
        <w:rPr>
          <w:rFonts w:ascii="Times New Roman" w:hAnsi="Times New Roman" w:cs="Times New Roman"/>
        </w:rPr>
        <w:t xml:space="preserve"> that is thought to be dopaminergically mediated. T</w:t>
      </w:r>
      <w:r w:rsidRPr="00990234">
        <w:rPr>
          <w:rFonts w:ascii="Times New Roman" w:hAnsi="Times New Roman" w:cs="Times New Roman"/>
        </w:rPr>
        <w:t xml:space="preserve">he </w:t>
      </w:r>
      <w:r w:rsidR="005F44EF" w:rsidRPr="00990234">
        <w:rPr>
          <w:rFonts w:ascii="Times New Roman" w:hAnsi="Times New Roman" w:cs="Times New Roman"/>
        </w:rPr>
        <w:t>feedback-related negativity (FRN)</w:t>
      </w:r>
      <w:r w:rsidR="00142FF8" w:rsidRPr="00990234">
        <w:rPr>
          <w:rFonts w:ascii="Times New Roman" w:hAnsi="Times New Roman" w:cs="Times New Roman"/>
        </w:rPr>
        <w:t xml:space="preserve"> is</w:t>
      </w:r>
      <w:r w:rsidRPr="00990234">
        <w:rPr>
          <w:rFonts w:ascii="Times New Roman" w:hAnsi="Times New Roman" w:cs="Times New Roman"/>
        </w:rPr>
        <w:t xml:space="preserve"> </w:t>
      </w:r>
      <w:r w:rsidR="005F44EF" w:rsidRPr="00990234">
        <w:rPr>
          <w:rFonts w:ascii="Times New Roman" w:hAnsi="Times New Roman" w:cs="Times New Roman"/>
        </w:rPr>
        <w:t>thought to originate</w:t>
      </w:r>
      <w:r w:rsidRPr="00990234">
        <w:rPr>
          <w:rFonts w:ascii="Times New Roman" w:hAnsi="Times New Roman" w:cs="Times New Roman"/>
        </w:rPr>
        <w:t xml:space="preserve"> from dopaminergic projections to the</w:t>
      </w:r>
      <w:r w:rsidR="007F17F2" w:rsidRPr="00990234">
        <w:rPr>
          <w:rFonts w:ascii="Times New Roman" w:hAnsi="Times New Roman" w:cs="Times New Roman"/>
        </w:rPr>
        <w:t xml:space="preserve"> anterior cingulate cortex</w:t>
      </w:r>
      <w:r w:rsidR="00F8678A" w:rsidRPr="00990234">
        <w:rPr>
          <w:rFonts w:ascii="Times New Roman" w:hAnsi="Times New Roman" w:cs="Times New Roman"/>
        </w:rPr>
        <w:t xml:space="preserve"> (ACC)</w:t>
      </w:r>
      <w:r w:rsidR="00C06EE8" w:rsidRPr="00990234">
        <w:rPr>
          <w:rFonts w:ascii="Times New Roman" w:hAnsi="Times New Roman" w:cs="Times New Roman"/>
        </w:rPr>
        <w:t xml:space="preserve">, </w:t>
      </w:r>
      <w:r w:rsidR="00142FF8" w:rsidRPr="00990234">
        <w:rPr>
          <w:rFonts w:ascii="Times New Roman" w:hAnsi="Times New Roman" w:cs="Times New Roman"/>
        </w:rPr>
        <w:t xml:space="preserve">evident by the finding that it is </w:t>
      </w:r>
      <w:r w:rsidR="0066165E" w:rsidRPr="00990234">
        <w:rPr>
          <w:rFonts w:ascii="Times New Roman" w:hAnsi="Times New Roman" w:cs="Times New Roman"/>
        </w:rPr>
        <w:t>modulated</w:t>
      </w:r>
      <w:r w:rsidR="00C06EE8" w:rsidRPr="00990234">
        <w:rPr>
          <w:rFonts w:ascii="Times New Roman" w:hAnsi="Times New Roman" w:cs="Times New Roman"/>
        </w:rPr>
        <w:t xml:space="preserve"> by dopamine</w:t>
      </w:r>
      <w:r w:rsidR="00894EA4" w:rsidRPr="00990234">
        <w:rPr>
          <w:rFonts w:ascii="Times New Roman" w:hAnsi="Times New Roman" w:cs="Times New Roman"/>
        </w:rPr>
        <w:t xml:space="preserve"> agonists </w:t>
      </w:r>
      <w:r w:rsidRPr="00990234">
        <w:rPr>
          <w:rFonts w:ascii="Times New Roman" w:hAnsi="Times New Roman" w:cs="Times New Roman"/>
        </w:rPr>
        <w:fldChar w:fldCharType="begin" w:fldLock="1"/>
      </w:r>
      <w:r w:rsidR="00843A57" w:rsidRPr="00990234">
        <w:rPr>
          <w:rFonts w:ascii="Times New Roman" w:hAnsi="Times New Roman" w:cs="Times New Roman"/>
        </w:rPr>
        <w:instrText>ADDIN CSL_CITATION { "citationItems" : [ { "id" : "ITEM-1", "itemData" : { "DOI" : "10.1037/0033-295X.109.4.679.", "ISBN" : "1939-1471", "author" : [ { "dropping-particle" : "", "family" : "Holroyd", "given" : "", "non-dropping-particle" : "", "parse-names" : false, "suffix" : "" }, { "dropping-particle" : "", "family" : "Coles", "given" : "Michael", "non-dropping-particle" : "", "parse-names" : false, "suffix" : "" } ], "container-title" : "Psychological Review", "id" : "ITEM-1", "issue" : "4", "issued" : { "date-parts" : [ [ "2002" ] ] }, "page" : "679", "title" : "The neural basis of human error processing: reinforcement learning, dopamine, and the error-related negativity", "type" : "article-journal", "volume" : "109" }, "uris" : [ "http://www.mendeley.com/documents/?uuid=07a7dfcc-fc29-49af-acb6-9367fe421883" ] }, { "id" : "ITEM-2", "itemData" : { "DOI" : "http://dx.doi.org/10.1016/j.neubiorev.2012.05.008", "ISBN" : "0149-7634", "author" : [ { "dropping-particle" : "", "family" : "Walsh", "given" : "Matthew M", "non-dropping-particle" : "", "parse-names" : false, "suffix" : "" }, { "dropping-particle" : "", "family" : "Anderson", "given" : "John R", "non-dropping-particle" : "", "parse-names" : false, "suffix" : "" } ], "container-title" : "Neuroscience &amp; Biobehavioral Reviews", "id" : "ITEM-2", "issue" : "8", "issued" : { "date-parts" : [ [ "2012" ] ] }, "page" : "1870-1884", "title" : "Learning from experience: Event-related potential correlates of reward processing, neural adaptation, and behavioral choice", "type" : "article-journal", "volume" : "36" }, "uris" : [ "http://www.mendeley.com/documents/?uuid=e3bb9963-adc7-44bc-8cb5-447f22319248" ] }, { "id" : "ITEM-3", "itemData" : { "DOI" : "10.1002/hbm.20642", "ISBN" : "1065-9471", "ISSN" : "10659471", "PMID" : "18726908", "abstract" : "Animal findings have highlighted the modulatory role of phasic dopamine (DA) signaling in incentive learning, particularly in the acquisition of reward-related behavior. In humans, these processes remain largely unknown. In a recent study, we demonstrated that a single low dose of a D2/D3 agonist (pramipexole)-assumed to activate DA autoreceptors and thus reduce phasic DA bursts-impaired reward learning in healthy subjects performing a probabilistic reward task. The purpose of this study was to extend these behavioral findings using event-related potentials and computational modeling. Compared with the placebo group, participants receiving pramipexole showed increased feedback-related negativity to probabilistic rewards and decreased activation in dorsal anterior cingulate regions previously implicated in integrating reinforcement history over time. Additionally, findings of blunted reward learning in participants receiving pramipexole were simulated by reduced presynaptic DA signaling in response to reward in a neural network model of striatal-cortical function. These preliminary findings offer important insights on the role of phasic DA signals on reinforcement learning in humans and provide initial evidence regarding the spatiotemporal dynamics of brain mechanisms underlying these processes.", "author" : [ { "dropping-particle" : "", "family" : "Santesso", "given" : "Diane L.", "non-dropping-particle" : "", "parse-names" : false, "suffix" : "" }, { "dropping-particle" : "", "family" : "Evins", "given" : "a. Eden", "non-dropping-particle" : "", "parse-names" : false, "suffix" : "" }, { "dropping-particle" : "", "family" : "Frank", "given" : "Michael J.", "non-dropping-particle" : "", "parse-names" : false, "suffix" : "" }, { "dropping-particle" : "", "family" : "Schetter", "given" : "Erika C.", "non-dropping-particle" : "", "parse-names" : false, "suffix" : "" }, { "dropping-particle" : "", "family" : "Bogdan", "given" : "Ryan", "non-dropping-particle" : "", "parse-names" : false, "suffix" : "" }, { "dropping-particle" : "", "family" : "Pizzagalli", "given" : "Diego a.", "non-dropping-particle" : "", "parse-names" : false, "suffix" : "" } ], "container-title" : "Human Brain Mapping", "id" : "ITEM-3", "issue" : "7", "issued" : { "date-parts" : [ [ "2009" ] ] }, "note" : "NULL", "page" : "1963-1976", "title" : "Single dose of a dopamine agonist impairs reinforcement learning in humans: Evidence from event-related potentials and computational modeling of striatal-cortical function", "type" : "article-journal", "volume" : "30" }, "uris" : [ "http://www.mendeley.com/documents/?uuid=e06d78cd-27ab-44bb-b8fb-3516600dbfdb" ] } ], "mendeley" : { "formattedCitation" : "(Holroyd &amp; Coles, 2002; Santesso et al., 2009; Walsh &amp; Anderson, 2012)", "plainTextFormattedCitation" : "(Holroyd &amp; Coles, 2002; Santesso et al., 2009; Walsh &amp; Anderson, 2012)", "previouslyFormattedCitation" : "(Holroyd &amp; Coles, 2002; Santesso et al., 2009; Walsh &amp; Anderson, 2012)" }, "properties" : { "noteIndex" : 0 }, "schema" : "https://github.com/citation-style-language/schema/raw/master/csl-citation.json" }</w:instrText>
      </w:r>
      <w:r w:rsidRPr="00990234">
        <w:rPr>
          <w:rFonts w:ascii="Times New Roman" w:hAnsi="Times New Roman" w:cs="Times New Roman"/>
        </w:rPr>
        <w:fldChar w:fldCharType="separate"/>
      </w:r>
      <w:r w:rsidR="000023CB" w:rsidRPr="00990234">
        <w:rPr>
          <w:rFonts w:ascii="Times New Roman" w:hAnsi="Times New Roman" w:cs="Times New Roman"/>
          <w:noProof/>
        </w:rPr>
        <w:t>(Holroyd &amp; Coles, 2002; Santesso et al., 2009; Walsh &amp; Anderson, 2012)</w:t>
      </w:r>
      <w:r w:rsidRPr="00990234">
        <w:rPr>
          <w:rFonts w:ascii="Times New Roman" w:hAnsi="Times New Roman" w:cs="Times New Roman"/>
        </w:rPr>
        <w:fldChar w:fldCharType="end"/>
      </w:r>
      <w:r w:rsidR="00715741" w:rsidRPr="00990234">
        <w:rPr>
          <w:rFonts w:ascii="Times New Roman" w:hAnsi="Times New Roman" w:cs="Times New Roman"/>
        </w:rPr>
        <w:t xml:space="preserve"> and combined EEG-fMRI work</w:t>
      </w:r>
      <w:r w:rsidR="00CA58DD" w:rsidRPr="00990234">
        <w:rPr>
          <w:rFonts w:ascii="Times New Roman" w:hAnsi="Times New Roman" w:cs="Times New Roman"/>
        </w:rPr>
        <w:t xml:space="preserve"> </w:t>
      </w:r>
      <w:r w:rsidR="00CA58DD" w:rsidRPr="00990234">
        <w:rPr>
          <w:rFonts w:ascii="Times New Roman" w:hAnsi="Times New Roman" w:cs="Times New Roman"/>
        </w:rPr>
        <w:fldChar w:fldCharType="begin" w:fldLock="1"/>
      </w:r>
      <w:r w:rsidR="00CA58DD" w:rsidRPr="00990234">
        <w:rPr>
          <w:rFonts w:ascii="Times New Roman" w:hAnsi="Times New Roman" w:cs="Times New Roman"/>
        </w:rPr>
        <w:instrText>ADDIN CSL_CITATION { "citationItems" : [ { "id" : "ITEM-1", "itemData" : { "ISBN" : "1053-8119", "author" : [ { "dropping-particle" : "", "family" : "Hauser", "given" : "Tobias U", "non-dropping-particle" : "", "parse-names" : false, "suffix" : "" }, { "dropping-particle" : "", "family" : "Iannaccone", "given" : "Reto", "non-dropping-particle" : "", "parse-names" : false, "suffix" : "" }, { "dropping-particle" : "", "family" : "St\u00e4mpfli", "given" : "Philipp", "non-dropping-particle" : "", "parse-names" : false, "suffix" : "" }, { "dropping-particle" : "", "family" : "Drechsler", "given" : "Renate", "non-dropping-particle" : "", "parse-names" : false, "suffix" : "" }, { "dropping-particle" : "", "family" : "Brandeis", "given" : "Daniel", "non-dropping-particle" : "", "parse-names" : false, "suffix" : "" }, { "dropping-particle" : "", "family" : "Walitza", "given" : "Susanne", "non-dropping-particle" : "", "parse-names" : false, "suffix" : "" }, { "dropping-particle" : "", "family" : "Brem", "given" : "Silvia", "non-dropping-particle" : "", "parse-names" : false, "suffix" : "" } ], "container-title" : "NeuroImage", "id" : "ITEM-1", "issued" : { "date-parts" : [ [ "2014" ] ] }, "note" : "fmri-eeg showed a cluster within the dacc and additional activations of the salience network, and showed only surprise signals to modulate FRN amplitude. they also used DCM and showed surprise signals are directly projected to the source region of the frn - striatum, vmPFC, amygdala, dlpPFC.", "page" : "159-168", "title" : "The feedback-related negativity (FRN) revisited: New insights into the localization, meaning and network organization", "type" : "article-journal", "volume" : "84" }, "uris" : [ "http://www.mendeley.com/documents/?uuid=bda5b7f5-f2a2-4b6b-a014-9254615e974a" ] } ], "mendeley" : { "formattedCitation" : "(Hauser et al., 2014)", "plainTextFormattedCitation" : "(Hauser et al., 2014)", "previouslyFormattedCitation" : "(Hauser et al., 2014)" }, "properties" : { "noteIndex" : 0 }, "schema" : "https://github.com/citation-style-language/schema/raw/master/csl-citation.json" }</w:instrText>
      </w:r>
      <w:r w:rsidR="00CA58DD" w:rsidRPr="00990234">
        <w:rPr>
          <w:rFonts w:ascii="Times New Roman" w:hAnsi="Times New Roman" w:cs="Times New Roman"/>
        </w:rPr>
        <w:fldChar w:fldCharType="separate"/>
      </w:r>
      <w:r w:rsidR="00CA58DD" w:rsidRPr="00990234">
        <w:rPr>
          <w:rFonts w:ascii="Times New Roman" w:hAnsi="Times New Roman" w:cs="Times New Roman"/>
          <w:noProof/>
        </w:rPr>
        <w:t>(Hauser et al., 2014)</w:t>
      </w:r>
      <w:r w:rsidR="00CA58DD" w:rsidRPr="00990234">
        <w:rPr>
          <w:rFonts w:ascii="Times New Roman" w:hAnsi="Times New Roman" w:cs="Times New Roman"/>
        </w:rPr>
        <w:fldChar w:fldCharType="end"/>
      </w:r>
      <w:r w:rsidR="00715741" w:rsidRPr="00990234">
        <w:rPr>
          <w:rFonts w:ascii="Times New Roman" w:hAnsi="Times New Roman" w:cs="Times New Roman"/>
        </w:rPr>
        <w:t xml:space="preserve"> </w:t>
      </w:r>
      <w:r w:rsidRPr="00990234">
        <w:rPr>
          <w:rFonts w:ascii="Times New Roman" w:hAnsi="Times New Roman" w:cs="Times New Roman"/>
        </w:rPr>
        <w:t xml:space="preserve">. The dominant theory contends that the </w:t>
      </w:r>
      <w:r w:rsidR="00BE1C7E" w:rsidRPr="00990234">
        <w:rPr>
          <w:rFonts w:ascii="Times New Roman" w:hAnsi="Times New Roman" w:cs="Times New Roman"/>
        </w:rPr>
        <w:t>feedback-related negativity (FRN)</w:t>
      </w:r>
      <w:r w:rsidRPr="00990234">
        <w:rPr>
          <w:rFonts w:ascii="Times New Roman" w:hAnsi="Times New Roman" w:cs="Times New Roman"/>
        </w:rPr>
        <w:t xml:space="preserve"> expresses </w:t>
      </w:r>
      <w:r w:rsidR="003761B4" w:rsidRPr="00990234">
        <w:rPr>
          <w:rFonts w:ascii="Times New Roman" w:hAnsi="Times New Roman" w:cs="Times New Roman"/>
        </w:rPr>
        <w:t xml:space="preserve">utility </w:t>
      </w:r>
      <w:r w:rsidRPr="00990234">
        <w:rPr>
          <w:rFonts w:ascii="Times New Roman" w:hAnsi="Times New Roman" w:cs="Times New Roman"/>
        </w:rPr>
        <w:t>prediction error, but recent studies provide</w:t>
      </w:r>
      <w:r w:rsidR="00C914D8" w:rsidRPr="00990234">
        <w:rPr>
          <w:rFonts w:ascii="Times New Roman" w:hAnsi="Times New Roman" w:cs="Times New Roman"/>
        </w:rPr>
        <w:t>d</w:t>
      </w:r>
      <w:r w:rsidRPr="00990234">
        <w:rPr>
          <w:rFonts w:ascii="Times New Roman" w:hAnsi="Times New Roman" w:cs="Times New Roman"/>
        </w:rPr>
        <w:t xml:space="preserve"> evidence t</w:t>
      </w:r>
      <w:r w:rsidR="00C763A2" w:rsidRPr="00990234">
        <w:rPr>
          <w:rFonts w:ascii="Times New Roman" w:hAnsi="Times New Roman" w:cs="Times New Roman"/>
        </w:rPr>
        <w:t xml:space="preserve">hat </w:t>
      </w:r>
      <w:r w:rsidR="005F44EF" w:rsidRPr="00990234">
        <w:rPr>
          <w:rFonts w:ascii="Times New Roman" w:hAnsi="Times New Roman" w:cs="Times New Roman"/>
        </w:rPr>
        <w:t>it</w:t>
      </w:r>
      <w:r w:rsidR="00C763A2" w:rsidRPr="00990234">
        <w:rPr>
          <w:rFonts w:ascii="Times New Roman" w:hAnsi="Times New Roman" w:cs="Times New Roman"/>
        </w:rPr>
        <w:t xml:space="preserve"> expresses salience</w:t>
      </w:r>
      <w:r w:rsidRPr="00990234">
        <w:rPr>
          <w:rFonts w:ascii="Times New Roman" w:hAnsi="Times New Roman" w:cs="Times New Roman"/>
        </w:rPr>
        <w:t xml:space="preserve"> </w:t>
      </w:r>
      <w:r w:rsidRPr="00990234">
        <w:rPr>
          <w:rFonts w:ascii="Times New Roman" w:hAnsi="Times New Roman" w:cs="Times New Roman"/>
        </w:rPr>
        <w:fldChar w:fldCharType="begin" w:fldLock="1"/>
      </w:r>
      <w:r w:rsidR="00E730F1" w:rsidRPr="00990234">
        <w:rPr>
          <w:rFonts w:ascii="Times New Roman" w:hAnsi="Times New Roman" w:cs="Times New Roman"/>
        </w:rPr>
        <w:instrText>ADDIN CSL_CITATION { "citationItems" : [ { "id" : "ITEM-1", "itemData" : { "DOI" : "10.1523/jneurosci.5695-12.2013", "abstract" : "Modulations of the feedback-related negativity (FRN) event-related potential (ERP) have been suggested as a potential biomarker in psychopathology. A dominant theory about this signal contends that it reflects the operation of the neural system underlying reinforcement learning in humans. The theory suggests that this frontocentral negative deflection in the ERP 230\u2013270 ms after the delivery of a probabilistic reward expresses a prediction error signal derived from midbrain dopaminergic projections to the anterior cingulate cortex. We tested this theory by investigating whether FRN will also be observed for an inherently aversive outcome: physical pain. In another session, the outcome was monetary reward instead of pain. As predicted, unexpected reward omissions (a negative reward prediction error) yielded a more negative deflection relative to unexpected reward delivery. Surprisingly, unexpected pain omission (a positive reward prediction error) also yielded a negative deflection relative to unexpected pain delivery. Our data challenge the theory by showing that the FRN expresses aversive prediction errors with the same sign as reward prediction errors. Both FRNs were spatiotemporally and functionally equivalent. We suggest that FRN expresses salience prediction errors rather than reward prediction errors.", "author" : [ { "dropping-particle" : "", "family" : "Talmi", "given" : "Deborah", "non-dropping-particle" : "", "parse-names" : false, "suffix" : "" }, { "dropping-particle" : "", "family" : "Atkinson", "given" : "Ryan", "non-dropping-particle" : "", "parse-names" : false, "suffix" : "" }, { "dropping-particle" : "", "family" : "El-Deredy", "given" : "Wael", "non-dropping-particle" : "", "parse-names" : false, "suffix" : "" } ], "container-title" : "The Journal of Neuroscience", "id" : "ITEM-1", "issue" : "19", "issued" : { "date-parts" : [ [ "2013" ] ] }, "page" : "8264-8269", "title" : "The Feedback-Related Negativity Signals Salience Prediction Errors, Not Reward Prediction Errors", "type" : "article-journal", "volume" : "33" }, "uris" : [ "http://www.mendeley.com/documents/?uuid=d677aa09-16f1-46ee-8185-d3fc13c1a457" ] }, { "id" : "ITEM-2", "itemData" : { "DOI" : "10.1038/srep04816", "ISSN" : "2045-2322", "PMID" : "25045961", "abstract" : "Research based on event-related potential (ERP) reported mediofrontal negativities following unexpected negative feedback or performance error. Some authors proposed that these signals reflect reward prediction error for worse than expected outcomes, while others suggested that mediofrontal negativities express medial prefrontal cortex coding for unexpected non-occurrence of a predicted outcome, whether worse or better than expected. Many studies found mediofrontal negativities coding for unexpected negative outcomes; however, few studies found them after unexpected positive outcomes. The present study investigated ERP and skin conductance response (SCR) to the unexpected omission of electric shocks during Pavlovian aversive conditioning. To manipulate expectancies, participants were presented with visual stimuli paired with electric shock on either 80% (CS+1) or 20% (CS+2) of trials. SCR analysis confirmed higher shock-delivery expectancy for CS+1, relative to CS+2. ERP analysis evidenced a stronger negative frontocentral ERP component after unexpected, relative to expected, shock-omission. Methodological and theoretical implications are discussed.", "author" : [ { "dropping-particle" : "", "family" : "Garofalo", "given" : "Sara", "non-dropping-particle" : "", "parse-names" : false, "suffix" : "" }, { "dropping-particle" : "", "family" : "Maier", "given" : "Martin E", "non-dropping-particle" : "", "parse-names" : false, "suffix" : "" }, { "dropping-particle" : "", "family" : "Pellegrino", "given" : "Giuseppe", "non-dropping-particle" : "di", "parse-names" : false, "suffix" : "" } ], "container-title" : "Scientific reports", "id" : "ITEM-2", "issued" : { "date-parts" : [ [ "2014" ] ] }, "page" : "4816", "title" : "Mediofrontal negativity signals unexpected omission of aversive events.", "type" : "article-journal", "volume" : "4" }, "uris" : [ "http://www.mendeley.com/documents/?uuid=c230d960-5f5e-4e4b-bb5a-1c0e6b7afe2f" ] }, { "id" : "ITEM-3", "itemData" : { "DOI" : "10.1016/j.neuroimage.2015.07.032", "ISSN" : "1095-9572", "PMID" : "26196667", "abstract" : "Models of reinforcement learning represent reward and punishment in terms of reward prediction errors (RPEs), quantitative signed terms describing the degree to which outcomes are better than expected (positive RPEs) or worse (negative RPEs). An electrophysiological component known as feedback related negativity (FRN) occurs at frontocentral sites 240-340ms after feedback on whether a reward or punishment is obtained, and has been claimed to neurally encode an RPE. An outstanding question however, is whether the FRN is sensitive to the size of both positive RPEs and negative RPEs. Previous attempts to answer this question have examined the simple effects of RPE size for positive RPEs and negative RPEs separately. However, this methodology can be compromised by overlap from components coding for unsigned prediction error size, or \"salience\", which are sensitive to the absolute size of a prediction error but not its valence. In our study, positive and negative RPEs were parametrically modulated using both reward likelihood and magnitude, with principal components analysis used to separate out overlying components. This revealed a single RPE encoding component responsive to the size of positive RPEs, peaking at ~330ms, and occupying the delta frequency band. Other components responsive to unsigned prediction error size were shown, but no component sensitive to negative RPE size was found.", "author" : [ { "dropping-particle" : "", "family" : "Sambrook", "given" : "Thomas D", "non-dropping-particle" : "", "parse-names" : false, "suffix" : "" }, { "dropping-particle" : "", "family" : "Goslin", "given" : "Jeremy", "non-dropping-particle" : "", "parse-names" : false, "suffix" : "" } ], "container-title" : "NeuroImage", "id" : "ITEM-3", "issue" : "Pt A", "issued" : { "date-parts" : [ [ "2015" ] ] }, "page" : "276-286", "publisher" : "Elsevier Inc.", "title" : "Principal components analysis of reward prediction errors in a reinforcement learning task.", "type" : "article-journal", "volume" : "124" }, "uris" : [ "http://www.mendeley.com/documents/?uuid=e237d9d3-b967-436d-a9dc-7ac0a6e39700" ] }, { "id" : "ITEM-4", "itemData" : { "ISBN" : "1053-8119", "author" : [ { "dropping-particle" : "", "family" : "Hauser", "given" : "Tobias U", "non-dropping-particle" : "", "parse-names" : false, "suffix" : "" }, { "dropping-particle" : "", "family" : "Iannaccone", "given" : "Reto", "non-dropping-particle" : "", "parse-names" : false, "suffix" : "" }, { "dropping-particle" : "", "family" : "St\u00e4mpfli", "given" : "Philipp", "non-dropping-particle" : "", "parse-names" : false, "suffix" : "" }, { "dropping-particle" : "", "family" : "Drechsler", "given" : "Renate", "non-dropping-particle" : "", "parse-names" : false, "suffix" : "" }, { "dropping-particle" : "", "family" : "Brandeis", "given" : "Daniel", "non-dropping-particle" : "", "parse-names" : false, "suffix" : "" }, { "dropping-particle" : "", "family" : "Walitza", "given" : "Susanne", "non-dropping-particle" : "", "parse-names" : false, "suffix" : "" }, { "dropping-particle" : "", "family" : "Brem", "given" : "Silvia", "non-dropping-particle" : "", "parse-names" : false, "suffix" : "" } ], "container-title" : "NeuroImage", "id" : "ITEM-4", "issued" : { "date-parts" : [ [ "2014" ] ] }, "note" : "fmri-eeg showed a cluster within the dacc and additional activations of the salience network, and showed only surprise signals to modulate FRN amplitude. they also used DCM and showed surprise signals are directly projected to the source region of the frn - striatum, vmPFC, amygdala, dlpPFC.", "page" : "159-168", "title" : "The feedback-related negativity (FRN) revisited: New insights into the localization, meaning and network organization", "type" : "article-journal", "volume" : "84" }, "uris" : [ "http://www.mendeley.com/documents/?uuid=bda5b7f5-f2a2-4b6b-a014-9254615e974a" ] }, { "id" : "ITEM-5", "itemData" : { "DOI" : "10.1016/j.biopsycho.2014.12.007", "ISBN" : "0301-0511, 0301-0511", "ISSN" : "18736246", "PMID" : "25541513", "abstract" : "The present study investigated whether the same visual stimulus indicating zero-value feedback (\u20ac0) elicits feedback-related negativity (FRN) variation, depending on whether the outcomes correspond with expectations or not.Thirty-one volunteers performed a monetary incentive delay (MID) task while EEG was recorded. FRN amplitudes were comparable and more negative when zero-value outcome deviated from expectations than with expected gain or loss, supporting theories emphasising the impact of unexpectedness and salience on FRN amplitudes. Surprisingly, expected zero-value outcomes elicited the most negative FRNs. However, source localisation showed that such outcomes evoked less activation in cingulate areas than unexpected zero-value outcomes.Our study illustrates the context dependency of identical zero-value feedback stimuli. Moreover, the results indicate that the incentive cues in the MID task evoke different reward prediction error signals. These prediction signals differ in FRN amplitude and neuronal sources, and have to be considered in the design and interpretation of future studies.", "author" : [ { "dropping-particle" : "", "family" : "Pfabigan", "given" : "Daniela M.", "non-dropping-particle" : "", "parse-names" : false, "suffix" : "" }, { "dropping-particle" : "", "family" : "Seidel", "given" : "Eva Maria", "non-dropping-particle" : "", "parse-names" : false, "suffix" : "" }, { "dropping-particle" : "", "family" : "Paul", "given" : "Katharina", "non-dropping-particle" : "", "parse-names" : false, "suffix" : "" }, { "dropping-particle" : "", "family" : "Grahl", "given" : "Arvina", "non-dropping-particle" : "", "parse-names" : false, "suffix" : "" }, { "dropping-particle" : "", "family" : "Sailer", "given" : "Uta", "non-dropping-particle" : "", "parse-names" : false, "suffix" : "" }, { "dropping-particle" : "", "family" : "Lanzenberger", "given" : "Rupert", "non-dropping-particle" : "", "parse-names" : false, "suffix" : "" }, { "dropping-particle" : "", "family" : "Windischberger", "given" : "Christian", "non-dropping-particle" : "", "parse-names" : false, "suffix" : "" }, { "dropping-particle" : "", "family" : "Lamm", "given" : "Claus", "non-dropping-particle" : "", "parse-names" : false, "suffix" : "" } ], "container-title" : "Biological Psychology", "id" : "ITEM-5", "issued" : { "date-parts" : [ [ "2015" ] ] }, "page" : "184-192", "publisher" : "Elsevier B.V.", "title" : "Context-sensitivity of the feedback-related negativity for zero-value feedback outcomes", "type" : "article-journal", "volume" : "104" }, "uris" : [ "http://www.mendeley.com/documents/?uuid=32137da0-a058-4f74-ab70-cad543407062" ] }, { "id" : "ITEM-6", "itemData" : { "DOI" : "10.3389/fnins.2014.00108", "ISSN" : "1662453X", "PMID" : "24904254", "abstract" : "Humans make predictions and use feedback to update their subsequent predictions. The feedback-related negativity (FRN) has been found to be sensitive to negative feedback as well as negative prediction error, such that the FRN is larger for outcomes that are worse than expected. The present study examined prediction errors in both appetitive and aversive conditions. We found that the FRN was more negative for reward omission vs. wins and for loss omission vs. losses, suggesting that the FRN might classify outcomes in a \"more-or-less than expected\" fashion rather than in the \"better-or-worse than expected\" dimension. Our findings challenge the previous notion that the FRN only encodes negative feedback and \"worse than expected\" negative prediction error.", "author" : [ { "dropping-particle" : "", "family" : "Huang", "given" : "Yi", "non-dropping-particle" : "", "parse-names" : false, "suffix" : "" }, { "dropping-particle" : "", "family" : "Yu", "given" : "Rongjun", "non-dropping-particle" : "", "parse-names" : false, "suffix" : "" } ], "container-title" : "Frontiers in Neuroscience", "id" : "ITEM-6", "issue" : "8 MAY", "issued" : { "date-parts" : [ [ "2014" ] ] }, "page" : "1-6", "title" : "The feedback-related negativity reflects \"more or less\" prediction error in appetitive and aversive conditions", "type" : "article-journal", "volume" : "8" }, "uris" : [ "http://www.mendeley.com/documents/?uuid=06f3bc80-df0e-4b17-bca8-78ef6cb4768e" ] } ], "mendeley" : { "formattedCitation" : "(Garofalo, Maier, &amp; di Pellegrino, 2014; Hauser et al., 2014; Huang &amp; Yu, 2014; Pfabigan et al., 2015; Sambrook &amp; Goslin, 2015b; Talmi, Atkinson, &amp; El-Deredy, 2013)", "plainTextFormattedCitation" : "(Garofalo, Maier, &amp; di Pellegrino, 2014; Hauser et al., 2014; Huang &amp; Yu, 2014; Pfabigan et al., 2015; Sambrook &amp; Goslin, 2015b; Talmi, Atkinson, &amp; El-Deredy, 2013)", "previouslyFormattedCitation" : "(Garofalo, Maier, &amp; di Pellegrino, 2014; Hauser et al., 2014; Huang &amp; Yu, 2014; Pfabigan et al., 2015; Sambrook &amp; Goslin, 2015b; Talmi, Atkinson, &amp; El-Deredy, 2013)" }, "properties" : { "noteIndex" : 0 }, "schema" : "https://github.com/citation-style-language/schema/raw/master/csl-citation.json" }</w:instrText>
      </w:r>
      <w:r w:rsidRPr="00990234">
        <w:rPr>
          <w:rFonts w:ascii="Times New Roman" w:hAnsi="Times New Roman" w:cs="Times New Roman"/>
        </w:rPr>
        <w:fldChar w:fldCharType="separate"/>
      </w:r>
      <w:r w:rsidR="00862D77" w:rsidRPr="00990234">
        <w:rPr>
          <w:rFonts w:ascii="Times New Roman" w:hAnsi="Times New Roman" w:cs="Times New Roman"/>
          <w:noProof/>
          <w:lang w:val="es-ES"/>
        </w:rPr>
        <w:t>(Garofalo, Maier, &amp; di Pellegrino, 2014; Hauser et al., 2014; Huang &amp; Yu, 2014; Pfabigan et al., 2015; Sambrook &amp; Goslin, 2015b; Talmi, Atkinson, &amp; El-Deredy, 2013)</w:t>
      </w:r>
      <w:r w:rsidRPr="00990234">
        <w:rPr>
          <w:rFonts w:ascii="Times New Roman" w:hAnsi="Times New Roman" w:cs="Times New Roman"/>
        </w:rPr>
        <w:fldChar w:fldCharType="end"/>
      </w:r>
      <w:r w:rsidR="00C914D8" w:rsidRPr="00990234">
        <w:rPr>
          <w:rFonts w:ascii="Times New Roman" w:hAnsi="Times New Roman" w:cs="Times New Roman"/>
        </w:rPr>
        <w:t xml:space="preserve">. Those studies showed that the FRN reflects a negative deflection when </w:t>
      </w:r>
      <w:r w:rsidR="00663174" w:rsidRPr="00990234">
        <w:rPr>
          <w:rFonts w:ascii="Times New Roman" w:hAnsi="Times New Roman" w:cs="Times New Roman"/>
        </w:rPr>
        <w:t>any outcome</w:t>
      </w:r>
      <w:r w:rsidR="00C914D8" w:rsidRPr="00990234">
        <w:rPr>
          <w:rFonts w:ascii="Times New Roman" w:hAnsi="Times New Roman" w:cs="Times New Roman"/>
        </w:rPr>
        <w:t xml:space="preserve"> – appetitive or aversive – is unexpectedly omitted</w:t>
      </w:r>
      <w:r w:rsidR="00C763A2" w:rsidRPr="00990234">
        <w:rPr>
          <w:rFonts w:ascii="Times New Roman" w:hAnsi="Times New Roman" w:cs="Times New Roman"/>
        </w:rPr>
        <w:t>,</w:t>
      </w:r>
      <w:r w:rsidR="00700C53" w:rsidRPr="00990234">
        <w:rPr>
          <w:rFonts w:ascii="Times New Roman" w:hAnsi="Times New Roman" w:cs="Times New Roman"/>
        </w:rPr>
        <w:t xml:space="preserve"> as</w:t>
      </w:r>
      <w:r w:rsidR="00C763A2" w:rsidRPr="00990234">
        <w:rPr>
          <w:rFonts w:ascii="Times New Roman" w:hAnsi="Times New Roman" w:cs="Times New Roman"/>
        </w:rPr>
        <w:t xml:space="preserve"> </w:t>
      </w:r>
      <w:r w:rsidR="00E40F0A" w:rsidRPr="00990234">
        <w:rPr>
          <w:rFonts w:ascii="Times New Roman" w:hAnsi="Times New Roman" w:cs="Times New Roman"/>
        </w:rPr>
        <w:t>proposed</w:t>
      </w:r>
      <w:r w:rsidR="00C763A2" w:rsidRPr="00990234">
        <w:rPr>
          <w:rFonts w:ascii="Times New Roman" w:hAnsi="Times New Roman" w:cs="Times New Roman"/>
        </w:rPr>
        <w:t xml:space="preserve"> by the </w:t>
      </w:r>
      <w:r w:rsidR="00C0725D" w:rsidRPr="00990234">
        <w:rPr>
          <w:rFonts w:ascii="Times New Roman" w:hAnsi="Times New Roman" w:cs="Times New Roman"/>
        </w:rPr>
        <w:t>p</w:t>
      </w:r>
      <w:r w:rsidR="00C763A2" w:rsidRPr="00990234">
        <w:rPr>
          <w:rFonts w:ascii="Times New Roman" w:hAnsi="Times New Roman" w:cs="Times New Roman"/>
        </w:rPr>
        <w:t xml:space="preserve">redicted </w:t>
      </w:r>
      <w:r w:rsidR="00C0725D" w:rsidRPr="00990234">
        <w:rPr>
          <w:rFonts w:ascii="Times New Roman" w:hAnsi="Times New Roman" w:cs="Times New Roman"/>
        </w:rPr>
        <w:t>r</w:t>
      </w:r>
      <w:r w:rsidR="00C763A2" w:rsidRPr="00990234">
        <w:rPr>
          <w:rFonts w:ascii="Times New Roman" w:hAnsi="Times New Roman" w:cs="Times New Roman"/>
        </w:rPr>
        <w:t>esponse-</w:t>
      </w:r>
      <w:r w:rsidR="00C0725D" w:rsidRPr="00990234">
        <w:rPr>
          <w:rFonts w:ascii="Times New Roman" w:hAnsi="Times New Roman" w:cs="Times New Roman"/>
        </w:rPr>
        <w:t>o</w:t>
      </w:r>
      <w:r w:rsidR="00C763A2" w:rsidRPr="00990234">
        <w:rPr>
          <w:rFonts w:ascii="Times New Roman" w:hAnsi="Times New Roman" w:cs="Times New Roman"/>
        </w:rPr>
        <w:t>utcome</w:t>
      </w:r>
      <w:r w:rsidR="00700C53" w:rsidRPr="00990234">
        <w:rPr>
          <w:rFonts w:ascii="Times New Roman" w:hAnsi="Times New Roman" w:cs="Times New Roman"/>
        </w:rPr>
        <w:t xml:space="preserve"> </w:t>
      </w:r>
      <w:r w:rsidR="00C914D8" w:rsidRPr="00990234">
        <w:rPr>
          <w:rFonts w:ascii="Times New Roman" w:hAnsi="Times New Roman" w:cs="Times New Roman"/>
        </w:rPr>
        <w:t xml:space="preserve">(PRO) </w:t>
      </w:r>
      <w:r w:rsidR="00C763A2" w:rsidRPr="00990234">
        <w:rPr>
          <w:rFonts w:ascii="Times New Roman" w:hAnsi="Times New Roman" w:cs="Times New Roman"/>
        </w:rPr>
        <w:t xml:space="preserve">model </w:t>
      </w:r>
      <w:r w:rsidR="00655B8F" w:rsidRPr="00990234">
        <w:rPr>
          <w:rFonts w:ascii="Times New Roman" w:hAnsi="Times New Roman" w:cs="Times New Roman"/>
        </w:rPr>
        <w:fldChar w:fldCharType="begin" w:fldLock="1"/>
      </w:r>
      <w:r w:rsidR="00843A57" w:rsidRPr="00990234">
        <w:rPr>
          <w:rFonts w:ascii="Times New Roman" w:hAnsi="Times New Roman" w:cs="Times New Roman"/>
        </w:rPr>
        <w:instrText>ADDIN CSL_CITATION { "citationItems" : [ { "id" : "ITEM-1", "itemData" : { "author" : [ { "dropping-particle" : "", "family" : "Alexander", "given" : "William H", "non-dropping-particle" : "", "parse-names" : false, "suffix" : "" }, { "dropping-particle" : "", "family" : "Brown", "given" : "Joshua", "non-dropping-particle" : "", "parse-names" : false, "suffix" : "" } ], "container-title" : "Nature Neuroscience", "id" : "ITEM-1", "issued" : { "date-parts" : [ [ "2011" ] ] }, "note" : "NULL", "page" : "1338\u20131344", "title" : "Medial prefrontal cortex as an action-outcome predictor", "type" : "article-journal", "volume" : "14" }, "uris" : [ "http://www.mendeley.com/documents/?uuid=f0de348b-06d4-4b5a-aa93-e3587c8bc5df" ] } ], "mendeley" : { "formattedCitation" : "(Alexander &amp; Brown, 2011)", "plainTextFormattedCitation" : "(Alexander &amp; Brown, 2011)", "previouslyFormattedCitation" : "(Alexander &amp; Brown, 2011)" }, "properties" : { "noteIndex" : 0 }, "schema" : "https://github.com/citation-style-language/schema/raw/master/csl-citation.json" }</w:instrText>
      </w:r>
      <w:r w:rsidR="00655B8F" w:rsidRPr="00990234">
        <w:rPr>
          <w:rFonts w:ascii="Times New Roman" w:hAnsi="Times New Roman" w:cs="Times New Roman"/>
        </w:rPr>
        <w:fldChar w:fldCharType="separate"/>
      </w:r>
      <w:r w:rsidR="00655B8F" w:rsidRPr="00990234">
        <w:rPr>
          <w:rFonts w:ascii="Times New Roman" w:hAnsi="Times New Roman" w:cs="Times New Roman"/>
          <w:noProof/>
        </w:rPr>
        <w:t>(Alexander &amp; Brown, 2011)</w:t>
      </w:r>
      <w:r w:rsidR="00655B8F" w:rsidRPr="00990234">
        <w:rPr>
          <w:rFonts w:ascii="Times New Roman" w:hAnsi="Times New Roman" w:cs="Times New Roman"/>
        </w:rPr>
        <w:fldChar w:fldCharType="end"/>
      </w:r>
      <w:r w:rsidR="00A04D0D" w:rsidRPr="00990234">
        <w:rPr>
          <w:rFonts w:ascii="Times New Roman" w:hAnsi="Times New Roman" w:cs="Times New Roman"/>
        </w:rPr>
        <w:t xml:space="preserve"> and in line with </w:t>
      </w:r>
      <w:r w:rsidR="00142FF8" w:rsidRPr="00990234">
        <w:rPr>
          <w:rFonts w:ascii="Times New Roman" w:hAnsi="Times New Roman" w:cs="Times New Roman"/>
        </w:rPr>
        <w:t xml:space="preserve">an interpretation of the FRN as </w:t>
      </w:r>
      <w:r w:rsidR="00715741" w:rsidRPr="00990234">
        <w:rPr>
          <w:rFonts w:ascii="Times New Roman" w:hAnsi="Times New Roman" w:cs="Times New Roman"/>
        </w:rPr>
        <w:t>expressing motivational</w:t>
      </w:r>
      <w:r w:rsidR="00715741" w:rsidRPr="00990234">
        <w:rPr>
          <w:rFonts w:ascii="Times New Roman" w:hAnsi="Times New Roman" w:cs="Times New Roman"/>
          <w:lang w:val="es-ES"/>
        </w:rPr>
        <w:t xml:space="preserve"> </w:t>
      </w:r>
      <w:r w:rsidR="00142FF8" w:rsidRPr="00990234">
        <w:rPr>
          <w:rFonts w:ascii="Times New Roman" w:hAnsi="Times New Roman" w:cs="Times New Roman"/>
        </w:rPr>
        <w:t>salience</w:t>
      </w:r>
      <w:r w:rsidR="00142FF8" w:rsidRPr="00990234">
        <w:rPr>
          <w:rFonts w:ascii="Times New Roman" w:hAnsi="Times New Roman" w:cs="Times New Roman"/>
          <w:lang w:val="es-ES"/>
        </w:rPr>
        <w:t xml:space="preserve"> </w:t>
      </w:r>
      <w:r w:rsidR="00142FF8" w:rsidRPr="00990234">
        <w:rPr>
          <w:rFonts w:ascii="Times New Roman" w:hAnsi="Times New Roman" w:cs="Times New Roman"/>
        </w:rPr>
        <w:t>rather</w:t>
      </w:r>
      <w:r w:rsidR="00142FF8" w:rsidRPr="00990234">
        <w:rPr>
          <w:rFonts w:ascii="Times New Roman" w:hAnsi="Times New Roman" w:cs="Times New Roman"/>
          <w:lang w:val="es-ES"/>
        </w:rPr>
        <w:t xml:space="preserve"> </w:t>
      </w:r>
      <w:r w:rsidR="00142FF8" w:rsidRPr="00990234">
        <w:rPr>
          <w:rFonts w:ascii="Times New Roman" w:hAnsi="Times New Roman" w:cs="Times New Roman"/>
        </w:rPr>
        <w:t>than</w:t>
      </w:r>
      <w:r w:rsidR="00142FF8" w:rsidRPr="00990234">
        <w:rPr>
          <w:rFonts w:ascii="Times New Roman" w:hAnsi="Times New Roman" w:cs="Times New Roman"/>
          <w:lang w:val="es-ES"/>
        </w:rPr>
        <w:t xml:space="preserve"> </w:t>
      </w:r>
      <w:r w:rsidR="00142FF8" w:rsidRPr="00990234">
        <w:rPr>
          <w:rFonts w:ascii="Times New Roman" w:hAnsi="Times New Roman" w:cs="Times New Roman"/>
        </w:rPr>
        <w:t>utility</w:t>
      </w:r>
      <w:r w:rsidR="00A04D0D" w:rsidRPr="00990234">
        <w:rPr>
          <w:rFonts w:ascii="Times New Roman" w:hAnsi="Times New Roman" w:cs="Times New Roman"/>
          <w:lang w:val="es-ES"/>
        </w:rPr>
        <w:t xml:space="preserve"> </w:t>
      </w:r>
      <w:r w:rsidR="00A04D0D" w:rsidRPr="00990234">
        <w:rPr>
          <w:rFonts w:ascii="Times New Roman" w:hAnsi="Times New Roman" w:cs="Times New Roman"/>
        </w:rPr>
        <w:t>prediction</w:t>
      </w:r>
      <w:r w:rsidR="00A04D0D" w:rsidRPr="00990234">
        <w:rPr>
          <w:rFonts w:ascii="Times New Roman" w:hAnsi="Times New Roman" w:cs="Times New Roman"/>
          <w:lang w:val="es-ES"/>
        </w:rPr>
        <w:t xml:space="preserve"> error</w:t>
      </w:r>
      <w:r w:rsidR="00F243EC" w:rsidRPr="00990234">
        <w:rPr>
          <w:rFonts w:ascii="Times New Roman" w:hAnsi="Times New Roman" w:cs="Times New Roman"/>
          <w:lang w:val="es-ES"/>
        </w:rPr>
        <w:t xml:space="preserve"> </w:t>
      </w:r>
      <w:r w:rsidR="00F243EC" w:rsidRPr="00990234">
        <w:rPr>
          <w:rFonts w:ascii="Times New Roman" w:hAnsi="Times New Roman" w:cs="Times New Roman"/>
        </w:rPr>
        <w:t>signal</w:t>
      </w:r>
      <w:r w:rsidR="00142FF8" w:rsidRPr="00990234">
        <w:rPr>
          <w:rFonts w:ascii="Times New Roman" w:hAnsi="Times New Roman" w:cs="Times New Roman"/>
          <w:lang w:val="es-ES"/>
        </w:rPr>
        <w:t xml:space="preserve">. </w:t>
      </w:r>
    </w:p>
    <w:p w:rsidR="00594FAB" w:rsidRPr="00990234" w:rsidRDefault="00A45901" w:rsidP="00715741">
      <w:pPr>
        <w:spacing w:after="0" w:line="480" w:lineRule="auto"/>
        <w:ind w:right="-113" w:firstLine="720"/>
        <w:rPr>
          <w:rFonts w:ascii="Times New Roman" w:hAnsi="Times New Roman" w:cs="Times New Roman"/>
        </w:rPr>
      </w:pPr>
      <w:r w:rsidRPr="00990234">
        <w:rPr>
          <w:rFonts w:ascii="Times New Roman" w:hAnsi="Times New Roman" w:cs="Times New Roman"/>
        </w:rPr>
        <w:t xml:space="preserve">A criticism of those studies is that </w:t>
      </w:r>
      <w:r w:rsidR="00E736AF" w:rsidRPr="00990234">
        <w:rPr>
          <w:rFonts w:ascii="Times New Roman" w:hAnsi="Times New Roman" w:cs="Times New Roman"/>
        </w:rPr>
        <w:t>most</w:t>
      </w:r>
      <w:r w:rsidRPr="00990234">
        <w:rPr>
          <w:rFonts w:ascii="Times New Roman" w:hAnsi="Times New Roman" w:cs="Times New Roman"/>
        </w:rPr>
        <w:t xml:space="preserve"> appetitive and aversive outcomes were not well</w:t>
      </w:r>
      <w:r w:rsidR="00980DD0" w:rsidRPr="00990234">
        <w:rPr>
          <w:rFonts w:ascii="Times New Roman" w:hAnsi="Times New Roman" w:cs="Times New Roman"/>
        </w:rPr>
        <w:t>-</w:t>
      </w:r>
      <w:r w:rsidRPr="00990234">
        <w:rPr>
          <w:rFonts w:ascii="Times New Roman" w:hAnsi="Times New Roman" w:cs="Times New Roman"/>
        </w:rPr>
        <w:t xml:space="preserve">matched. For example, </w:t>
      </w:r>
      <w:r w:rsidR="0021638C" w:rsidRPr="00990234">
        <w:rPr>
          <w:rFonts w:ascii="Times New Roman" w:hAnsi="Times New Roman" w:cs="Times New Roman"/>
        </w:rPr>
        <w:t xml:space="preserve">in </w:t>
      </w:r>
      <w:r w:rsidR="00E736AF" w:rsidRPr="00990234">
        <w:rPr>
          <w:rFonts w:ascii="Times New Roman" w:hAnsi="Times New Roman" w:cs="Times New Roman"/>
        </w:rPr>
        <w:t xml:space="preserve">two </w:t>
      </w:r>
      <w:r w:rsidR="0003254E" w:rsidRPr="00990234">
        <w:rPr>
          <w:rFonts w:ascii="Times New Roman" w:hAnsi="Times New Roman" w:cs="Times New Roman"/>
        </w:rPr>
        <w:t xml:space="preserve">studies </w:t>
      </w:r>
      <w:r w:rsidR="00715741" w:rsidRPr="00990234">
        <w:rPr>
          <w:rFonts w:ascii="Times New Roman" w:hAnsi="Times New Roman" w:cs="Times New Roman"/>
        </w:rPr>
        <w:t xml:space="preserve">that </w:t>
      </w:r>
      <w:r w:rsidR="00964351" w:rsidRPr="00990234">
        <w:rPr>
          <w:rFonts w:ascii="Times New Roman" w:hAnsi="Times New Roman" w:cs="Times New Roman"/>
        </w:rPr>
        <w:t>used</w:t>
      </w:r>
      <w:r w:rsidRPr="00990234">
        <w:rPr>
          <w:rFonts w:ascii="Times New Roman" w:hAnsi="Times New Roman" w:cs="Times New Roman"/>
        </w:rPr>
        <w:t xml:space="preserve"> money and physical pain</w:t>
      </w:r>
      <w:r w:rsidR="0003254E" w:rsidRPr="00990234">
        <w:rPr>
          <w:rFonts w:ascii="Times New Roman" w:hAnsi="Times New Roman" w:cs="Times New Roman"/>
        </w:rPr>
        <w:t xml:space="preserve"> as reinforcers</w:t>
      </w:r>
      <w:r w:rsidRPr="00990234">
        <w:rPr>
          <w:rFonts w:ascii="Times New Roman" w:hAnsi="Times New Roman" w:cs="Times New Roman"/>
        </w:rPr>
        <w:t xml:space="preserve"> </w:t>
      </w:r>
      <w:r w:rsidRPr="00990234">
        <w:rPr>
          <w:rFonts w:ascii="Times New Roman" w:hAnsi="Times New Roman" w:cs="Times New Roman"/>
        </w:rPr>
        <w:fldChar w:fldCharType="begin" w:fldLock="1"/>
      </w:r>
      <w:r w:rsidR="0003254E" w:rsidRPr="00990234">
        <w:rPr>
          <w:rFonts w:ascii="Times New Roman" w:hAnsi="Times New Roman" w:cs="Times New Roman"/>
        </w:rPr>
        <w:instrText>ADDIN CSL_CITATION { "citationItems" : [ { "id" : "ITEM-1", "itemData" : { "DOI" : "10.1523/jneurosci.5695-12.2013", "abstract" : "Modulations of the feedback-related negativity (FRN) event-related potential (ERP) have been suggested as a potential biomarker in psychopathology. A dominant theory about this signal contends that it reflects the operation of the neural system underlying reinforcement learning in humans. The theory suggests that this frontocentral negative deflection in the ERP 230\u2013270 ms after the delivery of a probabilistic reward expresses a prediction error signal derived from midbrain dopaminergic projections to the anterior cingulate cortex. We tested this theory by investigating whether FRN will also be observed for an inherently aversive outcome: physical pain. In another session, the outcome was monetary reward instead of pain. As predicted, unexpected reward omissions (a negative reward prediction error) yielded a more negative deflection relative to unexpected reward delivery. Surprisingly, unexpected pain omission (a positive reward prediction error) also yielded a negative deflection relative to unexpected pain delivery. Our data challenge the theory by showing that the FRN expresses aversive prediction errors with the same sign as reward prediction errors. Both FRNs were spatiotemporally and functionally equivalent. We suggest that FRN expresses salience prediction errors rather than reward prediction errors.", "author" : [ { "dropping-particle" : "", "family" : "Talmi", "given" : "Deborah", "non-dropping-particle" : "", "parse-names" : false, "suffix" : "" }, { "dropping-particle" : "", "family" : "Atkinson", "given" : "Ryan", "non-dropping-particle" : "", "parse-names" : false, "suffix" : "" }, { "dropping-particle" : "", "family" : "El-Deredy", "given" : "Wael", "non-dropping-particle" : "", "parse-names" : false, "suffix" : "" } ], "container-title" : "The Journal of Neuroscience", "id" : "ITEM-1", "issue" : "19", "issued" : { "date-parts" : [ [ "2013" ] ] }, "page" : "8264-8269", "title" : "The Feedback-Related Negativity Signals Salience Prediction Errors, Not Reward Prediction Errors", "type" : "article-journal", "volume" : "33" }, "uris" : [ "http://www.mendeley.com/documents/?uuid=d677aa09-16f1-46ee-8185-d3fc13c1a457" ] }, { "id" : "ITEM-2", "itemData" : { "DOI" : "10.1111/psyp.12673", "ISSN" : "00485772", "author" : [ { "dropping-particle" : "", "family" : "Heydari", "given" : "Sepideh", "non-dropping-particle" : "", "parse-names" : false, "suffix" : "" }, { "dropping-particle" : "", "family" : "Holroyd", "given" : "Clay B.", "non-dropping-particle" : "", "parse-names" : false, "suffix" : "" } ], "container-title" : "Psychophysiology", "id" : "ITEM-2", "issued" : { "date-parts" : [ [ "2016" ] ] }, "page" : "1-8", "title" : "Reward positivity: Reward prediction error or salience prediction error?", "type" : "article-journal" }, "uris" : [ "http://www.mendeley.com/documents/?uuid=b642944b-866e-485a-aaed-0b73d32593b6" ] } ], "mendeley" : { "formattedCitation" : "(Heydari &amp; Holroyd, 2016; Talmi et al., 2013)", "plainTextFormattedCitation" : "(Heydari &amp; Holroyd, 2016; Talmi et al., 2013)", "previouslyFormattedCitation" : "(Heydari &amp; Holroyd, 2016; Talmi et al., 2013)" }, "properties" : { "noteIndex" : 0 }, "schema" : "https://github.com/citation-style-language/schema/raw/master/csl-citation.json" }</w:instrText>
      </w:r>
      <w:r w:rsidRPr="00990234">
        <w:rPr>
          <w:rFonts w:ascii="Times New Roman" w:hAnsi="Times New Roman" w:cs="Times New Roman"/>
        </w:rPr>
        <w:fldChar w:fldCharType="separate"/>
      </w:r>
      <w:r w:rsidR="0003254E" w:rsidRPr="00990234">
        <w:rPr>
          <w:rFonts w:ascii="Times New Roman" w:hAnsi="Times New Roman" w:cs="Times New Roman"/>
          <w:noProof/>
        </w:rPr>
        <w:t>(Heydari &amp; Holroyd, 2016; Talmi et al., 2013)</w:t>
      </w:r>
      <w:r w:rsidRPr="00990234">
        <w:rPr>
          <w:rFonts w:ascii="Times New Roman" w:hAnsi="Times New Roman" w:cs="Times New Roman"/>
        </w:rPr>
        <w:fldChar w:fldCharType="end"/>
      </w:r>
      <w:r w:rsidRPr="00990234">
        <w:rPr>
          <w:rFonts w:ascii="Times New Roman" w:hAnsi="Times New Roman" w:cs="Times New Roman"/>
        </w:rPr>
        <w:t xml:space="preserve"> the </w:t>
      </w:r>
      <w:r w:rsidR="007F17F2" w:rsidRPr="00990234">
        <w:rPr>
          <w:rFonts w:ascii="Times New Roman" w:hAnsi="Times New Roman" w:cs="Times New Roman"/>
        </w:rPr>
        <w:t xml:space="preserve">response </w:t>
      </w:r>
      <w:r w:rsidRPr="00990234">
        <w:rPr>
          <w:rFonts w:ascii="Times New Roman" w:hAnsi="Times New Roman" w:cs="Times New Roman"/>
        </w:rPr>
        <w:t xml:space="preserve">latency </w:t>
      </w:r>
      <w:r w:rsidR="0021638C" w:rsidRPr="00990234">
        <w:rPr>
          <w:rFonts w:ascii="Times New Roman" w:hAnsi="Times New Roman" w:cs="Times New Roman"/>
        </w:rPr>
        <w:t xml:space="preserve">of the frontocentral EEG signal </w:t>
      </w:r>
      <w:r w:rsidR="007F17F2" w:rsidRPr="00990234">
        <w:rPr>
          <w:rFonts w:ascii="Times New Roman" w:hAnsi="Times New Roman" w:cs="Times New Roman"/>
        </w:rPr>
        <w:t>differed</w:t>
      </w:r>
      <w:r w:rsidRPr="00990234">
        <w:rPr>
          <w:rFonts w:ascii="Times New Roman" w:hAnsi="Times New Roman" w:cs="Times New Roman"/>
        </w:rPr>
        <w:t xml:space="preserve"> </w:t>
      </w:r>
      <w:r w:rsidRPr="00990234">
        <w:rPr>
          <w:rFonts w:ascii="Times New Roman" w:hAnsi="Times New Roman" w:cs="Times New Roman"/>
        </w:rPr>
        <w:fldChar w:fldCharType="begin" w:fldLock="1"/>
      </w:r>
      <w:r w:rsidRPr="00990234">
        <w:rPr>
          <w:rFonts w:ascii="Times New Roman" w:hAnsi="Times New Roman" w:cs="Times New Roman"/>
        </w:rPr>
        <w:instrText>ADDIN CSL_CITATION { "citationItems" : [ { "id" : "ITEM-1", "itemData" : { "DOI" : "10.1111/psyp.12673", "ISSN" : "00485772", "author" : [ { "dropping-particle" : "", "family" : "Heydari", "given" : "Sepideh", "non-dropping-particle" : "", "parse-names" : false, "suffix" : "" }, { "dropping-particle" : "", "family" : "Holroyd", "given" : "Clay B.", "non-dropping-particle" : "", "parse-names" : false, "suffix" : "" } ], "container-title" : "Psychophysiology", "id" : "ITEM-1", "issued" : { "date-parts" : [ [ "2016" ] ] }, "page" : "1-8", "title" : "Reward positivity: Reward prediction error or salience prediction error?", "type" : "article-journal" }, "uris" : [ "http://www.mendeley.com/documents/?uuid=b642944b-866e-485a-aaed-0b73d32593b6" ] } ], "mendeley" : { "formattedCitation" : "(Heydari &amp; Holroyd, 2016)", "plainTextFormattedCitation" : "(Heydari &amp; Holroyd, 2016)", "previouslyFormattedCitation" : "(Heydari &amp; Holroyd, 2016)" }, "properties" : { "noteIndex" : 0 }, "schema" : "https://github.com/citation-style-language/schema/raw/master/csl-citation.json" }</w:instrText>
      </w:r>
      <w:r w:rsidRPr="00990234">
        <w:rPr>
          <w:rFonts w:ascii="Times New Roman" w:hAnsi="Times New Roman" w:cs="Times New Roman"/>
        </w:rPr>
        <w:fldChar w:fldCharType="separate"/>
      </w:r>
      <w:r w:rsidRPr="00990234">
        <w:rPr>
          <w:rFonts w:ascii="Times New Roman" w:hAnsi="Times New Roman" w:cs="Times New Roman"/>
          <w:noProof/>
        </w:rPr>
        <w:t>(Heydari &amp; Holroyd, 2016)</w:t>
      </w:r>
      <w:r w:rsidRPr="00990234">
        <w:rPr>
          <w:rFonts w:ascii="Times New Roman" w:hAnsi="Times New Roman" w:cs="Times New Roman"/>
        </w:rPr>
        <w:fldChar w:fldCharType="end"/>
      </w:r>
      <w:r w:rsidR="0081525C" w:rsidRPr="00990234">
        <w:rPr>
          <w:rFonts w:ascii="Times New Roman" w:hAnsi="Times New Roman" w:cs="Times New Roman"/>
        </w:rPr>
        <w:t xml:space="preserve">. </w:t>
      </w:r>
      <w:r w:rsidRPr="00990234">
        <w:rPr>
          <w:rFonts w:ascii="Times New Roman" w:hAnsi="Times New Roman" w:cs="Times New Roman"/>
        </w:rPr>
        <w:t>While disparate spatiotemporal dynamics are unsurprising when appetitive and aversive outcomes have different hedonic values and are drawn from differ</w:t>
      </w:r>
      <w:r w:rsidR="008D01F8" w:rsidRPr="00990234">
        <w:rPr>
          <w:rFonts w:ascii="Times New Roman" w:hAnsi="Times New Roman" w:cs="Times New Roman"/>
        </w:rPr>
        <w:t xml:space="preserve">ent modalities, </w:t>
      </w:r>
      <w:r w:rsidR="00A04D0D" w:rsidRPr="00990234">
        <w:rPr>
          <w:rFonts w:ascii="Times New Roman" w:hAnsi="Times New Roman" w:cs="Times New Roman"/>
        </w:rPr>
        <w:t xml:space="preserve">as in both of these studies, such spatiotemporal differences </w:t>
      </w:r>
      <w:r w:rsidR="008D01F8" w:rsidRPr="00990234">
        <w:rPr>
          <w:rFonts w:ascii="Times New Roman" w:hAnsi="Times New Roman" w:cs="Times New Roman"/>
        </w:rPr>
        <w:t xml:space="preserve">make it </w:t>
      </w:r>
      <w:r w:rsidR="00E736AF" w:rsidRPr="00990234">
        <w:rPr>
          <w:rFonts w:ascii="Times New Roman" w:hAnsi="Times New Roman" w:cs="Times New Roman"/>
        </w:rPr>
        <w:t xml:space="preserve">difficult to </w:t>
      </w:r>
      <w:r w:rsidR="0021638C" w:rsidRPr="00990234">
        <w:rPr>
          <w:rFonts w:ascii="Times New Roman" w:hAnsi="Times New Roman" w:cs="Times New Roman"/>
        </w:rPr>
        <w:t>argue</w:t>
      </w:r>
      <w:r w:rsidRPr="00990234">
        <w:rPr>
          <w:rFonts w:ascii="Times New Roman" w:hAnsi="Times New Roman" w:cs="Times New Roman"/>
        </w:rPr>
        <w:t xml:space="preserve"> that a signal expresses </w:t>
      </w:r>
      <w:r w:rsidR="00A04D0D" w:rsidRPr="00990234">
        <w:rPr>
          <w:rFonts w:ascii="Times New Roman" w:hAnsi="Times New Roman" w:cs="Times New Roman"/>
        </w:rPr>
        <w:lastRenderedPageBreak/>
        <w:t xml:space="preserve">the </w:t>
      </w:r>
      <w:r w:rsidR="0021638C" w:rsidRPr="00990234">
        <w:rPr>
          <w:rFonts w:ascii="Times New Roman" w:hAnsi="Times New Roman" w:cs="Times New Roman"/>
        </w:rPr>
        <w:t xml:space="preserve">psychological variable of </w:t>
      </w:r>
      <w:r w:rsidRPr="00990234">
        <w:rPr>
          <w:rFonts w:ascii="Times New Roman" w:hAnsi="Times New Roman" w:cs="Times New Roman"/>
        </w:rPr>
        <w:t>salience</w:t>
      </w:r>
      <w:r w:rsidR="00715741" w:rsidRPr="00990234">
        <w:rPr>
          <w:rFonts w:ascii="Times New Roman" w:hAnsi="Times New Roman" w:cs="Times New Roman"/>
        </w:rPr>
        <w:t xml:space="preserve"> in both appetitive and aversive conditions</w:t>
      </w:r>
      <w:r w:rsidRPr="00990234">
        <w:rPr>
          <w:rFonts w:ascii="Times New Roman" w:hAnsi="Times New Roman" w:cs="Times New Roman"/>
        </w:rPr>
        <w:t>. I</w:t>
      </w:r>
      <w:r w:rsidR="00927508" w:rsidRPr="00990234">
        <w:rPr>
          <w:rFonts w:ascii="Times New Roman" w:hAnsi="Times New Roman" w:cs="Times New Roman"/>
        </w:rPr>
        <w:t>mportantly, i</w:t>
      </w:r>
      <w:r w:rsidRPr="00990234">
        <w:rPr>
          <w:rFonts w:ascii="Times New Roman" w:hAnsi="Times New Roman" w:cs="Times New Roman"/>
        </w:rPr>
        <w:t xml:space="preserve">n </w:t>
      </w:r>
      <w:r w:rsidR="00E06AF4" w:rsidRPr="00990234">
        <w:rPr>
          <w:rFonts w:ascii="Times New Roman" w:hAnsi="Times New Roman" w:cs="Times New Roman"/>
        </w:rPr>
        <w:t xml:space="preserve">traditional FRN </w:t>
      </w:r>
      <w:r w:rsidRPr="00990234">
        <w:rPr>
          <w:rFonts w:ascii="Times New Roman" w:hAnsi="Times New Roman" w:cs="Times New Roman"/>
        </w:rPr>
        <w:t>studies that use financial outcomes, ostensibly matching modality and outcome value,</w:t>
      </w:r>
      <w:r w:rsidR="00C83AB5" w:rsidRPr="00990234">
        <w:rPr>
          <w:rFonts w:ascii="Times New Roman" w:hAnsi="Times New Roman" w:cs="Times New Roman"/>
        </w:rPr>
        <w:t xml:space="preserve"> </w:t>
      </w:r>
      <w:r w:rsidRPr="00990234">
        <w:rPr>
          <w:rFonts w:ascii="Times New Roman" w:hAnsi="Times New Roman" w:cs="Times New Roman"/>
        </w:rPr>
        <w:t xml:space="preserve">monetary </w:t>
      </w:r>
      <w:r w:rsidR="00927508" w:rsidRPr="00990234">
        <w:rPr>
          <w:rFonts w:ascii="Times New Roman" w:hAnsi="Times New Roman" w:cs="Times New Roman"/>
        </w:rPr>
        <w:t xml:space="preserve">gain </w:t>
      </w:r>
      <w:r w:rsidRPr="00990234">
        <w:rPr>
          <w:rFonts w:ascii="Times New Roman" w:hAnsi="Times New Roman" w:cs="Times New Roman"/>
        </w:rPr>
        <w:t xml:space="preserve">may </w:t>
      </w:r>
      <w:r w:rsidR="00CB1BEA" w:rsidRPr="00990234">
        <w:rPr>
          <w:rFonts w:ascii="Times New Roman" w:hAnsi="Times New Roman" w:cs="Times New Roman"/>
        </w:rPr>
        <w:t xml:space="preserve">represent a different level of </w:t>
      </w:r>
      <w:r w:rsidR="00715741" w:rsidRPr="00990234">
        <w:rPr>
          <w:rFonts w:ascii="Times New Roman" w:hAnsi="Times New Roman" w:cs="Times New Roman"/>
        </w:rPr>
        <w:t xml:space="preserve">motivational </w:t>
      </w:r>
      <w:r w:rsidR="00CB1BEA" w:rsidRPr="00990234">
        <w:rPr>
          <w:rFonts w:ascii="Times New Roman" w:hAnsi="Times New Roman" w:cs="Times New Roman"/>
        </w:rPr>
        <w:t>salience</w:t>
      </w:r>
      <w:r w:rsidR="00542F3D" w:rsidRPr="00990234">
        <w:rPr>
          <w:rFonts w:ascii="Times New Roman" w:hAnsi="Times New Roman" w:cs="Times New Roman"/>
        </w:rPr>
        <w:t xml:space="preserve"> than monetary loss</w:t>
      </w:r>
      <w:r w:rsidR="002537CE" w:rsidRPr="00990234">
        <w:rPr>
          <w:rFonts w:ascii="Times New Roman" w:hAnsi="Times New Roman" w:cs="Times New Roman"/>
        </w:rPr>
        <w:t xml:space="preserve">, </w:t>
      </w:r>
      <w:r w:rsidRPr="00990234">
        <w:rPr>
          <w:rFonts w:ascii="Times New Roman" w:hAnsi="Times New Roman" w:cs="Times New Roman"/>
        </w:rPr>
        <w:t xml:space="preserve">so that the dimension of value </w:t>
      </w:r>
      <w:r w:rsidR="00621919" w:rsidRPr="00990234">
        <w:rPr>
          <w:rFonts w:ascii="Times New Roman" w:hAnsi="Times New Roman" w:cs="Times New Roman"/>
        </w:rPr>
        <w:t xml:space="preserve">could be </w:t>
      </w:r>
      <w:r w:rsidRPr="00990234">
        <w:rPr>
          <w:rFonts w:ascii="Times New Roman" w:hAnsi="Times New Roman" w:cs="Times New Roman"/>
        </w:rPr>
        <w:t xml:space="preserve">confounded by that of </w:t>
      </w:r>
      <w:r w:rsidR="00542F3D" w:rsidRPr="00990234">
        <w:rPr>
          <w:rFonts w:ascii="Times New Roman" w:hAnsi="Times New Roman" w:cs="Times New Roman"/>
        </w:rPr>
        <w:t>salience</w:t>
      </w:r>
      <w:r w:rsidRPr="00990234">
        <w:rPr>
          <w:rFonts w:ascii="Times New Roman" w:hAnsi="Times New Roman" w:cs="Times New Roman"/>
        </w:rPr>
        <w:t xml:space="preserve"> </w:t>
      </w:r>
      <w:r w:rsidRPr="00990234">
        <w:rPr>
          <w:rFonts w:ascii="Times New Roman" w:hAnsi="Times New Roman" w:cs="Times New Roman"/>
        </w:rPr>
        <w:fldChar w:fldCharType="begin" w:fldLock="1"/>
      </w:r>
      <w:r w:rsidR="0088709E" w:rsidRPr="00990234">
        <w:rPr>
          <w:rFonts w:ascii="Times New Roman" w:hAnsi="Times New Roman" w:cs="Times New Roman"/>
        </w:rPr>
        <w:instrText>ADDIN CSL_CITATION { "citationItems" : [ { "id" : "ITEM-1", "itemData" : { "ISBN" : "1053-8119", "author" : [ { "dropping-particle" : "", "family" : "Hauser", "given" : "Tobias U", "non-dropping-particle" : "", "parse-names" : false, "suffix" : "" }, { "dropping-particle" : "", "family" : "Iannaccone", "given" : "Reto", "non-dropping-particle" : "", "parse-names" : false, "suffix" : "" }, { "dropping-particle" : "", "family" : "St\u00e4mpfli", "given" : "Philipp", "non-dropping-particle" : "", "parse-names" : false, "suffix" : "" }, { "dropping-particle" : "", "family" : "Drechsler", "given" : "Renate", "non-dropping-particle" : "", "parse-names" : false, "suffix" : "" }, { "dropping-particle" : "", "family" : "Brandeis", "given" : "Daniel", "non-dropping-particle" : "", "parse-names" : false, "suffix" : "" }, { "dropping-particle" : "", "family" : "Walitza", "given" : "Susanne", "non-dropping-particle" : "", "parse-names" : false, "suffix" : "" }, { "dropping-particle" : "", "family" : "Brem", "given" : "Silvia", "non-dropping-particle" : "", "parse-names" : false, "suffix" : "" } ], "container-title" : "NeuroImage", "id" : "ITEM-1", "issued" : { "date-parts" : [ [ "2014" ] ] }, "note" : "fmri-eeg showed a cluster within the dacc and additional activations of the salience network, and showed only surprise signals to modulate FRN amplitude. they also used DCM and showed surprise signals are directly projected to the source region of the frn - striatum, vmPFC, amygdala, dlpPFC.", "page" : "159-168", "title" : "The feedback-related negativity (FRN) revisited: New insights into the localization, meaning and network organization", "type" : "article-journal", "volume" : "84" }, "uris" : [ "http://www.mendeley.com/documents/?uuid=bda5b7f5-f2a2-4b6b-a014-9254615e974a" ] }, { "id" : "ITEM-2", "itemData" : { "DOI" : "10.1097/WNR.0000000000000318", "ISBN" : "0000000000000", "ISSN" : "0959-4965", "PMID" : "25634316", "abstract" : "Feedback-related negativity (FRN) is an event-related brain potential (ERP) component elicited by errors and negative outcomes. Previous studies proposed that FRN reflects the activity of a general error-processing system that incorporates reward prediction error (RPE). However, other studies reported inconsistent results on this issue - namely, that FRN only reflects the valence of feedback and that the magnitude of RPE is reflected by the other ERP component called P300. The present study focused on the relationship between the FRN amplitude and RPE. ERPs were recorded during a reversal learning task performed by the participants, and a computational model was used to estimate trial-by-trial RPEs, which we correlated with the ERPs. The results indicated that FRN and P300 reflected the magnitude of RPE in negative outcomes and positive outcomes, respectively. In addition, the correlation between RPE and the P300 amplitude was stronger than the correlation between RPE and the FRN amplitude. These differences in the correlation between ERP and RPE components may explain the inconsistent results reported by previous studies; the asymmetry in the correlations might make it difficult to detect the effect of the RPE magnitude on the FRN and makes it appear that the FRN only reflects the valence of feedback. Copyright (c) 2015 Wolters Kluwer Health, Inc. All rights reserved.", "author" : [ { "dropping-particle" : "", "family" : "Bai", "given" : "Yu", "non-dropping-particle" : "", "parse-names" : false, "suffix" : "" }, { "dropping-particle" : "", "family" : "Katahira", "given" : "Kentaro", "non-dropping-particle" : "", "parse-names" : false, "suffix" : "" }, { "dropping-particle" : "", "family" : "Ohira", "given" : "Hideki", "non-dropping-particle" : "", "parse-names" : false, "suffix" : "" } ], "container-title" : "NeuroReport", "id" : "ITEM-2", "issue" : "3", "issued" : { "date-parts" : [ [ "2015" ] ] }, "page" : "157-162", "title" : "Valence-separated representation of reward prediction error in feedback-related negativity and positivity", "type" : "article-journal", "volume" : "26" }, "uris" : [ "http://www.mendeley.com/documents/?uuid=6b036cb3-7970-4b55-89c7-4dc5ae989d21" ] }, { "id" : "ITEM-3", "itemData" : { "DOI" : "10.1111/psyp.12738", "ISSN" : "14698986", "author" : [ { "dropping-particle" : "", "family" : "Weismueller", "given" : "Benjamin", "non-dropping-particle" : "", "parse-names" : false, "suffix" : "" }, { "dropping-particle" : "", "family" : "Bellebaum", "given" : "Christian", "non-dropping-particle" : "", "parse-names" : false, "suffix" : "" } ], "container-title" : "Psychophysiology", "id" : "ITEM-3", "issued" : { "date-parts" : [ [ "2016" ] ] }, "note" : "fmri-eeg showed a cluster within the dacc and additional activations of the salience network, and showed only surprise signals to modulate FRN amplitude. they also used DCM and showed surprise signals are directly projected to the source region of the frn - striatum, vmPFC, amygdala, dlpPFC.", "page" : "1739-1750", "title" : "Expectancy affects the feedback-related negativity (FRN) for delayed feedback in probabilistic learning", "type" : "article-journal", "volume" : "53" }, "uris" : [ "http://www.mendeley.com/documents/?uuid=99579d10-6407-4a5f-a84c-300302ff5d4f" ] } ], "mendeley" : { "formattedCitation" : "(Bai, Katahira, &amp; Ohira, 2015; Hauser et al., 2014; Weismueller &amp; Bellebaum, 2016)", "manualFormatting" : "(e.g. Bai, Katahira, &amp; Ohira, 2015; Hauser et al., 2014; Weismueller &amp; Bellebaum, 2016)", "plainTextFormattedCitation" : "(Bai, Katahira, &amp; Ohira, 2015; Hauser et al., 2014; Weismueller &amp; Bellebaum, 2016)", "previouslyFormattedCitation" : "(Bai, Katahira, &amp; Ohira, 2015; Hauser et al., 2014; Weismueller &amp; Bellebaum, 2016)" }, "properties" : { "noteIndex" : 0 }, "schema" : "https://github.com/citation-style-language/schema/raw/master/csl-citation.json" }</w:instrText>
      </w:r>
      <w:r w:rsidRPr="00990234">
        <w:rPr>
          <w:rFonts w:ascii="Times New Roman" w:hAnsi="Times New Roman" w:cs="Times New Roman"/>
        </w:rPr>
        <w:fldChar w:fldCharType="separate"/>
      </w:r>
      <w:r w:rsidRPr="00990234">
        <w:rPr>
          <w:rFonts w:ascii="Times New Roman" w:hAnsi="Times New Roman" w:cs="Times New Roman"/>
          <w:noProof/>
        </w:rPr>
        <w:t>(e.g. Bai, Katahira, &amp; Ohira, 2015; Hauser et al., 2014; Weismueller &amp; Bellebaum, 2016)</w:t>
      </w:r>
      <w:r w:rsidRPr="00990234">
        <w:rPr>
          <w:rFonts w:ascii="Times New Roman" w:hAnsi="Times New Roman" w:cs="Times New Roman"/>
        </w:rPr>
        <w:fldChar w:fldCharType="end"/>
      </w:r>
      <w:r w:rsidRPr="00990234">
        <w:rPr>
          <w:rFonts w:ascii="Times New Roman" w:hAnsi="Times New Roman" w:cs="Times New Roman"/>
        </w:rPr>
        <w:t xml:space="preserve">. </w:t>
      </w:r>
      <w:r w:rsidR="00B96660" w:rsidRPr="00990234">
        <w:rPr>
          <w:rFonts w:ascii="Times New Roman" w:hAnsi="Times New Roman" w:cs="Times New Roman"/>
        </w:rPr>
        <w:t>S</w:t>
      </w:r>
      <w:r w:rsidRPr="00990234">
        <w:rPr>
          <w:rFonts w:ascii="Times New Roman" w:hAnsi="Times New Roman" w:cs="Times New Roman"/>
        </w:rPr>
        <w:t xml:space="preserve">tudies that employ financial outcomes rarely match the </w:t>
      </w:r>
      <w:r w:rsidR="00070938" w:rsidRPr="00990234">
        <w:rPr>
          <w:rFonts w:ascii="Times New Roman" w:hAnsi="Times New Roman" w:cs="Times New Roman"/>
        </w:rPr>
        <w:t xml:space="preserve">utility </w:t>
      </w:r>
      <w:r w:rsidRPr="00990234">
        <w:rPr>
          <w:rFonts w:ascii="Times New Roman" w:hAnsi="Times New Roman" w:cs="Times New Roman"/>
        </w:rPr>
        <w:t>of reinforcement</w:t>
      </w:r>
      <w:r w:rsidR="0088709E" w:rsidRPr="00990234">
        <w:rPr>
          <w:rFonts w:ascii="Times New Roman" w:hAnsi="Times New Roman" w:cs="Times New Roman"/>
        </w:rPr>
        <w:t xml:space="preserve"> </w:t>
      </w:r>
      <w:r w:rsidR="0088709E" w:rsidRPr="00990234">
        <w:rPr>
          <w:rFonts w:ascii="Times New Roman" w:hAnsi="Times New Roman" w:cs="Times New Roman"/>
        </w:rPr>
        <w:fldChar w:fldCharType="begin" w:fldLock="1"/>
      </w:r>
      <w:r w:rsidR="0088709E" w:rsidRPr="00990234">
        <w:rPr>
          <w:rFonts w:ascii="Times New Roman" w:hAnsi="Times New Roman" w:cs="Times New Roman"/>
        </w:rPr>
        <w:instrText>ADDIN CSL_CITATION { "citationItems" : [ { "id" : "ITEM-1", "itemData" : { "DOI" : "10.1097/WNR.0000000000000318", "ISBN" : "0000000000000", "ISSN" : "0959-4965", "PMID" : "25634316", "abstract" : "Feedback-related negativity (FRN) is an event-related brain potential (ERP) component elicited by errors and negative outcomes. Previous studies proposed that FRN reflects the activity of a general error-processing system that incorporates reward prediction error (RPE). However, other studies reported inconsistent results on this issue - namely, that FRN only reflects the valence of feedback and that the magnitude of RPE is reflected by the other ERP component called P300. The present study focused on the relationship between the FRN amplitude and RPE. ERPs were recorded during a reversal learning task performed by the participants, and a computational model was used to estimate trial-by-trial RPEs, which we correlated with the ERPs. The results indicated that FRN and P300 reflected the magnitude of RPE in negative outcomes and positive outcomes, respectively. In addition, the correlation between RPE and the P300 amplitude was stronger than the correlation between RPE and the FRN amplitude. These differences in the correlation between ERP and RPE components may explain the inconsistent results reported by previous studies; the asymmetry in the correlations might make it difficult to detect the effect of the RPE magnitude on the FRN and makes it appear that the FRN only reflects the valence of feedback. Copyright (c) 2015 Wolters Kluwer Health, Inc. All rights reserved.", "author" : [ { "dropping-particle" : "", "family" : "Bai", "given" : "Yu", "non-dropping-particle" : "", "parse-names" : false, "suffix" : "" }, { "dropping-particle" : "", "family" : "Katahira", "given" : "Kentaro", "non-dropping-particle" : "", "parse-names" : false, "suffix" : "" }, { "dropping-particle" : "", "family" : "Ohira", "given" : "Hideki", "non-dropping-particle" : "", "parse-names" : false, "suffix" : "" } ], "container-title" : "NeuroReport", "id" : "ITEM-1", "issue" : "3", "issued" : { "date-parts" : [ [ "2015" ] ] }, "page" : "157-162", "title" : "Valence-separated representation of reward prediction error in feedback-related negativity and positivity", "type" : "article-journal", "volume" : "26" }, "uris" : [ "http://www.mendeley.com/documents/?uuid=6b036cb3-7970-4b55-89c7-4dc5ae989d21" ] }, { "id" : "ITEM-2", "itemData" : { "ISBN" : "1053-8119", "author" : [ { "dropping-particle" : "", "family" : "Hauser", "given" : "Tobias U", "non-dropping-particle" : "", "parse-names" : false, "suffix" : "" }, { "dropping-particle" : "", "family" : "Iannaccone", "given" : "Reto", "non-dropping-particle" : "", "parse-names" : false, "suffix" : "" }, { "dropping-particle" : "", "family" : "St\u00e4mpfli", "given" : "Philipp", "non-dropping-particle" : "", "parse-names" : false, "suffix" : "" }, { "dropping-particle" : "", "family" : "Drechsler", "given" : "Renate", "non-dropping-particle" : "", "parse-names" : false, "suffix" : "" }, { "dropping-particle" : "", "family" : "Brandeis", "given" : "Daniel", "non-dropping-particle" : "", "parse-names" : false, "suffix" : "" }, { "dropping-particle" : "", "family" : "Walitza", "given" : "Susanne", "non-dropping-particle" : "", "parse-names" : false, "suffix" : "" }, { "dropping-particle" : "", "family" : "Brem", "given" : "Silvia", "non-dropping-particle" : "", "parse-names" : false, "suffix" : "" } ], "container-title" : "NeuroImage", "id" : "ITEM-2", "issued" : { "date-parts" : [ [ "2014" ] ] }, "note" : "fmri-eeg showed a cluster within the dacc and additional activations of the salience network, and showed only surprise signals to modulate FRN amplitude. they also used DCM and showed surprise signals are directly projected to the source region of the frn - striatum, vmPFC, amygdala, dlpPFC.", "page" : "159-168", "title" : "The feedback-related negativity (FRN) revisited: New insights into the localization, meaning and network organization", "type" : "article-journal", "volume" : "84" }, "uris" : [ "http://www.mendeley.com/documents/?uuid=bda5b7f5-f2a2-4b6b-a014-9254615e974a" ] } ], "mendeley" : { "formattedCitation" : "(Bai et al., 2015; Hauser et al., 2014)", "manualFormatting" : "(e.g. Bai et al., 2015; Hauser et al., 2014)", "plainTextFormattedCitation" : "(Bai et al., 2015; Hauser et al., 2014)", "previouslyFormattedCitation" : "(Bai et al., 2015; Hauser et al., 2014)" }, "properties" : { "noteIndex" : 0 }, "schema" : "https://github.com/citation-style-language/schema/raw/master/csl-citation.json" }</w:instrText>
      </w:r>
      <w:r w:rsidR="0088709E" w:rsidRPr="00990234">
        <w:rPr>
          <w:rFonts w:ascii="Times New Roman" w:hAnsi="Times New Roman" w:cs="Times New Roman"/>
        </w:rPr>
        <w:fldChar w:fldCharType="separate"/>
      </w:r>
      <w:r w:rsidR="0088709E" w:rsidRPr="00990234">
        <w:rPr>
          <w:rFonts w:ascii="Times New Roman" w:hAnsi="Times New Roman" w:cs="Times New Roman"/>
          <w:noProof/>
        </w:rPr>
        <w:t>(e.g. Bai et al., 2015; Hauser et al., 2014)</w:t>
      </w:r>
      <w:r w:rsidR="0088709E" w:rsidRPr="00990234">
        <w:rPr>
          <w:rFonts w:ascii="Times New Roman" w:hAnsi="Times New Roman" w:cs="Times New Roman"/>
        </w:rPr>
        <w:fldChar w:fldCharType="end"/>
      </w:r>
      <w:r w:rsidRPr="00990234">
        <w:rPr>
          <w:rFonts w:ascii="Times New Roman" w:hAnsi="Times New Roman" w:cs="Times New Roman"/>
        </w:rPr>
        <w:t xml:space="preserve"> so that a</w:t>
      </w:r>
      <w:r w:rsidR="00621919" w:rsidRPr="00990234">
        <w:rPr>
          <w:rFonts w:ascii="Times New Roman" w:hAnsi="Times New Roman" w:cs="Times New Roman"/>
        </w:rPr>
        <w:t>n</w:t>
      </w:r>
      <w:r w:rsidRPr="00990234">
        <w:rPr>
          <w:rFonts w:ascii="Times New Roman" w:hAnsi="Times New Roman" w:cs="Times New Roman"/>
        </w:rPr>
        <w:t xml:space="preserve"> </w:t>
      </w:r>
      <w:r w:rsidR="00BE1C7E" w:rsidRPr="00990234">
        <w:rPr>
          <w:rFonts w:ascii="Times New Roman" w:hAnsi="Times New Roman" w:cs="Times New Roman"/>
        </w:rPr>
        <w:t>FRN</w:t>
      </w:r>
      <w:r w:rsidRPr="00990234">
        <w:rPr>
          <w:rFonts w:ascii="Times New Roman" w:hAnsi="Times New Roman" w:cs="Times New Roman"/>
        </w:rPr>
        <w:t xml:space="preserve"> could stem from greater emotional and ensuing cognitive impact of losses over gains, a</w:t>
      </w:r>
      <w:r w:rsidR="00477D10" w:rsidRPr="00990234">
        <w:rPr>
          <w:rFonts w:ascii="Times New Roman" w:hAnsi="Times New Roman" w:cs="Times New Roman"/>
        </w:rPr>
        <w:t>s described in</w:t>
      </w:r>
      <w:r w:rsidRPr="00990234">
        <w:rPr>
          <w:rFonts w:ascii="Times New Roman" w:hAnsi="Times New Roman" w:cs="Times New Roman"/>
        </w:rPr>
        <w:t xml:space="preserve"> prospect theory </w:t>
      </w:r>
      <w:r w:rsidRPr="00990234">
        <w:rPr>
          <w:rFonts w:ascii="Times New Roman" w:hAnsi="Times New Roman" w:cs="Times New Roman"/>
        </w:rPr>
        <w:fldChar w:fldCharType="begin" w:fldLock="1"/>
      </w:r>
      <w:r w:rsidR="00E730F1" w:rsidRPr="00990234">
        <w:rPr>
          <w:rFonts w:ascii="Times New Roman" w:hAnsi="Times New Roman" w:cs="Times New Roman"/>
        </w:rPr>
        <w:instrText>ADDIN CSL_CITATION { "citationItems" : [ { "id" : "ITEM-1", "itemData" : { "DOI" : "10.1111/j.1469-8986.2012.01482.x", "ISSN" : "00485772", "PMID" : "23094592", "abstract" : "Humans handle uncertainty poorly. Prospect theory accounts for this with a value function in which possible losses are overweighted compared to possible gains, and the marginal utility of rewards decreases with size. fMRI studies have explored the neural basis of this value function. A separate body of research claims that prediction errors are calculated by midbrain dopamine neurons. We investigated whether the prospect theoretic effects shown in behavioral and fMRI studies were present in midbrain prediction error coding by using the feedback-related negativity, an ERP component believed to reflect midbrain prediction errors. Participants' stated satisfaction with outcomes followed prospect theory but their feedback-related negativity did not, instead showing no effect of marginal utility and greater sensitivity to potential gains than losses.", "author" : [ { "dropping-particle" : "", "family" : "Sambrook", "given" : "Thomas D.", "non-dropping-particle" : "", "parse-names" : false, "suffix" : "" }, { "dropping-particle" : "", "family" : "Roser", "given" : "Matthew", "non-dropping-particle" : "", "parse-names" : false, "suffix" : "" }, { "dropping-particle" : "", "family" : "Goslin", "given" : "Jeremy", "non-dropping-particle" : "", "parse-names" : false, "suffix" : "" } ], "container-title" : "Psychophysiology", "id" : "ITEM-1", "issue" : "12", "issued" : { "date-parts" : [ [ "2012" ] ] }, "page" : "1533-1544", "title" : "Prospect theory does not describe the feedback-related negativity value function", "type" : "article-journal", "volume" : "49" }, "uris" : [ "http://www.mendeley.com/documents/?uuid=e13a3990-74ee-4577-8a30-913aeaff842f" ] } ], "mendeley" : { "formattedCitation" : "(Sambrook, Roser, &amp; Goslin, 2012)", "plainTextFormattedCitation" : "(Sambrook, Roser, &amp; Goslin, 2012)", "previouslyFormattedCitation" : "(Sambrook, Roser, &amp; Goslin, 2012)" }, "properties" : { "noteIndex" : 0 }, "schema" : "https://github.com/citation-style-language/schema/raw/master/csl-citation.json" }</w:instrText>
      </w:r>
      <w:r w:rsidRPr="00990234">
        <w:rPr>
          <w:rFonts w:ascii="Times New Roman" w:hAnsi="Times New Roman" w:cs="Times New Roman"/>
        </w:rPr>
        <w:fldChar w:fldCharType="separate"/>
      </w:r>
      <w:r w:rsidRPr="00990234">
        <w:rPr>
          <w:rFonts w:ascii="Times New Roman" w:hAnsi="Times New Roman" w:cs="Times New Roman"/>
          <w:noProof/>
        </w:rPr>
        <w:t>(Sambrook, Roser, &amp; Goslin, 2012)</w:t>
      </w:r>
      <w:r w:rsidRPr="00990234">
        <w:rPr>
          <w:rFonts w:ascii="Times New Roman" w:hAnsi="Times New Roman" w:cs="Times New Roman"/>
        </w:rPr>
        <w:fldChar w:fldCharType="end"/>
      </w:r>
      <w:r w:rsidRPr="00990234">
        <w:rPr>
          <w:rFonts w:ascii="Times New Roman" w:hAnsi="Times New Roman" w:cs="Times New Roman"/>
        </w:rPr>
        <w:t xml:space="preserve">. </w:t>
      </w:r>
      <w:r w:rsidR="00B96660" w:rsidRPr="00990234">
        <w:rPr>
          <w:rFonts w:ascii="Times New Roman" w:hAnsi="Times New Roman" w:cs="Times New Roman"/>
        </w:rPr>
        <w:t xml:space="preserve">Indeed, there is evidence that midbrain neurons signal to negative more than positive prediction errors, suggesting negative prediction errors have greater salience </w:t>
      </w:r>
      <w:r w:rsidR="00B96660" w:rsidRPr="00990234">
        <w:rPr>
          <w:rFonts w:ascii="Times New Roman" w:hAnsi="Times New Roman" w:cs="Times New Roman"/>
        </w:rPr>
        <w:fldChar w:fldCharType="begin" w:fldLock="1"/>
      </w:r>
      <w:r w:rsidR="003F4A37" w:rsidRPr="00990234">
        <w:rPr>
          <w:rFonts w:ascii="Times New Roman" w:hAnsi="Times New Roman" w:cs="Times New Roman"/>
        </w:rPr>
        <w:instrText>ADDIN CSL_CITATION { "citationItems" : [ { "id" : "ITEM-1", "itemData" : { "DOI" : "10.1002/hbm.20186", "ISBN" : "1097-0193\\n1065-9471", "ISSN" : "10659471", "PMID" : "16092133", "abstract" : "A prominent theory in neuroscience suggests reward learning is driven by the discrepancy between a subject's expectation of an outcome and the actual outcome itself. Furthermore, it is postulated that midbrain dopamine neurons relay this mismatch to target regions including the ventral striatum. Using functional MRI (fMRI), we tested striatal responses to prediction errors for probabilistic classification learning with purely cognitive feedback. We used a version of the Rescorla-Wagner model to generate prediction errors for each subject and then entered these in a parametric analysis of fMRI activity. Activation in ventral striatum/nucleus-accumbens (Nacc) increased parametrically with prediction error for negative feedback. This result extends recent neuroimaging findings in reward learning by showing that learning with cognitive feedback also depends on the same circuitry and dopaminergic signaling mechanisms.", "author" : [ { "dropping-particle" : "", "family" : "Rodriguez", "given" : "P. F.", "non-dropping-particle" : "", "parse-names" : false, "suffix" : "" }, { "dropping-particle" : "", "family" : "Aron", "given" : "a. R.", "non-dropping-particle" : "", "parse-names" : false, "suffix" : "" }, { "dropping-particle" : "", "family" : "Poldrack", "given" : "R. a.", "non-dropping-particle" : "", "parse-names" : false, "suffix" : "" } ], "container-title" : "Human Brain Mapping", "id" : "ITEM-1", "issue" : "4", "issued" : { "date-parts" : [ [ "2006" ] ] }, "page" : "306-313", "title" : "Ventral-striatal/nucleus-accumbens sensitivity to prediction errors during classification learning", "type" : "article-journal", "volume" : "27" }, "uris" : [ "http://www.mendeley.com/documents/?uuid=b0ba993b-a35d-424b-9b13-4007aced428f" ] } ], "mendeley" : { "formattedCitation" : "(Rodriguez, Aron, &amp; Poldrack, 2006)", "plainTextFormattedCitation" : "(Rodriguez, Aron, &amp; Poldrack, 2006)", "previouslyFormattedCitation" : "(Rodriguez, Aron, &amp; Poldrack, 2006)" }, "properties" : { "noteIndex" : 0 }, "schema" : "https://github.com/citation-style-language/schema/raw/master/csl-citation.json" }</w:instrText>
      </w:r>
      <w:r w:rsidR="00B96660" w:rsidRPr="00990234">
        <w:rPr>
          <w:rFonts w:ascii="Times New Roman" w:hAnsi="Times New Roman" w:cs="Times New Roman"/>
        </w:rPr>
        <w:fldChar w:fldCharType="separate"/>
      </w:r>
      <w:r w:rsidR="00B96660" w:rsidRPr="00990234">
        <w:rPr>
          <w:rFonts w:ascii="Times New Roman" w:hAnsi="Times New Roman" w:cs="Times New Roman"/>
          <w:noProof/>
        </w:rPr>
        <w:t>(Rodriguez, Aron, &amp; Poldrack, 2006)</w:t>
      </w:r>
      <w:r w:rsidR="00B96660" w:rsidRPr="00990234">
        <w:rPr>
          <w:rFonts w:ascii="Times New Roman" w:hAnsi="Times New Roman" w:cs="Times New Roman"/>
        </w:rPr>
        <w:fldChar w:fldCharType="end"/>
      </w:r>
      <w:r w:rsidR="00B96660" w:rsidRPr="00990234">
        <w:rPr>
          <w:rFonts w:ascii="Times New Roman" w:hAnsi="Times New Roman" w:cs="Times New Roman"/>
        </w:rPr>
        <w:t xml:space="preserve">. </w:t>
      </w:r>
      <w:r w:rsidR="00070938" w:rsidRPr="00990234">
        <w:rPr>
          <w:rFonts w:ascii="Times New Roman" w:hAnsi="Times New Roman" w:cs="Times New Roman"/>
        </w:rPr>
        <w:t xml:space="preserve">Because electrophysiological recordings demonstrate that different temporal ranges of the signal express different psychological variables, it is important to </w:t>
      </w:r>
      <w:r w:rsidR="00A04D0D" w:rsidRPr="00990234">
        <w:rPr>
          <w:rFonts w:ascii="Times New Roman" w:hAnsi="Times New Roman" w:cs="Times New Roman"/>
        </w:rPr>
        <w:t>match</w:t>
      </w:r>
      <w:r w:rsidR="00070938" w:rsidRPr="00990234">
        <w:rPr>
          <w:rFonts w:ascii="Times New Roman" w:hAnsi="Times New Roman" w:cs="Times New Roman"/>
        </w:rPr>
        <w:t xml:space="preserve"> outcome modality and utility. </w:t>
      </w:r>
    </w:p>
    <w:p w:rsidR="00A45901" w:rsidRPr="00990234" w:rsidRDefault="002873AA" w:rsidP="00E756E0">
      <w:pPr>
        <w:spacing w:after="0" w:line="480" w:lineRule="auto"/>
        <w:ind w:right="-113" w:firstLine="720"/>
        <w:rPr>
          <w:rFonts w:ascii="Times New Roman" w:hAnsi="Times New Roman" w:cs="Times New Roman"/>
        </w:rPr>
      </w:pPr>
      <w:r w:rsidRPr="00990234">
        <w:rPr>
          <w:rFonts w:ascii="Times New Roman" w:hAnsi="Times New Roman" w:cs="Times New Roman"/>
        </w:rPr>
        <w:t>A functional magnetic resonance imaging</w:t>
      </w:r>
      <w:r w:rsidR="00A45901" w:rsidRPr="00990234">
        <w:rPr>
          <w:rFonts w:ascii="Times New Roman" w:hAnsi="Times New Roman" w:cs="Times New Roman"/>
        </w:rPr>
        <w:t xml:space="preserve"> </w:t>
      </w:r>
      <w:r w:rsidRPr="00990234">
        <w:rPr>
          <w:rFonts w:ascii="Times New Roman" w:hAnsi="Times New Roman" w:cs="Times New Roman"/>
        </w:rPr>
        <w:t>(</w:t>
      </w:r>
      <w:r w:rsidR="00A45901" w:rsidRPr="00990234">
        <w:rPr>
          <w:rFonts w:ascii="Times New Roman" w:hAnsi="Times New Roman" w:cs="Times New Roman"/>
        </w:rPr>
        <w:t>fMRI</w:t>
      </w:r>
      <w:r w:rsidRPr="00990234">
        <w:rPr>
          <w:rFonts w:ascii="Times New Roman" w:hAnsi="Times New Roman" w:cs="Times New Roman"/>
        </w:rPr>
        <w:t>)</w:t>
      </w:r>
      <w:r w:rsidR="00A45901" w:rsidRPr="00990234">
        <w:rPr>
          <w:rFonts w:ascii="Times New Roman" w:hAnsi="Times New Roman" w:cs="Times New Roman"/>
        </w:rPr>
        <w:t xml:space="preserve"> study that </w:t>
      </w:r>
      <w:r w:rsidR="00594FAB" w:rsidRPr="00990234">
        <w:rPr>
          <w:rFonts w:ascii="Times New Roman" w:hAnsi="Times New Roman" w:cs="Times New Roman"/>
        </w:rPr>
        <w:t>addressed the issue of salience and utility with well-matched outcomes, using taste reinforcers,</w:t>
      </w:r>
      <w:r w:rsidR="00A45901" w:rsidRPr="00990234">
        <w:rPr>
          <w:rFonts w:ascii="Times New Roman" w:hAnsi="Times New Roman" w:cs="Times New Roman"/>
        </w:rPr>
        <w:t xml:space="preserve"> observed a salience but not a </w:t>
      </w:r>
      <w:r w:rsidR="003761B4" w:rsidRPr="00990234">
        <w:rPr>
          <w:rFonts w:ascii="Times New Roman" w:hAnsi="Times New Roman" w:cs="Times New Roman"/>
        </w:rPr>
        <w:t xml:space="preserve">utility </w:t>
      </w:r>
      <w:r w:rsidR="00A45901" w:rsidRPr="00990234">
        <w:rPr>
          <w:rFonts w:ascii="Times New Roman" w:hAnsi="Times New Roman" w:cs="Times New Roman"/>
        </w:rPr>
        <w:t xml:space="preserve">prediction error response </w:t>
      </w:r>
      <w:r w:rsidR="00A45901" w:rsidRPr="00990234">
        <w:rPr>
          <w:rFonts w:ascii="Times New Roman" w:hAnsi="Times New Roman" w:cs="Times New Roman"/>
        </w:rPr>
        <w:fldChar w:fldCharType="begin" w:fldLock="1"/>
      </w:r>
      <w:r w:rsidR="00A45901" w:rsidRPr="00990234">
        <w:rPr>
          <w:rFonts w:ascii="Times New Roman" w:hAnsi="Times New Roman" w:cs="Times New Roman"/>
        </w:rPr>
        <w:instrText>ADDIN CSL_CITATION { "citationItems" : [ { "id" : "ITEM-1", "itemData" : { "DOI" : "10.1093/cercor/bhs037", "ISBN" : "1460-2199 (Electronic)\\r1047-3211 (Linking)", "ISSN" : "10473211", "PMID" : "22368086", "abstract" : "Learning to predict rewarding and aversive outcomes is based on the comparison between predicted and actual outcomes (prediction error: PE). Recent electrophysiological studies reported that during a Pavlovian procedure some dopamine neurons code a classical PE signal while a larger population of dopaminergic neurons reflect a \"salient\" prediction error (SPE) signal, being excited both by unpredictable aversive events and by rewards. Yet, it is still unclear whether specific human brain structures receiving afferents from dopaminergic neurons code a SPE and whether this signal depends upon reinforcer type. Here, we used a model-based functional magnetic resonance imaging approach implementing a reinforcement learning model to compute the PE while subjects underwent a Pavlovian conditioning procedure with 2 types of rewards (pleasant juice and monetary gain) and 2 types of punishments (aversive juice and aversive picture). The results revealed that activity of a brain network composed of the striatum, anterior insula, and anterior cingulate cortex covaried with a SPE for appetitive and aversive juice. Moreover, amygdala activity correlated with a SPE for these 2 reinforcers and for aversive pictures. These results provide insights into the neurobiological mechanisms underlying the ability to learn stimuli-rewards and stimuli-punishments contingencies, by demonstrating that the network reflecting the SPE depends upon reinforcement's type.", "author" : [ { "dropping-particle" : "", "family" : "Metereau", "given" : "Elise", "non-dropping-particle" : "", "parse-names" : false, "suffix" : "" }, { "dropping-particle" : "", "family" : "Dreher", "given" : "Jean Claude", "non-dropping-particle" : "", "parse-names" : false, "suffix" : "" } ], "container-title" : "Cerebral Cortex", "id" : "ITEM-1", "issue" : "2", "issued" : { "date-parts" : [ [ "2013" ] ] }, "page" : "477-487", "title" : "Cerebral correlates of salient prediction error for different rewards and punishments", "type" : "article-journal", "volume" : "23" }, "uris" : [ "http://www.mendeley.com/documents/?uuid=8f7c5367-85c6-4a0b-9a46-53e9e41bc84a" ] } ], "mendeley" : { "formattedCitation" : "(Metereau &amp; Dreher, 2013)", "plainTextFormattedCitation" : "(Metereau &amp; Dreher, 2013)", "previouslyFormattedCitation" : "(Metereau &amp; Dreher, 2013)" }, "properties" : { "noteIndex" : 0 }, "schema" : "https://github.com/citation-style-language/schema/raw/master/csl-citation.json" }</w:instrText>
      </w:r>
      <w:r w:rsidR="00A45901" w:rsidRPr="00990234">
        <w:rPr>
          <w:rFonts w:ascii="Times New Roman" w:hAnsi="Times New Roman" w:cs="Times New Roman"/>
        </w:rPr>
        <w:fldChar w:fldCharType="separate"/>
      </w:r>
      <w:r w:rsidR="00A45901" w:rsidRPr="00990234">
        <w:rPr>
          <w:rFonts w:ascii="Times New Roman" w:hAnsi="Times New Roman" w:cs="Times New Roman"/>
          <w:noProof/>
        </w:rPr>
        <w:t>(Metereau &amp; Dreher, 2013)</w:t>
      </w:r>
      <w:r w:rsidR="00A45901" w:rsidRPr="00990234">
        <w:rPr>
          <w:rFonts w:ascii="Times New Roman" w:hAnsi="Times New Roman" w:cs="Times New Roman"/>
        </w:rPr>
        <w:fldChar w:fldCharType="end"/>
      </w:r>
      <w:r w:rsidR="00A45901" w:rsidRPr="00990234">
        <w:rPr>
          <w:rFonts w:ascii="Times New Roman" w:hAnsi="Times New Roman" w:cs="Times New Roman"/>
        </w:rPr>
        <w:t xml:space="preserve">, in accordance with other fMRI studies that examined this distinction with other outcomes </w:t>
      </w:r>
      <w:r w:rsidR="00A45901" w:rsidRPr="00990234">
        <w:rPr>
          <w:rFonts w:ascii="Times New Roman" w:hAnsi="Times New Roman" w:cs="Times New Roman"/>
        </w:rPr>
        <w:fldChar w:fldCharType="begin" w:fldLock="1"/>
      </w:r>
      <w:r w:rsidR="00A45901" w:rsidRPr="00990234">
        <w:rPr>
          <w:rFonts w:ascii="Times New Roman" w:hAnsi="Times New Roman" w:cs="Times New Roman"/>
        </w:rPr>
        <w:instrText>ADDIN CSL_CITATION { "citationItems" : [ { "id" : "ITEM-1", "itemData" : { "DOI" : "10.1038/srep34032", "ISSN" : "2045-2322", "author" : [ { "dropping-particle" : "", "family" : "Gu", "given" : "Yan", "non-dropping-particle" : "", "parse-names" : false, "suffix" : "" }, { "dropping-particle" : "", "family" : "Hu", "given" : "Xueping", "non-dropping-particle" : "", "parse-names" : false, "suffix" : "" }, { "dropping-particle" : "", "family" : "Pan", "given" : "Weigang", "non-dropping-particle" : "", "parse-names" : false, "suffix" : "" }, { "dropping-particle" : "", "family" : "Li", "given" : "Yiyuan", "non-dropping-particle" : "", "parse-names" : false, "suffix" : "" }, { "dropping-particle" : "", "family" : "Yang", "given" : "Chun", "non-dropping-particle" : "", "parse-names" : false, "suffix" : "" }, { "dropping-particle" : "", "family" : "Chen", "given" : "Antao", "non-dropping-particle" : "", "parse-names" : false, "suffix" : "" } ], "container-title" : "NeuroImage", "id" : "ITEM-1", "issue" : "October", "issued" : { "date-parts" : [ [ "2016" ] ] }, "page" : "1-11", "publisher" : "Nature Publishing Group", "title" : "The Neural Activities Underlying Feedback Express Salience Prediction Errors for Appetitive and Aversive Stimuli", "type" : "article-journal" }, "uris" : [ "http://www.mendeley.com/documents/?uuid=d82b67a5-a93c-4769-be60-c04a91587e3f" ] }, { "id" : "ITEM-2", "itemData" : { "ISBN" : "1053-8119", "author" : [ { "dropping-particle" : "", "family" : "Hauser", "given" : "Tobias U", "non-dropping-particle" : "", "parse-names" : false, "suffix" : "" }, { "dropping-particle" : "", "family" : "Iannaccone", "given" : "Reto", "non-dropping-particle" : "", "parse-names" : false, "suffix" : "" }, { "dropping-particle" : "", "family" : "St\u00e4mpfli", "given" : "Philipp", "non-dropping-particle" : "", "parse-names" : false, "suffix" : "" }, { "dropping-particle" : "", "family" : "Drechsler", "given" : "Renate", "non-dropping-particle" : "", "parse-names" : false, "suffix" : "" }, { "dropping-particle" : "", "family" : "Brandeis", "given" : "Daniel", "non-dropping-particle" : "", "parse-names" : false, "suffix" : "" }, { "dropping-particle" : "", "family" : "Walitza", "given" : "Susanne", "non-dropping-particle" : "", "parse-names" : false, "suffix" : "" }, { "dropping-particle" : "", "family" : "Brem", "given" : "Silvia", "non-dropping-particle" : "", "parse-names" : false, "suffix" : "" } ], "container-title" : "NeuroImage", "id" : "ITEM-2", "issued" : { "date-parts" : [ [ "2014" ] ] }, "note" : "fmri-eeg showed a cluster within the dacc and additional activations of the salience network, and showed only surprise signals to modulate FRN amplitude. they also used DCM and showed surprise signals are directly projected to the source region of the frn - striatum, vmPFC, amygdala, dlpPFC.", "page" : "159-168", "title" : "The feedback-related negativity (FRN) revisited: New insights into the localization, meaning and network organization", "type" : "article-journal", "volume" : "84" }, "uris" : [ "http://www.mendeley.com/documents/?uuid=bda5b7f5-f2a2-4b6b-a014-9254615e974a" ] } ], "mendeley" : { "formattedCitation" : "(Gu et al., 2016; Hauser et al., 2014)", "plainTextFormattedCitation" : "(Gu et al., 2016; Hauser et al., 2014)", "previouslyFormattedCitation" : "(Gu et al., 2016; Hauser et al., 2014)" }, "properties" : { "noteIndex" : 0 }, "schema" : "https://github.com/citation-style-language/schema/raw/master/csl-citation.json" }</w:instrText>
      </w:r>
      <w:r w:rsidR="00A45901" w:rsidRPr="00990234">
        <w:rPr>
          <w:rFonts w:ascii="Times New Roman" w:hAnsi="Times New Roman" w:cs="Times New Roman"/>
        </w:rPr>
        <w:fldChar w:fldCharType="separate"/>
      </w:r>
      <w:r w:rsidR="00A45901" w:rsidRPr="00990234">
        <w:rPr>
          <w:rFonts w:ascii="Times New Roman" w:hAnsi="Times New Roman" w:cs="Times New Roman"/>
          <w:noProof/>
        </w:rPr>
        <w:t>(Gu et al., 2016; Hauser et al., 2014)</w:t>
      </w:r>
      <w:r w:rsidR="00A45901" w:rsidRPr="00990234">
        <w:rPr>
          <w:rFonts w:ascii="Times New Roman" w:hAnsi="Times New Roman" w:cs="Times New Roman"/>
        </w:rPr>
        <w:fldChar w:fldCharType="end"/>
      </w:r>
      <w:r w:rsidR="008D01F8" w:rsidRPr="00990234">
        <w:rPr>
          <w:rFonts w:ascii="Times New Roman" w:hAnsi="Times New Roman" w:cs="Times New Roman"/>
        </w:rPr>
        <w:t>.</w:t>
      </w:r>
      <w:r w:rsidR="00F42B95" w:rsidRPr="00990234">
        <w:rPr>
          <w:rFonts w:ascii="Times New Roman" w:hAnsi="Times New Roman" w:cs="Times New Roman"/>
        </w:rPr>
        <w:t xml:space="preserve"> </w:t>
      </w:r>
      <w:r w:rsidR="00F36C07" w:rsidRPr="00990234">
        <w:rPr>
          <w:rFonts w:ascii="Times New Roman" w:hAnsi="Times New Roman" w:cs="Times New Roman"/>
        </w:rPr>
        <w:t xml:space="preserve">However, </w:t>
      </w:r>
      <w:r w:rsidR="00594FAB" w:rsidRPr="00990234">
        <w:rPr>
          <w:rFonts w:ascii="Times New Roman" w:hAnsi="Times New Roman" w:cs="Times New Roman"/>
        </w:rPr>
        <w:t xml:space="preserve">the recent realisation that differences between the dopaminergic signature of utility </w:t>
      </w:r>
      <w:r w:rsidR="00070938" w:rsidRPr="00990234">
        <w:rPr>
          <w:rFonts w:ascii="Times New Roman" w:hAnsi="Times New Roman" w:cs="Times New Roman"/>
        </w:rPr>
        <w:t xml:space="preserve">prediction error </w:t>
      </w:r>
      <w:r w:rsidR="00594FAB" w:rsidRPr="00990234">
        <w:rPr>
          <w:rFonts w:ascii="Times New Roman" w:hAnsi="Times New Roman" w:cs="Times New Roman"/>
        </w:rPr>
        <w:t xml:space="preserve">and salience can be discerned in different temporal ranges of the signal </w:t>
      </w:r>
      <w:r w:rsidR="000E6EA9" w:rsidRPr="00990234">
        <w:rPr>
          <w:rFonts w:ascii="Times New Roman" w:hAnsi="Times New Roman" w:cs="Times New Roman"/>
        </w:rPr>
        <w:fldChar w:fldCharType="begin" w:fldLock="1"/>
      </w:r>
      <w:r w:rsidR="00CA58DD" w:rsidRPr="00990234">
        <w:rPr>
          <w:rFonts w:ascii="Times New Roman" w:hAnsi="Times New Roman" w:cs="Times New Roman"/>
        </w:rPr>
        <w:instrText>ADDIN CSL_CITATION { "citationItems" : [ { "id" : "ITEM-1", "itemData" : { "DOI" : "10.1038/nrn.2015.26", "ISSN" : "1471-003X", "PMID" : "26865020", "author" : [ { "dropping-particle" : "", "family" : "Schultz", "given" : "Wolfram", "non-dropping-particle" : "", "parse-names" : false, "suffix" : "" } ], "container-title" : "Nature Publishing Group", "id" : "ITEM-1", "issue" : "3", "issued" : { "date-parts" : [ [ "2016" ] ] }, "page" : "183-195", "publisher" : "Nature Publishing Group", "title" : "Dopamine reward prediction- error signalling: a two-component response", "type" : "article-journal", "volume" : "17" }, "uris" : [ "http://www.mendeley.com/documents/?uuid=3f2acb5d-c4fc-429f-9cbe-0a4d399b2f8d" ] } ], "mendeley" : { "formattedCitation" : "(Wolfram Schultz, 2016)", "manualFormatting" : "(Schultz, 2016)", "plainTextFormattedCitation" : "(Wolfram Schultz, 2016)", "previouslyFormattedCitation" : "(Wolfram Schultz, 2016)" }, "properties" : { "noteIndex" : 0 }, "schema" : "https://github.com/citation-style-language/schema/raw/master/csl-citation.json" }</w:instrText>
      </w:r>
      <w:r w:rsidR="000E6EA9" w:rsidRPr="00990234">
        <w:rPr>
          <w:rFonts w:ascii="Times New Roman" w:hAnsi="Times New Roman" w:cs="Times New Roman"/>
        </w:rPr>
        <w:fldChar w:fldCharType="separate"/>
      </w:r>
      <w:r w:rsidR="000E6EA9" w:rsidRPr="00990234">
        <w:rPr>
          <w:rFonts w:ascii="Times New Roman" w:hAnsi="Times New Roman" w:cs="Times New Roman"/>
          <w:noProof/>
        </w:rPr>
        <w:t>(Schultz, 2016)</w:t>
      </w:r>
      <w:r w:rsidR="000E6EA9" w:rsidRPr="00990234">
        <w:rPr>
          <w:rFonts w:ascii="Times New Roman" w:hAnsi="Times New Roman" w:cs="Times New Roman"/>
        </w:rPr>
        <w:fldChar w:fldCharType="end"/>
      </w:r>
      <w:r w:rsidR="000E6EA9" w:rsidRPr="00990234">
        <w:rPr>
          <w:rFonts w:ascii="Times New Roman" w:hAnsi="Times New Roman" w:cs="Times New Roman"/>
        </w:rPr>
        <w:t xml:space="preserve"> </w:t>
      </w:r>
      <w:r w:rsidR="00594FAB" w:rsidRPr="00990234">
        <w:rPr>
          <w:rFonts w:ascii="Times New Roman" w:hAnsi="Times New Roman" w:cs="Times New Roman"/>
        </w:rPr>
        <w:t xml:space="preserve">means that unique utility responses in those studies were perhaps lost to temporal smearing in fMRI work. Here we used EEG, which has greater temporal resolution, to test whether any ERP could be detected which expresses utility prediction error rather than salience across </w:t>
      </w:r>
      <w:r w:rsidR="00715741" w:rsidRPr="00990234">
        <w:rPr>
          <w:rFonts w:ascii="Times New Roman" w:hAnsi="Times New Roman" w:cs="Times New Roman"/>
        </w:rPr>
        <w:t xml:space="preserve">well-matched </w:t>
      </w:r>
      <w:r w:rsidR="00594FAB" w:rsidRPr="00990234">
        <w:rPr>
          <w:rFonts w:ascii="Times New Roman" w:hAnsi="Times New Roman" w:cs="Times New Roman"/>
        </w:rPr>
        <w:t xml:space="preserve">appetitive and aversive outcomes. </w:t>
      </w:r>
    </w:p>
    <w:p w:rsidR="00A45901" w:rsidRPr="00990234" w:rsidRDefault="00594FAB" w:rsidP="00F372FF">
      <w:pPr>
        <w:spacing w:line="480" w:lineRule="auto"/>
        <w:ind w:firstLine="720"/>
        <w:rPr>
          <w:rFonts w:ascii="Times New Roman" w:hAnsi="Times New Roman" w:cs="Times New Roman"/>
        </w:rPr>
      </w:pPr>
      <w:r w:rsidRPr="00990234">
        <w:rPr>
          <w:rFonts w:ascii="Times New Roman" w:hAnsi="Times New Roman" w:cs="Times New Roman"/>
        </w:rPr>
        <w:t>W</w:t>
      </w:r>
      <w:r w:rsidR="00A45901" w:rsidRPr="00990234">
        <w:rPr>
          <w:rFonts w:ascii="Times New Roman" w:hAnsi="Times New Roman" w:cs="Times New Roman"/>
        </w:rPr>
        <w:t xml:space="preserve">e used taste reinforcers, which closely resemble reinforcers used in the animal </w:t>
      </w:r>
      <w:r w:rsidR="00A04D0D" w:rsidRPr="00990234">
        <w:rPr>
          <w:rFonts w:ascii="Times New Roman" w:hAnsi="Times New Roman" w:cs="Times New Roman"/>
        </w:rPr>
        <w:t>models</w:t>
      </w:r>
      <w:r w:rsidR="00A45901" w:rsidRPr="00990234">
        <w:rPr>
          <w:rFonts w:ascii="Times New Roman" w:hAnsi="Times New Roman" w:cs="Times New Roman"/>
        </w:rPr>
        <w:t xml:space="preserve"> that the associative learning literature uses as its key interpretative framework. </w:t>
      </w:r>
      <w:r w:rsidRPr="00990234">
        <w:rPr>
          <w:rFonts w:ascii="Times New Roman" w:hAnsi="Times New Roman" w:cs="Times New Roman"/>
        </w:rPr>
        <w:t>Indeed, w</w:t>
      </w:r>
      <w:r w:rsidR="00A45901" w:rsidRPr="00990234">
        <w:rPr>
          <w:rFonts w:ascii="Times New Roman" w:hAnsi="Times New Roman" w:cs="Times New Roman"/>
        </w:rPr>
        <w:t xml:space="preserve">hile previous research  has demonstrated the feasibility of using taste in appetitive conditioning in EEG </w:t>
      </w:r>
      <w:r w:rsidR="00A45901" w:rsidRPr="00990234">
        <w:rPr>
          <w:rFonts w:ascii="Times New Roman" w:hAnsi="Times New Roman" w:cs="Times New Roman"/>
        </w:rPr>
        <w:fldChar w:fldCharType="begin" w:fldLock="1"/>
      </w:r>
      <w:r w:rsidR="00A45901" w:rsidRPr="00990234">
        <w:rPr>
          <w:rFonts w:ascii="Times New Roman" w:hAnsi="Times New Roman" w:cs="Times New Roman"/>
        </w:rPr>
        <w:instrText>ADDIN CSL_CITATION { "citationItems" : [ { "id" : "ITEM-1", "itemData" : { "DOI" : "10.1016/j.biopsycho.2010.12.008", "ISBN" : "1873-6246 (Electronic)\\n0301-0511 (Linking)", "ISSN" : "03010511", "PMID" : "21187120", "abstract" : "The present study examines two novel aspects of appetitive processing and conditioning: the electrophysiological response to (a) the appetitive taste of a sweet fluid and (b) appetitively/taste conditioned visual stimuli. Event-related potentials (ERPs) were recorded from 32 subjects while they performed a taste conditioning task, in which two symbols were paired with a sweet or a neutral fluid. The results show a clear P1/N1/P2 complex, and a late positive potential (P3) with maxima at right fronto-central electrode sites, in response to the taste stimuli. Of these components particularly the P3 showed robust differences between the sweet and neutral taste. In addition, the electrophysiological response to the taste conditioned stimuli (CS), also showed the expected differences for both P2 and P3 at frontocentral electrodes. The present data demonstrate that the employed paradigm is a useful methodology to study the electrophysiological responses to unconditioned appetitive stimuli. Since appetitive conditioning is assumed to be disturbed in many psychopathological conditions, such as substance dependence, depression and eating disorders, this paradigm could be employed to get more insight in these conditions in humans. ?? 2010 Elsevier B.V.", "author" : [ { "dropping-particle" : "", "family" : "Franken", "given" : "Ingmar H a", "non-dropping-particle" : "", "parse-names" : false, "suffix" : "" }, { "dropping-particle" : "", "family" : "Huijding", "given" : "Jorg", "non-dropping-particle" : "", "parse-names" : false, "suffix" : "" }, { "dropping-particle" : "", "family" : "Nijs", "given" : "Ilse M T", "non-dropping-particle" : "", "parse-names" : false, "suffix" : "" }, { "dropping-particle" : "", "family" : "Strien", "given" : "Jan W.", "non-dropping-particle" : "van", "parse-names" : false, "suffix" : "" } ], "container-title" : "Biological Psychology", "id" : "ITEM-1", "issue" : "3", "issued" : { "date-parts" : [ [ "2011" ] ] }, "page" : "273-278", "publisher" : "Elsevier B.V.", "title" : "Electrophysiology of appetitive taste and appetitive taste conditioning in humans", "type" : "article-journal", "volume" : "86" }, "uris" : [ "http://www.mendeley.com/documents/?uuid=218c1af6-bab3-41d6-86b4-c4d0177b5a2c" ] } ], "mendeley" : { "formattedCitation" : "(Franken, Huijding, Nijs, &amp; van Strien, 2011)", "plainTextFormattedCitation" : "(Franken, Huijding, Nijs, &amp; van Strien, 2011)", "previouslyFormattedCitation" : "(Franken, Huijding, Nijs, &amp; van Strien, 2011)" }, "properties" : { "noteIndex" : 0 }, "schema" : "https://github.com/citation-style-language/schema/raw/master/csl-citation.json" }</w:instrText>
      </w:r>
      <w:r w:rsidR="00A45901" w:rsidRPr="00990234">
        <w:rPr>
          <w:rFonts w:ascii="Times New Roman" w:hAnsi="Times New Roman" w:cs="Times New Roman"/>
        </w:rPr>
        <w:fldChar w:fldCharType="separate"/>
      </w:r>
      <w:r w:rsidR="00A45901" w:rsidRPr="00990234">
        <w:rPr>
          <w:rFonts w:ascii="Times New Roman" w:hAnsi="Times New Roman" w:cs="Times New Roman"/>
          <w:noProof/>
        </w:rPr>
        <w:t>(Franken, Huijding, Nijs, &amp; van Strien, 2011)</w:t>
      </w:r>
      <w:r w:rsidR="00A45901" w:rsidRPr="00990234">
        <w:rPr>
          <w:rFonts w:ascii="Times New Roman" w:hAnsi="Times New Roman" w:cs="Times New Roman"/>
        </w:rPr>
        <w:fldChar w:fldCharType="end"/>
      </w:r>
      <w:r w:rsidR="00A45901" w:rsidRPr="00990234">
        <w:rPr>
          <w:rFonts w:ascii="Times New Roman" w:hAnsi="Times New Roman" w:cs="Times New Roman"/>
        </w:rPr>
        <w:t>, ours is the first ERP study of taste prediction error. Importantly, we used hedonically equidistant sweet and bitter tastes</w:t>
      </w:r>
      <w:r w:rsidR="007F17F2" w:rsidRPr="00990234">
        <w:rPr>
          <w:rFonts w:ascii="Times New Roman" w:hAnsi="Times New Roman" w:cs="Times New Roman"/>
        </w:rPr>
        <w:t>, which</w:t>
      </w:r>
      <w:r w:rsidR="0013560A" w:rsidRPr="00990234">
        <w:rPr>
          <w:rFonts w:ascii="Times New Roman" w:hAnsi="Times New Roman" w:cs="Times New Roman"/>
        </w:rPr>
        <w:t xml:space="preserve"> circumvents the confound of utility and </w:t>
      </w:r>
      <w:r w:rsidR="00715741" w:rsidRPr="00990234">
        <w:rPr>
          <w:rFonts w:ascii="Times New Roman" w:hAnsi="Times New Roman" w:cs="Times New Roman"/>
        </w:rPr>
        <w:t xml:space="preserve">motivational </w:t>
      </w:r>
      <w:r w:rsidR="0013560A" w:rsidRPr="00990234">
        <w:rPr>
          <w:rFonts w:ascii="Times New Roman" w:hAnsi="Times New Roman" w:cs="Times New Roman"/>
        </w:rPr>
        <w:t>salience present in traditional FRN studies</w:t>
      </w:r>
      <w:r w:rsidR="00A45901" w:rsidRPr="00990234">
        <w:rPr>
          <w:rFonts w:ascii="Times New Roman" w:hAnsi="Times New Roman" w:cs="Times New Roman"/>
        </w:rPr>
        <w:t xml:space="preserve"> </w:t>
      </w:r>
      <w:r w:rsidR="0013560A" w:rsidRPr="00990234">
        <w:rPr>
          <w:rFonts w:ascii="Times New Roman" w:hAnsi="Times New Roman" w:cs="Times New Roman"/>
        </w:rPr>
        <w:t xml:space="preserve">and </w:t>
      </w:r>
      <w:r w:rsidR="00A45901" w:rsidRPr="00990234">
        <w:rPr>
          <w:rFonts w:ascii="Times New Roman" w:hAnsi="Times New Roman" w:cs="Times New Roman"/>
        </w:rPr>
        <w:t>allow</w:t>
      </w:r>
      <w:r w:rsidR="0013560A" w:rsidRPr="00990234">
        <w:rPr>
          <w:rFonts w:ascii="Times New Roman" w:hAnsi="Times New Roman" w:cs="Times New Roman"/>
        </w:rPr>
        <w:t>s</w:t>
      </w:r>
      <w:r w:rsidR="00A45901" w:rsidRPr="00990234">
        <w:rPr>
          <w:rFonts w:ascii="Times New Roman" w:hAnsi="Times New Roman" w:cs="Times New Roman"/>
        </w:rPr>
        <w:t xml:space="preserve"> a direct comparison of the signal </w:t>
      </w:r>
      <w:r w:rsidR="00A45901" w:rsidRPr="00990234">
        <w:rPr>
          <w:rFonts w:ascii="Times New Roman" w:hAnsi="Times New Roman" w:cs="Times New Roman"/>
        </w:rPr>
        <w:lastRenderedPageBreak/>
        <w:t xml:space="preserve">in the </w:t>
      </w:r>
      <w:r w:rsidR="00766161" w:rsidRPr="00990234">
        <w:rPr>
          <w:rFonts w:ascii="Times New Roman" w:hAnsi="Times New Roman" w:cs="Times New Roman"/>
        </w:rPr>
        <w:t xml:space="preserve">appetitive and aversive </w:t>
      </w:r>
      <w:r w:rsidR="00A45901" w:rsidRPr="00990234">
        <w:rPr>
          <w:rFonts w:ascii="Times New Roman" w:hAnsi="Times New Roman" w:cs="Times New Roman"/>
        </w:rPr>
        <w:t>condition</w:t>
      </w:r>
      <w:r w:rsidR="00766161" w:rsidRPr="00990234">
        <w:rPr>
          <w:rFonts w:ascii="Times New Roman" w:hAnsi="Times New Roman" w:cs="Times New Roman"/>
        </w:rPr>
        <w:t>s</w:t>
      </w:r>
      <w:r w:rsidR="00A45901" w:rsidRPr="00990234">
        <w:rPr>
          <w:rFonts w:ascii="Times New Roman" w:hAnsi="Times New Roman" w:cs="Times New Roman"/>
        </w:rPr>
        <w:t xml:space="preserve">, to </w:t>
      </w:r>
      <w:r w:rsidR="00766161" w:rsidRPr="00990234">
        <w:rPr>
          <w:rFonts w:ascii="Times New Roman" w:hAnsi="Times New Roman" w:cs="Times New Roman"/>
        </w:rPr>
        <w:t xml:space="preserve">distinguish between </w:t>
      </w:r>
      <w:r w:rsidR="00A45901" w:rsidRPr="00990234">
        <w:rPr>
          <w:rFonts w:ascii="Times New Roman" w:hAnsi="Times New Roman" w:cs="Times New Roman"/>
        </w:rPr>
        <w:t xml:space="preserve">utility </w:t>
      </w:r>
      <w:r w:rsidR="00766161" w:rsidRPr="00990234">
        <w:rPr>
          <w:rFonts w:ascii="Times New Roman" w:hAnsi="Times New Roman" w:cs="Times New Roman"/>
        </w:rPr>
        <w:t>and</w:t>
      </w:r>
      <w:r w:rsidR="00A45901" w:rsidRPr="00990234">
        <w:rPr>
          <w:rFonts w:ascii="Times New Roman" w:hAnsi="Times New Roman" w:cs="Times New Roman"/>
        </w:rPr>
        <w:t xml:space="preserve"> salience response. </w:t>
      </w:r>
      <w:r w:rsidR="00D1529A" w:rsidRPr="00990234">
        <w:rPr>
          <w:rFonts w:ascii="Times New Roman" w:hAnsi="Times New Roman" w:cs="Times New Roman"/>
        </w:rPr>
        <w:t xml:space="preserve">We observed an FRN for appetitive outcomes, but a reverse FRN for aversive outcomes. Further </w:t>
      </w:r>
      <w:r w:rsidR="00A45901" w:rsidRPr="00990234">
        <w:rPr>
          <w:rFonts w:ascii="Times New Roman" w:hAnsi="Times New Roman" w:cs="Times New Roman"/>
        </w:rPr>
        <w:t xml:space="preserve">analysis </w:t>
      </w:r>
      <w:r w:rsidR="00B8353F" w:rsidRPr="00990234">
        <w:rPr>
          <w:rFonts w:ascii="Times New Roman" w:hAnsi="Times New Roman" w:cs="Times New Roman"/>
        </w:rPr>
        <w:t>exploited</w:t>
      </w:r>
      <w:r w:rsidR="00A45901" w:rsidRPr="00990234">
        <w:rPr>
          <w:rFonts w:ascii="Times New Roman" w:hAnsi="Times New Roman" w:cs="Times New Roman"/>
        </w:rPr>
        <w:t xml:space="preserve"> the logic of the </w:t>
      </w:r>
      <w:r w:rsidR="00C0725D" w:rsidRPr="00990234">
        <w:rPr>
          <w:rFonts w:ascii="Times New Roman" w:hAnsi="Times New Roman" w:cs="Times New Roman"/>
        </w:rPr>
        <w:t>a</w:t>
      </w:r>
      <w:r w:rsidR="00A45901" w:rsidRPr="00990234">
        <w:rPr>
          <w:rFonts w:ascii="Times New Roman" w:hAnsi="Times New Roman" w:cs="Times New Roman"/>
        </w:rPr>
        <w:t xml:space="preserve">xiomatic </w:t>
      </w:r>
      <w:r w:rsidR="00C0725D" w:rsidRPr="00990234">
        <w:rPr>
          <w:rFonts w:ascii="Times New Roman" w:hAnsi="Times New Roman" w:cs="Times New Roman"/>
        </w:rPr>
        <w:t>m</w:t>
      </w:r>
      <w:r w:rsidR="00A45901" w:rsidRPr="00990234">
        <w:rPr>
          <w:rFonts w:ascii="Times New Roman" w:hAnsi="Times New Roman" w:cs="Times New Roman"/>
        </w:rPr>
        <w:t>odel</w:t>
      </w:r>
      <w:r w:rsidR="00983464" w:rsidRPr="00990234">
        <w:rPr>
          <w:rFonts w:ascii="Times New Roman" w:hAnsi="Times New Roman" w:cs="Times New Roman"/>
        </w:rPr>
        <w:t xml:space="preserve"> </w:t>
      </w:r>
      <w:r w:rsidR="00A45901" w:rsidRPr="00990234">
        <w:rPr>
          <w:rFonts w:ascii="Times New Roman" w:hAnsi="Times New Roman" w:cs="Times New Roman"/>
        </w:rPr>
        <w:t xml:space="preserve">of prediction error </w:t>
      </w:r>
      <w:r w:rsidR="0075442A" w:rsidRPr="00990234">
        <w:rPr>
          <w:rFonts w:ascii="Times New Roman" w:hAnsi="Times New Roman" w:cs="Times New Roman"/>
        </w:rPr>
        <w:t xml:space="preserve">(described under ‘Experimental Design’ below) </w:t>
      </w:r>
      <w:r w:rsidR="00A45901" w:rsidRPr="00990234">
        <w:rPr>
          <w:rFonts w:ascii="Times New Roman" w:hAnsi="Times New Roman" w:cs="Times New Roman"/>
        </w:rPr>
        <w:t xml:space="preserve">to assess whether signal codes salience or </w:t>
      </w:r>
      <w:r w:rsidR="003761B4" w:rsidRPr="00990234">
        <w:rPr>
          <w:rFonts w:ascii="Times New Roman" w:hAnsi="Times New Roman" w:cs="Times New Roman"/>
        </w:rPr>
        <w:t xml:space="preserve">utility </w:t>
      </w:r>
      <w:r w:rsidR="00A45901" w:rsidRPr="00990234">
        <w:rPr>
          <w:rFonts w:ascii="Times New Roman" w:hAnsi="Times New Roman" w:cs="Times New Roman"/>
        </w:rPr>
        <w:t xml:space="preserve">prediction error </w:t>
      </w:r>
      <w:r w:rsidR="00A45901" w:rsidRPr="00990234">
        <w:rPr>
          <w:rFonts w:ascii="Times New Roman" w:hAnsi="Times New Roman" w:cs="Times New Roman"/>
        </w:rPr>
        <w:fldChar w:fldCharType="begin" w:fldLock="1"/>
      </w:r>
      <w:r w:rsidR="00E730F1" w:rsidRPr="00990234">
        <w:rPr>
          <w:rFonts w:ascii="Times New Roman" w:hAnsi="Times New Roman" w:cs="Times New Roman"/>
        </w:rPr>
        <w:instrText>ADDIN CSL_CITATION { "citationItems" : [ { "id" : "ITEM-1", "itemData" : { "DOI" : "10.1523/JNEUROSCI.1747-10.2010", "ISBN" : "0270-6474, 1529-2401", "ISSN" : "0270-6474", "PMID" : "20926678", "abstract" : "Neuroimaging studies typically identify neural activity correlated with the predictions of highly parameterized models, like the many reward prediction error (RPE) models used to study reinforcement learning. Identified brain areas might encode RPEs or, alternatively, only have activity correlated with RPE model predictions. Here, we use an alternate axiomatic approach rooted in economic theory to formally test the entire class of RPE models on neural data. We show that measurements of human neural activity from the striatum, medial prefrontal cortex, amygdala, and posterior cingulate cortex satisfy necessary and sufficient conditions for the entire class of RPE models. However, activity measured from the anterior insula falsifies the axiomatic model, and therefore no RPE model can account for measured activity. Further analysis suggests the anterior insula might instead encode something related to the salience of an outcome. As cognitive neuroscience matures and models proliferate, formal approaches of this kind that assess entire model classes rather than specific model exemplars may take on increased significance.", "author" : [ { "dropping-particle" : "", "family" : "Rutledge", "given" : "Robb B", "non-dropping-particle" : "", "parse-names" : false, "suffix" : "" }, { "dropping-particle" : "", "family" : "Dean", "given" : "Mark", "non-dropping-particle" : "", "parse-names" : false, "suffix" : "" }, { "dropping-particle" : "", "family" : "Caplin", "given" : "Andrew", "non-dropping-particle" : "", "parse-names" : false, "suffix" : "" }, { "dropping-particle" : "", "family" : "Glimcher", "given" : "Paul W", "non-dropping-particle" : "", "parse-names" : false, "suffix" : "" } ], "container-title" : "The Journal of neuroscience : the official journal of the Society for Neuroscience", "id" : "ITEM-1", "issue" : "40", "issued" : { "date-parts" : [ [ "2010" ] ] }, "note" : "axiom 1", "page" : "13525-13536", "title" : "Testing the reward prediction error hypothesis with an axiomatic model.", "type" : "article-journal", "volume" : "30" }, "uris" : [ "http://www.mendeley.com/documents/?uuid=8b4ea8d9-632e-4597-a0cf-f03a8b18c7f9" ] }, { "id" : "ITEM-2", "itemData" : { "DOI" : "10.1038/nn.3832", "ISBN" : "1546-1726 (Electronic)\\r1097-6256 (Linking)", "ISSN" : "1546-1726", "PMID" : "25282614", "abstract" : "Pain is a primary driver of learning and motivated action. It is also a target of learning, as nociceptive brain responses are shaped by learning processes. We combined an instrumental pain avoidance task with an axiomatic approach to assessing fMRI signals related to prediction errors (PEs), which drive reinforcement-based learning. We found that pain PEs were encoded in the periaqueductal gray (PAG), a structure important for pain control and learning in animal models. Axiomatic tests combined with dynamic causal modeling suggested that ventromedial prefrontal cortex, supported by putamen, provides an expected value-related input to the PAG, which then conveys PE signals to prefrontal regions important for behavioral regulation, including orbitofrontal, anterior mid-cingulate and dorsomedial prefrontal cortices. Thus, pain-related learning involves distinct neural circuitry, with implications for behavior and pain dynamics.", "author" : [ { "dropping-particle" : "", "family" : "Roy", "given" : "Mathieu", "non-dropping-particle" : "", "parse-names" : false, "suffix" : "" }, { "dropping-particle" : "", "family" : "Shohamy", "given" : "Daphna", "non-dropping-particle" : "", "parse-names" : false, "suffix" : "" }, { "dropping-particle" : "", "family" : "Daw", "given" : "Nathaniel", "non-dropping-particle" : "", "parse-names" : false, "suffix" : "" }, { "dropping-particle" : "", "family" : "Jepma", "given" : "Marieke", "non-dropping-particle" : "", "parse-names" : false, "suffix" : "" }, { "dropping-particle" : "", "family" : "Wimmer", "given" : "G Elliott", "non-dropping-particle" : "", "parse-names" : false, "suffix" : "" }, { "dropping-particle" : "", "family" : "Wager", "given" : "Tor D", "non-dropping-particle" : "", "parse-names" : false, "suffix" : "" } ], "container-title" : "Nature neuroscience", "id" : "ITEM-2", "issue" : "11", "issued" : { "date-parts" : [ [ "2014" ] ] }, "page" : "1607-12", "title" : "Representation of aversive prediction errors in the human periaqueductal gray.", "type" : "article-journal", "volume" : "17" }, "uris" : [ "http://www.mendeley.com/documents/?uuid=0d5b01b6-6713-43f8-8501-3f87c072835d" ] } ], "mendeley" : { "formattedCitation" : "(Roy et al., 2014; Rutledge, Dean, Caplin, &amp; Glimcher, 2010)", "plainTextFormattedCitation" : "(Roy et al., 2014; Rutledge, Dean, Caplin, &amp; Glimcher, 2010)", "previouslyFormattedCitation" : "(Roy et al., 2014; Rutledge, Dean, Caplin, &amp; Glimcher, 2010)" }, "properties" : { "noteIndex" : 0 }, "schema" : "https://github.com/citation-style-language/schema/raw/master/csl-citation.json" }</w:instrText>
      </w:r>
      <w:r w:rsidR="00A45901" w:rsidRPr="00990234">
        <w:rPr>
          <w:rFonts w:ascii="Times New Roman" w:hAnsi="Times New Roman" w:cs="Times New Roman"/>
        </w:rPr>
        <w:fldChar w:fldCharType="separate"/>
      </w:r>
      <w:r w:rsidR="00983464" w:rsidRPr="00990234">
        <w:rPr>
          <w:rFonts w:ascii="Times New Roman" w:hAnsi="Times New Roman" w:cs="Times New Roman"/>
          <w:noProof/>
        </w:rPr>
        <w:t>(Roy et al., 2014; Rutledge, Dean, Caplin, &amp; Glimcher, 2010)</w:t>
      </w:r>
      <w:r w:rsidR="00A45901" w:rsidRPr="00990234">
        <w:rPr>
          <w:rFonts w:ascii="Times New Roman" w:hAnsi="Times New Roman" w:cs="Times New Roman"/>
        </w:rPr>
        <w:fldChar w:fldCharType="end"/>
      </w:r>
      <w:r w:rsidR="00A45901" w:rsidRPr="00990234">
        <w:rPr>
          <w:rFonts w:ascii="Times New Roman" w:hAnsi="Times New Roman" w:cs="Times New Roman"/>
        </w:rPr>
        <w:t xml:space="preserve">. </w:t>
      </w:r>
      <w:r w:rsidR="0075442A" w:rsidRPr="00990234">
        <w:rPr>
          <w:rFonts w:ascii="Times New Roman" w:hAnsi="Times New Roman" w:cs="Times New Roman"/>
        </w:rPr>
        <w:t xml:space="preserve">We found </w:t>
      </w:r>
      <w:r w:rsidR="00B8353F" w:rsidRPr="00990234">
        <w:rPr>
          <w:rFonts w:ascii="Times New Roman" w:hAnsi="Times New Roman" w:cs="Times New Roman"/>
        </w:rPr>
        <w:t xml:space="preserve">ERPs </w:t>
      </w:r>
      <w:r w:rsidR="00F372FF" w:rsidRPr="00990234">
        <w:rPr>
          <w:rFonts w:ascii="Times New Roman" w:hAnsi="Times New Roman" w:cs="Times New Roman"/>
        </w:rPr>
        <w:t xml:space="preserve">that </w:t>
      </w:r>
      <w:r w:rsidR="00766161" w:rsidRPr="00990234">
        <w:rPr>
          <w:rFonts w:ascii="Times New Roman" w:hAnsi="Times New Roman" w:cs="Times New Roman"/>
        </w:rPr>
        <w:t xml:space="preserve">expressed salience </w:t>
      </w:r>
      <w:r w:rsidR="00D1529A" w:rsidRPr="00990234">
        <w:rPr>
          <w:rFonts w:ascii="Times New Roman" w:hAnsi="Times New Roman" w:cs="Times New Roman"/>
        </w:rPr>
        <w:t>and</w:t>
      </w:r>
      <w:r w:rsidR="00766161" w:rsidRPr="00990234">
        <w:rPr>
          <w:rFonts w:ascii="Times New Roman" w:hAnsi="Times New Roman" w:cs="Times New Roman"/>
        </w:rPr>
        <w:t xml:space="preserve"> </w:t>
      </w:r>
      <w:r w:rsidR="00A45901" w:rsidRPr="00990234">
        <w:rPr>
          <w:rFonts w:ascii="Times New Roman" w:hAnsi="Times New Roman" w:cs="Times New Roman"/>
        </w:rPr>
        <w:t>an aversive prediction error</w:t>
      </w:r>
      <w:r w:rsidR="00A04D0D" w:rsidRPr="00990234">
        <w:rPr>
          <w:rFonts w:ascii="Times New Roman" w:hAnsi="Times New Roman" w:cs="Times New Roman"/>
        </w:rPr>
        <w:t>;</w:t>
      </w:r>
      <w:r w:rsidR="00A45901" w:rsidRPr="00990234">
        <w:rPr>
          <w:rFonts w:ascii="Times New Roman" w:hAnsi="Times New Roman" w:cs="Times New Roman"/>
        </w:rPr>
        <w:t xml:space="preserve"> </w:t>
      </w:r>
      <w:r w:rsidR="00766161" w:rsidRPr="00990234">
        <w:rPr>
          <w:rFonts w:ascii="Times New Roman" w:hAnsi="Times New Roman" w:cs="Times New Roman"/>
        </w:rPr>
        <w:t xml:space="preserve">we did not observe an ERP expression of utility </w:t>
      </w:r>
      <w:r w:rsidR="00A45901" w:rsidRPr="00990234">
        <w:rPr>
          <w:rFonts w:ascii="Times New Roman" w:hAnsi="Times New Roman" w:cs="Times New Roman"/>
        </w:rPr>
        <w:t xml:space="preserve">prediction error. These results are important because they contradict the dominant theory of the </w:t>
      </w:r>
      <w:r w:rsidR="00BE1C7E" w:rsidRPr="00990234">
        <w:rPr>
          <w:rFonts w:ascii="Times New Roman" w:hAnsi="Times New Roman" w:cs="Times New Roman"/>
        </w:rPr>
        <w:t>FRN</w:t>
      </w:r>
      <w:r w:rsidR="00A45901" w:rsidRPr="00990234">
        <w:rPr>
          <w:rFonts w:ascii="Times New Roman" w:hAnsi="Times New Roman" w:cs="Times New Roman"/>
        </w:rPr>
        <w:t xml:space="preserve"> and reveal the limits in what we can observe on the human scalp. </w:t>
      </w:r>
    </w:p>
    <w:p w:rsidR="00A45901" w:rsidRPr="00990234" w:rsidRDefault="00E732EF" w:rsidP="00EC553A">
      <w:pPr>
        <w:spacing w:after="0" w:line="480" w:lineRule="auto"/>
        <w:ind w:right="-113"/>
        <w:jc w:val="center"/>
        <w:rPr>
          <w:rFonts w:ascii="Times New Roman" w:hAnsi="Times New Roman" w:cs="Times New Roman"/>
          <w:b/>
          <w:sz w:val="28"/>
          <w:szCs w:val="28"/>
          <w:u w:val="single"/>
        </w:rPr>
      </w:pPr>
      <w:r w:rsidRPr="00990234">
        <w:rPr>
          <w:rFonts w:ascii="Times New Roman" w:hAnsi="Times New Roman" w:cs="Times New Roman"/>
          <w:b/>
          <w:sz w:val="28"/>
          <w:szCs w:val="28"/>
          <w:u w:val="single"/>
        </w:rPr>
        <w:t>M</w:t>
      </w:r>
      <w:r w:rsidR="00BC144D" w:rsidRPr="00990234">
        <w:rPr>
          <w:rFonts w:ascii="Times New Roman" w:hAnsi="Times New Roman" w:cs="Times New Roman"/>
          <w:b/>
          <w:sz w:val="28"/>
          <w:szCs w:val="28"/>
          <w:u w:val="single"/>
        </w:rPr>
        <w:t>ethod</w:t>
      </w:r>
    </w:p>
    <w:p w:rsidR="00A45901" w:rsidRPr="00990234" w:rsidRDefault="00A45901" w:rsidP="00E756E0">
      <w:pPr>
        <w:spacing w:after="0" w:line="480" w:lineRule="auto"/>
        <w:ind w:firstLine="720"/>
        <w:rPr>
          <w:rFonts w:ascii="Times New Roman" w:hAnsi="Times New Roman" w:cs="Times New Roman"/>
          <w:b/>
          <w:sz w:val="28"/>
          <w:szCs w:val="28"/>
        </w:rPr>
      </w:pPr>
      <w:r w:rsidRPr="00990234">
        <w:rPr>
          <w:rFonts w:ascii="Times New Roman" w:hAnsi="Times New Roman" w:cs="Times New Roman"/>
          <w:b/>
          <w:sz w:val="28"/>
          <w:szCs w:val="28"/>
        </w:rPr>
        <w:t>Experimental design</w:t>
      </w:r>
    </w:p>
    <w:p w:rsidR="005A7566" w:rsidRPr="00990234" w:rsidRDefault="00A45901" w:rsidP="00AA050F">
      <w:pPr>
        <w:spacing w:line="480" w:lineRule="auto"/>
        <w:ind w:firstLine="720"/>
        <w:rPr>
          <w:rFonts w:ascii="Times New Roman" w:hAnsi="Times New Roman" w:cs="Times New Roman"/>
        </w:rPr>
      </w:pPr>
      <w:r w:rsidRPr="00990234">
        <w:rPr>
          <w:rFonts w:ascii="Times New Roman" w:hAnsi="Times New Roman" w:cs="Times New Roman"/>
        </w:rPr>
        <w:t xml:space="preserve">Axiomatically, </w:t>
      </w:r>
      <w:r w:rsidR="0075442A" w:rsidRPr="00990234">
        <w:rPr>
          <w:rFonts w:ascii="Times New Roman" w:hAnsi="Times New Roman" w:cs="Times New Roman"/>
        </w:rPr>
        <w:t xml:space="preserve">a neurobiological signal of </w:t>
      </w:r>
      <w:r w:rsidR="003761B4" w:rsidRPr="00990234">
        <w:rPr>
          <w:rFonts w:ascii="Times New Roman" w:hAnsi="Times New Roman" w:cs="Times New Roman"/>
          <w:b/>
          <w:bCs/>
        </w:rPr>
        <w:t xml:space="preserve">utility </w:t>
      </w:r>
      <w:r w:rsidRPr="00990234">
        <w:rPr>
          <w:rFonts w:ascii="Times New Roman" w:hAnsi="Times New Roman" w:cs="Times New Roman"/>
          <w:b/>
          <w:bCs/>
        </w:rPr>
        <w:t>prediction error</w:t>
      </w:r>
      <w:r w:rsidRPr="00990234">
        <w:rPr>
          <w:rFonts w:ascii="Times New Roman" w:hAnsi="Times New Roman" w:cs="Times New Roman"/>
        </w:rPr>
        <w:t xml:space="preserve"> </w:t>
      </w:r>
      <w:r w:rsidR="0075442A" w:rsidRPr="00990234">
        <w:rPr>
          <w:rFonts w:ascii="Times New Roman" w:hAnsi="Times New Roman" w:cs="Times New Roman"/>
        </w:rPr>
        <w:t>should be</w:t>
      </w:r>
      <w:r w:rsidRPr="00990234">
        <w:rPr>
          <w:rFonts w:ascii="Times New Roman" w:hAnsi="Times New Roman" w:cs="Times New Roman"/>
        </w:rPr>
        <w:t xml:space="preserve"> expressed as </w:t>
      </w:r>
      <w:r w:rsidR="0075442A" w:rsidRPr="00990234">
        <w:rPr>
          <w:rFonts w:ascii="Times New Roman" w:hAnsi="Times New Roman" w:cs="Times New Roman"/>
        </w:rPr>
        <w:t xml:space="preserve">a specific form of </w:t>
      </w:r>
      <w:r w:rsidRPr="00990234">
        <w:rPr>
          <w:rFonts w:ascii="Times New Roman" w:hAnsi="Times New Roman" w:cs="Times New Roman"/>
        </w:rPr>
        <w:t xml:space="preserve">interaction between </w:t>
      </w:r>
      <w:r w:rsidR="00ED4163" w:rsidRPr="00990234">
        <w:rPr>
          <w:rFonts w:ascii="Times New Roman" w:hAnsi="Times New Roman" w:cs="Times New Roman"/>
        </w:rPr>
        <w:t>o</w:t>
      </w:r>
      <w:r w:rsidRPr="00990234">
        <w:rPr>
          <w:rFonts w:ascii="Times New Roman" w:hAnsi="Times New Roman" w:cs="Times New Roman"/>
        </w:rPr>
        <w:t xml:space="preserve">utcome and </w:t>
      </w:r>
      <w:r w:rsidR="00ED4163" w:rsidRPr="00990234">
        <w:rPr>
          <w:rFonts w:ascii="Times New Roman" w:hAnsi="Times New Roman" w:cs="Times New Roman"/>
        </w:rPr>
        <w:t>e</w:t>
      </w:r>
      <w:r w:rsidRPr="00990234">
        <w:rPr>
          <w:rFonts w:ascii="Times New Roman" w:hAnsi="Times New Roman" w:cs="Times New Roman"/>
        </w:rPr>
        <w:t>xpectancy</w:t>
      </w:r>
      <w:r w:rsidR="00AA050F" w:rsidRPr="00990234">
        <w:rPr>
          <w:rFonts w:ascii="Times New Roman" w:hAnsi="Times New Roman" w:cs="Times New Roman"/>
        </w:rPr>
        <w:t xml:space="preserve"> </w:t>
      </w:r>
      <w:r w:rsidR="00CA58DD" w:rsidRPr="00990234">
        <w:rPr>
          <w:rFonts w:ascii="Times New Roman" w:hAnsi="Times New Roman" w:cs="Times New Roman"/>
        </w:rPr>
        <w:fldChar w:fldCharType="begin" w:fldLock="1"/>
      </w:r>
      <w:r w:rsidR="00CA58DD" w:rsidRPr="00990234">
        <w:rPr>
          <w:rFonts w:ascii="Times New Roman" w:hAnsi="Times New Roman" w:cs="Times New Roman"/>
        </w:rPr>
        <w:instrText>ADDIN CSL_CITATION { "citationItems" : [ { "id" : "ITEM-1", "itemData" : { "DOI" : "10.1523/JNEUROSCI.1747-10.2010", "ISBN" : "0270-6474, 1529-2401", "ISSN" : "0270-6474", "PMID" : "20926678", "abstract" : "Neuroimaging studies typically identify neural activity correlated with the predictions of highly parameterized models, like the many reward prediction error (RPE) models used to study reinforcement learning. Identified brain areas might encode RPEs or, alternatively, only have activity correlated with RPE model predictions. Here, we use an alternate axiomatic approach rooted in economic theory to formally test the entire class of RPE models on neural data. We show that measurements of human neural activity from the striatum, medial prefrontal cortex, amygdala, and posterior cingulate cortex satisfy necessary and sufficient conditions for the entire class of RPE models. However, activity measured from the anterior insula falsifies the axiomatic model, and therefore no RPE model can account for measured activity. Further analysis suggests the anterior insula might instead encode something related to the salience of an outcome. As cognitive neuroscience matures and models proliferate, formal approaches of this kind that assess entire model classes rather than specific model exemplars may take on increased significance.", "author" : [ { "dropping-particle" : "", "family" : "Rutledge", "given" : "Robb B", "non-dropping-particle" : "", "parse-names" : false, "suffix" : "" }, { "dropping-particle" : "", "family" : "Dean", "given" : "Mark", "non-dropping-particle" : "", "parse-names" : false, "suffix" : "" }, { "dropping-particle" : "", "family" : "Caplin", "given" : "Andrew", "non-dropping-particle" : "", "parse-names" : false, "suffix" : "" }, { "dropping-particle" : "", "family" : "Glimcher", "given" : "Paul W", "non-dropping-particle" : "", "parse-names" : false, "suffix" : "" } ], "container-title" : "The Journal of neuroscience : the official journal of the Society for Neuroscience", "id" : "ITEM-1", "issue" : "40", "issued" : { "date-parts" : [ [ "2010" ] ] }, "note" : "axiom 1", "page" : "13525-13536", "title" : "Testing the reward prediction error hypothesis with an axiomatic model.", "type" : "article-journal", "volume" : "30" }, "uris" : [ "http://www.mendeley.com/documents/?uuid=8b4ea8d9-632e-4597-a0cf-f03a8b18c7f9" ] } ], "mendeley" : { "formattedCitation" : "(Rutledge et al., 2010)", "plainTextFormattedCitation" : "(Rutledge et al., 2010)", "previouslyFormattedCitation" : "(Rutledge et al., 2010)" }, "properties" : { "noteIndex" : 0 }, "schema" : "https://github.com/citation-style-language/schema/raw/master/csl-citation.json" }</w:instrText>
      </w:r>
      <w:r w:rsidR="00CA58DD" w:rsidRPr="00990234">
        <w:rPr>
          <w:rFonts w:ascii="Times New Roman" w:hAnsi="Times New Roman" w:cs="Times New Roman"/>
        </w:rPr>
        <w:fldChar w:fldCharType="separate"/>
      </w:r>
      <w:r w:rsidR="00CA58DD" w:rsidRPr="00990234">
        <w:rPr>
          <w:rFonts w:ascii="Times New Roman" w:hAnsi="Times New Roman" w:cs="Times New Roman"/>
          <w:noProof/>
        </w:rPr>
        <w:t>(Rutledge et al., 2010)</w:t>
      </w:r>
      <w:r w:rsidR="00CA58DD" w:rsidRPr="00990234">
        <w:rPr>
          <w:rFonts w:ascii="Times New Roman" w:hAnsi="Times New Roman" w:cs="Times New Roman"/>
        </w:rPr>
        <w:fldChar w:fldCharType="end"/>
      </w:r>
      <w:r w:rsidR="0075442A" w:rsidRPr="00990234">
        <w:rPr>
          <w:rFonts w:ascii="Times New Roman" w:hAnsi="Times New Roman" w:cs="Times New Roman"/>
        </w:rPr>
        <w:t>. When g</w:t>
      </w:r>
      <w:r w:rsidRPr="00990234">
        <w:rPr>
          <w:rFonts w:ascii="Times New Roman" w:hAnsi="Times New Roman" w:cs="Times New Roman"/>
        </w:rPr>
        <w:t xml:space="preserve">ood outcomes (here, </w:t>
      </w:r>
      <w:r w:rsidR="004557F5" w:rsidRPr="00990234">
        <w:rPr>
          <w:rFonts w:ascii="Times New Roman" w:hAnsi="Times New Roman" w:cs="Times New Roman"/>
        </w:rPr>
        <w:t>d</w:t>
      </w:r>
      <w:r w:rsidRPr="00990234">
        <w:rPr>
          <w:rFonts w:ascii="Times New Roman" w:hAnsi="Times New Roman" w:cs="Times New Roman"/>
        </w:rPr>
        <w:t xml:space="preserve">elivered </w:t>
      </w:r>
      <w:r w:rsidR="004557F5" w:rsidRPr="00990234">
        <w:rPr>
          <w:rFonts w:ascii="Times New Roman" w:hAnsi="Times New Roman" w:cs="Times New Roman"/>
        </w:rPr>
        <w:t>s</w:t>
      </w:r>
      <w:r w:rsidRPr="00990234">
        <w:rPr>
          <w:rFonts w:ascii="Times New Roman" w:hAnsi="Times New Roman" w:cs="Times New Roman"/>
        </w:rPr>
        <w:t xml:space="preserve">weet and </w:t>
      </w:r>
      <w:r w:rsidR="004557F5" w:rsidRPr="00990234">
        <w:rPr>
          <w:rFonts w:ascii="Times New Roman" w:hAnsi="Times New Roman" w:cs="Times New Roman"/>
        </w:rPr>
        <w:t>o</w:t>
      </w:r>
      <w:r w:rsidRPr="00990234">
        <w:rPr>
          <w:rFonts w:ascii="Times New Roman" w:hAnsi="Times New Roman" w:cs="Times New Roman"/>
        </w:rPr>
        <w:t xml:space="preserve">mitted </w:t>
      </w:r>
      <w:r w:rsidR="004557F5" w:rsidRPr="00990234">
        <w:rPr>
          <w:rFonts w:ascii="Times New Roman" w:hAnsi="Times New Roman" w:cs="Times New Roman"/>
        </w:rPr>
        <w:t>b</w:t>
      </w:r>
      <w:r w:rsidRPr="00990234">
        <w:rPr>
          <w:rFonts w:ascii="Times New Roman" w:hAnsi="Times New Roman" w:cs="Times New Roman"/>
        </w:rPr>
        <w:t xml:space="preserve">itter taste) </w:t>
      </w:r>
      <w:r w:rsidR="0075442A" w:rsidRPr="00990234">
        <w:rPr>
          <w:rFonts w:ascii="Times New Roman" w:hAnsi="Times New Roman" w:cs="Times New Roman"/>
        </w:rPr>
        <w:t xml:space="preserve">and </w:t>
      </w:r>
      <w:r w:rsidRPr="00990234">
        <w:rPr>
          <w:rFonts w:ascii="Times New Roman" w:hAnsi="Times New Roman" w:cs="Times New Roman"/>
        </w:rPr>
        <w:t>bad outcomes (</w:t>
      </w:r>
      <w:r w:rsidR="004557F5" w:rsidRPr="00990234">
        <w:rPr>
          <w:rFonts w:ascii="Times New Roman" w:hAnsi="Times New Roman" w:cs="Times New Roman"/>
        </w:rPr>
        <w:t>o</w:t>
      </w:r>
      <w:r w:rsidRPr="00990234">
        <w:rPr>
          <w:rFonts w:ascii="Times New Roman" w:hAnsi="Times New Roman" w:cs="Times New Roman"/>
        </w:rPr>
        <w:t xml:space="preserve">mitted </w:t>
      </w:r>
      <w:r w:rsidR="004557F5" w:rsidRPr="00990234">
        <w:rPr>
          <w:rFonts w:ascii="Times New Roman" w:hAnsi="Times New Roman" w:cs="Times New Roman"/>
        </w:rPr>
        <w:t>s</w:t>
      </w:r>
      <w:r w:rsidRPr="00990234">
        <w:rPr>
          <w:rFonts w:ascii="Times New Roman" w:hAnsi="Times New Roman" w:cs="Times New Roman"/>
        </w:rPr>
        <w:t xml:space="preserve">weet and </w:t>
      </w:r>
      <w:r w:rsidR="004557F5" w:rsidRPr="00990234">
        <w:rPr>
          <w:rFonts w:ascii="Times New Roman" w:hAnsi="Times New Roman" w:cs="Times New Roman"/>
        </w:rPr>
        <w:t>d</w:t>
      </w:r>
      <w:r w:rsidRPr="00990234">
        <w:rPr>
          <w:rFonts w:ascii="Times New Roman" w:hAnsi="Times New Roman" w:cs="Times New Roman"/>
        </w:rPr>
        <w:t xml:space="preserve">elivered </w:t>
      </w:r>
      <w:r w:rsidR="004557F5" w:rsidRPr="00990234">
        <w:rPr>
          <w:rFonts w:ascii="Times New Roman" w:hAnsi="Times New Roman" w:cs="Times New Roman"/>
        </w:rPr>
        <w:t>b</w:t>
      </w:r>
      <w:r w:rsidRPr="00990234">
        <w:rPr>
          <w:rFonts w:ascii="Times New Roman" w:hAnsi="Times New Roman" w:cs="Times New Roman"/>
        </w:rPr>
        <w:t>itter taste)</w:t>
      </w:r>
      <w:r w:rsidR="0075442A" w:rsidRPr="00990234">
        <w:rPr>
          <w:rFonts w:ascii="Times New Roman" w:hAnsi="Times New Roman" w:cs="Times New Roman"/>
        </w:rPr>
        <w:t xml:space="preserve"> are expected, the signal should not differentiate between them, so expected outcomes form a baseline for comparison</w:t>
      </w:r>
      <w:r w:rsidR="00767CC7" w:rsidRPr="00990234">
        <w:rPr>
          <w:rFonts w:ascii="Times New Roman" w:hAnsi="Times New Roman" w:cs="Times New Roman"/>
        </w:rPr>
        <w:t xml:space="preserve">, </w:t>
      </w:r>
      <w:r w:rsidR="0063556B" w:rsidRPr="00990234">
        <w:rPr>
          <w:rFonts w:ascii="Times New Roman" w:hAnsi="Times New Roman" w:cs="Times New Roman"/>
        </w:rPr>
        <w:t>in agreement with</w:t>
      </w:r>
      <w:r w:rsidR="00767CC7" w:rsidRPr="00990234">
        <w:rPr>
          <w:rFonts w:ascii="Times New Roman" w:hAnsi="Times New Roman" w:cs="Times New Roman"/>
        </w:rPr>
        <w:t xml:space="preserve"> direct recordings of dopaminergic neurons </w:t>
      </w:r>
      <w:r w:rsidR="00767CC7" w:rsidRPr="00990234">
        <w:rPr>
          <w:rFonts w:ascii="Times New Roman" w:hAnsi="Times New Roman" w:cs="Times New Roman"/>
        </w:rPr>
        <w:fldChar w:fldCharType="begin" w:fldLock="1"/>
      </w:r>
      <w:r w:rsidR="00CA58DD" w:rsidRPr="00990234">
        <w:rPr>
          <w:rFonts w:ascii="Times New Roman" w:hAnsi="Times New Roman" w:cs="Times New Roman"/>
        </w:rPr>
        <w:instrText>ADDIN CSL_CITATION { "citationItems" : [ { "id" : "ITEM-1", "itemData" : { "DOI" : "10.1126/science.275.5306.1593", "abstract" : "The capacity to predict future events permits a creature to detect, model, and manipulate the causal structure of its interactions with its environment. Behavioral experiments suggest that learning is driven by changes in the expectations about future salient events such as rewards and punishments. Physiological work has recently complemented these studies by identifying dopaminergic neurons in the primate whose fluctuating output apparently signals changes or errors in the predictions of future salient and rewarding events. Taken together, these findings can be understood through quantitative theories of adaptive optimizing control.", "author" : [ { "dropping-particle" : "", "family" : "Schultz", "given" : "Wolfram", "non-dropping-particle" : "", "parse-names" : false, "suffix" : "" }, { "dropping-particle" : "", "family" : "Dayan", "given" : "Peter", "non-dropping-particle" : "", "parse-names" : false, "suffix" : "" }, { "dropping-particle" : "", "family" : "Montague", "given" : "P Read", "non-dropping-particle" : "", "parse-names" : false, "suffix" : "" } ], "container-title" : "Science", "id" : "ITEM-1", "issue" : "5306", "issued" : { "date-parts" : [ [ "1997" ] ] }, "page" : "1593-1599", "title" : "A Neural Substrate of Prediction and Reward", "type" : "article-journal", "volume" : "275" }, "uris" : [ "http://www.mendeley.com/documents/?uuid=3f32cfd9-0d14-4e4a-8b2e-4a66f2607494" ] } ], "mendeley" : { "formattedCitation" : "(Wolfram Schultz et al., 1997)", "manualFormatting" : "(Schultz et al., 1997)", "plainTextFormattedCitation" : "(Wolfram Schultz et al., 1997)", "previouslyFormattedCitation" : "(Wolfram Schultz et al., 1997)" }, "properties" : { "noteIndex" : 0 }, "schema" : "https://github.com/citation-style-language/schema/raw/master/csl-citation.json" }</w:instrText>
      </w:r>
      <w:r w:rsidR="00767CC7" w:rsidRPr="00990234">
        <w:rPr>
          <w:rFonts w:ascii="Times New Roman" w:hAnsi="Times New Roman" w:cs="Times New Roman"/>
        </w:rPr>
        <w:fldChar w:fldCharType="separate"/>
      </w:r>
      <w:r w:rsidR="00767CC7" w:rsidRPr="00990234">
        <w:rPr>
          <w:rFonts w:ascii="Times New Roman" w:hAnsi="Times New Roman" w:cs="Times New Roman"/>
          <w:noProof/>
        </w:rPr>
        <w:t>(Schultz et al., 1997)</w:t>
      </w:r>
      <w:r w:rsidR="00767CC7" w:rsidRPr="00990234">
        <w:rPr>
          <w:rFonts w:ascii="Times New Roman" w:hAnsi="Times New Roman" w:cs="Times New Roman"/>
        </w:rPr>
        <w:fldChar w:fldCharType="end"/>
      </w:r>
      <w:r w:rsidR="0075442A" w:rsidRPr="00990234">
        <w:rPr>
          <w:rFonts w:ascii="Times New Roman" w:hAnsi="Times New Roman" w:cs="Times New Roman"/>
        </w:rPr>
        <w:t xml:space="preserve">. The difference between good and bad outcomes should </w:t>
      </w:r>
      <w:r w:rsidR="0063556B" w:rsidRPr="00990234">
        <w:rPr>
          <w:rFonts w:ascii="Times New Roman" w:hAnsi="Times New Roman" w:cs="Times New Roman"/>
        </w:rPr>
        <w:t>be pronounced</w:t>
      </w:r>
      <w:r w:rsidR="0075442A" w:rsidRPr="00990234">
        <w:rPr>
          <w:rFonts w:ascii="Times New Roman" w:hAnsi="Times New Roman" w:cs="Times New Roman"/>
        </w:rPr>
        <w:t xml:space="preserve"> </w:t>
      </w:r>
      <w:r w:rsidR="00457816" w:rsidRPr="00990234">
        <w:rPr>
          <w:rFonts w:ascii="Times New Roman" w:hAnsi="Times New Roman" w:cs="Times New Roman"/>
        </w:rPr>
        <w:t xml:space="preserve">when outcomes are </w:t>
      </w:r>
      <w:r w:rsidR="0075442A" w:rsidRPr="00990234">
        <w:rPr>
          <w:rFonts w:ascii="Times New Roman" w:hAnsi="Times New Roman" w:cs="Times New Roman"/>
        </w:rPr>
        <w:t>u</w:t>
      </w:r>
      <w:r w:rsidRPr="00990234">
        <w:rPr>
          <w:rFonts w:ascii="Times New Roman" w:hAnsi="Times New Roman" w:cs="Times New Roman"/>
        </w:rPr>
        <w:t xml:space="preserve">nexpected. </w:t>
      </w:r>
      <w:r w:rsidR="005A7566" w:rsidRPr="00990234">
        <w:rPr>
          <w:rFonts w:ascii="Times New Roman" w:hAnsi="Times New Roman" w:cs="Times New Roman"/>
        </w:rPr>
        <w:t>This logic of the original model requires a manipulation of valence and expectancy but not of outcome domain</w:t>
      </w:r>
      <w:r w:rsidR="00472080" w:rsidRPr="00990234">
        <w:rPr>
          <w:rFonts w:ascii="Times New Roman" w:hAnsi="Times New Roman" w:cs="Times New Roman"/>
        </w:rPr>
        <w:t xml:space="preserve"> (appetitive/aversive)</w:t>
      </w:r>
      <w:r w:rsidR="005A7566" w:rsidRPr="00990234">
        <w:rPr>
          <w:rFonts w:ascii="Times New Roman" w:hAnsi="Times New Roman" w:cs="Times New Roman"/>
        </w:rPr>
        <w:t>. It would be enough, for example, to c</w:t>
      </w:r>
      <w:r w:rsidR="0063556B" w:rsidRPr="00990234">
        <w:rPr>
          <w:rFonts w:ascii="Times New Roman" w:hAnsi="Times New Roman" w:cs="Times New Roman"/>
        </w:rPr>
        <w:t xml:space="preserve">ross </w:t>
      </w:r>
      <w:r w:rsidR="004557F5" w:rsidRPr="00990234">
        <w:rPr>
          <w:rFonts w:ascii="Times New Roman" w:hAnsi="Times New Roman" w:cs="Times New Roman"/>
        </w:rPr>
        <w:t>e</w:t>
      </w:r>
      <w:r w:rsidR="0063556B" w:rsidRPr="00990234">
        <w:rPr>
          <w:rFonts w:ascii="Times New Roman" w:hAnsi="Times New Roman" w:cs="Times New Roman"/>
        </w:rPr>
        <w:t xml:space="preserve">xpectancy with </w:t>
      </w:r>
      <w:r w:rsidR="004557F5" w:rsidRPr="00990234">
        <w:rPr>
          <w:rFonts w:ascii="Times New Roman" w:hAnsi="Times New Roman" w:cs="Times New Roman"/>
        </w:rPr>
        <w:t>d</w:t>
      </w:r>
      <w:r w:rsidR="005A7566" w:rsidRPr="00990234">
        <w:rPr>
          <w:rFonts w:ascii="Times New Roman" w:hAnsi="Times New Roman" w:cs="Times New Roman"/>
        </w:rPr>
        <w:t xml:space="preserve">elivered and </w:t>
      </w:r>
      <w:r w:rsidR="004557F5" w:rsidRPr="00990234">
        <w:rPr>
          <w:rFonts w:ascii="Times New Roman" w:hAnsi="Times New Roman" w:cs="Times New Roman"/>
        </w:rPr>
        <w:t>o</w:t>
      </w:r>
      <w:r w:rsidR="005A7566" w:rsidRPr="00990234">
        <w:rPr>
          <w:rFonts w:ascii="Times New Roman" w:hAnsi="Times New Roman" w:cs="Times New Roman"/>
        </w:rPr>
        <w:t xml:space="preserve">mitted </w:t>
      </w:r>
      <w:r w:rsidR="004557F5" w:rsidRPr="00990234">
        <w:rPr>
          <w:rFonts w:ascii="Times New Roman" w:hAnsi="Times New Roman" w:cs="Times New Roman"/>
        </w:rPr>
        <w:t>s</w:t>
      </w:r>
      <w:r w:rsidR="005A7566" w:rsidRPr="00990234">
        <w:rPr>
          <w:rFonts w:ascii="Times New Roman" w:hAnsi="Times New Roman" w:cs="Times New Roman"/>
        </w:rPr>
        <w:t xml:space="preserve">weet taste, or </w:t>
      </w:r>
      <w:r w:rsidR="0063556B" w:rsidRPr="00990234">
        <w:rPr>
          <w:rFonts w:ascii="Times New Roman" w:hAnsi="Times New Roman" w:cs="Times New Roman"/>
        </w:rPr>
        <w:t xml:space="preserve">with </w:t>
      </w:r>
      <w:r w:rsidR="004557F5" w:rsidRPr="00990234">
        <w:rPr>
          <w:rFonts w:ascii="Times New Roman" w:hAnsi="Times New Roman" w:cs="Times New Roman"/>
        </w:rPr>
        <w:t>d</w:t>
      </w:r>
      <w:r w:rsidR="005A7566" w:rsidRPr="00990234">
        <w:rPr>
          <w:rFonts w:ascii="Times New Roman" w:hAnsi="Times New Roman" w:cs="Times New Roman"/>
        </w:rPr>
        <w:t xml:space="preserve">elivered </w:t>
      </w:r>
      <w:r w:rsidR="0063556B" w:rsidRPr="00990234">
        <w:rPr>
          <w:rFonts w:ascii="Times New Roman" w:hAnsi="Times New Roman" w:cs="Times New Roman"/>
        </w:rPr>
        <w:t>s</w:t>
      </w:r>
      <w:r w:rsidR="005A7566" w:rsidRPr="00990234">
        <w:rPr>
          <w:rFonts w:ascii="Times New Roman" w:hAnsi="Times New Roman" w:cs="Times New Roman"/>
        </w:rPr>
        <w:t xml:space="preserve">weet and </w:t>
      </w:r>
      <w:r w:rsidR="004557F5" w:rsidRPr="00990234">
        <w:rPr>
          <w:rFonts w:ascii="Times New Roman" w:hAnsi="Times New Roman" w:cs="Times New Roman"/>
        </w:rPr>
        <w:t>d</w:t>
      </w:r>
      <w:r w:rsidR="005A7566" w:rsidRPr="00990234">
        <w:rPr>
          <w:rFonts w:ascii="Times New Roman" w:hAnsi="Times New Roman" w:cs="Times New Roman"/>
        </w:rPr>
        <w:t xml:space="preserve">elivered </w:t>
      </w:r>
      <w:r w:rsidR="004557F5" w:rsidRPr="00990234">
        <w:rPr>
          <w:rFonts w:ascii="Times New Roman" w:hAnsi="Times New Roman" w:cs="Times New Roman"/>
        </w:rPr>
        <w:t>b</w:t>
      </w:r>
      <w:r w:rsidR="005A7566" w:rsidRPr="00990234">
        <w:rPr>
          <w:rFonts w:ascii="Times New Roman" w:hAnsi="Times New Roman" w:cs="Times New Roman"/>
        </w:rPr>
        <w:t xml:space="preserve">itter taste. A manipulation of valence and expectancy is not enough, however, to </w:t>
      </w:r>
      <w:r w:rsidR="00136582" w:rsidRPr="00990234">
        <w:rPr>
          <w:rFonts w:ascii="Times New Roman" w:hAnsi="Times New Roman" w:cs="Times New Roman"/>
        </w:rPr>
        <w:t xml:space="preserve">convincingly show </w:t>
      </w:r>
      <w:r w:rsidR="005A7566" w:rsidRPr="00990234">
        <w:rPr>
          <w:rFonts w:ascii="Times New Roman" w:hAnsi="Times New Roman" w:cs="Times New Roman"/>
        </w:rPr>
        <w:t xml:space="preserve">that a signal expresses utility prediction error. This is because a utility prediction error signal must express both </w:t>
      </w:r>
      <w:r w:rsidR="00457816" w:rsidRPr="00990234">
        <w:rPr>
          <w:rFonts w:ascii="Times New Roman" w:hAnsi="Times New Roman" w:cs="Times New Roman"/>
        </w:rPr>
        <w:t xml:space="preserve">appetitive and aversive </w:t>
      </w:r>
      <w:r w:rsidR="005A7566" w:rsidRPr="00990234">
        <w:rPr>
          <w:rFonts w:ascii="Times New Roman" w:hAnsi="Times New Roman" w:cs="Times New Roman"/>
        </w:rPr>
        <w:t>prediction error</w:t>
      </w:r>
      <w:r w:rsidR="00457816" w:rsidRPr="00990234">
        <w:rPr>
          <w:rFonts w:ascii="Times New Roman" w:hAnsi="Times New Roman" w:cs="Times New Roman"/>
        </w:rPr>
        <w:t>s</w:t>
      </w:r>
      <w:r w:rsidR="005A7566" w:rsidRPr="00990234">
        <w:rPr>
          <w:rFonts w:ascii="Times New Roman" w:hAnsi="Times New Roman" w:cs="Times New Roman"/>
        </w:rPr>
        <w:t xml:space="preserve">, namely, it must </w:t>
      </w:r>
      <w:r w:rsidR="00457816" w:rsidRPr="00990234">
        <w:rPr>
          <w:rFonts w:ascii="Times New Roman" w:hAnsi="Times New Roman" w:cs="Times New Roman"/>
        </w:rPr>
        <w:t xml:space="preserve">exhibit </w:t>
      </w:r>
      <w:r w:rsidR="005A7566" w:rsidRPr="00990234">
        <w:rPr>
          <w:rFonts w:ascii="Times New Roman" w:hAnsi="Times New Roman" w:cs="Times New Roman"/>
        </w:rPr>
        <w:t xml:space="preserve">the interaction described above separately in </w:t>
      </w:r>
      <w:r w:rsidR="00457816" w:rsidRPr="00990234">
        <w:rPr>
          <w:rFonts w:ascii="Times New Roman" w:hAnsi="Times New Roman" w:cs="Times New Roman"/>
        </w:rPr>
        <w:t xml:space="preserve">the appetitive (here, </w:t>
      </w:r>
      <w:r w:rsidR="004557F5" w:rsidRPr="00990234">
        <w:rPr>
          <w:rFonts w:ascii="Times New Roman" w:hAnsi="Times New Roman" w:cs="Times New Roman"/>
        </w:rPr>
        <w:t>s</w:t>
      </w:r>
      <w:r w:rsidR="00457816" w:rsidRPr="00990234">
        <w:rPr>
          <w:rFonts w:ascii="Times New Roman" w:hAnsi="Times New Roman" w:cs="Times New Roman"/>
        </w:rPr>
        <w:t xml:space="preserve">weet) and aversive (here, </w:t>
      </w:r>
      <w:r w:rsidR="004557F5" w:rsidRPr="00990234">
        <w:rPr>
          <w:rFonts w:ascii="Times New Roman" w:hAnsi="Times New Roman" w:cs="Times New Roman"/>
        </w:rPr>
        <w:t>b</w:t>
      </w:r>
      <w:r w:rsidR="00457816" w:rsidRPr="00990234">
        <w:rPr>
          <w:rFonts w:ascii="Times New Roman" w:hAnsi="Times New Roman" w:cs="Times New Roman"/>
        </w:rPr>
        <w:t>itter)</w:t>
      </w:r>
      <w:r w:rsidR="005A7566" w:rsidRPr="00990234">
        <w:rPr>
          <w:rFonts w:ascii="Times New Roman" w:hAnsi="Times New Roman" w:cs="Times New Roman"/>
        </w:rPr>
        <w:t xml:space="preserve"> domain.</w:t>
      </w:r>
      <w:r w:rsidR="00675F3B" w:rsidRPr="00990234">
        <w:rPr>
          <w:rFonts w:ascii="Times New Roman" w:hAnsi="Times New Roman" w:cs="Times New Roman"/>
        </w:rPr>
        <w:t xml:space="preserve"> Moreover, although it is not known whether </w:t>
      </w:r>
      <w:r w:rsidR="00675F3B" w:rsidRPr="00990234">
        <w:rPr>
          <w:rFonts w:ascii="Times New Roman" w:hAnsi="Times New Roman" w:cs="Times New Roman"/>
          <w:i/>
          <w:iCs/>
        </w:rPr>
        <w:t xml:space="preserve">more </w:t>
      </w:r>
      <w:r w:rsidR="00675F3B" w:rsidRPr="00990234">
        <w:rPr>
          <w:rFonts w:ascii="Times New Roman" w:hAnsi="Times New Roman" w:cs="Times New Roman"/>
        </w:rPr>
        <w:t xml:space="preserve">dopamine corresponds to </w:t>
      </w:r>
      <w:r w:rsidR="00675F3B" w:rsidRPr="00990234">
        <w:rPr>
          <w:rFonts w:ascii="Times New Roman" w:hAnsi="Times New Roman" w:cs="Times New Roman"/>
          <w:i/>
          <w:iCs/>
        </w:rPr>
        <w:t xml:space="preserve">more </w:t>
      </w:r>
      <w:r w:rsidR="00675F3B" w:rsidRPr="00990234">
        <w:rPr>
          <w:rFonts w:ascii="Times New Roman" w:hAnsi="Times New Roman" w:cs="Times New Roman"/>
        </w:rPr>
        <w:t>or</w:t>
      </w:r>
      <w:r w:rsidR="00675F3B" w:rsidRPr="00990234">
        <w:rPr>
          <w:rFonts w:ascii="Times New Roman" w:hAnsi="Times New Roman" w:cs="Times New Roman"/>
          <w:i/>
          <w:iCs/>
        </w:rPr>
        <w:t xml:space="preserve"> less </w:t>
      </w:r>
      <w:r w:rsidR="00675F3B" w:rsidRPr="00990234">
        <w:rPr>
          <w:rFonts w:ascii="Times New Roman" w:hAnsi="Times New Roman" w:cs="Times New Roman"/>
        </w:rPr>
        <w:t>positive amplitude</w:t>
      </w:r>
      <w:r w:rsidR="00675F3B" w:rsidRPr="00990234">
        <w:rPr>
          <w:rFonts w:ascii="Times New Roman" w:hAnsi="Times New Roman" w:cs="Times New Roman"/>
          <w:i/>
          <w:iCs/>
        </w:rPr>
        <w:t xml:space="preserve"> </w:t>
      </w:r>
      <w:r w:rsidR="00675F3B" w:rsidRPr="00990234">
        <w:rPr>
          <w:rFonts w:ascii="Times New Roman" w:hAnsi="Times New Roman" w:cs="Times New Roman"/>
        </w:rPr>
        <w:t xml:space="preserve">in any particular instance, if the funnel plot for the appetitive domain shows that </w:t>
      </w:r>
      <w:r w:rsidR="004557F5" w:rsidRPr="00990234">
        <w:rPr>
          <w:rFonts w:ascii="Times New Roman" w:hAnsi="Times New Roman" w:cs="Times New Roman"/>
        </w:rPr>
        <w:t>u</w:t>
      </w:r>
      <w:r w:rsidR="00675F3B" w:rsidRPr="00990234">
        <w:rPr>
          <w:rFonts w:ascii="Times New Roman" w:hAnsi="Times New Roman" w:cs="Times New Roman"/>
        </w:rPr>
        <w:t xml:space="preserve">nexpectedly </w:t>
      </w:r>
      <w:r w:rsidR="004557F5" w:rsidRPr="00990234">
        <w:rPr>
          <w:rFonts w:ascii="Times New Roman" w:hAnsi="Times New Roman" w:cs="Times New Roman"/>
        </w:rPr>
        <w:t>d</w:t>
      </w:r>
      <w:r w:rsidR="00675F3B" w:rsidRPr="00990234">
        <w:rPr>
          <w:rFonts w:ascii="Times New Roman" w:hAnsi="Times New Roman" w:cs="Times New Roman"/>
        </w:rPr>
        <w:t xml:space="preserve">elivered positive outcomes are more positive than </w:t>
      </w:r>
      <w:r w:rsidR="004557F5" w:rsidRPr="00990234">
        <w:rPr>
          <w:rFonts w:ascii="Times New Roman" w:hAnsi="Times New Roman" w:cs="Times New Roman"/>
        </w:rPr>
        <w:t>u</w:t>
      </w:r>
      <w:r w:rsidR="00675F3B" w:rsidRPr="00990234">
        <w:rPr>
          <w:rFonts w:ascii="Times New Roman" w:hAnsi="Times New Roman" w:cs="Times New Roman"/>
        </w:rPr>
        <w:t xml:space="preserve">nexpectedly </w:t>
      </w:r>
      <w:r w:rsidR="004557F5" w:rsidRPr="00990234">
        <w:rPr>
          <w:rFonts w:ascii="Times New Roman" w:hAnsi="Times New Roman" w:cs="Times New Roman"/>
        </w:rPr>
        <w:t>o</w:t>
      </w:r>
      <w:r w:rsidR="00675F3B" w:rsidRPr="00990234">
        <w:rPr>
          <w:rFonts w:ascii="Times New Roman" w:hAnsi="Times New Roman" w:cs="Times New Roman"/>
        </w:rPr>
        <w:t xml:space="preserve">mitted positive outcomes, the opposite should then hold in the aversive domain, where </w:t>
      </w:r>
      <w:r w:rsidR="004557F5" w:rsidRPr="00990234">
        <w:rPr>
          <w:rFonts w:ascii="Times New Roman" w:hAnsi="Times New Roman" w:cs="Times New Roman"/>
        </w:rPr>
        <w:t>u</w:t>
      </w:r>
      <w:r w:rsidR="00675F3B" w:rsidRPr="00990234">
        <w:rPr>
          <w:rFonts w:ascii="Times New Roman" w:hAnsi="Times New Roman" w:cs="Times New Roman"/>
        </w:rPr>
        <w:t xml:space="preserve">nexpectedly </w:t>
      </w:r>
      <w:r w:rsidR="004557F5" w:rsidRPr="00990234">
        <w:rPr>
          <w:rFonts w:ascii="Times New Roman" w:hAnsi="Times New Roman" w:cs="Times New Roman"/>
        </w:rPr>
        <w:t>d</w:t>
      </w:r>
      <w:r w:rsidR="00675F3B" w:rsidRPr="00990234">
        <w:rPr>
          <w:rFonts w:ascii="Times New Roman" w:hAnsi="Times New Roman" w:cs="Times New Roman"/>
        </w:rPr>
        <w:t xml:space="preserve">elivered negative outcomes should be </w:t>
      </w:r>
      <w:r w:rsidR="00675F3B" w:rsidRPr="00990234">
        <w:rPr>
          <w:rFonts w:ascii="Times New Roman" w:hAnsi="Times New Roman" w:cs="Times New Roman"/>
          <w:i/>
          <w:iCs/>
        </w:rPr>
        <w:t>less</w:t>
      </w:r>
      <w:r w:rsidR="00675F3B" w:rsidRPr="00990234">
        <w:rPr>
          <w:rFonts w:ascii="Times New Roman" w:hAnsi="Times New Roman" w:cs="Times New Roman"/>
        </w:rPr>
        <w:t xml:space="preserve"> positive </w:t>
      </w:r>
      <w:r w:rsidR="00675F3B" w:rsidRPr="00990234">
        <w:rPr>
          <w:rFonts w:ascii="Times New Roman" w:hAnsi="Times New Roman" w:cs="Times New Roman"/>
        </w:rPr>
        <w:lastRenderedPageBreak/>
        <w:t xml:space="preserve">than </w:t>
      </w:r>
      <w:r w:rsidR="004557F5" w:rsidRPr="00990234">
        <w:rPr>
          <w:rFonts w:ascii="Times New Roman" w:hAnsi="Times New Roman" w:cs="Times New Roman"/>
        </w:rPr>
        <w:t>u</w:t>
      </w:r>
      <w:r w:rsidR="00675F3B" w:rsidRPr="00990234">
        <w:rPr>
          <w:rFonts w:ascii="Times New Roman" w:hAnsi="Times New Roman" w:cs="Times New Roman"/>
        </w:rPr>
        <w:t xml:space="preserve">nexpectedly </w:t>
      </w:r>
      <w:r w:rsidR="004557F5" w:rsidRPr="00990234">
        <w:rPr>
          <w:rFonts w:ascii="Times New Roman" w:hAnsi="Times New Roman" w:cs="Times New Roman"/>
        </w:rPr>
        <w:t>o</w:t>
      </w:r>
      <w:r w:rsidR="00675F3B" w:rsidRPr="00990234">
        <w:rPr>
          <w:rFonts w:ascii="Times New Roman" w:hAnsi="Times New Roman" w:cs="Times New Roman"/>
        </w:rPr>
        <w:t>mitted negative outcomes.</w:t>
      </w:r>
      <w:r w:rsidR="005A7566" w:rsidRPr="00990234">
        <w:rPr>
          <w:rFonts w:ascii="Times New Roman" w:hAnsi="Times New Roman" w:cs="Times New Roman"/>
        </w:rPr>
        <w:t xml:space="preserve"> Therefore, to investigate whether the ERP signal expresses utility prediction error or salience we manipulated taste: (</w:t>
      </w:r>
      <w:r w:rsidR="004557F5" w:rsidRPr="00990234">
        <w:rPr>
          <w:rFonts w:ascii="Times New Roman" w:hAnsi="Times New Roman" w:cs="Times New Roman"/>
        </w:rPr>
        <w:t>b</w:t>
      </w:r>
      <w:r w:rsidR="005A7566" w:rsidRPr="00990234">
        <w:rPr>
          <w:rFonts w:ascii="Times New Roman" w:hAnsi="Times New Roman" w:cs="Times New Roman"/>
        </w:rPr>
        <w:t xml:space="preserve">itter / </w:t>
      </w:r>
      <w:r w:rsidR="004557F5" w:rsidRPr="00990234">
        <w:rPr>
          <w:rFonts w:ascii="Times New Roman" w:hAnsi="Times New Roman" w:cs="Times New Roman"/>
        </w:rPr>
        <w:t>s</w:t>
      </w:r>
      <w:r w:rsidR="005A7566" w:rsidRPr="00990234">
        <w:rPr>
          <w:rFonts w:ascii="Times New Roman" w:hAnsi="Times New Roman" w:cs="Times New Roman"/>
        </w:rPr>
        <w:t>weet), expectancy (</w:t>
      </w:r>
      <w:r w:rsidR="004557F5" w:rsidRPr="00990234">
        <w:rPr>
          <w:rFonts w:ascii="Times New Roman" w:hAnsi="Times New Roman" w:cs="Times New Roman"/>
        </w:rPr>
        <w:t>e</w:t>
      </w:r>
      <w:r w:rsidR="005A7566" w:rsidRPr="00990234">
        <w:rPr>
          <w:rFonts w:ascii="Times New Roman" w:hAnsi="Times New Roman" w:cs="Times New Roman"/>
        </w:rPr>
        <w:t xml:space="preserve">xpected / </w:t>
      </w:r>
      <w:r w:rsidR="004557F5" w:rsidRPr="00990234">
        <w:rPr>
          <w:rFonts w:ascii="Times New Roman" w:hAnsi="Times New Roman" w:cs="Times New Roman"/>
        </w:rPr>
        <w:t>u</w:t>
      </w:r>
      <w:r w:rsidR="005A7566" w:rsidRPr="00990234">
        <w:rPr>
          <w:rFonts w:ascii="Times New Roman" w:hAnsi="Times New Roman" w:cs="Times New Roman"/>
        </w:rPr>
        <w:t xml:space="preserve">nexpected) and outcome (whether taste is </w:t>
      </w:r>
      <w:r w:rsidR="004557F5" w:rsidRPr="00990234">
        <w:rPr>
          <w:rFonts w:ascii="Times New Roman" w:hAnsi="Times New Roman" w:cs="Times New Roman"/>
        </w:rPr>
        <w:t>d</w:t>
      </w:r>
      <w:r w:rsidR="005A7566" w:rsidRPr="00990234">
        <w:rPr>
          <w:rFonts w:ascii="Times New Roman" w:hAnsi="Times New Roman" w:cs="Times New Roman"/>
        </w:rPr>
        <w:t xml:space="preserve">elivered / </w:t>
      </w:r>
      <w:r w:rsidR="004557F5" w:rsidRPr="00990234">
        <w:rPr>
          <w:rFonts w:ascii="Times New Roman" w:hAnsi="Times New Roman" w:cs="Times New Roman"/>
        </w:rPr>
        <w:t>o</w:t>
      </w:r>
      <w:r w:rsidR="005A7566" w:rsidRPr="00990234">
        <w:rPr>
          <w:rFonts w:ascii="Times New Roman" w:hAnsi="Times New Roman" w:cs="Times New Roman"/>
        </w:rPr>
        <w:t>mitted) within subjects</w:t>
      </w:r>
      <w:r w:rsidR="00AA050F" w:rsidRPr="00990234">
        <w:rPr>
          <w:rFonts w:ascii="Times New Roman" w:hAnsi="Times New Roman" w:cs="Times New Roman"/>
        </w:rPr>
        <w:t xml:space="preserve"> (Figure 1)</w:t>
      </w:r>
      <w:r w:rsidR="005A7566" w:rsidRPr="00990234">
        <w:rPr>
          <w:rFonts w:ascii="Times New Roman" w:hAnsi="Times New Roman" w:cs="Times New Roman"/>
        </w:rPr>
        <w:t>.</w:t>
      </w:r>
      <w:r w:rsidR="000E5F4B" w:rsidRPr="00990234">
        <w:rPr>
          <w:rFonts w:ascii="Times New Roman" w:hAnsi="Times New Roman" w:cs="Times New Roman"/>
        </w:rPr>
        <w:t xml:space="preserve"> This factorial design is appropriate to investigate whether any neurobiological signal conforms to the axiomatic model</w:t>
      </w:r>
      <w:r w:rsidR="000A4FD7" w:rsidRPr="00990234">
        <w:rPr>
          <w:rFonts w:ascii="Times New Roman" w:hAnsi="Times New Roman" w:cs="Times New Roman"/>
        </w:rPr>
        <w:t xml:space="preserve"> </w:t>
      </w:r>
      <w:r w:rsidR="000A4FD7" w:rsidRPr="00990234">
        <w:rPr>
          <w:rFonts w:ascii="Times New Roman" w:hAnsi="Times New Roman" w:cs="Times New Roman"/>
        </w:rPr>
        <w:fldChar w:fldCharType="begin" w:fldLock="1"/>
      </w:r>
      <w:r w:rsidR="00B57F44" w:rsidRPr="00990234">
        <w:rPr>
          <w:rFonts w:ascii="Times New Roman" w:hAnsi="Times New Roman" w:cs="Times New Roman"/>
        </w:rPr>
        <w:instrText>ADDIN CSL_CITATION { "citationItems" : [ { "id" : "ITEM-1", "itemData" : { "DOI" : "10.1523/JNEUROSCI.1747-10.2010", "ISBN" : "0270-6474, 1529-2401", "ISSN" : "0270-6474", "PMID" : "20926678", "abstract" : "Neuroimaging studies typically identify neural activity correlated with the predictions of highly parameterized models, like the many reward prediction error (RPE) models used to study reinforcement learning. Identified brain areas might encode RPEs or, alternatively, only have activity correlated with RPE model predictions. Here, we use an alternate axiomatic approach rooted in economic theory to formally test the entire class of RPE models on neural data. We show that measurements of human neural activity from the striatum, medial prefrontal cortex, amygdala, and posterior cingulate cortex satisfy necessary and sufficient conditions for the entire class of RPE models. However, activity measured from the anterior insula falsifies the axiomatic model, and therefore no RPE model can account for measured activity. Further analysis suggests the anterior insula might instead encode something related to the salience of an outcome. As cognitive neuroscience matures and models proliferate, formal approaches of this kind that assess entire model classes rather than specific model exemplars may take on increased significance.", "author" : [ { "dropping-particle" : "", "family" : "Rutledge", "given" : "Robb B", "non-dropping-particle" : "", "parse-names" : false, "suffix" : "" }, { "dropping-particle" : "", "family" : "Dean", "given" : "Mark", "non-dropping-particle" : "", "parse-names" : false, "suffix" : "" }, { "dropping-particle" : "", "family" : "Caplin", "given" : "Andrew", "non-dropping-particle" : "", "parse-names" : false, "suffix" : "" }, { "dropping-particle" : "", "family" : "Glimcher", "given" : "Paul W", "non-dropping-particle" : "", "parse-names" : false, "suffix" : "" } ], "container-title" : "The Journal of neuroscience : the official journal of the Society for Neuroscience", "id" : "ITEM-1", "issue" : "40", "issued" : { "date-parts" : [ [ "2010" ] ] }, "note" : "axiom 1", "page" : "13525-13536", "title" : "Testing the reward prediction error hypothesis with an axiomatic model.", "type" : "article-journal", "volume" : "30" }, "uris" : [ "http://www.mendeley.com/documents/?uuid=8b4ea8d9-632e-4597-a0cf-f03a8b18c7f9" ] } ], "mendeley" : { "formattedCitation" : "(Rutledge et al., 2010)", "plainTextFormattedCitation" : "(Rutledge et al., 2010)", "previouslyFormattedCitation" : "(Rutledge et al., 2010)" }, "properties" : { "noteIndex" : 0 }, "schema" : "https://github.com/citation-style-language/schema/raw/master/csl-citation.json" }</w:instrText>
      </w:r>
      <w:r w:rsidR="000A4FD7" w:rsidRPr="00990234">
        <w:rPr>
          <w:rFonts w:ascii="Times New Roman" w:hAnsi="Times New Roman" w:cs="Times New Roman"/>
        </w:rPr>
        <w:fldChar w:fldCharType="separate"/>
      </w:r>
      <w:r w:rsidR="000A4FD7" w:rsidRPr="00990234">
        <w:rPr>
          <w:rFonts w:ascii="Times New Roman" w:hAnsi="Times New Roman" w:cs="Times New Roman"/>
          <w:noProof/>
        </w:rPr>
        <w:t>(Rutledge et al., 2010)</w:t>
      </w:r>
      <w:r w:rsidR="000A4FD7" w:rsidRPr="00990234">
        <w:rPr>
          <w:rFonts w:ascii="Times New Roman" w:hAnsi="Times New Roman" w:cs="Times New Roman"/>
        </w:rPr>
        <w:fldChar w:fldCharType="end"/>
      </w:r>
      <w:r w:rsidR="00AA050F" w:rsidRPr="00990234">
        <w:rPr>
          <w:rFonts w:ascii="Times New Roman" w:hAnsi="Times New Roman" w:cs="Times New Roman"/>
        </w:rPr>
        <w:t xml:space="preserve"> </w:t>
      </w:r>
      <w:r w:rsidR="000A4FD7" w:rsidRPr="00990234">
        <w:rPr>
          <w:rFonts w:ascii="Times New Roman" w:hAnsi="Times New Roman" w:cs="Times New Roman"/>
        </w:rPr>
        <w:t xml:space="preserve">. </w:t>
      </w:r>
      <w:r w:rsidR="007F67E9" w:rsidRPr="00990234">
        <w:rPr>
          <w:rFonts w:ascii="Times New Roman" w:hAnsi="Times New Roman" w:cs="Times New Roman"/>
        </w:rPr>
        <w:t xml:space="preserve">A difference wave approach cannot tell us, for example, whether unexpected good outcomes diverge away from Expected outcomes in the opposite direction than </w:t>
      </w:r>
      <w:r w:rsidR="004557F5" w:rsidRPr="00990234">
        <w:rPr>
          <w:rFonts w:ascii="Times New Roman" w:hAnsi="Times New Roman" w:cs="Times New Roman"/>
        </w:rPr>
        <w:t>u</w:t>
      </w:r>
      <w:r w:rsidR="007F67E9" w:rsidRPr="00990234">
        <w:rPr>
          <w:rFonts w:ascii="Times New Roman" w:hAnsi="Times New Roman" w:cs="Times New Roman"/>
        </w:rPr>
        <w:t xml:space="preserve">nexpected bad outcomes. </w:t>
      </w:r>
    </w:p>
    <w:p w:rsidR="00A45901" w:rsidRPr="00990234" w:rsidRDefault="00C83FA7" w:rsidP="00AA050F">
      <w:pPr>
        <w:spacing w:line="480" w:lineRule="auto"/>
        <w:ind w:firstLine="720"/>
        <w:rPr>
          <w:rFonts w:ascii="Times New Roman" w:hAnsi="Times New Roman" w:cs="Times New Roman"/>
        </w:rPr>
      </w:pPr>
      <w:r w:rsidRPr="00990234">
        <w:rPr>
          <w:rFonts w:ascii="Times New Roman" w:hAnsi="Times New Roman" w:cs="Times New Roman"/>
          <w:b/>
          <w:bCs/>
        </w:rPr>
        <w:t>Motivational s</w:t>
      </w:r>
      <w:r w:rsidR="00A45901" w:rsidRPr="00990234">
        <w:rPr>
          <w:rFonts w:ascii="Times New Roman" w:hAnsi="Times New Roman" w:cs="Times New Roman"/>
          <w:b/>
          <w:bCs/>
        </w:rPr>
        <w:t>alience</w:t>
      </w:r>
      <w:r w:rsidR="00986158" w:rsidRPr="00990234">
        <w:rPr>
          <w:rFonts w:ascii="Times New Roman" w:hAnsi="Times New Roman" w:cs="Times New Roman"/>
        </w:rPr>
        <w:t xml:space="preserve"> </w:t>
      </w:r>
      <w:r w:rsidR="00A45901" w:rsidRPr="00990234">
        <w:rPr>
          <w:rFonts w:ascii="Times New Roman" w:hAnsi="Times New Roman" w:cs="Times New Roman"/>
        </w:rPr>
        <w:t xml:space="preserve">is </w:t>
      </w:r>
      <w:r w:rsidR="0075442A" w:rsidRPr="00990234">
        <w:rPr>
          <w:rFonts w:ascii="Times New Roman" w:hAnsi="Times New Roman" w:cs="Times New Roman"/>
        </w:rPr>
        <w:t>operationalised as</w:t>
      </w:r>
      <w:r w:rsidRPr="00990234">
        <w:rPr>
          <w:rFonts w:ascii="Times New Roman" w:hAnsi="Times New Roman" w:cs="Times New Roman"/>
        </w:rPr>
        <w:t xml:space="preserve"> a main effect of outcome, </w:t>
      </w:r>
      <w:r w:rsidR="0075442A" w:rsidRPr="00990234">
        <w:rPr>
          <w:rFonts w:ascii="Times New Roman" w:hAnsi="Times New Roman" w:cs="Times New Roman"/>
        </w:rPr>
        <w:t xml:space="preserve">differentiating cues that predict </w:t>
      </w:r>
      <w:r w:rsidR="004557F5" w:rsidRPr="00990234">
        <w:rPr>
          <w:rFonts w:ascii="Times New Roman" w:hAnsi="Times New Roman" w:cs="Times New Roman"/>
        </w:rPr>
        <w:t>d</w:t>
      </w:r>
      <w:r w:rsidR="00A45901" w:rsidRPr="00990234">
        <w:rPr>
          <w:rFonts w:ascii="Times New Roman" w:hAnsi="Times New Roman" w:cs="Times New Roman"/>
        </w:rPr>
        <w:t xml:space="preserve">elivered taste </w:t>
      </w:r>
      <w:r w:rsidR="0075442A" w:rsidRPr="00990234">
        <w:rPr>
          <w:rFonts w:ascii="Times New Roman" w:hAnsi="Times New Roman" w:cs="Times New Roman"/>
        </w:rPr>
        <w:t xml:space="preserve">from those that predict </w:t>
      </w:r>
      <w:r w:rsidR="004557F5" w:rsidRPr="00990234">
        <w:rPr>
          <w:rFonts w:ascii="Times New Roman" w:hAnsi="Times New Roman" w:cs="Times New Roman"/>
        </w:rPr>
        <w:t>o</w:t>
      </w:r>
      <w:r w:rsidR="00A45901" w:rsidRPr="00990234">
        <w:rPr>
          <w:rFonts w:ascii="Times New Roman" w:hAnsi="Times New Roman" w:cs="Times New Roman"/>
        </w:rPr>
        <w:t>mitted taste</w:t>
      </w:r>
      <w:r w:rsidR="00A45901" w:rsidRPr="00990234">
        <w:rPr>
          <w:rFonts w:ascii="Times New Roman" w:hAnsi="Times New Roman" w:cs="Times New Roman"/>
          <w:b/>
          <w:bCs/>
        </w:rPr>
        <w:t xml:space="preserve">.  </w:t>
      </w:r>
      <w:r w:rsidRPr="00990234">
        <w:rPr>
          <w:rFonts w:ascii="Times New Roman" w:hAnsi="Times New Roman" w:cs="Times New Roman"/>
          <w:b/>
          <w:bCs/>
        </w:rPr>
        <w:t>Surprise salience</w:t>
      </w:r>
      <w:r w:rsidRPr="00990234">
        <w:rPr>
          <w:rFonts w:ascii="Times New Roman" w:hAnsi="Times New Roman" w:cs="Times New Roman"/>
        </w:rPr>
        <w:t xml:space="preserve"> is </w:t>
      </w:r>
      <w:r w:rsidR="0075442A" w:rsidRPr="00990234">
        <w:rPr>
          <w:rFonts w:ascii="Times New Roman" w:hAnsi="Times New Roman" w:cs="Times New Roman"/>
        </w:rPr>
        <w:t>operationalised as</w:t>
      </w:r>
      <w:r w:rsidRPr="00990234">
        <w:rPr>
          <w:rFonts w:ascii="Times New Roman" w:hAnsi="Times New Roman" w:cs="Times New Roman"/>
        </w:rPr>
        <w:t xml:space="preserve"> a main effect of expectancy, </w:t>
      </w:r>
      <w:r w:rsidR="0075442A" w:rsidRPr="00990234">
        <w:rPr>
          <w:rFonts w:ascii="Times New Roman" w:hAnsi="Times New Roman" w:cs="Times New Roman"/>
        </w:rPr>
        <w:t xml:space="preserve">differentiating cues that are </w:t>
      </w:r>
      <w:r w:rsidR="004557F5" w:rsidRPr="00990234">
        <w:rPr>
          <w:rFonts w:ascii="Times New Roman" w:hAnsi="Times New Roman" w:cs="Times New Roman"/>
        </w:rPr>
        <w:t>e</w:t>
      </w:r>
      <w:r w:rsidR="0075442A" w:rsidRPr="00990234">
        <w:rPr>
          <w:rFonts w:ascii="Times New Roman" w:hAnsi="Times New Roman" w:cs="Times New Roman"/>
        </w:rPr>
        <w:t xml:space="preserve">xpected from those that are </w:t>
      </w:r>
      <w:r w:rsidR="004557F5" w:rsidRPr="00990234">
        <w:rPr>
          <w:rFonts w:ascii="Times New Roman" w:hAnsi="Times New Roman" w:cs="Times New Roman"/>
        </w:rPr>
        <w:t>u</w:t>
      </w:r>
      <w:r w:rsidR="00EE092D" w:rsidRPr="00990234">
        <w:rPr>
          <w:rFonts w:ascii="Times New Roman" w:hAnsi="Times New Roman" w:cs="Times New Roman"/>
        </w:rPr>
        <w:t>nexpected</w:t>
      </w:r>
      <w:r w:rsidRPr="00990234">
        <w:rPr>
          <w:rFonts w:ascii="Times New Roman" w:hAnsi="Times New Roman" w:cs="Times New Roman"/>
        </w:rPr>
        <w:t xml:space="preserve">. These main effects </w:t>
      </w:r>
      <w:r w:rsidR="00AA050F" w:rsidRPr="00990234">
        <w:rPr>
          <w:rFonts w:ascii="Times New Roman" w:hAnsi="Times New Roman" w:cs="Times New Roman"/>
        </w:rPr>
        <w:t>c</w:t>
      </w:r>
      <w:r w:rsidRPr="00990234">
        <w:rPr>
          <w:rFonts w:ascii="Times New Roman" w:hAnsi="Times New Roman" w:cs="Times New Roman"/>
        </w:rPr>
        <w:t xml:space="preserve">ould be expressed regardless of whether the taste is appetitive or aversive. </w:t>
      </w:r>
      <w:r w:rsidR="00A45901" w:rsidRPr="00990234">
        <w:rPr>
          <w:rFonts w:ascii="Times New Roman" w:hAnsi="Times New Roman" w:cs="Times New Roman"/>
        </w:rPr>
        <w:t xml:space="preserve">To maintain the perceived salience of </w:t>
      </w:r>
      <w:r w:rsidR="00AA050F" w:rsidRPr="00990234">
        <w:rPr>
          <w:rFonts w:ascii="Times New Roman" w:hAnsi="Times New Roman" w:cs="Times New Roman"/>
        </w:rPr>
        <w:t xml:space="preserve">experimental </w:t>
      </w:r>
      <w:r w:rsidR="00A45901" w:rsidRPr="00990234">
        <w:rPr>
          <w:rFonts w:ascii="Times New Roman" w:hAnsi="Times New Roman" w:cs="Times New Roman"/>
        </w:rPr>
        <w:t>taste</w:t>
      </w:r>
      <w:r w:rsidR="00AA050F" w:rsidRPr="00990234">
        <w:rPr>
          <w:rFonts w:ascii="Times New Roman" w:hAnsi="Times New Roman" w:cs="Times New Roman"/>
        </w:rPr>
        <w:t xml:space="preserve"> delivery</w:t>
      </w:r>
      <w:r w:rsidR="00B821DB" w:rsidRPr="00990234">
        <w:rPr>
          <w:rFonts w:ascii="Times New Roman" w:hAnsi="Times New Roman" w:cs="Times New Roman"/>
        </w:rPr>
        <w:t>,</w:t>
      </w:r>
      <w:r w:rsidR="00A45901" w:rsidRPr="00990234">
        <w:rPr>
          <w:rFonts w:ascii="Times New Roman" w:hAnsi="Times New Roman" w:cs="Times New Roman"/>
        </w:rPr>
        <w:t xml:space="preserve"> </w:t>
      </w:r>
      <w:r w:rsidR="00B324CE" w:rsidRPr="00990234">
        <w:rPr>
          <w:rFonts w:ascii="Times New Roman" w:hAnsi="Times New Roman" w:cs="Times New Roman"/>
        </w:rPr>
        <w:t xml:space="preserve">a subset of </w:t>
      </w:r>
      <w:r w:rsidR="00A45901" w:rsidRPr="00990234">
        <w:rPr>
          <w:rFonts w:ascii="Times New Roman" w:hAnsi="Times New Roman" w:cs="Times New Roman"/>
        </w:rPr>
        <w:t xml:space="preserve">additional trials in the experiment delivered </w:t>
      </w:r>
      <w:r w:rsidR="00AA050F" w:rsidRPr="00990234">
        <w:rPr>
          <w:rFonts w:ascii="Times New Roman" w:hAnsi="Times New Roman" w:cs="Times New Roman"/>
        </w:rPr>
        <w:t>l</w:t>
      </w:r>
      <w:r w:rsidR="00A45901" w:rsidRPr="00990234">
        <w:rPr>
          <w:rFonts w:ascii="Times New Roman" w:hAnsi="Times New Roman" w:cs="Times New Roman"/>
        </w:rPr>
        <w:t xml:space="preserve">ow magnitude tastes (slightly </w:t>
      </w:r>
      <w:r w:rsidR="004557F5" w:rsidRPr="00990234">
        <w:rPr>
          <w:rFonts w:ascii="Times New Roman" w:hAnsi="Times New Roman" w:cs="Times New Roman"/>
        </w:rPr>
        <w:t>s</w:t>
      </w:r>
      <w:r w:rsidR="00A45901" w:rsidRPr="00990234">
        <w:rPr>
          <w:rFonts w:ascii="Times New Roman" w:hAnsi="Times New Roman" w:cs="Times New Roman"/>
        </w:rPr>
        <w:t xml:space="preserve">weet, slightly </w:t>
      </w:r>
      <w:r w:rsidR="004557F5" w:rsidRPr="00990234">
        <w:rPr>
          <w:rFonts w:ascii="Times New Roman" w:hAnsi="Times New Roman" w:cs="Times New Roman"/>
        </w:rPr>
        <w:t>b</w:t>
      </w:r>
      <w:r w:rsidR="00A45901" w:rsidRPr="00990234">
        <w:rPr>
          <w:rFonts w:ascii="Times New Roman" w:hAnsi="Times New Roman" w:cs="Times New Roman"/>
        </w:rPr>
        <w:t>itter), which were administered in keeping with the same exper</w:t>
      </w:r>
      <w:r w:rsidR="009B7025" w:rsidRPr="00990234">
        <w:rPr>
          <w:rFonts w:ascii="Times New Roman" w:hAnsi="Times New Roman" w:cs="Times New Roman"/>
        </w:rPr>
        <w:t xml:space="preserve">imental design, </w:t>
      </w:r>
      <w:r w:rsidR="00A45901" w:rsidRPr="00990234">
        <w:rPr>
          <w:rFonts w:ascii="Times New Roman" w:hAnsi="Times New Roman" w:cs="Times New Roman"/>
        </w:rPr>
        <w:t xml:space="preserve">but not analysed. Bitter and </w:t>
      </w:r>
      <w:r w:rsidR="004557F5" w:rsidRPr="00990234">
        <w:rPr>
          <w:rFonts w:ascii="Times New Roman" w:hAnsi="Times New Roman" w:cs="Times New Roman"/>
        </w:rPr>
        <w:t>s</w:t>
      </w:r>
      <w:r w:rsidR="00A45901" w:rsidRPr="00990234">
        <w:rPr>
          <w:rFonts w:ascii="Times New Roman" w:hAnsi="Times New Roman" w:cs="Times New Roman"/>
        </w:rPr>
        <w:t xml:space="preserve">weet </w:t>
      </w:r>
      <w:r w:rsidR="00F8678A" w:rsidRPr="00990234">
        <w:rPr>
          <w:rFonts w:ascii="Times New Roman" w:hAnsi="Times New Roman" w:cs="Times New Roman"/>
        </w:rPr>
        <w:t xml:space="preserve">tastes </w:t>
      </w:r>
      <w:r w:rsidR="00A45901" w:rsidRPr="00990234">
        <w:rPr>
          <w:rFonts w:ascii="Times New Roman" w:hAnsi="Times New Roman" w:cs="Times New Roman"/>
        </w:rPr>
        <w:t xml:space="preserve">were delivered in separate blocks, to </w:t>
      </w:r>
      <w:r w:rsidR="00AA050F" w:rsidRPr="00990234">
        <w:rPr>
          <w:rFonts w:ascii="Times New Roman" w:hAnsi="Times New Roman" w:cs="Times New Roman"/>
        </w:rPr>
        <w:t xml:space="preserve">prevent reward generalisation </w:t>
      </w:r>
      <w:r w:rsidR="00AA050F" w:rsidRPr="00990234">
        <w:rPr>
          <w:rFonts w:ascii="Times New Roman" w:hAnsi="Times New Roman" w:cs="Times New Roman"/>
        </w:rPr>
        <w:fldChar w:fldCharType="begin" w:fldLock="1"/>
      </w:r>
      <w:r w:rsidR="00AA050F" w:rsidRPr="00990234">
        <w:rPr>
          <w:rFonts w:ascii="Times New Roman" w:hAnsi="Times New Roman" w:cs="Times New Roman"/>
        </w:rPr>
        <w:instrText>ADDIN CSL_CITATION { "citationItems" : [ { "id" : "ITEM-1", "itemData" : { "DOI" : "10.1038/nrn.2015.26", "ISSN" : "1471-003X", "PMID" : "26865020", "author" : [ { "dropping-particle" : "", "family" : "Schultz", "given" : "Wolfram", "non-dropping-particle" : "", "parse-names" : false, "suffix" : "" } ], "container-title" : "Nature Publishing Group", "id" : "ITEM-1", "issue" : "3", "issued" : { "date-parts" : [ [ "2016" ] ] }, "page" : "183-195", "publisher" : "Nature Publishing Group", "title" : "Dopamine reward prediction- error signalling: a two-component response", "type" : "article-journal", "volume" : "17" }, "uris" : [ "http://www.mendeley.com/documents/?uuid=3f2acb5d-c4fc-429f-9cbe-0a4d399b2f8d" ] } ], "mendeley" : { "formattedCitation" : "(Wolfram Schultz, 2016)", "manualFormatting" : "(Schultz, 2016)", "plainTextFormattedCitation" : "(Wolfram Schultz, 2016)", "previouslyFormattedCitation" : "(Wolfram Schultz, 2016)" }, "properties" : { "noteIndex" : 0 }, "schema" : "https://github.com/citation-style-language/schema/raw/master/csl-citation.json" }</w:instrText>
      </w:r>
      <w:r w:rsidR="00AA050F" w:rsidRPr="00990234">
        <w:rPr>
          <w:rFonts w:ascii="Times New Roman" w:hAnsi="Times New Roman" w:cs="Times New Roman"/>
        </w:rPr>
        <w:fldChar w:fldCharType="separate"/>
      </w:r>
      <w:r w:rsidR="00AA050F" w:rsidRPr="00990234">
        <w:rPr>
          <w:rFonts w:ascii="Times New Roman" w:hAnsi="Times New Roman" w:cs="Times New Roman"/>
          <w:noProof/>
        </w:rPr>
        <w:t>(Schultz, 2016)</w:t>
      </w:r>
      <w:r w:rsidR="00AA050F" w:rsidRPr="00990234">
        <w:rPr>
          <w:rFonts w:ascii="Times New Roman" w:hAnsi="Times New Roman" w:cs="Times New Roman"/>
        </w:rPr>
        <w:fldChar w:fldCharType="end"/>
      </w:r>
      <w:r w:rsidR="00AA050F" w:rsidRPr="00990234">
        <w:rPr>
          <w:rFonts w:ascii="Times New Roman" w:hAnsi="Times New Roman" w:cs="Times New Roman"/>
        </w:rPr>
        <w:t xml:space="preserve">, namely a response </w:t>
      </w:r>
      <w:r w:rsidR="00A45901" w:rsidRPr="00990234">
        <w:rPr>
          <w:rFonts w:ascii="Times New Roman" w:hAnsi="Times New Roman" w:cs="Times New Roman"/>
        </w:rPr>
        <w:t xml:space="preserve">to the </w:t>
      </w:r>
      <w:r w:rsidR="004557F5" w:rsidRPr="00990234">
        <w:rPr>
          <w:rFonts w:ascii="Times New Roman" w:hAnsi="Times New Roman" w:cs="Times New Roman"/>
        </w:rPr>
        <w:t>b</w:t>
      </w:r>
      <w:r w:rsidR="00A45901" w:rsidRPr="00990234">
        <w:rPr>
          <w:rFonts w:ascii="Times New Roman" w:hAnsi="Times New Roman" w:cs="Times New Roman"/>
        </w:rPr>
        <w:t xml:space="preserve">itter taste because </w:t>
      </w:r>
      <w:r w:rsidR="00AA050F" w:rsidRPr="00990234">
        <w:rPr>
          <w:rFonts w:ascii="Times New Roman" w:hAnsi="Times New Roman" w:cs="Times New Roman"/>
        </w:rPr>
        <w:t xml:space="preserve">participants </w:t>
      </w:r>
      <w:r w:rsidR="00A45901" w:rsidRPr="00990234">
        <w:rPr>
          <w:rFonts w:ascii="Times New Roman" w:hAnsi="Times New Roman" w:cs="Times New Roman"/>
        </w:rPr>
        <w:t xml:space="preserve">were expecting the </w:t>
      </w:r>
      <w:r w:rsidR="004557F5" w:rsidRPr="00990234">
        <w:rPr>
          <w:rFonts w:ascii="Times New Roman" w:hAnsi="Times New Roman" w:cs="Times New Roman"/>
        </w:rPr>
        <w:t>s</w:t>
      </w:r>
      <w:r w:rsidR="00A45901" w:rsidRPr="00990234">
        <w:rPr>
          <w:rFonts w:ascii="Times New Roman" w:hAnsi="Times New Roman" w:cs="Times New Roman"/>
        </w:rPr>
        <w:t>weet taste.</w:t>
      </w:r>
    </w:p>
    <w:p w:rsidR="00A45901" w:rsidRPr="00990234" w:rsidRDefault="00A45901" w:rsidP="00E756E0">
      <w:pPr>
        <w:spacing w:after="0" w:line="480" w:lineRule="auto"/>
        <w:ind w:right="-113" w:firstLine="720"/>
        <w:rPr>
          <w:rFonts w:ascii="Times New Roman" w:hAnsi="Times New Roman" w:cs="Times New Roman"/>
          <w:b/>
          <w:sz w:val="28"/>
          <w:szCs w:val="28"/>
        </w:rPr>
      </w:pPr>
      <w:r w:rsidRPr="00990234">
        <w:rPr>
          <w:rFonts w:ascii="Times New Roman" w:hAnsi="Times New Roman" w:cs="Times New Roman"/>
          <w:b/>
          <w:sz w:val="28"/>
          <w:szCs w:val="28"/>
        </w:rPr>
        <w:t>Participants</w:t>
      </w:r>
    </w:p>
    <w:p w:rsidR="00A45901" w:rsidRPr="00990234" w:rsidRDefault="00A45901" w:rsidP="00E756E0">
      <w:pPr>
        <w:spacing w:after="0" w:line="480" w:lineRule="auto"/>
        <w:ind w:right="-113" w:firstLine="720"/>
        <w:rPr>
          <w:rFonts w:ascii="Times New Roman" w:hAnsi="Times New Roman" w:cs="Times New Roman"/>
        </w:rPr>
      </w:pPr>
      <w:r w:rsidRPr="00990234">
        <w:rPr>
          <w:rFonts w:ascii="Times New Roman" w:hAnsi="Times New Roman" w:cs="Times New Roman"/>
        </w:rPr>
        <w:t xml:space="preserve">Twenty participants aged 18-35 (12 females, mean age 20 years) received £20 compensation or course credit points for participation in the study. Participants had normal or corrected-to-normal vision. They had no history of neurological or psychiatric conditions, no metabolic disorder and were not taking any centrally-acting medication or any medication which could make it difficult to fast for 2 hours. Ethical approval was granted by the University of Manchester, where the study took place. </w:t>
      </w:r>
    </w:p>
    <w:p w:rsidR="00A45901" w:rsidRPr="00990234" w:rsidRDefault="00A45901" w:rsidP="00E756E0">
      <w:pPr>
        <w:spacing w:after="0" w:line="480" w:lineRule="auto"/>
        <w:ind w:right="-113" w:firstLine="720"/>
        <w:rPr>
          <w:rFonts w:ascii="Times New Roman" w:hAnsi="Times New Roman" w:cs="Times New Roman"/>
          <w:b/>
          <w:sz w:val="28"/>
          <w:szCs w:val="28"/>
        </w:rPr>
      </w:pPr>
      <w:r w:rsidRPr="00990234">
        <w:rPr>
          <w:rFonts w:ascii="Times New Roman" w:hAnsi="Times New Roman" w:cs="Times New Roman"/>
          <w:b/>
          <w:sz w:val="28"/>
          <w:szCs w:val="28"/>
        </w:rPr>
        <w:t>Materials</w:t>
      </w:r>
    </w:p>
    <w:p w:rsidR="00A45901" w:rsidRPr="00990234" w:rsidRDefault="00A45901" w:rsidP="00E756E0">
      <w:pPr>
        <w:spacing w:after="0" w:line="480" w:lineRule="auto"/>
        <w:ind w:right="-113" w:firstLine="720"/>
        <w:rPr>
          <w:rFonts w:ascii="Times New Roman" w:hAnsi="Times New Roman" w:cs="Times New Roman"/>
        </w:rPr>
      </w:pPr>
      <w:r w:rsidRPr="00990234">
        <w:rPr>
          <w:rFonts w:ascii="Times New Roman" w:hAnsi="Times New Roman" w:cs="Times New Roman"/>
        </w:rPr>
        <w:t>Pilot studies identified four concentrations of sucrose</w:t>
      </w:r>
      <w:r w:rsidR="00986158" w:rsidRPr="00990234">
        <w:rPr>
          <w:rFonts w:ascii="Times New Roman" w:hAnsi="Times New Roman" w:cs="Times New Roman"/>
        </w:rPr>
        <w:t xml:space="preserve"> and water</w:t>
      </w:r>
      <w:r w:rsidRPr="00990234">
        <w:rPr>
          <w:rFonts w:ascii="Times New Roman" w:hAnsi="Times New Roman" w:cs="Times New Roman"/>
        </w:rPr>
        <w:t xml:space="preserve"> (</w:t>
      </w:r>
      <w:r w:rsidR="004557F5" w:rsidRPr="00990234">
        <w:rPr>
          <w:rFonts w:ascii="Times New Roman" w:hAnsi="Times New Roman" w:cs="Times New Roman"/>
        </w:rPr>
        <w:t>s</w:t>
      </w:r>
      <w:r w:rsidR="00D041D7" w:rsidRPr="00990234">
        <w:rPr>
          <w:rFonts w:ascii="Times New Roman" w:hAnsi="Times New Roman" w:cs="Times New Roman"/>
        </w:rPr>
        <w:t>weet</w:t>
      </w:r>
      <w:r w:rsidRPr="00990234">
        <w:rPr>
          <w:rFonts w:ascii="Times New Roman" w:hAnsi="Times New Roman" w:cs="Times New Roman"/>
        </w:rPr>
        <w:t>) and four concentrations of quinine</w:t>
      </w:r>
      <w:r w:rsidR="00986158" w:rsidRPr="00990234">
        <w:rPr>
          <w:rFonts w:ascii="Times New Roman" w:hAnsi="Times New Roman" w:cs="Times New Roman"/>
        </w:rPr>
        <w:t xml:space="preserve"> and water</w:t>
      </w:r>
      <w:r w:rsidRPr="00990234">
        <w:rPr>
          <w:rFonts w:ascii="Times New Roman" w:hAnsi="Times New Roman" w:cs="Times New Roman"/>
        </w:rPr>
        <w:t xml:space="preserve"> (</w:t>
      </w:r>
      <w:r w:rsidR="004557F5" w:rsidRPr="00990234">
        <w:rPr>
          <w:rFonts w:ascii="Times New Roman" w:hAnsi="Times New Roman" w:cs="Times New Roman"/>
        </w:rPr>
        <w:t>b</w:t>
      </w:r>
      <w:r w:rsidR="00D041D7" w:rsidRPr="00990234">
        <w:rPr>
          <w:rFonts w:ascii="Times New Roman" w:hAnsi="Times New Roman" w:cs="Times New Roman"/>
        </w:rPr>
        <w:t>itter</w:t>
      </w:r>
      <w:r w:rsidRPr="00990234">
        <w:rPr>
          <w:rFonts w:ascii="Times New Roman" w:hAnsi="Times New Roman" w:cs="Times New Roman"/>
        </w:rPr>
        <w:t xml:space="preserve">), which elicited a range of hedonic ratings of pleasantness and unpleasantness, respectively. For </w:t>
      </w:r>
      <w:r w:rsidR="004557F5" w:rsidRPr="00990234">
        <w:rPr>
          <w:rFonts w:ascii="Times New Roman" w:hAnsi="Times New Roman" w:cs="Times New Roman"/>
        </w:rPr>
        <w:t>s</w:t>
      </w:r>
      <w:r w:rsidRPr="00990234">
        <w:rPr>
          <w:rFonts w:ascii="Times New Roman" w:hAnsi="Times New Roman" w:cs="Times New Roman"/>
        </w:rPr>
        <w:t>weet those were 1.0, 0.6, 0.2 and 0.1 mole of sucrose, and for</w:t>
      </w:r>
      <w:r w:rsidR="00220C1F" w:rsidRPr="00990234">
        <w:rPr>
          <w:rFonts w:ascii="Times New Roman" w:hAnsi="Times New Roman" w:cs="Times New Roman"/>
        </w:rPr>
        <w:t xml:space="preserve"> </w:t>
      </w:r>
      <w:r w:rsidR="004557F5" w:rsidRPr="00990234">
        <w:rPr>
          <w:rFonts w:ascii="Times New Roman" w:hAnsi="Times New Roman" w:cs="Times New Roman"/>
        </w:rPr>
        <w:lastRenderedPageBreak/>
        <w:t>b</w:t>
      </w:r>
      <w:r w:rsidRPr="00990234">
        <w:rPr>
          <w:rFonts w:ascii="Times New Roman" w:hAnsi="Times New Roman" w:cs="Times New Roman"/>
        </w:rPr>
        <w:t xml:space="preserve">itter those were 1.0, 0.75, 0.25 and 0.05 </w:t>
      </w:r>
      <w:proofErr w:type="spellStart"/>
      <w:r w:rsidRPr="00990234">
        <w:rPr>
          <w:rFonts w:ascii="Times New Roman" w:hAnsi="Times New Roman" w:cs="Times New Roman"/>
        </w:rPr>
        <w:t>millimole</w:t>
      </w:r>
      <w:proofErr w:type="spellEnd"/>
      <w:r w:rsidRPr="00990234">
        <w:rPr>
          <w:rFonts w:ascii="Times New Roman" w:hAnsi="Times New Roman" w:cs="Times New Roman"/>
        </w:rPr>
        <w:t xml:space="preserve"> of quinine. Each solution also included 10 millilitre</w:t>
      </w:r>
      <w:r w:rsidR="004B32D6" w:rsidRPr="00990234">
        <w:rPr>
          <w:rFonts w:ascii="Times New Roman" w:hAnsi="Times New Roman" w:cs="Times New Roman"/>
        </w:rPr>
        <w:t>s</w:t>
      </w:r>
      <w:r w:rsidRPr="00990234">
        <w:rPr>
          <w:rFonts w:ascii="Times New Roman" w:hAnsi="Times New Roman" w:cs="Times New Roman"/>
        </w:rPr>
        <w:t xml:space="preserve"> of lemon juice per litre of liquid to balance the sweetness of the sucrose whilst maintaining symmetry between </w:t>
      </w:r>
      <w:r w:rsidR="004557F5" w:rsidRPr="00990234">
        <w:rPr>
          <w:rFonts w:ascii="Times New Roman" w:hAnsi="Times New Roman" w:cs="Times New Roman"/>
        </w:rPr>
        <w:t>s</w:t>
      </w:r>
      <w:r w:rsidRPr="00990234">
        <w:rPr>
          <w:rFonts w:ascii="Times New Roman" w:hAnsi="Times New Roman" w:cs="Times New Roman"/>
        </w:rPr>
        <w:t xml:space="preserve">weet and </w:t>
      </w:r>
      <w:r w:rsidR="004557F5" w:rsidRPr="00990234">
        <w:rPr>
          <w:rFonts w:ascii="Times New Roman" w:hAnsi="Times New Roman" w:cs="Times New Roman"/>
        </w:rPr>
        <w:t>b</w:t>
      </w:r>
      <w:r w:rsidRPr="00990234">
        <w:rPr>
          <w:rFonts w:ascii="Times New Roman" w:hAnsi="Times New Roman" w:cs="Times New Roman"/>
        </w:rPr>
        <w:t>itter</w:t>
      </w:r>
      <w:r w:rsidR="00F8678A" w:rsidRPr="00990234">
        <w:rPr>
          <w:rFonts w:ascii="Times New Roman" w:hAnsi="Times New Roman" w:cs="Times New Roman"/>
        </w:rPr>
        <w:t xml:space="preserve"> taste</w:t>
      </w:r>
      <w:r w:rsidRPr="00990234">
        <w:rPr>
          <w:rFonts w:ascii="Times New Roman" w:hAnsi="Times New Roman" w:cs="Times New Roman"/>
        </w:rPr>
        <w:t xml:space="preserve">. </w:t>
      </w:r>
    </w:p>
    <w:p w:rsidR="00A45901" w:rsidRPr="00990234" w:rsidRDefault="00A45901" w:rsidP="00E756E0">
      <w:pPr>
        <w:spacing w:after="0" w:line="480" w:lineRule="auto"/>
        <w:ind w:right="-113" w:firstLine="720"/>
        <w:rPr>
          <w:rFonts w:ascii="Times New Roman" w:hAnsi="Times New Roman" w:cs="Times New Roman"/>
        </w:rPr>
      </w:pPr>
      <w:r w:rsidRPr="00990234">
        <w:rPr>
          <w:rFonts w:ascii="Times New Roman" w:hAnsi="Times New Roman" w:cs="Times New Roman"/>
        </w:rPr>
        <w:t xml:space="preserve">For each participant, </w:t>
      </w:r>
      <w:r w:rsidR="00E434BF" w:rsidRPr="00990234">
        <w:rPr>
          <w:rFonts w:ascii="Times New Roman" w:hAnsi="Times New Roman" w:cs="Times New Roman"/>
        </w:rPr>
        <w:t>two</w:t>
      </w:r>
      <w:r w:rsidRPr="00990234">
        <w:rPr>
          <w:rFonts w:ascii="Times New Roman" w:hAnsi="Times New Roman" w:cs="Times New Roman"/>
        </w:rPr>
        <w:t xml:space="preserve"> concentrations from each taste were selected, corresponding to equivalent high and low taste magnitude pairs, whose hedonic ratings were within 10% of </w:t>
      </w:r>
      <w:r w:rsidR="00986158" w:rsidRPr="00990234">
        <w:rPr>
          <w:rFonts w:ascii="Times New Roman" w:hAnsi="Times New Roman" w:cs="Times New Roman"/>
        </w:rPr>
        <w:t>one an</w:t>
      </w:r>
      <w:r w:rsidR="00990234">
        <w:rPr>
          <w:rFonts w:ascii="Times New Roman" w:hAnsi="Times New Roman" w:cs="Times New Roman"/>
        </w:rPr>
        <w:t xml:space="preserve">other (see procedure).  The </w:t>
      </w:r>
      <w:r w:rsidR="00990234" w:rsidRPr="00990234">
        <w:rPr>
          <w:rFonts w:ascii="Times New Roman" w:hAnsi="Times New Roman" w:cs="Times New Roman"/>
          <w:i/>
        </w:rPr>
        <w:t>low magnitude</w:t>
      </w:r>
      <w:r w:rsidRPr="00990234">
        <w:rPr>
          <w:rFonts w:ascii="Times New Roman" w:hAnsi="Times New Roman" w:cs="Times New Roman"/>
        </w:rPr>
        <w:t xml:space="preserve"> hedonic ratings w</w:t>
      </w:r>
      <w:r w:rsidR="00990234">
        <w:rPr>
          <w:rFonts w:ascii="Times New Roman" w:hAnsi="Times New Roman" w:cs="Times New Roman"/>
        </w:rPr>
        <w:t xml:space="preserve">ere at least 20% less than the </w:t>
      </w:r>
      <w:r w:rsidR="00990234" w:rsidRPr="00990234">
        <w:rPr>
          <w:rFonts w:ascii="Times New Roman" w:hAnsi="Times New Roman" w:cs="Times New Roman"/>
          <w:i/>
        </w:rPr>
        <w:t>high magnitude</w:t>
      </w:r>
      <w:r w:rsidRPr="00990234">
        <w:rPr>
          <w:rFonts w:ascii="Times New Roman" w:hAnsi="Times New Roman" w:cs="Times New Roman"/>
        </w:rPr>
        <w:t xml:space="preserve"> concentrations for that participant.</w:t>
      </w:r>
    </w:p>
    <w:p w:rsidR="00A45901" w:rsidRPr="00990234" w:rsidRDefault="00A45901" w:rsidP="00E756E0">
      <w:pPr>
        <w:spacing w:after="0" w:line="480" w:lineRule="auto"/>
        <w:ind w:right="-113" w:firstLine="720"/>
        <w:rPr>
          <w:rFonts w:ascii="Times New Roman" w:hAnsi="Times New Roman" w:cs="Times New Roman"/>
        </w:rPr>
      </w:pPr>
      <w:r w:rsidRPr="00990234">
        <w:rPr>
          <w:rFonts w:ascii="Times New Roman" w:hAnsi="Times New Roman" w:cs="Times New Roman"/>
        </w:rPr>
        <w:t xml:space="preserve">A neutral solution was designed to mimic the ionic balance of saliva to minimise reward associated with the liquid, and comprised of distilled water, </w:t>
      </w:r>
      <w:r w:rsidRPr="00990234">
        <w:rPr>
          <w:rFonts w:ascii="Times New Roman" w:hAnsi="Times New Roman" w:cs="Times New Roman"/>
          <w:shd w:val="clear" w:color="auto" w:fill="FFFFFF"/>
        </w:rPr>
        <w:t xml:space="preserve">0.012 </w:t>
      </w:r>
      <w:r w:rsidRPr="00990234">
        <w:rPr>
          <w:rFonts w:ascii="Times New Roman" w:hAnsi="Times New Roman" w:cs="Times New Roman"/>
        </w:rPr>
        <w:t xml:space="preserve">moles sodium bicarbonate and </w:t>
      </w:r>
      <w:r w:rsidRPr="00990234">
        <w:rPr>
          <w:rFonts w:ascii="Times New Roman" w:hAnsi="Times New Roman" w:cs="Times New Roman"/>
          <w:shd w:val="clear" w:color="auto" w:fill="FFFFFF"/>
        </w:rPr>
        <w:t xml:space="preserve">0.012 moles </w:t>
      </w:r>
      <w:r w:rsidRPr="00990234">
        <w:rPr>
          <w:rFonts w:ascii="Times New Roman" w:hAnsi="Times New Roman" w:cs="Times New Roman"/>
        </w:rPr>
        <w:t xml:space="preserve">potassium chloride. </w:t>
      </w:r>
    </w:p>
    <w:p w:rsidR="00A45901" w:rsidRPr="00990234" w:rsidRDefault="00A45901" w:rsidP="00E756E0">
      <w:pPr>
        <w:spacing w:after="0" w:line="480" w:lineRule="auto"/>
        <w:ind w:right="-113" w:firstLine="720"/>
        <w:rPr>
          <w:rFonts w:ascii="Times New Roman" w:hAnsi="Times New Roman" w:cs="Times New Roman"/>
        </w:rPr>
      </w:pPr>
      <w:r w:rsidRPr="00990234">
        <w:rPr>
          <w:rFonts w:ascii="Times New Roman" w:hAnsi="Times New Roman" w:cs="Times New Roman"/>
        </w:rPr>
        <w:t xml:space="preserve">Taste magnitude and likelihood were communicated to participants by visual cues, represented in figure 1, which were matched for luminance.  The experiment was conducted on a </w:t>
      </w:r>
      <w:proofErr w:type="spellStart"/>
      <w:r w:rsidRPr="00990234">
        <w:rPr>
          <w:rFonts w:ascii="Times New Roman" w:hAnsi="Times New Roman" w:cs="Times New Roman"/>
        </w:rPr>
        <w:t>Matlab</w:t>
      </w:r>
      <w:proofErr w:type="spellEnd"/>
      <w:r w:rsidRPr="00990234">
        <w:rPr>
          <w:rFonts w:ascii="Times New Roman" w:hAnsi="Times New Roman" w:cs="Times New Roman"/>
        </w:rPr>
        <w:t xml:space="preserve"> platform (</w:t>
      </w:r>
      <w:proofErr w:type="spellStart"/>
      <w:r w:rsidRPr="00990234">
        <w:rPr>
          <w:rFonts w:ascii="Times New Roman" w:hAnsi="Times New Roman" w:cs="Times New Roman"/>
        </w:rPr>
        <w:t>Mathworks</w:t>
      </w:r>
      <w:proofErr w:type="spellEnd"/>
      <w:r w:rsidRPr="00990234">
        <w:rPr>
          <w:rFonts w:ascii="Times New Roman" w:hAnsi="Times New Roman" w:cs="Times New Roman"/>
        </w:rPr>
        <w:t>).</w:t>
      </w:r>
    </w:p>
    <w:p w:rsidR="00A45901" w:rsidRPr="00990234" w:rsidRDefault="00A45901" w:rsidP="00E756E0">
      <w:pPr>
        <w:spacing w:after="0" w:line="480" w:lineRule="auto"/>
        <w:ind w:right="-113" w:firstLine="720"/>
        <w:rPr>
          <w:rFonts w:ascii="Times New Roman" w:hAnsi="Times New Roman" w:cs="Times New Roman"/>
          <w:b/>
          <w:sz w:val="28"/>
          <w:szCs w:val="28"/>
        </w:rPr>
      </w:pPr>
      <w:r w:rsidRPr="00990234">
        <w:rPr>
          <w:rFonts w:ascii="Times New Roman" w:hAnsi="Times New Roman" w:cs="Times New Roman"/>
          <w:b/>
          <w:sz w:val="28"/>
          <w:szCs w:val="28"/>
        </w:rPr>
        <w:t>Apparatus</w:t>
      </w:r>
    </w:p>
    <w:p w:rsidR="00A45901" w:rsidRPr="00990234" w:rsidRDefault="00A45901" w:rsidP="00E756E0">
      <w:pPr>
        <w:spacing w:after="0" w:line="480" w:lineRule="auto"/>
        <w:ind w:right="-113" w:firstLine="720"/>
        <w:rPr>
          <w:rFonts w:ascii="Times New Roman" w:hAnsi="Times New Roman" w:cs="Times New Roman"/>
        </w:rPr>
      </w:pPr>
      <w:r w:rsidRPr="00990234">
        <w:rPr>
          <w:rFonts w:ascii="Times New Roman" w:hAnsi="Times New Roman" w:cs="Times New Roman"/>
        </w:rPr>
        <w:t xml:space="preserve">Participants’ heads were stabilized using a chin rest. Four rubber tubes [bore 2mm, wall 0.5mm, </w:t>
      </w:r>
      <w:proofErr w:type="spellStart"/>
      <w:r w:rsidRPr="00990234">
        <w:rPr>
          <w:rFonts w:ascii="Times New Roman" w:hAnsi="Times New Roman" w:cs="Times New Roman"/>
        </w:rPr>
        <w:t>Altec</w:t>
      </w:r>
      <w:proofErr w:type="spellEnd"/>
      <w:r w:rsidRPr="00990234">
        <w:rPr>
          <w:rFonts w:ascii="Times New Roman" w:hAnsi="Times New Roman" w:cs="Times New Roman"/>
        </w:rPr>
        <w:t xml:space="preserve"> Product LTD] were attached to the chin rest and to the participant’s face with medical tape. The tubes were attached to 50ml syringes (Plastipak syringe 50ml </w:t>
      </w:r>
      <w:proofErr w:type="spellStart"/>
      <w:r w:rsidRPr="00990234">
        <w:rPr>
          <w:rFonts w:ascii="Times New Roman" w:hAnsi="Times New Roman" w:cs="Times New Roman"/>
        </w:rPr>
        <w:t>Luerlok</w:t>
      </w:r>
      <w:proofErr w:type="spellEnd"/>
      <w:r w:rsidRPr="00990234">
        <w:rPr>
          <w:rFonts w:ascii="Times New Roman" w:hAnsi="Times New Roman" w:cs="Times New Roman"/>
        </w:rPr>
        <w:t>, Fisher Scientific) fitted into pumps (Harvard Apparatus, pump 33,) in the neighbouring room. Pump activity was controlled by software (</w:t>
      </w:r>
      <w:proofErr w:type="spellStart"/>
      <w:r w:rsidRPr="00990234">
        <w:rPr>
          <w:rFonts w:ascii="Times New Roman" w:hAnsi="Times New Roman" w:cs="Times New Roman"/>
        </w:rPr>
        <w:t>Matlab</w:t>
      </w:r>
      <w:proofErr w:type="spellEnd"/>
      <w:r w:rsidRPr="00990234">
        <w:rPr>
          <w:rFonts w:ascii="Times New Roman" w:hAnsi="Times New Roman" w:cs="Times New Roman"/>
        </w:rPr>
        <w:t xml:space="preserve">, </w:t>
      </w:r>
      <w:proofErr w:type="spellStart"/>
      <w:r w:rsidRPr="00990234">
        <w:rPr>
          <w:rFonts w:ascii="Times New Roman" w:hAnsi="Times New Roman" w:cs="Times New Roman"/>
        </w:rPr>
        <w:t>Mathworks</w:t>
      </w:r>
      <w:proofErr w:type="spellEnd"/>
      <w:r w:rsidRPr="00990234">
        <w:rPr>
          <w:rFonts w:ascii="Times New Roman" w:hAnsi="Times New Roman" w:cs="Times New Roman"/>
        </w:rPr>
        <w:t>).</w:t>
      </w:r>
    </w:p>
    <w:p w:rsidR="00A45901" w:rsidRPr="00990234" w:rsidRDefault="00A45901" w:rsidP="00E756E0">
      <w:pPr>
        <w:spacing w:after="0" w:line="480" w:lineRule="auto"/>
        <w:ind w:right="-113" w:firstLine="720"/>
        <w:rPr>
          <w:rFonts w:ascii="Times New Roman" w:hAnsi="Times New Roman" w:cs="Times New Roman"/>
          <w:b/>
          <w:sz w:val="28"/>
          <w:szCs w:val="28"/>
        </w:rPr>
      </w:pPr>
      <w:r w:rsidRPr="00990234">
        <w:rPr>
          <w:rFonts w:ascii="Times New Roman" w:hAnsi="Times New Roman" w:cs="Times New Roman"/>
          <w:b/>
          <w:sz w:val="28"/>
          <w:szCs w:val="28"/>
        </w:rPr>
        <w:t>Procedure</w:t>
      </w:r>
    </w:p>
    <w:p w:rsidR="00A45901" w:rsidRPr="00990234" w:rsidRDefault="00A45901" w:rsidP="00E756E0">
      <w:pPr>
        <w:shd w:val="clear" w:color="auto" w:fill="FFFFFF"/>
        <w:spacing w:after="0" w:line="480" w:lineRule="auto"/>
        <w:ind w:right="-113" w:firstLine="720"/>
        <w:rPr>
          <w:rFonts w:ascii="Times New Roman" w:hAnsi="Times New Roman" w:cs="Times New Roman"/>
        </w:rPr>
      </w:pPr>
      <w:r w:rsidRPr="00990234">
        <w:rPr>
          <w:rFonts w:ascii="Times New Roman" w:hAnsi="Times New Roman" w:cs="Times New Roman"/>
        </w:rPr>
        <w:t xml:space="preserve">Participants made two visits to the lab, and </w:t>
      </w:r>
      <w:r w:rsidR="004C296B" w:rsidRPr="00990234">
        <w:rPr>
          <w:rFonts w:ascii="Times New Roman" w:hAnsi="Times New Roman" w:cs="Times New Roman"/>
        </w:rPr>
        <w:t xml:space="preserve">were instructed to avoid food and water </w:t>
      </w:r>
      <w:r w:rsidRPr="00990234">
        <w:rPr>
          <w:rFonts w:ascii="Times New Roman" w:hAnsi="Times New Roman" w:cs="Times New Roman"/>
        </w:rPr>
        <w:t xml:space="preserve">for two hours prior to each visit. </w:t>
      </w:r>
    </w:p>
    <w:p w:rsidR="00A45901" w:rsidRPr="00990234" w:rsidRDefault="00A45901" w:rsidP="00E756E0">
      <w:pPr>
        <w:shd w:val="clear" w:color="auto" w:fill="FFFFFF"/>
        <w:spacing w:after="0" w:line="480" w:lineRule="auto"/>
        <w:ind w:right="-113" w:firstLine="720"/>
        <w:rPr>
          <w:rFonts w:ascii="Times New Roman" w:hAnsi="Times New Roman" w:cs="Times New Roman"/>
        </w:rPr>
      </w:pPr>
      <w:r w:rsidRPr="00990234">
        <w:rPr>
          <w:rFonts w:ascii="Times New Roman" w:hAnsi="Times New Roman" w:cs="Times New Roman"/>
        </w:rPr>
        <w:t xml:space="preserve">On the first visit, in order to establish equivalent behavioural responses in </w:t>
      </w:r>
      <w:r w:rsidR="004557F5" w:rsidRPr="00990234">
        <w:rPr>
          <w:rFonts w:ascii="Times New Roman" w:hAnsi="Times New Roman" w:cs="Times New Roman"/>
        </w:rPr>
        <w:t>b</w:t>
      </w:r>
      <w:r w:rsidRPr="00990234">
        <w:rPr>
          <w:rFonts w:ascii="Times New Roman" w:hAnsi="Times New Roman" w:cs="Times New Roman"/>
        </w:rPr>
        <w:t xml:space="preserve">itter and </w:t>
      </w:r>
      <w:r w:rsidR="004557F5" w:rsidRPr="00990234">
        <w:rPr>
          <w:rFonts w:ascii="Times New Roman" w:hAnsi="Times New Roman" w:cs="Times New Roman"/>
        </w:rPr>
        <w:t>s</w:t>
      </w:r>
      <w:r w:rsidR="00714357" w:rsidRPr="00990234">
        <w:rPr>
          <w:rFonts w:ascii="Times New Roman" w:hAnsi="Times New Roman" w:cs="Times New Roman"/>
        </w:rPr>
        <w:t>weet, participants rated four</w:t>
      </w:r>
      <w:r w:rsidRPr="00990234">
        <w:rPr>
          <w:rFonts w:ascii="Times New Roman" w:hAnsi="Times New Roman" w:cs="Times New Roman"/>
        </w:rPr>
        <w:t xml:space="preserve"> concentrations of quinine and </w:t>
      </w:r>
      <w:r w:rsidR="00714357" w:rsidRPr="00990234">
        <w:rPr>
          <w:rFonts w:ascii="Times New Roman" w:hAnsi="Times New Roman" w:cs="Times New Roman"/>
        </w:rPr>
        <w:t>four</w:t>
      </w:r>
      <w:r w:rsidRPr="00990234">
        <w:rPr>
          <w:rFonts w:ascii="Times New Roman" w:hAnsi="Times New Roman" w:cs="Times New Roman"/>
        </w:rPr>
        <w:t xml:space="preserve"> concentrations of sucrose using the labelled magnitude scale (LMS), a validated scale for collection of intensity ratings </w:t>
      </w:r>
      <w:r w:rsidRPr="00990234">
        <w:rPr>
          <w:rFonts w:ascii="Times New Roman" w:hAnsi="Times New Roman" w:cs="Times New Roman"/>
        </w:rPr>
        <w:fldChar w:fldCharType="begin" w:fldLock="1"/>
      </w:r>
      <w:r w:rsidR="00843A57" w:rsidRPr="00990234">
        <w:rPr>
          <w:rFonts w:ascii="Times New Roman" w:hAnsi="Times New Roman" w:cs="Times New Roman"/>
        </w:rPr>
        <w:instrText>ADDIN CSL_CITATION { "citationItems" : [ { "id" : "ITEM-1", "itemData" : { "DOI" : "10.1016/j.biotechadv.2011.08.021.Secreted", "ISBN" : "2122633255", "ISSN" : "15378276", "PMID" : "1000000221", "author" : [ { "dropping-particle" : "", "family" : "Hayes", "given" : "John E", "non-dropping-particle" : "", "parse-names" : false, "suffix" : "" }, { "dropping-particle" : "", "family" : "Allen", "given" : "Alissa", "non-dropping-particle" : "", "parse-names" : false, "suffix" : "" }, { "dropping-particle" : "", "family" : "Bennett", "given" : "Samantha M", "non-dropping-particle" : "", "parse-names" : false, "suffix" : "" } ], "container-title" : "Food quality and preference", "id" : "ITEM-1", "issue" : "1", "issued" : { "date-parts" : [ [ "2013" ] ] }, "page" : "36-44", "title" : "Direct comparison of the generalized Visual Analog Scale (gVAS) and general Labeled Magnitude Scale (gLMS)", "type" : "article-journal", "volume" : "28" }, "uris" : [ "http://www.mendeley.com/documents/?uuid=d5acf66d-f941-4642-861e-6522283c5fa3" ] } ], "mendeley" : { "formattedCitation" : "(Hayes, Allen, &amp; Bennett, 2013)", "plainTextFormattedCitation" : "(Hayes, Allen, &amp; Bennett, 2013)", "previouslyFormattedCitation" : "(Hayes, Allen, &amp; Bennett, 2013)" }, "properties" : { "noteIndex" : 0 }, "schema" : "https://github.com/citation-style-language/schema/raw/master/csl-citation.json" }</w:instrText>
      </w:r>
      <w:r w:rsidRPr="00990234">
        <w:rPr>
          <w:rFonts w:ascii="Times New Roman" w:hAnsi="Times New Roman" w:cs="Times New Roman"/>
        </w:rPr>
        <w:fldChar w:fldCharType="separate"/>
      </w:r>
      <w:r w:rsidRPr="00990234">
        <w:rPr>
          <w:rFonts w:ascii="Times New Roman" w:hAnsi="Times New Roman" w:cs="Times New Roman"/>
          <w:noProof/>
        </w:rPr>
        <w:t>(Hayes, Allen, &amp; Bennett, 2013)</w:t>
      </w:r>
      <w:r w:rsidRPr="00990234">
        <w:rPr>
          <w:rFonts w:ascii="Times New Roman" w:hAnsi="Times New Roman" w:cs="Times New Roman"/>
        </w:rPr>
        <w:fldChar w:fldCharType="end"/>
      </w:r>
      <w:r w:rsidRPr="00990234">
        <w:rPr>
          <w:rFonts w:ascii="Times New Roman" w:hAnsi="Times New Roman" w:cs="Times New Roman"/>
        </w:rPr>
        <w:t xml:space="preserve">. The LMS is a quasi-logarithmically spaced verbally labelled line describing hedonic intensity </w:t>
      </w:r>
      <w:r w:rsidR="0035321C" w:rsidRPr="00990234">
        <w:rPr>
          <w:rFonts w:ascii="Times New Roman" w:hAnsi="Times New Roman" w:cs="Times New Roman"/>
        </w:rPr>
        <w:t xml:space="preserve">from </w:t>
      </w:r>
      <w:r w:rsidR="0035321C" w:rsidRPr="00990234">
        <w:rPr>
          <w:rFonts w:ascii="Times New Roman" w:hAnsi="Times New Roman" w:cs="Times New Roman"/>
          <w:i/>
        </w:rPr>
        <w:t>strongest imaginable</w:t>
      </w:r>
      <w:r w:rsidRPr="00990234">
        <w:rPr>
          <w:rFonts w:ascii="Times New Roman" w:hAnsi="Times New Roman" w:cs="Times New Roman"/>
        </w:rPr>
        <w:t xml:space="preserve"> to </w:t>
      </w:r>
      <w:r w:rsidRPr="00990234">
        <w:rPr>
          <w:rFonts w:ascii="Times New Roman" w:hAnsi="Times New Roman" w:cs="Times New Roman"/>
          <w:i/>
        </w:rPr>
        <w:t>no sensation</w:t>
      </w:r>
      <w:r w:rsidRPr="00990234">
        <w:rPr>
          <w:rFonts w:ascii="Times New Roman" w:hAnsi="Times New Roman" w:cs="Times New Roman"/>
        </w:rPr>
        <w:t xml:space="preserve">. Participants were instructed to place a mark on the line </w:t>
      </w:r>
      <w:r w:rsidRPr="00990234">
        <w:rPr>
          <w:rFonts w:ascii="Times New Roman" w:hAnsi="Times New Roman" w:cs="Times New Roman"/>
        </w:rPr>
        <w:lastRenderedPageBreak/>
        <w:t xml:space="preserve">where their perceived intensity of </w:t>
      </w:r>
      <w:r w:rsidR="002D004F" w:rsidRPr="00990234">
        <w:rPr>
          <w:rFonts w:ascii="Times New Roman" w:hAnsi="Times New Roman" w:cs="Times New Roman"/>
        </w:rPr>
        <w:t xml:space="preserve">pleasantness for </w:t>
      </w:r>
      <w:r w:rsidR="004557F5" w:rsidRPr="00990234">
        <w:rPr>
          <w:rFonts w:ascii="Times New Roman" w:hAnsi="Times New Roman" w:cs="Times New Roman"/>
        </w:rPr>
        <w:t>s</w:t>
      </w:r>
      <w:r w:rsidR="002D004F" w:rsidRPr="00990234">
        <w:rPr>
          <w:rFonts w:ascii="Times New Roman" w:hAnsi="Times New Roman" w:cs="Times New Roman"/>
        </w:rPr>
        <w:t xml:space="preserve">weet, or unpleasantness for </w:t>
      </w:r>
      <w:r w:rsidR="004557F5" w:rsidRPr="00990234">
        <w:rPr>
          <w:rFonts w:ascii="Times New Roman" w:hAnsi="Times New Roman" w:cs="Times New Roman"/>
        </w:rPr>
        <w:t>b</w:t>
      </w:r>
      <w:r w:rsidR="002D004F" w:rsidRPr="00990234">
        <w:rPr>
          <w:rFonts w:ascii="Times New Roman" w:hAnsi="Times New Roman" w:cs="Times New Roman"/>
        </w:rPr>
        <w:t xml:space="preserve">itter, </w:t>
      </w:r>
      <w:r w:rsidRPr="00990234">
        <w:rPr>
          <w:rFonts w:ascii="Times New Roman" w:hAnsi="Times New Roman" w:cs="Times New Roman"/>
        </w:rPr>
        <w:t xml:space="preserve">lay. </w:t>
      </w:r>
      <w:r w:rsidR="00D041D7" w:rsidRPr="00990234">
        <w:rPr>
          <w:rFonts w:ascii="Times New Roman" w:hAnsi="Times New Roman" w:cs="Times New Roman"/>
        </w:rPr>
        <w:t>B</w:t>
      </w:r>
      <w:r w:rsidRPr="00990234">
        <w:rPr>
          <w:rFonts w:ascii="Times New Roman" w:hAnsi="Times New Roman" w:cs="Times New Roman"/>
        </w:rPr>
        <w:t xml:space="preserve">itter and </w:t>
      </w:r>
      <w:r w:rsidR="004557F5" w:rsidRPr="00990234">
        <w:rPr>
          <w:rFonts w:ascii="Times New Roman" w:hAnsi="Times New Roman" w:cs="Times New Roman"/>
        </w:rPr>
        <w:t>s</w:t>
      </w:r>
      <w:r w:rsidRPr="00990234">
        <w:rPr>
          <w:rFonts w:ascii="Times New Roman" w:hAnsi="Times New Roman" w:cs="Times New Roman"/>
        </w:rPr>
        <w:t xml:space="preserve">weet were administered in separate blocks. Block order was randomised. The taste stimulus was delivered for 1000 ms. Participants then rated the taste on the LMS and had a sip of water before moving on to the next taste. Participants rated each stimulus </w:t>
      </w:r>
      <w:r w:rsidR="00714357" w:rsidRPr="00990234">
        <w:rPr>
          <w:rFonts w:ascii="Times New Roman" w:hAnsi="Times New Roman" w:cs="Times New Roman"/>
        </w:rPr>
        <w:t>five</w:t>
      </w:r>
      <w:r w:rsidRPr="00990234">
        <w:rPr>
          <w:rFonts w:ascii="Times New Roman" w:hAnsi="Times New Roman" w:cs="Times New Roman"/>
        </w:rPr>
        <w:t xml:space="preserve"> times in each block. Trial order was randomised. On the basis of those ratings, </w:t>
      </w:r>
      <w:r w:rsidR="00714357" w:rsidRPr="00990234">
        <w:rPr>
          <w:rFonts w:ascii="Times New Roman" w:hAnsi="Times New Roman" w:cs="Times New Roman"/>
        </w:rPr>
        <w:t>four</w:t>
      </w:r>
      <w:r w:rsidRPr="00990234">
        <w:rPr>
          <w:rFonts w:ascii="Times New Roman" w:hAnsi="Times New Roman" w:cs="Times New Roman"/>
        </w:rPr>
        <w:t xml:space="preserve"> concentrations were selected for each participant (see Materials).   </w:t>
      </w:r>
    </w:p>
    <w:p w:rsidR="00A45901" w:rsidRPr="00990234" w:rsidRDefault="00A45901" w:rsidP="00E756E0">
      <w:pPr>
        <w:spacing w:after="0" w:line="480" w:lineRule="auto"/>
        <w:ind w:right="-113" w:firstLine="720"/>
        <w:rPr>
          <w:rFonts w:ascii="Times New Roman" w:hAnsi="Times New Roman" w:cs="Times New Roman"/>
        </w:rPr>
      </w:pPr>
      <w:r w:rsidRPr="00990234">
        <w:rPr>
          <w:rFonts w:ascii="Times New Roman" w:hAnsi="Times New Roman" w:cs="Times New Roman"/>
        </w:rPr>
        <w:t>On the second visit, participants were sat in a quiet, dimly lit room. A total of 720 trials were administered</w:t>
      </w:r>
      <w:r w:rsidR="00030EE3" w:rsidRPr="00990234">
        <w:rPr>
          <w:rFonts w:ascii="Times New Roman" w:hAnsi="Times New Roman" w:cs="Times New Roman"/>
        </w:rPr>
        <w:t xml:space="preserve"> in the high magnitude condition</w:t>
      </w:r>
      <w:r w:rsidRPr="00990234">
        <w:rPr>
          <w:rFonts w:ascii="Times New Roman" w:hAnsi="Times New Roman" w:cs="Times New Roman"/>
        </w:rPr>
        <w:t xml:space="preserve">. Each trial lasted 10 seconds, and the entire session lasted 3 hours. </w:t>
      </w:r>
      <w:r w:rsidR="00220C1F" w:rsidRPr="00990234">
        <w:rPr>
          <w:rFonts w:ascii="Times New Roman" w:hAnsi="Times New Roman" w:cs="Times New Roman"/>
        </w:rPr>
        <w:t>B</w:t>
      </w:r>
      <w:r w:rsidRPr="00990234">
        <w:rPr>
          <w:rFonts w:ascii="Times New Roman" w:hAnsi="Times New Roman" w:cs="Times New Roman"/>
        </w:rPr>
        <w:t>itter</w:t>
      </w:r>
      <w:r w:rsidR="00220C1F" w:rsidRPr="00990234">
        <w:rPr>
          <w:rFonts w:ascii="Times New Roman" w:hAnsi="Times New Roman" w:cs="Times New Roman"/>
        </w:rPr>
        <w:t xml:space="preserve"> and </w:t>
      </w:r>
      <w:r w:rsidR="004557F5" w:rsidRPr="00990234">
        <w:rPr>
          <w:rFonts w:ascii="Times New Roman" w:hAnsi="Times New Roman" w:cs="Times New Roman"/>
        </w:rPr>
        <w:t>s</w:t>
      </w:r>
      <w:r w:rsidR="00220C1F" w:rsidRPr="00990234">
        <w:rPr>
          <w:rFonts w:ascii="Times New Roman" w:hAnsi="Times New Roman" w:cs="Times New Roman"/>
        </w:rPr>
        <w:t>weet</w:t>
      </w:r>
      <w:r w:rsidRPr="00990234">
        <w:rPr>
          <w:rFonts w:ascii="Times New Roman" w:hAnsi="Times New Roman" w:cs="Times New Roman"/>
        </w:rPr>
        <w:t xml:space="preserve"> were administered in separate, alternating and counterbalanced blocks. The different magnitude and probability conditions were presented </w:t>
      </w:r>
      <w:proofErr w:type="spellStart"/>
      <w:r w:rsidRPr="00990234">
        <w:rPr>
          <w:rFonts w:ascii="Times New Roman" w:hAnsi="Times New Roman" w:cs="Times New Roman"/>
        </w:rPr>
        <w:t>pseudorandomly</w:t>
      </w:r>
      <w:proofErr w:type="spellEnd"/>
      <w:r w:rsidRPr="00990234">
        <w:rPr>
          <w:rFonts w:ascii="Times New Roman" w:hAnsi="Times New Roman" w:cs="Times New Roman"/>
        </w:rPr>
        <w:t xml:space="preserve"> within each block. </w:t>
      </w:r>
    </w:p>
    <w:p w:rsidR="00A45901" w:rsidRPr="00990234" w:rsidRDefault="00A45901" w:rsidP="00E756E0">
      <w:pPr>
        <w:spacing w:after="0" w:line="480" w:lineRule="auto"/>
        <w:ind w:right="-113" w:firstLine="720"/>
        <w:rPr>
          <w:rFonts w:ascii="Times New Roman" w:hAnsi="Times New Roman" w:cs="Times New Roman"/>
        </w:rPr>
      </w:pPr>
      <w:r w:rsidRPr="00990234">
        <w:rPr>
          <w:rFonts w:ascii="Times New Roman" w:hAnsi="Times New Roman" w:cs="Times New Roman"/>
        </w:rPr>
        <w:t>Participants were advised at the beginning of a block whether it was a ‘</w:t>
      </w:r>
      <w:r w:rsidR="004557F5" w:rsidRPr="00990234">
        <w:rPr>
          <w:rFonts w:ascii="Times New Roman" w:hAnsi="Times New Roman" w:cs="Times New Roman"/>
        </w:rPr>
        <w:t>s</w:t>
      </w:r>
      <w:r w:rsidRPr="00990234">
        <w:rPr>
          <w:rFonts w:ascii="Times New Roman" w:hAnsi="Times New Roman" w:cs="Times New Roman"/>
        </w:rPr>
        <w:t>weet’ block, or a ‘</w:t>
      </w:r>
      <w:r w:rsidR="004557F5" w:rsidRPr="00990234">
        <w:rPr>
          <w:rFonts w:ascii="Times New Roman" w:hAnsi="Times New Roman" w:cs="Times New Roman"/>
        </w:rPr>
        <w:t>b</w:t>
      </w:r>
      <w:r w:rsidRPr="00990234">
        <w:rPr>
          <w:rFonts w:ascii="Times New Roman" w:hAnsi="Times New Roman" w:cs="Times New Roman"/>
        </w:rPr>
        <w:t xml:space="preserve">itter’ block. Figure 1 depicts </w:t>
      </w:r>
      <w:r w:rsidR="00201E3A" w:rsidRPr="00990234">
        <w:rPr>
          <w:rFonts w:ascii="Times New Roman" w:hAnsi="Times New Roman" w:cs="Times New Roman"/>
        </w:rPr>
        <w:t>a schematic of the design and a</w:t>
      </w:r>
      <w:r w:rsidRPr="00990234">
        <w:rPr>
          <w:rFonts w:ascii="Times New Roman" w:hAnsi="Times New Roman" w:cs="Times New Roman"/>
        </w:rPr>
        <w:t xml:space="preserve"> timeline of each trial. A fixation cross was presented </w:t>
      </w:r>
      <w:r w:rsidR="004B32D6" w:rsidRPr="00990234">
        <w:rPr>
          <w:rFonts w:ascii="Times New Roman" w:hAnsi="Times New Roman" w:cs="Times New Roman"/>
        </w:rPr>
        <w:t>for 500</w:t>
      </w:r>
      <w:r w:rsidRPr="00990234">
        <w:rPr>
          <w:rFonts w:ascii="Times New Roman" w:hAnsi="Times New Roman" w:cs="Times New Roman"/>
        </w:rPr>
        <w:t xml:space="preserve">ms followed by a veridical probability cue presented for 750ms which set up expectations: either 75% probability of taste </w:t>
      </w:r>
      <w:r w:rsidR="004557F5" w:rsidRPr="00990234">
        <w:rPr>
          <w:rFonts w:ascii="Times New Roman" w:hAnsi="Times New Roman" w:cs="Times New Roman"/>
        </w:rPr>
        <w:t>d</w:t>
      </w:r>
      <w:r w:rsidRPr="00990234">
        <w:rPr>
          <w:rFonts w:ascii="Times New Roman" w:hAnsi="Times New Roman" w:cs="Times New Roman"/>
        </w:rPr>
        <w:t xml:space="preserve">elivery and 25% taste </w:t>
      </w:r>
      <w:r w:rsidR="004557F5" w:rsidRPr="00990234">
        <w:rPr>
          <w:rFonts w:ascii="Times New Roman" w:hAnsi="Times New Roman" w:cs="Times New Roman"/>
        </w:rPr>
        <w:t>o</w:t>
      </w:r>
      <w:r w:rsidRPr="00990234">
        <w:rPr>
          <w:rFonts w:ascii="Times New Roman" w:hAnsi="Times New Roman" w:cs="Times New Roman"/>
        </w:rPr>
        <w:t xml:space="preserve">mission, or 75% probability of taste </w:t>
      </w:r>
      <w:r w:rsidR="004557F5" w:rsidRPr="00990234">
        <w:rPr>
          <w:rFonts w:ascii="Times New Roman" w:hAnsi="Times New Roman" w:cs="Times New Roman"/>
        </w:rPr>
        <w:t>o</w:t>
      </w:r>
      <w:r w:rsidRPr="00990234">
        <w:rPr>
          <w:rFonts w:ascii="Times New Roman" w:hAnsi="Times New Roman" w:cs="Times New Roman"/>
        </w:rPr>
        <w:t xml:space="preserve">mission and 25% taste </w:t>
      </w:r>
      <w:r w:rsidR="004557F5" w:rsidRPr="00990234">
        <w:rPr>
          <w:rFonts w:ascii="Times New Roman" w:hAnsi="Times New Roman" w:cs="Times New Roman"/>
        </w:rPr>
        <w:t>d</w:t>
      </w:r>
      <w:r w:rsidRPr="00990234">
        <w:rPr>
          <w:rFonts w:ascii="Times New Roman" w:hAnsi="Times New Roman" w:cs="Times New Roman"/>
        </w:rPr>
        <w:t xml:space="preserve">elivery. Next, an outcome cue was presented for 750ms. The outcome cue signalled the actual outcome (with 100% probability) of either </w:t>
      </w:r>
      <w:r w:rsidR="004557F5" w:rsidRPr="00990234">
        <w:rPr>
          <w:rFonts w:ascii="Times New Roman" w:hAnsi="Times New Roman" w:cs="Times New Roman"/>
        </w:rPr>
        <w:t>d</w:t>
      </w:r>
      <w:r w:rsidRPr="00990234">
        <w:rPr>
          <w:rFonts w:ascii="Times New Roman" w:hAnsi="Times New Roman" w:cs="Times New Roman"/>
        </w:rPr>
        <w:t xml:space="preserve">elivery (orange) or </w:t>
      </w:r>
      <w:r w:rsidR="004557F5" w:rsidRPr="00990234">
        <w:rPr>
          <w:rFonts w:ascii="Times New Roman" w:hAnsi="Times New Roman" w:cs="Times New Roman"/>
        </w:rPr>
        <w:t>o</w:t>
      </w:r>
      <w:r w:rsidRPr="00990234">
        <w:rPr>
          <w:rFonts w:ascii="Times New Roman" w:hAnsi="Times New Roman" w:cs="Times New Roman"/>
        </w:rPr>
        <w:t xml:space="preserve">mission (grey) of the taste. The probability of the </w:t>
      </w:r>
      <w:r w:rsidR="004557F5" w:rsidRPr="00990234">
        <w:rPr>
          <w:rFonts w:ascii="Times New Roman" w:hAnsi="Times New Roman" w:cs="Times New Roman"/>
        </w:rPr>
        <w:t>d</w:t>
      </w:r>
      <w:r w:rsidRPr="00990234">
        <w:rPr>
          <w:rFonts w:ascii="Times New Roman" w:hAnsi="Times New Roman" w:cs="Times New Roman"/>
        </w:rPr>
        <w:t>eliver/</w:t>
      </w:r>
      <w:r w:rsidR="004557F5" w:rsidRPr="00990234">
        <w:rPr>
          <w:rFonts w:ascii="Times New Roman" w:hAnsi="Times New Roman" w:cs="Times New Roman"/>
        </w:rPr>
        <w:t>o</w:t>
      </w:r>
      <w:r w:rsidRPr="00990234">
        <w:rPr>
          <w:rFonts w:ascii="Times New Roman" w:hAnsi="Times New Roman" w:cs="Times New Roman"/>
        </w:rPr>
        <w:t xml:space="preserve">mit outcome cues followed the statistics of the expectation cues: </w:t>
      </w:r>
      <w:r w:rsidR="00990234">
        <w:rPr>
          <w:rFonts w:ascii="Times New Roman" w:hAnsi="Times New Roman" w:cs="Times New Roman"/>
        </w:rPr>
        <w:t>O</w:t>
      </w:r>
      <w:r w:rsidRPr="00990234">
        <w:rPr>
          <w:rFonts w:ascii="Times New Roman" w:hAnsi="Times New Roman" w:cs="Times New Roman"/>
        </w:rPr>
        <w:t xml:space="preserve">n trials with 25% probability of taste </w:t>
      </w:r>
      <w:r w:rsidR="004557F5" w:rsidRPr="00990234">
        <w:rPr>
          <w:rFonts w:ascii="Times New Roman" w:hAnsi="Times New Roman" w:cs="Times New Roman"/>
        </w:rPr>
        <w:t>d</w:t>
      </w:r>
      <w:r w:rsidRPr="00990234">
        <w:rPr>
          <w:rFonts w:ascii="Times New Roman" w:hAnsi="Times New Roman" w:cs="Times New Roman"/>
        </w:rPr>
        <w:t xml:space="preserve">elivery, the taste </w:t>
      </w:r>
      <w:r w:rsidR="004557F5" w:rsidRPr="00990234">
        <w:rPr>
          <w:rFonts w:ascii="Times New Roman" w:hAnsi="Times New Roman" w:cs="Times New Roman"/>
        </w:rPr>
        <w:t>d</w:t>
      </w:r>
      <w:r w:rsidRPr="00990234">
        <w:rPr>
          <w:rFonts w:ascii="Times New Roman" w:hAnsi="Times New Roman" w:cs="Times New Roman"/>
        </w:rPr>
        <w:t xml:space="preserve">elivery outcome cue was presented 25% of the time, and on trials with 75% probability of taste </w:t>
      </w:r>
      <w:r w:rsidR="004557F5" w:rsidRPr="00990234">
        <w:rPr>
          <w:rFonts w:ascii="Times New Roman" w:hAnsi="Times New Roman" w:cs="Times New Roman"/>
        </w:rPr>
        <w:t>d</w:t>
      </w:r>
      <w:r w:rsidRPr="00990234">
        <w:rPr>
          <w:rFonts w:ascii="Times New Roman" w:hAnsi="Times New Roman" w:cs="Times New Roman"/>
        </w:rPr>
        <w:t xml:space="preserve">elivery, the taste </w:t>
      </w:r>
      <w:r w:rsidR="004557F5" w:rsidRPr="00990234">
        <w:rPr>
          <w:rFonts w:ascii="Times New Roman" w:hAnsi="Times New Roman" w:cs="Times New Roman"/>
        </w:rPr>
        <w:t>d</w:t>
      </w:r>
      <w:r w:rsidRPr="00990234">
        <w:rPr>
          <w:rFonts w:ascii="Times New Roman" w:hAnsi="Times New Roman" w:cs="Times New Roman"/>
        </w:rPr>
        <w:t xml:space="preserve">elivery outcome cue was presented 75% of the time. Next, the taste was </w:t>
      </w:r>
      <w:r w:rsidR="004557F5" w:rsidRPr="00990234">
        <w:rPr>
          <w:rFonts w:ascii="Times New Roman" w:hAnsi="Times New Roman" w:cs="Times New Roman"/>
        </w:rPr>
        <w:t>d</w:t>
      </w:r>
      <w:r w:rsidRPr="00990234">
        <w:rPr>
          <w:rFonts w:ascii="Times New Roman" w:hAnsi="Times New Roman" w:cs="Times New Roman"/>
        </w:rPr>
        <w:t xml:space="preserve">elivered, or </w:t>
      </w:r>
      <w:r w:rsidR="004557F5" w:rsidRPr="00990234">
        <w:rPr>
          <w:rFonts w:ascii="Times New Roman" w:hAnsi="Times New Roman" w:cs="Times New Roman"/>
        </w:rPr>
        <w:t>o</w:t>
      </w:r>
      <w:r w:rsidRPr="00990234">
        <w:rPr>
          <w:rFonts w:ascii="Times New Roman" w:hAnsi="Times New Roman" w:cs="Times New Roman"/>
        </w:rPr>
        <w:t>mitted, based on the outcome cue. On ‘</w:t>
      </w:r>
      <w:r w:rsidR="004557F5" w:rsidRPr="00990234">
        <w:rPr>
          <w:rFonts w:ascii="Times New Roman" w:hAnsi="Times New Roman" w:cs="Times New Roman"/>
        </w:rPr>
        <w:t>o</w:t>
      </w:r>
      <w:r w:rsidRPr="00990234">
        <w:rPr>
          <w:rFonts w:ascii="Times New Roman" w:hAnsi="Times New Roman" w:cs="Times New Roman"/>
        </w:rPr>
        <w:t>mit’ trials a neutral solution was delivered. Both taste solutions and neutral solutions were administered for 1000ms. Finally, a wash of neutral solution for 1250ms prepared the participant for the next trial. There was a pause of 2500ms during which the screen was black before the next trial began (see figure 1).</w:t>
      </w:r>
    </w:p>
    <w:p w:rsidR="00A45901" w:rsidRPr="00990234" w:rsidRDefault="00A45901" w:rsidP="00E756E0">
      <w:pPr>
        <w:spacing w:after="0" w:line="480" w:lineRule="auto"/>
        <w:ind w:right="-113" w:firstLine="720"/>
        <w:rPr>
          <w:rFonts w:ascii="Times New Roman" w:hAnsi="Times New Roman" w:cs="Times New Roman"/>
        </w:rPr>
      </w:pPr>
      <w:r w:rsidRPr="00990234">
        <w:rPr>
          <w:rFonts w:ascii="Times New Roman" w:hAnsi="Times New Roman" w:cs="Times New Roman"/>
        </w:rPr>
        <w:t xml:space="preserve">Breaks were provided every 40 trials. Every 80 trials a randomly selected cue was presented to participants and they were asked to identify whether they had seen this in the last 40 trials. This was designed as a check that participants were paying attention to the images on the screen. </w:t>
      </w:r>
    </w:p>
    <w:p w:rsidR="00A45901" w:rsidRPr="00990234" w:rsidRDefault="00A45901" w:rsidP="00E756E0">
      <w:pPr>
        <w:spacing w:after="0" w:line="480" w:lineRule="auto"/>
        <w:ind w:right="-113" w:firstLine="720"/>
        <w:rPr>
          <w:rFonts w:ascii="Times New Roman" w:hAnsi="Times New Roman" w:cs="Times New Roman"/>
          <w:b/>
          <w:sz w:val="28"/>
          <w:szCs w:val="28"/>
        </w:rPr>
      </w:pPr>
      <w:r w:rsidRPr="00990234">
        <w:rPr>
          <w:rFonts w:ascii="Times New Roman" w:hAnsi="Times New Roman" w:cs="Times New Roman"/>
          <w:noProof/>
          <w:sz w:val="28"/>
          <w:szCs w:val="28"/>
          <w:lang w:eastAsia="en-GB"/>
        </w:rPr>
        <w:lastRenderedPageBreak/>
        <w:t xml:space="preserve"> </w:t>
      </w:r>
      <w:r w:rsidRPr="00990234">
        <w:rPr>
          <w:rFonts w:ascii="Times New Roman" w:hAnsi="Times New Roman" w:cs="Times New Roman"/>
          <w:b/>
          <w:sz w:val="28"/>
          <w:szCs w:val="28"/>
        </w:rPr>
        <w:t>EEG recording</w:t>
      </w:r>
    </w:p>
    <w:p w:rsidR="00A45901" w:rsidRPr="00990234" w:rsidRDefault="00A45901" w:rsidP="00E756E0">
      <w:pPr>
        <w:spacing w:after="0" w:line="480" w:lineRule="auto"/>
        <w:ind w:right="-113" w:firstLine="720"/>
        <w:rPr>
          <w:rFonts w:ascii="Times New Roman" w:hAnsi="Times New Roman" w:cs="Times New Roman"/>
        </w:rPr>
      </w:pPr>
      <w:r w:rsidRPr="00990234">
        <w:rPr>
          <w:rFonts w:ascii="Times New Roman" w:hAnsi="Times New Roman" w:cs="Times New Roman"/>
        </w:rPr>
        <w:t>Continuous EEG recording was acquired at a sampling rate of 512 Hertz using a 64 electrode Active-Two amplifier system (Biosemi,</w:t>
      </w:r>
      <w:r w:rsidR="00161701" w:rsidRPr="00990234">
        <w:rPr>
          <w:rFonts w:ascii="Times New Roman" w:hAnsi="Times New Roman" w:cs="Times New Roman"/>
        </w:rPr>
        <w:t xml:space="preserve"> </w:t>
      </w:r>
      <w:r w:rsidRPr="00990234">
        <w:rPr>
          <w:rFonts w:ascii="Times New Roman" w:hAnsi="Times New Roman" w:cs="Times New Roman"/>
        </w:rPr>
        <w:t xml:space="preserve">Amsterdam, Netherlands) </w:t>
      </w:r>
      <w:r w:rsidRPr="00990234">
        <w:rPr>
          <w:rFonts w:ascii="Times New Roman" w:hAnsi="Times New Roman" w:cs="Times New Roman"/>
          <w:shd w:val="clear" w:color="auto" w:fill="FFFFFF"/>
        </w:rPr>
        <w:t>with Actiview acquisition software (Bio</w:t>
      </w:r>
      <w:r w:rsidR="00161701" w:rsidRPr="00990234">
        <w:rPr>
          <w:rFonts w:ascii="Times New Roman" w:hAnsi="Times New Roman" w:cs="Times New Roman"/>
          <w:shd w:val="clear" w:color="auto" w:fill="FFFFFF"/>
        </w:rPr>
        <w:t>s</w:t>
      </w:r>
      <w:r w:rsidRPr="00990234">
        <w:rPr>
          <w:rFonts w:ascii="Times New Roman" w:hAnsi="Times New Roman" w:cs="Times New Roman"/>
          <w:shd w:val="clear" w:color="auto" w:fill="FFFFFF"/>
        </w:rPr>
        <w:t>emi, Netherlands). Here, an active and passive electrode replaces the ground electrode to create a feedback loop that drives the average potential of the subject (the common mode voltage) as close as possible to the analog</w:t>
      </w:r>
      <w:r w:rsidR="004E54F7" w:rsidRPr="00990234">
        <w:rPr>
          <w:rFonts w:ascii="Times New Roman" w:hAnsi="Times New Roman" w:cs="Times New Roman"/>
          <w:shd w:val="clear" w:color="auto" w:fill="FFFFFF"/>
        </w:rPr>
        <w:t>ue</w:t>
      </w:r>
      <w:r w:rsidRPr="00990234">
        <w:rPr>
          <w:rFonts w:ascii="Times New Roman" w:hAnsi="Times New Roman" w:cs="Times New Roman"/>
          <w:shd w:val="clear" w:color="auto" w:fill="FFFFFF"/>
        </w:rPr>
        <w:t>-to-digital converter reference voltage in the analog</w:t>
      </w:r>
      <w:r w:rsidR="004E54F7" w:rsidRPr="00990234">
        <w:rPr>
          <w:rFonts w:ascii="Times New Roman" w:hAnsi="Times New Roman" w:cs="Times New Roman"/>
          <w:shd w:val="clear" w:color="auto" w:fill="FFFFFF"/>
        </w:rPr>
        <w:t>ue</w:t>
      </w:r>
      <w:r w:rsidRPr="00990234">
        <w:rPr>
          <w:rFonts w:ascii="Times New Roman" w:hAnsi="Times New Roman" w:cs="Times New Roman"/>
          <w:shd w:val="clear" w:color="auto" w:fill="FFFFFF"/>
        </w:rPr>
        <w:t xml:space="preserve">-to-digital box. </w:t>
      </w:r>
      <w:r w:rsidRPr="00990234">
        <w:rPr>
          <w:rFonts w:ascii="Times New Roman" w:hAnsi="Times New Roman" w:cs="Times New Roman"/>
        </w:rPr>
        <w:t>Vertical and horizontal electro-</w:t>
      </w:r>
      <w:proofErr w:type="spellStart"/>
      <w:r w:rsidRPr="00990234">
        <w:rPr>
          <w:rFonts w:ascii="Times New Roman" w:hAnsi="Times New Roman" w:cs="Times New Roman"/>
        </w:rPr>
        <w:t>oculograms</w:t>
      </w:r>
      <w:proofErr w:type="spellEnd"/>
      <w:r w:rsidRPr="00990234">
        <w:rPr>
          <w:rFonts w:ascii="Times New Roman" w:hAnsi="Times New Roman" w:cs="Times New Roman"/>
        </w:rPr>
        <w:t xml:space="preserve"> (EOG) was measured for detection of eye-movement and blink artefacts. Impedances were kept at 20</w:t>
      </w:r>
      <w:r w:rsidRPr="00990234">
        <w:rPr>
          <w:rFonts w:ascii="Times New Roman" w:hAnsi="Times New Roman" w:cs="Times New Roman"/>
          <w:shd w:val="clear" w:color="auto" w:fill="FFFFFF"/>
        </w:rPr>
        <w:t xml:space="preserve"> KΩ</w:t>
      </w:r>
      <w:r w:rsidRPr="00990234">
        <w:rPr>
          <w:rFonts w:ascii="Times New Roman" w:hAnsi="Times New Roman" w:cs="Times New Roman"/>
        </w:rPr>
        <w:t xml:space="preserve"> or less. The experiment was conducted in a dimmed, quiet room. </w:t>
      </w:r>
    </w:p>
    <w:p w:rsidR="00A45901" w:rsidRPr="00990234" w:rsidRDefault="00A45901" w:rsidP="00E756E0">
      <w:pPr>
        <w:shd w:val="clear" w:color="auto" w:fill="FFFFFF"/>
        <w:spacing w:after="0" w:line="480" w:lineRule="auto"/>
        <w:ind w:right="-113" w:firstLine="720"/>
        <w:textAlignment w:val="baseline"/>
        <w:rPr>
          <w:rFonts w:ascii="Times New Roman" w:eastAsia="Times New Roman" w:hAnsi="Times New Roman" w:cs="Times New Roman"/>
          <w:b/>
          <w:bCs/>
          <w:iCs/>
          <w:sz w:val="28"/>
          <w:szCs w:val="28"/>
          <w:lang w:eastAsia="en-GB"/>
        </w:rPr>
      </w:pPr>
      <w:r w:rsidRPr="00990234">
        <w:rPr>
          <w:rFonts w:ascii="Times New Roman" w:eastAsia="Times New Roman" w:hAnsi="Times New Roman" w:cs="Times New Roman"/>
          <w:b/>
          <w:bCs/>
          <w:iCs/>
          <w:sz w:val="28"/>
          <w:szCs w:val="28"/>
          <w:lang w:eastAsia="en-GB"/>
        </w:rPr>
        <w:t>EEG data analyses</w:t>
      </w:r>
    </w:p>
    <w:p w:rsidR="00A45901" w:rsidRPr="00990234" w:rsidRDefault="00A45901" w:rsidP="00E756E0">
      <w:pPr>
        <w:shd w:val="clear" w:color="auto" w:fill="FFFFFF"/>
        <w:spacing w:after="0" w:line="480" w:lineRule="auto"/>
        <w:ind w:right="-113" w:firstLine="720"/>
        <w:textAlignment w:val="baseline"/>
        <w:rPr>
          <w:rFonts w:ascii="Times New Roman" w:eastAsia="Times New Roman" w:hAnsi="Times New Roman" w:cs="Times New Roman"/>
          <w:b/>
          <w:bCs/>
          <w:iCs/>
          <w:lang w:eastAsia="en-GB"/>
        </w:rPr>
      </w:pPr>
      <w:r w:rsidRPr="00990234">
        <w:rPr>
          <w:rFonts w:ascii="Times New Roman" w:eastAsia="Times New Roman" w:hAnsi="Times New Roman" w:cs="Times New Roman"/>
          <w:b/>
          <w:bCs/>
          <w:iCs/>
          <w:lang w:eastAsia="en-GB"/>
        </w:rPr>
        <w:t>Preprocessing</w:t>
      </w:r>
    </w:p>
    <w:p w:rsidR="00A45901" w:rsidRPr="00990234" w:rsidRDefault="00A45901" w:rsidP="000C7AE4">
      <w:pPr>
        <w:autoSpaceDE w:val="0"/>
        <w:autoSpaceDN w:val="0"/>
        <w:adjustRightInd w:val="0"/>
        <w:spacing w:after="0" w:line="480" w:lineRule="auto"/>
        <w:ind w:right="-113" w:firstLine="720"/>
        <w:rPr>
          <w:rFonts w:ascii="Times New Roman" w:eastAsia="Times New Roman" w:hAnsi="Times New Roman" w:cs="Times New Roman"/>
          <w:lang w:eastAsia="en-GB"/>
        </w:rPr>
      </w:pPr>
      <w:r w:rsidRPr="00990234">
        <w:rPr>
          <w:rFonts w:ascii="Times New Roman" w:eastAsia="Times New Roman" w:hAnsi="Times New Roman" w:cs="Times New Roman"/>
          <w:lang w:eastAsia="en-GB"/>
        </w:rPr>
        <w:t xml:space="preserve">The ERP time-locked to the outcome cue was </w:t>
      </w:r>
      <w:proofErr w:type="spellStart"/>
      <w:r w:rsidR="00BF26BC" w:rsidRPr="00990234">
        <w:rPr>
          <w:rFonts w:ascii="Times New Roman" w:eastAsia="Times New Roman" w:hAnsi="Times New Roman" w:cs="Times New Roman"/>
          <w:lang w:eastAsia="en-GB"/>
        </w:rPr>
        <w:t>preprocessed</w:t>
      </w:r>
      <w:proofErr w:type="spellEnd"/>
      <w:r w:rsidRPr="00990234">
        <w:rPr>
          <w:rFonts w:ascii="Times New Roman" w:eastAsia="Times New Roman" w:hAnsi="Times New Roman" w:cs="Times New Roman"/>
          <w:lang w:eastAsia="en-GB"/>
        </w:rPr>
        <w:t xml:space="preserve"> using SPM12 </w:t>
      </w:r>
      <w:r w:rsidRPr="00990234">
        <w:rPr>
          <w:rFonts w:ascii="Times New Roman" w:eastAsia="Times New Roman" w:hAnsi="Times New Roman" w:cs="Times New Roman"/>
          <w:lang w:eastAsia="en-GB"/>
        </w:rPr>
        <w:fldChar w:fldCharType="begin" w:fldLock="1"/>
      </w:r>
      <w:r w:rsidR="00E730F1" w:rsidRPr="00990234">
        <w:rPr>
          <w:rFonts w:ascii="Times New Roman" w:eastAsia="Times New Roman" w:hAnsi="Times New Roman" w:cs="Times New Roman"/>
          <w:lang w:eastAsia="en-GB"/>
        </w:rPr>
        <w:instrText>ADDIN CSL_CITATION { "citationItems" : [ { "id" : "ITEM-1", "itemData" : { "DOI" : "10.1155/2011/852961", "ISSN" : "1687-5265", "abstract" : "&lt;p&gt;SPM is a free and open source software written in MATLAB (The MathWorks, Inc.). In addition to standard M/EEG preprocessing, we presently offer three main analysis tools: (i) statistical analysis of scalp-maps, time-frequency images, and volumetric 3D source reconstruction images based on the general linear model, with correction for multiple comparisons using random field theory; (ii) Bayesian M/EEG source reconstruction, including support for group studies, simultaneous EEG and MEG, and fMRI priors; (iii) dynamic causal modelling (DCM), an approach combining neural modelling with data analysis for which there are several variants dealing with evoked responses, steady state responses (power spectra and cross-spectra), induced responses, and phase coupling. SPM8 is integrated with the FieldTrip toolbox , making it possible for users to combine a variety of standard analysis methods with new schemes implemented in SPM and build custom analysis tools using powerful graphical user interface (GUI) and batching tools.&lt;/p&gt;", "author" : [ { "dropping-particle" : "", "family" : "Litvak", "given" : "Vladimir", "non-dropping-particle" : "", "parse-names" : false, "suffix" : "" }, { "dropping-particle" : "", "family" : "Mattout", "given" : "J\u00e9r\u00e9mie", "non-dropping-particle" : "", "parse-names" : false, "suffix" : "" }, { "dropping-particle" : "", "family" : "Kiebel", "given" : "Stefan", "non-dropping-particle" : "", "parse-names" : false, "suffix" : "" }, { "dropping-particle" : "", "family" : "Phillips", "given" : "Christophe", "non-dropping-particle" : "", "parse-names" : false, "suffix" : "" }, { "dropping-particle" : "", "family" : "Henson", "given" : "Richard", "non-dropping-particle" : "", "parse-names" : false, "suffix" : "" }, { "dropping-particle" : "", "family" : "Kilner", "given" : "James", "non-dropping-particle" : "", "parse-names" : false, "suffix" : "" }, { "dropping-particle" : "", "family" : "Barnes", "given" : "Gareth", "non-dropping-particle" : "", "parse-names" : false, "suffix" : "" }, { "dropping-particle" : "", "family" : "Oostenveld", "given" : "Robert", "non-dropping-particle" : "", "parse-names" : false, "suffix" : "" }, { "dropping-particle" : "", "family" : "Daunizeau", "given" : "Jean", "non-dropping-particle" : "", "parse-names" : false, "suffix" : "" }, { "dropping-particle" : "", "family" : "Flandin", "given" : "Guillaume", "non-dropping-particle" : "", "parse-names" : false, "suffix" : "" }, { "dropping-particle" : "", "family" : "Penny", "given" : "Will", "non-dropping-particle" : "", "parse-names" : false, "suffix" : "" }, { "dropping-particle" : "", "family" : "Friston", "given" : "Karl", "non-dropping-particle" : "", "parse-names" : false, "suffix" : "" } ], "container-title" : "Computational Intelligence and Neuroscience", "id" : "ITEM-1", "issued" : { "date-parts" : [ [ "2011" ] ] }, "page" : "1-32", "title" : "EEG and MEG Data Analysis in SPM8", "type" : "article-journal", "volume" : "2011" }, "uris" : [ "http://www.mendeley.com/documents/?uuid=b5c69899-997c-44db-9fb2-d94683a1bbc2" ] }, { "id" : "ITEM-2", "itemData" : { "DOI" : "10.1111/j.1365-294X.2006.02813.x", "ISBN" : "0962-1083", "ISSN" : "09621083", "PMID" : "16499698", "abstract" : "Manual zu SPM8", "author" : [ { "dropping-particle" : "", "family" : "Ashburner", "given" : "John", "non-dropping-particle" : "", "parse-names" : false, "suffix" : "" }, { "dropping-particle" : "", "family" : "Barnes", "given" : "Gareth", "non-dropping-particle" : "", "parse-names" : false, "suffix" : "" }, { "dropping-particle" : "", "family" : "Chen", "given" : "Chun-chuan", "non-dropping-particle" : "", "parse-names" : false, "suffix" : "" }, { "dropping-particle" : "", "family" : "Daunizeau", "given" : "Jean", "non-dropping-particle" : "", "parse-names" : false, "suffix" : "" }, { "dropping-particle" : "", "family" : "Moran", "given" : "Rosalyn", "non-dropping-particle" : "", "parse-names" : false, "suffix" : "" }, { "dropping-particle" : "", "family" : "Henson", "given" : "Rik", "non-dropping-particle" : "", "parse-names" : false, "suffix" : "" }, { "dropping-particle" : "", "family" : "Glauche", "given" : "Volkmar", "non-dropping-particle" : "", "parse-names" : false, "suffix" : "" }, { "dropping-particle" : "", "family" : "Phillips", "given" : "Christophe", "non-dropping-particle" : "", "parse-names" : false, "suffix" : "" } ], "container-title" : "Functional Imaging Laboratory", "id" : "ITEM-2", "issued" : { "date-parts" : [ [ "2013" ] ] }, "page" : "475-1", "title" : "SPM8 Manual The FIL Methods Group ( and honorary members )", "type" : "article-journal" }, "uris" : [ "http://www.mendeley.com/documents/?uuid=5eb146ca-4396-46f0-bae9-dc9668273172" ] } ], "mendeley" : { "formattedCitation" : "(Ashburner et al., 2013; Litvak et al., 2011)", "plainTextFormattedCitation" : "(Ashburner et al., 2013; Litvak et al., 2011)", "previouslyFormattedCitation" : "(Ashburner et al., 2013; Litvak et al., 2011)" }, "properties" : { "noteIndex" : 0 }, "schema" : "https://github.com/citation-style-language/schema/raw/master/csl-citation.json" }</w:instrText>
      </w:r>
      <w:r w:rsidRPr="00990234">
        <w:rPr>
          <w:rFonts w:ascii="Times New Roman" w:eastAsia="Times New Roman" w:hAnsi="Times New Roman" w:cs="Times New Roman"/>
          <w:lang w:eastAsia="en-GB"/>
        </w:rPr>
        <w:fldChar w:fldCharType="separate"/>
      </w:r>
      <w:r w:rsidRPr="00990234">
        <w:rPr>
          <w:rFonts w:ascii="Times New Roman" w:eastAsia="Times New Roman" w:hAnsi="Times New Roman" w:cs="Times New Roman"/>
          <w:noProof/>
          <w:lang w:eastAsia="en-GB"/>
        </w:rPr>
        <w:t>(Ashburner et al., 2013; Litvak et al., 2011)</w:t>
      </w:r>
      <w:r w:rsidRPr="00990234">
        <w:rPr>
          <w:rFonts w:ascii="Times New Roman" w:eastAsia="Times New Roman" w:hAnsi="Times New Roman" w:cs="Times New Roman"/>
          <w:lang w:eastAsia="en-GB"/>
        </w:rPr>
        <w:fldChar w:fldCharType="end"/>
      </w:r>
      <w:r w:rsidRPr="00990234">
        <w:rPr>
          <w:rFonts w:ascii="Times New Roman" w:eastAsia="Times New Roman" w:hAnsi="Times New Roman" w:cs="Times New Roman"/>
          <w:lang w:eastAsia="en-GB"/>
        </w:rPr>
        <w:t xml:space="preserve">. The signal was re-referenced to the mean of all scalp electrodes, </w:t>
      </w:r>
      <w:proofErr w:type="spellStart"/>
      <w:r w:rsidRPr="00990234">
        <w:rPr>
          <w:rFonts w:ascii="Times New Roman" w:eastAsia="Times New Roman" w:hAnsi="Times New Roman" w:cs="Times New Roman"/>
          <w:lang w:eastAsia="en-GB"/>
        </w:rPr>
        <w:t>downsampled</w:t>
      </w:r>
      <w:proofErr w:type="spellEnd"/>
      <w:r w:rsidRPr="00990234">
        <w:rPr>
          <w:rFonts w:ascii="Times New Roman" w:eastAsia="Times New Roman" w:hAnsi="Times New Roman" w:cs="Times New Roman"/>
          <w:lang w:eastAsia="en-GB"/>
        </w:rPr>
        <w:t xml:space="preserve"> to 200 Hertz (Hz), and filtered with a Butterworth filter between 0.1 and 30 Hz. Epochs were extracted 200ms before the outcome cue to 600ms </w:t>
      </w:r>
      <w:r w:rsidR="00201E3A" w:rsidRPr="00990234">
        <w:rPr>
          <w:rFonts w:ascii="Times New Roman" w:eastAsia="Times New Roman" w:hAnsi="Times New Roman" w:cs="Times New Roman"/>
          <w:lang w:eastAsia="en-GB"/>
        </w:rPr>
        <w:t>after</w:t>
      </w:r>
      <w:r w:rsidRPr="00990234">
        <w:rPr>
          <w:rFonts w:ascii="Times New Roman" w:eastAsia="Times New Roman" w:hAnsi="Times New Roman" w:cs="Times New Roman"/>
          <w:lang w:eastAsia="en-GB"/>
        </w:rPr>
        <w:t xml:space="preserve">, importantly avoiding the actual delivery of any fluid, which occurred 750ms after the outcome cue. Artefact rejection was achieved by following two steps. Firstly, </w:t>
      </w:r>
      <w:proofErr w:type="spellStart"/>
      <w:r w:rsidRPr="00990234">
        <w:rPr>
          <w:rFonts w:ascii="Times New Roman" w:eastAsia="Times New Roman" w:hAnsi="Times New Roman" w:cs="Times New Roman"/>
          <w:lang w:eastAsia="en-GB"/>
        </w:rPr>
        <w:t>eyeblinks</w:t>
      </w:r>
      <w:proofErr w:type="spellEnd"/>
      <w:r w:rsidRPr="00990234">
        <w:rPr>
          <w:rFonts w:ascii="Times New Roman" w:eastAsia="Times New Roman" w:hAnsi="Times New Roman" w:cs="Times New Roman"/>
          <w:lang w:eastAsia="en-GB"/>
        </w:rPr>
        <w:t xml:space="preserve"> were modelled and underwent artefact rejection at a lenient threshold of 150uV. The resulting </w:t>
      </w:r>
      <w:proofErr w:type="spellStart"/>
      <w:r w:rsidR="00201E3A" w:rsidRPr="00990234">
        <w:rPr>
          <w:rFonts w:ascii="Times New Roman" w:eastAsia="Times New Roman" w:hAnsi="Times New Roman" w:cs="Times New Roman"/>
          <w:lang w:eastAsia="en-GB"/>
        </w:rPr>
        <w:t>eyeblinks</w:t>
      </w:r>
      <w:proofErr w:type="spellEnd"/>
      <w:r w:rsidR="00201E3A" w:rsidRPr="00990234">
        <w:rPr>
          <w:rFonts w:ascii="Times New Roman" w:eastAsia="Times New Roman" w:hAnsi="Times New Roman" w:cs="Times New Roman"/>
          <w:lang w:eastAsia="en-GB"/>
        </w:rPr>
        <w:t xml:space="preserve"> model </w:t>
      </w:r>
      <w:r w:rsidRPr="00990234">
        <w:rPr>
          <w:rFonts w:ascii="Times New Roman" w:eastAsia="Times New Roman" w:hAnsi="Times New Roman" w:cs="Times New Roman"/>
          <w:lang w:eastAsia="en-GB"/>
        </w:rPr>
        <w:t xml:space="preserve">was used to </w:t>
      </w:r>
      <w:r w:rsidR="00201E3A" w:rsidRPr="00990234">
        <w:rPr>
          <w:rFonts w:ascii="Times New Roman" w:eastAsia="Times New Roman" w:hAnsi="Times New Roman" w:cs="Times New Roman"/>
          <w:lang w:eastAsia="en-GB"/>
        </w:rPr>
        <w:t>correct for</w:t>
      </w:r>
      <w:r w:rsidRPr="00990234">
        <w:rPr>
          <w:rFonts w:ascii="Times New Roman" w:eastAsia="Times New Roman" w:hAnsi="Times New Roman" w:cs="Times New Roman"/>
          <w:lang w:eastAsia="en-GB"/>
        </w:rPr>
        <w:t xml:space="preserve"> </w:t>
      </w:r>
      <w:proofErr w:type="spellStart"/>
      <w:r w:rsidRPr="00990234">
        <w:rPr>
          <w:rFonts w:ascii="Times New Roman" w:eastAsia="Times New Roman" w:hAnsi="Times New Roman" w:cs="Times New Roman"/>
          <w:lang w:eastAsia="en-GB"/>
        </w:rPr>
        <w:t>eyeblinks</w:t>
      </w:r>
      <w:proofErr w:type="spellEnd"/>
      <w:r w:rsidRPr="00990234">
        <w:rPr>
          <w:rFonts w:ascii="Times New Roman" w:eastAsia="Times New Roman" w:hAnsi="Times New Roman" w:cs="Times New Roman"/>
          <w:lang w:eastAsia="en-GB"/>
        </w:rPr>
        <w:t>, using t</w:t>
      </w:r>
      <w:r w:rsidR="00392F43" w:rsidRPr="00990234">
        <w:rPr>
          <w:rFonts w:ascii="Times New Roman" w:eastAsia="Times New Roman" w:hAnsi="Times New Roman" w:cs="Times New Roman"/>
          <w:lang w:eastAsia="en-GB"/>
        </w:rPr>
        <w:t xml:space="preserve">he singular value decomposition </w:t>
      </w:r>
      <w:r w:rsidRPr="00990234">
        <w:rPr>
          <w:rFonts w:ascii="Times New Roman" w:eastAsia="Times New Roman" w:hAnsi="Times New Roman" w:cs="Times New Roman"/>
          <w:lang w:eastAsia="en-GB"/>
        </w:rPr>
        <w:t xml:space="preserve">(SVD) technique implemented in SPM12. </w:t>
      </w:r>
      <w:r w:rsidR="00201E3A" w:rsidRPr="00990234">
        <w:rPr>
          <w:rFonts w:ascii="Times New Roman" w:eastAsia="Times New Roman" w:hAnsi="Times New Roman" w:cs="Times New Roman"/>
          <w:lang w:eastAsia="en-GB"/>
        </w:rPr>
        <w:t xml:space="preserve">Any remaining trials </w:t>
      </w:r>
      <w:r w:rsidRPr="00990234">
        <w:rPr>
          <w:rFonts w:ascii="Times New Roman" w:eastAsia="Times New Roman" w:hAnsi="Times New Roman" w:cs="Times New Roman"/>
          <w:lang w:eastAsia="en-GB"/>
        </w:rPr>
        <w:t>in which</w:t>
      </w:r>
      <w:r w:rsidR="00201E3A" w:rsidRPr="00990234">
        <w:rPr>
          <w:rFonts w:ascii="Times New Roman" w:eastAsia="Times New Roman" w:hAnsi="Times New Roman" w:cs="Times New Roman"/>
          <w:lang w:eastAsia="en-GB"/>
        </w:rPr>
        <w:t xml:space="preserve"> the</w:t>
      </w:r>
      <w:r w:rsidRPr="00990234">
        <w:rPr>
          <w:rFonts w:ascii="Times New Roman" w:eastAsia="Times New Roman" w:hAnsi="Times New Roman" w:cs="Times New Roman"/>
          <w:lang w:eastAsia="en-GB"/>
        </w:rPr>
        <w:t xml:space="preserve"> signal in any of the electrodes exceeded 80 </w:t>
      </w:r>
      <w:proofErr w:type="spellStart"/>
      <w:r w:rsidRPr="00990234">
        <w:rPr>
          <w:rFonts w:ascii="Times New Roman" w:eastAsia="Times New Roman" w:hAnsi="Times New Roman" w:cs="Times New Roman"/>
          <w:lang w:eastAsia="en-GB"/>
        </w:rPr>
        <w:t>μV</w:t>
      </w:r>
      <w:proofErr w:type="spellEnd"/>
      <w:r w:rsidRPr="00990234">
        <w:rPr>
          <w:rFonts w:ascii="Times New Roman" w:eastAsia="Times New Roman" w:hAnsi="Times New Roman" w:cs="Times New Roman"/>
          <w:lang w:eastAsia="en-GB"/>
        </w:rPr>
        <w:t xml:space="preserve"> were rejected. On average, 17% of trials were removed across participants and conditions.</w:t>
      </w:r>
      <w:r w:rsidR="007C00B0" w:rsidRPr="00990234">
        <w:rPr>
          <w:rFonts w:ascii="Times New Roman" w:eastAsia="Times New Roman" w:hAnsi="Times New Roman" w:cs="Times New Roman"/>
          <w:lang w:eastAsia="en-GB"/>
        </w:rPr>
        <w:t xml:space="preserve"> One participant was removed from the analysis due to high noise levels in the ERP signal.</w:t>
      </w:r>
      <w:r w:rsidRPr="00990234">
        <w:rPr>
          <w:rFonts w:ascii="Times New Roman" w:eastAsia="Times New Roman" w:hAnsi="Times New Roman" w:cs="Times New Roman"/>
          <w:lang w:eastAsia="en-GB"/>
        </w:rPr>
        <w:t xml:space="preserve"> Single-trial data were averaged separately for the eight conditions using the “robust averaging” method in SPM12b (</w:t>
      </w:r>
      <w:hyperlink r:id="rId11" w:anchor="ref-15" w:history="1">
        <w:r w:rsidRPr="00990234">
          <w:rPr>
            <w:rStyle w:val="Hyperlink"/>
            <w:rFonts w:ascii="Times New Roman" w:eastAsia="Times New Roman" w:hAnsi="Times New Roman" w:cs="Times New Roman"/>
            <w:color w:val="auto"/>
            <w:u w:val="none"/>
            <w:bdr w:val="none" w:sz="0" w:space="0" w:color="auto" w:frame="1"/>
            <w:lang w:eastAsia="en-GB"/>
          </w:rPr>
          <w:t>Litvak et al., 2010</w:t>
        </w:r>
      </w:hyperlink>
      <w:r w:rsidRPr="00990234">
        <w:rPr>
          <w:rFonts w:ascii="Times New Roman" w:eastAsia="Times New Roman" w:hAnsi="Times New Roman" w:cs="Times New Roman"/>
          <w:lang w:eastAsia="en-GB"/>
        </w:rPr>
        <w:t>). Robust averaging takes into account distribution of data for every channel and trial</w:t>
      </w:r>
      <w:r w:rsidR="009F2E0B" w:rsidRPr="00990234">
        <w:rPr>
          <w:rFonts w:ascii="Times New Roman" w:eastAsia="Times New Roman" w:hAnsi="Times New Roman" w:cs="Times New Roman"/>
          <w:lang w:eastAsia="en-GB"/>
        </w:rPr>
        <w:t xml:space="preserve"> by d</w:t>
      </w:r>
      <w:r w:rsidRPr="00990234">
        <w:rPr>
          <w:rFonts w:ascii="Times New Roman" w:eastAsia="Times New Roman" w:hAnsi="Times New Roman" w:cs="Times New Roman"/>
          <w:lang w:eastAsia="en-GB"/>
        </w:rPr>
        <w:t>own-weighted</w:t>
      </w:r>
      <w:r w:rsidR="009F2E0B" w:rsidRPr="00990234">
        <w:rPr>
          <w:rFonts w:ascii="Times New Roman" w:eastAsia="Times New Roman" w:hAnsi="Times New Roman" w:cs="Times New Roman"/>
          <w:lang w:eastAsia="en-GB"/>
        </w:rPr>
        <w:t xml:space="preserve"> outlier trials</w:t>
      </w:r>
      <w:r w:rsidRPr="00990234">
        <w:rPr>
          <w:rFonts w:ascii="Times New Roman" w:eastAsia="Times New Roman" w:hAnsi="Times New Roman" w:cs="Times New Roman"/>
          <w:lang w:eastAsia="en-GB"/>
        </w:rPr>
        <w:t xml:space="preserve">. Weights were </w:t>
      </w:r>
      <w:r w:rsidR="009F2E0B" w:rsidRPr="00990234">
        <w:rPr>
          <w:rFonts w:ascii="Times New Roman" w:eastAsia="Times New Roman" w:hAnsi="Times New Roman" w:cs="Times New Roman"/>
          <w:lang w:eastAsia="en-GB"/>
        </w:rPr>
        <w:t xml:space="preserve">determine for each condition separately so as not to unduly distort signal in </w:t>
      </w:r>
      <w:r w:rsidR="004557F5" w:rsidRPr="00990234">
        <w:rPr>
          <w:rFonts w:ascii="Times New Roman" w:eastAsia="Times New Roman" w:hAnsi="Times New Roman" w:cs="Times New Roman"/>
          <w:lang w:eastAsia="en-GB"/>
        </w:rPr>
        <w:t>u</w:t>
      </w:r>
      <w:r w:rsidR="009F2E0B" w:rsidRPr="00990234">
        <w:rPr>
          <w:rFonts w:ascii="Times New Roman" w:eastAsia="Times New Roman" w:hAnsi="Times New Roman" w:cs="Times New Roman"/>
          <w:lang w:eastAsia="en-GB"/>
        </w:rPr>
        <w:t xml:space="preserve">nexpected </w:t>
      </w:r>
      <w:r w:rsidR="001D5DF2" w:rsidRPr="00990234">
        <w:rPr>
          <w:rFonts w:ascii="Times New Roman" w:eastAsia="Times New Roman" w:hAnsi="Times New Roman" w:cs="Times New Roman"/>
          <w:lang w:eastAsia="en-GB"/>
        </w:rPr>
        <w:t>trials</w:t>
      </w:r>
      <w:r w:rsidR="009F2E0B" w:rsidRPr="00990234">
        <w:rPr>
          <w:rFonts w:ascii="Times New Roman" w:eastAsia="Times New Roman" w:hAnsi="Times New Roman" w:cs="Times New Roman"/>
          <w:lang w:eastAsia="en-GB"/>
        </w:rPr>
        <w:t xml:space="preserve"> which, by definition, had fewer trials than the </w:t>
      </w:r>
      <w:r w:rsidR="004557F5" w:rsidRPr="00990234">
        <w:rPr>
          <w:rFonts w:ascii="Times New Roman" w:eastAsia="Times New Roman" w:hAnsi="Times New Roman" w:cs="Times New Roman"/>
          <w:lang w:eastAsia="en-GB"/>
        </w:rPr>
        <w:t>e</w:t>
      </w:r>
      <w:r w:rsidR="009F2E0B" w:rsidRPr="00990234">
        <w:rPr>
          <w:rFonts w:ascii="Times New Roman" w:eastAsia="Times New Roman" w:hAnsi="Times New Roman" w:cs="Times New Roman"/>
          <w:lang w:eastAsia="en-GB"/>
        </w:rPr>
        <w:t>xpected condition</w:t>
      </w:r>
      <w:r w:rsidR="00301581" w:rsidRPr="00990234">
        <w:rPr>
          <w:rFonts w:ascii="Times New Roman" w:hAnsi="Times New Roman" w:cs="Times New Roman"/>
        </w:rPr>
        <w:t xml:space="preserve">. </w:t>
      </w:r>
      <w:r w:rsidRPr="00990234">
        <w:rPr>
          <w:rFonts w:ascii="Times New Roman" w:eastAsia="Times New Roman" w:hAnsi="Times New Roman" w:cs="Times New Roman"/>
          <w:lang w:eastAsia="en-GB"/>
        </w:rPr>
        <w:t xml:space="preserve">Averages were then filtered with a </w:t>
      </w:r>
      <w:r w:rsidR="00201E3A" w:rsidRPr="00990234">
        <w:rPr>
          <w:rFonts w:ascii="Times New Roman" w:eastAsia="Times New Roman" w:hAnsi="Times New Roman" w:cs="Times New Roman"/>
          <w:lang w:eastAsia="en-GB"/>
        </w:rPr>
        <w:t>low</w:t>
      </w:r>
      <w:r w:rsidRPr="00990234">
        <w:rPr>
          <w:rFonts w:ascii="Times New Roman" w:eastAsia="Times New Roman" w:hAnsi="Times New Roman" w:cs="Times New Roman"/>
          <w:lang w:eastAsia="en-GB"/>
        </w:rPr>
        <w:t>-pass filter</w:t>
      </w:r>
      <w:r w:rsidR="005A3882" w:rsidRPr="00990234">
        <w:rPr>
          <w:rFonts w:ascii="Times New Roman" w:eastAsia="Times New Roman" w:hAnsi="Times New Roman" w:cs="Times New Roman"/>
          <w:lang w:eastAsia="en-GB"/>
        </w:rPr>
        <w:t xml:space="preserve"> with a cut-off of 30Hz</w:t>
      </w:r>
      <w:r w:rsidRPr="00990234">
        <w:rPr>
          <w:rFonts w:ascii="Times New Roman" w:eastAsia="Times New Roman" w:hAnsi="Times New Roman" w:cs="Times New Roman"/>
          <w:lang w:eastAsia="en-GB"/>
        </w:rPr>
        <w:t xml:space="preserve"> to remove high frequencies introduced by the robust averaging method. </w:t>
      </w:r>
      <w:r w:rsidR="000C7AE4" w:rsidRPr="00990234">
        <w:rPr>
          <w:rFonts w:ascii="Times New Roman" w:eastAsia="Times New Roman" w:hAnsi="Times New Roman" w:cs="Times New Roman"/>
          <w:lang w:eastAsia="en-GB"/>
        </w:rPr>
        <w:t xml:space="preserve">These </w:t>
      </w:r>
      <w:proofErr w:type="spellStart"/>
      <w:r w:rsidR="000C7AE4" w:rsidRPr="00990234">
        <w:rPr>
          <w:rFonts w:ascii="Times New Roman" w:eastAsia="Times New Roman" w:hAnsi="Times New Roman" w:cs="Times New Roman"/>
          <w:lang w:eastAsia="en-GB"/>
        </w:rPr>
        <w:lastRenderedPageBreak/>
        <w:t>preprocessed</w:t>
      </w:r>
      <w:proofErr w:type="spellEnd"/>
      <w:r w:rsidR="000C7AE4" w:rsidRPr="00990234">
        <w:rPr>
          <w:rFonts w:ascii="Times New Roman" w:eastAsia="Times New Roman" w:hAnsi="Times New Roman" w:cs="Times New Roman"/>
          <w:lang w:eastAsia="en-GB"/>
        </w:rPr>
        <w:t xml:space="preserve"> signals were used in all of the analyses reported later on in the manuscript. They were only additionally manipulated in the SPM analysis, as reported below.</w:t>
      </w:r>
    </w:p>
    <w:p w:rsidR="00FC30B7" w:rsidRPr="00990234" w:rsidRDefault="00FC30B7" w:rsidP="00A10BEE">
      <w:pPr>
        <w:shd w:val="clear" w:color="auto" w:fill="FFFFFF"/>
        <w:tabs>
          <w:tab w:val="left" w:pos="8137"/>
        </w:tabs>
        <w:spacing w:after="0" w:line="480" w:lineRule="auto"/>
        <w:ind w:right="-113" w:firstLine="720"/>
        <w:textAlignment w:val="baseline"/>
        <w:rPr>
          <w:rFonts w:ascii="Times New Roman" w:eastAsia="Times New Roman" w:hAnsi="Times New Roman" w:cs="Times New Roman"/>
          <w:b/>
          <w:iCs/>
          <w:lang w:eastAsia="en-GB"/>
        </w:rPr>
      </w:pPr>
      <w:r w:rsidRPr="00990234">
        <w:rPr>
          <w:rFonts w:ascii="Times New Roman" w:eastAsia="Times New Roman" w:hAnsi="Times New Roman" w:cs="Times New Roman"/>
          <w:b/>
          <w:iCs/>
          <w:lang w:eastAsia="en-GB"/>
        </w:rPr>
        <w:t>Analysis of habitation</w:t>
      </w:r>
      <w:r w:rsidR="00A10BEE" w:rsidRPr="00990234">
        <w:rPr>
          <w:rFonts w:ascii="Times New Roman" w:eastAsia="Times New Roman" w:hAnsi="Times New Roman" w:cs="Times New Roman"/>
          <w:b/>
          <w:iCs/>
          <w:lang w:eastAsia="en-GB"/>
        </w:rPr>
        <w:tab/>
      </w:r>
    </w:p>
    <w:p w:rsidR="00FC30B7" w:rsidRPr="00990234" w:rsidRDefault="00FC30B7" w:rsidP="00FC30B7">
      <w:pPr>
        <w:shd w:val="clear" w:color="auto" w:fill="FFFFFF"/>
        <w:spacing w:after="0" w:line="480" w:lineRule="auto"/>
        <w:ind w:right="-113" w:firstLine="720"/>
        <w:textAlignment w:val="baseline"/>
        <w:rPr>
          <w:rFonts w:ascii="Times New Roman" w:eastAsia="Times New Roman" w:hAnsi="Times New Roman" w:cs="Times New Roman"/>
          <w:bCs/>
          <w:iCs/>
          <w:lang w:eastAsia="en-GB"/>
        </w:rPr>
      </w:pPr>
      <w:r w:rsidRPr="00990234">
        <w:rPr>
          <w:rFonts w:ascii="Times New Roman" w:eastAsia="Times New Roman" w:hAnsi="Times New Roman" w:cs="Times New Roman"/>
          <w:bCs/>
          <w:iCs/>
          <w:lang w:eastAsia="en-GB"/>
        </w:rPr>
        <w:t xml:space="preserve">We obtained ERPs time-locked to taste delivery to test for ERP habituation to the actual delivery of taste over time. For the purpose of the habituation analysis we analysed response to the taste itself (rather than to the cue). Although there is a risk that signal-to-noise ratio may be reduced in taste ERP trials due to muscle artefacts associated with the stimulus, previous research has confirmed an ERP response to taste at electrodes </w:t>
      </w:r>
      <w:proofErr w:type="spellStart"/>
      <w:r w:rsidRPr="00990234">
        <w:rPr>
          <w:rFonts w:ascii="Times New Roman" w:eastAsia="Times New Roman" w:hAnsi="Times New Roman" w:cs="Times New Roman"/>
          <w:bCs/>
          <w:iCs/>
          <w:lang w:eastAsia="en-GB"/>
        </w:rPr>
        <w:t>Fz</w:t>
      </w:r>
      <w:proofErr w:type="spellEnd"/>
      <w:r w:rsidRPr="00990234">
        <w:rPr>
          <w:rFonts w:ascii="Times New Roman" w:eastAsia="Times New Roman" w:hAnsi="Times New Roman" w:cs="Times New Roman"/>
          <w:bCs/>
          <w:iCs/>
          <w:lang w:eastAsia="en-GB"/>
        </w:rPr>
        <w:t xml:space="preserve">, F3, F4, </w:t>
      </w:r>
      <w:proofErr w:type="spellStart"/>
      <w:r w:rsidRPr="00990234">
        <w:rPr>
          <w:rFonts w:ascii="Times New Roman" w:eastAsia="Times New Roman" w:hAnsi="Times New Roman" w:cs="Times New Roman"/>
          <w:bCs/>
          <w:iCs/>
          <w:lang w:eastAsia="en-GB"/>
        </w:rPr>
        <w:t>Cz</w:t>
      </w:r>
      <w:proofErr w:type="spellEnd"/>
      <w:r w:rsidRPr="00990234">
        <w:rPr>
          <w:rFonts w:ascii="Times New Roman" w:eastAsia="Times New Roman" w:hAnsi="Times New Roman" w:cs="Times New Roman"/>
          <w:bCs/>
          <w:iCs/>
          <w:lang w:eastAsia="en-GB"/>
        </w:rPr>
        <w:t xml:space="preserve">, C3 and C4 </w:t>
      </w:r>
      <w:r w:rsidRPr="00990234">
        <w:rPr>
          <w:rFonts w:ascii="Times New Roman" w:eastAsia="Times New Roman" w:hAnsi="Times New Roman" w:cs="Times New Roman"/>
          <w:bCs/>
          <w:iCs/>
          <w:lang w:eastAsia="en-GB"/>
        </w:rPr>
        <w:fldChar w:fldCharType="begin" w:fldLock="1"/>
      </w:r>
      <w:r w:rsidRPr="00990234">
        <w:rPr>
          <w:rFonts w:ascii="Times New Roman" w:eastAsia="Times New Roman" w:hAnsi="Times New Roman" w:cs="Times New Roman"/>
          <w:bCs/>
          <w:iCs/>
          <w:lang w:eastAsia="en-GB"/>
        </w:rPr>
        <w:instrText>ADDIN CSL_CITATION { "citationItems" : [ { "id" : "ITEM-1", "itemData" : { "DOI" : "10.1016/j.biopsycho.2010.12.008", "ISBN" : "1873-6246 (Electronic)\\n0301-0511 (Linking)", "ISSN" : "03010511", "PMID" : "21187120", "abstract" : "The present study examines two novel aspects of appetitive processing and conditioning: the electrophysiological response to (a) the appetitive taste of a sweet fluid and (b) appetitively/taste conditioned visual stimuli. Event-related potentials (ERPs) were recorded from 32 subjects while they performed a taste conditioning task, in which two symbols were paired with a sweet or a neutral fluid. The results show a clear P1/N1/P2 complex, and a late positive potential (P3) with maxima at right fronto-central electrode sites, in response to the taste stimuli. Of these components particularly the P3 showed robust differences between the sweet and neutral taste. In addition, the electrophysiological response to the taste conditioned stimuli (CS), also showed the expected differences for both P2 and P3 at frontocentral electrodes. The present data demonstrate that the employed paradigm is a useful methodology to study the electrophysiological responses to unconditioned appetitive stimuli. Since appetitive conditioning is assumed to be disturbed in many psychopathological conditions, such as substance dependence, depression and eating disorders, this paradigm could be employed to get more insight in these conditions in humans. ?? 2010 Elsevier B.V.", "author" : [ { "dropping-particle" : "", "family" : "Franken", "given" : "Ingmar H a", "non-dropping-particle" : "", "parse-names" : false, "suffix" : "" }, { "dropping-particle" : "", "family" : "Huijding", "given" : "Jorg", "non-dropping-particle" : "", "parse-names" : false, "suffix" : "" }, { "dropping-particle" : "", "family" : "Nijs", "given" : "Ilse M T", "non-dropping-particle" : "", "parse-names" : false, "suffix" : "" }, { "dropping-particle" : "", "family" : "Strien", "given" : "Jan W.", "non-dropping-particle" : "van", "parse-names" : false, "suffix" : "" } ], "container-title" : "Biological Psychology", "id" : "ITEM-1", "issue" : "3", "issued" : { "date-parts" : [ [ "2011" ] ] }, "page" : "273-278", "publisher" : "Elsevier B.V.", "title" : "Electrophysiology of appetitive taste and appetitive taste conditioning in humans", "type" : "article-journal", "volume" : "86" }, "uris" : [ "http://www.mendeley.com/documents/?uuid=218c1af6-bab3-41d6-86b4-c4d0177b5a2c" ] }, { "id" : "ITEM-2", "itemData" : { "author" : [ { "dropping-particle" : "", "family" : "Kobal", "given" : "Gerd", "non-dropping-particle" : "", "parse-names" : false, "suffix" : "" } ], "container-title" : "Electroencephalography and Clinical Neurophysiology", "id" : "ITEM-2", "issue" : "6", "issued" : { "date-parts" : [ [ "1985" ] ] }, "page" : "449\u2013454", "title" : "Gustatory evoked potentials in man", "type" : "article-journal", "volume" : "62" }, "uris" : [ "http://www.mendeley.com/documents/?uuid=26fd2226-2987-4245-b1aa-d3fcecfb78c1" ] } ], "mendeley" : { "formattedCitation" : "(Franken et al., 2011; Kobal, 1985)", "plainTextFormattedCitation" : "(Franken et al., 2011; Kobal, 1985)", "previouslyFormattedCitation" : "(Franken et al., 2011; Kobal, 1985)" }, "properties" : { "noteIndex" : 0 }, "schema" : "https://github.com/citation-style-language/schema/raw/master/csl-citation.json" }</w:instrText>
      </w:r>
      <w:r w:rsidRPr="00990234">
        <w:rPr>
          <w:rFonts w:ascii="Times New Roman" w:eastAsia="Times New Roman" w:hAnsi="Times New Roman" w:cs="Times New Roman"/>
          <w:bCs/>
          <w:iCs/>
          <w:lang w:eastAsia="en-GB"/>
        </w:rPr>
        <w:fldChar w:fldCharType="separate"/>
      </w:r>
      <w:r w:rsidRPr="00990234">
        <w:rPr>
          <w:rFonts w:ascii="Times New Roman" w:eastAsia="Times New Roman" w:hAnsi="Times New Roman" w:cs="Times New Roman"/>
          <w:bCs/>
          <w:iCs/>
          <w:noProof/>
          <w:lang w:eastAsia="en-GB"/>
        </w:rPr>
        <w:t>(Franken et al., 2011; Kobal, 1985)</w:t>
      </w:r>
      <w:r w:rsidRPr="00990234">
        <w:rPr>
          <w:rFonts w:ascii="Times New Roman" w:eastAsia="Times New Roman" w:hAnsi="Times New Roman" w:cs="Times New Roman"/>
          <w:bCs/>
          <w:iCs/>
          <w:lang w:eastAsia="en-GB"/>
        </w:rPr>
        <w:fldChar w:fldCharType="end"/>
      </w:r>
      <w:r w:rsidRPr="00990234">
        <w:rPr>
          <w:rFonts w:ascii="Times New Roman" w:eastAsia="Times New Roman" w:hAnsi="Times New Roman" w:cs="Times New Roman"/>
          <w:bCs/>
          <w:iCs/>
          <w:lang w:eastAsia="en-GB"/>
        </w:rPr>
        <w:t xml:space="preserve">. We averaged across these electrodes within the window of taste delivery (0-1000ms after taste onset) for the first and second half of the experiments for the </w:t>
      </w:r>
      <w:r w:rsidR="00714357" w:rsidRPr="00990234">
        <w:rPr>
          <w:rFonts w:ascii="Times New Roman" w:hAnsi="Times New Roman" w:cs="Times New Roman"/>
        </w:rPr>
        <w:t>four</w:t>
      </w:r>
      <w:r w:rsidRPr="00990234">
        <w:rPr>
          <w:rFonts w:ascii="Times New Roman" w:eastAsia="Times New Roman" w:hAnsi="Times New Roman" w:cs="Times New Roman"/>
          <w:bCs/>
          <w:iCs/>
          <w:lang w:eastAsia="en-GB"/>
        </w:rPr>
        <w:t xml:space="preserve"> conditions where taste was delivered, regardless of how expected the taste was. These data were analysed in SPSS entered into a 2 (taste) x 2 (experiment half) repeated-measures ANOVA </w:t>
      </w:r>
      <w:r w:rsidRPr="00990234">
        <w:rPr>
          <w:rFonts w:ascii="Times New Roman" w:hAnsi="Times New Roman" w:cs="Times New Roman"/>
        </w:rPr>
        <w:t>using a threshold of p</w:t>
      </w:r>
      <w:r w:rsidR="00BC144D" w:rsidRPr="00990234">
        <w:rPr>
          <w:rFonts w:ascii="Times New Roman" w:hAnsi="Times New Roman" w:cs="Times New Roman"/>
        </w:rPr>
        <w:t xml:space="preserve"> </w:t>
      </w:r>
      <w:r w:rsidRPr="00990234">
        <w:rPr>
          <w:rFonts w:ascii="Times New Roman" w:hAnsi="Times New Roman" w:cs="Times New Roman"/>
        </w:rPr>
        <w:t>&lt;</w:t>
      </w:r>
      <w:r w:rsidR="00BC144D" w:rsidRPr="00990234">
        <w:rPr>
          <w:rFonts w:ascii="Times New Roman" w:hAnsi="Times New Roman" w:cs="Times New Roman"/>
        </w:rPr>
        <w:t xml:space="preserve"> </w:t>
      </w:r>
      <w:r w:rsidRPr="00990234">
        <w:rPr>
          <w:rFonts w:ascii="Times New Roman" w:hAnsi="Times New Roman" w:cs="Times New Roman"/>
        </w:rPr>
        <w:t>.05</w:t>
      </w:r>
      <w:r w:rsidRPr="00990234">
        <w:rPr>
          <w:rFonts w:ascii="Times New Roman" w:eastAsia="Times New Roman" w:hAnsi="Times New Roman" w:cs="Times New Roman"/>
          <w:bCs/>
          <w:iCs/>
          <w:lang w:eastAsia="en-GB"/>
        </w:rPr>
        <w:t xml:space="preserve">. </w:t>
      </w:r>
    </w:p>
    <w:p w:rsidR="000C7AE4" w:rsidRPr="00990234" w:rsidRDefault="00056801" w:rsidP="00056801">
      <w:pPr>
        <w:shd w:val="clear" w:color="auto" w:fill="FFFFFF"/>
        <w:spacing w:after="0" w:line="480" w:lineRule="auto"/>
        <w:ind w:right="-113" w:firstLine="720"/>
        <w:textAlignment w:val="baseline"/>
        <w:rPr>
          <w:rFonts w:ascii="Times New Roman" w:eastAsia="Times New Roman" w:hAnsi="Times New Roman" w:cs="Times New Roman"/>
          <w:b/>
          <w:bCs/>
          <w:iCs/>
          <w:lang w:eastAsia="en-GB"/>
        </w:rPr>
      </w:pPr>
      <w:r w:rsidRPr="00990234">
        <w:rPr>
          <w:rFonts w:ascii="Times New Roman" w:eastAsia="Times New Roman" w:hAnsi="Times New Roman" w:cs="Times New Roman"/>
          <w:b/>
          <w:bCs/>
          <w:iCs/>
          <w:lang w:eastAsia="en-GB"/>
        </w:rPr>
        <w:t xml:space="preserve">Difference wave </w:t>
      </w:r>
      <w:r w:rsidR="006B2891" w:rsidRPr="00990234">
        <w:rPr>
          <w:rFonts w:ascii="Times New Roman" w:eastAsia="Times New Roman" w:hAnsi="Times New Roman" w:cs="Times New Roman"/>
          <w:b/>
          <w:bCs/>
          <w:iCs/>
          <w:lang w:eastAsia="en-GB"/>
        </w:rPr>
        <w:t>analysis</w:t>
      </w:r>
      <w:r w:rsidRPr="00990234">
        <w:rPr>
          <w:rFonts w:ascii="Times New Roman" w:eastAsia="Times New Roman" w:hAnsi="Times New Roman" w:cs="Times New Roman"/>
          <w:b/>
          <w:bCs/>
          <w:iCs/>
          <w:lang w:eastAsia="en-GB"/>
        </w:rPr>
        <w:t xml:space="preserve"> of the FRN</w:t>
      </w:r>
    </w:p>
    <w:p w:rsidR="00DA3E37" w:rsidRPr="00990234" w:rsidRDefault="00DA3E37" w:rsidP="00A54AA8">
      <w:pPr>
        <w:autoSpaceDE w:val="0"/>
        <w:autoSpaceDN w:val="0"/>
        <w:adjustRightInd w:val="0"/>
        <w:spacing w:after="0" w:line="480" w:lineRule="auto"/>
        <w:ind w:right="-113" w:firstLine="720"/>
        <w:rPr>
          <w:rFonts w:ascii="Times New Roman" w:hAnsi="Times New Roman" w:cs="Times New Roman"/>
        </w:rPr>
      </w:pPr>
      <w:r w:rsidRPr="00990234">
        <w:rPr>
          <w:rFonts w:ascii="Times New Roman" w:hAnsi="Times New Roman" w:cs="Times New Roman"/>
        </w:rPr>
        <w:t xml:space="preserve">Firstly, we conducted a difference-wave analysis to facilitate comparison with previous results. We extracted data from vertex electrodes </w:t>
      </w:r>
      <w:proofErr w:type="spellStart"/>
      <w:r w:rsidRPr="00990234">
        <w:rPr>
          <w:rFonts w:ascii="Times New Roman" w:hAnsi="Times New Roman" w:cs="Times New Roman"/>
        </w:rPr>
        <w:t>Fz</w:t>
      </w:r>
      <w:proofErr w:type="spellEnd"/>
      <w:r w:rsidRPr="00990234">
        <w:rPr>
          <w:rFonts w:ascii="Times New Roman" w:hAnsi="Times New Roman" w:cs="Times New Roman"/>
        </w:rPr>
        <w:t xml:space="preserve">, </w:t>
      </w:r>
      <w:proofErr w:type="spellStart"/>
      <w:r w:rsidRPr="00990234">
        <w:rPr>
          <w:rFonts w:ascii="Times New Roman" w:hAnsi="Times New Roman" w:cs="Times New Roman"/>
        </w:rPr>
        <w:t>FCz</w:t>
      </w:r>
      <w:proofErr w:type="spellEnd"/>
      <w:r w:rsidRPr="00990234">
        <w:rPr>
          <w:rFonts w:ascii="Times New Roman" w:hAnsi="Times New Roman" w:cs="Times New Roman"/>
        </w:rPr>
        <w:t xml:space="preserve"> and </w:t>
      </w:r>
      <w:proofErr w:type="spellStart"/>
      <w:r w:rsidRPr="00990234">
        <w:rPr>
          <w:rFonts w:ascii="Times New Roman" w:hAnsi="Times New Roman" w:cs="Times New Roman"/>
        </w:rPr>
        <w:t>Cz</w:t>
      </w:r>
      <w:proofErr w:type="spellEnd"/>
      <w:r w:rsidRPr="00990234">
        <w:rPr>
          <w:rFonts w:ascii="Times New Roman" w:hAnsi="Times New Roman" w:cs="Times New Roman"/>
        </w:rPr>
        <w:t xml:space="preserve">, 240-340ms after the outcome cue, following </w:t>
      </w:r>
      <w:r w:rsidR="00913439" w:rsidRPr="00990234">
        <w:rPr>
          <w:rFonts w:ascii="Times New Roman" w:hAnsi="Times New Roman" w:cs="Times New Roman"/>
        </w:rPr>
        <w:t xml:space="preserve">the recommendations of </w:t>
      </w:r>
      <w:r w:rsidRPr="00990234">
        <w:rPr>
          <w:rFonts w:ascii="Times New Roman" w:hAnsi="Times New Roman" w:cs="Times New Roman"/>
        </w:rPr>
        <w:t xml:space="preserve">a meta-analysis which identified this </w:t>
      </w:r>
      <w:r w:rsidR="00913439" w:rsidRPr="00990234">
        <w:rPr>
          <w:rFonts w:ascii="Times New Roman" w:hAnsi="Times New Roman" w:cs="Times New Roman"/>
        </w:rPr>
        <w:t>spati</w:t>
      </w:r>
      <w:r w:rsidR="00A3073F" w:rsidRPr="00990234">
        <w:rPr>
          <w:rFonts w:ascii="Times New Roman" w:hAnsi="Times New Roman" w:cs="Times New Roman"/>
        </w:rPr>
        <w:t>o</w:t>
      </w:r>
      <w:r w:rsidR="00913439" w:rsidRPr="00990234">
        <w:rPr>
          <w:rFonts w:ascii="Times New Roman" w:hAnsi="Times New Roman" w:cs="Times New Roman"/>
        </w:rPr>
        <w:t xml:space="preserve">temporal </w:t>
      </w:r>
      <w:r w:rsidRPr="00990234">
        <w:rPr>
          <w:rFonts w:ascii="Times New Roman" w:hAnsi="Times New Roman" w:cs="Times New Roman"/>
        </w:rPr>
        <w:t xml:space="preserve">window as the most likely latency and location of the FRN </w:t>
      </w:r>
      <w:r w:rsidR="00913439" w:rsidRPr="00990234">
        <w:rPr>
          <w:rFonts w:ascii="Times New Roman" w:hAnsi="Times New Roman" w:cs="Times New Roman"/>
        </w:rPr>
        <w:t xml:space="preserve">signal of prediction error </w:t>
      </w:r>
      <w:r w:rsidRPr="00990234">
        <w:rPr>
          <w:rFonts w:ascii="Times New Roman" w:hAnsi="Times New Roman" w:cs="Times New Roman"/>
        </w:rPr>
        <w:fldChar w:fldCharType="begin" w:fldLock="1"/>
      </w:r>
      <w:r w:rsidRPr="00990234">
        <w:rPr>
          <w:rFonts w:ascii="Times New Roman" w:hAnsi="Times New Roman" w:cs="Times New Roman"/>
        </w:rPr>
        <w:instrText>ADDIN CSL_CITATION { "citationItems" : [ { "id" : "ITEM-1", "itemData" : { "DOI" : "10.1037/bul0000006", "ISBN" : "1939-1455(Electronic);0033-2909(Print)", "ISSN" : "1939-1455", "PMID" : "25495239", "abstract" : "Economic approaches to decision making assume that people attach values to prospective goods and act to maximize their obtained value. Neuroeconomics strives to observe these values directly in the brain. A widely used valuation term in formal learning and decision-making models is the reward prediction error: the value of an outcome relative to its expected value. An influential theory (Holroyd &amp; Coles, 2002) claims that an electrophysiological component, feedback related negativity (FRN), codes a reward prediction error in the human brain. Such a component should be sensitive to both the prior likelihood of reward and its magnitude on receipt. A number of studies have found the FRN to be insensitive to reward magnitude, thus questioning the Holroyd and Coles account. However, because of marked inconsistencies in how the FRN is measured, a meaningful synthesis of this evidence is highly problematic. We conducted a meta-analysis of the FRN\u2019s response to both reward magnitude and likelihood using a novel method in which published effect sizes were disregarded in favor of direct measurement of the published waveforms themselves, with these waveforms then averaged to produce \u201cgreat grand averages.\u201d Under this standardized measure, the meta-analysis revealed strong effects of magnitude and likelihood on the FRN, consistent with it encoding a reward prediction error. In addition, it revealed strong main effects of reward magnitude and likelihood across much of the waveform, indicating sensitivity to unsigned prediction errors or \u201csalience.\u201d The great grand average technique is proposed as a general method for meta-analysis of event-related potential (ERP).", "author" : [ { "dropping-particle" : "", "family" : "Sambrook", "given" : "Thomas D", "non-dropping-particle" : "", "parse-names" : false, "suffix" : "" }, { "dropping-particle" : "", "family" : "Goslin", "given" : "Jeremy", "non-dropping-particle" : "", "parse-names" : false, "suffix" : "" } ], "container-title" : "Psychological Bulletin", "id" : "ITEM-1", "issue" : "1", "issued" : { "date-parts" : [ [ "2015" ] ] }, "page" : "213-235", "title" : "A neural reward prediction error revealed by a meta-analysis of ERPs using great grand averages", "type" : "article-journal", "volume" : "141" }, "uris" : [ "http://www.mendeley.com/documents/?uuid=1a1d129d-5655-4a68-874c-2674fa1915eb" ] } ], "mendeley" : { "formattedCitation" : "(Sambrook &amp; Goslin, 2015a)", "plainTextFormattedCitation" : "(Sambrook &amp; Goslin, 2015a)", "previouslyFormattedCitation" : "(Sambrook &amp; Goslin, 2015a)" }, "properties" : { "noteIndex" : 0 }, "schema" : "https://github.com/citation-style-language/schema/raw/master/csl-citation.json" }</w:instrText>
      </w:r>
      <w:r w:rsidRPr="00990234">
        <w:rPr>
          <w:rFonts w:ascii="Times New Roman" w:hAnsi="Times New Roman" w:cs="Times New Roman"/>
        </w:rPr>
        <w:fldChar w:fldCharType="separate"/>
      </w:r>
      <w:r w:rsidRPr="00990234">
        <w:rPr>
          <w:rFonts w:ascii="Times New Roman" w:hAnsi="Times New Roman" w:cs="Times New Roman"/>
          <w:noProof/>
        </w:rPr>
        <w:t>(Sambrook &amp; Goslin, 2015a)</w:t>
      </w:r>
      <w:r w:rsidRPr="00990234">
        <w:rPr>
          <w:rFonts w:ascii="Times New Roman" w:hAnsi="Times New Roman" w:cs="Times New Roman"/>
        </w:rPr>
        <w:fldChar w:fldCharType="end"/>
      </w:r>
      <w:r w:rsidRPr="00990234">
        <w:rPr>
          <w:rFonts w:ascii="Times New Roman" w:hAnsi="Times New Roman" w:cs="Times New Roman"/>
        </w:rPr>
        <w:t xml:space="preserve">. Difference waves </w:t>
      </w:r>
      <w:r w:rsidR="00913439" w:rsidRPr="00990234">
        <w:rPr>
          <w:rFonts w:ascii="Times New Roman" w:hAnsi="Times New Roman" w:cs="Times New Roman"/>
        </w:rPr>
        <w:t>representing</w:t>
      </w:r>
      <w:r w:rsidRPr="00990234">
        <w:rPr>
          <w:rFonts w:ascii="Times New Roman" w:hAnsi="Times New Roman" w:cs="Times New Roman"/>
        </w:rPr>
        <w:t xml:space="preserve"> </w:t>
      </w:r>
      <w:r w:rsidR="004557F5" w:rsidRPr="00990234">
        <w:rPr>
          <w:rFonts w:ascii="Times New Roman" w:hAnsi="Times New Roman" w:cs="Times New Roman"/>
        </w:rPr>
        <w:t>u</w:t>
      </w:r>
      <w:r w:rsidRPr="00990234">
        <w:rPr>
          <w:rFonts w:ascii="Times New Roman" w:hAnsi="Times New Roman" w:cs="Times New Roman"/>
        </w:rPr>
        <w:t xml:space="preserve">nexpected outcomes were computed using the conventional loss-minus-gain technique. In </w:t>
      </w:r>
      <w:r w:rsidR="004557F5" w:rsidRPr="00990234">
        <w:rPr>
          <w:rFonts w:ascii="Times New Roman" w:hAnsi="Times New Roman" w:cs="Times New Roman"/>
        </w:rPr>
        <w:t>s</w:t>
      </w:r>
      <w:r w:rsidRPr="00990234">
        <w:rPr>
          <w:rFonts w:ascii="Times New Roman" w:hAnsi="Times New Roman" w:cs="Times New Roman"/>
        </w:rPr>
        <w:t xml:space="preserve">weet we computed the </w:t>
      </w:r>
      <w:r w:rsidR="004557F5" w:rsidRPr="00990234">
        <w:rPr>
          <w:rFonts w:ascii="Times New Roman" w:hAnsi="Times New Roman" w:cs="Times New Roman"/>
        </w:rPr>
        <w:t>o</w:t>
      </w:r>
      <w:r w:rsidRPr="00990234">
        <w:rPr>
          <w:rFonts w:ascii="Times New Roman" w:hAnsi="Times New Roman" w:cs="Times New Roman"/>
        </w:rPr>
        <w:t>mission-</w:t>
      </w:r>
      <w:r w:rsidR="004557F5" w:rsidRPr="00990234">
        <w:rPr>
          <w:rFonts w:ascii="Times New Roman" w:hAnsi="Times New Roman" w:cs="Times New Roman"/>
        </w:rPr>
        <w:t>d</w:t>
      </w:r>
      <w:r w:rsidRPr="00990234">
        <w:rPr>
          <w:rFonts w:ascii="Times New Roman" w:hAnsi="Times New Roman" w:cs="Times New Roman"/>
        </w:rPr>
        <w:t xml:space="preserve">elivery difference wave, and in </w:t>
      </w:r>
      <w:r w:rsidR="004557F5" w:rsidRPr="00990234">
        <w:rPr>
          <w:rFonts w:ascii="Times New Roman" w:hAnsi="Times New Roman" w:cs="Times New Roman"/>
        </w:rPr>
        <w:t>b</w:t>
      </w:r>
      <w:r w:rsidRPr="00990234">
        <w:rPr>
          <w:rFonts w:ascii="Times New Roman" w:hAnsi="Times New Roman" w:cs="Times New Roman"/>
        </w:rPr>
        <w:t xml:space="preserve">itter we computed the </w:t>
      </w:r>
      <w:r w:rsidR="004557F5" w:rsidRPr="00990234">
        <w:rPr>
          <w:rFonts w:ascii="Times New Roman" w:hAnsi="Times New Roman" w:cs="Times New Roman"/>
        </w:rPr>
        <w:t>d</w:t>
      </w:r>
      <w:r w:rsidRPr="00990234">
        <w:rPr>
          <w:rFonts w:ascii="Times New Roman" w:hAnsi="Times New Roman" w:cs="Times New Roman"/>
        </w:rPr>
        <w:t>elivery-</w:t>
      </w:r>
      <w:r w:rsidR="004557F5" w:rsidRPr="00990234">
        <w:rPr>
          <w:rFonts w:ascii="Times New Roman" w:hAnsi="Times New Roman" w:cs="Times New Roman"/>
        </w:rPr>
        <w:t>o</w:t>
      </w:r>
      <w:r w:rsidRPr="00990234">
        <w:rPr>
          <w:rFonts w:ascii="Times New Roman" w:hAnsi="Times New Roman" w:cs="Times New Roman"/>
        </w:rPr>
        <w:t xml:space="preserve">mission difference wave. We </w:t>
      </w:r>
      <w:r w:rsidR="00A3073F" w:rsidRPr="00990234">
        <w:rPr>
          <w:rFonts w:ascii="Times New Roman" w:hAnsi="Times New Roman" w:cs="Times New Roman"/>
        </w:rPr>
        <w:t xml:space="preserve">conducted </w:t>
      </w:r>
      <w:r w:rsidRPr="00990234">
        <w:rPr>
          <w:rFonts w:ascii="Times New Roman" w:hAnsi="Times New Roman" w:cs="Times New Roman"/>
        </w:rPr>
        <w:t xml:space="preserve">a one-sample t-test on this signal, following the analysis protocol of a recent study of the FRN to appetitive and aversive outcomes </w:t>
      </w:r>
      <w:r w:rsidR="00FC30B7" w:rsidRPr="00990234">
        <w:rPr>
          <w:rFonts w:ascii="Times New Roman" w:hAnsi="Times New Roman" w:cs="Times New Roman"/>
        </w:rPr>
        <w:t>using a threshold of p</w:t>
      </w:r>
      <w:r w:rsidR="00BC144D" w:rsidRPr="00990234">
        <w:rPr>
          <w:rFonts w:ascii="Times New Roman" w:hAnsi="Times New Roman" w:cs="Times New Roman"/>
        </w:rPr>
        <w:t xml:space="preserve"> </w:t>
      </w:r>
      <w:r w:rsidR="00FC30B7" w:rsidRPr="00990234">
        <w:rPr>
          <w:rFonts w:ascii="Times New Roman" w:hAnsi="Times New Roman" w:cs="Times New Roman"/>
        </w:rPr>
        <w:t>&lt;</w:t>
      </w:r>
      <w:r w:rsidR="00BC144D" w:rsidRPr="00990234">
        <w:rPr>
          <w:rFonts w:ascii="Times New Roman" w:hAnsi="Times New Roman" w:cs="Times New Roman"/>
        </w:rPr>
        <w:t xml:space="preserve"> </w:t>
      </w:r>
      <w:r w:rsidR="00FC30B7" w:rsidRPr="00990234">
        <w:rPr>
          <w:rFonts w:ascii="Times New Roman" w:hAnsi="Times New Roman" w:cs="Times New Roman"/>
        </w:rPr>
        <w:t xml:space="preserve">.05 </w:t>
      </w:r>
      <w:r w:rsidRPr="00990234">
        <w:rPr>
          <w:rFonts w:ascii="Times New Roman" w:hAnsi="Times New Roman" w:cs="Times New Roman"/>
        </w:rPr>
        <w:fldChar w:fldCharType="begin" w:fldLock="1"/>
      </w:r>
      <w:r w:rsidRPr="00990234">
        <w:rPr>
          <w:rFonts w:ascii="Times New Roman" w:hAnsi="Times New Roman" w:cs="Times New Roman"/>
        </w:rPr>
        <w:instrText>ADDIN CSL_CITATION { "citationItems" : [ { "id" : "ITEM-1", "itemData" : { "DOI" : "10.1111/psyp.12673", "ISSN" : "00485772", "author" : [ { "dropping-particle" : "", "family" : "Heydari", "given" : "Sepideh", "non-dropping-particle" : "", "parse-names" : false, "suffix" : "" }, { "dropping-particle" : "", "family" : "Holroyd", "given" : "Clay B.", "non-dropping-particle" : "", "parse-names" : false, "suffix" : "" } ], "container-title" : "Psychophysiology", "id" : "ITEM-1", "issued" : { "date-parts" : [ [ "2016" ] ] }, "page" : "1-8", "title" : "Reward positivity: Reward prediction error or salience prediction error?", "type" : "article-journal" }, "uris" : [ "http://www.mendeley.com/documents/?uuid=b642944b-866e-485a-aaed-0b73d32593b6" ] } ], "mendeley" : { "formattedCitation" : "(Heydari &amp; Holroyd, 2016)", "plainTextFormattedCitation" : "(Heydari &amp; Holroyd, 2016)", "previouslyFormattedCitation" : "(Heydari &amp; Holroyd, 2016)" }, "properties" : { "noteIndex" : 0 }, "schema" : "https://github.com/citation-style-language/schema/raw/master/csl-citation.json" }</w:instrText>
      </w:r>
      <w:r w:rsidRPr="00990234">
        <w:rPr>
          <w:rFonts w:ascii="Times New Roman" w:hAnsi="Times New Roman" w:cs="Times New Roman"/>
        </w:rPr>
        <w:fldChar w:fldCharType="separate"/>
      </w:r>
      <w:r w:rsidRPr="00990234">
        <w:rPr>
          <w:rFonts w:ascii="Times New Roman" w:hAnsi="Times New Roman" w:cs="Times New Roman"/>
          <w:noProof/>
        </w:rPr>
        <w:t>(Heydari &amp; Holroyd, 2016)</w:t>
      </w:r>
      <w:r w:rsidRPr="00990234">
        <w:rPr>
          <w:rFonts w:ascii="Times New Roman" w:hAnsi="Times New Roman" w:cs="Times New Roman"/>
        </w:rPr>
        <w:fldChar w:fldCharType="end"/>
      </w:r>
      <w:r w:rsidRPr="00990234">
        <w:rPr>
          <w:rFonts w:ascii="Times New Roman" w:hAnsi="Times New Roman" w:cs="Times New Roman"/>
        </w:rPr>
        <w:t>.</w:t>
      </w:r>
    </w:p>
    <w:p w:rsidR="00F5324E" w:rsidRPr="00990234" w:rsidRDefault="00F5324E" w:rsidP="00F5324E">
      <w:pPr>
        <w:spacing w:after="0" w:line="480" w:lineRule="auto"/>
        <w:ind w:right="-113" w:firstLine="720"/>
        <w:rPr>
          <w:rFonts w:ascii="Times New Roman" w:hAnsi="Times New Roman" w:cs="Times New Roman"/>
          <w:b/>
        </w:rPr>
      </w:pPr>
      <w:r w:rsidRPr="00990234">
        <w:rPr>
          <w:rFonts w:ascii="Times New Roman" w:hAnsi="Times New Roman" w:cs="Times New Roman"/>
          <w:b/>
        </w:rPr>
        <w:t>SPM analysis of frontocentral electrodes in the 200-380ms time window</w:t>
      </w:r>
    </w:p>
    <w:p w:rsidR="004F06B8" w:rsidRPr="00990234" w:rsidRDefault="00036D02" w:rsidP="00A54AA8">
      <w:pPr>
        <w:shd w:val="clear" w:color="auto" w:fill="FFFFFF"/>
        <w:spacing w:after="0" w:line="480" w:lineRule="auto"/>
        <w:ind w:right="-113" w:firstLine="720"/>
        <w:textAlignment w:val="baseline"/>
        <w:rPr>
          <w:rFonts w:ascii="Times New Roman" w:hAnsi="Times New Roman" w:cs="Times New Roman"/>
        </w:rPr>
      </w:pPr>
      <w:r w:rsidRPr="00990234">
        <w:rPr>
          <w:rFonts w:ascii="Times New Roman" w:hAnsi="Times New Roman" w:cs="Times New Roman"/>
        </w:rPr>
        <w:t xml:space="preserve">The </w:t>
      </w:r>
      <w:r w:rsidR="00BE1C7E" w:rsidRPr="00990234">
        <w:rPr>
          <w:rFonts w:ascii="Times New Roman" w:hAnsi="Times New Roman" w:cs="Times New Roman"/>
        </w:rPr>
        <w:t>FRN</w:t>
      </w:r>
      <w:r w:rsidRPr="00990234">
        <w:rPr>
          <w:rFonts w:ascii="Times New Roman" w:hAnsi="Times New Roman" w:cs="Times New Roman"/>
        </w:rPr>
        <w:t xml:space="preserve"> literature lacks consistency in </w:t>
      </w:r>
      <w:r w:rsidR="00E434BF" w:rsidRPr="00990234">
        <w:rPr>
          <w:rFonts w:ascii="Times New Roman" w:hAnsi="Times New Roman" w:cs="Times New Roman"/>
        </w:rPr>
        <w:t>measur</w:t>
      </w:r>
      <w:r w:rsidR="000C0FC7" w:rsidRPr="00990234">
        <w:rPr>
          <w:rFonts w:ascii="Times New Roman" w:hAnsi="Times New Roman" w:cs="Times New Roman"/>
        </w:rPr>
        <w:t>ing th</w:t>
      </w:r>
      <w:r w:rsidR="00A3073F" w:rsidRPr="00990234">
        <w:rPr>
          <w:rFonts w:ascii="Times New Roman" w:hAnsi="Times New Roman" w:cs="Times New Roman"/>
        </w:rPr>
        <w:t>e FRN</w:t>
      </w:r>
      <w:r w:rsidRPr="00990234">
        <w:rPr>
          <w:rFonts w:ascii="Times New Roman" w:hAnsi="Times New Roman" w:cs="Times New Roman"/>
        </w:rPr>
        <w:t xml:space="preserve">. </w:t>
      </w:r>
      <w:r w:rsidR="00A3073F" w:rsidRPr="00990234">
        <w:rPr>
          <w:rFonts w:ascii="Times New Roman" w:hAnsi="Times New Roman" w:cs="Times New Roman"/>
        </w:rPr>
        <w:t xml:space="preserve">The meta-analysis we relied on to compute the difference waves above </w:t>
      </w:r>
      <w:r w:rsidR="00A3073F" w:rsidRPr="00990234">
        <w:rPr>
          <w:rFonts w:ascii="Times New Roman" w:hAnsi="Times New Roman" w:cs="Times New Roman"/>
        </w:rPr>
        <w:fldChar w:fldCharType="begin" w:fldLock="1"/>
      </w:r>
      <w:r w:rsidR="00A3073F" w:rsidRPr="00990234">
        <w:rPr>
          <w:rFonts w:ascii="Times New Roman" w:hAnsi="Times New Roman" w:cs="Times New Roman"/>
        </w:rPr>
        <w:instrText>ADDIN CSL_CITATION { "citationItems" : [ { "id" : "ITEM-1", "itemData" : { "DOI" : "10.1037/bul0000006", "ISBN" : "1939-1455(Electronic);0033-2909(Print)", "ISSN" : "1939-1455", "PMID" : "25495239", "abstract" : "Economic approaches to decision making assume that people attach values to prospective goods and act to maximize their obtained value. Neuroeconomics strives to observe these values directly in the brain. A widely used valuation term in formal learning and decision-making models is the reward prediction error: the value of an outcome relative to its expected value. An influential theory (Holroyd &amp; Coles, 2002) claims that an electrophysiological component, feedback related negativity (FRN), codes a reward prediction error in the human brain. Such a component should be sensitive to both the prior likelihood of reward and its magnitude on receipt. A number of studies have found the FRN to be insensitive to reward magnitude, thus questioning the Holroyd and Coles account. However, because of marked inconsistencies in how the FRN is measured, a meaningful synthesis of this evidence is highly problematic. We conducted a meta-analysis of the FRN\u2019s response to both reward magnitude and likelihood using a novel method in which published effect sizes were disregarded in favor of direct measurement of the published waveforms themselves, with these waveforms then averaged to produce \u201cgreat grand averages.\u201d Under this standardized measure, the meta-analysis revealed strong effects of magnitude and likelihood on the FRN, consistent with it encoding a reward prediction error. In addition, it revealed strong main effects of reward magnitude and likelihood across much of the waveform, indicating sensitivity to unsigned prediction errors or \u201csalience.\u201d The great grand average technique is proposed as a general method for meta-analysis of event-related potential (ERP).", "author" : [ { "dropping-particle" : "", "family" : "Sambrook", "given" : "Thomas D", "non-dropping-particle" : "", "parse-names" : false, "suffix" : "" }, { "dropping-particle" : "", "family" : "Goslin", "given" : "Jeremy", "non-dropping-particle" : "", "parse-names" : false, "suffix" : "" } ], "container-title" : "Psychological Bulletin", "id" : "ITEM-1", "issue" : "1", "issued" : { "date-parts" : [ [ "2015" ] ] }, "page" : "213-235", "title" : "A neural reward prediction error revealed by a meta-analysis of ERPs using great grand averages", "type" : "article-journal", "volume" : "141" }, "uris" : [ "http://www.mendeley.com/documents/?uuid=1a1d129d-5655-4a68-874c-2674fa1915eb" ] } ], "mendeley" : { "formattedCitation" : "(Sambrook &amp; Goslin, 2015a)", "plainTextFormattedCitation" : "(Sambrook &amp; Goslin, 2015a)", "previouslyFormattedCitation" : "(Sambrook &amp; Goslin, 2015a)" }, "properties" : { "noteIndex" : 0 }, "schema" : "https://github.com/citation-style-language/schema/raw/master/csl-citation.json" }</w:instrText>
      </w:r>
      <w:r w:rsidR="00A3073F" w:rsidRPr="00990234">
        <w:rPr>
          <w:rFonts w:ascii="Times New Roman" w:hAnsi="Times New Roman" w:cs="Times New Roman"/>
        </w:rPr>
        <w:fldChar w:fldCharType="separate"/>
      </w:r>
      <w:r w:rsidR="00A3073F" w:rsidRPr="00990234">
        <w:rPr>
          <w:rFonts w:ascii="Times New Roman" w:hAnsi="Times New Roman" w:cs="Times New Roman"/>
          <w:noProof/>
        </w:rPr>
        <w:t>(Sambrook &amp; Goslin, 2015a)</w:t>
      </w:r>
      <w:r w:rsidR="00A3073F" w:rsidRPr="00990234">
        <w:rPr>
          <w:rFonts w:ascii="Times New Roman" w:hAnsi="Times New Roman" w:cs="Times New Roman"/>
        </w:rPr>
        <w:fldChar w:fldCharType="end"/>
      </w:r>
      <w:r w:rsidR="00A3073F" w:rsidRPr="00990234">
        <w:rPr>
          <w:rFonts w:ascii="Times New Roman" w:hAnsi="Times New Roman" w:cs="Times New Roman"/>
        </w:rPr>
        <w:t xml:space="preserve"> acknowledged that variability in methods may complicate a blanket application of that time window.  </w:t>
      </w:r>
      <w:r w:rsidR="00D83A5D" w:rsidRPr="00990234">
        <w:rPr>
          <w:rFonts w:ascii="Times New Roman" w:hAnsi="Times New Roman" w:cs="Times New Roman"/>
        </w:rPr>
        <w:t xml:space="preserve">Though the FRN is </w:t>
      </w:r>
      <w:r w:rsidR="00E730F1" w:rsidRPr="00990234">
        <w:rPr>
          <w:rFonts w:ascii="Times New Roman" w:hAnsi="Times New Roman" w:cs="Times New Roman"/>
        </w:rPr>
        <w:t xml:space="preserve">linked to activity in the ACC </w:t>
      </w:r>
      <w:r w:rsidR="00E730F1" w:rsidRPr="00990234">
        <w:rPr>
          <w:rFonts w:ascii="Times New Roman" w:hAnsi="Times New Roman" w:cs="Times New Roman"/>
        </w:rPr>
        <w:fldChar w:fldCharType="begin" w:fldLock="1"/>
      </w:r>
      <w:r w:rsidR="009002E1" w:rsidRPr="00990234">
        <w:rPr>
          <w:rFonts w:ascii="Times New Roman" w:hAnsi="Times New Roman" w:cs="Times New Roman"/>
        </w:rPr>
        <w:instrText>ADDIN CSL_CITATION { "citationItems" : [ { "id" : "ITEM-1", "itemData" : { "DOI" : "http://dx.doi.org/10.1016/j.neubiorev.2012.05.008", "ISBN" : "0149-7634", "author" : [ { "dropping-particle" : "", "family" : "Walsh", "given" : "Matthew M", "non-dropping-particle" : "", "parse-names" : false, "suffix" : "" }, { "dropping-particle" : "", "family" : "Anderson", "given" : "John R", "non-dropping-particle" : "", "parse-names" : false, "suffix" : "" } ], "container-title" : "Neuroscience &amp; Biobehavioral Reviews", "id" : "ITEM-1", "issue" : "8", "issued" : { "date-parts" : [ [ "2012" ] ] }, "page" : "1870-1884", "title" : "Learning from experience: Event-related potential correlates of reward processing, neural adaptation, and behavioral choice", "type" : "article-journal", "volume" : "36" }, "uris" : [ "http://www.mendeley.com/documents/?uuid=e3bb9963-adc7-44bc-8cb5-447f22319248" ] } ], "mendeley" : { "formattedCitation" : "(Walsh &amp; Anderson, 2012)", "plainTextFormattedCitation" : "(Walsh &amp; Anderson, 2012)", "previouslyFormattedCitation" : "(Walsh &amp; Anderson, 2012)" }, "properties" : { "noteIndex" : 0 }, "schema" : "https://github.com/citation-style-language/schema/raw/master/csl-citation.json" }</w:instrText>
      </w:r>
      <w:r w:rsidR="00E730F1" w:rsidRPr="00990234">
        <w:rPr>
          <w:rFonts w:ascii="Times New Roman" w:hAnsi="Times New Roman" w:cs="Times New Roman"/>
        </w:rPr>
        <w:fldChar w:fldCharType="separate"/>
      </w:r>
      <w:r w:rsidR="00E730F1" w:rsidRPr="00990234">
        <w:rPr>
          <w:rFonts w:ascii="Times New Roman" w:hAnsi="Times New Roman" w:cs="Times New Roman"/>
          <w:noProof/>
        </w:rPr>
        <w:t>(Walsh &amp; Anderson, 2012)</w:t>
      </w:r>
      <w:r w:rsidR="00E730F1" w:rsidRPr="00990234">
        <w:rPr>
          <w:rFonts w:ascii="Times New Roman" w:hAnsi="Times New Roman" w:cs="Times New Roman"/>
        </w:rPr>
        <w:fldChar w:fldCharType="end"/>
      </w:r>
      <w:r w:rsidR="00E730F1" w:rsidRPr="00990234">
        <w:rPr>
          <w:rFonts w:ascii="Times New Roman" w:hAnsi="Times New Roman" w:cs="Times New Roman"/>
        </w:rPr>
        <w:t xml:space="preserve"> and </w:t>
      </w:r>
      <w:r w:rsidR="00F0671F" w:rsidRPr="00990234">
        <w:rPr>
          <w:rFonts w:ascii="Times New Roman" w:hAnsi="Times New Roman" w:cs="Times New Roman"/>
        </w:rPr>
        <w:t>well-defined as being expressed</w:t>
      </w:r>
      <w:r w:rsidR="00D83A5D" w:rsidRPr="00990234">
        <w:rPr>
          <w:rFonts w:ascii="Times New Roman" w:hAnsi="Times New Roman" w:cs="Times New Roman"/>
        </w:rPr>
        <w:t xml:space="preserve"> at frontocentral electrodes</w:t>
      </w:r>
      <w:r w:rsidR="00E730F1" w:rsidRPr="00990234">
        <w:rPr>
          <w:rFonts w:ascii="Times New Roman" w:hAnsi="Times New Roman" w:cs="Times New Roman"/>
        </w:rPr>
        <w:t xml:space="preserve"> after 200ms, the specific electrode and latency </w:t>
      </w:r>
      <w:r w:rsidR="009002E1" w:rsidRPr="00990234">
        <w:rPr>
          <w:rFonts w:ascii="Times New Roman" w:hAnsi="Times New Roman" w:cs="Times New Roman"/>
        </w:rPr>
        <w:t>varies</w:t>
      </w:r>
      <w:r w:rsidR="00E730F1" w:rsidRPr="00990234">
        <w:rPr>
          <w:rFonts w:ascii="Times New Roman" w:hAnsi="Times New Roman" w:cs="Times New Roman"/>
        </w:rPr>
        <w:t xml:space="preserve"> between studies, meaning the peak </w:t>
      </w:r>
      <w:r w:rsidR="00E730F1" w:rsidRPr="00990234">
        <w:rPr>
          <w:rFonts w:ascii="Times New Roman" w:hAnsi="Times New Roman" w:cs="Times New Roman"/>
        </w:rPr>
        <w:lastRenderedPageBreak/>
        <w:t>signal may be overlooked.</w:t>
      </w:r>
      <w:r w:rsidR="009002E1" w:rsidRPr="00990234">
        <w:rPr>
          <w:rFonts w:ascii="Times New Roman" w:hAnsi="Times New Roman" w:cs="Times New Roman"/>
        </w:rPr>
        <w:t xml:space="preserve"> This is a particular issue in more complex experimental designs </w:t>
      </w:r>
      <w:r w:rsidR="00A3073F" w:rsidRPr="00990234">
        <w:rPr>
          <w:rFonts w:ascii="Times New Roman" w:hAnsi="Times New Roman" w:cs="Times New Roman"/>
        </w:rPr>
        <w:t xml:space="preserve">or where </w:t>
      </w:r>
      <w:r w:rsidR="009002E1" w:rsidRPr="00990234">
        <w:rPr>
          <w:rFonts w:ascii="Times New Roman" w:hAnsi="Times New Roman" w:cs="Times New Roman"/>
        </w:rPr>
        <w:t>novel modalities, such as pain</w:t>
      </w:r>
      <w:r w:rsidR="00070BFD" w:rsidRPr="00990234">
        <w:rPr>
          <w:rFonts w:ascii="Times New Roman" w:hAnsi="Times New Roman" w:cs="Times New Roman"/>
        </w:rPr>
        <w:t>,</w:t>
      </w:r>
      <w:r w:rsidR="009002E1" w:rsidRPr="00990234">
        <w:rPr>
          <w:rFonts w:ascii="Times New Roman" w:hAnsi="Times New Roman" w:cs="Times New Roman"/>
        </w:rPr>
        <w:t xml:space="preserve"> could change </w:t>
      </w:r>
      <w:r w:rsidR="00A3073F" w:rsidRPr="00990234">
        <w:rPr>
          <w:rFonts w:ascii="Times New Roman" w:hAnsi="Times New Roman" w:cs="Times New Roman"/>
        </w:rPr>
        <w:t xml:space="preserve">the morphology </w:t>
      </w:r>
      <w:r w:rsidR="009002E1" w:rsidRPr="00990234">
        <w:rPr>
          <w:rFonts w:ascii="Times New Roman" w:hAnsi="Times New Roman" w:cs="Times New Roman"/>
        </w:rPr>
        <w:t xml:space="preserve">of the signal </w:t>
      </w:r>
      <w:r w:rsidR="009002E1" w:rsidRPr="00990234">
        <w:rPr>
          <w:rFonts w:ascii="Times New Roman" w:hAnsi="Times New Roman" w:cs="Times New Roman"/>
        </w:rPr>
        <w:fldChar w:fldCharType="begin" w:fldLock="1"/>
      </w:r>
      <w:r w:rsidR="009002E1" w:rsidRPr="00990234">
        <w:rPr>
          <w:rFonts w:ascii="Times New Roman" w:hAnsi="Times New Roman" w:cs="Times New Roman"/>
        </w:rPr>
        <w:instrText>ADDIN CSL_CITATION { "citationItems" : [ { "id" : "ITEM-1", "itemData" : { "DOI" : "10.1038/srep04816", "ISSN" : "2045-2322", "PMID" : "25045961", "abstract" : "Research based on event-related potential (ERP) reported mediofrontal negativities following unexpected negative feedback or performance error. Some authors proposed that these signals reflect reward prediction error for worse than expected outcomes, while others suggested that mediofrontal negativities express medial prefrontal cortex coding for unexpected non-occurrence of a predicted outcome, whether worse or better than expected. Many studies found mediofrontal negativities coding for unexpected negative outcomes; however, few studies found them after unexpected positive outcomes. The present study investigated ERP and skin conductance response (SCR) to the unexpected omission of electric shocks during Pavlovian aversive conditioning. To manipulate expectancies, participants were presented with visual stimuli paired with electric shock on either 80% (CS+1) or 20% (CS+2) of trials. SCR analysis confirmed higher shock-delivery expectancy for CS+1, relative to CS+2. ERP analysis evidenced a stronger negative frontocentral ERP component after unexpected, relative to expected, shock-omission. Methodological and theoretical implications are discussed.", "author" : [ { "dropping-particle" : "", "family" : "Garofalo", "given" : "Sara", "non-dropping-particle" : "", "parse-names" : false, "suffix" : "" }, { "dropping-particle" : "", "family" : "Maier", "given" : "Martin E", "non-dropping-particle" : "", "parse-names" : false, "suffix" : "" }, { "dropping-particle" : "", "family" : "Pellegrino", "given" : "Giuseppe", "non-dropping-particle" : "di", "parse-names" : false, "suffix" : "" } ], "container-title" : "Scientific reports", "id" : "ITEM-1", "issued" : { "date-parts" : [ [ "2014" ] ] }, "page" : "4816", "title" : "Mediofrontal negativity signals unexpected omission of aversive events.", "type" : "article-journal", "volume" : "4" }, "uris" : [ "http://www.mendeley.com/documents/?uuid=fd149ef2-1fa4-490b-8200-3cb39adc055f" ] }, { "id" : "ITEM-2", "itemData" : { "DOI" : "10.1523/jneurosci.5695-12.2013", "abstract" : "Modulations of the feedback-related negativity (FRN) event-related potential (ERP) have been suggested as a potential biomarker in psychopathology. A dominant theory about this signal contends that it reflects the operation of the neural system underlying reinforcement learning in humans. The theory suggests that this frontocentral negative deflection in the ERP 230\u2013270 ms after the delivery of a probabilistic reward expresses a prediction error signal derived from midbrain dopaminergic projections to the anterior cingulate cortex. We tested this theory by investigating whether FRN will also be observed for an inherently aversive outcome: physical pain. In another session, the outcome was monetary reward instead of pain. As predicted, unexpected reward omissions (a negative reward prediction error) yielded a more negative deflection relative to unexpected reward delivery. Surprisingly, unexpected pain omission (a positive reward prediction error) also yielded a negative deflection relative to unexpected pain delivery. Our data challenge the theory by showing that the FRN expresses aversive prediction errors with the same sign as reward prediction errors. Both FRNs were spatiotemporally and functionally equivalent. We suggest that FRN expresses salience prediction errors rather than reward prediction errors.", "author" : [ { "dropping-particle" : "", "family" : "Talmi", "given" : "Deborah", "non-dropping-particle" : "", "parse-names" : false, "suffix" : "" }, { "dropping-particle" : "", "family" : "Atkinson", "given" : "Ryan", "non-dropping-particle" : "", "parse-names" : false, "suffix" : "" }, { "dropping-particle" : "", "family" : "El-Deredy", "given" : "Wael", "non-dropping-particle" : "", "parse-names" : false, "suffix" : "" } ], "container-title" : "The Journal of Neuroscience", "id" : "ITEM-2", "issue" : "19", "issued" : { "date-parts" : [ [ "2013" ] ] }, "page" : "8264-8269", "title" : "The Feedback-Related Negativity Signals Salience Prediction Errors, Not Reward Prediction Errors", "type" : "article-journal", "volume" : "33" }, "uris" : [ "http://www.mendeley.com/documents/?uuid=d677aa09-16f1-46ee-8185-d3fc13c1a457" ] } ], "mendeley" : { "formattedCitation" : "(Garofalo et al., 2014; Talmi et al., 2013)", "plainTextFormattedCitation" : "(Garofalo et al., 2014; Talmi et al., 2013)", "previouslyFormattedCitation" : "(Garofalo et al., 2014; Talmi et al., 2013)" }, "properties" : { "noteIndex" : 0 }, "schema" : "https://github.com/citation-style-language/schema/raw/master/csl-citation.json" }</w:instrText>
      </w:r>
      <w:r w:rsidR="009002E1" w:rsidRPr="00990234">
        <w:rPr>
          <w:rFonts w:ascii="Times New Roman" w:hAnsi="Times New Roman" w:cs="Times New Roman"/>
        </w:rPr>
        <w:fldChar w:fldCharType="separate"/>
      </w:r>
      <w:r w:rsidR="009002E1" w:rsidRPr="00990234">
        <w:rPr>
          <w:rFonts w:ascii="Times New Roman" w:hAnsi="Times New Roman" w:cs="Times New Roman"/>
          <w:noProof/>
        </w:rPr>
        <w:t>(Garofalo et al., 2014; Talmi et al., 2013)</w:t>
      </w:r>
      <w:r w:rsidR="009002E1" w:rsidRPr="00990234">
        <w:rPr>
          <w:rFonts w:ascii="Times New Roman" w:hAnsi="Times New Roman" w:cs="Times New Roman"/>
        </w:rPr>
        <w:fldChar w:fldCharType="end"/>
      </w:r>
      <w:r w:rsidR="009002E1" w:rsidRPr="00990234">
        <w:rPr>
          <w:rFonts w:ascii="Times New Roman" w:hAnsi="Times New Roman" w:cs="Times New Roman"/>
        </w:rPr>
        <w:t>.</w:t>
      </w:r>
      <w:r w:rsidR="004F06B8" w:rsidRPr="00990234">
        <w:rPr>
          <w:rFonts w:ascii="Times New Roman" w:hAnsi="Times New Roman" w:cs="Times New Roman"/>
        </w:rPr>
        <w:t xml:space="preserve"> </w:t>
      </w:r>
      <w:r w:rsidR="00A3073F" w:rsidRPr="00990234">
        <w:rPr>
          <w:rFonts w:ascii="Times New Roman" w:hAnsi="Times New Roman" w:cs="Times New Roman"/>
        </w:rPr>
        <w:t xml:space="preserve">Because </w:t>
      </w:r>
      <w:r w:rsidR="00C1462C" w:rsidRPr="00990234">
        <w:rPr>
          <w:rFonts w:ascii="Times New Roman" w:hAnsi="Times New Roman" w:cs="Times New Roman"/>
        </w:rPr>
        <w:t>we used a novel feedback modality here (taste),</w:t>
      </w:r>
      <w:r w:rsidR="00DA3E37" w:rsidRPr="00990234">
        <w:rPr>
          <w:rFonts w:ascii="Times New Roman" w:hAnsi="Times New Roman" w:cs="Times New Roman"/>
        </w:rPr>
        <w:t xml:space="preserve"> and because </w:t>
      </w:r>
      <w:r w:rsidR="004F06B8" w:rsidRPr="00990234">
        <w:rPr>
          <w:rFonts w:ascii="Times New Roman" w:hAnsi="Times New Roman" w:cs="Times New Roman"/>
        </w:rPr>
        <w:t xml:space="preserve">the </w:t>
      </w:r>
      <w:r w:rsidR="00A3073F" w:rsidRPr="00990234">
        <w:rPr>
          <w:rFonts w:ascii="Times New Roman" w:hAnsi="Times New Roman" w:cs="Times New Roman"/>
        </w:rPr>
        <w:t xml:space="preserve">difference-wave </w:t>
      </w:r>
      <w:r w:rsidR="004F06B8" w:rsidRPr="00990234">
        <w:rPr>
          <w:rFonts w:ascii="Times New Roman" w:hAnsi="Times New Roman" w:cs="Times New Roman"/>
        </w:rPr>
        <w:t xml:space="preserve">approach does not allow a </w:t>
      </w:r>
      <w:r w:rsidR="00DA3E37" w:rsidRPr="00990234">
        <w:rPr>
          <w:rFonts w:ascii="Times New Roman" w:hAnsi="Times New Roman" w:cs="Times New Roman"/>
        </w:rPr>
        <w:t xml:space="preserve">test </w:t>
      </w:r>
      <w:r w:rsidR="004F06B8" w:rsidRPr="00990234">
        <w:rPr>
          <w:rFonts w:ascii="Times New Roman" w:hAnsi="Times New Roman" w:cs="Times New Roman"/>
        </w:rPr>
        <w:t xml:space="preserve">of </w:t>
      </w:r>
      <w:r w:rsidR="00DA3E37" w:rsidRPr="00990234">
        <w:rPr>
          <w:rFonts w:ascii="Times New Roman" w:hAnsi="Times New Roman" w:cs="Times New Roman"/>
        </w:rPr>
        <w:t>the predictions of the axiomatic model</w:t>
      </w:r>
      <w:r w:rsidR="00CA58DD" w:rsidRPr="00990234">
        <w:rPr>
          <w:rFonts w:ascii="Times New Roman" w:hAnsi="Times New Roman" w:cs="Times New Roman"/>
        </w:rPr>
        <w:t xml:space="preserve"> </w:t>
      </w:r>
      <w:r w:rsidR="00CA58DD" w:rsidRPr="00990234">
        <w:rPr>
          <w:rFonts w:ascii="Times New Roman" w:hAnsi="Times New Roman" w:cs="Times New Roman"/>
        </w:rPr>
        <w:fldChar w:fldCharType="begin" w:fldLock="1"/>
      </w:r>
      <w:r w:rsidR="00CA58DD" w:rsidRPr="00990234">
        <w:rPr>
          <w:rFonts w:ascii="Times New Roman" w:hAnsi="Times New Roman" w:cs="Times New Roman"/>
        </w:rPr>
        <w:instrText>ADDIN CSL_CITATION { "citationItems" : [ { "id" : "ITEM-1", "itemData" : { "DOI" : "http://dx.doi.org/10.1016/j.neuroimage.2011.06.051", "ISBN" : "1053-8119", "abstract" : "Optimal decision-making is guided by evaluating the outcomes of previous decisions. Prediction errors are theoretical teaching signals which integrate two features of an outcome: its inherent value and prior expectation of its occurrence. To uncover the magnetic signature of prediction errors in the human brain we acquired magnetoencephalographic (MEG) data while participants performed a gambling task. Our primary objective was to use formal criteria, based upon an axiomatic model (Caplin and Dean, 2008a), to determine the presence and timing profile of MEG signals that express prediction errors. We report analyses at the sensor level, implemented in SPM8, time locked to outcome onset. We identified, for the first time, a MEG signature of prediction error, which emerged approximately 320 ms after an outcome and expressed as an interaction between outcome valence and probability. This signal followed earlier, separate signals for outcome valence and probability, which emerged approximately 200 ms after an outcome. Strikingly, the time course of the prediction error signal, as well as the early valence signal, resembled the Feedback-Related Negativity (FRN). In simultaneously acquired EEG data we obtained a robust FRN, but the win and loss signals that comprised this difference wave did not comply with the axiomatic model. Our findings motivate an explicit examination of the critical issue of timing embodied in computational models of prediction errors as seen in human electrophysiological data.", "author" : [ { "dropping-particle" : "", "family" : "Talmi", "given" : "Deborah", "non-dropping-particle" : "", "parse-names" : false, "suffix" : "" }, { "dropping-particle" : "", "family" : "Fuentemilla", "given" : "Lluis", "non-dropping-particle" : "", "parse-names" : false, "suffix" : "" }, { "dropping-particle" : "", "family" : "Litvak", "given" : "Vladimir", "non-dropping-particle" : "", "parse-names" : false, "suffix" : "" }, { "dropping-particle" : "", "family" : "Duzel", "given" : "Emrah", "non-dropping-particle" : "", "parse-names" : false, "suffix" : "" }, { "dropping-particle" : "", "family" : "Dolan", "given" : "Raymond J", "non-dropping-particle" : "", "parse-names" : false, "suffix" : "" } ], "container-title" : "NeuroImage", "id" : "ITEM-1", "issue" : "1", "issued" : { "date-parts" : [ [ "2012" ] ] }, "page" : "635-645", "title" : "An MEG signature corresponding to an axiomatic model of reward prediction error", "type" : "article-journal", "volume" : "59" }, "uris" : [ "http://www.mendeley.com/documents/?uuid=597bdba1-5beb-4e98-be53-86425af10ce1" ] } ], "mendeley" : { "formattedCitation" : "(Talmi, Fuentemilla, Litvak, Duzel, &amp; Dolan, 2012)", "plainTextFormattedCitation" : "(Talmi, Fuentemilla, Litvak, Duzel, &amp; Dolan, 2012)", "previouslyFormattedCitation" : "(Talmi, Fuentemilla, Litvak, Duzel, &amp; Dolan, 2012)" }, "properties" : { "noteIndex" : 0 }, "schema" : "https://github.com/citation-style-language/schema/raw/master/csl-citation.json" }</w:instrText>
      </w:r>
      <w:r w:rsidR="00CA58DD" w:rsidRPr="00990234">
        <w:rPr>
          <w:rFonts w:ascii="Times New Roman" w:hAnsi="Times New Roman" w:cs="Times New Roman"/>
        </w:rPr>
        <w:fldChar w:fldCharType="separate"/>
      </w:r>
      <w:r w:rsidR="00CA58DD" w:rsidRPr="00990234">
        <w:rPr>
          <w:rFonts w:ascii="Times New Roman" w:hAnsi="Times New Roman" w:cs="Times New Roman"/>
          <w:noProof/>
        </w:rPr>
        <w:t>(Talmi, Fuentemilla, Litvak, Duzel, &amp; Dolan, 2012)</w:t>
      </w:r>
      <w:r w:rsidR="00CA58DD" w:rsidRPr="00990234">
        <w:rPr>
          <w:rFonts w:ascii="Times New Roman" w:hAnsi="Times New Roman" w:cs="Times New Roman"/>
        </w:rPr>
        <w:fldChar w:fldCharType="end"/>
      </w:r>
      <w:r w:rsidR="00D83A5D" w:rsidRPr="00990234">
        <w:rPr>
          <w:rFonts w:ascii="Times New Roman" w:hAnsi="Times New Roman" w:cs="Times New Roman"/>
        </w:rPr>
        <w:t>, we</w:t>
      </w:r>
      <w:r w:rsidR="00C1462C" w:rsidRPr="00990234">
        <w:rPr>
          <w:rFonts w:ascii="Times New Roman" w:hAnsi="Times New Roman" w:cs="Times New Roman"/>
        </w:rPr>
        <w:t xml:space="preserve"> </w:t>
      </w:r>
      <w:r w:rsidRPr="00990234">
        <w:rPr>
          <w:rFonts w:ascii="Times New Roman" w:hAnsi="Times New Roman" w:cs="Times New Roman"/>
        </w:rPr>
        <w:t>employ</w:t>
      </w:r>
      <w:r w:rsidR="00A3073F" w:rsidRPr="00990234">
        <w:rPr>
          <w:rFonts w:ascii="Times New Roman" w:hAnsi="Times New Roman" w:cs="Times New Roman"/>
        </w:rPr>
        <w:t>ed</w:t>
      </w:r>
      <w:r w:rsidR="004F06B8" w:rsidRPr="00990234">
        <w:rPr>
          <w:rFonts w:ascii="Times New Roman" w:hAnsi="Times New Roman" w:cs="Times New Roman"/>
        </w:rPr>
        <w:t xml:space="preserve"> </w:t>
      </w:r>
      <w:r w:rsidR="00A3073F" w:rsidRPr="00990234">
        <w:rPr>
          <w:rFonts w:ascii="Times New Roman" w:hAnsi="Times New Roman" w:cs="Times New Roman"/>
        </w:rPr>
        <w:t xml:space="preserve">an </w:t>
      </w:r>
      <w:r w:rsidR="004F06B8" w:rsidRPr="00990234">
        <w:rPr>
          <w:rFonts w:ascii="Times New Roman" w:hAnsi="Times New Roman" w:cs="Times New Roman"/>
        </w:rPr>
        <w:t>additional</w:t>
      </w:r>
      <w:r w:rsidRPr="00990234">
        <w:rPr>
          <w:rFonts w:ascii="Times New Roman" w:hAnsi="Times New Roman" w:cs="Times New Roman"/>
        </w:rPr>
        <w:t xml:space="preserve"> data-driven approach</w:t>
      </w:r>
      <w:r w:rsidR="00C1462C" w:rsidRPr="00990234">
        <w:rPr>
          <w:rFonts w:ascii="Times New Roman" w:hAnsi="Times New Roman" w:cs="Times New Roman"/>
        </w:rPr>
        <w:t xml:space="preserve"> for </w:t>
      </w:r>
      <w:r w:rsidR="004F06B8" w:rsidRPr="00990234">
        <w:rPr>
          <w:rFonts w:ascii="Times New Roman" w:hAnsi="Times New Roman" w:cs="Times New Roman"/>
        </w:rPr>
        <w:t>data analysis</w:t>
      </w:r>
      <w:r w:rsidR="00C1462C" w:rsidRPr="00990234">
        <w:rPr>
          <w:rFonts w:ascii="Times New Roman" w:hAnsi="Times New Roman" w:cs="Times New Roman"/>
        </w:rPr>
        <w:t xml:space="preserve">. </w:t>
      </w:r>
    </w:p>
    <w:p w:rsidR="00D91EBC" w:rsidRPr="00990234" w:rsidRDefault="00C1462C" w:rsidP="00EB1F93">
      <w:pPr>
        <w:spacing w:after="0" w:line="480" w:lineRule="auto"/>
        <w:ind w:right="-113" w:firstLine="720"/>
        <w:rPr>
          <w:rFonts w:ascii="Times New Roman" w:hAnsi="Times New Roman" w:cs="Times New Roman"/>
        </w:rPr>
      </w:pPr>
      <w:r w:rsidRPr="00990234">
        <w:rPr>
          <w:rFonts w:ascii="Times New Roman" w:hAnsi="Times New Roman" w:cs="Times New Roman"/>
        </w:rPr>
        <w:t>Global Field Power (GFP)</w:t>
      </w:r>
      <w:r w:rsidR="00243B96" w:rsidRPr="00990234">
        <w:rPr>
          <w:rFonts w:ascii="Times New Roman" w:hAnsi="Times New Roman" w:cs="Times New Roman"/>
        </w:rPr>
        <w:t xml:space="preserve"> </w:t>
      </w:r>
      <w:r w:rsidR="00A3073F" w:rsidRPr="00990234">
        <w:rPr>
          <w:rFonts w:ascii="Times New Roman" w:hAnsi="Times New Roman" w:cs="Times New Roman"/>
        </w:rPr>
        <w:t xml:space="preserve">is a technique that </w:t>
      </w:r>
      <w:r w:rsidRPr="00990234">
        <w:rPr>
          <w:rFonts w:ascii="Times New Roman" w:hAnsi="Times New Roman" w:cs="Times New Roman"/>
        </w:rPr>
        <w:t>measure</w:t>
      </w:r>
      <w:r w:rsidR="00A3073F" w:rsidRPr="00990234">
        <w:rPr>
          <w:rFonts w:ascii="Times New Roman" w:hAnsi="Times New Roman" w:cs="Times New Roman"/>
        </w:rPr>
        <w:t>s</w:t>
      </w:r>
      <w:r w:rsidRPr="00990234">
        <w:rPr>
          <w:rFonts w:ascii="Times New Roman" w:hAnsi="Times New Roman" w:cs="Times New Roman"/>
        </w:rPr>
        <w:t xml:space="preserve"> variance across all electrodes, conditions, and participants,</w:t>
      </w:r>
      <w:r w:rsidR="00243B96" w:rsidRPr="00990234">
        <w:rPr>
          <w:rFonts w:ascii="Times New Roman" w:hAnsi="Times New Roman" w:cs="Times New Roman"/>
        </w:rPr>
        <w:t xml:space="preserve"> and </w:t>
      </w:r>
      <w:r w:rsidR="00A3073F" w:rsidRPr="00990234">
        <w:rPr>
          <w:rFonts w:ascii="Times New Roman" w:hAnsi="Times New Roman" w:cs="Times New Roman"/>
        </w:rPr>
        <w:t xml:space="preserve">has traditionally been used to select spatiotemporal analysis </w:t>
      </w:r>
      <w:r w:rsidR="00243B96" w:rsidRPr="00990234">
        <w:rPr>
          <w:rFonts w:ascii="Times New Roman" w:hAnsi="Times New Roman" w:cs="Times New Roman"/>
        </w:rPr>
        <w:t>window</w:t>
      </w:r>
      <w:r w:rsidR="00070BFD" w:rsidRPr="00990234">
        <w:rPr>
          <w:rFonts w:ascii="Times New Roman" w:hAnsi="Times New Roman" w:cs="Times New Roman"/>
        </w:rPr>
        <w:t>s</w:t>
      </w:r>
      <w:r w:rsidR="00A3073F" w:rsidRPr="00990234">
        <w:rPr>
          <w:rFonts w:ascii="Times New Roman" w:hAnsi="Times New Roman" w:cs="Times New Roman"/>
        </w:rPr>
        <w:t xml:space="preserve"> </w:t>
      </w:r>
      <w:r w:rsidR="00A3073F" w:rsidRPr="00990234">
        <w:rPr>
          <w:rFonts w:ascii="Times New Roman" w:hAnsi="Times New Roman" w:cs="Times New Roman"/>
        </w:rPr>
        <w:fldChar w:fldCharType="begin" w:fldLock="1"/>
      </w:r>
      <w:r w:rsidR="00A3073F" w:rsidRPr="00990234">
        <w:rPr>
          <w:rFonts w:ascii="Times New Roman" w:hAnsi="Times New Roman" w:cs="Times New Roman"/>
        </w:rPr>
        <w:instrText>ADDIN CSL_CITATION { "citationItems" : [ { "id" : "ITEM-1", "itemData" : { "DOI" : "10.1007/BF01128870", "ISBN" : "0896-0267", "ISSN" : "0896-0267, 1573-6792", "PMID" : "2094301", "abstract" : "Multichannel recordings are commonly presented as topographic maps series displaying the change of the potential distribution over time. When reviewing a sequence of potential maps it becomes obvious that there are epochs with only little activity (few field lines; small extrema values) while at other times the fields display high peaks and deep troughs with steep gradients. The measure of global field power (GFP) corresponds to the spatial standard deviation, and it quantifies the amount of activity at each time point in the field considering the data from all recording electrodes simultaneously resulting in a reference-independent descriptor of the potential field. Global field power is plotted as a function of time, and the occurrence times of GFP maxima are used to determine the latencies of evoked potential components. The topographical change occurring in subsequent potential field distributions may also be quantified by computing an index of global dissimilarity. Global field power and global dissimilarity show a complementary behavior over time: in general, high GFP is associated with similar fields while during periods between GFP peaks the topographic patterns of successive field distributions change rapidly accompanied by high dissimilarity values. The topographic changes, however, are best recognized by a segmentation procedure that considers field structure independent of GFP and global dissimilarity. The principles and practical applications of GFP computation, component latency determination and global dissimilarity of potential field distributions as well as a topographical time segmentation procedure will be illustrated with multichannel data evoked by visual stimuli.", "author" : [ { "dropping-particle" : "", "family" : "Skrandies", "given" : "Wolfgang", "non-dropping-particle" : "", "parse-names" : false, "suffix" : "" } ], "container-title" : "Brain Topography", "id" : "ITEM-1", "issue" : "1", "issued" : { "date-parts" : [ [ "1990" ] ] }, "page" : "137-141", "title" : "Global field power and topographic similarity", "type" : "article-journal", "volume" : "3" }, "uris" : [ "http://www.mendeley.com/documents/?uuid=593eed0b-f669-459c-bcac-7437d16c53ea" ] }, { "id" : "ITEM-2", "itemData" : { "DOI" : "10.1016/0013-4694(80)90419-8", "ISBN" : "00134694 (ISSN)", "ISSN" : "00134694", "PMID" : "6155251", "abstract" : "A method is proposed to determine components of evoked scalp potentials, in terms of times of occurrence (latency) and location on the scalp (topography). The scalp field distributions were evoked by checkerboard reversal and were recorded simultaneously in 47 channels. Component latencies are defined as times of maximal values of the electrical power of the evoked field (a measure of the amount of field relief); this measurement is independent of the choice of the reference electrode. In 10 subjects, two evoked components were found consistently: at 100 and at 140 msec. Plots of scalp locations of the extreme field values (i.e., reference-free data) at the occurrence times of the components showed occipitally positive and anteriorly negative extreme values at 100 msec, and vice versa at 140 msec. The occipital extreme values were surrounded by steep field gradients suggesting occipital generator processes. The polarity reversal of the evoked field distributions between 100 and 140 msec was a quick, jump-like location change of the extreme values in the field. The locations of the extreme field values were stable for long periods around peak times of the power curve. During these periods, the shape of the field remained constant (assessed by the average standard deviation of voltages per electrode between successive field distributions), suggesting also a stable localization of the generating process in depth. The field distributions tended to be concentric around the extreme field values. The major characteristics of the observed scalp fields showed no wave fronts, and no continuous 'travelling' of extreme values over larger distances. ?? 1980.", "author" : [ { "dropping-particle" : "", "family" : "Lehmann", "given" : "D.", "non-dropping-particle" : "", "parse-names" : false, "suffix" : "" }, { "dropping-particle" : "", "family" : "Skrandies", "given" : "W.", "non-dropping-particle" : "", "parse-names" : false, "suffix" : "" } ], "container-title" : "Electroencephalography and Clinical Neurophysiology", "id" : "ITEM-2", "issue" : "6", "issued" : { "date-parts" : [ [ "1980" ] ] }, "page" : "609-621", "title" : "Reference-free identification of components of checkerboard-evoked multichannel potential fields", "type" : "article-journal", "volume" : "48" }, "uris" : [ "http://www.mendeley.com/documents/?uuid=99a69640-2ca9-4cbd-9168-d27e8782d3e9", "http://www.mendeley.com/documents/?uuid=4446e0e4-84d6-49d1-84a4-3173a2c143f6" ] } ], "mendeley" : { "formattedCitation" : "(Lehmann &amp; Skrandies, 1980; Skrandies, 1990)", "plainTextFormattedCitation" : "(Lehmann &amp; Skrandies, 1980; Skrandies, 1990)", "previouslyFormattedCitation" : "(Lehmann &amp; Skrandies, 1980; Skrandies, 1990)" }, "properties" : { "noteIndex" : 0 }, "schema" : "https://github.com/citation-style-language/schema/raw/master/csl-citation.json" }</w:instrText>
      </w:r>
      <w:r w:rsidR="00A3073F" w:rsidRPr="00990234">
        <w:rPr>
          <w:rFonts w:ascii="Times New Roman" w:hAnsi="Times New Roman" w:cs="Times New Roman"/>
        </w:rPr>
        <w:fldChar w:fldCharType="separate"/>
      </w:r>
      <w:r w:rsidR="00A3073F" w:rsidRPr="00990234">
        <w:rPr>
          <w:rFonts w:ascii="Times New Roman" w:hAnsi="Times New Roman" w:cs="Times New Roman"/>
          <w:noProof/>
        </w:rPr>
        <w:t>(Lehmann &amp; Skrandies, 1980; Skrandies, 1990)</w:t>
      </w:r>
      <w:r w:rsidR="00A3073F" w:rsidRPr="00990234">
        <w:rPr>
          <w:rFonts w:ascii="Times New Roman" w:hAnsi="Times New Roman" w:cs="Times New Roman"/>
        </w:rPr>
        <w:fldChar w:fldCharType="end"/>
      </w:r>
      <w:r w:rsidR="00243B96" w:rsidRPr="00990234">
        <w:rPr>
          <w:rFonts w:ascii="Times New Roman" w:hAnsi="Times New Roman" w:cs="Times New Roman"/>
        </w:rPr>
        <w:t xml:space="preserve">. </w:t>
      </w:r>
      <w:r w:rsidR="00A3073F" w:rsidRPr="00990234">
        <w:rPr>
          <w:rFonts w:ascii="Times New Roman" w:hAnsi="Times New Roman" w:cs="Times New Roman"/>
        </w:rPr>
        <w:t>Using GFP</w:t>
      </w:r>
      <w:r w:rsidRPr="00990234">
        <w:rPr>
          <w:rFonts w:ascii="Times New Roman" w:hAnsi="Times New Roman" w:cs="Times New Roman"/>
        </w:rPr>
        <w:t xml:space="preserve"> </w:t>
      </w:r>
      <w:r w:rsidR="00A3073F" w:rsidRPr="00990234">
        <w:rPr>
          <w:rFonts w:ascii="Times New Roman" w:hAnsi="Times New Roman" w:cs="Times New Roman"/>
        </w:rPr>
        <w:t xml:space="preserve">we observed </w:t>
      </w:r>
      <w:r w:rsidR="002B0D2E" w:rsidRPr="00990234">
        <w:rPr>
          <w:rFonts w:ascii="Times New Roman" w:hAnsi="Times New Roman" w:cs="Times New Roman"/>
        </w:rPr>
        <w:t xml:space="preserve">two peaks in </w:t>
      </w:r>
      <w:r w:rsidR="00A3073F" w:rsidRPr="00990234">
        <w:rPr>
          <w:rFonts w:ascii="Times New Roman" w:hAnsi="Times New Roman" w:cs="Times New Roman"/>
        </w:rPr>
        <w:t xml:space="preserve"> </w:t>
      </w:r>
      <w:r w:rsidR="00070BFD" w:rsidRPr="00990234">
        <w:rPr>
          <w:rFonts w:ascii="Times New Roman" w:hAnsi="Times New Roman" w:cs="Times New Roman"/>
        </w:rPr>
        <w:t>frontocentral</w:t>
      </w:r>
      <w:r w:rsidRPr="00990234">
        <w:rPr>
          <w:rFonts w:ascii="Times New Roman" w:hAnsi="Times New Roman" w:cs="Times New Roman"/>
        </w:rPr>
        <w:t xml:space="preserve"> ERP </w:t>
      </w:r>
      <w:r w:rsidR="00031E6A" w:rsidRPr="00990234">
        <w:rPr>
          <w:rFonts w:ascii="Times New Roman" w:hAnsi="Times New Roman" w:cs="Times New Roman"/>
        </w:rPr>
        <w:t>activity</w:t>
      </w:r>
      <w:r w:rsidR="0086638A" w:rsidRPr="00990234">
        <w:rPr>
          <w:rFonts w:ascii="Times New Roman" w:hAnsi="Times New Roman" w:cs="Times New Roman"/>
        </w:rPr>
        <w:t xml:space="preserve">, where the FRN is normally expressed </w:t>
      </w:r>
      <w:r w:rsidR="0086638A" w:rsidRPr="00990234">
        <w:rPr>
          <w:rFonts w:ascii="Times New Roman" w:hAnsi="Times New Roman" w:cs="Times New Roman"/>
        </w:rPr>
        <w:fldChar w:fldCharType="begin" w:fldLock="1"/>
      </w:r>
      <w:r w:rsidR="0086638A" w:rsidRPr="00990234">
        <w:rPr>
          <w:rFonts w:ascii="Times New Roman" w:hAnsi="Times New Roman" w:cs="Times New Roman"/>
        </w:rPr>
        <w:instrText>ADDIN CSL_CITATION { "citationItems" : [ { "id" : "ITEM-1", "itemData" : { "DOI" : "http://dx.doi.org/10.1016/j.neubiorev.2012.05.008", "ISBN" : "0149-7634", "author" : [ { "dropping-particle" : "", "family" : "Walsh", "given" : "Matthew M", "non-dropping-particle" : "", "parse-names" : false, "suffix" : "" }, { "dropping-particle" : "", "family" : "Anderson", "given" : "John R", "non-dropping-particle" : "", "parse-names" : false, "suffix" : "" } ], "container-title" : "Neuroscience &amp; Biobehavioral Reviews", "id" : "ITEM-1", "issue" : "8", "issued" : { "date-parts" : [ [ "2012" ] ] }, "page" : "1870-1884", "title" : "Learning from experience: Event-related potential correlates of reward processing, neural adaptation, and behavioral choice", "type" : "article-journal", "volume" : "36" }, "uris" : [ "http://www.mendeley.com/documents/?uuid=e3bb9963-adc7-44bc-8cb5-447f22319248" ] } ], "mendeley" : { "formattedCitation" : "(Walsh &amp; Anderson, 2012)", "plainTextFormattedCitation" : "(Walsh &amp; Anderson, 2012)", "previouslyFormattedCitation" : "(Walsh &amp; Anderson, 2012)" }, "properties" : { "noteIndex" : 0 }, "schema" : "https://github.com/citation-style-language/schema/raw/master/csl-citation.json" }</w:instrText>
      </w:r>
      <w:r w:rsidR="0086638A" w:rsidRPr="00990234">
        <w:rPr>
          <w:rFonts w:ascii="Times New Roman" w:hAnsi="Times New Roman" w:cs="Times New Roman"/>
        </w:rPr>
        <w:fldChar w:fldCharType="separate"/>
      </w:r>
      <w:r w:rsidR="0086638A" w:rsidRPr="00990234">
        <w:rPr>
          <w:rFonts w:ascii="Times New Roman" w:hAnsi="Times New Roman" w:cs="Times New Roman"/>
          <w:noProof/>
        </w:rPr>
        <w:t>(Walsh &amp; Anderson, 2012)</w:t>
      </w:r>
      <w:r w:rsidR="0086638A" w:rsidRPr="00990234">
        <w:rPr>
          <w:rFonts w:ascii="Times New Roman" w:hAnsi="Times New Roman" w:cs="Times New Roman"/>
        </w:rPr>
        <w:fldChar w:fldCharType="end"/>
      </w:r>
      <w:r w:rsidR="002B0D2E" w:rsidRPr="00990234">
        <w:rPr>
          <w:rFonts w:ascii="Times New Roman" w:hAnsi="Times New Roman" w:cs="Times New Roman"/>
        </w:rPr>
        <w:t xml:space="preserve">, </w:t>
      </w:r>
      <w:r w:rsidR="00A3073F" w:rsidRPr="00990234">
        <w:rPr>
          <w:rFonts w:ascii="Times New Roman" w:hAnsi="Times New Roman" w:cs="Times New Roman"/>
        </w:rPr>
        <w:t>200-380ms from the outcome cue</w:t>
      </w:r>
      <w:r w:rsidR="005231FF" w:rsidRPr="00990234">
        <w:rPr>
          <w:rFonts w:ascii="Times New Roman" w:hAnsi="Times New Roman" w:cs="Times New Roman"/>
        </w:rPr>
        <w:t xml:space="preserve"> (figure 2)</w:t>
      </w:r>
      <w:r w:rsidR="00A3073F" w:rsidRPr="00990234">
        <w:rPr>
          <w:rFonts w:ascii="Times New Roman" w:hAnsi="Times New Roman" w:cs="Times New Roman"/>
        </w:rPr>
        <w:t xml:space="preserve">. This window was used </w:t>
      </w:r>
      <w:r w:rsidRPr="00990234">
        <w:rPr>
          <w:rFonts w:ascii="Times New Roman" w:hAnsi="Times New Roman" w:cs="Times New Roman"/>
        </w:rPr>
        <w:t>for statistical analysis</w:t>
      </w:r>
      <w:r w:rsidR="0086638A" w:rsidRPr="00990234">
        <w:rPr>
          <w:rFonts w:ascii="Times New Roman" w:hAnsi="Times New Roman" w:cs="Times New Roman"/>
        </w:rPr>
        <w:t xml:space="preserve"> with </w:t>
      </w:r>
      <w:r w:rsidR="0003354C" w:rsidRPr="00990234">
        <w:rPr>
          <w:rFonts w:ascii="Times New Roman" w:hAnsi="Times New Roman" w:cs="Times New Roman"/>
        </w:rPr>
        <w:t xml:space="preserve"> SPM</w:t>
      </w:r>
      <w:r w:rsidR="0086638A" w:rsidRPr="00990234">
        <w:rPr>
          <w:rFonts w:ascii="Times New Roman" w:hAnsi="Times New Roman" w:cs="Times New Roman"/>
        </w:rPr>
        <w:t>, an established technique</w:t>
      </w:r>
      <w:r w:rsidR="00220C1F" w:rsidRPr="00990234">
        <w:rPr>
          <w:rFonts w:ascii="Times New Roman" w:hAnsi="Times New Roman" w:cs="Times New Roman"/>
        </w:rPr>
        <w:t xml:space="preserve"> </w:t>
      </w:r>
      <w:r w:rsidR="00220C1F" w:rsidRPr="00990234">
        <w:rPr>
          <w:rFonts w:ascii="Times New Roman" w:hAnsi="Times New Roman" w:cs="Times New Roman"/>
        </w:rPr>
        <w:fldChar w:fldCharType="begin" w:fldLock="1"/>
      </w:r>
      <w:r w:rsidR="00E730F1" w:rsidRPr="00990234">
        <w:rPr>
          <w:rFonts w:ascii="Times New Roman" w:hAnsi="Times New Roman" w:cs="Times New Roman"/>
        </w:rPr>
        <w:instrText>ADDIN CSL_CITATION { "citationItems" : [ { "id" : "ITEM-1", "itemData" : { "DOI" : "10.1155/2011/852961", "ISSN" : "1687-5265", "abstract" : "&lt;p&gt;SPM is a free and open source software written in MATLAB (The MathWorks, Inc.). In addition to standard M/EEG preprocessing, we presently offer three main analysis tools: (i) statistical analysis of scalp-maps, time-frequency images, and volumetric 3D source reconstruction images based on the general linear model, with correction for multiple comparisons using random field theory; (ii) Bayesian M/EEG source reconstruction, including support for group studies, simultaneous EEG and MEG, and fMRI priors; (iii) dynamic causal modelling (DCM), an approach combining neural modelling with data analysis for which there are several variants dealing with evoked responses, steady state responses (power spectra and cross-spectra), induced responses, and phase coupling. SPM8 is integrated with the FieldTrip toolbox , making it possible for users to combine a variety of standard analysis methods with new schemes implemented in SPM and build custom analysis tools using powerful graphical user interface (GUI) and batching tools.&lt;/p&gt;", "author" : [ { "dropping-particle" : "", "family" : "Litvak", "given" : "Vladimir", "non-dropping-particle" : "", "parse-names" : false, "suffix" : "" }, { "dropping-particle" : "", "family" : "Mattout", "given" : "J\u00e9r\u00e9mie", "non-dropping-particle" : "", "parse-names" : false, "suffix" : "" }, { "dropping-particle" : "", "family" : "Kiebel", "given" : "Stefan", "non-dropping-particle" : "", "parse-names" : false, "suffix" : "" }, { "dropping-particle" : "", "family" : "Phillips", "given" : "Christophe", "non-dropping-particle" : "", "parse-names" : false, "suffix" : "" }, { "dropping-particle" : "", "family" : "Henson", "given" : "Richard", "non-dropping-particle" : "", "parse-names" : false, "suffix" : "" }, { "dropping-particle" : "", "family" : "Kilner", "given" : "James", "non-dropping-particle" : "", "parse-names" : false, "suffix" : "" }, { "dropping-particle" : "", "family" : "Barnes", "given" : "Gareth", "non-dropping-particle" : "", "parse-names" : false, "suffix" : "" }, { "dropping-particle" : "", "family" : "Oostenveld", "given" : "Robert", "non-dropping-particle" : "", "parse-names" : false, "suffix" : "" }, { "dropping-particle" : "", "family" : "Daunizeau", "given" : "Jean", "non-dropping-particle" : "", "parse-names" : false, "suffix" : "" }, { "dropping-particle" : "", "family" : "Flandin", "given" : "Guillaume", "non-dropping-particle" : "", "parse-names" : false, "suffix" : "" }, { "dropping-particle" : "", "family" : "Penny", "given" : "Will", "non-dropping-particle" : "", "parse-names" : false, "suffix" : "" }, { "dropping-particle" : "", "family" : "Friston", "given" : "Karl", "non-dropping-particle" : "", "parse-names" : false, "suffix" : "" } ], "container-title" : "Computational Intelligence and Neuroscience", "id" : "ITEM-1", "issued" : { "date-parts" : [ [ "2011" ] ] }, "page" : "1-32", "title" : "EEG and MEG Data Analysis in SPM8", "type" : "article-journal", "volume" : "2011" }, "uris" : [ "http://www.mendeley.com/documents/?uuid=b5c69899-997c-44db-9fb2-d94683a1bbc2" ] } ], "mendeley" : { "formattedCitation" : "(Litvak et al., 2011)", "plainTextFormattedCitation" : "(Litvak et al., 2011)", "previouslyFormattedCitation" : "(Litvak et al., 2011)" }, "properties" : { "noteIndex" : 0 }, "schema" : "https://github.com/citation-style-language/schema/raw/master/csl-citation.json" }</w:instrText>
      </w:r>
      <w:r w:rsidR="00220C1F" w:rsidRPr="00990234">
        <w:rPr>
          <w:rFonts w:ascii="Times New Roman" w:hAnsi="Times New Roman" w:cs="Times New Roman"/>
        </w:rPr>
        <w:fldChar w:fldCharType="separate"/>
      </w:r>
      <w:r w:rsidR="00220C1F" w:rsidRPr="00990234">
        <w:rPr>
          <w:rFonts w:ascii="Times New Roman" w:hAnsi="Times New Roman" w:cs="Times New Roman"/>
          <w:noProof/>
        </w:rPr>
        <w:t>(Litvak et al., 2011)</w:t>
      </w:r>
      <w:r w:rsidR="00220C1F" w:rsidRPr="00990234">
        <w:rPr>
          <w:rFonts w:ascii="Times New Roman" w:hAnsi="Times New Roman" w:cs="Times New Roman"/>
        </w:rPr>
        <w:fldChar w:fldCharType="end"/>
      </w:r>
      <w:r w:rsidR="00D222E6" w:rsidRPr="00990234">
        <w:rPr>
          <w:rFonts w:ascii="Times New Roman" w:hAnsi="Times New Roman" w:cs="Times New Roman"/>
        </w:rPr>
        <w:t xml:space="preserve"> which </w:t>
      </w:r>
      <w:r w:rsidR="00553A5B" w:rsidRPr="00990234">
        <w:rPr>
          <w:rFonts w:ascii="Times New Roman" w:hAnsi="Times New Roman" w:cs="Times New Roman"/>
        </w:rPr>
        <w:t xml:space="preserve">employs the General Linear Model to </w:t>
      </w:r>
      <w:r w:rsidR="009A241B" w:rsidRPr="00990234">
        <w:rPr>
          <w:rFonts w:ascii="Times New Roman" w:hAnsi="Times New Roman" w:cs="Times New Roman"/>
        </w:rPr>
        <w:t xml:space="preserve">estimate parameters over electrodes and time, and </w:t>
      </w:r>
      <w:r w:rsidR="0086638A" w:rsidRPr="00990234">
        <w:rPr>
          <w:rFonts w:ascii="Times New Roman" w:hAnsi="Times New Roman" w:cs="Times New Roman"/>
        </w:rPr>
        <w:t xml:space="preserve">which </w:t>
      </w:r>
      <w:r w:rsidR="0003354C" w:rsidRPr="00990234">
        <w:rPr>
          <w:rFonts w:ascii="Times New Roman" w:hAnsi="Times New Roman" w:cs="Times New Roman"/>
        </w:rPr>
        <w:t xml:space="preserve">has been successfully used to study the FRN </w:t>
      </w:r>
      <w:r w:rsidR="0003354C" w:rsidRPr="00990234">
        <w:rPr>
          <w:rFonts w:ascii="Times New Roman" w:eastAsia="Times New Roman" w:hAnsi="Times New Roman" w:cs="Times New Roman"/>
          <w:lang w:eastAsia="en-GB"/>
        </w:rPr>
        <w:fldChar w:fldCharType="begin" w:fldLock="1"/>
      </w:r>
      <w:r w:rsidR="00E730F1" w:rsidRPr="00990234">
        <w:rPr>
          <w:rFonts w:ascii="Times New Roman" w:eastAsia="Times New Roman" w:hAnsi="Times New Roman" w:cs="Times New Roman"/>
          <w:lang w:eastAsia="en-GB"/>
        </w:rPr>
        <w:instrText>ADDIN CSL_CITATION { "citationItems" : [ { "id" : "ITEM-1", "itemData" : { "DOI" : "10.1155/2011/852961", "ISSN" : "1687-5265", "abstract" : "&lt;p&gt;SPM is a free and open source software written in MATLAB (The MathWorks, Inc.). In addition to standard M/EEG preprocessing, we presently offer three main analysis tools: (i) statistical analysis of scalp-maps, time-frequency images, and volumetric 3D source reconstruction images based on the general linear model, with correction for multiple comparisons using random field theory; (ii) Bayesian M/EEG source reconstruction, including support for group studies, simultaneous EEG and MEG, and fMRI priors; (iii) dynamic causal modelling (DCM), an approach combining neural modelling with data analysis for which there are several variants dealing with evoked responses, steady state responses (power spectra and cross-spectra), induced responses, and phase coupling. SPM8 is integrated with the FieldTrip toolbox , making it possible for users to combine a variety of standard analysis methods with new schemes implemented in SPM and build custom analysis tools using powerful graphical user interface (GUI) and batching tools.&lt;/p&gt;", "author" : [ { "dropping-particle" : "", "family" : "Litvak", "given" : "Vladimir", "non-dropping-particle" : "", "parse-names" : false, "suffix" : "" }, { "dropping-particle" : "", "family" : "Mattout", "given" : "J\u00e9r\u00e9mie", "non-dropping-particle" : "", "parse-names" : false, "suffix" : "" }, { "dropping-particle" : "", "family" : "Kiebel", "given" : "Stefan", "non-dropping-particle" : "", "parse-names" : false, "suffix" : "" }, { "dropping-particle" : "", "family" : "Phillips", "given" : "Christophe", "non-dropping-particle" : "", "parse-names" : false, "suffix" : "" }, { "dropping-particle" : "", "family" : "Henson", "given" : "Richard", "non-dropping-particle" : "", "parse-names" : false, "suffix" : "" }, { "dropping-particle" : "", "family" : "Kilner", "given" : "James", "non-dropping-particle" : "", "parse-names" : false, "suffix" : "" }, { "dropping-particle" : "", "family" : "Barnes", "given" : "Gareth", "non-dropping-particle" : "", "parse-names" : false, "suffix" : "" }, { "dropping-particle" : "", "family" : "Oostenveld", "given" : "Robert", "non-dropping-particle" : "", "parse-names" : false, "suffix" : "" }, { "dropping-particle" : "", "family" : "Daunizeau", "given" : "Jean", "non-dropping-particle" : "", "parse-names" : false, "suffix" : "" }, { "dropping-particle" : "", "family" : "Flandin", "given" : "Guillaume", "non-dropping-particle" : "", "parse-names" : false, "suffix" : "" }, { "dropping-particle" : "", "family" : "Penny", "given" : "Will", "non-dropping-particle" : "", "parse-names" : false, "suffix" : "" }, { "dropping-particle" : "", "family" : "Friston", "given" : "Karl", "non-dropping-particle" : "", "parse-names" : false, "suffix" : "" } ], "container-title" : "Computational Intelligence and Neuroscience", "id" : "ITEM-1", "issued" : { "date-parts" : [ [ "2011" ] ] }, "page" : "1-32", "title" : "EEG and MEG Data Analysis in SPM8", "type" : "article-journal", "volume" : "2011" }, "uris" : [ "http://www.mendeley.com/documents/?uuid=b5c69899-997c-44db-9fb2-d94683a1bbc2" ] }, { "id" : "ITEM-2", "itemData" : { "DOI" : "10.1523/jneurosci.5695-12.2013", "abstract" : "Modulations of the feedback-related negativity (FRN) event-related potential (ERP) have been suggested as a potential biomarker in psychopathology. A dominant theory about this signal contends that it reflects the operation of the neural system underlying reinforcement learning in humans. The theory suggests that this frontocentral negative deflection in the ERP 230\u2013270 ms after the delivery of a probabilistic reward expresses a prediction error signal derived from midbrain dopaminergic projections to the anterior cingulate cortex. We tested this theory by investigating whether FRN will also be observed for an inherently aversive outcome: physical pain. In another session, the outcome was monetary reward instead of pain. As predicted, unexpected reward omissions (a negative reward prediction error) yielded a more negative deflection relative to unexpected reward delivery. Surprisingly, unexpected pain omission (a positive reward prediction error) also yielded a negative deflection relative to unexpected pain delivery. Our data challenge the theory by showing that the FRN expresses aversive prediction errors with the same sign as reward prediction errors. Both FRNs were spatiotemporally and functionally equivalent. We suggest that FRN expresses salience prediction errors rather than reward prediction errors.", "author" : [ { "dropping-particle" : "", "family" : "Talmi", "given" : "Deborah", "non-dropping-particle" : "", "parse-names" : false, "suffix" : "" }, { "dropping-particle" : "", "family" : "Atkinson", "given" : "Ryan", "non-dropping-particle" : "", "parse-names" : false, "suffix" : "" }, { "dropping-particle" : "", "family" : "El-Deredy", "given" : "Wael", "non-dropping-particle" : "", "parse-names" : false, "suffix" : "" } ], "container-title" : "The Journal of Neuroscience", "id" : "ITEM-2", "issue" : "19", "issued" : { "date-parts" : [ [ "2013" ] ] }, "page" : "8264-8269", "title" : "The Feedback-Related Negativity Signals Salience Prediction Errors, Not Reward Prediction Errors", "type" : "article-journal", "volume" : "33" }, "uris" : [ "http://www.mendeley.com/documents/?uuid=d677aa09-16f1-46ee-8185-d3fc13c1a457" ] }, { "id" : "ITEM-3", "itemData" : { "ISBN" : "1053-8119", "author" : [ { "dropping-particle" : "", "family" : "Hauser", "given" : "Tobias U", "non-dropping-particle" : "", "parse-names" : false, "suffix" : "" }, { "dropping-particle" : "", "family" : "Iannaccone", "given" : "Reto", "non-dropping-particle" : "", "parse-names" : false, "suffix" : "" }, { "dropping-particle" : "", "family" : "St\u00e4mpfli", "given" : "Philipp", "non-dropping-particle" : "", "parse-names" : false, "suffix" : "" }, { "dropping-particle" : "", "family" : "Drechsler", "given" : "Renate", "non-dropping-particle" : "", "parse-names" : false, "suffix" : "" }, { "dropping-particle" : "", "family" : "Brandeis", "given" : "Daniel", "non-dropping-particle" : "", "parse-names" : false, "suffix" : "" }, { "dropping-particle" : "", "family" : "Walitza", "given" : "Susanne", "non-dropping-particle" : "", "parse-names" : false, "suffix" : "" }, { "dropping-particle" : "", "family" : "Brem", "given" : "Silvia", "non-dropping-particle" : "", "parse-names" : false, "suffix" : "" } ], "container-title" : "NeuroImage", "id" : "ITEM-3", "issued" : { "date-parts" : [ [ "2014" ] ] }, "note" : "fmri-eeg showed a cluster within the dacc and additional activations of the salience network, and showed only surprise signals to modulate FRN amplitude. they also used DCM and showed surprise signals are directly projected to the source region of the frn - striatum, vmPFC, amygdala, dlpPFC.", "page" : "159-168", "title" : "The feedback-related negativity (FRN) revisited: New insights into the localization, meaning and network organization", "type" : "article-journal", "volume" : "84" }, "uris" : [ "http://www.mendeley.com/documents/?uuid=bda5b7f5-f2a2-4b6b-a014-9254615e974a" ] } ], "mendeley" : { "formattedCitation" : "(Hauser et al., 2014; Litvak et al., 2011; Talmi et al., 2013)", "plainTextFormattedCitation" : "(Hauser et al., 2014; Litvak et al., 2011; Talmi et al., 2013)", "previouslyFormattedCitation" : "(Hauser et al., 2014; Litvak et al., 2011; Talmi et al., 2013)" }, "properties" : { "noteIndex" : 0 }, "schema" : "https://github.com/citation-style-language/schema/raw/master/csl-citation.json" }</w:instrText>
      </w:r>
      <w:r w:rsidR="0003354C" w:rsidRPr="00990234">
        <w:rPr>
          <w:rFonts w:ascii="Times New Roman" w:eastAsia="Times New Roman" w:hAnsi="Times New Roman" w:cs="Times New Roman"/>
          <w:lang w:eastAsia="en-GB"/>
        </w:rPr>
        <w:fldChar w:fldCharType="separate"/>
      </w:r>
      <w:r w:rsidR="0003354C" w:rsidRPr="00990234">
        <w:rPr>
          <w:rFonts w:ascii="Times New Roman" w:eastAsia="Times New Roman" w:hAnsi="Times New Roman" w:cs="Times New Roman"/>
          <w:noProof/>
          <w:lang w:eastAsia="en-GB"/>
        </w:rPr>
        <w:t>(Hauser et al., 2014; Litvak et al., 2011; Talmi et al., 2013)</w:t>
      </w:r>
      <w:r w:rsidR="0003354C" w:rsidRPr="00990234">
        <w:rPr>
          <w:rFonts w:ascii="Times New Roman" w:eastAsia="Times New Roman" w:hAnsi="Times New Roman" w:cs="Times New Roman"/>
          <w:lang w:eastAsia="en-GB"/>
        </w:rPr>
        <w:fldChar w:fldCharType="end"/>
      </w:r>
      <w:r w:rsidR="0003354C" w:rsidRPr="00990234">
        <w:rPr>
          <w:rFonts w:ascii="Times New Roman" w:hAnsi="Times New Roman" w:cs="Times New Roman"/>
        </w:rPr>
        <w:t>.</w:t>
      </w:r>
      <w:r w:rsidR="00A45901" w:rsidRPr="00990234">
        <w:rPr>
          <w:rFonts w:ascii="Times New Roman" w:eastAsia="Times New Roman" w:hAnsi="Times New Roman" w:cs="Times New Roman"/>
          <w:lang w:eastAsia="en-GB"/>
        </w:rPr>
        <w:t xml:space="preserve"> For this analysis the </w:t>
      </w:r>
      <w:proofErr w:type="spellStart"/>
      <w:r w:rsidR="00A45901" w:rsidRPr="00990234">
        <w:rPr>
          <w:rFonts w:ascii="Times New Roman" w:eastAsia="Times New Roman" w:hAnsi="Times New Roman" w:cs="Times New Roman"/>
          <w:lang w:eastAsia="en-GB"/>
        </w:rPr>
        <w:t>preprocessed</w:t>
      </w:r>
      <w:proofErr w:type="spellEnd"/>
      <w:r w:rsidR="00A45901" w:rsidRPr="00990234">
        <w:rPr>
          <w:rFonts w:ascii="Times New Roman" w:eastAsia="Times New Roman" w:hAnsi="Times New Roman" w:cs="Times New Roman"/>
          <w:lang w:eastAsia="en-GB"/>
        </w:rPr>
        <w:t xml:space="preserve"> data </w:t>
      </w:r>
      <w:r w:rsidR="008E0527" w:rsidRPr="00990234">
        <w:rPr>
          <w:rFonts w:ascii="Times New Roman" w:eastAsia="Times New Roman" w:hAnsi="Times New Roman" w:cs="Times New Roman"/>
          <w:lang w:eastAsia="en-GB"/>
        </w:rPr>
        <w:t xml:space="preserve">were </w:t>
      </w:r>
      <w:r w:rsidR="00A45901" w:rsidRPr="00990234">
        <w:rPr>
          <w:rFonts w:ascii="Times New Roman" w:eastAsia="Times New Roman" w:hAnsi="Times New Roman" w:cs="Times New Roman"/>
          <w:lang w:eastAsia="en-GB"/>
        </w:rPr>
        <w:t xml:space="preserve">converted to a single </w:t>
      </w:r>
      <w:r w:rsidR="0086638A" w:rsidRPr="00990234">
        <w:rPr>
          <w:rFonts w:ascii="Times New Roman" w:hAnsi="Times New Roman" w:cs="Times New Roman"/>
          <w:shd w:val="clear" w:color="auto" w:fill="FFFFFF"/>
        </w:rPr>
        <w:t>three-dimensional space by time image was created for each subject and condition</w:t>
      </w:r>
      <w:r w:rsidR="00A45901" w:rsidRPr="00990234">
        <w:rPr>
          <w:rFonts w:ascii="Times New Roman" w:eastAsia="Times New Roman" w:hAnsi="Times New Roman" w:cs="Times New Roman"/>
          <w:lang w:eastAsia="en-GB"/>
        </w:rPr>
        <w:t xml:space="preserve">. This conversion is achieved by generating a scalp map for each </w:t>
      </w:r>
      <w:r w:rsidR="0086638A" w:rsidRPr="00990234">
        <w:rPr>
          <w:rFonts w:ascii="Times New Roman" w:eastAsia="Times New Roman" w:hAnsi="Times New Roman" w:cs="Times New Roman"/>
          <w:lang w:eastAsia="en-GB"/>
        </w:rPr>
        <w:t xml:space="preserve">condition </w:t>
      </w:r>
      <w:r w:rsidR="00A45901" w:rsidRPr="00990234">
        <w:rPr>
          <w:rFonts w:ascii="Times New Roman" w:eastAsia="Times New Roman" w:hAnsi="Times New Roman" w:cs="Times New Roman"/>
          <w:lang w:eastAsia="en-GB"/>
        </w:rPr>
        <w:t xml:space="preserve">and stacking these maps over </w:t>
      </w:r>
      <w:proofErr w:type="spellStart"/>
      <w:r w:rsidR="00A45901" w:rsidRPr="00990234">
        <w:rPr>
          <w:rFonts w:ascii="Times New Roman" w:eastAsia="Times New Roman" w:hAnsi="Times New Roman" w:cs="Times New Roman"/>
          <w:lang w:eastAsia="en-GB"/>
        </w:rPr>
        <w:t>peristimulus</w:t>
      </w:r>
      <w:proofErr w:type="spellEnd"/>
      <w:r w:rsidR="00A45901" w:rsidRPr="00990234">
        <w:rPr>
          <w:rFonts w:ascii="Times New Roman" w:eastAsia="Times New Roman" w:hAnsi="Times New Roman" w:cs="Times New Roman"/>
          <w:lang w:eastAsia="en-GB"/>
        </w:rPr>
        <w:t xml:space="preserve"> time.</w:t>
      </w:r>
      <w:r w:rsidR="00A45901" w:rsidRPr="00990234">
        <w:rPr>
          <w:rFonts w:ascii="Times New Roman" w:hAnsi="Times New Roman" w:cs="Times New Roman"/>
          <w:shd w:val="clear" w:color="auto" w:fill="FFFFFF"/>
        </w:rPr>
        <w:t xml:space="preserve"> The resulting images were smoothed using a Gaussian kernel full-width at half-maximum of 8 mm/ms. </w:t>
      </w:r>
      <w:r w:rsidR="00A45901" w:rsidRPr="00990234">
        <w:rPr>
          <w:rFonts w:ascii="Times New Roman" w:eastAsia="Times New Roman" w:hAnsi="Times New Roman" w:cs="Times New Roman"/>
          <w:lang w:eastAsia="en-GB"/>
        </w:rPr>
        <w:t>Individual smoothed images for each condition were</w:t>
      </w:r>
      <w:r w:rsidR="00502EE8" w:rsidRPr="00990234">
        <w:rPr>
          <w:rFonts w:ascii="Times New Roman" w:eastAsia="Times New Roman" w:hAnsi="Times New Roman" w:cs="Times New Roman"/>
          <w:lang w:eastAsia="en-GB"/>
        </w:rPr>
        <w:t xml:space="preserve"> </w:t>
      </w:r>
      <w:r w:rsidR="00A45901" w:rsidRPr="00990234">
        <w:rPr>
          <w:rFonts w:ascii="Times New Roman" w:eastAsia="Times New Roman" w:hAnsi="Times New Roman" w:cs="Times New Roman"/>
          <w:lang w:eastAsia="en-GB"/>
        </w:rPr>
        <w:t xml:space="preserve">entered into a </w:t>
      </w:r>
      <w:r w:rsidR="00223395" w:rsidRPr="00990234">
        <w:rPr>
          <w:rFonts w:ascii="Times New Roman" w:eastAsia="Times New Roman" w:hAnsi="Times New Roman" w:cs="Times New Roman"/>
          <w:lang w:eastAsia="en-GB"/>
        </w:rPr>
        <w:t xml:space="preserve">two statistical models, one for each taste, and analysed with a </w:t>
      </w:r>
      <w:r w:rsidR="00A45901" w:rsidRPr="00990234">
        <w:rPr>
          <w:rFonts w:ascii="Times New Roman" w:hAnsi="Times New Roman" w:cs="Times New Roman"/>
        </w:rPr>
        <w:t xml:space="preserve">2 (expectancy: </w:t>
      </w:r>
      <w:r w:rsidR="004557F5" w:rsidRPr="00990234">
        <w:rPr>
          <w:rFonts w:ascii="Times New Roman" w:hAnsi="Times New Roman" w:cs="Times New Roman"/>
        </w:rPr>
        <w:t>e</w:t>
      </w:r>
      <w:r w:rsidR="00A45901" w:rsidRPr="00990234">
        <w:rPr>
          <w:rFonts w:ascii="Times New Roman" w:hAnsi="Times New Roman" w:cs="Times New Roman"/>
        </w:rPr>
        <w:t>xpected/</w:t>
      </w:r>
      <w:r w:rsidR="004557F5" w:rsidRPr="00990234">
        <w:rPr>
          <w:rFonts w:ascii="Times New Roman" w:hAnsi="Times New Roman" w:cs="Times New Roman"/>
        </w:rPr>
        <w:t>u</w:t>
      </w:r>
      <w:r w:rsidR="00A45901" w:rsidRPr="00990234">
        <w:rPr>
          <w:rFonts w:ascii="Times New Roman" w:hAnsi="Times New Roman" w:cs="Times New Roman"/>
        </w:rPr>
        <w:t xml:space="preserve">nexpected) x 2 (outcome: </w:t>
      </w:r>
      <w:r w:rsidR="004557F5" w:rsidRPr="00990234">
        <w:rPr>
          <w:rFonts w:ascii="Times New Roman" w:hAnsi="Times New Roman" w:cs="Times New Roman"/>
        </w:rPr>
        <w:t>d</w:t>
      </w:r>
      <w:r w:rsidR="00A45901" w:rsidRPr="00990234">
        <w:rPr>
          <w:rFonts w:ascii="Times New Roman" w:hAnsi="Times New Roman" w:cs="Times New Roman"/>
        </w:rPr>
        <w:t>elivered/</w:t>
      </w:r>
      <w:r w:rsidR="004557F5" w:rsidRPr="00990234">
        <w:rPr>
          <w:rFonts w:ascii="Times New Roman" w:hAnsi="Times New Roman" w:cs="Times New Roman"/>
        </w:rPr>
        <w:t>o</w:t>
      </w:r>
      <w:r w:rsidR="00A45901" w:rsidRPr="00990234">
        <w:rPr>
          <w:rFonts w:ascii="Times New Roman" w:hAnsi="Times New Roman" w:cs="Times New Roman"/>
        </w:rPr>
        <w:t xml:space="preserve">mitted) repeated-measures </w:t>
      </w:r>
      <w:r w:rsidR="00A45901" w:rsidRPr="00990234">
        <w:rPr>
          <w:rFonts w:ascii="Times New Roman" w:eastAsia="Times New Roman" w:hAnsi="Times New Roman" w:cs="Times New Roman"/>
          <w:lang w:eastAsia="en-GB"/>
        </w:rPr>
        <w:t>ANOVA.</w:t>
      </w:r>
      <w:r w:rsidR="00A45901" w:rsidRPr="00990234">
        <w:rPr>
          <w:rFonts w:ascii="Times New Roman" w:hAnsi="Times New Roman" w:cs="Times New Roman"/>
          <w:shd w:val="clear" w:color="auto" w:fill="FFFFFF"/>
        </w:rPr>
        <w:t xml:space="preserve"> </w:t>
      </w:r>
      <w:r w:rsidR="00DA6342" w:rsidRPr="00990234">
        <w:rPr>
          <w:rFonts w:ascii="Times New Roman" w:hAnsi="Times New Roman" w:cs="Times New Roman"/>
          <w:shd w:val="clear" w:color="auto" w:fill="FFFFFF"/>
        </w:rPr>
        <w:t xml:space="preserve">Higher-order effects were analysed first, and, </w:t>
      </w:r>
      <w:r w:rsidR="000A5CC8" w:rsidRPr="00990234">
        <w:rPr>
          <w:rFonts w:ascii="Times New Roman" w:hAnsi="Times New Roman" w:cs="Times New Roman"/>
          <w:shd w:val="clear" w:color="auto" w:fill="FFFFFF"/>
        </w:rPr>
        <w:t>used to mask</w:t>
      </w:r>
      <w:r w:rsidR="00DA6342" w:rsidRPr="00990234">
        <w:rPr>
          <w:rFonts w:ascii="Times New Roman" w:hAnsi="Times New Roman" w:cs="Times New Roman"/>
          <w:shd w:val="clear" w:color="auto" w:fill="FFFFFF"/>
        </w:rPr>
        <w:t xml:space="preserve"> exclusively the analysis of lower-order effects. </w:t>
      </w:r>
      <w:r w:rsidR="00D91EBC" w:rsidRPr="00990234">
        <w:rPr>
          <w:rFonts w:ascii="Times New Roman" w:hAnsi="Times New Roman" w:cs="Times New Roman"/>
          <w:shd w:val="clear" w:color="auto" w:fill="FFFFFF"/>
        </w:rPr>
        <w:t xml:space="preserve">Following </w:t>
      </w:r>
      <w:r w:rsidR="00D91EBC" w:rsidRPr="00990234">
        <w:rPr>
          <w:rFonts w:ascii="Times New Roman" w:hAnsi="Times New Roman" w:cs="Times New Roman"/>
        </w:rPr>
        <w:fldChar w:fldCharType="begin" w:fldLock="1"/>
      </w:r>
      <w:r w:rsidR="00CA58DD" w:rsidRPr="00990234">
        <w:rPr>
          <w:rFonts w:ascii="Times New Roman" w:hAnsi="Times New Roman" w:cs="Times New Roman"/>
        </w:rPr>
        <w:instrText>ADDIN CSL_CITATION { "citationItems" : [ { "id" : "ITEM-1", "itemData" : { "DOI" : "10.1523/jneurosci.5695-12.2013", "abstract" : "Modulations of the feedback-related negativity (FRN) event-related potential (ERP) have been suggested as a potential biomarker in psychopathology. A dominant theory about this signal contends that it reflects the operation of the neural system underlying reinforcement learning in humans. The theory suggests that this frontocentral negative deflection in the ERP 230\u2013270 ms after the delivery of a probabilistic reward expresses a prediction error signal derived from midbrain dopaminergic projections to the anterior cingulate cortex. We tested this theory by investigating whether FRN will also be observed for an inherently aversive outcome: physical pain. In another session, the outcome was monetary reward instead of pain. As predicted, unexpected reward omissions (a negative reward prediction error) yielded a more negative deflection relative to unexpected reward delivery. Surprisingly, unexpected pain omission (a positive reward prediction error) also yielded a negative deflection relative to unexpected pain delivery. Our data challenge the theory by showing that the FRN expresses aversive prediction errors with the same sign as reward prediction errors. Both FRNs were spatiotemporally and functionally equivalent. We suggest that FRN expresses salience prediction errors rather than reward prediction errors.", "author" : [ { "dropping-particle" : "", "family" : "Talmi", "given" : "Deborah", "non-dropping-particle" : "", "parse-names" : false, "suffix" : "" }, { "dropping-particle" : "", "family" : "Atkinson", "given" : "Ryan", "non-dropping-particle" : "", "parse-names" : false, "suffix" : "" }, { "dropping-particle" : "", "family" : "El-Deredy", "given" : "Wael", "non-dropping-particle" : "", "parse-names" : false, "suffix" : "" } ], "container-title" : "The Journal of Neuroscience", "id" : "ITEM-1", "issue" : "19", "issued" : { "date-parts" : [ [ "2013" ] ] }, "page" : "8264-8269", "title" : "The Feedback-Related Negativity Signals Salience Prediction Errors, Not Reward Prediction Errors", "type" : "article-journal", "volume" : "33" }, "uris" : [ "http://www.mendeley.com/documents/?uuid=d677aa09-16f1-46ee-8185-d3fc13c1a457" ] } ], "mendeley" : { "formattedCitation" : "(Talmi et al., 2013)", "plainTextFormattedCitation" : "(Talmi et al., 2013)", "previouslyFormattedCitation" : "(Talmi et al., 2013)" }, "properties" : { "noteIndex" : 0 }, "schema" : "https://github.com/citation-style-language/schema/raw/master/csl-citation.json" }</w:instrText>
      </w:r>
      <w:r w:rsidR="00D91EBC" w:rsidRPr="00990234">
        <w:rPr>
          <w:rFonts w:ascii="Times New Roman" w:hAnsi="Times New Roman" w:cs="Times New Roman"/>
        </w:rPr>
        <w:fldChar w:fldCharType="separate"/>
      </w:r>
      <w:r w:rsidR="00D91EBC" w:rsidRPr="00990234">
        <w:rPr>
          <w:rFonts w:ascii="Times New Roman" w:hAnsi="Times New Roman" w:cs="Times New Roman"/>
          <w:noProof/>
        </w:rPr>
        <w:t>(Talmi et al., 2013)</w:t>
      </w:r>
      <w:r w:rsidR="00D91EBC" w:rsidRPr="00990234">
        <w:rPr>
          <w:rFonts w:ascii="Times New Roman" w:hAnsi="Times New Roman" w:cs="Times New Roman"/>
        </w:rPr>
        <w:fldChar w:fldCharType="end"/>
      </w:r>
      <w:r w:rsidR="00D91EBC" w:rsidRPr="00990234">
        <w:rPr>
          <w:rFonts w:ascii="Times New Roman" w:hAnsi="Times New Roman" w:cs="Times New Roman"/>
        </w:rPr>
        <w:t xml:space="preserve">, a </w:t>
      </w:r>
      <w:r w:rsidR="00806289" w:rsidRPr="00990234">
        <w:rPr>
          <w:rFonts w:ascii="Times New Roman" w:hAnsi="Times New Roman" w:cs="Times New Roman"/>
        </w:rPr>
        <w:t xml:space="preserve">peak </w:t>
      </w:r>
      <w:r w:rsidR="00D91EBC" w:rsidRPr="00990234">
        <w:rPr>
          <w:rFonts w:ascii="Times New Roman" w:hAnsi="Times New Roman" w:cs="Times New Roman"/>
        </w:rPr>
        <w:t>threshold of p</w:t>
      </w:r>
      <w:r w:rsidR="00BC144D" w:rsidRPr="00990234">
        <w:rPr>
          <w:rFonts w:ascii="Times New Roman" w:hAnsi="Times New Roman" w:cs="Times New Roman"/>
        </w:rPr>
        <w:t xml:space="preserve"> </w:t>
      </w:r>
      <w:r w:rsidR="00D91EBC" w:rsidRPr="00990234">
        <w:rPr>
          <w:rFonts w:ascii="Times New Roman" w:hAnsi="Times New Roman" w:cs="Times New Roman"/>
        </w:rPr>
        <w:t>&lt;</w:t>
      </w:r>
      <w:r w:rsidR="00BC144D" w:rsidRPr="00990234">
        <w:rPr>
          <w:rFonts w:ascii="Times New Roman" w:hAnsi="Times New Roman" w:cs="Times New Roman"/>
        </w:rPr>
        <w:t xml:space="preserve"> </w:t>
      </w:r>
      <w:r w:rsidR="00D91EBC" w:rsidRPr="00990234">
        <w:rPr>
          <w:rFonts w:ascii="Times New Roman" w:hAnsi="Times New Roman" w:cs="Times New Roman"/>
        </w:rPr>
        <w:t>0.005 and a cluster extent threshold of 100 voxels</w:t>
      </w:r>
      <w:r w:rsidR="00426FE8" w:rsidRPr="00990234">
        <w:rPr>
          <w:rFonts w:ascii="Times New Roman" w:hAnsi="Times New Roman" w:cs="Times New Roman"/>
        </w:rPr>
        <w:t xml:space="preserve"> was used</w:t>
      </w:r>
      <w:r w:rsidR="00F2671C" w:rsidRPr="00990234">
        <w:rPr>
          <w:rFonts w:ascii="Times New Roman" w:hAnsi="Times New Roman" w:cs="Times New Roman"/>
        </w:rPr>
        <w:t xml:space="preserve">. </w:t>
      </w:r>
      <w:r w:rsidR="00EB1F93" w:rsidRPr="00990234">
        <w:rPr>
          <w:rFonts w:ascii="Times New Roman" w:hAnsi="Times New Roman" w:cs="Times New Roman"/>
        </w:rPr>
        <w:t>All key results are reported corrected for multiple comparisons at the cluster level using a strict FWE</w:t>
      </w:r>
      <w:r w:rsidR="00BC144D" w:rsidRPr="00990234">
        <w:rPr>
          <w:rFonts w:ascii="Times New Roman" w:hAnsi="Times New Roman" w:cs="Times New Roman"/>
        </w:rPr>
        <w:t xml:space="preserve"> </w:t>
      </w:r>
      <w:r w:rsidR="00EB1F93" w:rsidRPr="00990234">
        <w:rPr>
          <w:rFonts w:ascii="Times New Roman" w:hAnsi="Times New Roman" w:cs="Times New Roman"/>
        </w:rPr>
        <w:t>&lt;</w:t>
      </w:r>
      <w:r w:rsidR="00BC144D" w:rsidRPr="00990234">
        <w:rPr>
          <w:rFonts w:ascii="Times New Roman" w:hAnsi="Times New Roman" w:cs="Times New Roman"/>
        </w:rPr>
        <w:t xml:space="preserve"> </w:t>
      </w:r>
      <w:r w:rsidR="00EB1F93" w:rsidRPr="00990234">
        <w:rPr>
          <w:rFonts w:ascii="Times New Roman" w:hAnsi="Times New Roman" w:cs="Times New Roman"/>
        </w:rPr>
        <w:t>.05</w:t>
      </w:r>
      <w:r w:rsidR="007E6658" w:rsidRPr="00990234">
        <w:rPr>
          <w:rFonts w:ascii="Times New Roman" w:hAnsi="Times New Roman" w:cs="Times New Roman"/>
        </w:rPr>
        <w:t xml:space="preserve">. </w:t>
      </w:r>
    </w:p>
    <w:p w:rsidR="00A45901" w:rsidRPr="00990234" w:rsidRDefault="00A45901" w:rsidP="00EC553A">
      <w:pPr>
        <w:spacing w:after="0" w:line="480" w:lineRule="auto"/>
        <w:ind w:right="-113" w:firstLine="720"/>
        <w:jc w:val="center"/>
        <w:rPr>
          <w:rFonts w:ascii="Times New Roman" w:hAnsi="Times New Roman" w:cs="Times New Roman"/>
          <w:b/>
          <w:sz w:val="28"/>
          <w:szCs w:val="28"/>
          <w:u w:val="single"/>
        </w:rPr>
      </w:pPr>
      <w:r w:rsidRPr="00990234">
        <w:rPr>
          <w:rFonts w:ascii="Times New Roman" w:hAnsi="Times New Roman" w:cs="Times New Roman"/>
          <w:b/>
          <w:sz w:val="28"/>
          <w:szCs w:val="28"/>
          <w:u w:val="single"/>
        </w:rPr>
        <w:t>Results</w:t>
      </w:r>
    </w:p>
    <w:p w:rsidR="00A45901" w:rsidRPr="00990234" w:rsidRDefault="00A45901" w:rsidP="00E756E0">
      <w:pPr>
        <w:spacing w:after="0" w:line="480" w:lineRule="auto"/>
        <w:ind w:right="-113" w:firstLine="720"/>
        <w:rPr>
          <w:rFonts w:ascii="Times New Roman" w:hAnsi="Times New Roman" w:cs="Times New Roman"/>
          <w:b/>
          <w:sz w:val="26"/>
          <w:szCs w:val="26"/>
        </w:rPr>
      </w:pPr>
      <w:r w:rsidRPr="00990234">
        <w:rPr>
          <w:rFonts w:ascii="Times New Roman" w:hAnsi="Times New Roman" w:cs="Times New Roman"/>
          <w:b/>
          <w:sz w:val="26"/>
          <w:szCs w:val="26"/>
        </w:rPr>
        <w:t xml:space="preserve">Behavioural results </w:t>
      </w:r>
    </w:p>
    <w:p w:rsidR="00A45901" w:rsidRPr="00990234" w:rsidRDefault="00BB36E2" w:rsidP="00056801">
      <w:pPr>
        <w:spacing w:after="0" w:line="480" w:lineRule="auto"/>
        <w:ind w:right="-113" w:firstLine="720"/>
        <w:rPr>
          <w:rFonts w:ascii="Times New Roman" w:hAnsi="Times New Roman" w:cs="Times New Roman"/>
        </w:rPr>
      </w:pPr>
      <w:r w:rsidRPr="00990234">
        <w:rPr>
          <w:rFonts w:ascii="Times New Roman" w:hAnsi="Times New Roman" w:cs="Times New Roman"/>
        </w:rPr>
        <w:t>We ran a 2 (</w:t>
      </w:r>
      <w:r w:rsidR="00526E12" w:rsidRPr="00990234">
        <w:rPr>
          <w:rFonts w:ascii="Times New Roman" w:hAnsi="Times New Roman" w:cs="Times New Roman"/>
        </w:rPr>
        <w:t>m</w:t>
      </w:r>
      <w:r w:rsidRPr="00990234">
        <w:rPr>
          <w:rFonts w:ascii="Times New Roman" w:hAnsi="Times New Roman" w:cs="Times New Roman"/>
        </w:rPr>
        <w:t xml:space="preserve">agnitude: </w:t>
      </w:r>
      <w:r w:rsidR="004557F5" w:rsidRPr="00990234">
        <w:rPr>
          <w:rFonts w:ascii="Times New Roman" w:hAnsi="Times New Roman" w:cs="Times New Roman"/>
        </w:rPr>
        <w:t>h</w:t>
      </w:r>
      <w:r w:rsidRPr="00990234">
        <w:rPr>
          <w:rFonts w:ascii="Times New Roman" w:hAnsi="Times New Roman" w:cs="Times New Roman"/>
        </w:rPr>
        <w:t>igh</w:t>
      </w:r>
      <w:r w:rsidR="00273ACF" w:rsidRPr="00990234">
        <w:rPr>
          <w:rFonts w:ascii="Times New Roman" w:hAnsi="Times New Roman" w:cs="Times New Roman"/>
        </w:rPr>
        <w:t>,</w:t>
      </w:r>
      <w:r w:rsidRPr="00990234">
        <w:rPr>
          <w:rFonts w:ascii="Times New Roman" w:hAnsi="Times New Roman" w:cs="Times New Roman"/>
        </w:rPr>
        <w:t xml:space="preserve"> </w:t>
      </w:r>
      <w:r w:rsidR="004557F5" w:rsidRPr="00990234">
        <w:rPr>
          <w:rFonts w:ascii="Times New Roman" w:hAnsi="Times New Roman" w:cs="Times New Roman"/>
        </w:rPr>
        <w:t>l</w:t>
      </w:r>
      <w:r w:rsidRPr="00990234">
        <w:rPr>
          <w:rFonts w:ascii="Times New Roman" w:hAnsi="Times New Roman" w:cs="Times New Roman"/>
        </w:rPr>
        <w:t xml:space="preserve">ow) x 2 (taste: </w:t>
      </w:r>
      <w:r w:rsidR="004557F5" w:rsidRPr="00990234">
        <w:rPr>
          <w:rFonts w:ascii="Times New Roman" w:hAnsi="Times New Roman" w:cs="Times New Roman"/>
        </w:rPr>
        <w:t>b</w:t>
      </w:r>
      <w:r w:rsidRPr="00990234">
        <w:rPr>
          <w:rFonts w:ascii="Times New Roman" w:hAnsi="Times New Roman" w:cs="Times New Roman"/>
        </w:rPr>
        <w:t>itter</w:t>
      </w:r>
      <w:r w:rsidR="00273ACF" w:rsidRPr="00990234">
        <w:rPr>
          <w:rFonts w:ascii="Times New Roman" w:hAnsi="Times New Roman" w:cs="Times New Roman"/>
        </w:rPr>
        <w:t>,</w:t>
      </w:r>
      <w:r w:rsidRPr="00990234">
        <w:rPr>
          <w:rFonts w:ascii="Times New Roman" w:hAnsi="Times New Roman" w:cs="Times New Roman"/>
        </w:rPr>
        <w:t xml:space="preserve"> </w:t>
      </w:r>
      <w:r w:rsidR="004557F5" w:rsidRPr="00990234">
        <w:rPr>
          <w:rFonts w:ascii="Times New Roman" w:hAnsi="Times New Roman" w:cs="Times New Roman"/>
        </w:rPr>
        <w:t>s</w:t>
      </w:r>
      <w:r w:rsidRPr="00990234">
        <w:rPr>
          <w:rFonts w:ascii="Times New Roman" w:hAnsi="Times New Roman" w:cs="Times New Roman"/>
        </w:rPr>
        <w:t xml:space="preserve">weet) factorial ANOVA on the ratings of intensity for </w:t>
      </w:r>
      <w:r w:rsidR="004557F5" w:rsidRPr="00990234">
        <w:rPr>
          <w:rFonts w:ascii="Times New Roman" w:hAnsi="Times New Roman" w:cs="Times New Roman"/>
        </w:rPr>
        <w:t>b</w:t>
      </w:r>
      <w:r w:rsidRPr="00990234">
        <w:rPr>
          <w:rFonts w:ascii="Times New Roman" w:hAnsi="Times New Roman" w:cs="Times New Roman"/>
        </w:rPr>
        <w:t xml:space="preserve">itter and </w:t>
      </w:r>
      <w:r w:rsidR="004557F5" w:rsidRPr="00990234">
        <w:rPr>
          <w:rFonts w:ascii="Times New Roman" w:hAnsi="Times New Roman" w:cs="Times New Roman"/>
        </w:rPr>
        <w:t>s</w:t>
      </w:r>
      <w:r w:rsidRPr="00990234">
        <w:rPr>
          <w:rFonts w:ascii="Times New Roman" w:hAnsi="Times New Roman" w:cs="Times New Roman"/>
        </w:rPr>
        <w:t xml:space="preserve">weet for the concentrations we selected for each participant. </w:t>
      </w:r>
      <w:r w:rsidR="00056801" w:rsidRPr="00990234">
        <w:rPr>
          <w:rFonts w:ascii="Times New Roman" w:hAnsi="Times New Roman" w:cs="Times New Roman"/>
        </w:rPr>
        <w:t>Unsurprisingly, t</w:t>
      </w:r>
      <w:r w:rsidR="00A45901" w:rsidRPr="00990234">
        <w:rPr>
          <w:rFonts w:ascii="Times New Roman" w:hAnsi="Times New Roman" w:cs="Times New Roman"/>
        </w:rPr>
        <w:t xml:space="preserve">here was a significant main effect of magnitude on the ratings, where </w:t>
      </w:r>
      <w:r w:rsidR="004557F5" w:rsidRPr="00990234">
        <w:rPr>
          <w:rFonts w:ascii="Times New Roman" w:hAnsi="Times New Roman" w:cs="Times New Roman"/>
        </w:rPr>
        <w:t>h</w:t>
      </w:r>
      <w:r w:rsidR="00526E12" w:rsidRPr="00990234">
        <w:rPr>
          <w:rFonts w:ascii="Times New Roman" w:hAnsi="Times New Roman" w:cs="Times New Roman"/>
        </w:rPr>
        <w:t xml:space="preserve">igh </w:t>
      </w:r>
      <w:r w:rsidR="00A45901" w:rsidRPr="00990234">
        <w:rPr>
          <w:rFonts w:ascii="Times New Roman" w:hAnsi="Times New Roman" w:cs="Times New Roman"/>
        </w:rPr>
        <w:t xml:space="preserve">magnitude tastes were rated </w:t>
      </w:r>
      <w:r w:rsidR="00A45901" w:rsidRPr="00990234">
        <w:rPr>
          <w:rFonts w:ascii="Times New Roman" w:hAnsi="Times New Roman" w:cs="Times New Roman"/>
        </w:rPr>
        <w:lastRenderedPageBreak/>
        <w:t xml:space="preserve">as significantly more intense than </w:t>
      </w:r>
      <w:r w:rsidR="004557F5" w:rsidRPr="00990234">
        <w:rPr>
          <w:rFonts w:ascii="Times New Roman" w:hAnsi="Times New Roman" w:cs="Times New Roman"/>
        </w:rPr>
        <w:t>l</w:t>
      </w:r>
      <w:r w:rsidR="00526E12" w:rsidRPr="00990234">
        <w:rPr>
          <w:rFonts w:ascii="Times New Roman" w:hAnsi="Times New Roman" w:cs="Times New Roman"/>
        </w:rPr>
        <w:t>ow</w:t>
      </w:r>
      <w:r w:rsidR="00A45901" w:rsidRPr="00990234">
        <w:rPr>
          <w:rFonts w:ascii="Times New Roman" w:hAnsi="Times New Roman" w:cs="Times New Roman"/>
        </w:rPr>
        <w:t xml:space="preserve"> (</w:t>
      </w:r>
      <w:r w:rsidR="00A45901" w:rsidRPr="00990234">
        <w:rPr>
          <w:rFonts w:ascii="Times New Roman" w:hAnsi="Times New Roman" w:cs="Times New Roman"/>
          <w:i/>
        </w:rPr>
        <w:t>F</w:t>
      </w:r>
      <w:r w:rsidR="00A45901" w:rsidRPr="00990234">
        <w:rPr>
          <w:rFonts w:ascii="Times New Roman" w:hAnsi="Times New Roman" w:cs="Times New Roman"/>
        </w:rPr>
        <w:t>(1,18)</w:t>
      </w:r>
      <w:r w:rsidR="00BC144D" w:rsidRPr="00990234">
        <w:rPr>
          <w:rFonts w:ascii="Times New Roman" w:hAnsi="Times New Roman" w:cs="Times New Roman"/>
        </w:rPr>
        <w:t xml:space="preserve"> </w:t>
      </w:r>
      <w:r w:rsidR="00A45901" w:rsidRPr="00990234">
        <w:rPr>
          <w:rFonts w:ascii="Times New Roman" w:hAnsi="Times New Roman" w:cs="Times New Roman"/>
        </w:rPr>
        <w:t>=</w:t>
      </w:r>
      <w:r w:rsidR="00BC144D" w:rsidRPr="00990234">
        <w:rPr>
          <w:rFonts w:ascii="Times New Roman" w:hAnsi="Times New Roman" w:cs="Times New Roman"/>
        </w:rPr>
        <w:t xml:space="preserve"> </w:t>
      </w:r>
      <w:r w:rsidR="00A45901" w:rsidRPr="00990234">
        <w:rPr>
          <w:rFonts w:ascii="Times New Roman" w:hAnsi="Times New Roman" w:cs="Times New Roman"/>
        </w:rPr>
        <w:t xml:space="preserve">62.17, </w:t>
      </w:r>
      <w:r w:rsidR="00BC144D" w:rsidRPr="00990234">
        <w:rPr>
          <w:rFonts w:ascii="Times New Roman" w:hAnsi="Times New Roman" w:cs="Times New Roman"/>
          <w:i/>
        </w:rPr>
        <w:t xml:space="preserve">p </w:t>
      </w:r>
      <w:r w:rsidR="00A45901" w:rsidRPr="00990234">
        <w:rPr>
          <w:rFonts w:ascii="Times New Roman" w:hAnsi="Times New Roman" w:cs="Times New Roman"/>
        </w:rPr>
        <w:t>&lt;</w:t>
      </w:r>
      <w:r w:rsidR="004557F5" w:rsidRPr="00990234">
        <w:rPr>
          <w:rFonts w:ascii="Times New Roman" w:hAnsi="Times New Roman" w:cs="Times New Roman"/>
        </w:rPr>
        <w:t xml:space="preserve"> </w:t>
      </w:r>
      <w:r w:rsidR="00A45901" w:rsidRPr="00990234">
        <w:rPr>
          <w:rFonts w:ascii="Times New Roman" w:hAnsi="Times New Roman" w:cs="Times New Roman"/>
        </w:rPr>
        <w:t>.001,</w:t>
      </w:r>
      <w:r w:rsidR="00A45901" w:rsidRPr="00990234">
        <w:rPr>
          <w:rFonts w:ascii="Times New Roman" w:hAnsi="Times New Roman" w:cs="Times New Roman"/>
          <w:position w:val="-10"/>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8.6pt" o:ole="">
            <v:imagedata r:id="rId12" o:title=""/>
          </v:shape>
          <o:OLEObject Type="Embed" ProgID="Equation.3" ShapeID="_x0000_i1025" DrawAspect="Content" ObjectID="_1566052208" r:id="rId13"/>
        </w:object>
      </w:r>
      <w:r w:rsidR="00BC144D" w:rsidRPr="00990234">
        <w:rPr>
          <w:rFonts w:ascii="Times New Roman" w:hAnsi="Times New Roman" w:cs="Times New Roman"/>
        </w:rPr>
        <w:t xml:space="preserve"> </w:t>
      </w:r>
      <w:r w:rsidR="00A45901" w:rsidRPr="00990234">
        <w:rPr>
          <w:rFonts w:ascii="Times New Roman" w:hAnsi="Times New Roman" w:cs="Times New Roman"/>
        </w:rPr>
        <w:t>=</w:t>
      </w:r>
      <w:r w:rsidR="00BC144D" w:rsidRPr="00990234">
        <w:rPr>
          <w:rFonts w:ascii="Times New Roman" w:hAnsi="Times New Roman" w:cs="Times New Roman"/>
        </w:rPr>
        <w:t xml:space="preserve"> </w:t>
      </w:r>
      <w:r w:rsidR="00A45901" w:rsidRPr="00990234">
        <w:rPr>
          <w:rFonts w:ascii="Times New Roman" w:hAnsi="Times New Roman" w:cs="Times New Roman"/>
        </w:rPr>
        <w:t xml:space="preserve">.775). There was no </w:t>
      </w:r>
      <w:r w:rsidR="00CB538F" w:rsidRPr="00990234">
        <w:rPr>
          <w:rFonts w:ascii="Times New Roman" w:hAnsi="Times New Roman" w:cs="Times New Roman"/>
        </w:rPr>
        <w:t xml:space="preserve">significant </w:t>
      </w:r>
      <w:r w:rsidR="00A45901" w:rsidRPr="00990234">
        <w:rPr>
          <w:rFonts w:ascii="Times New Roman" w:hAnsi="Times New Roman" w:cs="Times New Roman"/>
        </w:rPr>
        <w:t xml:space="preserve">effect of taste </w:t>
      </w:r>
      <w:r w:rsidR="00CB538F" w:rsidRPr="00990234">
        <w:rPr>
          <w:rFonts w:ascii="Times New Roman" w:hAnsi="Times New Roman" w:cs="Times New Roman"/>
        </w:rPr>
        <w:t>(</w:t>
      </w:r>
      <w:proofErr w:type="gramStart"/>
      <w:r w:rsidR="00CB538F" w:rsidRPr="00990234">
        <w:rPr>
          <w:rFonts w:ascii="Times New Roman" w:hAnsi="Times New Roman" w:cs="Times New Roman"/>
          <w:i/>
        </w:rPr>
        <w:t>F</w:t>
      </w:r>
      <w:r w:rsidR="00CB538F" w:rsidRPr="00990234">
        <w:rPr>
          <w:rFonts w:ascii="Times New Roman" w:hAnsi="Times New Roman" w:cs="Times New Roman"/>
        </w:rPr>
        <w:t>(</w:t>
      </w:r>
      <w:proofErr w:type="gramEnd"/>
      <w:r w:rsidR="00CB538F" w:rsidRPr="00990234">
        <w:rPr>
          <w:rFonts w:ascii="Times New Roman" w:hAnsi="Times New Roman" w:cs="Times New Roman"/>
        </w:rPr>
        <w:t xml:space="preserve">1, 18) = 3.135, </w:t>
      </w:r>
      <w:r w:rsidR="00BC144D" w:rsidRPr="00990234">
        <w:rPr>
          <w:rFonts w:ascii="Times New Roman" w:hAnsi="Times New Roman" w:cs="Times New Roman"/>
          <w:i/>
        </w:rPr>
        <w:t xml:space="preserve">p </w:t>
      </w:r>
      <w:r w:rsidR="00CB538F" w:rsidRPr="00990234">
        <w:rPr>
          <w:rFonts w:ascii="Times New Roman" w:hAnsi="Times New Roman" w:cs="Times New Roman"/>
        </w:rPr>
        <w:t>=</w:t>
      </w:r>
      <w:r w:rsidR="00BC144D" w:rsidRPr="00990234">
        <w:rPr>
          <w:rFonts w:ascii="Times New Roman" w:hAnsi="Times New Roman" w:cs="Times New Roman"/>
        </w:rPr>
        <w:t xml:space="preserve"> </w:t>
      </w:r>
      <w:r w:rsidR="00CB538F" w:rsidRPr="00990234">
        <w:rPr>
          <w:rFonts w:ascii="Times New Roman" w:hAnsi="Times New Roman" w:cs="Times New Roman"/>
        </w:rPr>
        <w:t xml:space="preserve">0.94, </w:t>
      </w:r>
      <w:r w:rsidR="00CB538F" w:rsidRPr="00990234">
        <w:rPr>
          <w:rFonts w:ascii="Times New Roman" w:hAnsi="Times New Roman" w:cs="Times New Roman"/>
          <w:position w:val="-10"/>
        </w:rPr>
        <w:object w:dxaOrig="300" w:dyaOrig="360">
          <v:shape id="_x0000_i1026" type="#_x0000_t75" style="width:15pt;height:18.6pt" o:ole="">
            <v:imagedata r:id="rId12" o:title=""/>
          </v:shape>
          <o:OLEObject Type="Embed" ProgID="Equation.3" ShapeID="_x0000_i1026" DrawAspect="Content" ObjectID="_1566052209" r:id="rId14"/>
        </w:object>
      </w:r>
      <w:r w:rsidR="00BC144D" w:rsidRPr="00990234">
        <w:rPr>
          <w:rFonts w:ascii="Times New Roman" w:hAnsi="Times New Roman" w:cs="Times New Roman"/>
        </w:rPr>
        <w:t xml:space="preserve"> </w:t>
      </w:r>
      <w:r w:rsidR="00CB538F" w:rsidRPr="00990234">
        <w:rPr>
          <w:rFonts w:ascii="Times New Roman" w:hAnsi="Times New Roman" w:cs="Times New Roman"/>
        </w:rPr>
        <w:t>=</w:t>
      </w:r>
      <w:r w:rsidR="00BC144D" w:rsidRPr="00990234">
        <w:rPr>
          <w:rFonts w:ascii="Times New Roman" w:hAnsi="Times New Roman" w:cs="Times New Roman"/>
        </w:rPr>
        <w:t xml:space="preserve"> </w:t>
      </w:r>
      <w:r w:rsidR="00CB538F" w:rsidRPr="00990234">
        <w:rPr>
          <w:rFonts w:ascii="Times New Roman" w:hAnsi="Times New Roman" w:cs="Times New Roman"/>
        </w:rPr>
        <w:t>.148)</w:t>
      </w:r>
      <w:r w:rsidR="00A45901" w:rsidRPr="00990234">
        <w:rPr>
          <w:rFonts w:ascii="Times New Roman" w:hAnsi="Times New Roman" w:cs="Times New Roman"/>
        </w:rPr>
        <w:t>, and no interaction</w:t>
      </w:r>
      <w:r w:rsidR="00CB538F" w:rsidRPr="00990234">
        <w:rPr>
          <w:rFonts w:ascii="Times New Roman" w:hAnsi="Times New Roman" w:cs="Times New Roman"/>
        </w:rPr>
        <w:t xml:space="preserve"> (</w:t>
      </w:r>
      <w:r w:rsidR="00CB538F" w:rsidRPr="00990234">
        <w:rPr>
          <w:rFonts w:ascii="Times New Roman" w:hAnsi="Times New Roman" w:cs="Times New Roman"/>
          <w:i/>
        </w:rPr>
        <w:t>F</w:t>
      </w:r>
      <w:r w:rsidR="00CB538F" w:rsidRPr="00990234">
        <w:rPr>
          <w:rFonts w:ascii="Times New Roman" w:hAnsi="Times New Roman" w:cs="Times New Roman"/>
        </w:rPr>
        <w:t xml:space="preserve">(1, 18) = .835, </w:t>
      </w:r>
      <w:r w:rsidR="00BC144D" w:rsidRPr="00990234">
        <w:rPr>
          <w:rFonts w:ascii="Times New Roman" w:hAnsi="Times New Roman" w:cs="Times New Roman"/>
          <w:i/>
        </w:rPr>
        <w:t xml:space="preserve">p </w:t>
      </w:r>
      <w:r w:rsidR="00CB538F" w:rsidRPr="00990234">
        <w:rPr>
          <w:rFonts w:ascii="Times New Roman" w:hAnsi="Times New Roman" w:cs="Times New Roman"/>
        </w:rPr>
        <w:t xml:space="preserve">=.373, </w:t>
      </w:r>
      <w:r w:rsidR="00CB538F" w:rsidRPr="00990234">
        <w:rPr>
          <w:rFonts w:ascii="Times New Roman" w:hAnsi="Times New Roman" w:cs="Times New Roman"/>
          <w:position w:val="-10"/>
        </w:rPr>
        <w:object w:dxaOrig="300" w:dyaOrig="360">
          <v:shape id="_x0000_i1027" type="#_x0000_t75" style="width:15pt;height:18.6pt" o:ole="">
            <v:imagedata r:id="rId12" o:title=""/>
          </v:shape>
          <o:OLEObject Type="Embed" ProgID="Equation.3" ShapeID="_x0000_i1027" DrawAspect="Content" ObjectID="_1566052210" r:id="rId15"/>
        </w:object>
      </w:r>
      <w:r w:rsidR="00BC144D" w:rsidRPr="00990234">
        <w:rPr>
          <w:rFonts w:ascii="Times New Roman" w:hAnsi="Times New Roman" w:cs="Times New Roman"/>
        </w:rPr>
        <w:t xml:space="preserve"> </w:t>
      </w:r>
      <w:r w:rsidR="00CB538F" w:rsidRPr="00990234">
        <w:rPr>
          <w:rFonts w:ascii="Times New Roman" w:hAnsi="Times New Roman" w:cs="Times New Roman"/>
        </w:rPr>
        <w:t>=</w:t>
      </w:r>
      <w:r w:rsidR="00BC144D" w:rsidRPr="00990234">
        <w:rPr>
          <w:rFonts w:ascii="Times New Roman" w:hAnsi="Times New Roman" w:cs="Times New Roman"/>
        </w:rPr>
        <w:t xml:space="preserve"> </w:t>
      </w:r>
      <w:r w:rsidR="00CB538F" w:rsidRPr="00990234">
        <w:rPr>
          <w:rFonts w:ascii="Times New Roman" w:hAnsi="Times New Roman" w:cs="Times New Roman"/>
        </w:rPr>
        <w:t>.044)</w:t>
      </w:r>
      <w:r w:rsidR="00A45901" w:rsidRPr="00990234">
        <w:rPr>
          <w:rFonts w:ascii="Times New Roman" w:hAnsi="Times New Roman" w:cs="Times New Roman"/>
        </w:rPr>
        <w:t>. Participants were 97% accurate in identifying whether or not they had seen a cue in the previous 40 trials, which confirmed that they were attending to the cues.</w:t>
      </w:r>
    </w:p>
    <w:p w:rsidR="00A45901" w:rsidRPr="00990234" w:rsidRDefault="00A45901" w:rsidP="00E756E0">
      <w:pPr>
        <w:spacing w:after="0" w:line="480" w:lineRule="auto"/>
        <w:ind w:right="-113" w:firstLine="720"/>
        <w:rPr>
          <w:rFonts w:ascii="Times New Roman" w:hAnsi="Times New Roman" w:cs="Times New Roman"/>
          <w:b/>
          <w:sz w:val="26"/>
          <w:szCs w:val="26"/>
        </w:rPr>
      </w:pPr>
      <w:r w:rsidRPr="00990234">
        <w:rPr>
          <w:rFonts w:ascii="Times New Roman" w:hAnsi="Times New Roman" w:cs="Times New Roman"/>
          <w:b/>
          <w:sz w:val="26"/>
          <w:szCs w:val="26"/>
        </w:rPr>
        <w:t>Electrophysiological results</w:t>
      </w:r>
    </w:p>
    <w:p w:rsidR="006B2891" w:rsidRPr="00990234" w:rsidRDefault="006B2891" w:rsidP="00E756E0">
      <w:pPr>
        <w:spacing w:after="0" w:line="480" w:lineRule="auto"/>
        <w:ind w:right="-113" w:firstLine="720"/>
        <w:rPr>
          <w:rFonts w:ascii="Times New Roman" w:hAnsi="Times New Roman" w:cs="Times New Roman"/>
          <w:b/>
          <w:sz w:val="26"/>
          <w:szCs w:val="26"/>
        </w:rPr>
      </w:pPr>
      <w:r w:rsidRPr="00990234">
        <w:rPr>
          <w:rFonts w:ascii="Times New Roman" w:hAnsi="Times New Roman" w:cs="Times New Roman"/>
          <w:b/>
        </w:rPr>
        <w:t>Habituation</w:t>
      </w:r>
      <w:r w:rsidRPr="00990234">
        <w:rPr>
          <w:rFonts w:ascii="Times New Roman" w:hAnsi="Times New Roman" w:cs="Times New Roman"/>
          <w:b/>
          <w:sz w:val="26"/>
          <w:szCs w:val="26"/>
        </w:rPr>
        <w:t xml:space="preserve"> </w:t>
      </w:r>
    </w:p>
    <w:p w:rsidR="00EA1963" w:rsidRPr="00990234" w:rsidRDefault="009021AE" w:rsidP="00273ACF">
      <w:pPr>
        <w:spacing w:after="0" w:line="480" w:lineRule="auto"/>
        <w:ind w:right="-113" w:firstLine="720"/>
        <w:rPr>
          <w:rFonts w:ascii="Times New Roman" w:hAnsi="Times New Roman" w:cs="Times New Roman"/>
          <w:bCs/>
        </w:rPr>
      </w:pPr>
      <w:r w:rsidRPr="00990234">
        <w:rPr>
          <w:rFonts w:ascii="Times New Roman" w:hAnsi="Times New Roman" w:cs="Times New Roman"/>
          <w:bCs/>
        </w:rPr>
        <w:t>Taste-elicited amplitudes showed</w:t>
      </w:r>
      <w:r w:rsidR="00EA1963" w:rsidRPr="00990234">
        <w:rPr>
          <w:rFonts w:ascii="Times New Roman" w:hAnsi="Times New Roman" w:cs="Times New Roman"/>
          <w:bCs/>
        </w:rPr>
        <w:t xml:space="preserve"> no significant effect of </w:t>
      </w:r>
      <w:r w:rsidRPr="00990234">
        <w:rPr>
          <w:rFonts w:ascii="Times New Roman" w:hAnsi="Times New Roman" w:cs="Times New Roman"/>
          <w:bCs/>
        </w:rPr>
        <w:t xml:space="preserve">taste </w:t>
      </w:r>
      <w:r w:rsidR="00CB416D" w:rsidRPr="00990234">
        <w:rPr>
          <w:rFonts w:ascii="Times New Roman" w:hAnsi="Times New Roman" w:cs="Times New Roman"/>
        </w:rPr>
        <w:t>(</w:t>
      </w:r>
      <w:proofErr w:type="gramStart"/>
      <w:r w:rsidR="00CB416D" w:rsidRPr="00990234">
        <w:rPr>
          <w:rFonts w:ascii="Times New Roman" w:hAnsi="Times New Roman" w:cs="Times New Roman"/>
          <w:i/>
        </w:rPr>
        <w:t>F</w:t>
      </w:r>
      <w:r w:rsidR="00CB416D" w:rsidRPr="00990234">
        <w:rPr>
          <w:rFonts w:ascii="Times New Roman" w:hAnsi="Times New Roman" w:cs="Times New Roman"/>
        </w:rPr>
        <w:t>(</w:t>
      </w:r>
      <w:proofErr w:type="gramEnd"/>
      <w:r w:rsidR="00CB416D" w:rsidRPr="00990234">
        <w:rPr>
          <w:rFonts w:ascii="Times New Roman" w:hAnsi="Times New Roman" w:cs="Times New Roman"/>
        </w:rPr>
        <w:t>1, 18)</w:t>
      </w:r>
      <w:r w:rsidR="004557F5" w:rsidRPr="00990234">
        <w:rPr>
          <w:rFonts w:ascii="Times New Roman" w:hAnsi="Times New Roman" w:cs="Times New Roman"/>
        </w:rPr>
        <w:t xml:space="preserve"> </w:t>
      </w:r>
      <w:r w:rsidR="00CB416D" w:rsidRPr="00990234">
        <w:rPr>
          <w:rFonts w:ascii="Times New Roman" w:hAnsi="Times New Roman" w:cs="Times New Roman"/>
        </w:rPr>
        <w:t xml:space="preserve">= 1.309, </w:t>
      </w:r>
      <w:r w:rsidR="004557F5" w:rsidRPr="00990234">
        <w:rPr>
          <w:rFonts w:ascii="Times New Roman" w:hAnsi="Times New Roman" w:cs="Times New Roman"/>
          <w:i/>
        </w:rPr>
        <w:t xml:space="preserve">p </w:t>
      </w:r>
      <w:r w:rsidR="0035321C" w:rsidRPr="00990234">
        <w:rPr>
          <w:rFonts w:ascii="Times New Roman" w:hAnsi="Times New Roman" w:cs="Times New Roman"/>
          <w:i/>
        </w:rPr>
        <w:t xml:space="preserve"> </w:t>
      </w:r>
      <w:r w:rsidR="00CB416D" w:rsidRPr="00990234">
        <w:rPr>
          <w:rFonts w:ascii="Times New Roman" w:hAnsi="Times New Roman" w:cs="Times New Roman"/>
        </w:rPr>
        <w:t>=</w:t>
      </w:r>
      <w:r w:rsidR="004557F5" w:rsidRPr="00990234">
        <w:rPr>
          <w:rFonts w:ascii="Times New Roman" w:hAnsi="Times New Roman" w:cs="Times New Roman"/>
        </w:rPr>
        <w:t xml:space="preserve"> .</w:t>
      </w:r>
      <w:r w:rsidR="00CB416D" w:rsidRPr="00990234">
        <w:rPr>
          <w:rFonts w:ascii="Times New Roman" w:hAnsi="Times New Roman" w:cs="Times New Roman"/>
        </w:rPr>
        <w:t xml:space="preserve">268, </w:t>
      </w:r>
      <w:r w:rsidR="00CB416D" w:rsidRPr="00990234">
        <w:rPr>
          <w:rFonts w:ascii="Times New Roman" w:hAnsi="Times New Roman" w:cs="Times New Roman"/>
          <w:position w:val="-10"/>
        </w:rPr>
        <w:object w:dxaOrig="300" w:dyaOrig="360">
          <v:shape id="_x0000_i1028" type="#_x0000_t75" style="width:15pt;height:18.6pt" o:ole="">
            <v:imagedata r:id="rId12" o:title=""/>
          </v:shape>
          <o:OLEObject Type="Embed" ProgID="Equation.3" ShapeID="_x0000_i1028" DrawAspect="Content" ObjectID="_1566052211" r:id="rId16"/>
        </w:object>
      </w:r>
      <w:r w:rsidR="00BC144D" w:rsidRPr="00990234">
        <w:rPr>
          <w:rFonts w:ascii="Times New Roman" w:hAnsi="Times New Roman" w:cs="Times New Roman"/>
        </w:rPr>
        <w:t xml:space="preserve"> </w:t>
      </w:r>
      <w:r w:rsidR="00CB416D" w:rsidRPr="00990234">
        <w:rPr>
          <w:rFonts w:ascii="Times New Roman" w:hAnsi="Times New Roman" w:cs="Times New Roman"/>
        </w:rPr>
        <w:t>=</w:t>
      </w:r>
      <w:r w:rsidR="004557F5" w:rsidRPr="00990234">
        <w:rPr>
          <w:rFonts w:ascii="Times New Roman" w:hAnsi="Times New Roman" w:cs="Times New Roman"/>
        </w:rPr>
        <w:t xml:space="preserve"> </w:t>
      </w:r>
      <w:r w:rsidR="00CB416D" w:rsidRPr="00990234">
        <w:rPr>
          <w:rFonts w:ascii="Times New Roman" w:hAnsi="Times New Roman" w:cs="Times New Roman"/>
        </w:rPr>
        <w:t>.068)</w:t>
      </w:r>
      <w:r w:rsidRPr="00990234">
        <w:rPr>
          <w:rFonts w:ascii="Times New Roman" w:hAnsi="Times New Roman" w:cs="Times New Roman"/>
          <w:bCs/>
        </w:rPr>
        <w:t xml:space="preserve">, experiment half </w:t>
      </w:r>
      <w:r w:rsidR="00CB416D" w:rsidRPr="00990234">
        <w:rPr>
          <w:rFonts w:ascii="Times New Roman" w:hAnsi="Times New Roman" w:cs="Times New Roman"/>
        </w:rPr>
        <w:t>(</w:t>
      </w:r>
      <w:r w:rsidR="00CB416D" w:rsidRPr="00990234">
        <w:rPr>
          <w:rFonts w:ascii="Times New Roman" w:hAnsi="Times New Roman" w:cs="Times New Roman"/>
          <w:i/>
        </w:rPr>
        <w:t>F</w:t>
      </w:r>
      <w:r w:rsidR="00CB416D" w:rsidRPr="00990234">
        <w:rPr>
          <w:rFonts w:ascii="Times New Roman" w:hAnsi="Times New Roman" w:cs="Times New Roman"/>
        </w:rPr>
        <w:t>(1, 18) =</w:t>
      </w:r>
      <w:r w:rsidR="00BC144D" w:rsidRPr="00990234">
        <w:rPr>
          <w:rFonts w:ascii="Times New Roman" w:hAnsi="Times New Roman" w:cs="Times New Roman"/>
        </w:rPr>
        <w:t xml:space="preserve"> </w:t>
      </w:r>
      <w:r w:rsidR="00CB416D" w:rsidRPr="00990234">
        <w:rPr>
          <w:rFonts w:ascii="Times New Roman" w:hAnsi="Times New Roman" w:cs="Times New Roman"/>
        </w:rPr>
        <w:t xml:space="preserve">2.204, </w:t>
      </w:r>
      <w:r w:rsidR="00BC144D" w:rsidRPr="00990234">
        <w:rPr>
          <w:rFonts w:ascii="Times New Roman" w:hAnsi="Times New Roman" w:cs="Times New Roman"/>
          <w:i/>
        </w:rPr>
        <w:t xml:space="preserve">p </w:t>
      </w:r>
      <w:r w:rsidR="00CB416D" w:rsidRPr="00990234">
        <w:rPr>
          <w:rFonts w:ascii="Times New Roman" w:hAnsi="Times New Roman" w:cs="Times New Roman"/>
          <w:i/>
        </w:rPr>
        <w:t>=</w:t>
      </w:r>
      <w:r w:rsidR="00CB416D" w:rsidRPr="00990234">
        <w:rPr>
          <w:rFonts w:ascii="Times New Roman" w:hAnsi="Times New Roman" w:cs="Times New Roman"/>
        </w:rPr>
        <w:t xml:space="preserve">.155, </w:t>
      </w:r>
      <w:r w:rsidR="00CB416D" w:rsidRPr="00990234">
        <w:rPr>
          <w:rFonts w:ascii="Times New Roman" w:hAnsi="Times New Roman" w:cs="Times New Roman"/>
          <w:position w:val="-10"/>
        </w:rPr>
        <w:object w:dxaOrig="300" w:dyaOrig="360">
          <v:shape id="_x0000_i1029" type="#_x0000_t75" style="width:15pt;height:18.6pt" o:ole="">
            <v:imagedata r:id="rId12" o:title=""/>
          </v:shape>
          <o:OLEObject Type="Embed" ProgID="Equation.3" ShapeID="_x0000_i1029" DrawAspect="Content" ObjectID="_1566052212" r:id="rId17"/>
        </w:object>
      </w:r>
      <w:r w:rsidR="00BC144D" w:rsidRPr="00990234">
        <w:rPr>
          <w:rFonts w:ascii="Times New Roman" w:hAnsi="Times New Roman" w:cs="Times New Roman"/>
        </w:rPr>
        <w:t xml:space="preserve"> </w:t>
      </w:r>
      <w:r w:rsidR="00CB416D" w:rsidRPr="00990234">
        <w:rPr>
          <w:rFonts w:ascii="Times New Roman" w:hAnsi="Times New Roman" w:cs="Times New Roman"/>
        </w:rPr>
        <w:t>=</w:t>
      </w:r>
      <w:r w:rsidR="00BC144D" w:rsidRPr="00990234">
        <w:rPr>
          <w:rFonts w:ascii="Times New Roman" w:hAnsi="Times New Roman" w:cs="Times New Roman"/>
        </w:rPr>
        <w:t xml:space="preserve"> </w:t>
      </w:r>
      <w:r w:rsidR="00CB416D" w:rsidRPr="00990234">
        <w:rPr>
          <w:rFonts w:ascii="Times New Roman" w:hAnsi="Times New Roman" w:cs="Times New Roman"/>
        </w:rPr>
        <w:t>.109)</w:t>
      </w:r>
      <w:r w:rsidR="00CB416D" w:rsidRPr="00990234">
        <w:rPr>
          <w:rFonts w:ascii="Times New Roman" w:hAnsi="Times New Roman" w:cs="Times New Roman"/>
          <w:bCs/>
        </w:rPr>
        <w:t xml:space="preserve">, or interaction </w:t>
      </w:r>
      <w:r w:rsidR="00CB416D" w:rsidRPr="00990234">
        <w:rPr>
          <w:rFonts w:ascii="Times New Roman" w:hAnsi="Times New Roman" w:cs="Times New Roman"/>
        </w:rPr>
        <w:t>(</w:t>
      </w:r>
      <w:r w:rsidR="00CB416D" w:rsidRPr="00990234">
        <w:rPr>
          <w:rFonts w:ascii="Times New Roman" w:hAnsi="Times New Roman" w:cs="Times New Roman"/>
          <w:i/>
        </w:rPr>
        <w:t>F</w:t>
      </w:r>
      <w:r w:rsidR="00CB416D" w:rsidRPr="00990234">
        <w:rPr>
          <w:rFonts w:ascii="Times New Roman" w:hAnsi="Times New Roman" w:cs="Times New Roman"/>
        </w:rPr>
        <w:t xml:space="preserve">(1, 18) = .016, </w:t>
      </w:r>
      <w:r w:rsidR="00BC144D" w:rsidRPr="00990234">
        <w:rPr>
          <w:rFonts w:ascii="Times New Roman" w:hAnsi="Times New Roman" w:cs="Times New Roman"/>
          <w:i/>
        </w:rPr>
        <w:t xml:space="preserve">p </w:t>
      </w:r>
      <w:r w:rsidR="00526E12" w:rsidRPr="00990234">
        <w:rPr>
          <w:rFonts w:ascii="Times New Roman" w:hAnsi="Times New Roman" w:cs="Times New Roman"/>
          <w:i/>
        </w:rPr>
        <w:t>=</w:t>
      </w:r>
      <w:r w:rsidR="00CB416D" w:rsidRPr="00990234">
        <w:rPr>
          <w:rFonts w:ascii="Times New Roman" w:hAnsi="Times New Roman" w:cs="Times New Roman"/>
        </w:rPr>
        <w:t xml:space="preserve">.902, </w:t>
      </w:r>
      <w:r w:rsidR="00CB416D" w:rsidRPr="00990234">
        <w:rPr>
          <w:rFonts w:ascii="Times New Roman" w:hAnsi="Times New Roman" w:cs="Times New Roman"/>
          <w:position w:val="-10"/>
        </w:rPr>
        <w:object w:dxaOrig="300" w:dyaOrig="360">
          <v:shape id="_x0000_i1030" type="#_x0000_t75" style="width:15pt;height:18.6pt" o:ole="">
            <v:imagedata r:id="rId12" o:title=""/>
          </v:shape>
          <o:OLEObject Type="Embed" ProgID="Equation.3" ShapeID="_x0000_i1030" DrawAspect="Content" ObjectID="_1566052213" r:id="rId18"/>
        </w:object>
      </w:r>
      <w:r w:rsidR="00BC144D" w:rsidRPr="00990234">
        <w:rPr>
          <w:rFonts w:ascii="Times New Roman" w:hAnsi="Times New Roman" w:cs="Times New Roman"/>
        </w:rPr>
        <w:t xml:space="preserve"> </w:t>
      </w:r>
      <w:r w:rsidR="00CB416D" w:rsidRPr="00990234">
        <w:rPr>
          <w:rFonts w:ascii="Times New Roman" w:hAnsi="Times New Roman" w:cs="Times New Roman"/>
        </w:rPr>
        <w:t>=</w:t>
      </w:r>
      <w:r w:rsidR="00BC144D" w:rsidRPr="00990234">
        <w:rPr>
          <w:rFonts w:ascii="Times New Roman" w:hAnsi="Times New Roman" w:cs="Times New Roman"/>
        </w:rPr>
        <w:t xml:space="preserve"> </w:t>
      </w:r>
      <w:r w:rsidR="00CB416D" w:rsidRPr="00990234">
        <w:rPr>
          <w:rFonts w:ascii="Times New Roman" w:hAnsi="Times New Roman" w:cs="Times New Roman"/>
        </w:rPr>
        <w:t>.001)</w:t>
      </w:r>
      <w:r w:rsidRPr="00990234">
        <w:rPr>
          <w:rFonts w:ascii="Times New Roman" w:hAnsi="Times New Roman" w:cs="Times New Roman"/>
          <w:bCs/>
        </w:rPr>
        <w:t xml:space="preserve">, suggesting participants </w:t>
      </w:r>
      <w:r w:rsidR="007F2EF3" w:rsidRPr="00990234">
        <w:rPr>
          <w:rFonts w:ascii="Times New Roman" w:hAnsi="Times New Roman" w:cs="Times New Roman"/>
          <w:bCs/>
        </w:rPr>
        <w:t>did not habituate to the taste</w:t>
      </w:r>
      <w:r w:rsidR="005231FF" w:rsidRPr="00990234">
        <w:rPr>
          <w:rFonts w:ascii="Times New Roman" w:hAnsi="Times New Roman" w:cs="Times New Roman"/>
          <w:bCs/>
        </w:rPr>
        <w:t>.</w:t>
      </w:r>
    </w:p>
    <w:p w:rsidR="00DA3E37" w:rsidRPr="00990234" w:rsidRDefault="00DA3E37" w:rsidP="00ED4163">
      <w:pPr>
        <w:spacing w:after="0" w:line="480" w:lineRule="auto"/>
        <w:ind w:right="-113" w:firstLine="720"/>
        <w:rPr>
          <w:rFonts w:ascii="Times New Roman" w:hAnsi="Times New Roman" w:cs="Times New Roman"/>
          <w:b/>
        </w:rPr>
      </w:pPr>
      <w:r w:rsidRPr="00990234">
        <w:rPr>
          <w:rFonts w:ascii="Times New Roman" w:hAnsi="Times New Roman" w:cs="Times New Roman"/>
          <w:b/>
        </w:rPr>
        <w:t>Difference-wave analysis of the FRN</w:t>
      </w:r>
    </w:p>
    <w:p w:rsidR="00DA3E37" w:rsidRPr="00990234" w:rsidRDefault="004A72C3" w:rsidP="004A72C3">
      <w:pPr>
        <w:spacing w:line="480" w:lineRule="auto"/>
        <w:ind w:firstLine="720"/>
        <w:rPr>
          <w:rFonts w:ascii="Times New Roman" w:hAnsi="Times New Roman" w:cs="Times New Roman"/>
        </w:rPr>
      </w:pPr>
      <w:r w:rsidRPr="00990234">
        <w:rPr>
          <w:rFonts w:ascii="Times New Roman" w:hAnsi="Times New Roman" w:cs="Times New Roman"/>
        </w:rPr>
        <w:t xml:space="preserve">Figure </w:t>
      </w:r>
      <w:r w:rsidR="005231FF" w:rsidRPr="00990234">
        <w:rPr>
          <w:rFonts w:ascii="Times New Roman" w:hAnsi="Times New Roman" w:cs="Times New Roman"/>
        </w:rPr>
        <w:t>3</w:t>
      </w:r>
      <w:r w:rsidRPr="00990234">
        <w:rPr>
          <w:rFonts w:ascii="Times New Roman" w:hAnsi="Times New Roman" w:cs="Times New Roman"/>
        </w:rPr>
        <w:t xml:space="preserve"> depicts </w:t>
      </w:r>
      <w:r w:rsidR="00DA3E37" w:rsidRPr="00990234">
        <w:rPr>
          <w:rFonts w:ascii="Times New Roman" w:hAnsi="Times New Roman" w:cs="Times New Roman"/>
        </w:rPr>
        <w:t xml:space="preserve">a significant FRN </w:t>
      </w:r>
      <w:r w:rsidR="00DA3E37" w:rsidRPr="00990234">
        <w:rPr>
          <w:rFonts w:ascii="Times New Roman" w:eastAsia="Times New Roman" w:hAnsi="Times New Roman" w:cs="Times New Roman"/>
          <w:lang w:eastAsia="en-GB"/>
        </w:rPr>
        <w:t xml:space="preserve">in </w:t>
      </w:r>
      <w:r w:rsidR="004557F5" w:rsidRPr="00990234">
        <w:rPr>
          <w:rFonts w:ascii="Times New Roman" w:eastAsia="Times New Roman" w:hAnsi="Times New Roman" w:cs="Times New Roman"/>
          <w:lang w:eastAsia="en-GB"/>
        </w:rPr>
        <w:t>s</w:t>
      </w:r>
      <w:r w:rsidR="00DA3E37" w:rsidRPr="00990234">
        <w:rPr>
          <w:rFonts w:ascii="Times New Roman" w:eastAsia="Times New Roman" w:hAnsi="Times New Roman" w:cs="Times New Roman"/>
          <w:lang w:eastAsia="en-GB"/>
        </w:rPr>
        <w:t>weet (</w:t>
      </w:r>
      <w:r w:rsidR="00DA3E37" w:rsidRPr="00990234">
        <w:rPr>
          <w:rFonts w:ascii="Times New Roman" w:eastAsia="Times New Roman" w:hAnsi="Times New Roman" w:cs="Times New Roman"/>
          <w:i/>
          <w:lang w:eastAsia="en-GB"/>
        </w:rPr>
        <w:t xml:space="preserve">t </w:t>
      </w:r>
      <w:r w:rsidR="00DA3E37" w:rsidRPr="00990234">
        <w:rPr>
          <w:rFonts w:ascii="Times New Roman" w:eastAsia="Times New Roman" w:hAnsi="Times New Roman" w:cs="Times New Roman"/>
          <w:lang w:eastAsia="en-GB"/>
        </w:rPr>
        <w:t xml:space="preserve">(18) = -2.152, </w:t>
      </w:r>
      <w:r w:rsidR="00DA3E37" w:rsidRPr="00990234">
        <w:rPr>
          <w:rFonts w:ascii="Times New Roman" w:eastAsia="Times New Roman" w:hAnsi="Times New Roman" w:cs="Times New Roman"/>
          <w:i/>
          <w:lang w:eastAsia="en-GB"/>
        </w:rPr>
        <w:t>p</w:t>
      </w:r>
      <w:r w:rsidR="00BC144D" w:rsidRPr="00990234">
        <w:rPr>
          <w:rFonts w:ascii="Times New Roman" w:eastAsia="Times New Roman" w:hAnsi="Times New Roman" w:cs="Times New Roman"/>
          <w:i/>
          <w:lang w:eastAsia="en-GB"/>
        </w:rPr>
        <w:t xml:space="preserve"> </w:t>
      </w:r>
      <w:r w:rsidR="00DA3E37" w:rsidRPr="00990234">
        <w:rPr>
          <w:rFonts w:ascii="Times New Roman" w:eastAsia="Times New Roman" w:hAnsi="Times New Roman" w:cs="Times New Roman"/>
          <w:i/>
          <w:lang w:eastAsia="en-GB"/>
        </w:rPr>
        <w:t>=</w:t>
      </w:r>
      <w:r w:rsidR="00DA3E37" w:rsidRPr="00990234">
        <w:rPr>
          <w:rFonts w:ascii="Times New Roman" w:eastAsia="Times New Roman" w:hAnsi="Times New Roman" w:cs="Times New Roman"/>
          <w:lang w:eastAsia="en-GB"/>
        </w:rPr>
        <w:t xml:space="preserve">.045), replicating previous work. Crucially, in </w:t>
      </w:r>
      <w:r w:rsidR="004557F5" w:rsidRPr="00990234">
        <w:rPr>
          <w:rFonts w:ascii="Times New Roman" w:eastAsia="Times New Roman" w:hAnsi="Times New Roman" w:cs="Times New Roman"/>
          <w:lang w:eastAsia="en-GB"/>
        </w:rPr>
        <w:t>b</w:t>
      </w:r>
      <w:r w:rsidR="00DA3E37" w:rsidRPr="00990234">
        <w:rPr>
          <w:rFonts w:ascii="Times New Roman" w:eastAsia="Times New Roman" w:hAnsi="Times New Roman" w:cs="Times New Roman"/>
          <w:lang w:eastAsia="en-GB"/>
        </w:rPr>
        <w:t>itter we observed a significant ‘reverse’ FRN</w:t>
      </w:r>
      <w:r w:rsidR="00DA3E37" w:rsidRPr="00990234">
        <w:rPr>
          <w:rFonts w:ascii="Times New Roman" w:hAnsi="Times New Roman" w:cs="Times New Roman"/>
        </w:rPr>
        <w:t xml:space="preserve"> (</w:t>
      </w:r>
      <w:r w:rsidR="00DA3E37" w:rsidRPr="00990234">
        <w:rPr>
          <w:rFonts w:ascii="Times New Roman" w:eastAsia="Times New Roman" w:hAnsi="Times New Roman" w:cs="Times New Roman"/>
          <w:i/>
          <w:lang w:eastAsia="en-GB"/>
        </w:rPr>
        <w:t>t</w:t>
      </w:r>
      <w:r w:rsidR="00DA3E37" w:rsidRPr="00990234">
        <w:rPr>
          <w:rFonts w:ascii="Times New Roman" w:eastAsia="Times New Roman" w:hAnsi="Times New Roman" w:cs="Times New Roman"/>
          <w:lang w:eastAsia="en-GB"/>
        </w:rPr>
        <w:t xml:space="preserve"> (18) = 2.78, </w:t>
      </w:r>
      <w:r w:rsidR="00DA3E37" w:rsidRPr="00990234">
        <w:rPr>
          <w:rFonts w:ascii="Times New Roman" w:eastAsia="Times New Roman" w:hAnsi="Times New Roman" w:cs="Times New Roman"/>
          <w:i/>
          <w:lang w:eastAsia="en-GB"/>
        </w:rPr>
        <w:t>p</w:t>
      </w:r>
      <w:r w:rsidR="00BC144D" w:rsidRPr="00990234">
        <w:rPr>
          <w:rFonts w:ascii="Times New Roman" w:eastAsia="Times New Roman" w:hAnsi="Times New Roman" w:cs="Times New Roman"/>
          <w:i/>
          <w:lang w:eastAsia="en-GB"/>
        </w:rPr>
        <w:t xml:space="preserve"> </w:t>
      </w:r>
      <w:r w:rsidR="004557F5" w:rsidRPr="00990234">
        <w:rPr>
          <w:rFonts w:ascii="Times New Roman" w:eastAsia="Times New Roman" w:hAnsi="Times New Roman" w:cs="Times New Roman"/>
          <w:i/>
          <w:lang w:eastAsia="en-GB"/>
        </w:rPr>
        <w:t xml:space="preserve">= </w:t>
      </w:r>
      <w:r w:rsidR="00DA3E37" w:rsidRPr="00990234">
        <w:rPr>
          <w:rFonts w:ascii="Times New Roman" w:eastAsia="Times New Roman" w:hAnsi="Times New Roman" w:cs="Times New Roman"/>
          <w:lang w:eastAsia="en-GB"/>
        </w:rPr>
        <w:t>.012), replicating our previous findings with pain (Talmi, Anderson &amp; El-Deredy, 2013).</w:t>
      </w:r>
      <w:r w:rsidR="00DA3E37" w:rsidRPr="00990234">
        <w:rPr>
          <w:rFonts w:ascii="Times New Roman" w:hAnsi="Times New Roman" w:cs="Times New Roman"/>
        </w:rPr>
        <w:t xml:space="preserve">  </w:t>
      </w:r>
    </w:p>
    <w:p w:rsidR="00A45901" w:rsidRPr="00990234" w:rsidRDefault="00E841A3">
      <w:pPr>
        <w:spacing w:after="0" w:line="480" w:lineRule="auto"/>
        <w:ind w:right="-113" w:firstLine="720"/>
        <w:rPr>
          <w:rFonts w:ascii="Times New Roman" w:hAnsi="Times New Roman" w:cs="Times New Roman"/>
          <w:b/>
        </w:rPr>
      </w:pPr>
      <w:r w:rsidRPr="00990234">
        <w:rPr>
          <w:rFonts w:ascii="Times New Roman" w:hAnsi="Times New Roman" w:cs="Times New Roman"/>
          <w:b/>
        </w:rPr>
        <w:t>S</w:t>
      </w:r>
      <w:r w:rsidR="00BB2F7C" w:rsidRPr="00990234">
        <w:rPr>
          <w:rFonts w:ascii="Times New Roman" w:hAnsi="Times New Roman" w:cs="Times New Roman"/>
          <w:b/>
        </w:rPr>
        <w:t>PM a</w:t>
      </w:r>
      <w:r w:rsidR="004D27BD" w:rsidRPr="00990234">
        <w:rPr>
          <w:rFonts w:ascii="Times New Roman" w:hAnsi="Times New Roman" w:cs="Times New Roman"/>
          <w:b/>
        </w:rPr>
        <w:t>nalysis of</w:t>
      </w:r>
      <w:r w:rsidRPr="00990234">
        <w:rPr>
          <w:rFonts w:ascii="Times New Roman" w:hAnsi="Times New Roman" w:cs="Times New Roman"/>
          <w:b/>
        </w:rPr>
        <w:t xml:space="preserve"> frontocentral electrodes in</w:t>
      </w:r>
      <w:r w:rsidR="004D27BD" w:rsidRPr="00990234">
        <w:rPr>
          <w:rFonts w:ascii="Times New Roman" w:hAnsi="Times New Roman" w:cs="Times New Roman"/>
          <w:b/>
        </w:rPr>
        <w:t xml:space="preserve"> the </w:t>
      </w:r>
      <w:r w:rsidR="00A45901" w:rsidRPr="00990234">
        <w:rPr>
          <w:rFonts w:ascii="Times New Roman" w:hAnsi="Times New Roman" w:cs="Times New Roman"/>
          <w:b/>
        </w:rPr>
        <w:t>200-</w:t>
      </w:r>
      <w:r w:rsidR="000742DB" w:rsidRPr="00990234">
        <w:rPr>
          <w:rFonts w:ascii="Times New Roman" w:hAnsi="Times New Roman" w:cs="Times New Roman"/>
          <w:b/>
        </w:rPr>
        <w:t xml:space="preserve">380ms </w:t>
      </w:r>
      <w:r w:rsidR="0003354C" w:rsidRPr="00990234">
        <w:rPr>
          <w:rFonts w:ascii="Times New Roman" w:hAnsi="Times New Roman" w:cs="Times New Roman"/>
          <w:b/>
        </w:rPr>
        <w:t>time</w:t>
      </w:r>
      <w:r w:rsidR="004D27BD" w:rsidRPr="00990234">
        <w:rPr>
          <w:rFonts w:ascii="Times New Roman" w:hAnsi="Times New Roman" w:cs="Times New Roman"/>
          <w:b/>
        </w:rPr>
        <w:t xml:space="preserve"> window</w:t>
      </w:r>
    </w:p>
    <w:p w:rsidR="002F350D" w:rsidRPr="00990234" w:rsidRDefault="00913AFD" w:rsidP="008C1429">
      <w:pPr>
        <w:spacing w:after="0" w:line="480" w:lineRule="auto"/>
        <w:ind w:right="-113" w:firstLine="720"/>
        <w:rPr>
          <w:rFonts w:ascii="Times New Roman" w:hAnsi="Times New Roman" w:cs="Times New Roman"/>
          <w:b/>
          <w:iCs/>
        </w:rPr>
      </w:pPr>
      <w:r w:rsidRPr="00990234">
        <w:rPr>
          <w:rFonts w:ascii="Times New Roman" w:hAnsi="Times New Roman" w:cs="Times New Roman"/>
          <w:b/>
          <w:iCs/>
        </w:rPr>
        <w:t>Aversive and reward p</w:t>
      </w:r>
      <w:r w:rsidR="00B27F01" w:rsidRPr="00990234">
        <w:rPr>
          <w:rFonts w:ascii="Times New Roman" w:hAnsi="Times New Roman" w:cs="Times New Roman"/>
          <w:b/>
          <w:iCs/>
        </w:rPr>
        <w:t>rediction error</w:t>
      </w:r>
      <w:r w:rsidR="000A5CC8" w:rsidRPr="00990234">
        <w:rPr>
          <w:rFonts w:ascii="Times New Roman" w:hAnsi="Times New Roman" w:cs="Times New Roman"/>
          <w:b/>
          <w:iCs/>
        </w:rPr>
        <w:t xml:space="preserve">. </w:t>
      </w:r>
    </w:p>
    <w:p w:rsidR="00A45901" w:rsidRPr="00990234" w:rsidRDefault="00426FE8" w:rsidP="008C1429">
      <w:pPr>
        <w:spacing w:after="0" w:line="480" w:lineRule="auto"/>
        <w:ind w:right="-113" w:firstLine="720"/>
        <w:rPr>
          <w:rFonts w:ascii="Times New Roman" w:hAnsi="Times New Roman" w:cs="Times New Roman"/>
          <w:noProof/>
          <w:lang w:eastAsia="en-GB"/>
        </w:rPr>
      </w:pPr>
      <w:r w:rsidRPr="00990234">
        <w:rPr>
          <w:rFonts w:ascii="Times New Roman" w:hAnsi="Times New Roman" w:cs="Times New Roman"/>
        </w:rPr>
        <w:t xml:space="preserve">The </w:t>
      </w:r>
      <w:r w:rsidR="004557F5" w:rsidRPr="00990234">
        <w:rPr>
          <w:rFonts w:ascii="Times New Roman" w:hAnsi="Times New Roman" w:cs="Times New Roman"/>
        </w:rPr>
        <w:t>o</w:t>
      </w:r>
      <w:r w:rsidRPr="00990234">
        <w:rPr>
          <w:rFonts w:ascii="Times New Roman" w:hAnsi="Times New Roman" w:cs="Times New Roman"/>
        </w:rPr>
        <w:t xml:space="preserve">utcome by </w:t>
      </w:r>
      <w:r w:rsidR="004557F5" w:rsidRPr="00990234">
        <w:rPr>
          <w:rFonts w:ascii="Times New Roman" w:hAnsi="Times New Roman" w:cs="Times New Roman"/>
        </w:rPr>
        <w:t>e</w:t>
      </w:r>
      <w:r w:rsidRPr="00990234">
        <w:rPr>
          <w:rFonts w:ascii="Times New Roman" w:hAnsi="Times New Roman" w:cs="Times New Roman"/>
        </w:rPr>
        <w:t xml:space="preserve">xpectancy interaction was analysed for each taste. </w:t>
      </w:r>
      <w:r w:rsidR="00583179" w:rsidRPr="00990234">
        <w:rPr>
          <w:rFonts w:ascii="Times New Roman" w:hAnsi="Times New Roman" w:cs="Times New Roman"/>
        </w:rPr>
        <w:t xml:space="preserve">Figure </w:t>
      </w:r>
      <w:r w:rsidR="005231FF" w:rsidRPr="00990234">
        <w:rPr>
          <w:rFonts w:ascii="Times New Roman" w:hAnsi="Times New Roman" w:cs="Times New Roman"/>
        </w:rPr>
        <w:t>4</w:t>
      </w:r>
      <w:r w:rsidR="00583179" w:rsidRPr="00990234">
        <w:rPr>
          <w:rFonts w:ascii="Times New Roman" w:hAnsi="Times New Roman" w:cs="Times New Roman"/>
        </w:rPr>
        <w:t xml:space="preserve"> shows that the pattern of th</w:t>
      </w:r>
      <w:r w:rsidR="000A5CC8" w:rsidRPr="00990234">
        <w:rPr>
          <w:rFonts w:ascii="Times New Roman" w:hAnsi="Times New Roman" w:cs="Times New Roman"/>
        </w:rPr>
        <w:t xml:space="preserve">is </w:t>
      </w:r>
      <w:r w:rsidR="00583179" w:rsidRPr="00990234">
        <w:rPr>
          <w:rFonts w:ascii="Times New Roman" w:hAnsi="Times New Roman" w:cs="Times New Roman"/>
        </w:rPr>
        <w:t>interaction was similar in both tastes</w:t>
      </w:r>
      <w:r w:rsidR="000A5CC8" w:rsidRPr="00990234">
        <w:rPr>
          <w:rFonts w:ascii="Times New Roman" w:hAnsi="Times New Roman" w:cs="Times New Roman"/>
        </w:rPr>
        <w:t xml:space="preserve">, but more pronounced in </w:t>
      </w:r>
      <w:r w:rsidR="004557F5" w:rsidRPr="00990234">
        <w:rPr>
          <w:rFonts w:ascii="Times New Roman" w:hAnsi="Times New Roman" w:cs="Times New Roman"/>
        </w:rPr>
        <w:t>b</w:t>
      </w:r>
      <w:r w:rsidR="000A5CC8" w:rsidRPr="00990234">
        <w:rPr>
          <w:rFonts w:ascii="Times New Roman" w:hAnsi="Times New Roman" w:cs="Times New Roman"/>
        </w:rPr>
        <w:t>itter</w:t>
      </w:r>
      <w:r w:rsidR="00583179" w:rsidRPr="00990234">
        <w:rPr>
          <w:rFonts w:ascii="Times New Roman" w:hAnsi="Times New Roman" w:cs="Times New Roman"/>
        </w:rPr>
        <w:t xml:space="preserve">. </w:t>
      </w:r>
      <w:r w:rsidR="00A45901" w:rsidRPr="00990234">
        <w:rPr>
          <w:rFonts w:ascii="Times New Roman" w:hAnsi="Times New Roman" w:cs="Times New Roman"/>
        </w:rPr>
        <w:t xml:space="preserve">In </w:t>
      </w:r>
      <w:r w:rsidR="004557F5" w:rsidRPr="00990234">
        <w:rPr>
          <w:rFonts w:ascii="Times New Roman" w:hAnsi="Times New Roman" w:cs="Times New Roman"/>
        </w:rPr>
        <w:t>b</w:t>
      </w:r>
      <w:r w:rsidR="00395340" w:rsidRPr="00990234">
        <w:rPr>
          <w:rFonts w:ascii="Times New Roman" w:hAnsi="Times New Roman" w:cs="Times New Roman"/>
        </w:rPr>
        <w:t>itter</w:t>
      </w:r>
      <w:r w:rsidR="00A45901" w:rsidRPr="00990234">
        <w:rPr>
          <w:rFonts w:ascii="Times New Roman" w:hAnsi="Times New Roman" w:cs="Times New Roman"/>
        </w:rPr>
        <w:t xml:space="preserve">, the interaction </w:t>
      </w:r>
      <w:r w:rsidRPr="00990234">
        <w:rPr>
          <w:rFonts w:ascii="Times New Roman" w:hAnsi="Times New Roman" w:cs="Times New Roman"/>
        </w:rPr>
        <w:t xml:space="preserve">was expressed in </w:t>
      </w:r>
      <w:r w:rsidR="00A45901" w:rsidRPr="00990234">
        <w:rPr>
          <w:rFonts w:ascii="Times New Roman" w:hAnsi="Times New Roman" w:cs="Times New Roman"/>
        </w:rPr>
        <w:t xml:space="preserve">a </w:t>
      </w:r>
      <w:r w:rsidR="00583179" w:rsidRPr="00990234">
        <w:rPr>
          <w:rFonts w:ascii="Times New Roman" w:hAnsi="Times New Roman" w:cs="Times New Roman"/>
        </w:rPr>
        <w:t xml:space="preserve">significant </w:t>
      </w:r>
      <w:r w:rsidR="00A45901" w:rsidRPr="00990234">
        <w:rPr>
          <w:rFonts w:ascii="Times New Roman" w:hAnsi="Times New Roman" w:cs="Times New Roman"/>
        </w:rPr>
        <w:t>cluster peaking at 285ms</w:t>
      </w:r>
      <w:r w:rsidR="00E732EF" w:rsidRPr="00990234">
        <w:rPr>
          <w:rFonts w:ascii="Times New Roman" w:hAnsi="Times New Roman" w:cs="Times New Roman"/>
        </w:rPr>
        <w:t>, which extended 251</w:t>
      </w:r>
      <w:r w:rsidR="00C0725D" w:rsidRPr="00990234">
        <w:rPr>
          <w:rFonts w:ascii="Times New Roman" w:hAnsi="Times New Roman" w:cs="Times New Roman"/>
        </w:rPr>
        <w:t>-</w:t>
      </w:r>
      <w:r w:rsidRPr="00990234">
        <w:rPr>
          <w:rFonts w:ascii="Times New Roman" w:hAnsi="Times New Roman" w:cs="Times New Roman"/>
        </w:rPr>
        <w:t>317ms after the outcome cue</w:t>
      </w:r>
      <w:r w:rsidR="00A45901" w:rsidRPr="00990234">
        <w:rPr>
          <w:rFonts w:ascii="Times New Roman" w:hAnsi="Times New Roman" w:cs="Times New Roman"/>
        </w:rPr>
        <w:t xml:space="preserve"> (</w:t>
      </w:r>
      <w:r w:rsidR="00DA6342" w:rsidRPr="00990234">
        <w:rPr>
          <w:rFonts w:ascii="Times New Roman" w:hAnsi="Times New Roman" w:cs="Times New Roman"/>
        </w:rPr>
        <w:t>peak at C2,</w:t>
      </w:r>
      <w:r w:rsidR="00806289" w:rsidRPr="00990234">
        <w:rPr>
          <w:rFonts w:ascii="Times New Roman" w:hAnsi="Times New Roman" w:cs="Times New Roman"/>
          <w:i/>
        </w:rPr>
        <w:t xml:space="preserve"> x</w:t>
      </w:r>
      <w:r w:rsidR="004557F5" w:rsidRPr="00990234">
        <w:rPr>
          <w:rFonts w:ascii="Times New Roman" w:hAnsi="Times New Roman" w:cs="Times New Roman"/>
        </w:rPr>
        <w:t xml:space="preserve"> </w:t>
      </w:r>
      <w:r w:rsidR="00806289" w:rsidRPr="00990234">
        <w:rPr>
          <w:rFonts w:ascii="Times New Roman" w:hAnsi="Times New Roman" w:cs="Times New Roman"/>
        </w:rPr>
        <w:t xml:space="preserve">= 17.00, </w:t>
      </w:r>
      <w:r w:rsidR="00806289" w:rsidRPr="00990234">
        <w:rPr>
          <w:rFonts w:ascii="Times New Roman" w:hAnsi="Times New Roman" w:cs="Times New Roman"/>
          <w:i/>
        </w:rPr>
        <w:t>y</w:t>
      </w:r>
      <w:r w:rsidR="00806289" w:rsidRPr="00990234">
        <w:rPr>
          <w:rFonts w:ascii="Times New Roman" w:hAnsi="Times New Roman" w:cs="Times New Roman"/>
        </w:rPr>
        <w:t xml:space="preserve"> = -3.25,</w:t>
      </w:r>
      <w:r w:rsidR="00DA6342" w:rsidRPr="00990234">
        <w:rPr>
          <w:rFonts w:ascii="Times New Roman" w:hAnsi="Times New Roman" w:cs="Times New Roman"/>
        </w:rPr>
        <w:t xml:space="preserve"> </w:t>
      </w:r>
      <w:r w:rsidR="00583179" w:rsidRPr="00990234">
        <w:rPr>
          <w:rFonts w:ascii="Times New Roman" w:hAnsi="Times New Roman" w:cs="Times New Roman"/>
        </w:rPr>
        <w:t xml:space="preserve">cluster </w:t>
      </w:r>
      <w:r w:rsidR="00A45901" w:rsidRPr="00990234">
        <w:rPr>
          <w:rFonts w:ascii="Times New Roman" w:hAnsi="Times New Roman" w:cs="Times New Roman"/>
          <w:i/>
        </w:rPr>
        <w:t>p</w:t>
      </w:r>
      <w:r w:rsidR="00A45901" w:rsidRPr="00990234">
        <w:rPr>
          <w:rFonts w:ascii="Times New Roman" w:hAnsi="Times New Roman" w:cs="Times New Roman"/>
        </w:rPr>
        <w:t xml:space="preserve"> (FWE) =</w:t>
      </w:r>
      <w:r w:rsidR="004557F5" w:rsidRPr="00990234">
        <w:rPr>
          <w:rFonts w:ascii="Times New Roman" w:hAnsi="Times New Roman" w:cs="Times New Roman"/>
        </w:rPr>
        <w:t xml:space="preserve"> </w:t>
      </w:r>
      <w:r w:rsidR="00A45901" w:rsidRPr="00990234">
        <w:rPr>
          <w:rFonts w:ascii="Times New Roman" w:hAnsi="Times New Roman" w:cs="Times New Roman"/>
        </w:rPr>
        <w:t>.</w:t>
      </w:r>
      <w:r w:rsidR="00DD31C6" w:rsidRPr="00990234">
        <w:rPr>
          <w:rFonts w:ascii="Times New Roman" w:hAnsi="Times New Roman" w:cs="Times New Roman"/>
        </w:rPr>
        <w:t>032</w:t>
      </w:r>
      <w:r w:rsidR="00A45901" w:rsidRPr="00990234">
        <w:rPr>
          <w:rFonts w:ascii="Times New Roman" w:hAnsi="Times New Roman" w:cs="Times New Roman"/>
        </w:rPr>
        <w:t xml:space="preserve">, cluster size </w:t>
      </w:r>
      <w:r w:rsidR="00DD31C6" w:rsidRPr="00990234">
        <w:rPr>
          <w:rFonts w:ascii="Times New Roman" w:hAnsi="Times New Roman" w:cs="Times New Roman"/>
        </w:rPr>
        <w:t>618</w:t>
      </w:r>
      <w:r w:rsidR="00847A48" w:rsidRPr="00990234">
        <w:rPr>
          <w:rFonts w:ascii="Times New Roman" w:hAnsi="Times New Roman" w:cs="Times New Roman"/>
        </w:rPr>
        <w:t xml:space="preserve"> </w:t>
      </w:r>
      <w:r w:rsidR="00A45901" w:rsidRPr="00990234">
        <w:rPr>
          <w:rFonts w:ascii="Times New Roman" w:hAnsi="Times New Roman" w:cs="Times New Roman"/>
        </w:rPr>
        <w:t xml:space="preserve">voxels). </w:t>
      </w:r>
      <w:r w:rsidRPr="00990234">
        <w:rPr>
          <w:rFonts w:ascii="Times New Roman" w:hAnsi="Times New Roman" w:cs="Times New Roman"/>
        </w:rPr>
        <w:t xml:space="preserve">We conducted further analyses to unpack this interaction. </w:t>
      </w:r>
      <w:r w:rsidR="00AE63E6" w:rsidRPr="00990234">
        <w:rPr>
          <w:rFonts w:ascii="Times New Roman" w:hAnsi="Times New Roman" w:cs="Times New Roman"/>
        </w:rPr>
        <w:t xml:space="preserve">Masked inclusively by the interaction of outcome and expectancy, </w:t>
      </w:r>
      <w:r w:rsidR="00F8678A" w:rsidRPr="00990234">
        <w:rPr>
          <w:rFonts w:ascii="Times New Roman" w:hAnsi="Times New Roman" w:cs="Times New Roman"/>
        </w:rPr>
        <w:t>u</w:t>
      </w:r>
      <w:r w:rsidR="000D300B" w:rsidRPr="00990234">
        <w:rPr>
          <w:rFonts w:ascii="Times New Roman" w:hAnsi="Times New Roman" w:cs="Times New Roman"/>
        </w:rPr>
        <w:t xml:space="preserve">nexpected </w:t>
      </w:r>
      <w:r w:rsidR="00F8678A" w:rsidRPr="00990234">
        <w:rPr>
          <w:rFonts w:ascii="Times New Roman" w:hAnsi="Times New Roman" w:cs="Times New Roman"/>
        </w:rPr>
        <w:t>d</w:t>
      </w:r>
      <w:r w:rsidR="000D300B" w:rsidRPr="00990234">
        <w:rPr>
          <w:rFonts w:ascii="Times New Roman" w:hAnsi="Times New Roman" w:cs="Times New Roman"/>
        </w:rPr>
        <w:t xml:space="preserve">elivered outcomes were significantly more positive than </w:t>
      </w:r>
      <w:r w:rsidR="00F8678A" w:rsidRPr="00990234">
        <w:rPr>
          <w:rFonts w:ascii="Times New Roman" w:hAnsi="Times New Roman" w:cs="Times New Roman"/>
        </w:rPr>
        <w:t>o</w:t>
      </w:r>
      <w:r w:rsidR="000D300B" w:rsidRPr="00990234">
        <w:rPr>
          <w:rFonts w:ascii="Times New Roman" w:hAnsi="Times New Roman" w:cs="Times New Roman"/>
        </w:rPr>
        <w:t xml:space="preserve">mitted </w:t>
      </w:r>
      <w:r w:rsidR="00CA264F" w:rsidRPr="00990234">
        <w:rPr>
          <w:rFonts w:ascii="Times New Roman" w:hAnsi="Times New Roman" w:cs="Times New Roman"/>
        </w:rPr>
        <w:t>(</w:t>
      </w:r>
      <w:r w:rsidR="00583179" w:rsidRPr="00990234">
        <w:rPr>
          <w:rFonts w:ascii="Times New Roman" w:hAnsi="Times New Roman" w:cs="Times New Roman"/>
        </w:rPr>
        <w:t xml:space="preserve">peak at C2, </w:t>
      </w:r>
      <w:r w:rsidR="00806289" w:rsidRPr="00990234">
        <w:rPr>
          <w:rFonts w:ascii="Times New Roman" w:hAnsi="Times New Roman" w:cs="Times New Roman"/>
          <w:i/>
        </w:rPr>
        <w:t>x</w:t>
      </w:r>
      <w:r w:rsidR="00806289" w:rsidRPr="00990234">
        <w:rPr>
          <w:rFonts w:ascii="Times New Roman" w:hAnsi="Times New Roman" w:cs="Times New Roman"/>
        </w:rPr>
        <w:t xml:space="preserve"> = 12.75, </w:t>
      </w:r>
      <w:r w:rsidR="00806289" w:rsidRPr="00990234">
        <w:rPr>
          <w:rFonts w:ascii="Times New Roman" w:hAnsi="Times New Roman" w:cs="Times New Roman"/>
          <w:i/>
        </w:rPr>
        <w:t>y</w:t>
      </w:r>
      <w:r w:rsidR="00806289" w:rsidRPr="00990234">
        <w:rPr>
          <w:rFonts w:ascii="Times New Roman" w:hAnsi="Times New Roman" w:cs="Times New Roman"/>
        </w:rPr>
        <w:t xml:space="preserve"> = -8.63, </w:t>
      </w:r>
      <w:r w:rsidR="00583179" w:rsidRPr="00990234">
        <w:rPr>
          <w:rFonts w:ascii="Times New Roman" w:hAnsi="Times New Roman" w:cs="Times New Roman"/>
        </w:rPr>
        <w:t xml:space="preserve">extending 200-368ms after the outcome cue, </w:t>
      </w:r>
      <w:r w:rsidR="00806289" w:rsidRPr="00990234">
        <w:rPr>
          <w:rFonts w:ascii="Times New Roman" w:hAnsi="Times New Roman" w:cs="Times New Roman"/>
        </w:rPr>
        <w:t xml:space="preserve">cluster </w:t>
      </w:r>
      <w:r w:rsidR="00CA264F" w:rsidRPr="00990234">
        <w:rPr>
          <w:rFonts w:ascii="Times New Roman" w:hAnsi="Times New Roman" w:cs="Times New Roman"/>
          <w:i/>
        </w:rPr>
        <w:t>p</w:t>
      </w:r>
      <w:r w:rsidR="002338BF" w:rsidRPr="00990234">
        <w:rPr>
          <w:rFonts w:ascii="Times New Roman" w:hAnsi="Times New Roman" w:cs="Times New Roman"/>
        </w:rPr>
        <w:t xml:space="preserve"> (FWE) </w:t>
      </w:r>
      <w:r w:rsidR="00777362" w:rsidRPr="00990234">
        <w:rPr>
          <w:rFonts w:ascii="Times New Roman" w:hAnsi="Times New Roman" w:cs="Times New Roman"/>
        </w:rPr>
        <w:t>&lt;</w:t>
      </w:r>
      <w:r w:rsidR="00CA264F" w:rsidRPr="00990234">
        <w:rPr>
          <w:rFonts w:ascii="Times New Roman" w:hAnsi="Times New Roman" w:cs="Times New Roman"/>
        </w:rPr>
        <w:t>.0</w:t>
      </w:r>
      <w:r w:rsidR="00777362" w:rsidRPr="00990234">
        <w:rPr>
          <w:rFonts w:ascii="Times New Roman" w:hAnsi="Times New Roman" w:cs="Times New Roman"/>
        </w:rPr>
        <w:t>01</w:t>
      </w:r>
      <w:r w:rsidR="00CA264F" w:rsidRPr="00990234">
        <w:rPr>
          <w:rFonts w:ascii="Times New Roman" w:hAnsi="Times New Roman" w:cs="Times New Roman"/>
        </w:rPr>
        <w:t xml:space="preserve">, cluster size </w:t>
      </w:r>
      <w:r w:rsidR="00DD31C6" w:rsidRPr="00990234">
        <w:rPr>
          <w:rFonts w:ascii="Times New Roman" w:hAnsi="Times New Roman" w:cs="Times New Roman"/>
        </w:rPr>
        <w:t>2855</w:t>
      </w:r>
      <w:r w:rsidR="00847A48" w:rsidRPr="00990234">
        <w:rPr>
          <w:rFonts w:ascii="Times New Roman" w:hAnsi="Times New Roman" w:cs="Times New Roman"/>
        </w:rPr>
        <w:t xml:space="preserve"> </w:t>
      </w:r>
      <w:r w:rsidR="00CA264F" w:rsidRPr="00990234">
        <w:rPr>
          <w:rFonts w:ascii="Times New Roman" w:hAnsi="Times New Roman" w:cs="Times New Roman"/>
        </w:rPr>
        <w:t>voxels)</w:t>
      </w:r>
      <w:r w:rsidR="00526E12" w:rsidRPr="00990234">
        <w:rPr>
          <w:rFonts w:ascii="Times New Roman" w:hAnsi="Times New Roman" w:cs="Times New Roman"/>
        </w:rPr>
        <w:t>.</w:t>
      </w:r>
      <w:r w:rsidR="00CA264F" w:rsidRPr="00990234">
        <w:rPr>
          <w:rFonts w:ascii="Times New Roman" w:hAnsi="Times New Roman" w:cs="Times New Roman"/>
        </w:rPr>
        <w:t xml:space="preserve"> </w:t>
      </w:r>
      <w:r w:rsidR="002561EE" w:rsidRPr="00990234">
        <w:rPr>
          <w:rFonts w:ascii="Times New Roman" w:hAnsi="Times New Roman" w:cs="Times New Roman"/>
        </w:rPr>
        <w:t xml:space="preserve">There was no significant difference between </w:t>
      </w:r>
      <w:r w:rsidR="00F8678A" w:rsidRPr="00990234">
        <w:rPr>
          <w:rFonts w:ascii="Times New Roman" w:hAnsi="Times New Roman" w:cs="Times New Roman"/>
        </w:rPr>
        <w:t>e</w:t>
      </w:r>
      <w:r w:rsidR="002561EE" w:rsidRPr="00990234">
        <w:rPr>
          <w:rFonts w:ascii="Times New Roman" w:hAnsi="Times New Roman" w:cs="Times New Roman"/>
        </w:rPr>
        <w:t xml:space="preserve">xpected </w:t>
      </w:r>
      <w:r w:rsidR="00F8678A" w:rsidRPr="00990234">
        <w:rPr>
          <w:rFonts w:ascii="Times New Roman" w:hAnsi="Times New Roman" w:cs="Times New Roman"/>
        </w:rPr>
        <w:t>d</w:t>
      </w:r>
      <w:r w:rsidR="002561EE" w:rsidRPr="00990234">
        <w:rPr>
          <w:rFonts w:ascii="Times New Roman" w:hAnsi="Times New Roman" w:cs="Times New Roman"/>
        </w:rPr>
        <w:t xml:space="preserve">elivered and </w:t>
      </w:r>
      <w:r w:rsidR="00F8678A" w:rsidRPr="00990234">
        <w:rPr>
          <w:rFonts w:ascii="Times New Roman" w:hAnsi="Times New Roman" w:cs="Times New Roman"/>
        </w:rPr>
        <w:t>o</w:t>
      </w:r>
      <w:r w:rsidR="002561EE" w:rsidRPr="00990234">
        <w:rPr>
          <w:rFonts w:ascii="Times New Roman" w:hAnsi="Times New Roman" w:cs="Times New Roman"/>
        </w:rPr>
        <w:t xml:space="preserve">mitted outcomes. </w:t>
      </w:r>
      <w:r w:rsidR="00632EFB" w:rsidRPr="00990234">
        <w:rPr>
          <w:rFonts w:ascii="Times New Roman" w:hAnsi="Times New Roman" w:cs="Times New Roman"/>
        </w:rPr>
        <w:t xml:space="preserve"> </w:t>
      </w:r>
      <w:r w:rsidR="000502C9" w:rsidRPr="00990234">
        <w:rPr>
          <w:rFonts w:ascii="Times New Roman" w:hAnsi="Times New Roman" w:cs="Times New Roman"/>
        </w:rPr>
        <w:t xml:space="preserve">Unexpected </w:t>
      </w:r>
      <w:r w:rsidR="00F8678A" w:rsidRPr="00990234">
        <w:rPr>
          <w:rFonts w:ascii="Times New Roman" w:hAnsi="Times New Roman" w:cs="Times New Roman"/>
        </w:rPr>
        <w:t>d</w:t>
      </w:r>
      <w:r w:rsidR="000502C9" w:rsidRPr="00990234">
        <w:rPr>
          <w:rFonts w:ascii="Times New Roman" w:hAnsi="Times New Roman" w:cs="Times New Roman"/>
        </w:rPr>
        <w:t xml:space="preserve">elivered outcomes were significantly more positive than </w:t>
      </w:r>
      <w:r w:rsidR="00F8678A" w:rsidRPr="00990234">
        <w:rPr>
          <w:rFonts w:ascii="Times New Roman" w:hAnsi="Times New Roman" w:cs="Times New Roman"/>
        </w:rPr>
        <w:t>e</w:t>
      </w:r>
      <w:r w:rsidR="000502C9" w:rsidRPr="00990234">
        <w:rPr>
          <w:rFonts w:ascii="Times New Roman" w:hAnsi="Times New Roman" w:cs="Times New Roman"/>
        </w:rPr>
        <w:t xml:space="preserve">xpected (peak at Cz, </w:t>
      </w:r>
      <w:r w:rsidR="000502C9" w:rsidRPr="00990234">
        <w:rPr>
          <w:rFonts w:ascii="Times New Roman" w:hAnsi="Times New Roman" w:cs="Times New Roman"/>
          <w:i/>
        </w:rPr>
        <w:t>x</w:t>
      </w:r>
      <w:r w:rsidR="000502C9" w:rsidRPr="00990234">
        <w:rPr>
          <w:rFonts w:ascii="Times New Roman" w:hAnsi="Times New Roman" w:cs="Times New Roman"/>
        </w:rPr>
        <w:t xml:space="preserve"> = 0.00, </w:t>
      </w:r>
      <w:r w:rsidR="000502C9" w:rsidRPr="00990234">
        <w:rPr>
          <w:rFonts w:ascii="Times New Roman" w:hAnsi="Times New Roman" w:cs="Times New Roman"/>
          <w:i/>
        </w:rPr>
        <w:t>y</w:t>
      </w:r>
      <w:r w:rsidR="000502C9" w:rsidRPr="00990234">
        <w:rPr>
          <w:rFonts w:ascii="Times New Roman" w:hAnsi="Times New Roman" w:cs="Times New Roman"/>
        </w:rPr>
        <w:t xml:space="preserve"> = -8.63, extending 200-380ms after the outcome cue, cluster </w:t>
      </w:r>
      <w:r w:rsidR="000502C9" w:rsidRPr="00990234">
        <w:rPr>
          <w:rFonts w:ascii="Times New Roman" w:hAnsi="Times New Roman" w:cs="Times New Roman"/>
          <w:i/>
        </w:rPr>
        <w:t>p</w:t>
      </w:r>
      <w:r w:rsidR="000502C9" w:rsidRPr="00990234">
        <w:rPr>
          <w:rFonts w:ascii="Times New Roman" w:hAnsi="Times New Roman" w:cs="Times New Roman"/>
        </w:rPr>
        <w:t xml:space="preserve"> (FWE) =</w:t>
      </w:r>
      <w:r w:rsidR="004557F5" w:rsidRPr="00990234">
        <w:rPr>
          <w:rFonts w:ascii="Times New Roman" w:hAnsi="Times New Roman" w:cs="Times New Roman"/>
        </w:rPr>
        <w:t xml:space="preserve"> </w:t>
      </w:r>
      <w:r w:rsidR="000502C9" w:rsidRPr="00990234">
        <w:rPr>
          <w:rFonts w:ascii="Times New Roman" w:hAnsi="Times New Roman" w:cs="Times New Roman"/>
        </w:rPr>
        <w:t xml:space="preserve">.003), and </w:t>
      </w:r>
      <w:r w:rsidR="00F8678A" w:rsidRPr="00990234">
        <w:rPr>
          <w:rFonts w:ascii="Times New Roman" w:hAnsi="Times New Roman" w:cs="Times New Roman"/>
        </w:rPr>
        <w:t>u</w:t>
      </w:r>
      <w:r w:rsidR="000502C9" w:rsidRPr="00990234">
        <w:rPr>
          <w:rFonts w:ascii="Times New Roman" w:hAnsi="Times New Roman" w:cs="Times New Roman"/>
        </w:rPr>
        <w:t xml:space="preserve">nexpected </w:t>
      </w:r>
      <w:r w:rsidR="00F8678A" w:rsidRPr="00990234">
        <w:rPr>
          <w:rFonts w:ascii="Times New Roman" w:hAnsi="Times New Roman" w:cs="Times New Roman"/>
        </w:rPr>
        <w:t>o</w:t>
      </w:r>
      <w:r w:rsidR="000502C9" w:rsidRPr="00990234">
        <w:rPr>
          <w:rFonts w:ascii="Times New Roman" w:hAnsi="Times New Roman" w:cs="Times New Roman"/>
        </w:rPr>
        <w:t xml:space="preserve">mitted outcomes were significantly more negative than expected (peak at FC4, </w:t>
      </w:r>
      <w:r w:rsidR="000502C9" w:rsidRPr="00990234">
        <w:rPr>
          <w:rFonts w:ascii="Times New Roman" w:hAnsi="Times New Roman" w:cs="Times New Roman"/>
          <w:i/>
        </w:rPr>
        <w:t>x</w:t>
      </w:r>
      <w:r w:rsidR="000502C9" w:rsidRPr="00990234">
        <w:rPr>
          <w:rFonts w:ascii="Times New Roman" w:hAnsi="Times New Roman" w:cs="Times New Roman"/>
        </w:rPr>
        <w:t xml:space="preserve"> = 34.00, </w:t>
      </w:r>
      <w:r w:rsidR="000502C9" w:rsidRPr="00990234">
        <w:rPr>
          <w:rFonts w:ascii="Times New Roman" w:hAnsi="Times New Roman" w:cs="Times New Roman"/>
          <w:i/>
        </w:rPr>
        <w:lastRenderedPageBreak/>
        <w:t>y</w:t>
      </w:r>
      <w:r w:rsidR="000502C9" w:rsidRPr="00990234">
        <w:rPr>
          <w:rFonts w:ascii="Times New Roman" w:hAnsi="Times New Roman" w:cs="Times New Roman"/>
        </w:rPr>
        <w:t xml:space="preserve"> = 7.50, extending 269-295ms after the outcome cue, peak </w:t>
      </w:r>
      <w:r w:rsidR="000502C9" w:rsidRPr="00990234">
        <w:rPr>
          <w:rFonts w:ascii="Times New Roman" w:hAnsi="Times New Roman" w:cs="Times New Roman"/>
          <w:i/>
        </w:rPr>
        <w:t>p</w:t>
      </w:r>
      <w:r w:rsidR="000502C9" w:rsidRPr="00990234">
        <w:rPr>
          <w:rFonts w:ascii="Times New Roman" w:hAnsi="Times New Roman" w:cs="Times New Roman"/>
        </w:rPr>
        <w:t xml:space="preserve"> (FWE) &lt;</w:t>
      </w:r>
      <w:r w:rsidR="004557F5" w:rsidRPr="00990234">
        <w:rPr>
          <w:rFonts w:ascii="Times New Roman" w:hAnsi="Times New Roman" w:cs="Times New Roman"/>
        </w:rPr>
        <w:t xml:space="preserve"> </w:t>
      </w:r>
      <w:r w:rsidR="000502C9" w:rsidRPr="00990234">
        <w:rPr>
          <w:rFonts w:ascii="Times New Roman" w:hAnsi="Times New Roman" w:cs="Times New Roman"/>
        </w:rPr>
        <w:t xml:space="preserve">.001). </w:t>
      </w:r>
      <w:r w:rsidRPr="00990234">
        <w:rPr>
          <w:rFonts w:ascii="Times New Roman" w:hAnsi="Times New Roman" w:cs="Times New Roman"/>
        </w:rPr>
        <w:t xml:space="preserve">As shown in figure </w:t>
      </w:r>
      <w:r w:rsidR="005231FF" w:rsidRPr="00990234">
        <w:rPr>
          <w:rFonts w:ascii="Times New Roman" w:hAnsi="Times New Roman" w:cs="Times New Roman"/>
        </w:rPr>
        <w:t>4</w:t>
      </w:r>
      <w:r w:rsidRPr="00990234">
        <w:rPr>
          <w:rFonts w:ascii="Times New Roman" w:hAnsi="Times New Roman" w:cs="Times New Roman"/>
        </w:rPr>
        <w:t>, th</w:t>
      </w:r>
      <w:r w:rsidR="00A45901" w:rsidRPr="00990234">
        <w:rPr>
          <w:rFonts w:ascii="Times New Roman" w:hAnsi="Times New Roman" w:cs="Times New Roman"/>
        </w:rPr>
        <w:t xml:space="preserve">is </w:t>
      </w:r>
      <w:r w:rsidR="00806289" w:rsidRPr="00990234">
        <w:rPr>
          <w:rFonts w:ascii="Times New Roman" w:hAnsi="Times New Roman" w:cs="Times New Roman"/>
        </w:rPr>
        <w:t xml:space="preserve">funnel-shaped </w:t>
      </w:r>
      <w:r w:rsidR="00A45901" w:rsidRPr="00990234">
        <w:rPr>
          <w:rFonts w:ascii="Times New Roman" w:hAnsi="Times New Roman" w:cs="Times New Roman"/>
        </w:rPr>
        <w:t xml:space="preserve">signal adhered to the criteria of an axiomatic model of prediction error in the aversive domain. </w:t>
      </w:r>
      <w:r w:rsidR="00BB2F7C" w:rsidRPr="00990234">
        <w:rPr>
          <w:rFonts w:ascii="Times New Roman" w:hAnsi="Times New Roman" w:cs="Times New Roman"/>
        </w:rPr>
        <w:t xml:space="preserve">In </w:t>
      </w:r>
      <w:r w:rsidR="002338BF" w:rsidRPr="00990234">
        <w:rPr>
          <w:rFonts w:ascii="Times New Roman" w:hAnsi="Times New Roman" w:cs="Times New Roman"/>
        </w:rPr>
        <w:t xml:space="preserve">Sweet </w:t>
      </w:r>
      <w:r w:rsidR="00BB2F7C" w:rsidRPr="00990234">
        <w:rPr>
          <w:rFonts w:ascii="Times New Roman" w:hAnsi="Times New Roman" w:cs="Times New Roman"/>
        </w:rPr>
        <w:t>t</w:t>
      </w:r>
      <w:r w:rsidR="00A45901" w:rsidRPr="00990234">
        <w:rPr>
          <w:rFonts w:ascii="Times New Roman" w:hAnsi="Times New Roman" w:cs="Times New Roman"/>
        </w:rPr>
        <w:t>he outcome</w:t>
      </w:r>
      <w:r w:rsidR="002338BF" w:rsidRPr="00990234">
        <w:rPr>
          <w:rFonts w:ascii="Times New Roman" w:hAnsi="Times New Roman" w:cs="Times New Roman"/>
        </w:rPr>
        <w:t xml:space="preserve"> </w:t>
      </w:r>
      <w:r w:rsidR="00A45901" w:rsidRPr="00990234">
        <w:rPr>
          <w:rFonts w:ascii="Times New Roman" w:hAnsi="Times New Roman" w:cs="Times New Roman"/>
        </w:rPr>
        <w:t>by</w:t>
      </w:r>
      <w:r w:rsidR="002338BF" w:rsidRPr="00990234">
        <w:rPr>
          <w:rFonts w:ascii="Times New Roman" w:hAnsi="Times New Roman" w:cs="Times New Roman"/>
        </w:rPr>
        <w:t xml:space="preserve"> </w:t>
      </w:r>
      <w:r w:rsidR="00A45901" w:rsidRPr="00990234">
        <w:rPr>
          <w:rFonts w:ascii="Times New Roman" w:hAnsi="Times New Roman" w:cs="Times New Roman"/>
        </w:rPr>
        <w:t>expectancy interaction did not survive our significance threshold.</w:t>
      </w:r>
      <w:r w:rsidR="00A45901" w:rsidRPr="00990234">
        <w:rPr>
          <w:rFonts w:ascii="Times New Roman" w:hAnsi="Times New Roman" w:cs="Times New Roman"/>
          <w:noProof/>
          <w:lang w:eastAsia="en-GB"/>
        </w:rPr>
        <w:t xml:space="preserve">  </w:t>
      </w:r>
      <w:r w:rsidR="00583179" w:rsidRPr="00990234">
        <w:rPr>
          <w:rFonts w:ascii="Times New Roman" w:hAnsi="Times New Roman" w:cs="Times New Roman"/>
          <w:noProof/>
          <w:lang w:eastAsia="en-GB"/>
        </w:rPr>
        <w:t xml:space="preserve">It can be readily appreciated that the numerical pattern of the nonsignificant interaction in </w:t>
      </w:r>
      <w:r w:rsidR="00F8678A" w:rsidRPr="00990234">
        <w:rPr>
          <w:rFonts w:ascii="Times New Roman" w:hAnsi="Times New Roman" w:cs="Times New Roman"/>
          <w:noProof/>
          <w:lang w:eastAsia="en-GB"/>
        </w:rPr>
        <w:t>s</w:t>
      </w:r>
      <w:r w:rsidR="00583179" w:rsidRPr="00990234">
        <w:rPr>
          <w:rFonts w:ascii="Times New Roman" w:hAnsi="Times New Roman" w:cs="Times New Roman"/>
          <w:noProof/>
          <w:lang w:eastAsia="en-GB"/>
        </w:rPr>
        <w:t xml:space="preserve">weet contradicts an interpretation of the frontocentral signal as a </w:t>
      </w:r>
      <w:r w:rsidR="008C1429" w:rsidRPr="00990234">
        <w:rPr>
          <w:rFonts w:ascii="Times New Roman" w:hAnsi="Times New Roman" w:cs="Times New Roman"/>
          <w:noProof/>
          <w:lang w:eastAsia="en-GB"/>
        </w:rPr>
        <w:t>utility</w:t>
      </w:r>
      <w:r w:rsidR="00583179" w:rsidRPr="00990234">
        <w:rPr>
          <w:rFonts w:ascii="Times New Roman" w:hAnsi="Times New Roman" w:cs="Times New Roman"/>
          <w:noProof/>
          <w:lang w:eastAsia="en-GB"/>
        </w:rPr>
        <w:t xml:space="preserve"> prediction error, because in both tastes unexpected delivered outcomes – good in </w:t>
      </w:r>
      <w:r w:rsidR="00F8678A" w:rsidRPr="00990234">
        <w:rPr>
          <w:rFonts w:ascii="Times New Roman" w:hAnsi="Times New Roman" w:cs="Times New Roman"/>
          <w:noProof/>
          <w:lang w:eastAsia="en-GB"/>
        </w:rPr>
        <w:t>s</w:t>
      </w:r>
      <w:r w:rsidR="00583179" w:rsidRPr="00990234">
        <w:rPr>
          <w:rFonts w:ascii="Times New Roman" w:hAnsi="Times New Roman" w:cs="Times New Roman"/>
          <w:noProof/>
          <w:lang w:eastAsia="en-GB"/>
        </w:rPr>
        <w:t xml:space="preserve">weet, bad in </w:t>
      </w:r>
      <w:r w:rsidR="00F8678A" w:rsidRPr="00990234">
        <w:rPr>
          <w:rFonts w:ascii="Times New Roman" w:hAnsi="Times New Roman" w:cs="Times New Roman"/>
          <w:noProof/>
          <w:lang w:eastAsia="en-GB"/>
        </w:rPr>
        <w:t>b</w:t>
      </w:r>
      <w:r w:rsidR="00583179" w:rsidRPr="00990234">
        <w:rPr>
          <w:rFonts w:ascii="Times New Roman" w:hAnsi="Times New Roman" w:cs="Times New Roman"/>
          <w:noProof/>
          <w:lang w:eastAsia="en-GB"/>
        </w:rPr>
        <w:t xml:space="preserve">itter - yield more positive amplitudes than unexpected omitted outcomes. </w:t>
      </w:r>
    </w:p>
    <w:p w:rsidR="00936A18" w:rsidRPr="00990234" w:rsidRDefault="00B65C88" w:rsidP="00936A18">
      <w:pPr>
        <w:spacing w:after="0" w:line="480" w:lineRule="auto"/>
        <w:ind w:right="-113" w:firstLine="720"/>
        <w:rPr>
          <w:rFonts w:ascii="Times New Roman" w:hAnsi="Times New Roman" w:cs="Times New Roman"/>
          <w:b/>
          <w:iCs/>
        </w:rPr>
      </w:pPr>
      <w:r w:rsidRPr="00990234">
        <w:rPr>
          <w:rFonts w:ascii="Times New Roman" w:hAnsi="Times New Roman" w:cs="Times New Roman"/>
          <w:b/>
          <w:iCs/>
        </w:rPr>
        <w:t>M</w:t>
      </w:r>
      <w:r w:rsidR="00936A18" w:rsidRPr="00990234">
        <w:rPr>
          <w:rFonts w:ascii="Times New Roman" w:hAnsi="Times New Roman" w:cs="Times New Roman"/>
          <w:b/>
          <w:iCs/>
        </w:rPr>
        <w:t>otivational salience</w:t>
      </w:r>
    </w:p>
    <w:p w:rsidR="00835190" w:rsidRPr="00990234" w:rsidRDefault="00426FE8" w:rsidP="00223395">
      <w:pPr>
        <w:spacing w:after="0" w:line="480" w:lineRule="auto"/>
        <w:ind w:right="-113" w:firstLine="720"/>
        <w:rPr>
          <w:rFonts w:ascii="Times New Roman" w:hAnsi="Times New Roman" w:cs="Times New Roman"/>
          <w:noProof/>
          <w:lang w:eastAsia="en-GB"/>
        </w:rPr>
      </w:pPr>
      <w:r w:rsidRPr="00990234">
        <w:rPr>
          <w:rFonts w:ascii="Times New Roman" w:hAnsi="Times New Roman" w:cs="Times New Roman"/>
        </w:rPr>
        <w:t xml:space="preserve">The analysis of the main effect of </w:t>
      </w:r>
      <w:r w:rsidR="00F8678A" w:rsidRPr="00990234">
        <w:rPr>
          <w:rFonts w:ascii="Times New Roman" w:hAnsi="Times New Roman" w:cs="Times New Roman"/>
        </w:rPr>
        <w:t>o</w:t>
      </w:r>
      <w:r w:rsidRPr="00990234">
        <w:rPr>
          <w:rFonts w:ascii="Times New Roman" w:hAnsi="Times New Roman" w:cs="Times New Roman"/>
        </w:rPr>
        <w:t xml:space="preserve">utcome in each taste was masked exclusively by the interaction of outcome and expectancy. </w:t>
      </w:r>
      <w:r w:rsidR="00835190" w:rsidRPr="00990234">
        <w:rPr>
          <w:rFonts w:ascii="Times New Roman" w:hAnsi="Times New Roman" w:cs="Times New Roman"/>
        </w:rPr>
        <w:t xml:space="preserve">In </w:t>
      </w:r>
      <w:r w:rsidR="00F8678A" w:rsidRPr="00990234">
        <w:rPr>
          <w:rFonts w:ascii="Times New Roman" w:hAnsi="Times New Roman" w:cs="Times New Roman"/>
        </w:rPr>
        <w:t>b</w:t>
      </w:r>
      <w:r w:rsidR="00835190" w:rsidRPr="00990234">
        <w:rPr>
          <w:rFonts w:ascii="Times New Roman" w:hAnsi="Times New Roman" w:cs="Times New Roman"/>
        </w:rPr>
        <w:t>itter, the effect of outcome yielded a frontocentral cluster</w:t>
      </w:r>
      <w:r w:rsidR="0007556F" w:rsidRPr="00990234">
        <w:rPr>
          <w:rFonts w:ascii="Times New Roman" w:hAnsi="Times New Roman" w:cs="Times New Roman"/>
        </w:rPr>
        <w:t xml:space="preserve"> where amplitude for </w:t>
      </w:r>
      <w:r w:rsidR="00F8678A" w:rsidRPr="00990234">
        <w:rPr>
          <w:rFonts w:ascii="Times New Roman" w:hAnsi="Times New Roman" w:cs="Times New Roman"/>
        </w:rPr>
        <w:t>d</w:t>
      </w:r>
      <w:r w:rsidR="0007556F" w:rsidRPr="00990234">
        <w:rPr>
          <w:rFonts w:ascii="Times New Roman" w:hAnsi="Times New Roman" w:cs="Times New Roman"/>
        </w:rPr>
        <w:t xml:space="preserve">elivered outcomes was more positive than for </w:t>
      </w:r>
      <w:r w:rsidR="00F8678A" w:rsidRPr="00990234">
        <w:rPr>
          <w:rFonts w:ascii="Times New Roman" w:hAnsi="Times New Roman" w:cs="Times New Roman"/>
        </w:rPr>
        <w:t>o</w:t>
      </w:r>
      <w:r w:rsidR="0007556F" w:rsidRPr="00990234">
        <w:rPr>
          <w:rFonts w:ascii="Times New Roman" w:hAnsi="Times New Roman" w:cs="Times New Roman"/>
        </w:rPr>
        <w:t xml:space="preserve">mitted outcomes, </w:t>
      </w:r>
      <w:r w:rsidR="00835190" w:rsidRPr="00990234">
        <w:rPr>
          <w:rFonts w:ascii="Times New Roman" w:hAnsi="Times New Roman" w:cs="Times New Roman"/>
        </w:rPr>
        <w:t xml:space="preserve">peaking at 215ms </w:t>
      </w:r>
      <w:r w:rsidR="0007556F" w:rsidRPr="00990234">
        <w:rPr>
          <w:rFonts w:ascii="Times New Roman" w:hAnsi="Times New Roman" w:cs="Times New Roman"/>
        </w:rPr>
        <w:t xml:space="preserve">and extending 200-287ms after the outcome cue </w:t>
      </w:r>
      <w:r w:rsidR="00835190" w:rsidRPr="00990234">
        <w:rPr>
          <w:rFonts w:ascii="Times New Roman" w:hAnsi="Times New Roman" w:cs="Times New Roman"/>
        </w:rPr>
        <w:t>(</w:t>
      </w:r>
      <w:r w:rsidR="00583179" w:rsidRPr="00990234">
        <w:rPr>
          <w:rFonts w:ascii="Times New Roman" w:hAnsi="Times New Roman" w:cs="Times New Roman"/>
        </w:rPr>
        <w:t xml:space="preserve">peak at FC1, </w:t>
      </w:r>
      <w:r w:rsidR="00223395" w:rsidRPr="00990234">
        <w:rPr>
          <w:rFonts w:ascii="Times New Roman" w:hAnsi="Times New Roman" w:cs="Times New Roman"/>
          <w:i/>
        </w:rPr>
        <w:t>x</w:t>
      </w:r>
      <w:r w:rsidR="00223395" w:rsidRPr="00990234">
        <w:rPr>
          <w:rFonts w:ascii="Times New Roman" w:hAnsi="Times New Roman" w:cs="Times New Roman"/>
        </w:rPr>
        <w:t xml:space="preserve"> = -21.25, </w:t>
      </w:r>
      <w:r w:rsidR="00223395" w:rsidRPr="00990234">
        <w:rPr>
          <w:rFonts w:ascii="Times New Roman" w:hAnsi="Times New Roman" w:cs="Times New Roman"/>
          <w:i/>
        </w:rPr>
        <w:t>y</w:t>
      </w:r>
      <w:r w:rsidR="00223395" w:rsidRPr="00990234">
        <w:rPr>
          <w:rFonts w:ascii="Times New Roman" w:hAnsi="Times New Roman" w:cs="Times New Roman"/>
        </w:rPr>
        <w:t xml:space="preserve"> = 2.13, cluster </w:t>
      </w:r>
      <w:r w:rsidR="00835190" w:rsidRPr="00990234">
        <w:rPr>
          <w:rFonts w:ascii="Times New Roman" w:hAnsi="Times New Roman" w:cs="Times New Roman"/>
          <w:i/>
        </w:rPr>
        <w:t>p</w:t>
      </w:r>
      <w:r w:rsidR="00835190" w:rsidRPr="00990234">
        <w:rPr>
          <w:rFonts w:ascii="Times New Roman" w:hAnsi="Times New Roman" w:cs="Times New Roman"/>
        </w:rPr>
        <w:t xml:space="preserve"> (FWE) </w:t>
      </w:r>
      <w:r w:rsidR="00DD31C6" w:rsidRPr="00990234">
        <w:rPr>
          <w:rFonts w:ascii="Times New Roman" w:hAnsi="Times New Roman" w:cs="Times New Roman"/>
        </w:rPr>
        <w:t>&lt;</w:t>
      </w:r>
      <w:r w:rsidR="004557F5" w:rsidRPr="00990234">
        <w:rPr>
          <w:rFonts w:ascii="Times New Roman" w:hAnsi="Times New Roman" w:cs="Times New Roman"/>
        </w:rPr>
        <w:t xml:space="preserve"> </w:t>
      </w:r>
      <w:r w:rsidR="00835190" w:rsidRPr="00990234">
        <w:rPr>
          <w:rFonts w:ascii="Times New Roman" w:hAnsi="Times New Roman" w:cs="Times New Roman"/>
        </w:rPr>
        <w:t>.0</w:t>
      </w:r>
      <w:r w:rsidR="0097778E" w:rsidRPr="00990234">
        <w:rPr>
          <w:rFonts w:ascii="Times New Roman" w:hAnsi="Times New Roman" w:cs="Times New Roman"/>
        </w:rPr>
        <w:t>0</w:t>
      </w:r>
      <w:r w:rsidR="00DD31C6" w:rsidRPr="00990234">
        <w:rPr>
          <w:rFonts w:ascii="Times New Roman" w:hAnsi="Times New Roman" w:cs="Times New Roman"/>
        </w:rPr>
        <w:t>1</w:t>
      </w:r>
      <w:r w:rsidR="00835190" w:rsidRPr="00990234">
        <w:rPr>
          <w:rFonts w:ascii="Times New Roman" w:hAnsi="Times New Roman" w:cs="Times New Roman"/>
        </w:rPr>
        <w:t xml:space="preserve">, cluster size </w:t>
      </w:r>
      <w:r w:rsidR="00DD31C6" w:rsidRPr="00990234">
        <w:rPr>
          <w:rFonts w:ascii="Times New Roman" w:hAnsi="Times New Roman" w:cs="Times New Roman"/>
        </w:rPr>
        <w:t>3582</w:t>
      </w:r>
      <w:r w:rsidR="00835190" w:rsidRPr="00990234">
        <w:rPr>
          <w:rFonts w:ascii="Times New Roman" w:hAnsi="Times New Roman" w:cs="Times New Roman"/>
        </w:rPr>
        <w:t xml:space="preserve"> voxels). </w:t>
      </w:r>
      <w:r w:rsidR="0007556F" w:rsidRPr="00990234">
        <w:rPr>
          <w:rFonts w:ascii="Times New Roman" w:hAnsi="Times New Roman" w:cs="Times New Roman"/>
        </w:rPr>
        <w:t xml:space="preserve">A similar result was obtained in </w:t>
      </w:r>
      <w:r w:rsidR="00F8678A" w:rsidRPr="00990234">
        <w:rPr>
          <w:rFonts w:ascii="Times New Roman" w:hAnsi="Times New Roman" w:cs="Times New Roman"/>
        </w:rPr>
        <w:t>s</w:t>
      </w:r>
      <w:r w:rsidR="00835190" w:rsidRPr="00990234">
        <w:rPr>
          <w:rFonts w:ascii="Times New Roman" w:hAnsi="Times New Roman" w:cs="Times New Roman"/>
        </w:rPr>
        <w:t xml:space="preserve">weet, </w:t>
      </w:r>
      <w:r w:rsidR="0007556F" w:rsidRPr="00990234">
        <w:rPr>
          <w:rFonts w:ascii="Times New Roman" w:hAnsi="Times New Roman" w:cs="Times New Roman"/>
        </w:rPr>
        <w:t xml:space="preserve">where </w:t>
      </w:r>
      <w:r w:rsidR="00835190" w:rsidRPr="00990234">
        <w:rPr>
          <w:rFonts w:ascii="Times New Roman" w:hAnsi="Times New Roman" w:cs="Times New Roman"/>
        </w:rPr>
        <w:t>a frontocentral cluster peak</w:t>
      </w:r>
      <w:r w:rsidR="0007556F" w:rsidRPr="00990234">
        <w:rPr>
          <w:rFonts w:ascii="Times New Roman" w:hAnsi="Times New Roman" w:cs="Times New Roman"/>
        </w:rPr>
        <w:t>ed</w:t>
      </w:r>
      <w:r w:rsidR="00835190" w:rsidRPr="00990234">
        <w:rPr>
          <w:rFonts w:ascii="Times New Roman" w:hAnsi="Times New Roman" w:cs="Times New Roman"/>
        </w:rPr>
        <w:t xml:space="preserve"> at 2</w:t>
      </w:r>
      <w:r w:rsidR="00591E2C" w:rsidRPr="00990234">
        <w:rPr>
          <w:rFonts w:ascii="Times New Roman" w:hAnsi="Times New Roman" w:cs="Times New Roman"/>
        </w:rPr>
        <w:t>20</w:t>
      </w:r>
      <w:r w:rsidR="00835190" w:rsidRPr="00990234">
        <w:rPr>
          <w:rFonts w:ascii="Times New Roman" w:hAnsi="Times New Roman" w:cs="Times New Roman"/>
        </w:rPr>
        <w:t xml:space="preserve">ms </w:t>
      </w:r>
      <w:r w:rsidR="0007556F" w:rsidRPr="00990234">
        <w:rPr>
          <w:rFonts w:ascii="Times New Roman" w:hAnsi="Times New Roman" w:cs="Times New Roman"/>
        </w:rPr>
        <w:t xml:space="preserve">and extended 200-265ms after the outcome cue </w:t>
      </w:r>
      <w:r w:rsidR="00835190" w:rsidRPr="00990234">
        <w:rPr>
          <w:rFonts w:ascii="Times New Roman" w:hAnsi="Times New Roman" w:cs="Times New Roman"/>
        </w:rPr>
        <w:t>(</w:t>
      </w:r>
      <w:r w:rsidR="00223395" w:rsidRPr="00990234">
        <w:rPr>
          <w:rFonts w:ascii="Times New Roman" w:hAnsi="Times New Roman" w:cs="Times New Roman"/>
        </w:rPr>
        <w:t xml:space="preserve">peak at C1, </w:t>
      </w:r>
      <w:r w:rsidR="00223395" w:rsidRPr="00990234">
        <w:rPr>
          <w:rFonts w:ascii="Times New Roman" w:hAnsi="Times New Roman" w:cs="Times New Roman"/>
          <w:i/>
        </w:rPr>
        <w:t>x</w:t>
      </w:r>
      <w:r w:rsidR="00223395" w:rsidRPr="00990234">
        <w:rPr>
          <w:rFonts w:ascii="Times New Roman" w:hAnsi="Times New Roman" w:cs="Times New Roman"/>
        </w:rPr>
        <w:t xml:space="preserve"> = -17.00, </w:t>
      </w:r>
      <w:r w:rsidR="00223395" w:rsidRPr="00990234">
        <w:rPr>
          <w:rFonts w:ascii="Times New Roman" w:hAnsi="Times New Roman" w:cs="Times New Roman"/>
          <w:i/>
        </w:rPr>
        <w:t>y</w:t>
      </w:r>
      <w:r w:rsidR="00223395" w:rsidRPr="00990234">
        <w:rPr>
          <w:rFonts w:ascii="Times New Roman" w:hAnsi="Times New Roman" w:cs="Times New Roman"/>
        </w:rPr>
        <w:t xml:space="preserve"> = -3.25, cluster </w:t>
      </w:r>
      <w:r w:rsidR="00835190" w:rsidRPr="00990234">
        <w:rPr>
          <w:rFonts w:ascii="Times New Roman" w:hAnsi="Times New Roman" w:cs="Times New Roman"/>
          <w:i/>
        </w:rPr>
        <w:t>p</w:t>
      </w:r>
      <w:r w:rsidR="00835190" w:rsidRPr="00990234">
        <w:rPr>
          <w:rFonts w:ascii="Times New Roman" w:hAnsi="Times New Roman" w:cs="Times New Roman"/>
        </w:rPr>
        <w:t xml:space="preserve"> (FWE) =</w:t>
      </w:r>
      <w:r w:rsidR="004557F5" w:rsidRPr="00990234">
        <w:rPr>
          <w:rFonts w:ascii="Times New Roman" w:hAnsi="Times New Roman" w:cs="Times New Roman"/>
        </w:rPr>
        <w:t xml:space="preserve"> </w:t>
      </w:r>
      <w:r w:rsidR="00835190" w:rsidRPr="00990234">
        <w:rPr>
          <w:rFonts w:ascii="Times New Roman" w:hAnsi="Times New Roman" w:cs="Times New Roman"/>
        </w:rPr>
        <w:t>.0</w:t>
      </w:r>
      <w:r w:rsidR="00591E2C" w:rsidRPr="00990234">
        <w:rPr>
          <w:rFonts w:ascii="Times New Roman" w:hAnsi="Times New Roman" w:cs="Times New Roman"/>
        </w:rPr>
        <w:t>0</w:t>
      </w:r>
      <w:r w:rsidR="00835190" w:rsidRPr="00990234">
        <w:rPr>
          <w:rFonts w:ascii="Times New Roman" w:hAnsi="Times New Roman" w:cs="Times New Roman"/>
        </w:rPr>
        <w:t xml:space="preserve">1, cluster size </w:t>
      </w:r>
      <w:r w:rsidR="00DD31C6" w:rsidRPr="00990234">
        <w:rPr>
          <w:rFonts w:ascii="Times New Roman" w:hAnsi="Times New Roman" w:cs="Times New Roman"/>
        </w:rPr>
        <w:t>2181</w:t>
      </w:r>
      <w:r w:rsidR="00835190" w:rsidRPr="00990234">
        <w:rPr>
          <w:rFonts w:ascii="Times New Roman" w:hAnsi="Times New Roman" w:cs="Times New Roman"/>
        </w:rPr>
        <w:t xml:space="preserve"> voxels)</w:t>
      </w:r>
      <w:r w:rsidR="0007556F" w:rsidRPr="00990234">
        <w:rPr>
          <w:rFonts w:ascii="Times New Roman" w:hAnsi="Times New Roman" w:cs="Times New Roman"/>
        </w:rPr>
        <w:t>.</w:t>
      </w:r>
      <w:r w:rsidR="00835190" w:rsidRPr="00990234">
        <w:rPr>
          <w:rFonts w:ascii="Times New Roman" w:hAnsi="Times New Roman" w:cs="Times New Roman"/>
        </w:rPr>
        <w:t xml:space="preserve"> </w:t>
      </w:r>
    </w:p>
    <w:p w:rsidR="00B27F01" w:rsidRPr="00990234" w:rsidRDefault="00B65C88" w:rsidP="00B27F01">
      <w:pPr>
        <w:spacing w:after="0" w:line="480" w:lineRule="auto"/>
        <w:ind w:right="-113" w:firstLine="720"/>
        <w:rPr>
          <w:rFonts w:ascii="Times New Roman" w:hAnsi="Times New Roman" w:cs="Times New Roman"/>
          <w:b/>
          <w:iCs/>
        </w:rPr>
      </w:pPr>
      <w:r w:rsidRPr="00990234">
        <w:rPr>
          <w:rFonts w:ascii="Times New Roman" w:hAnsi="Times New Roman" w:cs="Times New Roman"/>
          <w:b/>
          <w:iCs/>
        </w:rPr>
        <w:t>S</w:t>
      </w:r>
      <w:r w:rsidR="00936A18" w:rsidRPr="00990234">
        <w:rPr>
          <w:rFonts w:ascii="Times New Roman" w:hAnsi="Times New Roman" w:cs="Times New Roman"/>
          <w:b/>
          <w:iCs/>
        </w:rPr>
        <w:t>urprise s</w:t>
      </w:r>
      <w:r w:rsidR="00B27F01" w:rsidRPr="00990234">
        <w:rPr>
          <w:rFonts w:ascii="Times New Roman" w:hAnsi="Times New Roman" w:cs="Times New Roman"/>
          <w:b/>
          <w:iCs/>
        </w:rPr>
        <w:t>alience</w:t>
      </w:r>
    </w:p>
    <w:p w:rsidR="00B27F01" w:rsidRPr="00990234" w:rsidRDefault="00863ADA" w:rsidP="00880F02">
      <w:pPr>
        <w:spacing w:after="0" w:line="480" w:lineRule="auto"/>
        <w:ind w:right="-113" w:firstLine="720"/>
        <w:rPr>
          <w:rFonts w:ascii="Times New Roman" w:hAnsi="Times New Roman" w:cs="Times New Roman"/>
        </w:rPr>
      </w:pPr>
      <w:r w:rsidRPr="00990234">
        <w:rPr>
          <w:rFonts w:ascii="Times New Roman" w:hAnsi="Times New Roman" w:cs="Times New Roman"/>
        </w:rPr>
        <w:t xml:space="preserve">The analysis of the main effect of </w:t>
      </w:r>
      <w:r w:rsidR="00F8678A" w:rsidRPr="00990234">
        <w:rPr>
          <w:rFonts w:ascii="Times New Roman" w:hAnsi="Times New Roman" w:cs="Times New Roman"/>
        </w:rPr>
        <w:t>e</w:t>
      </w:r>
      <w:r w:rsidRPr="00990234">
        <w:rPr>
          <w:rFonts w:ascii="Times New Roman" w:hAnsi="Times New Roman" w:cs="Times New Roman"/>
        </w:rPr>
        <w:t xml:space="preserve">xpectancy in each taste was again masked exclusively by the interaction of outcome and expectancy. </w:t>
      </w:r>
      <w:r w:rsidR="002436B4" w:rsidRPr="00990234">
        <w:rPr>
          <w:rFonts w:ascii="Times New Roman" w:hAnsi="Times New Roman" w:cs="Times New Roman"/>
        </w:rPr>
        <w:t xml:space="preserve">In </w:t>
      </w:r>
      <w:r w:rsidR="00F8678A" w:rsidRPr="00990234">
        <w:rPr>
          <w:rFonts w:ascii="Times New Roman" w:hAnsi="Times New Roman" w:cs="Times New Roman"/>
        </w:rPr>
        <w:t>b</w:t>
      </w:r>
      <w:r w:rsidR="002436B4" w:rsidRPr="00990234">
        <w:rPr>
          <w:rFonts w:ascii="Times New Roman" w:hAnsi="Times New Roman" w:cs="Times New Roman"/>
        </w:rPr>
        <w:t xml:space="preserve">itter, the effect of expectancy </w:t>
      </w:r>
      <w:r w:rsidRPr="00990234">
        <w:rPr>
          <w:rFonts w:ascii="Times New Roman" w:hAnsi="Times New Roman" w:cs="Times New Roman"/>
        </w:rPr>
        <w:t xml:space="preserve">was expressed in </w:t>
      </w:r>
      <w:r w:rsidR="002436B4" w:rsidRPr="00990234">
        <w:rPr>
          <w:rFonts w:ascii="Times New Roman" w:hAnsi="Times New Roman" w:cs="Times New Roman"/>
        </w:rPr>
        <w:t xml:space="preserve">a frontocentral cluster peaking at 370ms </w:t>
      </w:r>
      <w:r w:rsidRPr="00990234">
        <w:rPr>
          <w:rFonts w:ascii="Times New Roman" w:hAnsi="Times New Roman" w:cs="Times New Roman"/>
        </w:rPr>
        <w:t>and extending 306-380ms,</w:t>
      </w:r>
      <w:r w:rsidR="002436B4" w:rsidRPr="00990234">
        <w:rPr>
          <w:rFonts w:ascii="Times New Roman" w:hAnsi="Times New Roman" w:cs="Times New Roman"/>
        </w:rPr>
        <w:t xml:space="preserve"> </w:t>
      </w:r>
      <w:r w:rsidRPr="00990234">
        <w:rPr>
          <w:rFonts w:ascii="Times New Roman" w:hAnsi="Times New Roman" w:cs="Times New Roman"/>
        </w:rPr>
        <w:t xml:space="preserve">where amplitude for </w:t>
      </w:r>
      <w:r w:rsidR="00F8678A" w:rsidRPr="00990234">
        <w:rPr>
          <w:rFonts w:ascii="Times New Roman" w:hAnsi="Times New Roman" w:cs="Times New Roman"/>
        </w:rPr>
        <w:t>u</w:t>
      </w:r>
      <w:r w:rsidR="002436B4" w:rsidRPr="00990234">
        <w:rPr>
          <w:rFonts w:ascii="Times New Roman" w:hAnsi="Times New Roman" w:cs="Times New Roman"/>
        </w:rPr>
        <w:t>nexpected</w:t>
      </w:r>
      <w:r w:rsidRPr="00990234">
        <w:rPr>
          <w:rFonts w:ascii="Times New Roman" w:hAnsi="Times New Roman" w:cs="Times New Roman"/>
        </w:rPr>
        <w:t xml:space="preserve"> outcomes was more positive than amplitude for </w:t>
      </w:r>
      <w:r w:rsidR="00F8678A" w:rsidRPr="00990234">
        <w:rPr>
          <w:rFonts w:ascii="Times New Roman" w:hAnsi="Times New Roman" w:cs="Times New Roman"/>
        </w:rPr>
        <w:t>e</w:t>
      </w:r>
      <w:r w:rsidR="002436B4" w:rsidRPr="00990234">
        <w:rPr>
          <w:rFonts w:ascii="Times New Roman" w:hAnsi="Times New Roman" w:cs="Times New Roman"/>
        </w:rPr>
        <w:t>xpected</w:t>
      </w:r>
      <w:r w:rsidRPr="00990234">
        <w:rPr>
          <w:rFonts w:ascii="Times New Roman" w:hAnsi="Times New Roman" w:cs="Times New Roman"/>
        </w:rPr>
        <w:t xml:space="preserve"> outcomes</w:t>
      </w:r>
      <w:r w:rsidR="002436B4" w:rsidRPr="00990234">
        <w:rPr>
          <w:rFonts w:ascii="Times New Roman" w:hAnsi="Times New Roman" w:cs="Times New Roman"/>
        </w:rPr>
        <w:t xml:space="preserve"> (</w:t>
      </w:r>
      <w:r w:rsidR="00880F02" w:rsidRPr="00990234">
        <w:rPr>
          <w:rFonts w:ascii="Times New Roman" w:hAnsi="Times New Roman" w:cs="Times New Roman"/>
        </w:rPr>
        <w:t xml:space="preserve">peak at FCz , </w:t>
      </w:r>
      <w:r w:rsidR="00880F02" w:rsidRPr="00990234">
        <w:rPr>
          <w:rFonts w:ascii="Times New Roman" w:hAnsi="Times New Roman" w:cs="Times New Roman"/>
          <w:i/>
        </w:rPr>
        <w:t>x</w:t>
      </w:r>
      <w:r w:rsidR="00880F02" w:rsidRPr="00990234">
        <w:rPr>
          <w:rFonts w:ascii="Times New Roman" w:hAnsi="Times New Roman" w:cs="Times New Roman"/>
        </w:rPr>
        <w:t xml:space="preserve"> = -8.50, </w:t>
      </w:r>
      <w:r w:rsidR="00880F02" w:rsidRPr="00990234">
        <w:rPr>
          <w:rFonts w:ascii="Times New Roman" w:hAnsi="Times New Roman" w:cs="Times New Roman"/>
          <w:i/>
        </w:rPr>
        <w:t>y</w:t>
      </w:r>
      <w:r w:rsidR="00880F02" w:rsidRPr="00990234">
        <w:rPr>
          <w:rFonts w:ascii="Times New Roman" w:hAnsi="Times New Roman" w:cs="Times New Roman"/>
        </w:rPr>
        <w:t xml:space="preserve"> = 7.50, cluster </w:t>
      </w:r>
      <w:r w:rsidR="002436B4" w:rsidRPr="00990234">
        <w:rPr>
          <w:rFonts w:ascii="Times New Roman" w:hAnsi="Times New Roman" w:cs="Times New Roman"/>
          <w:i/>
        </w:rPr>
        <w:t>p</w:t>
      </w:r>
      <w:r w:rsidR="002436B4" w:rsidRPr="00990234">
        <w:rPr>
          <w:rFonts w:ascii="Times New Roman" w:hAnsi="Times New Roman" w:cs="Times New Roman"/>
        </w:rPr>
        <w:t xml:space="preserve"> (FWE) &lt;.001, cluster size </w:t>
      </w:r>
      <w:r w:rsidR="00DD31C6" w:rsidRPr="00990234">
        <w:rPr>
          <w:rFonts w:ascii="Times New Roman" w:hAnsi="Times New Roman" w:cs="Times New Roman"/>
        </w:rPr>
        <w:t>2861</w:t>
      </w:r>
      <w:r w:rsidR="002436B4" w:rsidRPr="00990234">
        <w:rPr>
          <w:rFonts w:ascii="Times New Roman" w:hAnsi="Times New Roman" w:cs="Times New Roman"/>
        </w:rPr>
        <w:t xml:space="preserve"> voxels). </w:t>
      </w:r>
      <w:r w:rsidRPr="00990234">
        <w:rPr>
          <w:rFonts w:ascii="Times New Roman" w:hAnsi="Times New Roman" w:cs="Times New Roman"/>
        </w:rPr>
        <w:t>Again, a similar result was obtained i</w:t>
      </w:r>
      <w:r w:rsidR="002436B4" w:rsidRPr="00990234">
        <w:rPr>
          <w:rFonts w:ascii="Times New Roman" w:hAnsi="Times New Roman" w:cs="Times New Roman"/>
        </w:rPr>
        <w:t xml:space="preserve">n </w:t>
      </w:r>
      <w:r w:rsidR="00F8678A" w:rsidRPr="00990234">
        <w:rPr>
          <w:rFonts w:ascii="Times New Roman" w:hAnsi="Times New Roman" w:cs="Times New Roman"/>
        </w:rPr>
        <w:t>s</w:t>
      </w:r>
      <w:r w:rsidR="002436B4" w:rsidRPr="00990234">
        <w:rPr>
          <w:rFonts w:ascii="Times New Roman" w:hAnsi="Times New Roman" w:cs="Times New Roman"/>
        </w:rPr>
        <w:t>weet,</w:t>
      </w:r>
      <w:r w:rsidRPr="00990234">
        <w:rPr>
          <w:rFonts w:ascii="Times New Roman" w:hAnsi="Times New Roman" w:cs="Times New Roman"/>
        </w:rPr>
        <w:t xml:space="preserve"> where </w:t>
      </w:r>
      <w:r w:rsidR="002436B4" w:rsidRPr="00990234">
        <w:rPr>
          <w:rFonts w:ascii="Times New Roman" w:hAnsi="Times New Roman" w:cs="Times New Roman"/>
        </w:rPr>
        <w:t>the effect of expectancy yielded a frontocentral cluster peaking at 375ms (</w:t>
      </w:r>
      <w:r w:rsidR="00880F02" w:rsidRPr="00990234">
        <w:rPr>
          <w:rFonts w:ascii="Times New Roman" w:hAnsi="Times New Roman" w:cs="Times New Roman"/>
        </w:rPr>
        <w:t xml:space="preserve">peak at C1, </w:t>
      </w:r>
      <w:r w:rsidR="00880F02" w:rsidRPr="00990234">
        <w:rPr>
          <w:rFonts w:ascii="Times New Roman" w:hAnsi="Times New Roman" w:cs="Times New Roman"/>
          <w:i/>
        </w:rPr>
        <w:t>x</w:t>
      </w:r>
      <w:r w:rsidR="00BC144D" w:rsidRPr="00990234">
        <w:rPr>
          <w:rFonts w:ascii="Times New Roman" w:hAnsi="Times New Roman" w:cs="Times New Roman"/>
        </w:rPr>
        <w:t xml:space="preserve"> </w:t>
      </w:r>
      <w:r w:rsidR="00880F02" w:rsidRPr="00990234">
        <w:rPr>
          <w:rFonts w:ascii="Times New Roman" w:hAnsi="Times New Roman" w:cs="Times New Roman"/>
        </w:rPr>
        <w:t xml:space="preserve">= -8.5, </w:t>
      </w:r>
      <w:r w:rsidR="00880F02" w:rsidRPr="00990234">
        <w:rPr>
          <w:rFonts w:ascii="Times New Roman" w:hAnsi="Times New Roman" w:cs="Times New Roman"/>
          <w:i/>
        </w:rPr>
        <w:t>y</w:t>
      </w:r>
      <w:r w:rsidR="00880F02" w:rsidRPr="00990234">
        <w:rPr>
          <w:rFonts w:ascii="Times New Roman" w:hAnsi="Times New Roman" w:cs="Times New Roman"/>
        </w:rPr>
        <w:t xml:space="preserve"> = -3.25, 309-380ms, cluster </w:t>
      </w:r>
      <w:r w:rsidR="002436B4" w:rsidRPr="00990234">
        <w:rPr>
          <w:rFonts w:ascii="Times New Roman" w:hAnsi="Times New Roman" w:cs="Times New Roman"/>
          <w:i/>
        </w:rPr>
        <w:t>p</w:t>
      </w:r>
      <w:r w:rsidR="002436B4" w:rsidRPr="00990234">
        <w:rPr>
          <w:rFonts w:ascii="Times New Roman" w:hAnsi="Times New Roman" w:cs="Times New Roman"/>
        </w:rPr>
        <w:t xml:space="preserve"> (FWE) </w:t>
      </w:r>
      <w:r w:rsidR="00DD31C6" w:rsidRPr="00990234">
        <w:rPr>
          <w:rFonts w:ascii="Times New Roman" w:hAnsi="Times New Roman" w:cs="Times New Roman"/>
        </w:rPr>
        <w:t>&lt;</w:t>
      </w:r>
      <w:r w:rsidR="002436B4" w:rsidRPr="00990234">
        <w:rPr>
          <w:rFonts w:ascii="Times New Roman" w:hAnsi="Times New Roman" w:cs="Times New Roman"/>
        </w:rPr>
        <w:t>.00</w:t>
      </w:r>
      <w:r w:rsidR="0097778E" w:rsidRPr="00990234">
        <w:rPr>
          <w:rFonts w:ascii="Times New Roman" w:hAnsi="Times New Roman" w:cs="Times New Roman"/>
        </w:rPr>
        <w:t>1</w:t>
      </w:r>
      <w:r w:rsidR="002436B4" w:rsidRPr="00990234">
        <w:rPr>
          <w:rFonts w:ascii="Times New Roman" w:hAnsi="Times New Roman" w:cs="Times New Roman"/>
        </w:rPr>
        <w:t xml:space="preserve">, cluster size </w:t>
      </w:r>
      <w:r w:rsidR="00DD31C6" w:rsidRPr="00990234">
        <w:rPr>
          <w:rFonts w:ascii="Times New Roman" w:hAnsi="Times New Roman" w:cs="Times New Roman"/>
        </w:rPr>
        <w:t>2525</w:t>
      </w:r>
      <w:r w:rsidR="002436B4" w:rsidRPr="00990234">
        <w:rPr>
          <w:rFonts w:ascii="Times New Roman" w:hAnsi="Times New Roman" w:cs="Times New Roman"/>
        </w:rPr>
        <w:t xml:space="preserve"> voxels).</w:t>
      </w:r>
    </w:p>
    <w:p w:rsidR="007E6658" w:rsidRPr="00990234" w:rsidRDefault="007E6658" w:rsidP="007E6658">
      <w:pPr>
        <w:spacing w:after="0" w:line="480" w:lineRule="auto"/>
        <w:ind w:right="-113" w:firstLine="720"/>
        <w:rPr>
          <w:rFonts w:ascii="Times New Roman" w:hAnsi="Times New Roman" w:cs="Times New Roman"/>
          <w:b/>
          <w:iCs/>
        </w:rPr>
      </w:pPr>
      <w:r w:rsidRPr="00990234">
        <w:rPr>
          <w:rFonts w:ascii="Times New Roman" w:hAnsi="Times New Roman" w:cs="Times New Roman"/>
          <w:b/>
          <w:iCs/>
        </w:rPr>
        <w:t>Analysis across tastes</w:t>
      </w:r>
    </w:p>
    <w:p w:rsidR="007E6658" w:rsidRPr="00990234" w:rsidRDefault="007E6658" w:rsidP="007E6658">
      <w:pPr>
        <w:spacing w:after="0" w:line="480" w:lineRule="auto"/>
        <w:ind w:right="-113" w:firstLine="720"/>
        <w:rPr>
          <w:rFonts w:ascii="Times New Roman" w:hAnsi="Times New Roman" w:cs="Times New Roman"/>
        </w:rPr>
      </w:pPr>
      <w:r w:rsidRPr="00990234">
        <w:rPr>
          <w:rFonts w:ascii="Times New Roman" w:hAnsi="Times New Roman" w:cs="Times New Roman"/>
        </w:rPr>
        <w:t xml:space="preserve">The analyses above yielded a number of similarities across tastes which are explored here with a more comprehensive model, including </w:t>
      </w:r>
      <w:r w:rsidR="00BE4A0D" w:rsidRPr="00990234">
        <w:rPr>
          <w:rFonts w:ascii="Times New Roman" w:hAnsi="Times New Roman" w:cs="Times New Roman"/>
        </w:rPr>
        <w:t>t</w:t>
      </w:r>
      <w:r w:rsidRPr="00990234">
        <w:rPr>
          <w:rFonts w:ascii="Times New Roman" w:hAnsi="Times New Roman" w:cs="Times New Roman"/>
        </w:rPr>
        <w:t xml:space="preserve">aste as an additional within-subject factor. Although the Outcome-by-expectancy interaction was of different magnitudes in </w:t>
      </w:r>
      <w:r w:rsidR="00F8678A" w:rsidRPr="00990234">
        <w:rPr>
          <w:rFonts w:ascii="Times New Roman" w:hAnsi="Times New Roman" w:cs="Times New Roman"/>
        </w:rPr>
        <w:t>b</w:t>
      </w:r>
      <w:r w:rsidRPr="00990234">
        <w:rPr>
          <w:rFonts w:ascii="Times New Roman" w:hAnsi="Times New Roman" w:cs="Times New Roman"/>
        </w:rPr>
        <w:t xml:space="preserve">itter and </w:t>
      </w:r>
      <w:r w:rsidR="00F8678A" w:rsidRPr="00990234">
        <w:rPr>
          <w:rFonts w:ascii="Times New Roman" w:hAnsi="Times New Roman" w:cs="Times New Roman"/>
        </w:rPr>
        <w:t>s</w:t>
      </w:r>
      <w:r w:rsidRPr="00990234">
        <w:rPr>
          <w:rFonts w:ascii="Times New Roman" w:hAnsi="Times New Roman" w:cs="Times New Roman"/>
        </w:rPr>
        <w:t xml:space="preserve">weet, the three-way interaction between </w:t>
      </w:r>
      <w:r w:rsidR="00BE4A0D" w:rsidRPr="00990234">
        <w:rPr>
          <w:rFonts w:ascii="Times New Roman" w:hAnsi="Times New Roman" w:cs="Times New Roman"/>
        </w:rPr>
        <w:t>o</w:t>
      </w:r>
      <w:r w:rsidRPr="00990234">
        <w:rPr>
          <w:rFonts w:ascii="Times New Roman" w:hAnsi="Times New Roman" w:cs="Times New Roman"/>
        </w:rPr>
        <w:t xml:space="preserve">utcome, </w:t>
      </w:r>
      <w:r w:rsidR="00BE4A0D" w:rsidRPr="00990234">
        <w:rPr>
          <w:rFonts w:ascii="Times New Roman" w:hAnsi="Times New Roman" w:cs="Times New Roman"/>
        </w:rPr>
        <w:t>e</w:t>
      </w:r>
      <w:r w:rsidRPr="00990234">
        <w:rPr>
          <w:rFonts w:ascii="Times New Roman" w:hAnsi="Times New Roman" w:cs="Times New Roman"/>
        </w:rPr>
        <w:t xml:space="preserve">xpectancy, and </w:t>
      </w:r>
      <w:r w:rsidR="00BE4A0D" w:rsidRPr="00990234">
        <w:rPr>
          <w:rFonts w:ascii="Times New Roman" w:hAnsi="Times New Roman" w:cs="Times New Roman"/>
        </w:rPr>
        <w:t>t</w:t>
      </w:r>
      <w:r w:rsidRPr="00990234">
        <w:rPr>
          <w:rFonts w:ascii="Times New Roman" w:hAnsi="Times New Roman" w:cs="Times New Roman"/>
        </w:rPr>
        <w:t xml:space="preserve">aste was not significant. The two-way </w:t>
      </w:r>
      <w:r w:rsidR="00F8678A" w:rsidRPr="00990234">
        <w:rPr>
          <w:rFonts w:ascii="Times New Roman" w:hAnsi="Times New Roman" w:cs="Times New Roman"/>
        </w:rPr>
        <w:t>o</w:t>
      </w:r>
      <w:r w:rsidRPr="00990234">
        <w:rPr>
          <w:rFonts w:ascii="Times New Roman" w:hAnsi="Times New Roman" w:cs="Times New Roman"/>
        </w:rPr>
        <w:t>utcome-by-</w:t>
      </w:r>
      <w:r w:rsidR="00F8678A" w:rsidRPr="00990234">
        <w:rPr>
          <w:rFonts w:ascii="Times New Roman" w:hAnsi="Times New Roman" w:cs="Times New Roman"/>
        </w:rPr>
        <w:lastRenderedPageBreak/>
        <w:t>e</w:t>
      </w:r>
      <w:r w:rsidRPr="00990234">
        <w:rPr>
          <w:rFonts w:ascii="Times New Roman" w:hAnsi="Times New Roman" w:cs="Times New Roman"/>
        </w:rPr>
        <w:t xml:space="preserve">xpectancy interaction (across </w:t>
      </w:r>
      <w:r w:rsidR="00F8678A" w:rsidRPr="00990234">
        <w:rPr>
          <w:rFonts w:ascii="Times New Roman" w:hAnsi="Times New Roman" w:cs="Times New Roman"/>
        </w:rPr>
        <w:t>b</w:t>
      </w:r>
      <w:r w:rsidRPr="00990234">
        <w:rPr>
          <w:rFonts w:ascii="Times New Roman" w:hAnsi="Times New Roman" w:cs="Times New Roman"/>
        </w:rPr>
        <w:t xml:space="preserve">itter and </w:t>
      </w:r>
      <w:r w:rsidR="00F8678A" w:rsidRPr="00990234">
        <w:rPr>
          <w:rFonts w:ascii="Times New Roman" w:hAnsi="Times New Roman" w:cs="Times New Roman"/>
        </w:rPr>
        <w:t>s</w:t>
      </w:r>
      <w:r w:rsidRPr="00990234">
        <w:rPr>
          <w:rFonts w:ascii="Times New Roman" w:hAnsi="Times New Roman" w:cs="Times New Roman"/>
        </w:rPr>
        <w:t xml:space="preserve">weet tastes) yielded a frontocentral cluster peaking at 285ms which extended 273-317ms after the outcome cue (peak at C2, </w:t>
      </w:r>
      <w:r w:rsidRPr="00990234">
        <w:rPr>
          <w:rFonts w:ascii="Times New Roman" w:hAnsi="Times New Roman" w:cs="Times New Roman"/>
          <w:i/>
        </w:rPr>
        <w:t>p</w:t>
      </w:r>
      <w:r w:rsidR="00BC144D" w:rsidRPr="00990234">
        <w:rPr>
          <w:rFonts w:ascii="Times New Roman" w:hAnsi="Times New Roman" w:cs="Times New Roman"/>
          <w:i/>
        </w:rPr>
        <w:t xml:space="preserve"> </w:t>
      </w:r>
      <w:r w:rsidRPr="00990234">
        <w:rPr>
          <w:rFonts w:ascii="Times New Roman" w:hAnsi="Times New Roman" w:cs="Times New Roman"/>
        </w:rPr>
        <w:t>&lt;</w:t>
      </w:r>
      <w:r w:rsidR="004557F5" w:rsidRPr="00990234">
        <w:rPr>
          <w:rFonts w:ascii="Times New Roman" w:hAnsi="Times New Roman" w:cs="Times New Roman"/>
        </w:rPr>
        <w:t xml:space="preserve"> </w:t>
      </w:r>
      <w:r w:rsidRPr="00990234">
        <w:rPr>
          <w:rFonts w:ascii="Times New Roman" w:hAnsi="Times New Roman" w:cs="Times New Roman"/>
        </w:rPr>
        <w:t xml:space="preserve">.001, </w:t>
      </w:r>
      <w:r w:rsidRPr="00990234">
        <w:rPr>
          <w:rFonts w:ascii="Times New Roman" w:hAnsi="Times New Roman" w:cs="Times New Roman"/>
          <w:i/>
        </w:rPr>
        <w:t>x</w:t>
      </w:r>
      <w:r w:rsidRPr="00990234">
        <w:rPr>
          <w:rFonts w:ascii="Times New Roman" w:hAnsi="Times New Roman" w:cs="Times New Roman"/>
        </w:rPr>
        <w:t xml:space="preserve"> = 21.25, </w:t>
      </w:r>
      <w:r w:rsidRPr="00990234">
        <w:rPr>
          <w:rFonts w:ascii="Times New Roman" w:hAnsi="Times New Roman" w:cs="Times New Roman"/>
          <w:i/>
        </w:rPr>
        <w:t>y</w:t>
      </w:r>
      <w:r w:rsidRPr="00990234">
        <w:rPr>
          <w:rFonts w:ascii="Times New Roman" w:hAnsi="Times New Roman" w:cs="Times New Roman"/>
        </w:rPr>
        <w:t xml:space="preserve"> = -3.25). While significant, this activation did not survive our conservative correction for multiple comparisons; this is clearly because the weak interaction in </w:t>
      </w:r>
      <w:r w:rsidR="00F8678A" w:rsidRPr="00990234">
        <w:rPr>
          <w:rFonts w:ascii="Times New Roman" w:hAnsi="Times New Roman" w:cs="Times New Roman"/>
        </w:rPr>
        <w:t>s</w:t>
      </w:r>
      <w:r w:rsidRPr="00990234">
        <w:rPr>
          <w:rFonts w:ascii="Times New Roman" w:hAnsi="Times New Roman" w:cs="Times New Roman"/>
        </w:rPr>
        <w:t xml:space="preserve">weet attenuated the highly significant interaction in </w:t>
      </w:r>
      <w:r w:rsidR="00F8678A" w:rsidRPr="00990234">
        <w:rPr>
          <w:rFonts w:ascii="Times New Roman" w:hAnsi="Times New Roman" w:cs="Times New Roman"/>
        </w:rPr>
        <w:t>b</w:t>
      </w:r>
      <w:r w:rsidRPr="00990234">
        <w:rPr>
          <w:rFonts w:ascii="Times New Roman" w:hAnsi="Times New Roman" w:cs="Times New Roman"/>
        </w:rPr>
        <w:t xml:space="preserve">itter. The main effect of outcome, masked exclusively by the interaction of outcome and expectancy, yielded a frontocentral cluster peaking at 220ms and extending 200-342ms after the outcome cue (peak at C1, </w:t>
      </w:r>
      <w:r w:rsidRPr="00990234">
        <w:rPr>
          <w:rFonts w:ascii="Times New Roman" w:hAnsi="Times New Roman" w:cs="Times New Roman"/>
          <w:i/>
        </w:rPr>
        <w:t>x</w:t>
      </w:r>
      <w:r w:rsidRPr="00990234">
        <w:rPr>
          <w:rFonts w:ascii="Times New Roman" w:hAnsi="Times New Roman" w:cs="Times New Roman"/>
        </w:rPr>
        <w:t xml:space="preserve"> = -21.25, </w:t>
      </w:r>
      <w:r w:rsidRPr="00990234">
        <w:rPr>
          <w:rFonts w:ascii="Times New Roman" w:hAnsi="Times New Roman" w:cs="Times New Roman"/>
          <w:i/>
        </w:rPr>
        <w:t>y</w:t>
      </w:r>
      <w:r w:rsidRPr="00990234">
        <w:rPr>
          <w:rFonts w:ascii="Times New Roman" w:hAnsi="Times New Roman" w:cs="Times New Roman"/>
        </w:rPr>
        <w:t xml:space="preserve"> = -3.25, cluster </w:t>
      </w:r>
      <w:r w:rsidRPr="00990234">
        <w:rPr>
          <w:rFonts w:ascii="Times New Roman" w:hAnsi="Times New Roman" w:cs="Times New Roman"/>
          <w:i/>
        </w:rPr>
        <w:t>p</w:t>
      </w:r>
      <w:r w:rsidRPr="00990234">
        <w:rPr>
          <w:rFonts w:ascii="Times New Roman" w:hAnsi="Times New Roman" w:cs="Times New Roman"/>
        </w:rPr>
        <w:t xml:space="preserve"> (FWE) &lt;</w:t>
      </w:r>
      <w:r w:rsidR="004557F5" w:rsidRPr="00990234">
        <w:rPr>
          <w:rFonts w:ascii="Times New Roman" w:hAnsi="Times New Roman" w:cs="Times New Roman"/>
        </w:rPr>
        <w:t xml:space="preserve"> </w:t>
      </w:r>
      <w:r w:rsidRPr="00990234">
        <w:rPr>
          <w:rFonts w:ascii="Times New Roman" w:hAnsi="Times New Roman" w:cs="Times New Roman"/>
        </w:rPr>
        <w:t xml:space="preserve">.001, cluster size 4168 voxels). </w:t>
      </w:r>
      <w:r w:rsidRPr="00990234">
        <w:rPr>
          <w:rFonts w:ascii="Times New Roman" w:hAnsi="Times New Roman" w:cs="Times New Roman"/>
          <w:noProof/>
          <w:lang w:eastAsia="en-GB"/>
        </w:rPr>
        <w:t>The main effect of expectancy masked exclusively by the interaction of outcome and expectancy yielded a frontocentral cluster peaking at 370ms and</w:t>
      </w:r>
      <w:r w:rsidRPr="00990234">
        <w:rPr>
          <w:rFonts w:ascii="Times New Roman" w:hAnsi="Times New Roman" w:cs="Times New Roman"/>
        </w:rPr>
        <w:t xml:space="preserve"> extending 203-380ms after the outcome cue</w:t>
      </w:r>
      <w:r w:rsidRPr="00990234">
        <w:rPr>
          <w:rFonts w:ascii="Times New Roman" w:hAnsi="Times New Roman" w:cs="Times New Roman"/>
          <w:noProof/>
          <w:lang w:eastAsia="en-GB"/>
        </w:rPr>
        <w:t xml:space="preserve"> </w:t>
      </w:r>
      <w:r w:rsidRPr="00990234">
        <w:rPr>
          <w:rFonts w:ascii="Times New Roman" w:hAnsi="Times New Roman" w:cs="Times New Roman"/>
        </w:rPr>
        <w:t xml:space="preserve">(peak </w:t>
      </w:r>
      <w:r w:rsidRPr="00990234">
        <w:rPr>
          <w:rFonts w:ascii="Times New Roman" w:hAnsi="Times New Roman" w:cs="Times New Roman"/>
          <w:noProof/>
          <w:lang w:eastAsia="en-GB"/>
        </w:rPr>
        <w:t xml:space="preserve">at FCz , </w:t>
      </w:r>
      <w:r w:rsidRPr="00990234">
        <w:rPr>
          <w:rFonts w:ascii="Times New Roman" w:hAnsi="Times New Roman" w:cs="Times New Roman"/>
          <w:i/>
        </w:rPr>
        <w:t>x</w:t>
      </w:r>
      <w:r w:rsidRPr="00990234">
        <w:rPr>
          <w:rFonts w:ascii="Times New Roman" w:hAnsi="Times New Roman" w:cs="Times New Roman"/>
        </w:rPr>
        <w:t xml:space="preserve"> = -4.25, </w:t>
      </w:r>
      <w:r w:rsidRPr="00990234">
        <w:rPr>
          <w:rFonts w:ascii="Times New Roman" w:hAnsi="Times New Roman" w:cs="Times New Roman"/>
          <w:i/>
        </w:rPr>
        <w:t>y</w:t>
      </w:r>
      <w:r w:rsidRPr="00990234">
        <w:rPr>
          <w:rFonts w:ascii="Times New Roman" w:hAnsi="Times New Roman" w:cs="Times New Roman"/>
        </w:rPr>
        <w:t xml:space="preserve"> = 2.13, </w:t>
      </w:r>
      <w:r w:rsidRPr="00990234">
        <w:rPr>
          <w:rFonts w:ascii="Times New Roman" w:hAnsi="Times New Roman" w:cs="Times New Roman"/>
          <w:noProof/>
          <w:lang w:eastAsia="en-GB"/>
        </w:rPr>
        <w:t xml:space="preserve">cluster </w:t>
      </w:r>
      <w:r w:rsidRPr="00990234">
        <w:rPr>
          <w:rFonts w:ascii="Times New Roman" w:hAnsi="Times New Roman" w:cs="Times New Roman"/>
          <w:i/>
        </w:rPr>
        <w:t>p</w:t>
      </w:r>
      <w:r w:rsidRPr="00990234">
        <w:rPr>
          <w:rFonts w:ascii="Times New Roman" w:hAnsi="Times New Roman" w:cs="Times New Roman"/>
        </w:rPr>
        <w:t xml:space="preserve"> (FWE) &lt;</w:t>
      </w:r>
      <w:r w:rsidR="004557F5" w:rsidRPr="00990234">
        <w:rPr>
          <w:rFonts w:ascii="Times New Roman" w:hAnsi="Times New Roman" w:cs="Times New Roman"/>
        </w:rPr>
        <w:t xml:space="preserve"> </w:t>
      </w:r>
      <w:r w:rsidRPr="00990234">
        <w:rPr>
          <w:rFonts w:ascii="Times New Roman" w:hAnsi="Times New Roman" w:cs="Times New Roman"/>
        </w:rPr>
        <w:t>.001, cluster size 3902 voxels).</w:t>
      </w:r>
      <w:bookmarkStart w:id="2" w:name="_GoBack"/>
      <w:bookmarkEnd w:id="2"/>
    </w:p>
    <w:p w:rsidR="00A45901" w:rsidRPr="00990234" w:rsidRDefault="00A45901" w:rsidP="00EC553A">
      <w:pPr>
        <w:spacing w:after="0" w:line="480" w:lineRule="auto"/>
        <w:ind w:right="-113" w:firstLine="720"/>
        <w:jc w:val="center"/>
        <w:rPr>
          <w:rFonts w:ascii="Times New Roman" w:hAnsi="Times New Roman" w:cs="Times New Roman"/>
          <w:b/>
          <w:sz w:val="28"/>
          <w:szCs w:val="28"/>
          <w:u w:val="single"/>
        </w:rPr>
      </w:pPr>
      <w:r w:rsidRPr="00990234">
        <w:rPr>
          <w:rFonts w:ascii="Times New Roman" w:hAnsi="Times New Roman" w:cs="Times New Roman"/>
          <w:b/>
          <w:sz w:val="28"/>
          <w:szCs w:val="28"/>
          <w:u w:val="single"/>
        </w:rPr>
        <w:t>Discussion</w:t>
      </w:r>
    </w:p>
    <w:p w:rsidR="00A45901" w:rsidRPr="00990234" w:rsidRDefault="00A45901" w:rsidP="00D154A9">
      <w:pPr>
        <w:spacing w:after="0" w:line="480" w:lineRule="auto"/>
        <w:ind w:right="-113" w:firstLine="720"/>
        <w:contextualSpacing/>
        <w:rPr>
          <w:rFonts w:ascii="Times New Roman" w:hAnsi="Times New Roman" w:cs="Times New Roman"/>
          <w:szCs w:val="20"/>
        </w:rPr>
      </w:pPr>
      <w:r w:rsidRPr="00990234">
        <w:rPr>
          <w:rFonts w:ascii="Times New Roman" w:hAnsi="Times New Roman" w:cs="Times New Roman"/>
        </w:rPr>
        <w:t>This</w:t>
      </w:r>
      <w:r w:rsidRPr="00990234">
        <w:rPr>
          <w:rFonts w:ascii="Times New Roman" w:hAnsi="Times New Roman" w:cs="Times New Roman"/>
          <w:szCs w:val="20"/>
        </w:rPr>
        <w:t xml:space="preserve"> is the first study to characterise ERP expression of prediction error using taste, thus bridging a gap between human EEG studies on reinforcement learning and those carried out in animal models </w:t>
      </w:r>
      <w:r w:rsidRPr="00990234">
        <w:rPr>
          <w:rFonts w:ascii="Times New Roman" w:hAnsi="Times New Roman" w:cs="Times New Roman"/>
          <w:szCs w:val="20"/>
        </w:rPr>
        <w:fldChar w:fldCharType="begin" w:fldLock="1"/>
      </w:r>
      <w:r w:rsidR="00843A57" w:rsidRPr="00990234">
        <w:rPr>
          <w:rFonts w:ascii="Times New Roman" w:hAnsi="Times New Roman" w:cs="Times New Roman"/>
          <w:szCs w:val="20"/>
        </w:rPr>
        <w:instrText>ADDIN CSL_CITATION { "citationItems" : [ { "id" : "ITEM-1", "itemData" : { "DOI" : "10.1037/0033-295X.109.4.679.", "ISBN" : "1939-1471", "author" : [ { "dropping-particle" : "", "family" : "Holroyd", "given" : "", "non-dropping-particle" : "", "parse-names" : false, "suffix" : "" }, { "dropping-particle" : "", "family" : "Coles", "given" : "Michael", "non-dropping-particle" : "", "parse-names" : false, "suffix" : "" } ], "container-title" : "Psychological Review", "id" : "ITEM-1", "issue" : "4", "issued" : { "date-parts" : [ [ "2002" ] ] }, "page" : "679", "title" : "The neural basis of human error processing: reinforcement learning, dopamine, and the error-related negativity", "type" : "article-journal", "volume" : "109" }, "uris" : [ "http://www.mendeley.com/documents/?uuid=07a7dfcc-fc29-49af-acb6-9367fe421883" ] }, { "id" : "ITEM-2", "itemData" : { "DOI" : "10.1126/science.275.5306.1593", "ISBN" : "0036-8075", "ISSN" : "00368075", "PMID" : "9054347", "abstract" : "The capacity to predict future events permits a creature to detect, model, and manipulate the causal structure of its interactions with its environment. Behavioral experiments suggest that learning is driven by changes in the expectations about future salient events such as rewards and punishments. Physiological work has recently complemented these studies by identifying dopaminergic neurons in the primate whose fluctuating output apparently signals changes or errors in the predictions of future salient and rewarding events. Taken together, these findings can be understood through quantitative theories of adaptive optimizing control.", "author" : [ { "dropping-particle" : "", "family" : "Schultz", "given" : "W", "non-dropping-particle" : "", "parse-names" : false, "suffix" : "" }, { "dropping-particle" : "", "family" : "Dayan", "given" : "P", "non-dropping-particle" : "", "parse-names" : false, "suffix" : "" }, { "dropping-particle" : "", "family" : "Montague", "given" : "P R", "non-dropping-particle" : "", "parse-names" : false, "suffix" : "" } ], "container-title" : "Science (New York, N.Y.)", "id" : "ITEM-2", "issue" : "5306", "issued" : { "date-parts" : [ [ "1997" ] ] }, "note" : "good summary of DA actvity and TDL.", "page" : "1593-1599", "title" : "A neural substrate of prediction and reward.", "type" : "article-journal", "volume" : "275" }, "uris" : [ "http://www.mendeley.com/documents/?uuid=d89e423f-6808-4a02-b5ae-f8e176b8d488" ] } ], "mendeley" : { "formattedCitation" : "(Holroyd &amp; Coles, 2002; W Schultz, Dayan, &amp; Montague, 1997)", "manualFormatting" : "(Holroyd &amp; Coles, 2002; Schultz, Dayan, &amp; Montague, 1997)", "plainTextFormattedCitation" : "(Holroyd &amp; Coles, 2002; W Schultz, Dayan, &amp; Montague, 1997)", "previouslyFormattedCitation" : "(Holroyd &amp; Coles, 2002; W Schultz, Dayan, &amp; Montague, 1997)" }, "properties" : { "noteIndex" : 0 }, "schema" : "https://github.com/citation-style-language/schema/raw/master/csl-citation.json" }</w:instrText>
      </w:r>
      <w:r w:rsidRPr="00990234">
        <w:rPr>
          <w:rFonts w:ascii="Times New Roman" w:hAnsi="Times New Roman" w:cs="Times New Roman"/>
          <w:szCs w:val="20"/>
        </w:rPr>
        <w:fldChar w:fldCharType="separate"/>
      </w:r>
      <w:r w:rsidRPr="00990234">
        <w:rPr>
          <w:rFonts w:ascii="Times New Roman" w:hAnsi="Times New Roman" w:cs="Times New Roman"/>
          <w:noProof/>
          <w:szCs w:val="20"/>
        </w:rPr>
        <w:t>(Holroyd &amp; Coles, 2002; Schultz, Dayan, &amp; Montague, 1997)</w:t>
      </w:r>
      <w:r w:rsidRPr="00990234">
        <w:rPr>
          <w:rFonts w:ascii="Times New Roman" w:hAnsi="Times New Roman" w:cs="Times New Roman"/>
          <w:szCs w:val="20"/>
        </w:rPr>
        <w:fldChar w:fldCharType="end"/>
      </w:r>
      <w:r w:rsidRPr="00990234">
        <w:rPr>
          <w:rFonts w:ascii="Times New Roman" w:hAnsi="Times New Roman" w:cs="Times New Roman"/>
          <w:szCs w:val="20"/>
        </w:rPr>
        <w:t xml:space="preserve">.  We </w:t>
      </w:r>
      <w:r w:rsidR="006205DA" w:rsidRPr="00990234">
        <w:rPr>
          <w:rFonts w:ascii="Times New Roman" w:hAnsi="Times New Roman" w:cs="Times New Roman"/>
          <w:szCs w:val="20"/>
        </w:rPr>
        <w:t>d</w:t>
      </w:r>
      <w:r w:rsidRPr="00990234">
        <w:rPr>
          <w:rFonts w:ascii="Times New Roman" w:hAnsi="Times New Roman" w:cs="Times New Roman"/>
          <w:szCs w:val="20"/>
        </w:rPr>
        <w:t xml:space="preserve">elivered and </w:t>
      </w:r>
      <w:r w:rsidR="006205DA" w:rsidRPr="00990234">
        <w:rPr>
          <w:rFonts w:ascii="Times New Roman" w:hAnsi="Times New Roman" w:cs="Times New Roman"/>
          <w:szCs w:val="20"/>
        </w:rPr>
        <w:t>o</w:t>
      </w:r>
      <w:r w:rsidRPr="00990234">
        <w:rPr>
          <w:rFonts w:ascii="Times New Roman" w:hAnsi="Times New Roman" w:cs="Times New Roman"/>
          <w:szCs w:val="20"/>
        </w:rPr>
        <w:t xml:space="preserve">mitted </w:t>
      </w:r>
      <w:r w:rsidR="006205DA" w:rsidRPr="00990234">
        <w:rPr>
          <w:rFonts w:ascii="Times New Roman" w:hAnsi="Times New Roman" w:cs="Times New Roman"/>
          <w:szCs w:val="20"/>
        </w:rPr>
        <w:t>e</w:t>
      </w:r>
      <w:r w:rsidR="00D154A9" w:rsidRPr="00990234">
        <w:rPr>
          <w:rFonts w:ascii="Times New Roman" w:hAnsi="Times New Roman" w:cs="Times New Roman"/>
          <w:szCs w:val="20"/>
        </w:rPr>
        <w:t xml:space="preserve">xpected and </w:t>
      </w:r>
      <w:r w:rsidR="006205DA" w:rsidRPr="00990234">
        <w:rPr>
          <w:rFonts w:ascii="Times New Roman" w:hAnsi="Times New Roman" w:cs="Times New Roman"/>
          <w:szCs w:val="20"/>
        </w:rPr>
        <w:t>u</w:t>
      </w:r>
      <w:r w:rsidR="00D154A9" w:rsidRPr="00990234">
        <w:rPr>
          <w:rFonts w:ascii="Times New Roman" w:hAnsi="Times New Roman" w:cs="Times New Roman"/>
          <w:szCs w:val="20"/>
        </w:rPr>
        <w:t xml:space="preserve">nexpected </w:t>
      </w:r>
      <w:r w:rsidRPr="00990234">
        <w:rPr>
          <w:rFonts w:ascii="Times New Roman" w:hAnsi="Times New Roman" w:cs="Times New Roman"/>
          <w:szCs w:val="20"/>
        </w:rPr>
        <w:t>hedonically</w:t>
      </w:r>
      <w:r w:rsidR="00C0725D" w:rsidRPr="00990234">
        <w:rPr>
          <w:rFonts w:ascii="Times New Roman" w:hAnsi="Times New Roman" w:cs="Times New Roman"/>
          <w:szCs w:val="20"/>
        </w:rPr>
        <w:t xml:space="preserve"> </w:t>
      </w:r>
      <w:r w:rsidRPr="00990234">
        <w:rPr>
          <w:rFonts w:ascii="Times New Roman" w:hAnsi="Times New Roman" w:cs="Times New Roman"/>
          <w:szCs w:val="20"/>
        </w:rPr>
        <w:t xml:space="preserve">matched </w:t>
      </w:r>
      <w:r w:rsidR="00F362B4" w:rsidRPr="00990234">
        <w:rPr>
          <w:rFonts w:ascii="Times New Roman" w:hAnsi="Times New Roman" w:cs="Times New Roman"/>
          <w:szCs w:val="20"/>
        </w:rPr>
        <w:t>appetitive</w:t>
      </w:r>
      <w:r w:rsidRPr="00990234">
        <w:rPr>
          <w:rFonts w:ascii="Times New Roman" w:hAnsi="Times New Roman" w:cs="Times New Roman"/>
          <w:szCs w:val="20"/>
        </w:rPr>
        <w:t xml:space="preserve"> and aversive tastes. Our goal was to distinguish between </w:t>
      </w:r>
      <w:r w:rsidR="003761B4" w:rsidRPr="00990234">
        <w:rPr>
          <w:rFonts w:ascii="Times New Roman" w:hAnsi="Times New Roman" w:cs="Times New Roman"/>
          <w:szCs w:val="20"/>
        </w:rPr>
        <w:t xml:space="preserve">utility </w:t>
      </w:r>
      <w:r w:rsidRPr="00990234">
        <w:rPr>
          <w:rFonts w:ascii="Times New Roman" w:hAnsi="Times New Roman" w:cs="Times New Roman"/>
          <w:szCs w:val="20"/>
        </w:rPr>
        <w:t xml:space="preserve">prediction error signals, where amplitude should be most positive </w:t>
      </w:r>
      <w:r w:rsidR="00D154A9" w:rsidRPr="00990234">
        <w:rPr>
          <w:rFonts w:ascii="Times New Roman" w:hAnsi="Times New Roman" w:cs="Times New Roman"/>
          <w:szCs w:val="20"/>
        </w:rPr>
        <w:t xml:space="preserve">(or negative) </w:t>
      </w:r>
      <w:r w:rsidRPr="00990234">
        <w:rPr>
          <w:rFonts w:ascii="Times New Roman" w:hAnsi="Times New Roman" w:cs="Times New Roman"/>
          <w:szCs w:val="20"/>
        </w:rPr>
        <w:t xml:space="preserve">for </w:t>
      </w:r>
      <w:r w:rsidR="00F8678A" w:rsidRPr="00990234">
        <w:rPr>
          <w:rFonts w:ascii="Times New Roman" w:hAnsi="Times New Roman" w:cs="Times New Roman"/>
          <w:szCs w:val="20"/>
        </w:rPr>
        <w:t>d</w:t>
      </w:r>
      <w:r w:rsidRPr="00990234">
        <w:rPr>
          <w:rFonts w:ascii="Times New Roman" w:hAnsi="Times New Roman" w:cs="Times New Roman"/>
          <w:szCs w:val="20"/>
        </w:rPr>
        <w:t xml:space="preserve">elivered </w:t>
      </w:r>
      <w:r w:rsidR="003C457F" w:rsidRPr="00990234">
        <w:rPr>
          <w:rFonts w:ascii="Times New Roman" w:hAnsi="Times New Roman" w:cs="Times New Roman"/>
          <w:szCs w:val="20"/>
        </w:rPr>
        <w:t xml:space="preserve">appetitive </w:t>
      </w:r>
      <w:r w:rsidRPr="00990234">
        <w:rPr>
          <w:rFonts w:ascii="Times New Roman" w:hAnsi="Times New Roman" w:cs="Times New Roman"/>
          <w:szCs w:val="20"/>
        </w:rPr>
        <w:t xml:space="preserve">and </w:t>
      </w:r>
      <w:r w:rsidR="00F8678A" w:rsidRPr="00990234">
        <w:rPr>
          <w:rFonts w:ascii="Times New Roman" w:hAnsi="Times New Roman" w:cs="Times New Roman"/>
          <w:szCs w:val="20"/>
        </w:rPr>
        <w:t>o</w:t>
      </w:r>
      <w:r w:rsidRPr="00990234">
        <w:rPr>
          <w:rFonts w:ascii="Times New Roman" w:hAnsi="Times New Roman" w:cs="Times New Roman"/>
          <w:szCs w:val="20"/>
        </w:rPr>
        <w:t xml:space="preserve">mitted </w:t>
      </w:r>
      <w:r w:rsidR="003C457F" w:rsidRPr="00990234">
        <w:rPr>
          <w:rFonts w:ascii="Times New Roman" w:hAnsi="Times New Roman" w:cs="Times New Roman"/>
          <w:szCs w:val="20"/>
        </w:rPr>
        <w:t xml:space="preserve">aversive </w:t>
      </w:r>
      <w:r w:rsidR="00646B33" w:rsidRPr="00990234">
        <w:rPr>
          <w:rFonts w:ascii="Times New Roman" w:hAnsi="Times New Roman" w:cs="Times New Roman"/>
          <w:szCs w:val="20"/>
        </w:rPr>
        <w:t xml:space="preserve">tastes </w:t>
      </w:r>
      <w:r w:rsidRPr="00990234">
        <w:rPr>
          <w:rFonts w:ascii="Times New Roman" w:hAnsi="Times New Roman" w:cs="Times New Roman"/>
          <w:szCs w:val="20"/>
        </w:rPr>
        <w:t xml:space="preserve">and most negative </w:t>
      </w:r>
      <w:r w:rsidR="00D154A9" w:rsidRPr="00990234">
        <w:rPr>
          <w:rFonts w:ascii="Times New Roman" w:hAnsi="Times New Roman" w:cs="Times New Roman"/>
          <w:szCs w:val="20"/>
        </w:rPr>
        <w:t xml:space="preserve">(or positive) </w:t>
      </w:r>
      <w:r w:rsidRPr="00990234">
        <w:rPr>
          <w:rFonts w:ascii="Times New Roman" w:hAnsi="Times New Roman" w:cs="Times New Roman"/>
          <w:szCs w:val="20"/>
        </w:rPr>
        <w:t xml:space="preserve">for </w:t>
      </w:r>
      <w:r w:rsidR="00F8678A" w:rsidRPr="00990234">
        <w:rPr>
          <w:rFonts w:ascii="Times New Roman" w:hAnsi="Times New Roman" w:cs="Times New Roman"/>
          <w:szCs w:val="20"/>
        </w:rPr>
        <w:t>o</w:t>
      </w:r>
      <w:r w:rsidRPr="00990234">
        <w:rPr>
          <w:rFonts w:ascii="Times New Roman" w:hAnsi="Times New Roman" w:cs="Times New Roman"/>
          <w:szCs w:val="20"/>
        </w:rPr>
        <w:t xml:space="preserve">mitted </w:t>
      </w:r>
      <w:r w:rsidR="003C457F" w:rsidRPr="00990234">
        <w:rPr>
          <w:rFonts w:ascii="Times New Roman" w:hAnsi="Times New Roman" w:cs="Times New Roman"/>
          <w:szCs w:val="20"/>
        </w:rPr>
        <w:t xml:space="preserve">appetitive </w:t>
      </w:r>
      <w:r w:rsidRPr="00990234">
        <w:rPr>
          <w:rFonts w:ascii="Times New Roman" w:hAnsi="Times New Roman" w:cs="Times New Roman"/>
          <w:szCs w:val="20"/>
        </w:rPr>
        <w:t xml:space="preserve">and </w:t>
      </w:r>
      <w:r w:rsidR="00F8678A" w:rsidRPr="00990234">
        <w:rPr>
          <w:rFonts w:ascii="Times New Roman" w:hAnsi="Times New Roman" w:cs="Times New Roman"/>
          <w:szCs w:val="20"/>
        </w:rPr>
        <w:t>d</w:t>
      </w:r>
      <w:r w:rsidRPr="00990234">
        <w:rPr>
          <w:rFonts w:ascii="Times New Roman" w:hAnsi="Times New Roman" w:cs="Times New Roman"/>
          <w:szCs w:val="20"/>
        </w:rPr>
        <w:t xml:space="preserve">elivered </w:t>
      </w:r>
      <w:r w:rsidR="003C457F" w:rsidRPr="00990234">
        <w:rPr>
          <w:rFonts w:ascii="Times New Roman" w:hAnsi="Times New Roman" w:cs="Times New Roman"/>
          <w:szCs w:val="20"/>
        </w:rPr>
        <w:t xml:space="preserve">aversive </w:t>
      </w:r>
      <w:r w:rsidR="00646B33" w:rsidRPr="00990234">
        <w:rPr>
          <w:rFonts w:ascii="Times New Roman" w:hAnsi="Times New Roman" w:cs="Times New Roman"/>
          <w:szCs w:val="20"/>
        </w:rPr>
        <w:t>tastes</w:t>
      </w:r>
      <w:r w:rsidRPr="00990234">
        <w:rPr>
          <w:rFonts w:ascii="Times New Roman" w:hAnsi="Times New Roman" w:cs="Times New Roman"/>
          <w:szCs w:val="20"/>
        </w:rPr>
        <w:t xml:space="preserve">, and a salience response, where amplitude should be most positive </w:t>
      </w:r>
      <w:r w:rsidR="00D154A9" w:rsidRPr="00990234">
        <w:rPr>
          <w:rFonts w:ascii="Times New Roman" w:hAnsi="Times New Roman" w:cs="Times New Roman"/>
          <w:szCs w:val="20"/>
        </w:rPr>
        <w:t xml:space="preserve">(or negative) </w:t>
      </w:r>
      <w:r w:rsidRPr="00990234">
        <w:rPr>
          <w:rFonts w:ascii="Times New Roman" w:hAnsi="Times New Roman" w:cs="Times New Roman"/>
          <w:szCs w:val="20"/>
        </w:rPr>
        <w:t xml:space="preserve">for the </w:t>
      </w:r>
      <w:r w:rsidR="00F8678A" w:rsidRPr="00990234">
        <w:rPr>
          <w:rFonts w:ascii="Times New Roman" w:hAnsi="Times New Roman" w:cs="Times New Roman"/>
          <w:szCs w:val="20"/>
        </w:rPr>
        <w:t>d</w:t>
      </w:r>
      <w:r w:rsidRPr="00990234">
        <w:rPr>
          <w:rFonts w:ascii="Times New Roman" w:hAnsi="Times New Roman" w:cs="Times New Roman"/>
          <w:szCs w:val="20"/>
        </w:rPr>
        <w:t xml:space="preserve">elivery of both </w:t>
      </w:r>
      <w:r w:rsidR="00646B33" w:rsidRPr="00990234">
        <w:rPr>
          <w:rFonts w:ascii="Times New Roman" w:hAnsi="Times New Roman" w:cs="Times New Roman"/>
          <w:szCs w:val="20"/>
        </w:rPr>
        <w:t xml:space="preserve">appetitive </w:t>
      </w:r>
      <w:r w:rsidRPr="00990234">
        <w:rPr>
          <w:rFonts w:ascii="Times New Roman" w:hAnsi="Times New Roman" w:cs="Times New Roman"/>
          <w:szCs w:val="20"/>
        </w:rPr>
        <w:t xml:space="preserve">and </w:t>
      </w:r>
      <w:r w:rsidR="00646B33" w:rsidRPr="00990234">
        <w:rPr>
          <w:rFonts w:ascii="Times New Roman" w:hAnsi="Times New Roman" w:cs="Times New Roman"/>
          <w:szCs w:val="20"/>
        </w:rPr>
        <w:t xml:space="preserve">aversive tastes </w:t>
      </w:r>
      <w:r w:rsidRPr="00990234">
        <w:rPr>
          <w:rFonts w:ascii="Times New Roman" w:hAnsi="Times New Roman" w:cs="Times New Roman"/>
          <w:szCs w:val="20"/>
        </w:rPr>
        <w:t xml:space="preserve">compared to their </w:t>
      </w:r>
      <w:r w:rsidR="00F8678A" w:rsidRPr="00990234">
        <w:rPr>
          <w:rFonts w:ascii="Times New Roman" w:hAnsi="Times New Roman" w:cs="Times New Roman"/>
          <w:szCs w:val="20"/>
        </w:rPr>
        <w:t>o</w:t>
      </w:r>
      <w:r w:rsidRPr="00990234">
        <w:rPr>
          <w:rFonts w:ascii="Times New Roman" w:hAnsi="Times New Roman" w:cs="Times New Roman"/>
          <w:szCs w:val="20"/>
        </w:rPr>
        <w:t xml:space="preserve">mission. </w:t>
      </w:r>
      <w:r w:rsidR="00931384" w:rsidRPr="00990234">
        <w:rPr>
          <w:rFonts w:ascii="Times New Roman" w:hAnsi="Times New Roman" w:cs="Times New Roman"/>
          <w:szCs w:val="20"/>
        </w:rPr>
        <w:t xml:space="preserve">Following the logic of the axiomatic model </w:t>
      </w:r>
      <w:r w:rsidR="00CA58DD" w:rsidRPr="00990234">
        <w:rPr>
          <w:rFonts w:ascii="Times New Roman" w:hAnsi="Times New Roman" w:cs="Times New Roman"/>
          <w:szCs w:val="20"/>
        </w:rPr>
        <w:fldChar w:fldCharType="begin" w:fldLock="1"/>
      </w:r>
      <w:r w:rsidR="002F350D" w:rsidRPr="00990234">
        <w:rPr>
          <w:rFonts w:ascii="Times New Roman" w:hAnsi="Times New Roman" w:cs="Times New Roman"/>
          <w:szCs w:val="20"/>
        </w:rPr>
        <w:instrText>ADDIN CSL_CITATION { "citationItems" : [ { "id" : "ITEM-1", "itemData" : { "DOI" : "10.1523/JNEUROSCI.1747-10.2010", "ISBN" : "0270-6474, 1529-2401", "ISSN" : "0270-6474", "PMID" : "20926678", "abstract" : "Neuroimaging studies typically identify neural activity correlated with the predictions of highly parameterized models, like the many reward prediction error (RPE) models used to study reinforcement learning. Identified brain areas might encode RPEs or, alternatively, only have activity correlated with RPE model predictions. Here, we use an alternate axiomatic approach rooted in economic theory to formally test the entire class of RPE models on neural data. We show that measurements of human neural activity from the striatum, medial prefrontal cortex, amygdala, and posterior cingulate cortex satisfy necessary and sufficient conditions for the entire class of RPE models. However, activity measured from the anterior insula falsifies the axiomatic model, and therefore no RPE model can account for measured activity. Further analysis suggests the anterior insula might instead encode something related to the salience of an outcome. As cognitive neuroscience matures and models proliferate, formal approaches of this kind that assess entire model classes rather than specific model exemplars may take on increased significance.", "author" : [ { "dropping-particle" : "", "family" : "Rutledge", "given" : "Robb B", "non-dropping-particle" : "", "parse-names" : false, "suffix" : "" }, { "dropping-particle" : "", "family" : "Dean", "given" : "Mark", "non-dropping-particle" : "", "parse-names" : false, "suffix" : "" }, { "dropping-particle" : "", "family" : "Caplin", "given" : "Andrew", "non-dropping-particle" : "", "parse-names" : false, "suffix" : "" }, { "dropping-particle" : "", "family" : "Glimcher", "given" : "Paul W", "non-dropping-particle" : "", "parse-names" : false, "suffix" : "" } ], "container-title" : "The Journal of neuroscience : the official journal of the Society for Neuroscience", "id" : "ITEM-1", "issue" : "40", "issued" : { "date-parts" : [ [ "2010" ] ] }, "note" : "axiom 1", "page" : "13525-13536", "title" : "Testing the reward prediction error hypothesis with an axiomatic model.", "type" : "article-journal", "volume" : "30" }, "uris" : [ "http://www.mendeley.com/documents/?uuid=8b4ea8d9-632e-4597-a0cf-f03a8b18c7f9" ] }, { "id" : "ITEM-2", "itemData" : { "author" : [ { "dropping-particle" : "", "family" : "Caplin", "given" : "Andrew", "non-dropping-particle" : "", "parse-names" : false, "suffix" : "" }, { "dropping-particle" : "", "family" : "Dean", "given" : "Mark", "non-dropping-particle" : "", "parse-names" : false, "suffix" : "" } ], "container-title" : "Quarterly Journal of Economics", "id" : "ITEM-2", "issue" : "2", "issued" : { "date-parts" : [ [ "2008" ] ] }, "page" : "663-701", "title" : "Dopamine, reward prediction error, and economics", "type" : "article-journal", "volume" : "123" }, "uris" : [ "http://www.mendeley.com/documents/?uuid=5df9829d-d2ab-4118-900d-5f77e10ed90e" ] } ], "mendeley" : { "formattedCitation" : "(Caplin &amp; Dean, 2008; Rutledge et al., 2010)", "plainTextFormattedCitation" : "(Caplin &amp; Dean, 2008; Rutledge et al., 2010)", "previouslyFormattedCitation" : "(Caplin &amp; Dean, 2008; Rutledge et al., 2010)" }, "properties" : { "noteIndex" : 0 }, "schema" : "https://github.com/citation-style-language/schema/raw/master/csl-citation.json" }</w:instrText>
      </w:r>
      <w:r w:rsidR="00CA58DD" w:rsidRPr="00990234">
        <w:rPr>
          <w:rFonts w:ascii="Times New Roman" w:hAnsi="Times New Roman" w:cs="Times New Roman"/>
          <w:szCs w:val="20"/>
        </w:rPr>
        <w:fldChar w:fldCharType="separate"/>
      </w:r>
      <w:r w:rsidR="00B57F44" w:rsidRPr="00990234">
        <w:rPr>
          <w:rFonts w:ascii="Times New Roman" w:hAnsi="Times New Roman" w:cs="Times New Roman"/>
          <w:noProof/>
          <w:szCs w:val="20"/>
        </w:rPr>
        <w:t>(Caplin &amp; Dean, 2008; Rutledge et al., 2010)</w:t>
      </w:r>
      <w:r w:rsidR="00CA58DD" w:rsidRPr="00990234">
        <w:rPr>
          <w:rFonts w:ascii="Times New Roman" w:hAnsi="Times New Roman" w:cs="Times New Roman"/>
          <w:szCs w:val="20"/>
        </w:rPr>
        <w:fldChar w:fldCharType="end"/>
      </w:r>
      <w:r w:rsidR="00CA58DD" w:rsidRPr="00990234">
        <w:rPr>
          <w:rFonts w:ascii="Times New Roman" w:hAnsi="Times New Roman" w:cs="Times New Roman"/>
          <w:szCs w:val="20"/>
        </w:rPr>
        <w:t xml:space="preserve"> </w:t>
      </w:r>
      <w:r w:rsidR="00931384" w:rsidRPr="00990234">
        <w:rPr>
          <w:rFonts w:ascii="Times New Roman" w:hAnsi="Times New Roman" w:cs="Times New Roman"/>
          <w:szCs w:val="20"/>
        </w:rPr>
        <w:t xml:space="preserve">we were particularly interested in signal that differentiated aversive and appetitive taste and taste omission cues more strongly when they were unexpected. </w:t>
      </w:r>
      <w:r w:rsidR="00F362B4" w:rsidRPr="00990234">
        <w:rPr>
          <w:rFonts w:ascii="Times New Roman" w:hAnsi="Times New Roman" w:cs="Times New Roman"/>
          <w:szCs w:val="20"/>
        </w:rPr>
        <w:t xml:space="preserve">For both appetitive and aversive taste, </w:t>
      </w:r>
      <w:r w:rsidRPr="00990234">
        <w:rPr>
          <w:rFonts w:ascii="Times New Roman" w:hAnsi="Times New Roman" w:cs="Times New Roman"/>
          <w:szCs w:val="20"/>
        </w:rPr>
        <w:t>we observed</w:t>
      </w:r>
      <w:r w:rsidR="00F362B4" w:rsidRPr="00990234">
        <w:rPr>
          <w:rFonts w:ascii="Times New Roman" w:hAnsi="Times New Roman" w:cs="Times New Roman"/>
          <w:szCs w:val="20"/>
        </w:rPr>
        <w:t xml:space="preserve"> </w:t>
      </w:r>
      <w:r w:rsidR="00FE5DA6" w:rsidRPr="00990234">
        <w:rPr>
          <w:rFonts w:ascii="Times New Roman" w:hAnsi="Times New Roman" w:cs="Times New Roman"/>
          <w:szCs w:val="20"/>
        </w:rPr>
        <w:t xml:space="preserve">continued </w:t>
      </w:r>
      <w:r w:rsidRPr="00990234">
        <w:rPr>
          <w:rFonts w:ascii="Times New Roman" w:hAnsi="Times New Roman" w:cs="Times New Roman"/>
          <w:szCs w:val="20"/>
        </w:rPr>
        <w:t>expression of salience</w:t>
      </w:r>
      <w:r w:rsidR="005F590B" w:rsidRPr="00990234">
        <w:rPr>
          <w:rFonts w:ascii="Times New Roman" w:hAnsi="Times New Roman" w:cs="Times New Roman"/>
          <w:szCs w:val="20"/>
        </w:rPr>
        <w:t xml:space="preserve"> </w:t>
      </w:r>
      <w:r w:rsidR="005F590B" w:rsidRPr="00990234">
        <w:rPr>
          <w:rFonts w:ascii="Times New Roman" w:hAnsi="Times New Roman" w:cs="Times New Roman"/>
          <w:szCs w:val="20"/>
        </w:rPr>
        <w:fldChar w:fldCharType="begin" w:fldLock="1"/>
      </w:r>
      <w:r w:rsidR="006E699F" w:rsidRPr="00990234">
        <w:rPr>
          <w:rFonts w:ascii="Times New Roman" w:hAnsi="Times New Roman" w:cs="Times New Roman"/>
          <w:szCs w:val="20"/>
        </w:rPr>
        <w:instrText>ADDIN CSL_CITATION { "citationItems" : [ { "id" : "ITEM-1", "itemData" : { "DOI" : "10.1016/j.neuroimage.2015.07.032", "ISSN" : "1095-9572", "PMID" : "26196667", "abstract" : "Models of reinforcement learning represent reward and punishment in terms of reward prediction errors (RPEs), quantitative signed terms describing the degree to which outcomes are better than expected (positive RPEs) or worse (negative RPEs). An electrophysiological component known as feedback related negativity (FRN) occurs at frontocentral sites 240-340ms after feedback on whether a reward or punishment is obtained, and has been claimed to neurally encode an RPE. An outstanding question however, is whether the FRN is sensitive to the size of both positive RPEs and negative RPEs. Previous attempts to answer this question have examined the simple effects of RPE size for positive RPEs and negative RPEs separately. However, this methodology can be compromised by overlap from components coding for unsigned prediction error size, or \"salience\", which are sensitive to the absolute size of a prediction error but not its valence. In our study, positive and negative RPEs were parametrically modulated using both reward likelihood and magnitude, with principal components analysis used to separate out overlying components. This revealed a single RPE encoding component responsive to the size of positive RPEs, peaking at ~330ms, and occupying the delta frequency band. Other components responsive to unsigned prediction error size were shown, but no component sensitive to negative RPE size was found.", "author" : [ { "dropping-particle" : "", "family" : "Sambrook", "given" : "Thomas D", "non-dropping-particle" : "", "parse-names" : false, "suffix" : "" }, { "dropping-particle" : "", "family" : "Goslin", "given" : "Jeremy", "non-dropping-particle" : "", "parse-names" : false, "suffix" : "" } ], "container-title" : "NeuroImage", "id" : "ITEM-1", "issue" : "Pt A", "issued" : { "date-parts" : [ [ "2015" ] ] }, "page" : "276-286", "publisher" : "Elsevier Inc.", "title" : "Principal components analysis of reward prediction errors in a reinforcement learning task.", "type" : "article-journal", "volume" : "124" }, "uris" : [ "http://www.mendeley.com/documents/?uuid=e237d9d3-b967-436d-a9dc-7ac0a6e39700" ] } ], "mendeley" : { "formattedCitation" : "(Sambrook &amp; Goslin, 2015b)", "plainTextFormattedCitation" : "(Sambrook &amp; Goslin, 2015b)", "previouslyFormattedCitation" : "(Sambrook &amp; Goslin, 2015b)" }, "properties" : { "noteIndex" : 0 }, "schema" : "https://github.com/citation-style-language/schema/raw/master/csl-citation.json" }</w:instrText>
      </w:r>
      <w:r w:rsidR="005F590B" w:rsidRPr="00990234">
        <w:rPr>
          <w:rFonts w:ascii="Times New Roman" w:hAnsi="Times New Roman" w:cs="Times New Roman"/>
          <w:szCs w:val="20"/>
        </w:rPr>
        <w:fldChar w:fldCharType="separate"/>
      </w:r>
      <w:r w:rsidR="005F590B" w:rsidRPr="00990234">
        <w:rPr>
          <w:rFonts w:ascii="Times New Roman" w:hAnsi="Times New Roman" w:cs="Times New Roman"/>
          <w:noProof/>
          <w:szCs w:val="20"/>
        </w:rPr>
        <w:t>(Sambrook &amp; Goslin, 2015b)</w:t>
      </w:r>
      <w:r w:rsidR="005F590B" w:rsidRPr="00990234">
        <w:rPr>
          <w:rFonts w:ascii="Times New Roman" w:hAnsi="Times New Roman" w:cs="Times New Roman"/>
          <w:szCs w:val="20"/>
        </w:rPr>
        <w:fldChar w:fldCharType="end"/>
      </w:r>
      <w:r w:rsidR="00FE5DA6" w:rsidRPr="00990234">
        <w:rPr>
          <w:rFonts w:ascii="Times New Roman" w:hAnsi="Times New Roman" w:cs="Times New Roman"/>
          <w:szCs w:val="20"/>
        </w:rPr>
        <w:t xml:space="preserve"> across the entire 200-</w:t>
      </w:r>
      <w:r w:rsidR="00E34E31" w:rsidRPr="00990234">
        <w:rPr>
          <w:rFonts w:ascii="Times New Roman" w:hAnsi="Times New Roman" w:cs="Times New Roman"/>
          <w:szCs w:val="20"/>
        </w:rPr>
        <w:t xml:space="preserve">380ms </w:t>
      </w:r>
      <w:r w:rsidR="00FE5DA6" w:rsidRPr="00990234">
        <w:rPr>
          <w:rFonts w:ascii="Times New Roman" w:hAnsi="Times New Roman" w:cs="Times New Roman"/>
          <w:szCs w:val="20"/>
        </w:rPr>
        <w:t>time window</w:t>
      </w:r>
      <w:r w:rsidR="00F362B4" w:rsidRPr="00990234">
        <w:rPr>
          <w:rFonts w:ascii="Times New Roman" w:hAnsi="Times New Roman" w:cs="Times New Roman"/>
          <w:szCs w:val="20"/>
        </w:rPr>
        <w:t>. There was also</w:t>
      </w:r>
      <w:r w:rsidRPr="00990234">
        <w:rPr>
          <w:rFonts w:ascii="Times New Roman" w:hAnsi="Times New Roman" w:cs="Times New Roman"/>
          <w:szCs w:val="20"/>
        </w:rPr>
        <w:t xml:space="preserve"> an expression of aversi</w:t>
      </w:r>
      <w:r w:rsidR="00F362B4" w:rsidRPr="00990234">
        <w:rPr>
          <w:rFonts w:ascii="Times New Roman" w:hAnsi="Times New Roman" w:cs="Times New Roman"/>
          <w:szCs w:val="20"/>
        </w:rPr>
        <w:t>ve</w:t>
      </w:r>
      <w:r w:rsidRPr="00990234">
        <w:rPr>
          <w:rFonts w:ascii="Times New Roman" w:hAnsi="Times New Roman" w:cs="Times New Roman"/>
          <w:szCs w:val="20"/>
        </w:rPr>
        <w:t xml:space="preserve"> but not </w:t>
      </w:r>
      <w:r w:rsidR="000D51E5" w:rsidRPr="00990234">
        <w:rPr>
          <w:rFonts w:ascii="Times New Roman" w:hAnsi="Times New Roman" w:cs="Times New Roman"/>
          <w:szCs w:val="20"/>
        </w:rPr>
        <w:t>reward</w:t>
      </w:r>
      <w:r w:rsidRPr="00990234">
        <w:rPr>
          <w:rFonts w:ascii="Times New Roman" w:hAnsi="Times New Roman" w:cs="Times New Roman"/>
          <w:szCs w:val="20"/>
        </w:rPr>
        <w:t xml:space="preserve"> prediction error at the latency most characteristic of the </w:t>
      </w:r>
      <w:r w:rsidR="00BE1C7E" w:rsidRPr="00990234">
        <w:rPr>
          <w:rFonts w:ascii="Times New Roman" w:hAnsi="Times New Roman" w:cs="Times New Roman"/>
          <w:szCs w:val="20"/>
        </w:rPr>
        <w:t>FRN</w:t>
      </w:r>
      <w:r w:rsidRPr="00990234">
        <w:rPr>
          <w:rFonts w:ascii="Times New Roman" w:hAnsi="Times New Roman" w:cs="Times New Roman"/>
          <w:szCs w:val="20"/>
        </w:rPr>
        <w:t xml:space="preserve">, peaking at 285ms </w:t>
      </w:r>
      <w:r w:rsidRPr="00990234">
        <w:rPr>
          <w:rFonts w:ascii="Times New Roman" w:hAnsi="Times New Roman" w:cs="Times New Roman"/>
          <w:szCs w:val="20"/>
        </w:rPr>
        <w:fldChar w:fldCharType="begin" w:fldLock="1"/>
      </w:r>
      <w:r w:rsidRPr="00990234">
        <w:rPr>
          <w:rFonts w:ascii="Times New Roman" w:hAnsi="Times New Roman" w:cs="Times New Roman"/>
          <w:szCs w:val="20"/>
        </w:rPr>
        <w:instrText>ADDIN CSL_CITATION { "citationItems" : [ { "id" : "ITEM-1", "itemData" : { "author" : [ { "dropping-particle" : "", "family" : "Holroyd", "given" : "Clay", "non-dropping-particle" : "", "parse-names" : false, "suffix" : "" } ], "container-title" : "Neurophysiology", "id" : "ITEM-1", "issued" : { "date-parts" : [ [ "2004" ] ] }, "page" : "447-455", "title" : "A note on the oddball N200 and the feedback ERN", "type" : "article-journal", "volume" : "78" }, "uris" : [ "http://www.mendeley.com/documents/?uuid=ba1c546a-5c38-4740-bb48-91fff6276502" ] }, { "id" : "ITEM-2", "itemData" : { "DOI" : "10.1037/bul0000006", "ISBN" : "1939-1455(Electronic);0033-2909(Print)", "ISSN" : "1939-1455", "PMID" : "25495239", "abstract" : "Economic approaches to decision making assume that people attach values to prospective goods and act to maximize their obtained value. Neuroeconomics strives to observe these values directly in the brain. A widely used valuation term in formal learning and decision-making models is the reward prediction error: the value of an outcome relative to its expected value. An influential theory (Holroyd &amp; Coles, 2002) claims that an electrophysiological component, feedback related negativity (FRN), codes a reward prediction error in the human brain. Such a component should be sensitive to both the prior likelihood of reward and its magnitude on receipt. A number of studies have found the FRN to be insensitive to reward magnitude, thus questioning the Holroyd and Coles account. However, because of marked inconsistencies in how the FRN is measured, a meaningful synthesis of this evidence is highly problematic. We conducted a meta-analysis of the FRN\u2019s response to both reward magnitude and likelihood using a novel method in which published effect sizes were disregarded in favor of direct measurement of the published waveforms themselves, with these waveforms then averaged to produce \u201cgreat grand averages.\u201d Under this standardized measure, the meta-analysis revealed strong effects of magnitude and likelihood on the FRN, consistent with it encoding a reward prediction error. In addition, it revealed strong main effects of reward magnitude and likelihood across much of the waveform, indicating sensitivity to unsigned prediction errors or \u201csalience.\u201d The great grand average technique is proposed as a general method for meta-analysis of event-related potential (ERP).", "author" : [ { "dropping-particle" : "", "family" : "Sambrook", "given" : "Thomas D", "non-dropping-particle" : "", "parse-names" : false, "suffix" : "" }, { "dropping-particle" : "", "family" : "Goslin", "given" : "Jeremy", "non-dropping-particle" : "", "parse-names" : false, "suffix" : "" } ], "container-title" : "Psychological Bulletin", "id" : "ITEM-2", "issue" : "1", "issued" : { "date-parts" : [ [ "2015" ] ] }, "page" : "213-235", "title" : "A neural reward prediction error revealed by a meta-analysis of ERPs using great grand averages", "type" : "article-journal", "volume" : "141" }, "uris" : [ "http://www.mendeley.com/documents/?uuid=1a1d129d-5655-4a68-874c-2674fa1915eb" ] } ], "mendeley" : { "formattedCitation" : "(C. Holroyd, 2004; Sambrook &amp; Goslin, 2015a)", "manualFormatting" : "(Holroyd, 2004; Sambrook &amp; Goslin, 2015a)", "plainTextFormattedCitation" : "(C. Holroyd, 2004; Sambrook &amp; Goslin, 2015a)", "previouslyFormattedCitation" : "(C. Holroyd, 2004; Sambrook &amp; Goslin, 2015a)" }, "properties" : { "noteIndex" : 0 }, "schema" : "https://github.com/citation-style-language/schema/raw/master/csl-citation.json" }</w:instrText>
      </w:r>
      <w:r w:rsidRPr="00990234">
        <w:rPr>
          <w:rFonts w:ascii="Times New Roman" w:hAnsi="Times New Roman" w:cs="Times New Roman"/>
          <w:szCs w:val="20"/>
        </w:rPr>
        <w:fldChar w:fldCharType="separate"/>
      </w:r>
      <w:r w:rsidRPr="00990234">
        <w:rPr>
          <w:rFonts w:ascii="Times New Roman" w:hAnsi="Times New Roman" w:cs="Times New Roman"/>
          <w:noProof/>
          <w:szCs w:val="20"/>
        </w:rPr>
        <w:t>(Holroyd, 2004; Sambrook &amp; Goslin, 2015a)</w:t>
      </w:r>
      <w:r w:rsidRPr="00990234">
        <w:rPr>
          <w:rFonts w:ascii="Times New Roman" w:hAnsi="Times New Roman" w:cs="Times New Roman"/>
          <w:szCs w:val="20"/>
        </w:rPr>
        <w:fldChar w:fldCharType="end"/>
      </w:r>
      <w:r w:rsidRPr="00990234">
        <w:rPr>
          <w:rFonts w:ascii="Times New Roman" w:hAnsi="Times New Roman" w:cs="Times New Roman"/>
          <w:szCs w:val="20"/>
        </w:rPr>
        <w:t xml:space="preserve">. </w:t>
      </w:r>
    </w:p>
    <w:p w:rsidR="0022718B" w:rsidRPr="00990234" w:rsidRDefault="00A45901" w:rsidP="006235CC">
      <w:pPr>
        <w:spacing w:after="0" w:line="480" w:lineRule="auto"/>
        <w:ind w:right="-113" w:firstLine="720"/>
        <w:contextualSpacing/>
        <w:rPr>
          <w:rFonts w:ascii="Times New Roman" w:hAnsi="Times New Roman" w:cs="Times New Roman"/>
          <w:szCs w:val="20"/>
        </w:rPr>
      </w:pPr>
      <w:r w:rsidRPr="00990234">
        <w:rPr>
          <w:rFonts w:ascii="Times New Roman" w:hAnsi="Times New Roman" w:cs="Times New Roman"/>
          <w:szCs w:val="20"/>
        </w:rPr>
        <w:t xml:space="preserve">The latency of the </w:t>
      </w:r>
      <w:r w:rsidR="00BE1C7E" w:rsidRPr="00990234">
        <w:rPr>
          <w:rFonts w:ascii="Times New Roman" w:hAnsi="Times New Roman" w:cs="Times New Roman"/>
          <w:szCs w:val="20"/>
        </w:rPr>
        <w:t>FRN</w:t>
      </w:r>
      <w:r w:rsidR="00F362B4" w:rsidRPr="00990234">
        <w:rPr>
          <w:rFonts w:ascii="Times New Roman" w:hAnsi="Times New Roman" w:cs="Times New Roman"/>
          <w:szCs w:val="20"/>
        </w:rPr>
        <w:t>, considered the ERP correlate of prediction error, is variable between studies</w:t>
      </w:r>
      <w:r w:rsidRPr="00990234">
        <w:rPr>
          <w:rFonts w:ascii="Times New Roman" w:hAnsi="Times New Roman" w:cs="Times New Roman"/>
          <w:szCs w:val="20"/>
        </w:rPr>
        <w:t xml:space="preserve"> and is usually identified between 200-350ms after the outcome </w:t>
      </w:r>
      <w:r w:rsidRPr="00990234">
        <w:rPr>
          <w:rFonts w:ascii="Times New Roman" w:hAnsi="Times New Roman" w:cs="Times New Roman"/>
          <w:szCs w:val="20"/>
        </w:rPr>
        <w:fldChar w:fldCharType="begin" w:fldLock="1"/>
      </w:r>
      <w:r w:rsidR="009002E1" w:rsidRPr="00990234">
        <w:rPr>
          <w:rFonts w:ascii="Times New Roman" w:hAnsi="Times New Roman" w:cs="Times New Roman"/>
          <w:szCs w:val="20"/>
        </w:rPr>
        <w:instrText>ADDIN CSL_CITATION { "citationItems" : [ { "id" : "ITEM-1", "itemData" : { "DOI" : "10.1111/psyp.12673", "ISSN" : "00485772", "author" : [ { "dropping-particle" : "", "family" : "Heydari", "given" : "Sepideh", "non-dropping-particle" : "", "parse-names" : false, "suffix" : "" }, { "dropping-particle" : "", "family" : "Holroyd", "given" : "Clay B.", "non-dropping-particle" : "", "parse-names" : false, "suffix" : "" } ], "container-title" : "Psychophysiology", "id" : "ITEM-1", "issued" : { "date-parts" : [ [ "2016" ] ] }, "page" : "1-8", "title" : "Reward positivity: Reward prediction error or salience prediction error?", "type" : "article-journal" }, "uris" : [ "http://www.mendeley.com/documents/?uuid=b642944b-866e-485a-aaed-0b73d32593b6" ] }, { "id" : "ITEM-2", "itemData" : { "author" : [ { "dropping-particle" : "", "family" : "Holroyd", "given" : "Clay", "non-dropping-particle" : "", "parse-names" : false, "suffix" : "" } ], "container-title" : "Neurophysiology", "id" : "ITEM-2", "issued" : { "date-parts" : [ [ "2004" ] ] }, "page" : "447-455", "title" : "A note on the oddball N200 and the feedback ERN", "type" : "article-journal", "volume" : "78" }, "uris" : [ "http://www.mendeley.com/documents/?uuid=ba1c546a-5c38-4740-bb48-91fff6276502" ] }, { "id" : "ITEM-3", "itemData" : { "ISBN" : "1053-8119", "author" : [ { "dropping-particle" : "", "family" : "Hauser", "given" : "Tobias U", "non-dropping-particle" : "", "parse-names" : false, "suffix" : "" }, { "dropping-particle" : "", "family" : "Iannaccone", "given" : "Reto", "non-dropping-particle" : "", "parse-names" : false, "suffix" : "" }, { "dropping-particle" : "", "family" : "St\u00e4mpfli", "given" : "Philipp", "non-dropping-particle" : "", "parse-names" : false, "suffix" : "" }, { "dropping-particle" : "", "family" : "Drechsler", "given" : "Renate", "non-dropping-particle" : "", "parse-names" : false, "suffix" : "" }, { "dropping-particle" : "", "family" : "Brandeis", "given" : "Daniel", "non-dropping-particle" : "", "parse-names" : false, "suffix" : "" }, { "dropping-particle" : "", "family" : "Walitza", "given" : "Susanne", "non-dropping-particle" : "", "parse-names" : false, "suffix" : "" }, { "dropping-particle" : "", "family" : "Brem", "given" : "Silvia", "non-dropping-particle" : "", "parse-names" : false, "suffix" : "" } ], "container-title" : "NeuroImage", "id" : "ITEM-3", "issued" : { "date-parts" : [ [ "2014" ] ] }, "note" : "fmri-eeg showed a cluster within the dacc and additional activations of the salience network, and showed only surprise signals to modulate FRN amplitude. they also used DCM and showed surprise signals are directly projected to the source region of the frn - striatum, vmPFC, amygdala, dlpPFC.", "page" : "159-168", "title" : "The feedback-related negativity (FRN) revisited: New insights into the localization, meaning and network organization", "type" : "article-journal", "volume" : "84" }, "uris" : [ "http://www.mendeley.com/documents/?uuid=bda5b7f5-f2a2-4b6b-a014-9254615e974a" ] }, { "id" : "ITEM-4", "itemData" : { "DOI" : "10.1016/j.brainres.2005.12.015", "ISBN" : "0006-8993 (Print)", "ISSN" : "00068993", "PMID" : "16427615", "abstract" : "The feedback error-related negativity (fERN) is a component of the event-related brain potential elicited in gambling and trial-and-error learning tasks by negative, but not positive, feedback stimuli. Here, we present the results of a series of five experiments that investigated the response of the fERN to the presentation of neutral feedback stimuli. In three of the experiments, the neutral feedback stimuli indicated that the participants did not receive a potential reward nor incur a potential penalty (i.e., they received nothing); and in the remaining two experiments, the neutral feedback stimuli did not convey any meaningful information (i.e., the participants were either successful or unsuccessful on those trials, but the feedback stimuli were uninformative about the outcomes). Across the five experiments, we found that neutral feedback stimuli elicited a fERN about as large as that elicited by negative feedback stimuli. This result is consistent with recent proposals that the evaluative system that produces the fERN classifies outcomes into two categories: those outcomes that indicate that a goal has been satisfied and those that do not. ?? 2005 Elsevier B.V. All rights reserved.", "author" : [ { "dropping-particle" : "", "family" : "Holroyd", "given" : "Clay B.", "non-dropping-particle" : "", "parse-names" : false, "suffix" : "" }, { "dropping-particle" : "", "family" : "Hajcak", "given" : "Greg", "non-dropping-particle" : "", "parse-names" : false, "suffix" : "" }, { "dropping-particle" : "", "family" : "Larsen", "given" : "Jeff T.", "non-dropping-particle" : "", "parse-names" : false, "suffix" : "" } ], "container-title" : "Brain Research", "id" : "ITEM-4", "issue" : "1", "issued" : { "date-parts" : [ [ "2006" ] ] }, "note" : "neutral feedback elicited FRN about as large as negative feedback - suggests FRN is got/not got", "page" : "93-101", "title" : "The good, the bad and the neutral: Electrophysiological responses to feedback stimuli", "type" : "article-journal", "volume" : "1105" }, "uris" : [ "http://www.mendeley.com/documents/?uuid=193732a9-a0b8-4ac4-95eb-754213c8b7e2" ] } ], "mendeley" : { "formattedCitation" : "(Hauser et al., 2014; Heydari &amp; Holroyd, 2016; C. B. Holroyd, Hajcak, &amp; Larsen, 2006; C. Holroyd, 2004)", "manualFormatting" : "(Hauser et al., 2014; Heydari &amp; Holroyd, 2016; Holroyd, Hajcak, &amp; Larsen, 2006; Holroyd, 2004)", "plainTextFormattedCitation" : "(Hauser et al., 2014; Heydari &amp; Holroyd, 2016; C. B. Holroyd, Hajcak, &amp; Larsen, 2006; C. Holroyd, 2004)", "previouslyFormattedCitation" : "(Hauser et al., 2014; Heydari &amp; Holroyd, 2016; C. B. Holroyd, Hajcak, &amp; Larsen, 2006; C. Holroyd, 2004)" }, "properties" : { "noteIndex" : 0 }, "schema" : "https://github.com/citation-style-language/schema/raw/master/csl-citation.json" }</w:instrText>
      </w:r>
      <w:r w:rsidRPr="00990234">
        <w:rPr>
          <w:rFonts w:ascii="Times New Roman" w:hAnsi="Times New Roman" w:cs="Times New Roman"/>
          <w:szCs w:val="20"/>
        </w:rPr>
        <w:fldChar w:fldCharType="separate"/>
      </w:r>
      <w:r w:rsidRPr="00990234">
        <w:rPr>
          <w:rFonts w:ascii="Times New Roman" w:hAnsi="Times New Roman" w:cs="Times New Roman"/>
          <w:noProof/>
          <w:szCs w:val="20"/>
        </w:rPr>
        <w:t xml:space="preserve">(Hauser et al., 2014; Heydari &amp; </w:t>
      </w:r>
      <w:r w:rsidRPr="00990234">
        <w:rPr>
          <w:rFonts w:ascii="Times New Roman" w:hAnsi="Times New Roman" w:cs="Times New Roman"/>
          <w:noProof/>
          <w:szCs w:val="20"/>
        </w:rPr>
        <w:lastRenderedPageBreak/>
        <w:t>Holroyd, 2016; Holroyd, Hajcak, &amp; Larsen, 2006; Holroyd, 2004)</w:t>
      </w:r>
      <w:r w:rsidRPr="00990234">
        <w:rPr>
          <w:rFonts w:ascii="Times New Roman" w:hAnsi="Times New Roman" w:cs="Times New Roman"/>
          <w:szCs w:val="20"/>
        </w:rPr>
        <w:fldChar w:fldCharType="end"/>
      </w:r>
      <w:r w:rsidRPr="00990234">
        <w:rPr>
          <w:rFonts w:ascii="Times New Roman" w:hAnsi="Times New Roman" w:cs="Times New Roman"/>
          <w:szCs w:val="20"/>
        </w:rPr>
        <w:t xml:space="preserve">. </w:t>
      </w:r>
      <w:r w:rsidR="00B94F32" w:rsidRPr="00990234">
        <w:rPr>
          <w:rFonts w:ascii="Times New Roman" w:hAnsi="Times New Roman" w:cs="Times New Roman"/>
          <w:szCs w:val="20"/>
        </w:rPr>
        <w:t>The lack of consistency in selection of latency windows makes it difficult to conclude whether the same signal is being studied</w:t>
      </w:r>
      <w:r w:rsidR="00D154A9" w:rsidRPr="00990234">
        <w:rPr>
          <w:rFonts w:ascii="Times New Roman" w:hAnsi="Times New Roman" w:cs="Times New Roman"/>
          <w:szCs w:val="20"/>
        </w:rPr>
        <w:t xml:space="preserve"> across laboratories</w:t>
      </w:r>
      <w:r w:rsidR="00B94F32" w:rsidRPr="00990234">
        <w:rPr>
          <w:rFonts w:ascii="Times New Roman" w:hAnsi="Times New Roman" w:cs="Times New Roman"/>
          <w:szCs w:val="20"/>
        </w:rPr>
        <w:t xml:space="preserve">. </w:t>
      </w:r>
      <w:r w:rsidRPr="00990234">
        <w:rPr>
          <w:rFonts w:ascii="Times New Roman" w:hAnsi="Times New Roman" w:cs="Times New Roman"/>
          <w:szCs w:val="20"/>
        </w:rPr>
        <w:t xml:space="preserve">A meta-analysis suggested </w:t>
      </w:r>
      <w:r w:rsidR="00D154A9" w:rsidRPr="00990234">
        <w:rPr>
          <w:rFonts w:ascii="Times New Roman" w:hAnsi="Times New Roman" w:cs="Times New Roman"/>
          <w:szCs w:val="20"/>
        </w:rPr>
        <w:t xml:space="preserve">that </w:t>
      </w:r>
      <w:r w:rsidRPr="00990234">
        <w:rPr>
          <w:rFonts w:ascii="Times New Roman" w:hAnsi="Times New Roman" w:cs="Times New Roman"/>
          <w:szCs w:val="20"/>
        </w:rPr>
        <w:t xml:space="preserve">frontocentral </w:t>
      </w:r>
      <w:r w:rsidR="00D154A9" w:rsidRPr="00990234">
        <w:rPr>
          <w:rFonts w:ascii="Times New Roman" w:hAnsi="Times New Roman" w:cs="Times New Roman"/>
          <w:szCs w:val="20"/>
        </w:rPr>
        <w:t>vertex</w:t>
      </w:r>
      <w:r w:rsidRPr="00990234">
        <w:rPr>
          <w:rFonts w:ascii="Times New Roman" w:hAnsi="Times New Roman" w:cs="Times New Roman"/>
          <w:szCs w:val="20"/>
        </w:rPr>
        <w:t xml:space="preserve"> electrodes are most likely to express </w:t>
      </w:r>
      <w:r w:rsidR="002440EE" w:rsidRPr="00990234">
        <w:rPr>
          <w:rFonts w:ascii="Times New Roman" w:hAnsi="Times New Roman" w:cs="Times New Roman"/>
          <w:szCs w:val="20"/>
        </w:rPr>
        <w:t xml:space="preserve">reward </w:t>
      </w:r>
      <w:r w:rsidRPr="00990234">
        <w:rPr>
          <w:rFonts w:ascii="Times New Roman" w:hAnsi="Times New Roman" w:cs="Times New Roman"/>
          <w:szCs w:val="20"/>
        </w:rPr>
        <w:t>prediction error</w:t>
      </w:r>
      <w:r w:rsidR="00F362B4" w:rsidRPr="00990234">
        <w:rPr>
          <w:rFonts w:ascii="Times New Roman" w:hAnsi="Times New Roman" w:cs="Times New Roman"/>
          <w:szCs w:val="20"/>
        </w:rPr>
        <w:t xml:space="preserve">, mainly related to monetary reward, </w:t>
      </w:r>
      <w:r w:rsidRPr="00990234">
        <w:rPr>
          <w:rFonts w:ascii="Times New Roman" w:hAnsi="Times New Roman" w:cs="Times New Roman"/>
          <w:szCs w:val="20"/>
        </w:rPr>
        <w:t xml:space="preserve">around 240-340ms, although the </w:t>
      </w:r>
      <w:r w:rsidR="00F362B4" w:rsidRPr="00990234">
        <w:rPr>
          <w:rFonts w:ascii="Times New Roman" w:hAnsi="Times New Roman" w:cs="Times New Roman"/>
          <w:szCs w:val="20"/>
        </w:rPr>
        <w:t>latency</w:t>
      </w:r>
      <w:r w:rsidRPr="00990234">
        <w:rPr>
          <w:rFonts w:ascii="Times New Roman" w:hAnsi="Times New Roman" w:cs="Times New Roman"/>
          <w:szCs w:val="20"/>
        </w:rPr>
        <w:t xml:space="preserve"> could be influenced by the modality of the outcome and other features of the experimental set-up </w:t>
      </w:r>
      <w:r w:rsidRPr="00990234">
        <w:rPr>
          <w:rFonts w:ascii="Times New Roman" w:hAnsi="Times New Roman" w:cs="Times New Roman"/>
          <w:szCs w:val="20"/>
        </w:rPr>
        <w:fldChar w:fldCharType="begin" w:fldLock="1"/>
      </w:r>
      <w:r w:rsidRPr="00990234">
        <w:rPr>
          <w:rFonts w:ascii="Times New Roman" w:hAnsi="Times New Roman" w:cs="Times New Roman"/>
          <w:szCs w:val="20"/>
        </w:rPr>
        <w:instrText>ADDIN CSL_CITATION { "citationItems" : [ { "id" : "ITEM-1", "itemData" : { "DOI" : "10.1037/bul0000006", "ISBN" : "1939-1455(Electronic);0033-2909(Print)", "ISSN" : "1939-1455", "PMID" : "25495239", "abstract" : "Economic approaches to decision making assume that people attach values to prospective goods and act to maximize their obtained value. Neuroeconomics strives to observe these values directly in the brain. A widely used valuation term in formal learning and decision-making models is the reward prediction error: the value of an outcome relative to its expected value. An influential theory (Holroyd &amp; Coles, 2002) claims that an electrophysiological component, feedback related negativity (FRN), codes a reward prediction error in the human brain. Such a component should be sensitive to both the prior likelihood of reward and its magnitude on receipt. A number of studies have found the FRN to be insensitive to reward magnitude, thus questioning the Holroyd and Coles account. However, because of marked inconsistencies in how the FRN is measured, a meaningful synthesis of this evidence is highly problematic. We conducted a meta-analysis of the FRN\u2019s response to both reward magnitude and likelihood using a novel method in which published effect sizes were disregarded in favor of direct measurement of the published waveforms themselves, with these waveforms then averaged to produce \u201cgreat grand averages.\u201d Under this standardized measure, the meta-analysis revealed strong effects of magnitude and likelihood on the FRN, consistent with it encoding a reward prediction error. In addition, it revealed strong main effects of reward magnitude and likelihood across much of the waveform, indicating sensitivity to unsigned prediction errors or \u201csalience.\u201d The great grand average technique is proposed as a general method for meta-analysis of event-related potential (ERP).", "author" : [ { "dropping-particle" : "", "family" : "Sambrook", "given" : "Thomas D", "non-dropping-particle" : "", "parse-names" : false, "suffix" : "" }, { "dropping-particle" : "", "family" : "Goslin", "given" : "Jeremy", "non-dropping-particle" : "", "parse-names" : false, "suffix" : "" } ], "container-title" : "Psychological Bulletin", "id" : "ITEM-1", "issue" : "1", "issued" : { "date-parts" : [ [ "2015" ] ] }, "page" : "213-235", "title" : "A neural reward prediction error revealed by a meta-analysis of ERPs using great grand averages", "type" : "article-journal", "volume" : "141" }, "uris" : [ "http://www.mendeley.com/documents/?uuid=1a1d129d-5655-4a68-874c-2674fa1915eb" ] } ], "mendeley" : { "formattedCitation" : "(Sambrook &amp; Goslin, 2015a)", "plainTextFormattedCitation" : "(Sambrook &amp; Goslin, 2015a)", "previouslyFormattedCitation" : "(Sambrook &amp; Goslin, 2015a)" }, "properties" : { "noteIndex" : 0 }, "schema" : "https://github.com/citation-style-language/schema/raw/master/csl-citation.json" }</w:instrText>
      </w:r>
      <w:r w:rsidRPr="00990234">
        <w:rPr>
          <w:rFonts w:ascii="Times New Roman" w:hAnsi="Times New Roman" w:cs="Times New Roman"/>
          <w:szCs w:val="20"/>
        </w:rPr>
        <w:fldChar w:fldCharType="separate"/>
      </w:r>
      <w:r w:rsidRPr="00990234">
        <w:rPr>
          <w:rFonts w:ascii="Times New Roman" w:hAnsi="Times New Roman" w:cs="Times New Roman"/>
          <w:noProof/>
          <w:szCs w:val="20"/>
        </w:rPr>
        <w:t>(Sambrook &amp; Goslin, 2015a)</w:t>
      </w:r>
      <w:r w:rsidRPr="00990234">
        <w:rPr>
          <w:rFonts w:ascii="Times New Roman" w:hAnsi="Times New Roman" w:cs="Times New Roman"/>
          <w:szCs w:val="20"/>
        </w:rPr>
        <w:fldChar w:fldCharType="end"/>
      </w:r>
      <w:r w:rsidRPr="00990234">
        <w:rPr>
          <w:rFonts w:ascii="Times New Roman" w:hAnsi="Times New Roman" w:cs="Times New Roman"/>
          <w:szCs w:val="20"/>
        </w:rPr>
        <w:t xml:space="preserve">. Here we examined the ERPs from 200ms onwards, </w:t>
      </w:r>
      <w:r w:rsidR="0022718B" w:rsidRPr="00990234">
        <w:rPr>
          <w:rFonts w:ascii="Times New Roman" w:hAnsi="Times New Roman" w:cs="Times New Roman"/>
          <w:szCs w:val="20"/>
        </w:rPr>
        <w:t>firstly</w:t>
      </w:r>
      <w:r w:rsidR="00E34E31" w:rsidRPr="00990234">
        <w:rPr>
          <w:rFonts w:ascii="Times New Roman" w:hAnsi="Times New Roman" w:cs="Times New Roman"/>
          <w:szCs w:val="20"/>
        </w:rPr>
        <w:t xml:space="preserve"> employing the traditional difference-wave approach </w:t>
      </w:r>
      <w:r w:rsidR="009A67BA" w:rsidRPr="00990234">
        <w:rPr>
          <w:rFonts w:ascii="Times New Roman" w:hAnsi="Times New Roman" w:cs="Times New Roman"/>
          <w:szCs w:val="20"/>
        </w:rPr>
        <w:t>within</w:t>
      </w:r>
      <w:r w:rsidR="00D154A9" w:rsidRPr="00990234">
        <w:rPr>
          <w:rFonts w:ascii="Times New Roman" w:hAnsi="Times New Roman" w:cs="Times New Roman"/>
          <w:szCs w:val="20"/>
        </w:rPr>
        <w:t xml:space="preserve"> the </w:t>
      </w:r>
      <w:r w:rsidR="009A67BA" w:rsidRPr="00990234">
        <w:rPr>
          <w:rFonts w:ascii="Times New Roman" w:hAnsi="Times New Roman" w:cs="Times New Roman"/>
          <w:szCs w:val="20"/>
        </w:rPr>
        <w:t>electrodes and time-</w:t>
      </w:r>
      <w:r w:rsidR="00D154A9" w:rsidRPr="00990234">
        <w:rPr>
          <w:rFonts w:ascii="Times New Roman" w:hAnsi="Times New Roman" w:cs="Times New Roman"/>
          <w:szCs w:val="20"/>
        </w:rPr>
        <w:t>window</w:t>
      </w:r>
      <w:r w:rsidR="009A67BA" w:rsidRPr="00990234">
        <w:rPr>
          <w:rFonts w:ascii="Times New Roman" w:hAnsi="Times New Roman" w:cs="Times New Roman"/>
          <w:szCs w:val="20"/>
        </w:rPr>
        <w:t xml:space="preserve"> recommended in the meta-analysis</w:t>
      </w:r>
      <w:r w:rsidR="00E34E31" w:rsidRPr="00990234">
        <w:rPr>
          <w:rFonts w:ascii="Times New Roman" w:hAnsi="Times New Roman" w:cs="Times New Roman"/>
          <w:szCs w:val="20"/>
        </w:rPr>
        <w:t xml:space="preserve">, </w:t>
      </w:r>
      <w:r w:rsidR="00D154A9" w:rsidRPr="00990234">
        <w:rPr>
          <w:rFonts w:ascii="Times New Roman" w:hAnsi="Times New Roman" w:cs="Times New Roman"/>
          <w:szCs w:val="20"/>
        </w:rPr>
        <w:t xml:space="preserve">and </w:t>
      </w:r>
      <w:r w:rsidR="0022718B" w:rsidRPr="00990234">
        <w:rPr>
          <w:rFonts w:ascii="Times New Roman" w:hAnsi="Times New Roman" w:cs="Times New Roman"/>
          <w:szCs w:val="20"/>
        </w:rPr>
        <w:t>secondly</w:t>
      </w:r>
      <w:r w:rsidR="00F362B4" w:rsidRPr="00990234">
        <w:rPr>
          <w:rFonts w:ascii="Times New Roman" w:hAnsi="Times New Roman" w:cs="Times New Roman"/>
          <w:szCs w:val="20"/>
        </w:rPr>
        <w:t xml:space="preserve"> in </w:t>
      </w:r>
      <w:r w:rsidR="006235CC" w:rsidRPr="00990234">
        <w:rPr>
          <w:rFonts w:ascii="Times New Roman" w:hAnsi="Times New Roman" w:cs="Times New Roman"/>
          <w:szCs w:val="20"/>
        </w:rPr>
        <w:t xml:space="preserve">through a data-driven analysis </w:t>
      </w:r>
      <w:r w:rsidR="009A67BA" w:rsidRPr="00990234">
        <w:rPr>
          <w:rFonts w:ascii="Times New Roman" w:hAnsi="Times New Roman" w:cs="Times New Roman"/>
          <w:szCs w:val="20"/>
        </w:rPr>
        <w:t xml:space="preserve">in the spatiotemporal window of </w:t>
      </w:r>
      <w:r w:rsidR="00C31745" w:rsidRPr="00990234">
        <w:rPr>
          <w:rFonts w:ascii="Times New Roman" w:hAnsi="Times New Roman" w:cs="Times New Roman"/>
          <w:szCs w:val="20"/>
        </w:rPr>
        <w:t>200-</w:t>
      </w:r>
      <w:r w:rsidR="00BD0512" w:rsidRPr="00990234">
        <w:rPr>
          <w:rFonts w:ascii="Times New Roman" w:hAnsi="Times New Roman" w:cs="Times New Roman"/>
          <w:szCs w:val="20"/>
        </w:rPr>
        <w:t>380ms</w:t>
      </w:r>
      <w:r w:rsidR="009A67BA" w:rsidRPr="00990234">
        <w:rPr>
          <w:rFonts w:ascii="Times New Roman" w:hAnsi="Times New Roman" w:cs="Times New Roman"/>
          <w:szCs w:val="20"/>
        </w:rPr>
        <w:t xml:space="preserve"> identified through coarse GFP analysis</w:t>
      </w:r>
      <w:r w:rsidR="00E34E31" w:rsidRPr="00990234">
        <w:rPr>
          <w:rFonts w:ascii="Times New Roman" w:hAnsi="Times New Roman" w:cs="Times New Roman"/>
          <w:szCs w:val="20"/>
        </w:rPr>
        <w:t>.</w:t>
      </w:r>
    </w:p>
    <w:p w:rsidR="00B176A4" w:rsidRPr="00990234" w:rsidRDefault="00B176A4" w:rsidP="00B176A4">
      <w:pPr>
        <w:spacing w:after="0" w:line="480" w:lineRule="auto"/>
        <w:ind w:right="-113" w:firstLine="720"/>
        <w:contextualSpacing/>
        <w:rPr>
          <w:rFonts w:ascii="Times New Roman" w:hAnsi="Times New Roman" w:cs="Times New Roman"/>
        </w:rPr>
      </w:pPr>
      <w:r w:rsidRPr="00990234">
        <w:rPr>
          <w:rFonts w:ascii="Times New Roman" w:hAnsi="Times New Roman" w:cs="Times New Roman"/>
        </w:rPr>
        <w:t>The commonly-used loss-gain difference-wave analysis</w:t>
      </w:r>
      <w:r w:rsidR="002F350D" w:rsidRPr="00990234">
        <w:rPr>
          <w:rFonts w:ascii="Times New Roman" w:hAnsi="Times New Roman" w:cs="Times New Roman"/>
        </w:rPr>
        <w:t xml:space="preserve"> </w:t>
      </w:r>
      <w:r w:rsidR="002F350D" w:rsidRPr="00990234">
        <w:rPr>
          <w:rFonts w:ascii="Times New Roman" w:hAnsi="Times New Roman" w:cs="Times New Roman"/>
        </w:rPr>
        <w:fldChar w:fldCharType="begin" w:fldLock="1"/>
      </w:r>
      <w:r w:rsidR="002F350D" w:rsidRPr="00990234">
        <w:rPr>
          <w:rFonts w:ascii="Times New Roman" w:hAnsi="Times New Roman" w:cs="Times New Roman"/>
        </w:rPr>
        <w:instrText>ADDIN CSL_CITATION { "citationItems" : [ { "id" : "ITEM-1", "itemData" : { "DOI" : "10.1111/psyp.12673", "ISSN" : "00485772", "author" : [ { "dropping-particle" : "", "family" : "Heydari", "given" : "Sepideh", "non-dropping-particle" : "", "parse-names" : false, "suffix" : "" }, { "dropping-particle" : "", "family" : "Holroyd", "given" : "Clay B.", "non-dropping-particle" : "", "parse-names" : false, "suffix" : "" } ], "container-title" : "Psychophysiology", "id" : "ITEM-1", "issued" : { "date-parts" : [ [ "2016" ] ] }, "page" : "1-8", "title" : "Reward positivity: Reward prediction error or salience prediction error?", "type" : "article-journal" }, "uris" : [ "http://www.mendeley.com/documents/?uuid=b642944b-866e-485a-aaed-0b73d32593b6" ] } ], "mendeley" : { "formattedCitation" : "(Heydari &amp; Holroyd, 2016)", "plainTextFormattedCitation" : "(Heydari &amp; Holroyd, 2016)", "previouslyFormattedCitation" : "(Heydari &amp; Holroyd, 2016)" }, "properties" : { "noteIndex" : 0 }, "schema" : "https://github.com/citation-style-language/schema/raw/master/csl-citation.json" }</w:instrText>
      </w:r>
      <w:r w:rsidR="002F350D" w:rsidRPr="00990234">
        <w:rPr>
          <w:rFonts w:ascii="Times New Roman" w:hAnsi="Times New Roman" w:cs="Times New Roman"/>
        </w:rPr>
        <w:fldChar w:fldCharType="separate"/>
      </w:r>
      <w:r w:rsidR="002F350D" w:rsidRPr="00990234">
        <w:rPr>
          <w:rFonts w:ascii="Times New Roman" w:hAnsi="Times New Roman" w:cs="Times New Roman"/>
          <w:noProof/>
        </w:rPr>
        <w:t>(Heydari &amp; Holroyd, 2016)</w:t>
      </w:r>
      <w:r w:rsidR="002F350D" w:rsidRPr="00990234">
        <w:rPr>
          <w:rFonts w:ascii="Times New Roman" w:hAnsi="Times New Roman" w:cs="Times New Roman"/>
        </w:rPr>
        <w:fldChar w:fldCharType="end"/>
      </w:r>
      <w:r w:rsidRPr="00990234">
        <w:rPr>
          <w:rFonts w:ascii="Times New Roman" w:hAnsi="Times New Roman" w:cs="Times New Roman"/>
        </w:rPr>
        <w:t xml:space="preserve"> was conducted to facilitate comparison between this study and previous FRN studies. We observed significant expression of appetitive FRN and aversive reverse-FRN. This result was driven by an increased positivity in response to delivered over omitted tastes in both appetitive and aversive domains and directly replicates our previous work, where we observed increased positivity to the delivery of pain and money  </w:t>
      </w:r>
      <w:r w:rsidRPr="00990234">
        <w:rPr>
          <w:rFonts w:ascii="Times New Roman" w:hAnsi="Times New Roman" w:cs="Times New Roman"/>
        </w:rPr>
        <w:fldChar w:fldCharType="begin" w:fldLock="1"/>
      </w:r>
      <w:r w:rsidRPr="00990234">
        <w:rPr>
          <w:rFonts w:ascii="Times New Roman" w:hAnsi="Times New Roman" w:cs="Times New Roman"/>
        </w:rPr>
        <w:instrText>ADDIN CSL_CITATION { "citationItems" : [ { "id" : "ITEM-1", "itemData" : { "DOI" : "10.1523/jneurosci.5695-12.2013", "abstract" : "Modulations of the feedback-related negativity (FRN) event-related potential (ERP) have been suggested as a potential biomarker in psychopathology. A dominant theory about this signal contends that it reflects the operation of the neural system underlying reinforcement learning in humans. The theory suggests that this frontocentral negative deflection in the ERP 230\u2013270 ms after the delivery of a probabilistic reward expresses a prediction error signal derived from midbrain dopaminergic projections to the anterior cingulate cortex. We tested this theory by investigating whether FRN will also be observed for an inherently aversive outcome: physical pain. In another session, the outcome was monetary reward instead of pain. As predicted, unexpected reward omissions (a negative reward prediction error) yielded a more negative deflection relative to unexpected reward delivery. Surprisingly, unexpected pain omission (a positive reward prediction error) also yielded a negative deflection relative to unexpected pain delivery. Our data challenge the theory by showing that the FRN expresses aversive prediction errors with the same sign as reward prediction errors. Both FRNs were spatiotemporally and functionally equivalent. We suggest that FRN expresses salience prediction errors rather than reward prediction errors.", "author" : [ { "dropping-particle" : "", "family" : "Talmi", "given" : "Deborah", "non-dropping-particle" : "", "parse-names" : false, "suffix" : "" }, { "dropping-particle" : "", "family" : "Atkinson", "given" : "Ryan", "non-dropping-particle" : "", "parse-names" : false, "suffix" : "" }, { "dropping-particle" : "", "family" : "El-Deredy", "given" : "Wael", "non-dropping-particle" : "", "parse-names" : false, "suffix" : "" } ], "container-title" : "The Journal of Neuroscience", "id" : "ITEM-1", "issue" : "19", "issued" : { "date-parts" : [ [ "2013" ] ] }, "page" : "8264-8269", "title" : "The Feedback-Related Negativity Signals Salience Prediction Errors, Not Reward Prediction Errors", "type" : "article-journal", "volume" : "33" }, "uris" : [ "http://www.mendeley.com/documents/?uuid=d677aa09-16f1-46ee-8185-d3fc13c1a457" ] } ], "mendeley" : { "formattedCitation" : "(Talmi et al., 2013)", "plainTextFormattedCitation" : "(Talmi et al., 2013)", "previouslyFormattedCitation" : "(Talmi et al., 2013)" }, "properties" : { "noteIndex" : 0 }, "schema" : "https://github.com/citation-style-language/schema/raw/master/csl-citation.json" }</w:instrText>
      </w:r>
      <w:r w:rsidRPr="00990234">
        <w:rPr>
          <w:rFonts w:ascii="Times New Roman" w:hAnsi="Times New Roman" w:cs="Times New Roman"/>
        </w:rPr>
        <w:fldChar w:fldCharType="separate"/>
      </w:r>
      <w:r w:rsidRPr="00990234">
        <w:rPr>
          <w:rFonts w:ascii="Times New Roman" w:hAnsi="Times New Roman" w:cs="Times New Roman"/>
          <w:noProof/>
        </w:rPr>
        <w:t>(Talmi et al., 2013)</w:t>
      </w:r>
      <w:r w:rsidRPr="00990234">
        <w:rPr>
          <w:rFonts w:ascii="Times New Roman" w:hAnsi="Times New Roman" w:cs="Times New Roman"/>
        </w:rPr>
        <w:fldChar w:fldCharType="end"/>
      </w:r>
      <w:r w:rsidRPr="00990234">
        <w:rPr>
          <w:rFonts w:ascii="Times New Roman" w:hAnsi="Times New Roman" w:cs="Times New Roman"/>
        </w:rPr>
        <w:t xml:space="preserve">, with a reverse-FRN for pain. The implication of these results is that the FRN may express response to more and less salient stimuli, rather than differentiate ‘bad’ from ‘good’. </w:t>
      </w:r>
    </w:p>
    <w:p w:rsidR="00A45901" w:rsidRPr="00990234" w:rsidRDefault="00B176A4" w:rsidP="002F350D">
      <w:pPr>
        <w:spacing w:after="0" w:line="480" w:lineRule="auto"/>
        <w:ind w:right="-113" w:firstLine="720"/>
        <w:contextualSpacing/>
        <w:rPr>
          <w:rFonts w:ascii="Times New Roman" w:hAnsi="Times New Roman" w:cs="Times New Roman"/>
          <w:noProof/>
        </w:rPr>
      </w:pPr>
      <w:r w:rsidRPr="00990234">
        <w:rPr>
          <w:rFonts w:ascii="Times New Roman" w:hAnsi="Times New Roman" w:cs="Times New Roman"/>
          <w:szCs w:val="20"/>
        </w:rPr>
        <w:t xml:space="preserve">In the data-driven analysis </w:t>
      </w:r>
      <w:r w:rsidR="00A45901" w:rsidRPr="00990234">
        <w:rPr>
          <w:rFonts w:ascii="Times New Roman" w:hAnsi="Times New Roman" w:cs="Times New Roman"/>
          <w:szCs w:val="20"/>
        </w:rPr>
        <w:t xml:space="preserve">ERPs had a more positive amplitude for tastes that were about to be </w:t>
      </w:r>
      <w:r w:rsidR="00F8678A" w:rsidRPr="00990234">
        <w:rPr>
          <w:rFonts w:ascii="Times New Roman" w:hAnsi="Times New Roman" w:cs="Times New Roman"/>
          <w:szCs w:val="20"/>
        </w:rPr>
        <w:t>d</w:t>
      </w:r>
      <w:r w:rsidR="00A45901" w:rsidRPr="00990234">
        <w:rPr>
          <w:rFonts w:ascii="Times New Roman" w:hAnsi="Times New Roman" w:cs="Times New Roman"/>
          <w:szCs w:val="20"/>
        </w:rPr>
        <w:t xml:space="preserve">elivered compared to those that were about to be </w:t>
      </w:r>
      <w:r w:rsidR="00F8678A" w:rsidRPr="00990234">
        <w:rPr>
          <w:rFonts w:ascii="Times New Roman" w:hAnsi="Times New Roman" w:cs="Times New Roman"/>
          <w:szCs w:val="20"/>
        </w:rPr>
        <w:t>o</w:t>
      </w:r>
      <w:r w:rsidR="00A45901" w:rsidRPr="00990234">
        <w:rPr>
          <w:rFonts w:ascii="Times New Roman" w:hAnsi="Times New Roman" w:cs="Times New Roman"/>
          <w:szCs w:val="20"/>
        </w:rPr>
        <w:t xml:space="preserve">mitted, and were also more positive for tastes that were </w:t>
      </w:r>
      <w:r w:rsidR="00F8678A" w:rsidRPr="00990234">
        <w:rPr>
          <w:rFonts w:ascii="Times New Roman" w:hAnsi="Times New Roman" w:cs="Times New Roman"/>
          <w:szCs w:val="20"/>
        </w:rPr>
        <w:t>u</w:t>
      </w:r>
      <w:r w:rsidR="00A45901" w:rsidRPr="00990234">
        <w:rPr>
          <w:rFonts w:ascii="Times New Roman" w:hAnsi="Times New Roman" w:cs="Times New Roman"/>
          <w:szCs w:val="20"/>
        </w:rPr>
        <w:t xml:space="preserve">nexpected compared to those that were </w:t>
      </w:r>
      <w:r w:rsidR="00F8678A" w:rsidRPr="00990234">
        <w:rPr>
          <w:rFonts w:ascii="Times New Roman" w:hAnsi="Times New Roman" w:cs="Times New Roman"/>
          <w:szCs w:val="20"/>
        </w:rPr>
        <w:t>e</w:t>
      </w:r>
      <w:r w:rsidR="00A45901" w:rsidRPr="00990234">
        <w:rPr>
          <w:rFonts w:ascii="Times New Roman" w:hAnsi="Times New Roman" w:cs="Times New Roman"/>
          <w:szCs w:val="20"/>
        </w:rPr>
        <w:t xml:space="preserve">xpected. Using the terminology of Schultz (2016), this expression of </w:t>
      </w:r>
      <w:r w:rsidR="00A45901" w:rsidRPr="00990234">
        <w:rPr>
          <w:rFonts w:ascii="Times New Roman" w:hAnsi="Times New Roman" w:cs="Times New Roman"/>
        </w:rPr>
        <w:t xml:space="preserve">motivational salience and surprise salience, respectively, was observed </w:t>
      </w:r>
      <w:r w:rsidR="008C7C5D" w:rsidRPr="00990234">
        <w:rPr>
          <w:rFonts w:ascii="Times New Roman" w:hAnsi="Times New Roman" w:cs="Times New Roman"/>
        </w:rPr>
        <w:t xml:space="preserve">for both </w:t>
      </w:r>
      <w:r w:rsidR="00A45901" w:rsidRPr="00990234">
        <w:rPr>
          <w:rFonts w:ascii="Times New Roman" w:hAnsi="Times New Roman" w:cs="Times New Roman"/>
        </w:rPr>
        <w:t>a</w:t>
      </w:r>
      <w:r w:rsidR="00382389" w:rsidRPr="00990234">
        <w:rPr>
          <w:rFonts w:ascii="Times New Roman" w:hAnsi="Times New Roman" w:cs="Times New Roman"/>
        </w:rPr>
        <w:t>ppetitive and aversive outcomes</w:t>
      </w:r>
      <w:r w:rsidR="008C7C5D" w:rsidRPr="00990234">
        <w:rPr>
          <w:rFonts w:ascii="Times New Roman" w:hAnsi="Times New Roman" w:cs="Times New Roman"/>
        </w:rPr>
        <w:t xml:space="preserve"> (i.e. </w:t>
      </w:r>
      <w:r w:rsidR="00F8678A" w:rsidRPr="00990234">
        <w:rPr>
          <w:rFonts w:ascii="Times New Roman" w:hAnsi="Times New Roman" w:cs="Times New Roman"/>
        </w:rPr>
        <w:t>s</w:t>
      </w:r>
      <w:r w:rsidR="008C7C5D" w:rsidRPr="00990234">
        <w:rPr>
          <w:rFonts w:ascii="Times New Roman" w:hAnsi="Times New Roman" w:cs="Times New Roman"/>
        </w:rPr>
        <w:t xml:space="preserve">weet and </w:t>
      </w:r>
      <w:r w:rsidR="00F8678A" w:rsidRPr="00990234">
        <w:rPr>
          <w:rFonts w:ascii="Times New Roman" w:hAnsi="Times New Roman" w:cs="Times New Roman"/>
        </w:rPr>
        <w:t>b</w:t>
      </w:r>
      <w:r w:rsidR="008C7C5D" w:rsidRPr="00990234">
        <w:rPr>
          <w:rFonts w:ascii="Times New Roman" w:hAnsi="Times New Roman" w:cs="Times New Roman"/>
        </w:rPr>
        <w:t>itter tastes)</w:t>
      </w:r>
      <w:r w:rsidR="00382389" w:rsidRPr="00990234">
        <w:rPr>
          <w:rFonts w:ascii="Times New Roman" w:hAnsi="Times New Roman" w:cs="Times New Roman"/>
        </w:rPr>
        <w:t xml:space="preserve">. </w:t>
      </w:r>
      <w:r w:rsidR="008C7C5D" w:rsidRPr="00990234">
        <w:rPr>
          <w:rFonts w:ascii="Times New Roman" w:hAnsi="Times New Roman" w:cs="Times New Roman"/>
        </w:rPr>
        <w:t xml:space="preserve">The response to motivational salience </w:t>
      </w:r>
      <w:r w:rsidR="00971276" w:rsidRPr="00990234">
        <w:rPr>
          <w:rFonts w:ascii="Times New Roman" w:hAnsi="Times New Roman" w:cs="Times New Roman"/>
        </w:rPr>
        <w:t xml:space="preserve">peaked </w:t>
      </w:r>
      <w:r w:rsidR="008C7C5D" w:rsidRPr="00990234">
        <w:rPr>
          <w:rFonts w:ascii="Times New Roman" w:hAnsi="Times New Roman" w:cs="Times New Roman"/>
        </w:rPr>
        <w:t>particularly early, around 220ms</w:t>
      </w:r>
      <w:r w:rsidR="00971276" w:rsidRPr="00990234">
        <w:rPr>
          <w:rFonts w:ascii="Times New Roman" w:hAnsi="Times New Roman" w:cs="Times New Roman"/>
        </w:rPr>
        <w:t xml:space="preserve">, </w:t>
      </w:r>
      <w:r w:rsidR="00A45901" w:rsidRPr="00990234">
        <w:rPr>
          <w:rFonts w:ascii="Times New Roman" w:hAnsi="Times New Roman" w:cs="Times New Roman"/>
        </w:rPr>
        <w:t xml:space="preserve">in agreement with recent proposals of an initial unsigned response that represents various forms of salience rather than utility </w:t>
      </w:r>
      <w:r w:rsidR="00A45901" w:rsidRPr="00990234">
        <w:rPr>
          <w:rFonts w:ascii="Times New Roman" w:hAnsi="Times New Roman" w:cs="Times New Roman"/>
        </w:rPr>
        <w:fldChar w:fldCharType="begin" w:fldLock="1"/>
      </w:r>
      <w:r w:rsidR="00E730F1" w:rsidRPr="00990234">
        <w:rPr>
          <w:rFonts w:ascii="Times New Roman" w:hAnsi="Times New Roman" w:cs="Times New Roman"/>
        </w:rPr>
        <w:instrText>ADDIN CSL_CITATION { "citationItems" : [ { "id" : "ITEM-1", "itemData" : { "DOI" : "10.1038/nrn.2015.26", "ISSN" : "1471-003X", "PMID" : "26865020", "author" : [ { "dropping-particle" : "", "family" : "Schultz", "given" : "Wolfram", "non-dropping-particle" : "", "parse-names" : false, "suffix" : "" } ], "container-title" : "Nature Publishing Group", "id" : "ITEM-1", "issue" : "3", "issued" : { "date-parts" : [ [ "2016" ] ] }, "page" : "183-195", "publisher" : "Nature Publishing Group", "title" : "Dopamine reward prediction- error signalling: a two-component response", "type" : "article-journal", "volume" : "17" }, "uris" : [ "http://www.mendeley.com/documents/?uuid=3f2acb5d-c4fc-429f-9cbe-0a4d399b2f8d" ] } ], "mendeley" : { "formattedCitation" : "(Wolfram Schultz, 2016)", "manualFormatting" : "(Schultz, 2016)", "plainTextFormattedCitation" : "(Wolfram Schultz, 2016)", "previouslyFormattedCitation" : "(Wolfram Schultz, 2016)" }, "properties" : { "noteIndex" : 0 }, "schema" : "https://github.com/citation-style-language/schema/raw/master/csl-citation.json" }</w:instrText>
      </w:r>
      <w:r w:rsidR="00A45901" w:rsidRPr="00990234">
        <w:rPr>
          <w:rFonts w:ascii="Times New Roman" w:hAnsi="Times New Roman" w:cs="Times New Roman"/>
        </w:rPr>
        <w:fldChar w:fldCharType="separate"/>
      </w:r>
      <w:r w:rsidR="00A45901" w:rsidRPr="00990234">
        <w:rPr>
          <w:rFonts w:ascii="Times New Roman" w:hAnsi="Times New Roman" w:cs="Times New Roman"/>
          <w:noProof/>
        </w:rPr>
        <w:t>(Schultz, 2016)</w:t>
      </w:r>
      <w:r w:rsidR="00A45901" w:rsidRPr="00990234">
        <w:rPr>
          <w:rFonts w:ascii="Times New Roman" w:hAnsi="Times New Roman" w:cs="Times New Roman"/>
        </w:rPr>
        <w:fldChar w:fldCharType="end"/>
      </w:r>
      <w:r w:rsidR="00A45901" w:rsidRPr="00990234">
        <w:rPr>
          <w:rFonts w:ascii="Times New Roman" w:hAnsi="Times New Roman" w:cs="Times New Roman"/>
        </w:rPr>
        <w:t xml:space="preserve">. This finding replicates our previous work with pain and money outcomes, where ERPs differentiated between pain and money that were about to be delivered and those about to be omitted </w:t>
      </w:r>
      <w:r w:rsidR="00AC2EA9" w:rsidRPr="00990234">
        <w:rPr>
          <w:rFonts w:ascii="Times New Roman" w:hAnsi="Times New Roman" w:cs="Times New Roman"/>
        </w:rPr>
        <w:t xml:space="preserve">around </w:t>
      </w:r>
      <w:r w:rsidR="00A45901" w:rsidRPr="00990234">
        <w:rPr>
          <w:rFonts w:ascii="Times New Roman" w:hAnsi="Times New Roman" w:cs="Times New Roman"/>
        </w:rPr>
        <w:t>2</w:t>
      </w:r>
      <w:r w:rsidR="00AC2EA9" w:rsidRPr="00990234">
        <w:rPr>
          <w:rFonts w:ascii="Times New Roman" w:hAnsi="Times New Roman" w:cs="Times New Roman"/>
        </w:rPr>
        <w:t>00</w:t>
      </w:r>
      <w:r w:rsidR="00A45901" w:rsidRPr="00990234">
        <w:rPr>
          <w:rFonts w:ascii="Times New Roman" w:hAnsi="Times New Roman" w:cs="Times New Roman"/>
        </w:rPr>
        <w:t>-2</w:t>
      </w:r>
      <w:r w:rsidR="00AC2EA9" w:rsidRPr="00990234">
        <w:rPr>
          <w:rFonts w:ascii="Times New Roman" w:hAnsi="Times New Roman" w:cs="Times New Roman"/>
        </w:rPr>
        <w:t>90</w:t>
      </w:r>
      <w:r w:rsidR="00A45901" w:rsidRPr="00990234">
        <w:rPr>
          <w:rFonts w:ascii="Times New Roman" w:hAnsi="Times New Roman" w:cs="Times New Roman"/>
        </w:rPr>
        <w:t xml:space="preserve">ms after the cue </w:t>
      </w:r>
      <w:r w:rsidR="00A45901" w:rsidRPr="00990234">
        <w:rPr>
          <w:rFonts w:ascii="Times New Roman" w:hAnsi="Times New Roman" w:cs="Times New Roman"/>
        </w:rPr>
        <w:fldChar w:fldCharType="begin" w:fldLock="1"/>
      </w:r>
      <w:r w:rsidR="00A45901" w:rsidRPr="00990234">
        <w:rPr>
          <w:rFonts w:ascii="Times New Roman" w:hAnsi="Times New Roman" w:cs="Times New Roman"/>
        </w:rPr>
        <w:instrText>ADDIN CSL_CITATION { "citationItems" : [ { "id" : "ITEM-1", "itemData" : { "DOI" : "10.1523/jneurosci.5695-12.2013", "abstract" : "Modulations of the feedback-related negativity (FRN) event-related potential (ERP) have been suggested as a potential biomarker in psychopathology. A dominant theory about this signal contends that it reflects the operation of the neural system underlying reinforcement learning in humans. The theory suggests that this frontocentral negative deflection in the ERP 230\u2013270 ms after the delivery of a probabilistic reward expresses a prediction error signal derived from midbrain dopaminergic projections to the anterior cingulate cortex. We tested this theory by investigating whether FRN will also be observed for an inherently aversive outcome: physical pain. In another session, the outcome was monetary reward instead of pain. As predicted, unexpected reward omissions (a negative reward prediction error) yielded a more negative deflection relative to unexpected reward delivery. Surprisingly, unexpected pain omission (a positive reward prediction error) also yielded a negative deflection relative to unexpected pain delivery. Our data challenge the theory by showing that the FRN expresses aversive prediction errors with the same sign as reward prediction errors. Both FRNs were spatiotemporally and functionally equivalent. We suggest that FRN expresses salience prediction errors rather than reward prediction errors.", "author" : [ { "dropping-particle" : "", "family" : "Talmi", "given" : "Deborah", "non-dropping-particle" : "", "parse-names" : false, "suffix" : "" }, { "dropping-particle" : "", "family" : "Atkinson", "given" : "Ryan", "non-dropping-particle" : "", "parse-names" : false, "suffix" : "" }, { "dropping-particle" : "", "family" : "El-Deredy", "given" : "Wael", "non-dropping-particle" : "", "parse-names" : false, "suffix" : "" } ], "container-title" : "The Journal of Neuroscience", "id" : "ITEM-1", "issue" : "19", "issued" : { "date-parts" : [ [ "2013" ] ] }, "page" : "8264-8269", "title" : "The Feedback-Related Negativity Signals Salience Prediction Errors, Not Reward Prediction Errors", "type" : "article-journal", "volume" : "33" }, "uris" : [ "http://www.mendeley.com/documents/?uuid=d677aa09-16f1-46ee-8185-d3fc13c1a457" ] } ], "mendeley" : { "formattedCitation" : "(Talmi et al., 2013)", "plainTextFormattedCitation" : "(Talmi et al., 2013)", "previouslyFormattedCitation" : "(Talmi et al., 2013)" }, "properties" : { "noteIndex" : 0 }, "schema" : "https://github.com/citation-style-language/schema/raw/master/csl-citation.json" }</w:instrText>
      </w:r>
      <w:r w:rsidR="00A45901" w:rsidRPr="00990234">
        <w:rPr>
          <w:rFonts w:ascii="Times New Roman" w:hAnsi="Times New Roman" w:cs="Times New Roman"/>
        </w:rPr>
        <w:fldChar w:fldCharType="separate"/>
      </w:r>
      <w:r w:rsidR="00A45901" w:rsidRPr="00990234">
        <w:rPr>
          <w:rFonts w:ascii="Times New Roman" w:hAnsi="Times New Roman" w:cs="Times New Roman"/>
          <w:noProof/>
        </w:rPr>
        <w:t>(Talmi et al., 2013)</w:t>
      </w:r>
      <w:r w:rsidR="00A45901" w:rsidRPr="00990234">
        <w:rPr>
          <w:rFonts w:ascii="Times New Roman" w:hAnsi="Times New Roman" w:cs="Times New Roman"/>
        </w:rPr>
        <w:fldChar w:fldCharType="end"/>
      </w:r>
      <w:r w:rsidR="00A45901" w:rsidRPr="00990234">
        <w:rPr>
          <w:rFonts w:ascii="Times New Roman" w:hAnsi="Times New Roman" w:cs="Times New Roman"/>
        </w:rPr>
        <w:t xml:space="preserve">. </w:t>
      </w:r>
      <w:r w:rsidR="00971276" w:rsidRPr="00990234">
        <w:rPr>
          <w:rFonts w:ascii="Times New Roman" w:hAnsi="Times New Roman" w:cs="Times New Roman"/>
        </w:rPr>
        <w:t>It is important to note that the main effect of outcome here drove the results reported above for the traditional difference-wave analysis. As per previous suggestions</w:t>
      </w:r>
      <w:r w:rsidR="00CA58DD" w:rsidRPr="00990234">
        <w:rPr>
          <w:rFonts w:ascii="Times New Roman" w:hAnsi="Times New Roman" w:cs="Times New Roman"/>
        </w:rPr>
        <w:t xml:space="preserve"> </w:t>
      </w:r>
      <w:r w:rsidR="00CA58DD" w:rsidRPr="00990234">
        <w:rPr>
          <w:rFonts w:ascii="Times New Roman" w:hAnsi="Times New Roman" w:cs="Times New Roman"/>
        </w:rPr>
        <w:fldChar w:fldCharType="begin" w:fldLock="1"/>
      </w:r>
      <w:r w:rsidR="002F350D" w:rsidRPr="00990234">
        <w:rPr>
          <w:rFonts w:ascii="Times New Roman" w:hAnsi="Times New Roman" w:cs="Times New Roman"/>
        </w:rPr>
        <w:instrText>ADDIN CSL_CITATION { "citationItems" : [ { "id" : "ITEM-1", "itemData" : { "DOI" : "10.1016/j.neuroimage.2015.07.032", "ISSN" : "1095-9572", "PMID" : "26196667", "abstract" : "Models of reinforcement learning represent reward and punishment in terms of reward prediction errors (RPEs), quantitative signed terms describing the degree to which outcomes are better than expected (positive RPEs) or worse (negative RPEs). An electrophysiological component known as feedback related negativity (FRN) occurs at frontocentral sites 240-340ms after feedback on whether a reward or punishment is obtained, and has been claimed to neurally encode an RPE. An outstanding question however, is whether the FRN is sensitive to the size of both positive RPEs and negative RPEs. Previous attempts to answer this question have examined the simple effects of RPE size for positive RPEs and negative RPEs separately. However, this methodology can be compromised by overlap from components coding for unsigned prediction error size, or \"salience\", which are sensitive to the absolute size of a prediction error but not its valence. In our study, positive and negative RPEs were parametrically modulated using both reward likelihood and magnitude, with principal components analysis used to separate out overlying components. This revealed a single RPE encoding component responsive to the size of positive RPEs, peaking at ~330ms, and occupying the delta frequency band. Other components responsive to unsigned prediction error size were shown, but no component sensitive to negative RPE size was found.", "author" : [ { "dropping-particle" : "", "family" : "Sambrook", "given" : "Thomas D", "non-dropping-particle" : "", "parse-names" : false, "suffix" : "" }, { "dropping-particle" : "", "family" : "Goslin", "given" : "Jeremy", "non-dropping-particle" : "", "parse-names" : false, "suffix" : "" } ], "container-title" : "NeuroImage", "id" : "ITEM-1", "issue" : "Pt A", "issued" : { "date-parts" : [ [ "2015" ] ] }, "page" : "276-286", "publisher" : "Elsevier Inc.", "title" : "Principal components analysis of reward prediction errors in a reinforcement learning task.", "type" : "article-journal", "volume" : "124" }, "uris" : [ "http://www.mendeley.com/documents/?uuid=e237d9d3-b967-436d-a9dc-7ac0a6e39700" ] }, { "id" : "ITEM-2", "itemData" : { "author" : [ { "dropping-particle" : "", "family" : "Holroyd", "given" : "Clay", "non-dropping-particle" : "", "parse-names" : false, "suffix" : "" } ], "container-title" : "Neurophysiology", "id" : "ITEM-2", "issued" : { "date-parts" : [ [ "2004" ] ] }, "page" : "447-455", "title" : "A note on the oddball N200 and the feedback ERN", "type" : "article-journal", "volume" : "78" }, "uris" : [ "http://www.mendeley.com/documents/?uuid=ba1c546a-5c38-4740-bb48-91fff6276502" ] } ], "mendeley" : { "formattedCitation" : "(C. Holroyd, 2004; Sambrook &amp; Goslin, 2015b)", "manualFormatting" : "(Holroyd, 2004; Sambrook &amp; Goslin, 2015b)", "plainTextFormattedCitation" : "(C. Holroyd, 2004; Sambrook &amp; Goslin, 2015b)", "previouslyFormattedCitation" : "(C. Holroyd, 2004; Sambrook &amp; Goslin, 2015b)" }, "properties" : { "noteIndex" : 0 }, "schema" : "https://github.com/citation-style-language/schema/raw/master/csl-citation.json" }</w:instrText>
      </w:r>
      <w:r w:rsidR="00CA58DD" w:rsidRPr="00990234">
        <w:rPr>
          <w:rFonts w:ascii="Times New Roman" w:hAnsi="Times New Roman" w:cs="Times New Roman"/>
        </w:rPr>
        <w:fldChar w:fldCharType="separate"/>
      </w:r>
      <w:r w:rsidR="002F350D" w:rsidRPr="00990234">
        <w:rPr>
          <w:rFonts w:ascii="Times New Roman" w:hAnsi="Times New Roman" w:cs="Times New Roman"/>
          <w:noProof/>
        </w:rPr>
        <w:t>(</w:t>
      </w:r>
      <w:r w:rsidR="00CA58DD" w:rsidRPr="00990234">
        <w:rPr>
          <w:rFonts w:ascii="Times New Roman" w:hAnsi="Times New Roman" w:cs="Times New Roman"/>
          <w:noProof/>
        </w:rPr>
        <w:t xml:space="preserve">Holroyd, </w:t>
      </w:r>
      <w:r w:rsidR="00CA58DD" w:rsidRPr="00990234">
        <w:rPr>
          <w:rFonts w:ascii="Times New Roman" w:hAnsi="Times New Roman" w:cs="Times New Roman"/>
          <w:noProof/>
        </w:rPr>
        <w:lastRenderedPageBreak/>
        <w:t>2004; Sambrook &amp; Goslin, 2015b)</w:t>
      </w:r>
      <w:r w:rsidR="00CA58DD" w:rsidRPr="00990234">
        <w:rPr>
          <w:rFonts w:ascii="Times New Roman" w:hAnsi="Times New Roman" w:cs="Times New Roman"/>
        </w:rPr>
        <w:fldChar w:fldCharType="end"/>
      </w:r>
      <w:r w:rsidR="00971276" w:rsidRPr="00990234">
        <w:rPr>
          <w:rFonts w:ascii="Times New Roman" w:hAnsi="Times New Roman" w:cs="Times New Roman"/>
        </w:rPr>
        <w:t xml:space="preserve"> the early response to motivational salience is likely related to the N2.</w:t>
      </w:r>
    </w:p>
    <w:p w:rsidR="0008447B" w:rsidRPr="00990234" w:rsidRDefault="0032739A" w:rsidP="00971276">
      <w:pPr>
        <w:spacing w:after="0" w:line="480" w:lineRule="auto"/>
        <w:ind w:right="-113" w:firstLine="720"/>
        <w:contextualSpacing/>
        <w:rPr>
          <w:rFonts w:ascii="Times New Roman" w:hAnsi="Times New Roman" w:cs="Times New Roman"/>
        </w:rPr>
      </w:pPr>
      <w:r w:rsidRPr="00990234">
        <w:rPr>
          <w:rFonts w:ascii="Times New Roman" w:hAnsi="Times New Roman" w:cs="Times New Roman"/>
        </w:rPr>
        <w:t>F</w:t>
      </w:r>
      <w:r w:rsidR="00A45901" w:rsidRPr="00990234">
        <w:rPr>
          <w:rFonts w:ascii="Times New Roman" w:hAnsi="Times New Roman" w:cs="Times New Roman"/>
        </w:rPr>
        <w:t xml:space="preserve">rontocentral ERPs </w:t>
      </w:r>
      <w:r w:rsidR="008C7C5D" w:rsidRPr="00990234">
        <w:rPr>
          <w:rFonts w:ascii="Times New Roman" w:hAnsi="Times New Roman" w:cs="Times New Roman"/>
        </w:rPr>
        <w:t xml:space="preserve">at 285ms </w:t>
      </w:r>
      <w:r w:rsidR="00382389" w:rsidRPr="00990234">
        <w:rPr>
          <w:rFonts w:ascii="Times New Roman" w:hAnsi="Times New Roman" w:cs="Times New Roman"/>
        </w:rPr>
        <w:t>in the aversive domain,</w:t>
      </w:r>
      <w:r w:rsidR="00A45901" w:rsidRPr="00990234">
        <w:rPr>
          <w:rFonts w:ascii="Times New Roman" w:hAnsi="Times New Roman" w:cs="Times New Roman"/>
        </w:rPr>
        <w:t xml:space="preserve"> in experimental blocks where only </w:t>
      </w:r>
      <w:r w:rsidR="006205DA" w:rsidRPr="00990234">
        <w:rPr>
          <w:rFonts w:ascii="Times New Roman" w:hAnsi="Times New Roman" w:cs="Times New Roman"/>
        </w:rPr>
        <w:t>D</w:t>
      </w:r>
      <w:r w:rsidR="00A45901" w:rsidRPr="00990234">
        <w:rPr>
          <w:rFonts w:ascii="Times New Roman" w:hAnsi="Times New Roman" w:cs="Times New Roman"/>
        </w:rPr>
        <w:t xml:space="preserve">elivery or </w:t>
      </w:r>
      <w:r w:rsidR="006205DA" w:rsidRPr="00990234">
        <w:rPr>
          <w:rFonts w:ascii="Times New Roman" w:hAnsi="Times New Roman" w:cs="Times New Roman"/>
        </w:rPr>
        <w:t>O</w:t>
      </w:r>
      <w:r w:rsidR="00A45901" w:rsidRPr="00990234">
        <w:rPr>
          <w:rFonts w:ascii="Times New Roman" w:hAnsi="Times New Roman" w:cs="Times New Roman"/>
        </w:rPr>
        <w:t>missio</w:t>
      </w:r>
      <w:r w:rsidR="00382389" w:rsidRPr="00990234">
        <w:rPr>
          <w:rFonts w:ascii="Times New Roman" w:hAnsi="Times New Roman" w:cs="Times New Roman"/>
        </w:rPr>
        <w:t>n of bitter taste was possible,</w:t>
      </w:r>
      <w:r w:rsidR="00A45901" w:rsidRPr="00990234">
        <w:rPr>
          <w:rFonts w:ascii="Times New Roman" w:hAnsi="Times New Roman" w:cs="Times New Roman"/>
        </w:rPr>
        <w:t xml:space="preserve"> conformed to the logic of an axiomatic model of prediction error</w:t>
      </w:r>
      <w:r w:rsidR="00460910" w:rsidRPr="00990234">
        <w:rPr>
          <w:rFonts w:ascii="Times New Roman" w:hAnsi="Times New Roman" w:cs="Times New Roman"/>
        </w:rPr>
        <w:t>.</w:t>
      </w:r>
      <w:r w:rsidR="00A45901" w:rsidRPr="00990234">
        <w:rPr>
          <w:rFonts w:ascii="Times New Roman" w:hAnsi="Times New Roman" w:cs="Times New Roman"/>
        </w:rPr>
        <w:t xml:space="preserve"> </w:t>
      </w:r>
      <w:r w:rsidR="00382389" w:rsidRPr="00990234">
        <w:rPr>
          <w:rFonts w:ascii="Times New Roman" w:hAnsi="Times New Roman" w:cs="Times New Roman"/>
        </w:rPr>
        <w:t>The key pattern specified by the Axiomatic Model of prediction error is an interaction between outcome and expectancy</w:t>
      </w:r>
      <w:r w:rsidR="00C75026" w:rsidRPr="00990234">
        <w:rPr>
          <w:rFonts w:ascii="Times New Roman" w:hAnsi="Times New Roman" w:cs="Times New Roman"/>
        </w:rPr>
        <w:t xml:space="preserve"> </w:t>
      </w:r>
      <w:r w:rsidR="00C75026" w:rsidRPr="00990234">
        <w:rPr>
          <w:rFonts w:ascii="Times New Roman" w:hAnsi="Times New Roman" w:cs="Times New Roman"/>
        </w:rPr>
        <w:fldChar w:fldCharType="begin" w:fldLock="1"/>
      </w:r>
      <w:r w:rsidR="00E730F1" w:rsidRPr="00990234">
        <w:rPr>
          <w:rFonts w:ascii="Times New Roman" w:hAnsi="Times New Roman" w:cs="Times New Roman"/>
        </w:rPr>
        <w:instrText>ADDIN CSL_CITATION { "citationItems" : [ { "id" : "ITEM-1", "itemData" : { "DOI" : "10.1523/JNEUROSCI.1747-10.2010", "ISBN" : "0270-6474, 1529-2401", "ISSN" : "0270-6474", "PMID" : "20926678", "abstract" : "Neuroimaging studies typically identify neural activity correlated with the predictions of highly parameterized models, like the many reward prediction error (RPE) models used to study reinforcement learning. Identified brain areas might encode RPEs or, alternatively, only have activity correlated with RPE model predictions. Here, we use an alternate axiomatic approach rooted in economic theory to formally test the entire class of RPE models on neural data. We show that measurements of human neural activity from the striatum, medial prefrontal cortex, amygdala, and posterior cingulate cortex satisfy necessary and sufficient conditions for the entire class of RPE models. However, activity measured from the anterior insula falsifies the axiomatic model, and therefore no RPE model can account for measured activity. Further analysis suggests the anterior insula might instead encode something related to the salience of an outcome. As cognitive neuroscience matures and models proliferate, formal approaches of this kind that assess entire model classes rather than specific model exemplars may take on increased significance.", "author" : [ { "dropping-particle" : "", "family" : "Rutledge", "given" : "Robb B", "non-dropping-particle" : "", "parse-names" : false, "suffix" : "" }, { "dropping-particle" : "", "family" : "Dean", "given" : "Mark", "non-dropping-particle" : "", "parse-names" : false, "suffix" : "" }, { "dropping-particle" : "", "family" : "Caplin", "given" : "Andrew", "non-dropping-particle" : "", "parse-names" : false, "suffix" : "" }, { "dropping-particle" : "", "family" : "Glimcher", "given" : "Paul W", "non-dropping-particle" : "", "parse-names" : false, "suffix" : "" } ], "container-title" : "The Journal of neuroscience : the official journal of the Society for Neuroscience", "id" : "ITEM-1", "issue" : "40", "issued" : { "date-parts" : [ [ "2010" ] ] }, "note" : "axiom 1", "page" : "13525-13536", "title" : "Testing the reward prediction error hypothesis with an axiomatic model.", "type" : "article-journal", "volume" : "30" }, "uris" : [ "http://www.mendeley.com/documents/?uuid=8b4ea8d9-632e-4597-a0cf-f03a8b18c7f9" ] } ], "mendeley" : { "formattedCitation" : "(Rutledge et al., 2010)", "plainTextFormattedCitation" : "(Rutledge et al., 2010)", "previouslyFormattedCitation" : "(Rutledge et al., 2010)" }, "properties" : { "noteIndex" : 0 }, "schema" : "https://github.com/citation-style-language/schema/raw/master/csl-citation.json" }</w:instrText>
      </w:r>
      <w:r w:rsidR="00C75026" w:rsidRPr="00990234">
        <w:rPr>
          <w:rFonts w:ascii="Times New Roman" w:hAnsi="Times New Roman" w:cs="Times New Roman"/>
        </w:rPr>
        <w:fldChar w:fldCharType="separate"/>
      </w:r>
      <w:r w:rsidR="00C75026" w:rsidRPr="00990234">
        <w:rPr>
          <w:rFonts w:ascii="Times New Roman" w:hAnsi="Times New Roman" w:cs="Times New Roman"/>
          <w:noProof/>
        </w:rPr>
        <w:t>(Rutledge et al., 2010)</w:t>
      </w:r>
      <w:r w:rsidR="00C75026" w:rsidRPr="00990234">
        <w:rPr>
          <w:rFonts w:ascii="Times New Roman" w:hAnsi="Times New Roman" w:cs="Times New Roman"/>
        </w:rPr>
        <w:fldChar w:fldCharType="end"/>
      </w:r>
      <w:r w:rsidR="00382389" w:rsidRPr="00990234">
        <w:rPr>
          <w:rFonts w:ascii="Times New Roman" w:hAnsi="Times New Roman" w:cs="Times New Roman"/>
        </w:rPr>
        <w:t xml:space="preserve">. </w:t>
      </w:r>
      <w:r w:rsidR="00A45901" w:rsidRPr="00990234">
        <w:rPr>
          <w:rFonts w:ascii="Times New Roman" w:hAnsi="Times New Roman" w:cs="Times New Roman"/>
        </w:rPr>
        <w:t xml:space="preserve"> At that time window</w:t>
      </w:r>
      <w:r w:rsidR="008C7C5D" w:rsidRPr="00990234">
        <w:rPr>
          <w:rFonts w:ascii="Times New Roman" w:hAnsi="Times New Roman" w:cs="Times New Roman"/>
        </w:rPr>
        <w:t xml:space="preserve"> in the </w:t>
      </w:r>
      <w:r w:rsidR="00F8678A" w:rsidRPr="00990234">
        <w:rPr>
          <w:rFonts w:ascii="Times New Roman" w:hAnsi="Times New Roman" w:cs="Times New Roman"/>
        </w:rPr>
        <w:t>b</w:t>
      </w:r>
      <w:r w:rsidR="008C7C5D" w:rsidRPr="00990234">
        <w:rPr>
          <w:rFonts w:ascii="Times New Roman" w:hAnsi="Times New Roman" w:cs="Times New Roman"/>
        </w:rPr>
        <w:t xml:space="preserve">itter condition </w:t>
      </w:r>
      <w:r w:rsidR="00A45901" w:rsidRPr="00990234">
        <w:rPr>
          <w:rFonts w:ascii="Times New Roman" w:hAnsi="Times New Roman" w:cs="Times New Roman"/>
        </w:rPr>
        <w:t xml:space="preserve">ERPs were more positive for outcome </w:t>
      </w:r>
      <w:r w:rsidR="00F8678A" w:rsidRPr="00990234">
        <w:rPr>
          <w:rFonts w:ascii="Times New Roman" w:hAnsi="Times New Roman" w:cs="Times New Roman"/>
        </w:rPr>
        <w:t>d</w:t>
      </w:r>
      <w:r w:rsidR="00A45901" w:rsidRPr="00990234">
        <w:rPr>
          <w:rFonts w:ascii="Times New Roman" w:hAnsi="Times New Roman" w:cs="Times New Roman"/>
        </w:rPr>
        <w:t xml:space="preserve">elivery relative to </w:t>
      </w:r>
      <w:r w:rsidR="00F8678A" w:rsidRPr="00990234">
        <w:rPr>
          <w:rFonts w:ascii="Times New Roman" w:hAnsi="Times New Roman" w:cs="Times New Roman"/>
        </w:rPr>
        <w:t>o</w:t>
      </w:r>
      <w:r w:rsidR="00A45901" w:rsidRPr="00990234">
        <w:rPr>
          <w:rFonts w:ascii="Times New Roman" w:hAnsi="Times New Roman" w:cs="Times New Roman"/>
        </w:rPr>
        <w:t xml:space="preserve">mission, </w:t>
      </w:r>
      <w:r w:rsidR="008C7C5D" w:rsidRPr="00990234">
        <w:rPr>
          <w:rFonts w:ascii="Times New Roman" w:hAnsi="Times New Roman" w:cs="Times New Roman"/>
        </w:rPr>
        <w:t xml:space="preserve">a difference that was more pronounced </w:t>
      </w:r>
      <w:r w:rsidR="0008447B" w:rsidRPr="00990234">
        <w:rPr>
          <w:rFonts w:ascii="Times New Roman" w:hAnsi="Times New Roman" w:cs="Times New Roman"/>
        </w:rPr>
        <w:t xml:space="preserve">when outcomes were </w:t>
      </w:r>
      <w:r w:rsidR="00F8678A" w:rsidRPr="00990234">
        <w:rPr>
          <w:rFonts w:ascii="Times New Roman" w:hAnsi="Times New Roman" w:cs="Times New Roman"/>
        </w:rPr>
        <w:t>u</w:t>
      </w:r>
      <w:r w:rsidR="00A45901" w:rsidRPr="00990234">
        <w:rPr>
          <w:rFonts w:ascii="Times New Roman" w:hAnsi="Times New Roman" w:cs="Times New Roman"/>
        </w:rPr>
        <w:t>nexpec</w:t>
      </w:r>
      <w:r w:rsidR="00382389" w:rsidRPr="00990234">
        <w:rPr>
          <w:rFonts w:ascii="Times New Roman" w:hAnsi="Times New Roman" w:cs="Times New Roman"/>
        </w:rPr>
        <w:t xml:space="preserve">ted. </w:t>
      </w:r>
      <w:r w:rsidR="008C7C5D" w:rsidRPr="00990234">
        <w:rPr>
          <w:rFonts w:ascii="Times New Roman" w:hAnsi="Times New Roman" w:cs="Times New Roman"/>
        </w:rPr>
        <w:t xml:space="preserve">The signal was also </w:t>
      </w:r>
      <w:r w:rsidR="000502C9" w:rsidRPr="00990234">
        <w:rPr>
          <w:rFonts w:ascii="Times New Roman" w:hAnsi="Times New Roman" w:cs="Times New Roman"/>
        </w:rPr>
        <w:t>significantly</w:t>
      </w:r>
      <w:r w:rsidR="00F571BA" w:rsidRPr="00990234">
        <w:rPr>
          <w:rFonts w:ascii="Times New Roman" w:hAnsi="Times New Roman" w:cs="Times New Roman"/>
        </w:rPr>
        <w:t xml:space="preserve"> more positive for</w:t>
      </w:r>
      <w:r w:rsidR="00597534" w:rsidRPr="00990234">
        <w:rPr>
          <w:rFonts w:ascii="Times New Roman" w:hAnsi="Times New Roman" w:cs="Times New Roman"/>
        </w:rPr>
        <w:t xml:space="preserve"> </w:t>
      </w:r>
      <w:r w:rsidR="00F8678A" w:rsidRPr="00990234">
        <w:rPr>
          <w:rFonts w:ascii="Times New Roman" w:hAnsi="Times New Roman" w:cs="Times New Roman"/>
        </w:rPr>
        <w:t>d</w:t>
      </w:r>
      <w:r w:rsidR="00597534" w:rsidRPr="00990234">
        <w:rPr>
          <w:rFonts w:ascii="Times New Roman" w:hAnsi="Times New Roman" w:cs="Times New Roman"/>
        </w:rPr>
        <w:t xml:space="preserve">elivered </w:t>
      </w:r>
      <w:r w:rsidR="00F8678A" w:rsidRPr="00990234">
        <w:rPr>
          <w:rFonts w:ascii="Times New Roman" w:hAnsi="Times New Roman" w:cs="Times New Roman"/>
        </w:rPr>
        <w:t>u</w:t>
      </w:r>
      <w:r w:rsidR="006E626D" w:rsidRPr="00990234">
        <w:rPr>
          <w:rFonts w:ascii="Times New Roman" w:hAnsi="Times New Roman" w:cs="Times New Roman"/>
        </w:rPr>
        <w:t xml:space="preserve">nexpected </w:t>
      </w:r>
      <w:r w:rsidR="00597534" w:rsidRPr="00990234">
        <w:rPr>
          <w:rFonts w:ascii="Times New Roman" w:hAnsi="Times New Roman" w:cs="Times New Roman"/>
        </w:rPr>
        <w:t xml:space="preserve">than </w:t>
      </w:r>
      <w:r w:rsidR="00F8678A" w:rsidRPr="00990234">
        <w:rPr>
          <w:rFonts w:ascii="Times New Roman" w:hAnsi="Times New Roman" w:cs="Times New Roman"/>
        </w:rPr>
        <w:t>d</w:t>
      </w:r>
      <w:r w:rsidR="006E626D" w:rsidRPr="00990234">
        <w:rPr>
          <w:rFonts w:ascii="Times New Roman" w:hAnsi="Times New Roman" w:cs="Times New Roman"/>
        </w:rPr>
        <w:t xml:space="preserve">elivered </w:t>
      </w:r>
      <w:r w:rsidR="00F8678A" w:rsidRPr="00990234">
        <w:rPr>
          <w:rFonts w:ascii="Times New Roman" w:hAnsi="Times New Roman" w:cs="Times New Roman"/>
        </w:rPr>
        <w:t>e</w:t>
      </w:r>
      <w:r w:rsidR="006E626D" w:rsidRPr="00990234">
        <w:rPr>
          <w:rFonts w:ascii="Times New Roman" w:hAnsi="Times New Roman" w:cs="Times New Roman"/>
        </w:rPr>
        <w:t xml:space="preserve">xpected </w:t>
      </w:r>
      <w:r w:rsidR="00597534" w:rsidRPr="00990234">
        <w:rPr>
          <w:rFonts w:ascii="Times New Roman" w:hAnsi="Times New Roman" w:cs="Times New Roman"/>
        </w:rPr>
        <w:t>outcomes</w:t>
      </w:r>
      <w:r w:rsidR="006E626D" w:rsidRPr="00990234">
        <w:rPr>
          <w:rFonts w:ascii="Times New Roman" w:hAnsi="Times New Roman" w:cs="Times New Roman"/>
        </w:rPr>
        <w:t xml:space="preserve">, and more negative for </w:t>
      </w:r>
      <w:r w:rsidR="00F8678A" w:rsidRPr="00990234">
        <w:rPr>
          <w:rFonts w:ascii="Times New Roman" w:hAnsi="Times New Roman" w:cs="Times New Roman"/>
        </w:rPr>
        <w:t>o</w:t>
      </w:r>
      <w:r w:rsidR="006E626D" w:rsidRPr="00990234">
        <w:rPr>
          <w:rFonts w:ascii="Times New Roman" w:hAnsi="Times New Roman" w:cs="Times New Roman"/>
        </w:rPr>
        <w:t xml:space="preserve">mitted </w:t>
      </w:r>
      <w:r w:rsidR="00F8678A" w:rsidRPr="00990234">
        <w:rPr>
          <w:rFonts w:ascii="Times New Roman" w:hAnsi="Times New Roman" w:cs="Times New Roman"/>
        </w:rPr>
        <w:t>u</w:t>
      </w:r>
      <w:r w:rsidR="00A4440A" w:rsidRPr="00990234">
        <w:rPr>
          <w:rFonts w:ascii="Times New Roman" w:hAnsi="Times New Roman" w:cs="Times New Roman"/>
        </w:rPr>
        <w:t xml:space="preserve">nexpected </w:t>
      </w:r>
      <w:r w:rsidR="006E626D" w:rsidRPr="00990234">
        <w:rPr>
          <w:rFonts w:ascii="Times New Roman" w:hAnsi="Times New Roman" w:cs="Times New Roman"/>
        </w:rPr>
        <w:t xml:space="preserve">than </w:t>
      </w:r>
      <w:r w:rsidR="00F8678A" w:rsidRPr="00990234">
        <w:rPr>
          <w:rFonts w:ascii="Times New Roman" w:hAnsi="Times New Roman" w:cs="Times New Roman"/>
        </w:rPr>
        <w:t>e</w:t>
      </w:r>
      <w:r w:rsidR="00A4440A" w:rsidRPr="00990234">
        <w:rPr>
          <w:rFonts w:ascii="Times New Roman" w:hAnsi="Times New Roman" w:cs="Times New Roman"/>
        </w:rPr>
        <w:t xml:space="preserve">xpected </w:t>
      </w:r>
      <w:r w:rsidR="006E626D" w:rsidRPr="00990234">
        <w:rPr>
          <w:rFonts w:ascii="Times New Roman" w:hAnsi="Times New Roman" w:cs="Times New Roman"/>
        </w:rPr>
        <w:t>outcomes</w:t>
      </w:r>
      <w:r w:rsidR="00C31745" w:rsidRPr="00990234">
        <w:rPr>
          <w:rFonts w:ascii="Times New Roman" w:hAnsi="Times New Roman" w:cs="Times New Roman"/>
        </w:rPr>
        <w:t>, in line with the predictions of the axiomatic model</w:t>
      </w:r>
      <w:r w:rsidR="00F571BA" w:rsidRPr="00990234">
        <w:rPr>
          <w:rFonts w:ascii="Times New Roman" w:hAnsi="Times New Roman" w:cs="Times New Roman"/>
        </w:rPr>
        <w:t xml:space="preserve">. </w:t>
      </w:r>
      <w:r w:rsidR="001633C3" w:rsidRPr="00990234">
        <w:rPr>
          <w:rFonts w:ascii="Times New Roman" w:hAnsi="Times New Roman" w:cs="Times New Roman"/>
        </w:rPr>
        <w:t xml:space="preserve">On its own, as discussed earlier, the signal observed in the </w:t>
      </w:r>
      <w:r w:rsidR="00F8678A" w:rsidRPr="00990234">
        <w:rPr>
          <w:rFonts w:ascii="Times New Roman" w:hAnsi="Times New Roman" w:cs="Times New Roman"/>
        </w:rPr>
        <w:t>b</w:t>
      </w:r>
      <w:r w:rsidR="001633C3" w:rsidRPr="00990234">
        <w:rPr>
          <w:rFonts w:ascii="Times New Roman" w:hAnsi="Times New Roman" w:cs="Times New Roman"/>
        </w:rPr>
        <w:t xml:space="preserve">itter condition </w:t>
      </w:r>
      <w:r w:rsidR="00971276" w:rsidRPr="00990234">
        <w:rPr>
          <w:rFonts w:ascii="Times New Roman" w:hAnsi="Times New Roman" w:cs="Times New Roman"/>
        </w:rPr>
        <w:t xml:space="preserve">adheres to criteria for </w:t>
      </w:r>
      <w:r w:rsidR="001633C3" w:rsidRPr="00990234">
        <w:rPr>
          <w:rFonts w:ascii="Times New Roman" w:hAnsi="Times New Roman" w:cs="Times New Roman"/>
        </w:rPr>
        <w:t>an aversive prediction error</w:t>
      </w:r>
      <w:r w:rsidR="00971276" w:rsidRPr="00990234">
        <w:rPr>
          <w:rFonts w:ascii="Times New Roman" w:hAnsi="Times New Roman" w:cs="Times New Roman"/>
        </w:rPr>
        <w:t>, but</w:t>
      </w:r>
      <w:r w:rsidR="001633C3" w:rsidRPr="00990234">
        <w:rPr>
          <w:rFonts w:ascii="Times New Roman" w:hAnsi="Times New Roman" w:cs="Times New Roman"/>
        </w:rPr>
        <w:t xml:space="preserve"> </w:t>
      </w:r>
      <w:r w:rsidR="00B176A4" w:rsidRPr="00990234">
        <w:rPr>
          <w:rFonts w:ascii="Times New Roman" w:hAnsi="Times New Roman" w:cs="Times New Roman"/>
        </w:rPr>
        <w:t xml:space="preserve">cannot be interpreted unambiguously as </w:t>
      </w:r>
      <w:r w:rsidR="001633C3" w:rsidRPr="00990234">
        <w:rPr>
          <w:rFonts w:ascii="Times New Roman" w:hAnsi="Times New Roman" w:cs="Times New Roman"/>
        </w:rPr>
        <w:t>a utility prediction error</w:t>
      </w:r>
      <w:r w:rsidR="00B176A4" w:rsidRPr="00990234">
        <w:rPr>
          <w:rFonts w:ascii="Times New Roman" w:hAnsi="Times New Roman" w:cs="Times New Roman"/>
        </w:rPr>
        <w:t xml:space="preserve"> signal</w:t>
      </w:r>
      <w:r w:rsidR="001633C3" w:rsidRPr="00990234">
        <w:rPr>
          <w:rFonts w:ascii="Times New Roman" w:hAnsi="Times New Roman" w:cs="Times New Roman"/>
        </w:rPr>
        <w:t>.</w:t>
      </w:r>
    </w:p>
    <w:p w:rsidR="00971276" w:rsidRPr="00990234" w:rsidRDefault="0008447B" w:rsidP="00654698">
      <w:pPr>
        <w:spacing w:after="0" w:line="480" w:lineRule="auto"/>
        <w:ind w:right="-113" w:firstLine="720"/>
        <w:contextualSpacing/>
        <w:rPr>
          <w:rFonts w:ascii="Times New Roman" w:hAnsi="Times New Roman" w:cs="Times New Roman"/>
        </w:rPr>
      </w:pPr>
      <w:r w:rsidRPr="00990234">
        <w:rPr>
          <w:rFonts w:ascii="Times New Roman" w:hAnsi="Times New Roman" w:cs="Times New Roman"/>
        </w:rPr>
        <w:t>I</w:t>
      </w:r>
      <w:r w:rsidR="00A45901" w:rsidRPr="00990234">
        <w:rPr>
          <w:rFonts w:ascii="Times New Roman" w:hAnsi="Times New Roman" w:cs="Times New Roman"/>
        </w:rPr>
        <w:t>n the appetit</w:t>
      </w:r>
      <w:r w:rsidR="00382389" w:rsidRPr="00990234">
        <w:rPr>
          <w:rFonts w:ascii="Times New Roman" w:hAnsi="Times New Roman" w:cs="Times New Roman"/>
        </w:rPr>
        <w:t>ive domain at that same latency,</w:t>
      </w:r>
      <w:r w:rsidR="00A45901" w:rsidRPr="00990234">
        <w:rPr>
          <w:rFonts w:ascii="Times New Roman" w:hAnsi="Times New Roman" w:cs="Times New Roman"/>
        </w:rPr>
        <w:t xml:space="preserve"> in blocks where only </w:t>
      </w:r>
      <w:r w:rsidR="00F8678A" w:rsidRPr="00990234">
        <w:rPr>
          <w:rFonts w:ascii="Times New Roman" w:hAnsi="Times New Roman" w:cs="Times New Roman"/>
        </w:rPr>
        <w:t>d</w:t>
      </w:r>
      <w:r w:rsidR="00A45901" w:rsidRPr="00990234">
        <w:rPr>
          <w:rFonts w:ascii="Times New Roman" w:hAnsi="Times New Roman" w:cs="Times New Roman"/>
        </w:rPr>
        <w:t xml:space="preserve">elivery or </w:t>
      </w:r>
      <w:r w:rsidR="00F8678A" w:rsidRPr="00990234">
        <w:rPr>
          <w:rFonts w:ascii="Times New Roman" w:hAnsi="Times New Roman" w:cs="Times New Roman"/>
        </w:rPr>
        <w:t>o</w:t>
      </w:r>
      <w:r w:rsidR="00A45901" w:rsidRPr="00990234">
        <w:rPr>
          <w:rFonts w:ascii="Times New Roman" w:hAnsi="Times New Roman" w:cs="Times New Roman"/>
        </w:rPr>
        <w:t xml:space="preserve">mission of </w:t>
      </w:r>
      <w:r w:rsidR="00F8678A" w:rsidRPr="00990234">
        <w:rPr>
          <w:rFonts w:ascii="Times New Roman" w:hAnsi="Times New Roman" w:cs="Times New Roman"/>
        </w:rPr>
        <w:t>s</w:t>
      </w:r>
      <w:r w:rsidR="00A45901" w:rsidRPr="00990234">
        <w:rPr>
          <w:rFonts w:ascii="Times New Roman" w:hAnsi="Times New Roman" w:cs="Times New Roman"/>
        </w:rPr>
        <w:t>weet taste was possible</w:t>
      </w:r>
      <w:r w:rsidRPr="00990234">
        <w:rPr>
          <w:rFonts w:ascii="Times New Roman" w:hAnsi="Times New Roman" w:cs="Times New Roman"/>
        </w:rPr>
        <w:t xml:space="preserve">, the signal followed a similar pattern </w:t>
      </w:r>
      <w:r w:rsidR="001633C3" w:rsidRPr="00990234">
        <w:rPr>
          <w:rFonts w:ascii="Times New Roman" w:hAnsi="Times New Roman" w:cs="Times New Roman"/>
        </w:rPr>
        <w:t xml:space="preserve">to that found in the aversive domain, </w:t>
      </w:r>
      <w:r w:rsidRPr="00990234">
        <w:rPr>
          <w:rFonts w:ascii="Times New Roman" w:hAnsi="Times New Roman" w:cs="Times New Roman"/>
        </w:rPr>
        <w:t xml:space="preserve">but </w:t>
      </w:r>
      <w:r w:rsidR="00971276" w:rsidRPr="00990234">
        <w:rPr>
          <w:rFonts w:ascii="Times New Roman" w:hAnsi="Times New Roman" w:cs="Times New Roman"/>
        </w:rPr>
        <w:t xml:space="preserve">while the main effects of outcome and expectancy were significant, </w:t>
      </w:r>
      <w:r w:rsidRPr="00990234">
        <w:rPr>
          <w:rFonts w:ascii="Times New Roman" w:hAnsi="Times New Roman" w:cs="Times New Roman"/>
        </w:rPr>
        <w:t xml:space="preserve">the interaction between </w:t>
      </w:r>
      <w:r w:rsidR="00971276" w:rsidRPr="00990234">
        <w:rPr>
          <w:rFonts w:ascii="Times New Roman" w:hAnsi="Times New Roman" w:cs="Times New Roman"/>
        </w:rPr>
        <w:t xml:space="preserve">them </w:t>
      </w:r>
      <w:r w:rsidRPr="00990234">
        <w:rPr>
          <w:rFonts w:ascii="Times New Roman" w:hAnsi="Times New Roman" w:cs="Times New Roman"/>
        </w:rPr>
        <w:t>was not</w:t>
      </w:r>
      <w:r w:rsidR="008C7C5D" w:rsidRPr="00990234">
        <w:rPr>
          <w:rFonts w:ascii="Times New Roman" w:hAnsi="Times New Roman" w:cs="Times New Roman"/>
        </w:rPr>
        <w:t xml:space="preserve">. Two aspects of this result are important. </w:t>
      </w:r>
      <w:r w:rsidRPr="00990234">
        <w:rPr>
          <w:rFonts w:ascii="Times New Roman" w:hAnsi="Times New Roman" w:cs="Times New Roman"/>
        </w:rPr>
        <w:t>First, b</w:t>
      </w:r>
      <w:r w:rsidR="00A45901" w:rsidRPr="00990234">
        <w:rPr>
          <w:rFonts w:ascii="Times New Roman" w:hAnsi="Times New Roman" w:cs="Times New Roman"/>
        </w:rPr>
        <w:t>ecause this</w:t>
      </w:r>
      <w:r w:rsidR="00BD0512" w:rsidRPr="00990234">
        <w:rPr>
          <w:rFonts w:ascii="Times New Roman" w:hAnsi="Times New Roman" w:cs="Times New Roman"/>
        </w:rPr>
        <w:t xml:space="preserve"> outcome by expectancy</w:t>
      </w:r>
      <w:r w:rsidR="00A45901" w:rsidRPr="00990234">
        <w:rPr>
          <w:rFonts w:ascii="Times New Roman" w:hAnsi="Times New Roman" w:cs="Times New Roman"/>
        </w:rPr>
        <w:t xml:space="preserve"> interaction is a hallmark of a neurobiological reward prediction error signal we conclude that we could only observe an aversive prediction error</w:t>
      </w:r>
      <w:r w:rsidR="00971276" w:rsidRPr="00990234">
        <w:rPr>
          <w:rFonts w:ascii="Times New Roman" w:hAnsi="Times New Roman" w:cs="Times New Roman"/>
        </w:rPr>
        <w:t xml:space="preserve"> here</w:t>
      </w:r>
      <w:r w:rsidR="00A45901" w:rsidRPr="00990234">
        <w:rPr>
          <w:rFonts w:ascii="Times New Roman" w:hAnsi="Times New Roman" w:cs="Times New Roman"/>
        </w:rPr>
        <w:t>, bu</w:t>
      </w:r>
      <w:r w:rsidR="0017415D" w:rsidRPr="00990234">
        <w:rPr>
          <w:rFonts w:ascii="Times New Roman" w:hAnsi="Times New Roman" w:cs="Times New Roman"/>
        </w:rPr>
        <w:t>t not a</w:t>
      </w:r>
      <w:r w:rsidR="000D51E5" w:rsidRPr="00990234">
        <w:rPr>
          <w:rFonts w:ascii="Times New Roman" w:hAnsi="Times New Roman" w:cs="Times New Roman"/>
        </w:rPr>
        <w:t xml:space="preserve"> reward</w:t>
      </w:r>
      <w:r w:rsidR="0017415D" w:rsidRPr="00990234">
        <w:rPr>
          <w:rFonts w:ascii="Times New Roman" w:hAnsi="Times New Roman" w:cs="Times New Roman"/>
        </w:rPr>
        <w:t xml:space="preserve"> prediction error. </w:t>
      </w:r>
      <w:r w:rsidRPr="00990234">
        <w:rPr>
          <w:rFonts w:ascii="Times New Roman" w:hAnsi="Times New Roman" w:cs="Times New Roman"/>
        </w:rPr>
        <w:t xml:space="preserve">Clearly, the finding that frontocentral ERPs did not express prediction error in the appetitive domain already means that they also did not express utility prediction error, a quantity which should be equally well observed in both appetitive and aversive domain; yet the null interaction between outcome and expectancy in </w:t>
      </w:r>
      <w:r w:rsidR="00F8678A" w:rsidRPr="00990234">
        <w:rPr>
          <w:rFonts w:ascii="Times New Roman" w:hAnsi="Times New Roman" w:cs="Times New Roman"/>
        </w:rPr>
        <w:t>s</w:t>
      </w:r>
      <w:r w:rsidRPr="00990234">
        <w:rPr>
          <w:rFonts w:ascii="Times New Roman" w:hAnsi="Times New Roman" w:cs="Times New Roman"/>
        </w:rPr>
        <w:t xml:space="preserve">weet could be just due to low power. </w:t>
      </w:r>
      <w:r w:rsidR="001633C3" w:rsidRPr="00990234">
        <w:rPr>
          <w:rFonts w:ascii="Times New Roman" w:hAnsi="Times New Roman" w:cs="Times New Roman"/>
        </w:rPr>
        <w:t>Crucially</w:t>
      </w:r>
      <w:r w:rsidRPr="00990234">
        <w:rPr>
          <w:rFonts w:ascii="Times New Roman" w:hAnsi="Times New Roman" w:cs="Times New Roman"/>
        </w:rPr>
        <w:t xml:space="preserve">, a utility prediction error signal should present with an </w:t>
      </w:r>
      <w:r w:rsidRPr="00990234">
        <w:rPr>
          <w:rFonts w:ascii="Times New Roman" w:hAnsi="Times New Roman" w:cs="Times New Roman"/>
          <w:i/>
          <w:iCs/>
        </w:rPr>
        <w:t>opposite</w:t>
      </w:r>
      <w:r w:rsidRPr="00990234">
        <w:rPr>
          <w:rFonts w:ascii="Times New Roman" w:hAnsi="Times New Roman" w:cs="Times New Roman"/>
        </w:rPr>
        <w:t xml:space="preserve"> sign in each domain, but the direction of averages in all four conditions was the same</w:t>
      </w:r>
      <w:r w:rsidR="00654698" w:rsidRPr="00990234">
        <w:rPr>
          <w:rFonts w:ascii="Times New Roman" w:hAnsi="Times New Roman" w:cs="Times New Roman"/>
        </w:rPr>
        <w:t xml:space="preserve">. Clearly, a neurobiological signal of utility prediction error would not be expressed as greater positivity for both </w:t>
      </w:r>
      <w:r w:rsidR="006205DA" w:rsidRPr="00990234">
        <w:rPr>
          <w:rFonts w:ascii="Times New Roman" w:hAnsi="Times New Roman" w:cs="Times New Roman"/>
        </w:rPr>
        <w:t>unexpectedly</w:t>
      </w:r>
      <w:r w:rsidR="00654698" w:rsidRPr="00990234">
        <w:rPr>
          <w:rFonts w:ascii="Times New Roman" w:hAnsi="Times New Roman" w:cs="Times New Roman"/>
        </w:rPr>
        <w:t xml:space="preserve"> good and bad outcomes. Taken together, </w:t>
      </w:r>
      <w:r w:rsidRPr="00990234">
        <w:rPr>
          <w:rFonts w:ascii="Times New Roman" w:hAnsi="Times New Roman" w:cs="Times New Roman"/>
        </w:rPr>
        <w:t xml:space="preserve">the frontocentral signal </w:t>
      </w:r>
      <w:r w:rsidR="00654698" w:rsidRPr="00990234">
        <w:rPr>
          <w:rFonts w:ascii="Times New Roman" w:hAnsi="Times New Roman" w:cs="Times New Roman"/>
        </w:rPr>
        <w:t>observed</w:t>
      </w:r>
      <w:r w:rsidRPr="00990234">
        <w:rPr>
          <w:rFonts w:ascii="Times New Roman" w:hAnsi="Times New Roman" w:cs="Times New Roman"/>
        </w:rPr>
        <w:t xml:space="preserve"> in this experiment </w:t>
      </w:r>
      <w:r w:rsidR="001633C3" w:rsidRPr="00990234">
        <w:rPr>
          <w:rFonts w:ascii="Times New Roman" w:hAnsi="Times New Roman" w:cs="Times New Roman"/>
        </w:rPr>
        <w:t xml:space="preserve">did </w:t>
      </w:r>
      <w:r w:rsidRPr="00990234">
        <w:rPr>
          <w:rFonts w:ascii="Times New Roman" w:hAnsi="Times New Roman" w:cs="Times New Roman"/>
        </w:rPr>
        <w:t xml:space="preserve">not express a utility prediction error. </w:t>
      </w:r>
      <w:r w:rsidR="001633C3" w:rsidRPr="00990234">
        <w:rPr>
          <w:rFonts w:ascii="Times New Roman" w:hAnsi="Times New Roman" w:cs="Times New Roman"/>
        </w:rPr>
        <w:t xml:space="preserve">Other aspects of the data suggest that ERPs also </w:t>
      </w:r>
      <w:r w:rsidRPr="00990234">
        <w:rPr>
          <w:rFonts w:ascii="Times New Roman" w:hAnsi="Times New Roman" w:cs="Times New Roman"/>
        </w:rPr>
        <w:t xml:space="preserve">did not track utility </w:t>
      </w:r>
      <w:r w:rsidRPr="00990234">
        <w:rPr>
          <w:rFonts w:ascii="Times New Roman" w:hAnsi="Times New Roman" w:cs="Times New Roman"/>
          <w:i/>
          <w:iCs/>
        </w:rPr>
        <w:t>per se</w:t>
      </w:r>
      <w:r w:rsidR="001633C3" w:rsidRPr="00990234">
        <w:rPr>
          <w:rFonts w:ascii="Times New Roman" w:hAnsi="Times New Roman" w:cs="Times New Roman"/>
        </w:rPr>
        <w:t xml:space="preserve">. For example, </w:t>
      </w:r>
      <w:r w:rsidRPr="00990234">
        <w:rPr>
          <w:rFonts w:ascii="Times New Roman" w:hAnsi="Times New Roman" w:cs="Times New Roman"/>
        </w:rPr>
        <w:t xml:space="preserve">ERPs did not differentiate expected </w:t>
      </w:r>
      <w:r w:rsidR="00F8678A" w:rsidRPr="00990234">
        <w:rPr>
          <w:rFonts w:ascii="Times New Roman" w:hAnsi="Times New Roman" w:cs="Times New Roman"/>
        </w:rPr>
        <w:t>o</w:t>
      </w:r>
      <w:r w:rsidRPr="00990234">
        <w:rPr>
          <w:rFonts w:ascii="Times New Roman" w:hAnsi="Times New Roman" w:cs="Times New Roman"/>
        </w:rPr>
        <w:t xml:space="preserve">mission and </w:t>
      </w:r>
      <w:r w:rsidR="00F8678A" w:rsidRPr="00990234">
        <w:rPr>
          <w:rFonts w:ascii="Times New Roman" w:hAnsi="Times New Roman" w:cs="Times New Roman"/>
        </w:rPr>
        <w:t>d</w:t>
      </w:r>
      <w:r w:rsidRPr="00990234">
        <w:rPr>
          <w:rFonts w:ascii="Times New Roman" w:hAnsi="Times New Roman" w:cs="Times New Roman"/>
        </w:rPr>
        <w:t xml:space="preserve">elivery of a bitter taste (which </w:t>
      </w:r>
      <w:r w:rsidRPr="00990234">
        <w:rPr>
          <w:rFonts w:ascii="Times New Roman" w:hAnsi="Times New Roman" w:cs="Times New Roman"/>
        </w:rPr>
        <w:lastRenderedPageBreak/>
        <w:t xml:space="preserve">have different utility), but did distinguish between </w:t>
      </w:r>
      <w:r w:rsidR="00F8678A" w:rsidRPr="00990234">
        <w:rPr>
          <w:rFonts w:ascii="Times New Roman" w:hAnsi="Times New Roman" w:cs="Times New Roman"/>
        </w:rPr>
        <w:t>e</w:t>
      </w:r>
      <w:r w:rsidRPr="00990234">
        <w:rPr>
          <w:rFonts w:ascii="Times New Roman" w:hAnsi="Times New Roman" w:cs="Times New Roman"/>
        </w:rPr>
        <w:t xml:space="preserve">xpected and </w:t>
      </w:r>
      <w:r w:rsidR="00F8678A" w:rsidRPr="00990234">
        <w:rPr>
          <w:rFonts w:ascii="Times New Roman" w:hAnsi="Times New Roman" w:cs="Times New Roman"/>
        </w:rPr>
        <w:t>u</w:t>
      </w:r>
      <w:r w:rsidRPr="00990234">
        <w:rPr>
          <w:rFonts w:ascii="Times New Roman" w:hAnsi="Times New Roman" w:cs="Times New Roman"/>
        </w:rPr>
        <w:t xml:space="preserve">nexpected sweet taste (which have the same utility). </w:t>
      </w:r>
    </w:p>
    <w:p w:rsidR="00654698" w:rsidRPr="00990234" w:rsidRDefault="00654698" w:rsidP="00654698">
      <w:pPr>
        <w:spacing w:after="0" w:line="480" w:lineRule="auto"/>
        <w:ind w:right="-113" w:firstLine="720"/>
        <w:contextualSpacing/>
        <w:rPr>
          <w:rFonts w:ascii="Times New Roman" w:hAnsi="Times New Roman" w:cs="Times New Roman"/>
        </w:rPr>
      </w:pPr>
      <w:r w:rsidRPr="00990234">
        <w:rPr>
          <w:rFonts w:ascii="Times New Roman" w:hAnsi="Times New Roman" w:cs="Times New Roman"/>
        </w:rPr>
        <w:t xml:space="preserve">We did not observe a reward prediction error pattern in the appetitive domain, although such a pattern has been readily observed in previous work </w:t>
      </w:r>
      <w:r w:rsidRPr="00990234">
        <w:rPr>
          <w:rFonts w:ascii="Times New Roman" w:hAnsi="Times New Roman" w:cs="Times New Roman"/>
        </w:rPr>
        <w:fldChar w:fldCharType="begin" w:fldLock="1"/>
      </w:r>
      <w:r w:rsidRPr="00990234">
        <w:rPr>
          <w:rFonts w:ascii="Times New Roman" w:hAnsi="Times New Roman" w:cs="Times New Roman"/>
        </w:rPr>
        <w:instrText>ADDIN CSL_CITATION { "citationItems" : [ { "id" : "ITEM-1", "itemData" : { "DOI" : "http://dx.doi.org/10.1016/j.neubiorev.2012.05.008", "ISBN" : "0149-7634", "author" : [ { "dropping-particle" : "", "family" : "Walsh", "given" : "Matthew M", "non-dropping-particle" : "", "parse-names" : false, "suffix" : "" }, { "dropping-particle" : "", "family" : "Anderson", "given" : "John R", "non-dropping-particle" : "", "parse-names" : false, "suffix" : "" } ], "container-title" : "Neuroscience &amp; Biobehavioral Reviews", "id" : "ITEM-1", "issue" : "8", "issued" : { "date-parts" : [ [ "2012" ] ] }, "page" : "1870-1884", "title" : "Learning from experience: Event-related potential correlates of reward processing, neural adaptation, and behavioral choice", "type" : "article-journal", "volume" : "36" }, "uris" : [ "http://www.mendeley.com/documents/?uuid=e3bb9963-adc7-44bc-8cb5-447f22319248" ] }, { "id" : "ITEM-2", "itemData" : { "DOI" : "10.1037/bul0000006", "ISBN" : "1939-1455(Electronic);0033-2909(Print)", "ISSN" : "1939-1455", "PMID" : "25495239", "abstract" : "Economic approaches to decision making assume that people attach values to prospective goods and act to maximize their obtained value. Neuroeconomics strives to observe these values directly in the brain. A widely used valuation term in formal learning and decision-making models is the reward prediction error: the value of an outcome relative to its expected value. An influential theory (Holroyd &amp; Coles, 2002) claims that an electrophysiological component, feedback related negativity (FRN), codes a reward prediction error in the human brain. Such a component should be sensitive to both the prior likelihood of reward and its magnitude on receipt. A number of studies have found the FRN to be insensitive to reward magnitude, thus questioning the Holroyd and Coles account. However, because of marked inconsistencies in how the FRN is measured, a meaningful synthesis of this evidence is highly problematic. We conducted a meta-analysis of the FRN\u2019s response to both reward magnitude and likelihood using a novel method in which published effect sizes were disregarded in favor of direct measurement of the published waveforms themselves, with these waveforms then averaged to produce \u201cgreat grand averages.\u201d Under this standardized measure, the meta-analysis revealed strong effects of magnitude and likelihood on the FRN, consistent with it encoding a reward prediction error. In addition, it revealed strong main effects of reward magnitude and likelihood across much of the waveform, indicating sensitivity to unsigned prediction errors or \u201csalience.\u201d The great grand average technique is proposed as a general method for meta-analysis of event-related potential (ERP).", "author" : [ { "dropping-particle" : "", "family" : "Sambrook", "given" : "Thomas D", "non-dropping-particle" : "", "parse-names" : false, "suffix" : "" }, { "dropping-particle" : "", "family" : "Goslin", "given" : "Jeremy", "non-dropping-particle" : "", "parse-names" : false, "suffix" : "" } ], "container-title" : "Psychological Bulletin", "id" : "ITEM-2", "issue" : "1", "issued" : { "date-parts" : [ [ "2015" ] ] }, "page" : "213-235", "title" : "A neural reward prediction error revealed by a meta-analysis of ERPs using great grand averages", "type" : "article-journal", "volume" : "141" }, "uris" : [ "http://www.mendeley.com/documents/?uuid=1a1d129d-5655-4a68-874c-2674fa1915eb" ] } ], "mendeley" : { "formattedCitation" : "(Sambrook &amp; Goslin, 2015a; Walsh &amp; Anderson, 2012)", "plainTextFormattedCitation" : "(Sambrook &amp; Goslin, 2015a; Walsh &amp; Anderson, 2012)", "previouslyFormattedCitation" : "(Sambrook &amp; Goslin, 2015a; Walsh &amp; Anderson, 2012)" }, "properties" : { "noteIndex" : 0 }, "schema" : "https://github.com/citation-style-language/schema/raw/master/csl-citation.json" }</w:instrText>
      </w:r>
      <w:r w:rsidRPr="00990234">
        <w:rPr>
          <w:rFonts w:ascii="Times New Roman" w:hAnsi="Times New Roman" w:cs="Times New Roman"/>
        </w:rPr>
        <w:fldChar w:fldCharType="separate"/>
      </w:r>
      <w:r w:rsidRPr="00990234">
        <w:rPr>
          <w:rFonts w:ascii="Times New Roman" w:hAnsi="Times New Roman" w:cs="Times New Roman"/>
          <w:noProof/>
        </w:rPr>
        <w:t>(Sambrook &amp; Goslin, 2015a; Walsh &amp; Anderson, 2012)</w:t>
      </w:r>
      <w:r w:rsidRPr="00990234">
        <w:rPr>
          <w:rFonts w:ascii="Times New Roman" w:hAnsi="Times New Roman" w:cs="Times New Roman"/>
        </w:rPr>
        <w:fldChar w:fldCharType="end"/>
      </w:r>
      <w:r w:rsidRPr="00990234">
        <w:rPr>
          <w:rFonts w:ascii="Times New Roman" w:hAnsi="Times New Roman" w:cs="Times New Roman"/>
        </w:rPr>
        <w:t xml:space="preserve"> including in our own previous study </w:t>
      </w:r>
      <w:r w:rsidRPr="00990234">
        <w:rPr>
          <w:rFonts w:ascii="Times New Roman" w:hAnsi="Times New Roman" w:cs="Times New Roman"/>
        </w:rPr>
        <w:fldChar w:fldCharType="begin" w:fldLock="1"/>
      </w:r>
      <w:r w:rsidRPr="00990234">
        <w:rPr>
          <w:rFonts w:ascii="Times New Roman" w:hAnsi="Times New Roman" w:cs="Times New Roman"/>
        </w:rPr>
        <w:instrText>ADDIN CSL_CITATION { "citationItems" : [ { "id" : "ITEM-1", "itemData" : { "DOI" : "10.1523/jneurosci.5695-12.2013", "abstract" : "Modulations of the feedback-related negativity (FRN) event-related potential (ERP) have been suggested as a potential biomarker in psychopathology. A dominant theory about this signal contends that it reflects the operation of the neural system underlying reinforcement learning in humans. The theory suggests that this frontocentral negative deflection in the ERP 230\u2013270 ms after the delivery of a probabilistic reward expresses a prediction error signal derived from midbrain dopaminergic projections to the anterior cingulate cortex. We tested this theory by investigating whether FRN will also be observed for an inherently aversive outcome: physical pain. In another session, the outcome was monetary reward instead of pain. As predicted, unexpected reward omissions (a negative reward prediction error) yielded a more negative deflection relative to unexpected reward delivery. Surprisingly, unexpected pain omission (a positive reward prediction error) also yielded a negative deflection relative to unexpected pain delivery. Our data challenge the theory by showing that the FRN expresses aversive prediction errors with the same sign as reward prediction errors. Both FRNs were spatiotemporally and functionally equivalent. We suggest that FRN expresses salience prediction errors rather than reward prediction errors.", "author" : [ { "dropping-particle" : "", "family" : "Talmi", "given" : "Deborah", "non-dropping-particle" : "", "parse-names" : false, "suffix" : "" }, { "dropping-particle" : "", "family" : "Atkinson", "given" : "Ryan", "non-dropping-particle" : "", "parse-names" : false, "suffix" : "" }, { "dropping-particle" : "", "family" : "El-Deredy", "given" : "Wael", "non-dropping-particle" : "", "parse-names" : false, "suffix" : "" } ], "container-title" : "The Journal of Neuroscience", "id" : "ITEM-1", "issue" : "19", "issued" : { "date-parts" : [ [ "2013" ] ] }, "page" : "8264-8269", "title" : "The Feedback-Related Negativity Signals Salience Prediction Errors, Not Reward Prediction Errors", "type" : "article-journal", "volume" : "33" }, "uris" : [ "http://www.mendeley.com/documents/?uuid=d677aa09-16f1-46ee-8185-d3fc13c1a457" ] } ], "mendeley" : { "formattedCitation" : "(Talmi et al., 2013)", "plainTextFormattedCitation" : "(Talmi et al., 2013)", "previouslyFormattedCitation" : "(Talmi et al., 2013)" }, "properties" : { "noteIndex" : 0 }, "schema" : "https://github.com/citation-style-language/schema/raw/master/csl-citation.json" }</w:instrText>
      </w:r>
      <w:r w:rsidRPr="00990234">
        <w:rPr>
          <w:rFonts w:ascii="Times New Roman" w:hAnsi="Times New Roman" w:cs="Times New Roman"/>
        </w:rPr>
        <w:fldChar w:fldCharType="separate"/>
      </w:r>
      <w:r w:rsidRPr="00990234">
        <w:rPr>
          <w:rFonts w:ascii="Times New Roman" w:hAnsi="Times New Roman" w:cs="Times New Roman"/>
          <w:noProof/>
        </w:rPr>
        <w:t>(Talmi et al., 2013)</w:t>
      </w:r>
      <w:r w:rsidRPr="00990234">
        <w:rPr>
          <w:rFonts w:ascii="Times New Roman" w:hAnsi="Times New Roman" w:cs="Times New Roman"/>
        </w:rPr>
        <w:fldChar w:fldCharType="end"/>
      </w:r>
      <w:r w:rsidRPr="00990234">
        <w:rPr>
          <w:rFonts w:ascii="Times New Roman" w:hAnsi="Times New Roman" w:cs="Times New Roman"/>
        </w:rPr>
        <w:t xml:space="preserve">. Instead ERPs in the appetitive domain expressed motivational and surprise salience. This may be due to the reinforcement modality we selected. Very few ERP studies of FRN used primary reinforcers. Although some previous ERP studies of aversive prediction error used pain, which is a primary reinforcer </w:t>
      </w:r>
      <w:r w:rsidRPr="00990234">
        <w:rPr>
          <w:rFonts w:ascii="Times New Roman" w:hAnsi="Times New Roman" w:cs="Times New Roman"/>
        </w:rPr>
        <w:fldChar w:fldCharType="begin" w:fldLock="1"/>
      </w:r>
      <w:r w:rsidRPr="00990234">
        <w:rPr>
          <w:rFonts w:ascii="Times New Roman" w:hAnsi="Times New Roman" w:cs="Times New Roman"/>
        </w:rPr>
        <w:instrText>ADDIN CSL_CITATION { "citationItems" : [ { "id" : "ITEM-1", "itemData" : { "DOI" : "10.1038/srep04816", "ISSN" : "2045-2322", "PMID" : "25045961", "abstract" : "Research based on event-related potential (ERP) reported mediofrontal negativities following unexpected negative feedback or performance error. Some authors proposed that these signals reflect reward prediction error for worse than expected outcomes, while others suggested that mediofrontal negativities express medial prefrontal cortex coding for unexpected non-occurrence of a predicted outcome, whether worse or better than expected. Many studies found mediofrontal negativities coding for unexpected negative outcomes; however, few studies found them after unexpected positive outcomes. The present study investigated ERP and skin conductance response (SCR) to the unexpected omission of electric shocks during Pavlovian aversive conditioning. To manipulate expectancies, participants were presented with visual stimuli paired with electric shock on either 80% (CS+1) or 20% (CS+2) of trials. SCR analysis confirmed higher shock-delivery expectancy for CS+1, relative to CS+2. ERP analysis evidenced a stronger negative frontocentral ERP component after unexpected, relative to expected, shock-omission. Methodological and theoretical implications are discussed.", "author" : [ { "dropping-particle" : "", "family" : "Garofalo", "given" : "Sara", "non-dropping-particle" : "", "parse-names" : false, "suffix" : "" }, { "dropping-particle" : "", "family" : "Maier", "given" : "Martin E", "non-dropping-particle" : "", "parse-names" : false, "suffix" : "" }, { "dropping-particle" : "", "family" : "Pellegrino", "given" : "Giuseppe", "non-dropping-particle" : "di", "parse-names" : false, "suffix" : "" } ], "container-title" : "Scientific reports", "id" : "ITEM-1", "issued" : { "date-parts" : [ [ "2014" ] ] }, "page" : "4816", "title" : "Mediofrontal negativity signals unexpected omission of aversive events.", "type" : "article-journal", "volume" : "4" }, "uris" : [ "http://www.mendeley.com/documents/?uuid=fd149ef2-1fa4-490b-8200-3cb39adc055f" ] }, { "id" : "ITEM-2", "itemData" : { "DOI" : "10.1111/psyp.12673", "ISSN" : "00485772", "author" : [ { "dropping-particle" : "", "family" : "Heydari", "given" : "Sepideh", "non-dropping-particle" : "", "parse-names" : false, "suffix" : "" }, { "dropping-particle" : "", "family" : "Holroyd", "given" : "Clay B.", "non-dropping-particle" : "", "parse-names" : false, "suffix" : "" } ], "container-title" : "Psychophysiology", "id" : "ITEM-2", "issued" : { "date-parts" : [ [ "2016" ] ] }, "page" : "1-8", "title" : "Reward positivity: Reward prediction error or salience prediction error?", "type" : "article-journal" }, "uris" : [ "http://www.mendeley.com/documents/?uuid=b642944b-866e-485a-aaed-0b73d32593b6" ] }, { "id" : "ITEM-3", "itemData" : { "DOI" : "10.1523/jneurosci.5695-12.2013", "abstract" : "Modulations of the feedback-related negativity (FRN) event-related potential (ERP) have been suggested as a potential biomarker in psychopathology. A dominant theory about this signal contends that it reflects the operation of the neural system underlying reinforcement learning in humans. The theory suggests that this frontocentral negative deflection in the ERP 230\u2013270 ms after the delivery of a probabilistic reward expresses a prediction error signal derived from midbrain dopaminergic projections to the anterior cingulate cortex. We tested this theory by investigating whether FRN will also be observed for an inherently aversive outcome: physical pain. In another session, the outcome was monetary reward instead of pain. As predicted, unexpected reward omissions (a negative reward prediction error) yielded a more negative deflection relative to unexpected reward delivery. Surprisingly, unexpected pain omission (a positive reward prediction error) also yielded a negative deflection relative to unexpected pain delivery. Our data challenge the theory by showing that the FRN expresses aversive prediction errors with the same sign as reward prediction errors. Both FRNs were spatiotemporally and functionally equivalent. We suggest that FRN expresses salience prediction errors rather than reward prediction errors.", "author" : [ { "dropping-particle" : "", "family" : "Talmi", "given" : "Deborah", "non-dropping-particle" : "", "parse-names" : false, "suffix" : "" }, { "dropping-particle" : "", "family" : "Atkinson", "given" : "Ryan", "non-dropping-particle" : "", "parse-names" : false, "suffix" : "" }, { "dropping-particle" : "", "family" : "El-Deredy", "given" : "Wael", "non-dropping-particle" : "", "parse-names" : false, "suffix" : "" } ], "container-title" : "The Journal of Neuroscience", "id" : "ITEM-3", "issue" : "19", "issued" : { "date-parts" : [ [ "2013" ] ] }, "page" : "8264-8269", "title" : "The Feedback-Related Negativity Signals Salience Prediction Errors, Not Reward Prediction Errors", "type" : "article-journal", "volume" : "33" }, "uris" : [ "http://www.mendeley.com/documents/?uuid=d677aa09-16f1-46ee-8185-d3fc13c1a457" ] } ], "mendeley" : { "formattedCitation" : "(Garofalo et al., 2014; Heydari &amp; Holroyd, 2016; Talmi et al., 2013)", "plainTextFormattedCitation" : "(Garofalo et al., 2014; Heydari &amp; Holroyd, 2016; Talmi et al., 2013)", "previouslyFormattedCitation" : "(Garofalo et al., 2014; Heydari &amp; Holroyd, 2016; Talmi et al., 2013)" }, "properties" : { "noteIndex" : 0 }, "schema" : "https://github.com/citation-style-language/schema/raw/master/csl-citation.json" }</w:instrText>
      </w:r>
      <w:r w:rsidRPr="00990234">
        <w:rPr>
          <w:rFonts w:ascii="Times New Roman" w:hAnsi="Times New Roman" w:cs="Times New Roman"/>
        </w:rPr>
        <w:fldChar w:fldCharType="separate"/>
      </w:r>
      <w:r w:rsidRPr="00990234">
        <w:rPr>
          <w:rFonts w:ascii="Times New Roman" w:hAnsi="Times New Roman" w:cs="Times New Roman"/>
          <w:noProof/>
        </w:rPr>
        <w:t>(Garofalo et al., 2014; Heydari &amp; Holroyd, 2016; Talmi et al., 2013)</w:t>
      </w:r>
      <w:r w:rsidRPr="00990234">
        <w:rPr>
          <w:rFonts w:ascii="Times New Roman" w:hAnsi="Times New Roman" w:cs="Times New Roman"/>
        </w:rPr>
        <w:fldChar w:fldCharType="end"/>
      </w:r>
      <w:r w:rsidRPr="00990234">
        <w:rPr>
          <w:rFonts w:ascii="Times New Roman" w:hAnsi="Times New Roman" w:cs="Times New Roman"/>
          <w:b/>
        </w:rPr>
        <w:t>,</w:t>
      </w:r>
      <w:r w:rsidRPr="00990234">
        <w:rPr>
          <w:rFonts w:ascii="Times New Roman" w:hAnsi="Times New Roman" w:cs="Times New Roman"/>
        </w:rPr>
        <w:t xml:space="preserve"> all previous ERP studies of reward prediction error, including those that used pain in the aversive domain, used money, a secondary reinforcer, in the appetitive domain. We used primary taste reinforcers because appetitive taste is known to elicit a dopamine response. Second-by-second dopamine release in response to food cues signals future appetitive outcomes </w:t>
      </w:r>
      <w:r w:rsidRPr="00990234">
        <w:rPr>
          <w:rFonts w:ascii="Times New Roman" w:hAnsi="Times New Roman" w:cs="Times New Roman"/>
        </w:rPr>
        <w:fldChar w:fldCharType="begin" w:fldLock="1"/>
      </w:r>
      <w:r w:rsidRPr="00990234">
        <w:rPr>
          <w:rFonts w:ascii="Times New Roman" w:hAnsi="Times New Roman" w:cs="Times New Roman"/>
        </w:rPr>
        <w:instrText>ADDIN CSL_CITATION { "citationItems" : [ { "id" : "ITEM-1", "itemData" : { "DOI" : "10.1038/nn.4173", "ISBN" : "1546-1726 (Electronic)\\r1097-6256 (Linking)", "ISSN" : "1097-6256", "PMID" : "26595651", "abstract" : "Dopamine cell firing can encode errors in reward prediction, providing a learning signal to guide future behavior. Yet dopamine is also a key modulator of motivation, invigorating current behavior. Existing theories propose that fast (phasic) dopamine fluctuations support learning, whereas much slower (tonic) dopamine changes are involved in motivation. We examined dopamine release in the nucleus accumbens across multiple time scales, using complementary microdialysis and voltammetric methods during adaptive decision-making. We found that minute-by-minute dopamine levels covaried with reward rate and motivational vigor. Second-by-second dopamine release encoded an estimate of temporally discounted future reward (a value function). Changing dopamine immediately altered willingness to work and reinforced preceding action choices by encoding temporal-difference reward prediction errors. Our results indicate that dopamine conveys a single, rapidly evolving decision variable, the available reward for investment of effort, which is employed for both learning and motivational functions.", "author" : [ { "dropping-particle" : "", "family" : "Hamid", "given" : "Arif a", "non-dropping-particle" : "", "parse-names" : false, "suffix" : "" }, { "dropping-particle" : "", "family" : "Pettibone", "given" : "Jeffrey R", "non-dropping-particle" : "", "parse-names" : false, "suffix" : "" }, { "dropping-particle" : "", "family" : "Mabrouk", "given" : "Omar S", "non-dropping-particle" : "", "parse-names" : false, "suffix" : "" }, { "dropping-particle" : "", "family" : "Hetrick", "given" : "Vaughn L", "non-dropping-particle" : "", "parse-names" : false, "suffix" : "" }, { "dropping-particle" : "", "family" : "Schmidt", "given" : "Robert", "non-dropping-particle" : "", "parse-names" : false, "suffix" : "" }, { "dropping-particle" : "", "family" : "Weele", "given" : "Caitlin M", "non-dropping-particle" : "Vander", "parse-names" : false, "suffix" : "" }, { "dropping-particle" : "", "family" : "Kennedy", "given" : "Robert T", "non-dropping-particle" : "", "parse-names" : false, "suffix" : "" }, { "dropping-particle" : "", "family" : "Aragona", "given" : "Brandon J", "non-dropping-particle" : "", "parse-names" : false, "suffix" : "" }, { "dropping-particle" : "", "family" : "Berke", "given" : "Joshua D", "non-dropping-particle" : "", "parse-names" : false, "suffix" : "" } ], "container-title" : "Nature Neuroscience", "id" : "ITEM-1", "issue" : "1", "issued" : { "date-parts" : [ [ "2015" ] ] }, "page" : "117-126", "title" : "Mesolimbic dopamine signals the value of work", "type" : "article-journal", "volume" : "19" }, "uris" : [ "http://www.mendeley.com/documents/?uuid=a11b03d3-d710-4b38-9e02-668cc2b1f9b1" ] } ], "mendeley" : { "formattedCitation" : "(Hamid et al., 2015)", "plainTextFormattedCitation" : "(Hamid et al., 2015)", "previouslyFormattedCitation" : "(Hamid et al., 2015)" }, "properties" : { "noteIndex" : 0 }, "schema" : "https://github.com/citation-style-language/schema/raw/master/csl-citation.json" }</w:instrText>
      </w:r>
      <w:r w:rsidRPr="00990234">
        <w:rPr>
          <w:rFonts w:ascii="Times New Roman" w:hAnsi="Times New Roman" w:cs="Times New Roman"/>
        </w:rPr>
        <w:fldChar w:fldCharType="separate"/>
      </w:r>
      <w:r w:rsidRPr="00990234">
        <w:rPr>
          <w:rFonts w:ascii="Times New Roman" w:hAnsi="Times New Roman" w:cs="Times New Roman"/>
          <w:noProof/>
        </w:rPr>
        <w:t>(Hamid et al., 2015)</w:t>
      </w:r>
      <w:r w:rsidRPr="00990234">
        <w:rPr>
          <w:rFonts w:ascii="Times New Roman" w:hAnsi="Times New Roman" w:cs="Times New Roman"/>
        </w:rPr>
        <w:fldChar w:fldCharType="end"/>
      </w:r>
      <w:r w:rsidRPr="00990234">
        <w:rPr>
          <w:rFonts w:ascii="Times New Roman" w:hAnsi="Times New Roman" w:cs="Times New Roman"/>
        </w:rPr>
        <w:t xml:space="preserve">, and anticipation of appetitive taste activates the dopaminergic system </w:t>
      </w:r>
      <w:r w:rsidRPr="00990234">
        <w:rPr>
          <w:rFonts w:ascii="Times New Roman" w:hAnsi="Times New Roman" w:cs="Times New Roman"/>
        </w:rPr>
        <w:fldChar w:fldCharType="begin" w:fldLock="1"/>
      </w:r>
      <w:r w:rsidRPr="00990234">
        <w:rPr>
          <w:rFonts w:ascii="Times New Roman" w:hAnsi="Times New Roman" w:cs="Times New Roman"/>
        </w:rPr>
        <w:instrText>ADDIN CSL_CITATION { "citationItems" : [ { "id" : "ITEM-1", "itemData" : { "DOI" : "http://dx.doi.org/10.1016/S0896-6273(02)00603-7", "ISBN" : "0896-6273", "author" : [ { "dropping-particle" : "", "family" : "O'Doherty", "given" : "John P", "non-dropping-particle" : "", "parse-names" : false, "suffix" : "" }, { "dropping-particle" : "", "family" : "Deichmann", "given" : "Ralf", "non-dropping-particle" : "", "parse-names" : false, "suffix" : "" }, { "dropping-particle" : "", "family" : "Critchley", "given" : "Hugo D", "non-dropping-particle" : "", "parse-names" : false, "suffix" : "" }, { "dropping-particle" : "", "family" : "Dolan", "given" : "Raymond J", "non-dropping-particle" : "", "parse-names" : false, "suffix" : "" } ], "container-title" : "Neuron", "id" : "ITEM-1", "issue" : "5", "issued" : { "date-parts" : [ [ "2002" ] ] }, "page" : "815-826", "title" : "Neural Responses during Anticipation of a Primary Taste Reward", "type" : "article-journal", "volume" : "33" }, "uris" : [ "http://www.mendeley.com/documents/?uuid=f14ac2b2-ba62-4aa3-bc14-3f3c5c5b4341" ] } ], "mendeley" : { "formattedCitation" : "(O\u2019Doherty, Deichmann, Critchley, &amp; Dolan, 2002)", "plainTextFormattedCitation" : "(O\u2019Doherty, Deichmann, Critchley, &amp; Dolan, 2002)", "previouslyFormattedCitation" : "(O\u2019Doherty, Deichmann, Critchley, &amp; Dolan, 2002)" }, "properties" : { "noteIndex" : 0 }, "schema" : "https://github.com/citation-style-language/schema/raw/master/csl-citation.json" }</w:instrText>
      </w:r>
      <w:r w:rsidRPr="00990234">
        <w:rPr>
          <w:rFonts w:ascii="Times New Roman" w:hAnsi="Times New Roman" w:cs="Times New Roman"/>
        </w:rPr>
        <w:fldChar w:fldCharType="separate"/>
      </w:r>
      <w:r w:rsidRPr="00990234">
        <w:rPr>
          <w:rFonts w:ascii="Times New Roman" w:hAnsi="Times New Roman" w:cs="Times New Roman"/>
          <w:noProof/>
        </w:rPr>
        <w:t>(O’Doherty, Deichmann, Critchley, &amp; Dolan, 2002)</w:t>
      </w:r>
      <w:r w:rsidRPr="00990234">
        <w:rPr>
          <w:rFonts w:ascii="Times New Roman" w:hAnsi="Times New Roman" w:cs="Times New Roman"/>
        </w:rPr>
        <w:fldChar w:fldCharType="end"/>
      </w:r>
      <w:r w:rsidRPr="00990234">
        <w:rPr>
          <w:rFonts w:ascii="Times New Roman" w:hAnsi="Times New Roman" w:cs="Times New Roman"/>
        </w:rPr>
        <w:t xml:space="preserve">.  In agreement with previous research </w:t>
      </w:r>
      <w:r w:rsidRPr="00990234">
        <w:rPr>
          <w:rFonts w:ascii="Times New Roman" w:hAnsi="Times New Roman" w:cs="Times New Roman"/>
        </w:rPr>
        <w:fldChar w:fldCharType="begin" w:fldLock="1"/>
      </w:r>
      <w:r w:rsidRPr="00990234">
        <w:rPr>
          <w:rFonts w:ascii="Times New Roman" w:hAnsi="Times New Roman" w:cs="Times New Roman"/>
        </w:rPr>
        <w:instrText>ADDIN CSL_CITATION { "citationItems" : [ { "id" : "ITEM-1", "itemData" : { "DOI" : "10.1038/nn1645", "ISBN" : "1097-6256 (Print)", "ISSN" : "1097-6256", "PMID" : "16462735", "abstract" : "The primary taste cortex consists of the insula and operculum. Previous work has indicated that neurons in the primary taste cortex respond solely to sensory input from taste receptors and lingual somatosensory receptors. Using functional magnetic resonance imaging, we show here that expectancy modulates these neural responses in humans. When subjects were led to believe that a highly aversive bitter taste would be less distasteful than it actually was, they reported it to be less aversive than when they had accurate information about the taste and, moreover, the primary taste cortex was less strongly activated. In addition, the activation of the right insula and operculum tracked online ratings of the aversiveness for each taste. Such expectancy-driven modulation of primary sensory cortex may affect perceptions of external events.", "author" : [ { "dropping-particle" : "", "family" : "Nitschke", "given" : "Jack B", "non-dropping-particle" : "", "parse-names" : false, "suffix" : "" }, { "dropping-particle" : "", "family" : "Dixon", "given" : "Gregory E", "non-dropping-particle" : "", "parse-names" : false, "suffix" : "" }, { "dropping-particle" : "", "family" : "Sarinopoulos", "given" : "Issidoros", "non-dropping-particle" : "", "parse-names" : false, "suffix" : "" }, { "dropping-particle" : "", "family" : "Short", "given" : "Sarah J", "non-dropping-particle" : "", "parse-names" : false, "suffix" : "" }, { "dropping-particle" : "", "family" : "Cohen", "given" : "Jonathan D", "non-dropping-particle" : "", "parse-names" : false, "suffix" : "" }, { "dropping-particle" : "", "family" : "Smith", "given" : "Edward E", "non-dropping-particle" : "", "parse-names" : false, "suffix" : "" }, { "dropping-particle" : "", "family" : "Kosslyn", "given" : "Stephen M", "non-dropping-particle" : "", "parse-names" : false, "suffix" : "" }, { "dropping-particle" : "", "family" : "Rose", "given" : "Robert M", "non-dropping-particle" : "", "parse-names" : false, "suffix" : "" }, { "dropping-particle" : "", "family" : "Davidson", "given" : "Richard J", "non-dropping-particle" : "", "parse-names" : false, "suffix" : "" } ], "container-title" : "Nature neuroscience", "id" : "ITEM-1", "issue" : "3", "issued" : { "date-parts" : [ [ "2006" ] ] }, "page" : "435-442", "title" : "Altering expectancy dampens neural response to aversive taste in primary taste cortex.", "type" : "article-journal", "volume" : "9" }, "uris" : [ "http://www.mendeley.com/documents/?uuid=d8b1d803-c334-4e62-b92b-bba8bf0b6121" ] } ], "mendeley" : { "formattedCitation" : "(Nitschke et al., 2006)", "plainTextFormattedCitation" : "(Nitschke et al., 2006)", "previouslyFormattedCitation" : "(Nitschke et al., 2006)" }, "properties" : { "noteIndex" : 0 }, "schema" : "https://github.com/citation-style-language/schema/raw/master/csl-citation.json" }</w:instrText>
      </w:r>
      <w:r w:rsidRPr="00990234">
        <w:rPr>
          <w:rFonts w:ascii="Times New Roman" w:hAnsi="Times New Roman" w:cs="Times New Roman"/>
        </w:rPr>
        <w:fldChar w:fldCharType="separate"/>
      </w:r>
      <w:r w:rsidRPr="00990234">
        <w:rPr>
          <w:rFonts w:ascii="Times New Roman" w:hAnsi="Times New Roman" w:cs="Times New Roman"/>
          <w:noProof/>
        </w:rPr>
        <w:t>(Nitschke et al., 2006)</w:t>
      </w:r>
      <w:r w:rsidRPr="00990234">
        <w:rPr>
          <w:rFonts w:ascii="Times New Roman" w:hAnsi="Times New Roman" w:cs="Times New Roman"/>
        </w:rPr>
        <w:fldChar w:fldCharType="end"/>
      </w:r>
      <w:r w:rsidRPr="00990234">
        <w:rPr>
          <w:rFonts w:ascii="Times New Roman" w:hAnsi="Times New Roman" w:cs="Times New Roman"/>
        </w:rPr>
        <w:t xml:space="preserve">, we did not see neural habituation to appetitive taste. Moreover, we followed routine practice in animal models and ensured that the hedonic value of our taste reinforcers was titrated so that it was positive and high for each individual participant, and we deprived participants of food and water beforehand, which enhanced the incentive salience </w:t>
      </w:r>
      <w:r w:rsidRPr="00990234">
        <w:rPr>
          <w:rFonts w:ascii="Times New Roman" w:hAnsi="Times New Roman" w:cs="Times New Roman"/>
        </w:rPr>
        <w:fldChar w:fldCharType="begin" w:fldLock="1"/>
      </w:r>
      <w:r w:rsidR="00755579" w:rsidRPr="00990234">
        <w:rPr>
          <w:rFonts w:ascii="Times New Roman" w:hAnsi="Times New Roman" w:cs="Times New Roman"/>
        </w:rPr>
        <w:instrText>ADDIN CSL_CITATION { "citationItems" : [ { "id" : "ITEM-1", "itemData" : { "DOI" : "10.1016/S0166-2236(03)00177-2", "ISBN" : "0166-2236 (Print)", "ISSN" : "01662236", "PMID" : "12900173", "abstract" : "Theories of dopamine function are at a crossroads. Computational models derived from single-unit recordings capture changes in dopaminergic neuron firing rate as a prediction error signal. These models employ the prediction error signal in two roles: learning to predict future rewarding events and biasing action choice. Conversely, pharmacological inhibition or lesion of dopaminergic neuron function diminishes the ability of an animal to motivate behaviors directed at acquiring rewards. These lesion experiments have raised the possibility that dopamine release encodes a measure of the incentive value of a contemplated behavioral act. The most complete psychological idea that captures this notion frames the dopamine signal as carrying 'incentive salience'. On the surface, these two competing accounts of dopamine function seem incommensurate. To the contrary, we demonstrate that both of these functions can be captured in a single computational model of the involvement of dopamine in reward prediction for the purpose of reward seeking.", "author" : [ { "dropping-particle" : "", "family" : "McClure", "given" : "Samuel M.", "non-dropping-particle" : "", "parse-names" : false, "suffix" : "" }, { "dropping-particle" : "", "family" : "Daw", "given" : "Nathaniel D.", "non-dropping-particle" : "", "parse-names" : false, "suffix" : "" }, { "dropping-particle" : "", "family" : "Montague", "given" : "P.", "non-dropping-particle" : "", "parse-names" : false, "suffix" : "" } ], "container-title" : "Trends in Neurosciences", "id" : "ITEM-1", "issue" : "8", "issued" : { "date-parts" : [ [ "2003" ] ] }, "page" : "423-428", "title" : "A computational substrate for incentive salience", "type" : "article-journal", "volume" : "26" }, "uris" : [ "http://www.mendeley.com/documents/?uuid=8bad3f54-d56a-4930-9567-02deab75ecbb" ] }, { "id" : "ITEM-2", "itemData" : { "DOI" : "10.1111/j.1460-9568.2012.07990.x", "ISBN" : "0953-816X", "ISSN" : "0953816X", "PMID" : "22487042", "abstract" : "Reward contains separable psychological components of learning, incentive motivation and pleasure. Most computational models have focused only on the learning component of reward, but the motivational component is equally important in reward circuitry, and even more directly controls behavior. Modeling the motivational component requires recognition of additional control factors besides learning. Here I discuss how mesocorticolimbic mechanisms generate the motivation component of incentive salience. Incentive salience takes Pavlovian learning and memory as one input and as an equally important input takes neurobiological state factors (e.g. drug states, appetite states, satiety states) that can vary independently of learning. Neurobiological state changes can produce unlearned fluctuations or even reversals in the ability of a previously learned reward cue to trigger motivation. Such fluctuations in cue-triggered motivation can dramatically depart from all previously learned values about the associated reward outcome. Thus, one consequence of the difference between incentive salience and learning can be to decouple cue-triggered motivation of the moment from previously learned values of how good the associated reward has been in the past. Another consequence can be to produce irrationally strong motivation urges that are not justified by any memories of previous reward values (and without distorting associative predictions of future reward value). Such irrationally strong motivation may be especially problematic in addiction. To understand these phenomena, future models of mesocorticolimbic reward function should address the neurobiological state factors that participate to control generation of incentive salience.", "author" : [ { "dropping-particle" : "", "family" : "Berridge", "given" : "Kent C.", "non-dropping-particle" : "", "parse-names" : false, "suffix" : "" } ], "container-title" : "European Journal of Neuroscience", "id" : "ITEM-2", "issue" : "7", "issued" : { "date-parts" : [ [ "2012" ] ] }, "page" : "1124-1143", "title" : "From prediction error to incentive salience: Mesolimbic computation of reward motivation", "type" : "article-journal", "volume" : "35" }, "uris" : [ "http://www.mendeley.com/documents/?uuid=fa3da35d-6058-4437-a7e9-e2ef91e29d72" ] } ], "mendeley" : { "formattedCitation" : "(Berridge, 2012; Samuel M. McClure, Daw, &amp; Montague, 2003)", "manualFormatting" : "(Berridge, 2012; McClure, Daw, &amp; Montague, 2003)", "plainTextFormattedCitation" : "(Berridge, 2012; Samuel M. McClure, Daw, &amp; Montague, 2003)", "previouslyFormattedCitation" : "(Berridge, 2012; Samuel M. McClure, Daw, &amp; Montague, 2003)" }, "properties" : { "noteIndex" : 0 }, "schema" : "https://github.com/citation-style-language/schema/raw/master/csl-citation.json" }</w:instrText>
      </w:r>
      <w:r w:rsidRPr="00990234">
        <w:rPr>
          <w:rFonts w:ascii="Times New Roman" w:hAnsi="Times New Roman" w:cs="Times New Roman"/>
        </w:rPr>
        <w:fldChar w:fldCharType="separate"/>
      </w:r>
      <w:r w:rsidR="00755579" w:rsidRPr="00990234">
        <w:rPr>
          <w:rFonts w:ascii="Times New Roman" w:hAnsi="Times New Roman" w:cs="Times New Roman"/>
          <w:noProof/>
        </w:rPr>
        <w:t xml:space="preserve">(Berridge, 2012; </w:t>
      </w:r>
      <w:r w:rsidRPr="00990234">
        <w:rPr>
          <w:rFonts w:ascii="Times New Roman" w:hAnsi="Times New Roman" w:cs="Times New Roman"/>
          <w:noProof/>
        </w:rPr>
        <w:t>McClure, Daw, &amp; Montague, 2003)</w:t>
      </w:r>
      <w:r w:rsidRPr="00990234">
        <w:rPr>
          <w:rFonts w:ascii="Times New Roman" w:hAnsi="Times New Roman" w:cs="Times New Roman"/>
        </w:rPr>
        <w:fldChar w:fldCharType="end"/>
      </w:r>
      <w:r w:rsidRPr="00990234">
        <w:rPr>
          <w:rFonts w:ascii="Times New Roman" w:hAnsi="Times New Roman" w:cs="Times New Roman"/>
        </w:rPr>
        <w:t xml:space="preserve">  of the sweet taste. We propose, therefore, that the sweet taste is more salient than the small amounts of money participants gained in previous work, and so ERPs to sweet taste prioritised expression of salience, rather than prediction error. This hypothesis can be tested in future work where monetary and taste reinforcers are directly compared. We also acknowledge that it is possible, as the use of sweet taste as an appetitive reinforcer in humans is fairly novel, that the sweet taste was salient, but not appetitive, despite titration of the hedonic intensity of the sweet taste, and so elicited a salience response. However, previous research has successfully used sweet appetitive taste reinforcers </w:t>
      </w:r>
      <w:r w:rsidRPr="00990234">
        <w:rPr>
          <w:rFonts w:ascii="Times New Roman" w:hAnsi="Times New Roman" w:cs="Times New Roman"/>
        </w:rPr>
        <w:fldChar w:fldCharType="begin" w:fldLock="1"/>
      </w:r>
      <w:r w:rsidR="00CA58DD" w:rsidRPr="00990234">
        <w:rPr>
          <w:rFonts w:ascii="Times New Roman" w:hAnsi="Times New Roman" w:cs="Times New Roman"/>
        </w:rPr>
        <w:instrText>ADDIN CSL_CITATION { "citationItems" : [ { "id" : "ITEM-1", "itemData" : { "DOI" : "10.1016/j.biopsycho.2010.12.008", "ISBN" : "1873-6246 (Electronic)\\n0301-0511 (Linking)", "ISSN" : "03010511", "PMID" : "21187120", "abstract" : "The present study examines two novel aspects of appetitive processing and conditioning: the electrophysiological response to (a) the appetitive taste of a sweet fluid and (b) appetitively/taste conditioned visual stimuli. Event-related potentials (ERPs) were recorded from 32 subjects while they performed a taste conditioning task, in which two symbols were paired with a sweet or a neutral fluid. The results show a clear P1/N1/P2 complex, and a late positive potential (P3) with maxima at right fronto-central electrode sites, in response to the taste stimuli. Of these components particularly the P3 showed robust differences between the sweet and neutral taste. In addition, the electrophysiological response to the taste conditioned stimuli (CS), also showed the expected differences for both P2 and P3 at frontocentral electrodes. The present data demonstrate that the employed paradigm is a useful methodology to study the electrophysiological responses to unconditioned appetitive stimuli. Since appetitive conditioning is assumed to be disturbed in many psychopathological conditions, such as substance dependence, depression and eating disorders, this paradigm could be employed to get more insight in these conditions in humans. ?? 2010 Elsevier B.V.", "author" : [ { "dropping-particle" : "", "family" : "Franken", "given" : "Ingmar H a", "non-dropping-particle" : "", "parse-names" : false, "suffix" : "" }, { "dropping-particle" : "", "family" : "Huijding", "given" : "Jorg", "non-dropping-particle" : "", "parse-names" : false, "suffix" : "" }, { "dropping-particle" : "", "family" : "Nijs", "given" : "Ilse M T", "non-dropping-particle" : "", "parse-names" : false, "suffix" : "" }, { "dropping-particle" : "", "family" : "Strien", "given" : "Jan W.", "non-dropping-particle" : "van", "parse-names" : false, "suffix" : "" } ], "container-title" : "Biological Psychology", "id" : "ITEM-1", "issue" : "3", "issued" : { "date-parts" : [ [ "2011" ] ] }, "page" : "273-278", "publisher" : "Elsevier B.V.", "title" : "Electrophysiology of appetitive taste and appetitive taste conditioning in humans", "type" : "article-journal", "volume" : "86" }, "uris" : [ "http://www.mendeley.com/documents/?uuid=218c1af6-bab3-41d6-86b4-c4d0177b5a2c" ] }, { "id" : "ITEM-2", "itemData" : { "DOI" : "10.1016/S0896-6273(03)00154-5", "ISSN" : "08966273", "author" : [ { "dropping-particle" : "", "family" : "McClure", "given" : "S M", "non-dropping-particle" : "", "parse-names" : false, "suffix" : "" }, { "dropping-particle" : "", "family" : "Berns", "given" : "G S", "non-dropping-particle" : "", "parse-names" : false, "suffix" : "" }, { "dropping-particle" : "", "family" : "Montague", "given" : "P R", "non-dropping-particle" : "", "parse-names" : false, "suffix" : "" } ], "container-title" : "Neuron", "id" : "ITEM-2", "issued" : { "date-parts" : [ [ "2003" ] ] }, "page" : "339-346", "title" : "Temporal predection errors in a passive learning task activate human striatum", "type" : "article-journal", "volume" : "38" }, "uris" : [ "http://www.mendeley.com/documents/?uuid=f9cc1a16-cc25-455f-8b4c-c481cd9f4b1c" ] }, { "id" : "ITEM-3", "itemData" : { "DOI" : "10.1093/cercor/bhq145", "ISBN" : "1460-2199", "ISSN" : "10473211", "PMID" : "20732900", "abstract" : "Although much is known about the neural substrates of reward, the question of whether expectation of different types of reinforcers engage distinct or overlapping brain circuitry has not been addressed definitively. In the present study, human subjects, while being scanned with functional magnetic resonance imaging, performed a simple reward-based action selection task to obtain different magnitudes of either monetary outcomes (winning or losing money) or juice outcomes (pleasant apple juice or an unpleasant salt flavor). At the group level, we found partially overlapping value-related activity within ventromedial prefrontal cortex (vmPFC) during anticipation of juice and money reward outcomes. Analogous results were found in the right anterior insula, except that this region showed negative correlations as a function of increasing expected reward. These results indicate that vmPFC and anterior insula contain overlapping representations of anticipatory value, consistent with the existence of a common currency for the value of expected outcomes in these regions.", "author" : [ { "dropping-particle" : "", "family" : "Kim", "given" : "Hackjin", "non-dropping-particle" : "", "parse-names" : false, "suffix" : "" }, { "dropping-particle" : "", "family" : "Shimojo", "given" : "Shinsuke", "non-dropping-particle" : "", "parse-names" : false, "suffix" : "" }, { "dropping-particle" : "", "family" : "O'Doherty", "given" : "John P.", "non-dropping-particle" : "", "parse-names" : false, "suffix" : "" } ], "container-title" : "Cerebral Cortex", "id" : "ITEM-3", "issue" : "4", "issued" : { "date-parts" : [ [ "2011" ] ] }, "page" : "769-776", "title" : "Overlapping responses for the expectation of juice and money rewards in human ventromedial prefrontal cortex", "type" : "article-journal", "volume" : "21" }, "uris" : [ "http://www.mendeley.com/documents/?uuid=d64bdec0-7a73-457a-9395-3d7aa733a555" ] } ], "mendeley" : { "formattedCitation" : "(Franken et al., 2011; Kim, Shimojo, &amp; O\u2019Doherty, 2011; S M McClure, Berns, &amp; Montague, 2003)", "manualFormatting" : "(Franken et al., 2011; Kim, Shimojo, &amp; O\u2019Doherty, 2011; McClure, Berns, &amp; Montague, 2003)", "plainTextFormattedCitation" : "(Franken et al., 2011; Kim, Shimojo, &amp; O\u2019Doherty, 2011; S M McClure, Berns, &amp; Montague, 2003)", "previouslyFormattedCitation" : "(Franken et al., 2011; Kim, Shimojo, &amp; O\u2019Doherty, 2011; S M McClure, Berns, &amp; Montague, 2003)" }, "properties" : { "noteIndex" : 0 }, "schema" : "https://github.com/citation-style-language/schema/raw/master/csl-citation.json" }</w:instrText>
      </w:r>
      <w:r w:rsidRPr="00990234">
        <w:rPr>
          <w:rFonts w:ascii="Times New Roman" w:hAnsi="Times New Roman" w:cs="Times New Roman"/>
        </w:rPr>
        <w:fldChar w:fldCharType="separate"/>
      </w:r>
      <w:r w:rsidRPr="00990234">
        <w:rPr>
          <w:rFonts w:ascii="Times New Roman" w:hAnsi="Times New Roman" w:cs="Times New Roman"/>
          <w:noProof/>
        </w:rPr>
        <w:t>(Franken et al., 2011; Kim, Shimojo, &amp; O’Doherty, 2011; McClure, Berns, &amp; Montague, 2003)</w:t>
      </w:r>
      <w:r w:rsidRPr="00990234">
        <w:rPr>
          <w:rFonts w:ascii="Times New Roman" w:hAnsi="Times New Roman" w:cs="Times New Roman"/>
        </w:rPr>
        <w:fldChar w:fldCharType="end"/>
      </w:r>
      <w:r w:rsidRPr="00990234">
        <w:rPr>
          <w:rFonts w:ascii="Times New Roman" w:hAnsi="Times New Roman" w:cs="Times New Roman"/>
        </w:rPr>
        <w:t>, so this hypothesis remains questionable. Future studies could acquire trial-by-trial ratings of hedonic intensity and appetitive value of sweet taste to test this.</w:t>
      </w:r>
    </w:p>
    <w:p w:rsidR="00654698" w:rsidRPr="00990234" w:rsidRDefault="00654698" w:rsidP="00654698">
      <w:pPr>
        <w:spacing w:after="0" w:line="480" w:lineRule="auto"/>
        <w:ind w:right="-113" w:firstLine="720"/>
        <w:contextualSpacing/>
        <w:rPr>
          <w:rFonts w:ascii="Times New Roman" w:hAnsi="Times New Roman" w:cs="Times New Roman"/>
        </w:rPr>
      </w:pPr>
      <w:r w:rsidRPr="00990234">
        <w:rPr>
          <w:rFonts w:ascii="Times New Roman" w:hAnsi="Times New Roman" w:cs="Times New Roman"/>
        </w:rPr>
        <w:lastRenderedPageBreak/>
        <w:t xml:space="preserve">We employed a Pavlovian task because this task established the fundamental reward prediction error result in animal models, which we aimed to be closest to. However, the fact that we employed a passive Pavlovian task, in contrast to the majority of FRN experiments which tend to employ instrumental learning tasks, could also contribute to the lack of reward prediction error signal. This is in keeping with previous work showing a smaller effect of reward prediction error in passive tasks </w:t>
      </w:r>
      <w:r w:rsidRPr="00990234">
        <w:rPr>
          <w:rFonts w:ascii="Times New Roman" w:hAnsi="Times New Roman" w:cs="Times New Roman"/>
        </w:rPr>
        <w:fldChar w:fldCharType="begin" w:fldLock="1"/>
      </w:r>
      <w:r w:rsidRPr="00990234">
        <w:rPr>
          <w:rFonts w:ascii="Times New Roman" w:hAnsi="Times New Roman" w:cs="Times New Roman"/>
        </w:rPr>
        <w:instrText>ADDIN CSL_CITATION { "citationItems" : [ { "id" : "ITEM-1", "itemData" : { "DOI" : "10.1037/bul0000006", "ISBN" : "1939-1455(Electronic);0033-2909(Print)", "ISSN" : "1939-1455", "PMID" : "25495239", "abstract" : "Economic approaches to decision making assume that people attach values to prospective goods and act to maximize their obtained value. Neuroeconomics strives to observe these values directly in the brain. A widely used valuation term in formal learning and decision-making models is the reward prediction error: the value of an outcome relative to its expected value. An influential theory (Holroyd &amp; Coles, 2002) claims that an electrophysiological component, feedback related negativity (FRN), codes a reward prediction error in the human brain. Such a component should be sensitive to both the prior likelihood of reward and its magnitude on receipt. A number of studies have found the FRN to be insensitive to reward magnitude, thus questioning the Holroyd and Coles account. However, because of marked inconsistencies in how the FRN is measured, a meaningful synthesis of this evidence is highly problematic. We conducted a meta-analysis of the FRN\u2019s response to both reward magnitude and likelihood using a novel method in which published effect sizes were disregarded in favor of direct measurement of the published waveforms themselves, with these waveforms then averaged to produce \u201cgreat grand averages.\u201d Under this standardized measure, the meta-analysis revealed strong effects of magnitude and likelihood on the FRN, consistent with it encoding a reward prediction error. In addition, it revealed strong main effects of reward magnitude and likelihood across much of the waveform, indicating sensitivity to unsigned prediction errors or \u201csalience.\u201d The great grand average technique is proposed as a general method for meta-analysis of event-related potential (ERP).", "author" : [ { "dropping-particle" : "", "family" : "Sambrook", "given" : "Thomas D", "non-dropping-particle" : "", "parse-names" : false, "suffix" : "" }, { "dropping-particle" : "", "family" : "Goslin", "given" : "Jeremy", "non-dropping-particle" : "", "parse-names" : false, "suffix" : "" } ], "container-title" : "Psychological Bulletin", "id" : "ITEM-1", "issue" : "1", "issued" : { "date-parts" : [ [ "2015" ] ] }, "page" : "213-235", "title" : "A neural reward prediction error revealed by a meta-analysis of ERPs using great grand averages", "type" : "article-journal", "volume" : "141" }, "uris" : [ "http://www.mendeley.com/documents/?uuid=1a1d129d-5655-4a68-874c-2674fa1915eb" ] } ], "mendeley" : { "formattedCitation" : "(Sambrook &amp; Goslin, 2015a)", "plainTextFormattedCitation" : "(Sambrook &amp; Goslin, 2015a)", "previouslyFormattedCitation" : "(Sambrook &amp; Goslin, 2015a)" }, "properties" : { "noteIndex" : 0 }, "schema" : "https://github.com/citation-style-language/schema/raw/master/csl-citation.json" }</w:instrText>
      </w:r>
      <w:r w:rsidRPr="00990234">
        <w:rPr>
          <w:rFonts w:ascii="Times New Roman" w:hAnsi="Times New Roman" w:cs="Times New Roman"/>
        </w:rPr>
        <w:fldChar w:fldCharType="separate"/>
      </w:r>
      <w:r w:rsidRPr="00990234">
        <w:rPr>
          <w:rFonts w:ascii="Times New Roman" w:hAnsi="Times New Roman" w:cs="Times New Roman"/>
          <w:noProof/>
        </w:rPr>
        <w:t>(Sambrook &amp; Goslin, 2015a)</w:t>
      </w:r>
      <w:r w:rsidRPr="00990234">
        <w:rPr>
          <w:rFonts w:ascii="Times New Roman" w:hAnsi="Times New Roman" w:cs="Times New Roman"/>
        </w:rPr>
        <w:fldChar w:fldCharType="end"/>
      </w:r>
      <w:r w:rsidRPr="00990234">
        <w:rPr>
          <w:rFonts w:ascii="Times New Roman" w:hAnsi="Times New Roman" w:cs="Times New Roman"/>
        </w:rPr>
        <w:t>. Therefore, it is possible that the FRN signals an instrumental, rather than a Pavlovian, reward prediction error.  The fact that the ERPs signalled prediction errors in the aversive domain clarifies that domain cannot be ignored in the pursuit of an ERP signature of prediction error.</w:t>
      </w:r>
    </w:p>
    <w:p w:rsidR="00654698" w:rsidRPr="00990234" w:rsidRDefault="00654698" w:rsidP="00654698">
      <w:pPr>
        <w:spacing w:after="0" w:line="480" w:lineRule="auto"/>
        <w:ind w:right="-113" w:firstLine="720"/>
        <w:contextualSpacing/>
        <w:rPr>
          <w:rFonts w:ascii="Times New Roman" w:hAnsi="Times New Roman" w:cs="Times New Roman"/>
        </w:rPr>
      </w:pPr>
      <w:r w:rsidRPr="00990234">
        <w:rPr>
          <w:rFonts w:ascii="Times New Roman" w:hAnsi="Times New Roman" w:cs="Times New Roman"/>
        </w:rPr>
        <w:t xml:space="preserve">As we did not use source localisation analysis, we cannot make claims about where the signal originated from. A number of different regions expressed salience in previous fMRI work, summarised in a recent meta-analysis </w:t>
      </w:r>
      <w:r w:rsidRPr="00990234">
        <w:rPr>
          <w:rFonts w:ascii="Times New Roman" w:hAnsi="Times New Roman" w:cs="Times New Roman"/>
        </w:rPr>
        <w:fldChar w:fldCharType="begin" w:fldLock="1"/>
      </w:r>
      <w:r w:rsidRPr="00990234">
        <w:rPr>
          <w:rFonts w:ascii="Times New Roman" w:hAnsi="Times New Roman" w:cs="Times New Roman"/>
        </w:rPr>
        <w:instrText>ADDIN CSL_CITATION { "citationItems" : [ { "id" : "ITEM-1", "itemData" : { "DOI" : "10.1093/cercor/bhv001", "ISBN" : "1460-2199 (Electronic)\\r1047-3211 (Linking)", "ISSN" : "1460-2199", "PMID" : "25631056", "abstract" : "The ability to experience pleasant or unpleasant feelings or to represent objects as \"positive\" or \"negative\" is known as representing hedonic \"valence.\" Although scientists overwhelmingly agree that valence is a basic psychological phenomenon, debate continues about how to best conceptualize it scientifically. We used a meta-analysis of 397 functional magnetic resonance imaging (fMRI) and positron emission tomography studies (containing 914 experimental contrasts and 6827 participants) to test 3 competing hypotheses about the brain basis of valence: the bipolarity hypothesis that positive and negative affect are supported by a brain system that monotonically increases and/or decreases along the valence dimension, the bivalent hypothesis that positive and negative affect are supported by independent brain systems, and the affective workspace hypothesis that positive and negative affect are supported by a flexible set of valence-general regions. We found little evidence for the bipolar or bivalent hypotheses. Findings instead supported the hypothesis that, at the level of brain activity measurable by fMRI, valence is flexibly implemented across instances by a set of valence-general limbic and paralimbic brain regions.", "author" : [ { "dropping-particle" : "", "family" : "Lindquist", "given" : "Kristen a", "non-dropping-particle" : "", "parse-names" : false, "suffix" : "" }, { "dropping-particle" : "", "family" : "Satpute", "given" : "Ajay B", "non-dropping-particle" : "", "parse-names" : false, "suffix" : "" }, { "dropping-particle" : "", "family" : "Wager", "given" : "Tor D", "non-dropping-particle" : "", "parse-names" : false, "suffix" : "" }, { "dropping-particle" : "", "family" : "Weber", "given" : "Jochen", "non-dropping-particle" : "", "parse-names" : false, "suffix" : "" }, { "dropping-particle" : "", "family" : "Barrett", "given" : "Lisa Feldman", "non-dropping-particle" : "", "parse-names" : false, "suffix" : "" } ], "container-title" : "Cerebral cortex (New York, N.Y. : 1991)", "id" : "ITEM-1", "issue" : "January 2015", "issued" : { "date-parts" : [ [ "2015" ] ] }, "page" : "bhv001-", "title" : "The Brain Basis of Positive and Negative Affect: Evidence from a Meta-Analysis of the Human Neuroimaging Literature.", "type" : "article-journal" }, "uris" : [ "http://www.mendeley.com/documents/?uuid=f3142ac2-494c-4611-81d6-e036b2c321d8" ] } ], "mendeley" : { "formattedCitation" : "(Lindquist et al., 2015)", "plainTextFormattedCitation" : "(Lindquist et al., 2015)", "previouslyFormattedCitation" : "(Lindquist et al., 2015)" }, "properties" : { "noteIndex" : 0 }, "schema" : "https://github.com/citation-style-language/schema/raw/master/csl-citation.json" }</w:instrText>
      </w:r>
      <w:r w:rsidRPr="00990234">
        <w:rPr>
          <w:rFonts w:ascii="Times New Roman" w:hAnsi="Times New Roman" w:cs="Times New Roman"/>
        </w:rPr>
        <w:fldChar w:fldCharType="separate"/>
      </w:r>
      <w:r w:rsidRPr="00990234">
        <w:rPr>
          <w:rFonts w:ascii="Times New Roman" w:hAnsi="Times New Roman" w:cs="Times New Roman"/>
          <w:noProof/>
        </w:rPr>
        <w:t>(Lindquist et al., 2015)</w:t>
      </w:r>
      <w:r w:rsidRPr="00990234">
        <w:rPr>
          <w:rFonts w:ascii="Times New Roman" w:hAnsi="Times New Roman" w:cs="Times New Roman"/>
        </w:rPr>
        <w:fldChar w:fldCharType="end"/>
      </w:r>
      <w:r w:rsidRPr="00990234">
        <w:rPr>
          <w:rFonts w:ascii="Times New Roman" w:hAnsi="Times New Roman" w:cs="Times New Roman"/>
        </w:rPr>
        <w:t xml:space="preserve">. The most likely sources of the salience response are the </w:t>
      </w:r>
      <w:r w:rsidR="00F8678A" w:rsidRPr="00990234">
        <w:rPr>
          <w:rFonts w:ascii="Times New Roman" w:hAnsi="Times New Roman" w:cs="Times New Roman"/>
        </w:rPr>
        <w:t>ACC</w:t>
      </w:r>
      <w:r w:rsidRPr="00990234">
        <w:rPr>
          <w:rFonts w:ascii="Times New Roman" w:hAnsi="Times New Roman" w:cs="Times New Roman"/>
        </w:rPr>
        <w:t xml:space="preserve">, which receives prediction error signals from the midbrain, and the insula, which together with the </w:t>
      </w:r>
      <w:r w:rsidR="00F8678A" w:rsidRPr="00990234">
        <w:rPr>
          <w:rFonts w:ascii="Times New Roman" w:hAnsi="Times New Roman" w:cs="Times New Roman"/>
        </w:rPr>
        <w:t xml:space="preserve">ACC </w:t>
      </w:r>
      <w:r w:rsidRPr="00990234">
        <w:rPr>
          <w:rFonts w:ascii="Times New Roman" w:hAnsi="Times New Roman" w:cs="Times New Roman"/>
        </w:rPr>
        <w:t xml:space="preserve">form the salience network </w:t>
      </w:r>
      <w:r w:rsidRPr="00990234">
        <w:rPr>
          <w:rFonts w:ascii="Times New Roman" w:hAnsi="Times New Roman" w:cs="Times New Roman"/>
        </w:rPr>
        <w:fldChar w:fldCharType="begin" w:fldLock="1"/>
      </w:r>
      <w:r w:rsidRPr="00990234">
        <w:rPr>
          <w:rFonts w:ascii="Times New Roman" w:hAnsi="Times New Roman" w:cs="Times New Roman"/>
        </w:rPr>
        <w:instrText>ADDIN CSL_CITATION { "citationItems" : [ { "id" : "ITEM-1", "itemData" : { "DOI" : "10.1523/JNEUROSCI.5587-06.2007", "ISBN" : "1529-2401 (Electronic)\\r0270-6474 (Linking)", "ISSN" : "0270-6474", "PMID" : "17329432", "author" : [ { "dropping-particle" : "", "family" : "Seeley", "given" : "W. W.", "non-dropping-particle" : "", "parse-names" : false, "suffix" : "" }, { "dropping-particle" : "", "family" : "Menon", "given" : "V.", "non-dropping-particle" : "", "parse-names" : false, "suffix" : "" }, { "dropping-particle" : "", "family" : "Schatzberg", "given" : "a. F.", "non-dropping-particle" : "", "parse-names" : false, "suffix" : "" }, { "dropping-particle" : "", "family" : "Keller", "given" : "J.", "non-dropping-particle" : "", "parse-names" : false, "suffix" : "" }, { "dropping-particle" : "", "family" : "Glover", "given" : "G. H.", "non-dropping-particle" : "", "parse-names" : false, "suffix" : "" }, { "dropping-particle" : "", "family" : "Kenna", "given" : "H.", "non-dropping-particle" : "", "parse-names" : false, "suffix" : "" }, { "dropping-particle" : "", "family" : "Reiss", "given" : "a. L.", "non-dropping-particle" : "", "parse-names" : false, "suffix" : "" }, { "dropping-particle" : "", "family" : "Greicius", "given" : "M. D.", "non-dropping-particle" : "", "parse-names" : false, "suffix" : "" } ], "container-title" : "Journal of Neuroscience", "id" : "ITEM-1", "issue" : "9", "issued" : { "date-parts" : [ [ "2007" ] ] }, "page" : "2349-2356", "title" : "Dissociable Intrinsic Connectivity Networks for Salience Processing and Executive Control", "type" : "article-journal", "volume" : "27" }, "uris" : [ "http://www.mendeley.com/documents/?uuid=fdb55b37-bae3-4928-9b65-9f96fb3c68c5" ] } ], "mendeley" : { "formattedCitation" : "(Seeley et al., 2007)", "plainTextFormattedCitation" : "(Seeley et al., 2007)", "previouslyFormattedCitation" : "(Seeley et al., 2007)" }, "properties" : { "noteIndex" : 0 }, "schema" : "https://github.com/citation-style-language/schema/raw/master/csl-citation.json" }</w:instrText>
      </w:r>
      <w:r w:rsidRPr="00990234">
        <w:rPr>
          <w:rFonts w:ascii="Times New Roman" w:hAnsi="Times New Roman" w:cs="Times New Roman"/>
        </w:rPr>
        <w:fldChar w:fldCharType="separate"/>
      </w:r>
      <w:r w:rsidRPr="00990234">
        <w:rPr>
          <w:rFonts w:ascii="Times New Roman" w:hAnsi="Times New Roman" w:cs="Times New Roman"/>
          <w:noProof/>
        </w:rPr>
        <w:t>(Seeley et al., 2007)</w:t>
      </w:r>
      <w:r w:rsidRPr="00990234">
        <w:rPr>
          <w:rFonts w:ascii="Times New Roman" w:hAnsi="Times New Roman" w:cs="Times New Roman"/>
        </w:rPr>
        <w:fldChar w:fldCharType="end"/>
      </w:r>
      <w:r w:rsidRPr="00990234">
        <w:rPr>
          <w:rFonts w:ascii="Times New Roman" w:hAnsi="Times New Roman" w:cs="Times New Roman"/>
        </w:rPr>
        <w:t xml:space="preserve">. The </w:t>
      </w:r>
      <w:r w:rsidR="00F8678A" w:rsidRPr="00990234">
        <w:rPr>
          <w:rFonts w:ascii="Times New Roman" w:hAnsi="Times New Roman" w:cs="Times New Roman"/>
        </w:rPr>
        <w:t xml:space="preserve">ACC </w:t>
      </w:r>
      <w:r w:rsidRPr="00990234">
        <w:rPr>
          <w:rFonts w:ascii="Times New Roman" w:hAnsi="Times New Roman" w:cs="Times New Roman"/>
        </w:rPr>
        <w:t xml:space="preserve">was the source of the frontocentral salience response to money in a previous ERP-fMRI study, and this signal was shown to be signalled directly from dopaminergic sources to the </w:t>
      </w:r>
      <w:r w:rsidR="00F8678A" w:rsidRPr="00990234">
        <w:rPr>
          <w:rFonts w:ascii="Times New Roman" w:hAnsi="Times New Roman" w:cs="Times New Roman"/>
        </w:rPr>
        <w:t xml:space="preserve">ACC </w:t>
      </w:r>
      <w:r w:rsidRPr="00990234">
        <w:rPr>
          <w:rFonts w:ascii="Times New Roman" w:hAnsi="Times New Roman" w:cs="Times New Roman"/>
        </w:rPr>
        <w:fldChar w:fldCharType="begin" w:fldLock="1"/>
      </w:r>
      <w:r w:rsidRPr="00990234">
        <w:rPr>
          <w:rFonts w:ascii="Times New Roman" w:hAnsi="Times New Roman" w:cs="Times New Roman"/>
        </w:rPr>
        <w:instrText>ADDIN CSL_CITATION { "citationItems" : [ { "id" : "ITEM-1", "itemData" : { "ISBN" : "1053-8119", "author" : [ { "dropping-particle" : "", "family" : "Hauser", "given" : "Tobias U", "non-dropping-particle" : "", "parse-names" : false, "suffix" : "" }, { "dropping-particle" : "", "family" : "Iannaccone", "given" : "Reto", "non-dropping-particle" : "", "parse-names" : false, "suffix" : "" }, { "dropping-particle" : "", "family" : "St\u00e4mpfli", "given" : "Philipp", "non-dropping-particle" : "", "parse-names" : false, "suffix" : "" }, { "dropping-particle" : "", "family" : "Drechsler", "given" : "Renate", "non-dropping-particle" : "", "parse-names" : false, "suffix" : "" }, { "dropping-particle" : "", "family" : "Brandeis", "given" : "Daniel", "non-dropping-particle" : "", "parse-names" : false, "suffix" : "" }, { "dropping-particle" : "", "family" : "Walitza", "given" : "Susanne", "non-dropping-particle" : "", "parse-names" : false, "suffix" : "" }, { "dropping-particle" : "", "family" : "Brem", "given" : "Silvia", "non-dropping-particle" : "", "parse-names" : false, "suffix" : "" } ], "container-title" : "NeuroImage", "id" : "ITEM-1", "issued" : { "date-parts" : [ [ "2014" ] ] }, "note" : "fmri-eeg showed a cluster within the dacc and additional activations of the salience network, and showed only surprise signals to modulate FRN amplitude. they also used DCM and showed surprise signals are directly projected to the source region of the frn - striatum, vmPFC, amygdala, dlpPFC.", "page" : "159-168", "title" : "The feedback-related negativity (FRN) revisited: New insights into the localization, meaning and network organization", "type" : "article-journal", "volume" : "84" }, "uris" : [ "http://www.mendeley.com/documents/?uuid=bda5b7f5-f2a2-4b6b-a014-9254615e974a" ] } ], "mendeley" : { "formattedCitation" : "(Hauser et al., 2014)", "plainTextFormattedCitation" : "(Hauser et al., 2014)", "previouslyFormattedCitation" : "(Hauser et al., 2014)" }, "properties" : { "noteIndex" : 0 }, "schema" : "https://github.com/citation-style-language/schema/raw/master/csl-citation.json" }</w:instrText>
      </w:r>
      <w:r w:rsidRPr="00990234">
        <w:rPr>
          <w:rFonts w:ascii="Times New Roman" w:hAnsi="Times New Roman" w:cs="Times New Roman"/>
        </w:rPr>
        <w:fldChar w:fldCharType="separate"/>
      </w:r>
      <w:r w:rsidRPr="00990234">
        <w:rPr>
          <w:rFonts w:ascii="Times New Roman" w:hAnsi="Times New Roman" w:cs="Times New Roman"/>
          <w:noProof/>
        </w:rPr>
        <w:t>(Hauser et al., 2014)</w:t>
      </w:r>
      <w:r w:rsidRPr="00990234">
        <w:rPr>
          <w:rFonts w:ascii="Times New Roman" w:hAnsi="Times New Roman" w:cs="Times New Roman"/>
        </w:rPr>
        <w:fldChar w:fldCharType="end"/>
      </w:r>
      <w:r w:rsidRPr="00990234">
        <w:rPr>
          <w:rFonts w:ascii="Times New Roman" w:hAnsi="Times New Roman" w:cs="Times New Roman"/>
        </w:rPr>
        <w:t xml:space="preserve">. Furthermore, the </w:t>
      </w:r>
      <w:r w:rsidR="00F8678A" w:rsidRPr="00990234">
        <w:rPr>
          <w:rFonts w:ascii="Times New Roman" w:hAnsi="Times New Roman" w:cs="Times New Roman"/>
        </w:rPr>
        <w:t>ACC</w:t>
      </w:r>
      <w:r w:rsidRPr="00990234">
        <w:rPr>
          <w:rFonts w:ascii="Times New Roman" w:hAnsi="Times New Roman" w:cs="Times New Roman"/>
        </w:rPr>
        <w:t xml:space="preserve"> is known to be the source of the FRN ERP </w:t>
      </w:r>
      <w:r w:rsidRPr="00990234">
        <w:rPr>
          <w:rFonts w:ascii="Times New Roman" w:hAnsi="Times New Roman" w:cs="Times New Roman"/>
        </w:rPr>
        <w:fldChar w:fldCharType="begin" w:fldLock="1"/>
      </w:r>
      <w:r w:rsidRPr="00990234">
        <w:rPr>
          <w:rFonts w:ascii="Times New Roman" w:hAnsi="Times New Roman" w:cs="Times New Roman"/>
        </w:rPr>
        <w:instrText>ADDIN CSL_CITATION { "citationItems" : [ { "id" : "ITEM-1", "itemData" : { "DOI" : "10.1162/jocn.1997.9.6.788", "ISBN" : "0898-929X", "ISSN" : "0898-929X", "PMID" : "23964600", "abstract" : "We examined scalp-recorded event-related potentials following feedback stimuli in a time-estimation task. Six hundred msec after indicating the end of a 1 sec interval, subjects received a visual, auditory, or somatosensory stimulus that indicated whether the interval they had produced was correct. Following feedback indicating incorrect performance, a negative deflection occurred, whose characteristics corresponded closely to those of the component (the error-related negativity) that accompanies errors in choice reaction time tasks. Furthermore, equivalent dipole analysis suggested that, for all three modalities, the distribution of the scalp potential was consistent with a local source in the anterior cingulate cortex or a more distributed source in the supplementary motor areas. These loci correspond closely to those described previously for the error-related negativity. We conclude that the error-related negativity is the manifestation of the activity of a \"generic\" neural system involved in error detection.", "author" : [ { "dropping-particle" : "", "family" : "Miltner", "given" : "Wolfgang H. R.", "non-dropping-particle" : "", "parse-names" : false, "suffix" : "" }, { "dropping-particle" : "", "family" : "Braun", "given" : "Christoph H.", "non-dropping-particle" : "", "parse-names" : false, "suffix" : "" }, { "dropping-particle" : "", "family" : "Coles", "given" : "Michael G. H.", "non-dropping-particle" : "", "parse-names" : false, "suffix" : "" } ], "container-title" : "Journal of Cognitive Neuroscience", "id" : "ITEM-1", "issue" : "6", "issued" : { "date-parts" : [ [ "1997" ] ] }, "page" : "788-798", "title" : "Event-Related Brain Potentials Following Incorrect Feedback in a Time-Estimation Task: Evidence for a \u201cGeneric\u201d Neural System for Error Detection", "type" : "article-journal", "volume" : "9" }, "uris" : [ "http://www.mendeley.com/documents/?uuid=632aba53-a492-44e7-9c39-78a6103089ae" ] }, { "id" : "ITEM-2", "itemData" : { "DOI" : "http://dx.doi.org/10.1016/j.neubiorev.2012.05.008", "ISBN" : "0149-7634", "author" : [ { "dropping-particle" : "", "family" : "Walsh", "given" : "Matthew M", "non-dropping-particle" : "", "parse-names" : false, "suffix" : "" }, { "dropping-particle" : "", "family" : "Anderson", "given" : "John R", "non-dropping-particle" : "", "parse-names" : false, "suffix" : "" } ], "container-title" : "Neuroscience &amp; Biobehavioral Reviews", "id" : "ITEM-2", "issue" : "8", "issued" : { "date-parts" : [ [ "2012" ] ] }, "page" : "1870-1884", "title" : "Learning from experience: Event-related potential correlates of reward processing, neural adaptation, and behavioral choice", "type" : "article-journal", "volume" : "36" }, "uris" : [ "http://www.mendeley.com/documents/?uuid=e3bb9963-adc7-44bc-8cb5-447f22319248" ] } ], "mendeley" : { "formattedCitation" : "(Miltner, Braun, &amp; Coles, 1997; Walsh &amp; Anderson, 2012)", "plainTextFormattedCitation" : "(Miltner, Braun, &amp; Coles, 1997; Walsh &amp; Anderson, 2012)", "previouslyFormattedCitation" : "(Miltner, Braun, &amp; Coles, 1997; Walsh &amp; Anderson, 2012)" }, "properties" : { "noteIndex" : 0 }, "schema" : "https://github.com/citation-style-language/schema/raw/master/csl-citation.json" }</w:instrText>
      </w:r>
      <w:r w:rsidRPr="00990234">
        <w:rPr>
          <w:rFonts w:ascii="Times New Roman" w:hAnsi="Times New Roman" w:cs="Times New Roman"/>
        </w:rPr>
        <w:fldChar w:fldCharType="separate"/>
      </w:r>
      <w:r w:rsidRPr="00990234">
        <w:rPr>
          <w:rFonts w:ascii="Times New Roman" w:hAnsi="Times New Roman" w:cs="Times New Roman"/>
          <w:noProof/>
        </w:rPr>
        <w:t>(Miltner, Braun, &amp; Coles, 1997; Walsh &amp; Anderson, 2012)</w:t>
      </w:r>
      <w:r w:rsidRPr="00990234">
        <w:rPr>
          <w:rFonts w:ascii="Times New Roman" w:hAnsi="Times New Roman" w:cs="Times New Roman"/>
        </w:rPr>
        <w:fldChar w:fldCharType="end"/>
      </w:r>
      <w:r w:rsidRPr="00990234">
        <w:rPr>
          <w:rFonts w:ascii="Times New Roman" w:hAnsi="Times New Roman" w:cs="Times New Roman"/>
        </w:rPr>
        <w:t xml:space="preserve">. The anterior insula and striatum have also been shown to express salience to appetitive and aversive tastes </w:t>
      </w:r>
      <w:r w:rsidRPr="00990234">
        <w:rPr>
          <w:rFonts w:ascii="Times New Roman" w:hAnsi="Times New Roman" w:cs="Times New Roman"/>
        </w:rPr>
        <w:fldChar w:fldCharType="begin" w:fldLock="1"/>
      </w:r>
      <w:r w:rsidRPr="00990234">
        <w:rPr>
          <w:rFonts w:ascii="Times New Roman" w:hAnsi="Times New Roman" w:cs="Times New Roman"/>
        </w:rPr>
        <w:instrText>ADDIN CSL_CITATION { "citationItems" : [ { "id" : "ITEM-1", "itemData" : { "DOI" : "10.1093/cercor/bhs037", "ISBN" : "1460-2199 (Electronic)\\r1047-3211 (Linking)", "ISSN" : "10473211", "PMID" : "22368086", "abstract" : "Learning to predict rewarding and aversive outcomes is based on the comparison between predicted and actual outcomes (prediction error: PE). Recent electrophysiological studies reported that during a Pavlovian procedure some dopamine neurons code a classical PE signal while a larger population of dopaminergic neurons reflect a \"salient\" prediction error (SPE) signal, being excited both by unpredictable aversive events and by rewards. Yet, it is still unclear whether specific human brain structures receiving afferents from dopaminergic neurons code a SPE and whether this signal depends upon reinforcer type. Here, we used a model-based functional magnetic resonance imaging approach implementing a reinforcement learning model to compute the PE while subjects underwent a Pavlovian conditioning procedure with 2 types of rewards (pleasant juice and monetary gain) and 2 types of punishments (aversive juice and aversive picture). The results revealed that activity of a brain network composed of the striatum, anterior insula, and anterior cingulate cortex covaried with a SPE for appetitive and aversive juice. Moreover, amygdala activity correlated with a SPE for these 2 reinforcers and for aversive pictures. These results provide insights into the neurobiological mechanisms underlying the ability to learn stimuli-rewards and stimuli-punishments contingencies, by demonstrating that the network reflecting the SPE depends upon reinforcement's type.", "author" : [ { "dropping-particle" : "", "family" : "Metereau", "given" : "Elise", "non-dropping-particle" : "", "parse-names" : false, "suffix" : "" }, { "dropping-particle" : "", "family" : "Dreher", "given" : "Jean Claude", "non-dropping-particle" : "", "parse-names" : false, "suffix" : "" } ], "container-title" : "Cerebral Cortex", "id" : "ITEM-1", "issue" : "2", "issued" : { "date-parts" : [ [ "2013" ] ] }, "page" : "477-487", "title" : "Cerebral correlates of salient prediction error for different rewards and punishments", "type" : "article-journal", "volume" : "23" }, "uris" : [ "http://www.mendeley.com/documents/?uuid=cdb90183-8845-43a3-9bdb-3360c7356e13" ] } ], "mendeley" : { "formattedCitation" : "(Metereau &amp; Dreher, 2013)", "plainTextFormattedCitation" : "(Metereau &amp; Dreher, 2013)", "previouslyFormattedCitation" : "(Metereau &amp; Dreher, 2013)" }, "properties" : { "noteIndex" : 0 }, "schema" : "https://github.com/citation-style-language/schema/raw/master/csl-citation.json" }</w:instrText>
      </w:r>
      <w:r w:rsidRPr="00990234">
        <w:rPr>
          <w:rFonts w:ascii="Times New Roman" w:hAnsi="Times New Roman" w:cs="Times New Roman"/>
        </w:rPr>
        <w:fldChar w:fldCharType="separate"/>
      </w:r>
      <w:r w:rsidRPr="00990234">
        <w:rPr>
          <w:rFonts w:ascii="Times New Roman" w:hAnsi="Times New Roman" w:cs="Times New Roman"/>
          <w:noProof/>
        </w:rPr>
        <w:t>(Metereau &amp; Dreher, 2013)</w:t>
      </w:r>
      <w:r w:rsidRPr="00990234">
        <w:rPr>
          <w:rFonts w:ascii="Times New Roman" w:hAnsi="Times New Roman" w:cs="Times New Roman"/>
        </w:rPr>
        <w:fldChar w:fldCharType="end"/>
      </w:r>
      <w:r w:rsidRPr="00990234">
        <w:rPr>
          <w:rFonts w:ascii="Times New Roman" w:hAnsi="Times New Roman" w:cs="Times New Roman"/>
        </w:rPr>
        <w:t xml:space="preserve">. The aversive prediction error signal we recorded on the scalp may have originated from the dopaminergic midbrain, involved in previous studies of aversive prediction error </w:t>
      </w:r>
      <w:r w:rsidRPr="00990234">
        <w:rPr>
          <w:rFonts w:ascii="Times New Roman" w:hAnsi="Times New Roman" w:cs="Times New Roman"/>
        </w:rPr>
        <w:fldChar w:fldCharType="begin" w:fldLock="1"/>
      </w:r>
      <w:r w:rsidRPr="00990234">
        <w:rPr>
          <w:rFonts w:ascii="Times New Roman" w:hAnsi="Times New Roman" w:cs="Times New Roman"/>
        </w:rPr>
        <w:instrText>ADDIN CSL_CITATION { "citationItems" : [ { "id" : "ITEM-1", "itemData" : { "DOI" : "Doi 10.1038/Nature02581", "ISBN" : "0028-0836", "abstract" : "The ability to use environmental stimuli to predict impending harm is critical for survival. Such predictions should be available as early as they are reliable. In pavlovian conditioning, chains of successively earlier predictors are studied in terms of higher-order relationships, and have inspired computational theories such as temporal difference learning(1). However, there is at present no adequate neurobiological account of how this learning occurs. Here, in a functional magnetic resonance imaging ( fMRI) study of higher-order aversive conditioning, we describe a key computational strategy that humans use to learn predictions about pain. We show that neural activity in the ventral striatum and the anterior insula displays a marked correspondence to the signals for sequential learning predicted by temporal difference models. This result reveals a flexible aversive learning process ideally suited to the changing and uncertain nature of real-world environments. Taken with existing data on reward learning(2), our results suggest a critical role for the ventral striatum in integrating complex appetitive and aversive predictions to coordinate behaviour.", "author" : [ { "dropping-particle" : "", "family" : "Seymour", "given" : "B", "non-dropping-particle" : "", "parse-names" : false, "suffix" : "" }, { "dropping-particle" : "", "family" : "O'Doherty", "given" : "J P", "non-dropping-particle" : "", "parse-names" : false, "suffix" : "" }, { "dropping-particle" : "", "family" : "Dayan", "given" : "P", "non-dropping-particle" : "", "parse-names" : false, "suffix" : "" }, { "dropping-particle" : "", "family" : "Koltzenburg", "given" : "M", "non-dropping-particle" : "", "parse-names" : false, "suffix" : "" }, { "dropping-particle" : "", "family" : "Jones", "given" : "A K", "non-dropping-particle" : "", "parse-names" : false, "suffix" : "" }, { "dropping-particle" : "", "family" : "Dolan", "given" : "R J", "non-dropping-particle" : "", "parse-names" : false, "suffix" : "" }, { "dropping-particle" : "", "family" : "Friston", "given" : "K J", "non-dropping-particle" : "", "parse-names" : false, "suffix" : "" }, { "dropping-particle" : "", "family" : "Frackowiak", "given" : "R S", "non-dropping-particle" : "", "parse-names" : false, "suffix" : "" } ], "container-title" : "Nature", "id" : "ITEM-1", "issue" : "6992", "issued" : { "date-parts" : [ [ "2004" ] ] }, "language" : "English", "page" : "664-667", "title" : "Temporal difference models describe higher-order learning in humans", "type" : "article-journal", "volume" : "429" }, "uris" : [ "http://www.mendeley.com/documents/?uuid=dd43ccc4-0db2-41eb-ae10-e07ad3530025" ] }, { "id" : "ITEM-2", "itemData" : { "DOI" : "10.1073/pnas.0811507106", "ISBN" : "0811507106", "ISSN" : "1091-6490", "PMID" : "19261850", "abstract" : "Midbrain dopamine neurons play central roles in reward processing. It is widely assumed that all dopamine neurons encode the same information. Some evidence, however, suggests functional differences between subgroups of dopamine neurons, particularly with respect to processing nonrewarding, aversive stimuli. To directly test this possibility, we recorded from and juxtacellularly labeled individual ventral tegmental area (VTA) dopamine neurons in anesthetized rats so that we could link precise anatomical position and neurochemical identity with coding for noxious stimuli. Here, we show that dopamine neurons in the dorsal VTA are inhibited by noxious footshocks, consistent with their role in reward processing. In contrast, we find that dopamine neurons in the ventral VTA are phasically excited by footshocks. This observation can explain a number of previously confusing findings that suggested a role for dopamine in processing both rewarding and aversive events. Taken together, our results indicate that there are 2 functionally and anatomically distinct VTA dopamine systems.", "author" : [ { "dropping-particle" : "", "family" : "Brischoux", "given" : "Fr\u00e9d\u00e9ric", "non-dropping-particle" : "", "parse-names" : false, "suffix" : "" }, { "dropping-particle" : "", "family" : "Chakraborty", "given" : "Subhojit", "non-dropping-particle" : "", "parse-names" : false, "suffix" : "" }, { "dropping-particle" : "", "family" : "Brierley", "given" : "Daniel I", "non-dropping-particle" : "", "parse-names" : false, "suffix" : "" }, { "dropping-particle" : "", "family" : "Ungless", "given" : "Mark a", "non-dropping-particle" : "", "parse-names" : false, "suffix" : "" } ], "container-title" : "Proceedings of the National Academy of Sciences of the United States of America", "id" : "ITEM-2", "issue" : "12", "issued" : { "date-parts" : [ [ "2009" ] ] }, "page" : "4894-9", "title" : "Phasic excitation of dopamine neurons in ventral VTA by noxious stimuli.", "type" : "article-journal", "volume" : "106" }, "uris" : [ "http://www.mendeley.com/documents/?uuid=f4ddc1c6-783a-4074-9993-5fc774c93441" ] } ], "mendeley" : { "formattedCitation" : "(Brischoux et al., 2009; Seymour et al., 2004)", "plainTextFormattedCitation" : "(Brischoux et al., 2009; Seymour et al., 2004)", "previouslyFormattedCitation" : "(Brischoux et al., 2009; Seymour et al., 2004)" }, "properties" : { "noteIndex" : 0 }, "schema" : "https://github.com/citation-style-language/schema/raw/master/csl-citation.json" }</w:instrText>
      </w:r>
      <w:r w:rsidRPr="00990234">
        <w:rPr>
          <w:rFonts w:ascii="Times New Roman" w:hAnsi="Times New Roman" w:cs="Times New Roman"/>
        </w:rPr>
        <w:fldChar w:fldCharType="separate"/>
      </w:r>
      <w:r w:rsidRPr="00990234">
        <w:rPr>
          <w:rFonts w:ascii="Times New Roman" w:hAnsi="Times New Roman" w:cs="Times New Roman"/>
          <w:noProof/>
        </w:rPr>
        <w:t>(Brischoux et al., 2009; Seymour et al., 2004)</w:t>
      </w:r>
      <w:r w:rsidRPr="00990234">
        <w:rPr>
          <w:rFonts w:ascii="Times New Roman" w:hAnsi="Times New Roman" w:cs="Times New Roman"/>
        </w:rPr>
        <w:fldChar w:fldCharType="end"/>
      </w:r>
      <w:r w:rsidRPr="00990234">
        <w:rPr>
          <w:rFonts w:ascii="Times New Roman" w:hAnsi="Times New Roman" w:cs="Times New Roman"/>
        </w:rPr>
        <w:t>, but its pathway to influencing scalp ERPs awaits further work.</w:t>
      </w:r>
    </w:p>
    <w:p w:rsidR="002300AA" w:rsidRPr="00990234" w:rsidRDefault="00FF546F" w:rsidP="00FF546F">
      <w:pPr>
        <w:spacing w:after="0" w:line="480" w:lineRule="auto"/>
        <w:ind w:right="-113" w:firstLine="720"/>
        <w:contextualSpacing/>
        <w:rPr>
          <w:rFonts w:ascii="Times New Roman" w:hAnsi="Times New Roman" w:cs="Times New Roman"/>
        </w:rPr>
      </w:pPr>
      <w:r w:rsidRPr="00990234">
        <w:rPr>
          <w:rFonts w:ascii="Times New Roman" w:hAnsi="Times New Roman" w:cs="Times New Roman"/>
        </w:rPr>
        <w:t xml:space="preserve">Our findings </w:t>
      </w:r>
      <w:r w:rsidR="0017415D" w:rsidRPr="00990234">
        <w:rPr>
          <w:rFonts w:ascii="Times New Roman" w:hAnsi="Times New Roman" w:cs="Times New Roman"/>
        </w:rPr>
        <w:t>go beyond existing fMRI work to exploit the temporal resolution of EEG and</w:t>
      </w:r>
      <w:r w:rsidR="00A45901" w:rsidRPr="00990234">
        <w:rPr>
          <w:rFonts w:ascii="Times New Roman" w:hAnsi="Times New Roman" w:cs="Times New Roman"/>
        </w:rPr>
        <w:t xml:space="preserve"> </w:t>
      </w:r>
      <w:r w:rsidR="0017415D" w:rsidRPr="00990234">
        <w:rPr>
          <w:rFonts w:ascii="Times New Roman" w:hAnsi="Times New Roman" w:cs="Times New Roman"/>
        </w:rPr>
        <w:t xml:space="preserve">contradicts </w:t>
      </w:r>
      <w:r w:rsidR="0017415D" w:rsidRPr="00990234">
        <w:rPr>
          <w:rFonts w:ascii="Times New Roman" w:hAnsi="Times New Roman" w:cs="Times New Roman"/>
          <w:szCs w:val="20"/>
        </w:rPr>
        <w:t xml:space="preserve">the dominant perspective on the </w:t>
      </w:r>
      <w:r w:rsidR="00BE1C7E" w:rsidRPr="00990234">
        <w:rPr>
          <w:rFonts w:ascii="Times New Roman" w:hAnsi="Times New Roman" w:cs="Times New Roman"/>
          <w:szCs w:val="20"/>
        </w:rPr>
        <w:t>FRN</w:t>
      </w:r>
      <w:r w:rsidR="0017415D" w:rsidRPr="00990234">
        <w:rPr>
          <w:rFonts w:ascii="Times New Roman" w:hAnsi="Times New Roman" w:cs="Times New Roman"/>
          <w:szCs w:val="20"/>
        </w:rPr>
        <w:t xml:space="preserve"> ERP </w:t>
      </w:r>
      <w:r w:rsidR="0017415D" w:rsidRPr="00990234">
        <w:rPr>
          <w:rFonts w:ascii="Times New Roman" w:hAnsi="Times New Roman" w:cs="Times New Roman"/>
        </w:rPr>
        <w:t xml:space="preserve">as a signal of </w:t>
      </w:r>
      <w:r w:rsidR="00C31745" w:rsidRPr="00990234">
        <w:rPr>
          <w:rFonts w:ascii="Times New Roman" w:hAnsi="Times New Roman" w:cs="Times New Roman"/>
        </w:rPr>
        <w:t xml:space="preserve">reward </w:t>
      </w:r>
      <w:r w:rsidR="0017415D" w:rsidRPr="00990234">
        <w:rPr>
          <w:rFonts w:ascii="Times New Roman" w:hAnsi="Times New Roman" w:cs="Times New Roman"/>
        </w:rPr>
        <w:t xml:space="preserve">prediction error </w:t>
      </w:r>
      <w:r w:rsidR="0017415D" w:rsidRPr="00990234">
        <w:rPr>
          <w:rFonts w:ascii="Times New Roman" w:hAnsi="Times New Roman" w:cs="Times New Roman"/>
          <w:szCs w:val="20"/>
        </w:rPr>
        <w:fldChar w:fldCharType="begin" w:fldLock="1"/>
      </w:r>
      <w:r w:rsidR="00843A57" w:rsidRPr="00990234">
        <w:rPr>
          <w:rFonts w:ascii="Times New Roman" w:hAnsi="Times New Roman" w:cs="Times New Roman"/>
          <w:szCs w:val="20"/>
        </w:rPr>
        <w:instrText>ADDIN CSL_CITATION { "citationItems" : [ { "id" : "ITEM-1", "itemData" : { "DOI" : "http://dx.doi.org/10.1016/j.neubiorev.2012.05.008", "ISBN" : "0149-7634", "author" : [ { "dropping-particle" : "", "family" : "Walsh", "given" : "Matthew M", "non-dropping-particle" : "", "parse-names" : false, "suffix" : "" }, { "dropping-particle" : "", "family" : "Anderson", "given" : "John R", "non-dropping-particle" : "", "parse-names" : false, "suffix" : "" } ], "container-title" : "Neuroscience &amp; Biobehavioral Reviews", "id" : "ITEM-1", "issue" : "8", "issued" : { "date-parts" : [ [ "2012" ] ] }, "page" : "1870-1884", "title" : "Learning from experience: Event-related potential correlates of reward processing, neural adaptation, and behavioral choice", "type" : "article-journal", "volume" : "36" }, "uris" : [ "http://www.mendeley.com/documents/?uuid=e3bb9963-adc7-44bc-8cb5-447f22319248" ] }, { "id" : "ITEM-2", "itemData" : { "DOI" : "10.1037/0033-295X.109.4.679.", "ISBN" : "1939-1471", "author" : [ { "dropping-particle" : "", "family" : "Holroyd", "given" : "", "non-dropping-particle" : "", "parse-names" : false, "suffix" : "" }, { "dropping-particle" : "", "family" : "Coles", "given" : "Michael", "non-dropping-particle" : "", "parse-names" : false, "suffix" : "" } ], "container-title" : "Psychological Review", "id" : "ITEM-2", "issue" : "4", "issued" : { "date-parts" : [ [ "2002" ] ] }, "page" : "679", "title" : "The neural basis of human error processing: reinforcement learning, dopamine, and the error-related negativity", "type" : "article-journal", "volume" : "109" }, "uris" : [ "http://www.mendeley.com/documents/?uuid=07a7dfcc-fc29-49af-acb6-9367fe421883" ] }, { "id" : "ITEM-3", "itemData" : { "ISBN" : "1053-8119", "author" : [ { "dropping-particle" : "", "family" : "Hauser", "given" : "Tobias U", "non-dropping-particle" : "", "parse-names" : false, "suffix" : "" }, { "dropping-particle" : "", "family" : "Iannaccone", "given" : "Reto", "non-dropping-particle" : "", "parse-names" : false, "suffix" : "" }, { "dropping-particle" : "", "family" : "St\u00e4mpfli", "given" : "Philipp", "non-dropping-particle" : "", "parse-names" : false, "suffix" : "" }, { "dropping-particle" : "", "family" : "Drechsler", "given" : "Renate", "non-dropping-particle" : "", "parse-names" : false, "suffix" : "" }, { "dropping-particle" : "", "family" : "Brandeis", "given" : "Daniel", "non-dropping-particle" : "", "parse-names" : false, "suffix" : "" }, { "dropping-particle" : "", "family" : "Walitza", "given" : "Susanne", "non-dropping-particle" : "", "parse-names" : false, "suffix" : "" }, { "dropping-particle" : "", "family" : "Brem", "given" : "Silvia", "non-dropping-particle" : "", "parse-names" : false, "suffix" : "" } ], "container-title" : "NeuroImage", "id" : "ITEM-3", "issued" : { "date-parts" : [ [ "2014" ] ] }, "note" : "fmri-eeg showed a cluster within the dacc and additional activations of the salience network, and showed only surprise signals to modulate FRN amplitude. they also used DCM and showed surprise signals are directly projected to the source region of the frn - striatum, vmPFC, amygdala, dlpPFC.", "page" : "159-168", "title" : "The feedback-related negativity (FRN) revisited: New insights into the localization, meaning and network organization", "type" : "article-journal", "volume" : "84" }, "uris" : [ "http://www.mendeley.com/documents/?uuid=bda5b7f5-f2a2-4b6b-a014-9254615e974a" ] }, { "id" : "ITEM-4", "itemData" : { "DOI" : "10.1016/j.neuroimage.2006.01.001", "ISBN" : "1053-8119", "ISSN" : "10538119", "PMID" : "16487726", "abstract" : "Reward probability has been shown to be coded by dopamine neurons in monkeys. Phasic neuronal activation not only increased linearly with reward probability upon expectation of reward, but also varied monotonically across the range of probabilities upon omission or receipt of rewards, therefore modeling discrepancies between expected and received rewards. Such a discrete coding of prediction error has been suggested to be one of the basic principles of learning. We used functional magnetic resonance imaging (fMRI) to show that the human dopamine system codes reward probability and prediction error in a similar way. We used a simple delayed incentive task with a discrete range of reward probabilities from 0%-100%. Activity in the nucleus accumbens of human subjects strongly resembled the phasic responses found in monkey neurons. First, during the expectation period of the task, the fMRI signal in the human nucleus accumbens (NAc) increased linearly with the probability of the reward. Second, during the outcome phase, activity in the NAc coded the prediction error as a linear function of reward probabilities. Third, we found that the Nac signal was correlated with individual differences in sensation seeking and novelty seeking, indicating a link between individual fMRI activation of the dopamine system in a probabilistic paradigm and personality traits previously suggested to be linked with reward processing. We therefore identify two different covariates that model activity in the Nac: specific properties of a psychological task and individual character traits. ?? 2006 Elsevier Inc. All rights reserved.", "author" : [ { "dropping-particle" : "", "family" : "Abler", "given" : "Birgit", "non-dropping-particle" : "", "parse-names" : false, "suffix" : "" }, { "dropping-particle" : "", "family" : "Walter", "given" : "Henrik", "non-dropping-particle" : "", "parse-names" : false, "suffix" : "" }, { "dropping-particle" : "", "family" : "Erk", "given" : "Susanne", "non-dropping-particle" : "", "parse-names" : false, "suffix" : "" }, { "dropping-particle" : "", "family" : "Kammerer", "given" : "Hannes", "non-dropping-particle" : "", "parse-names" : false, "suffix" : "" }, { "dropping-particle" : "", "family" : "Spitzer", "given" : "Manfred", "non-dropping-particle" : "", "parse-names" : false, "suffix" : "" } ], "container-title" : "NeuroImage", "id" : "ITEM-4", "issue" : "2", "issued" : { "date-parts" : [ [ "2006" ] ] }, "page" : "790-795", "title" : "Prediction error as a linear function of reward probability is coded in human nucleus accumbens", "type" : "article-journal", "volume" : "31" }, "uris" : [ "http://www.mendeley.com/documents/?uuid=1a05dc1b-26e9-4f4e-9788-ee31f29522fe" ] }, { "id" : "ITEM-5", "itemData" : { "DOI" : "http://dx.doi.org/10.1016/j.neuroimage.2011.05.037", "ISBN" : "1053-8119", "author" : [ { "dropping-particle" : "", "family" : "Carlson", "given" : "Joshua M", "non-dropping-particle" : "", "parse-names" : false, "suffix" : "" }, { "dropping-particle" : "", "family" : "Foti", "given" : "Dan", "non-dropping-particle" : "", "parse-names" : false, "suffix" : "" }, { "dropping-particle" : "", "family" : "Mujica-Parodi", "given" : "Lilianne R", "non-dropping-particle" : "", "parse-names" : false, "suffix" : "" }, { "dropping-particle" : "", "family" : "Harmon-Jones", "given" : "Eddie", "non-dropping-particle" : "", "parse-names" : false, "suffix" : "" }, { "dropping-particle" : "", "family" : "Hajcak", "given" : "Greg", "non-dropping-particle" : "", "parse-names" : false, "suffix" : "" } ], "container-title" : "NeuroImage", "id" : "ITEM-5", "issue" : "4", "issued" : { "date-parts" : [ [ "2011" ] ] }, "page" : "1608-1616", "title" : "Ventral striatal and medial prefrontal BOLD activation is correlated with reward-related electrocortical activity: A combined ERP and fMRI study", "type" : "article-journal", "volume" : "57" }, "uris" : [ "http://www.mendeley.com/documents/?uuid=7e7ca810-11a6-4300-9d8b-cebb03505996" ] }, { "id" : "ITEM-6", "itemData" : { "author" : [ { "dropping-particle" : "", "family" : "Holroyd", "given" : "Clay", "non-dropping-particle" : "", "parse-names" : false, "suffix" : "" } ], "container-title" : "Neurophysiology", "id" : "ITEM-6", "issued" : { "date-parts" : [ [ "2004" ] ] }, "page" : "447-455", "title" : "A note on the oddball N200 and the feedback ERN", "type" : "article-journal", "volume" : "78" }, "uris" : [ "http://www.mendeley.com/documents/?uuid=ba1c546a-5c38-4740-bb48-91fff6276502" ] } ], "mendeley" : { "formattedCitation" : "(Abler, Walter, Erk, Kammerer, &amp; Spitzer, 2006; Carlson, Foti, Mujica-Parodi, Harmon-Jones, &amp; Hajcak, 2011; Hauser et al., 2014; C. Holroyd, 2004; Holroyd &amp; Coles, 2002; Walsh &amp; Anderson, 2012)", "manualFormatting" : "(Abler, Walter, Erk, Kammerer, &amp; Spitzer, 2006; Carlson, Foti, Mujica-Parodi, Harmon-Jones, &amp; Hajcak, 2011; Hauser et al., 2014; Holroyd, 2004; Holroyd &amp; Coles, 2002; Walsh &amp; Anderson, 2012)", "plainTextFormattedCitation" : "(Abler, Walter, Erk, Kammerer, &amp; Spitzer, 2006; Carlson, Foti, Mujica-Parodi, Harmon-Jones, &amp; Hajcak, 2011; Hauser et al., 2014; C. Holroyd, 2004; Holroyd &amp; Coles, 2002; Walsh &amp; Anderson, 2012)", "previouslyFormattedCitation" : "(Abler, Walter, Erk, Kammerer, &amp; Spitzer, 2006; Carlson, Foti, Mujica-Parodi, Harmon-Jones, &amp; Hajcak, 2011; Hauser et al., 2014; C. Holroyd, 2004; Holroyd &amp; Coles, 2002; Walsh &amp; Anderson, 2012)" }, "properties" : { "noteIndex" : 0 }, "schema" : "https://github.com/citation-style-language/schema/raw/master/csl-citation.json" }</w:instrText>
      </w:r>
      <w:r w:rsidR="0017415D" w:rsidRPr="00990234">
        <w:rPr>
          <w:rFonts w:ascii="Times New Roman" w:hAnsi="Times New Roman" w:cs="Times New Roman"/>
          <w:szCs w:val="20"/>
        </w:rPr>
        <w:fldChar w:fldCharType="separate"/>
      </w:r>
      <w:r w:rsidR="00EE1A2C" w:rsidRPr="00990234">
        <w:rPr>
          <w:rFonts w:ascii="Times New Roman" w:hAnsi="Times New Roman" w:cs="Times New Roman"/>
          <w:noProof/>
          <w:szCs w:val="20"/>
        </w:rPr>
        <w:t>(Abler, Walter, Erk, Kammerer, &amp; Spitzer, 2006; Carlson, Foti, Mujica-Parodi, Harmon-Jones, &amp; Hajcak, 2011; Hauser et al., 2014; Holroyd, 2004; Holroyd &amp; Coles, 2002; Walsh &amp; Anderson, 2012)</w:t>
      </w:r>
      <w:r w:rsidR="0017415D" w:rsidRPr="00990234">
        <w:rPr>
          <w:rFonts w:ascii="Times New Roman" w:hAnsi="Times New Roman" w:cs="Times New Roman"/>
          <w:szCs w:val="20"/>
        </w:rPr>
        <w:fldChar w:fldCharType="end"/>
      </w:r>
      <w:r w:rsidR="0017415D" w:rsidRPr="00990234">
        <w:rPr>
          <w:rFonts w:ascii="Times New Roman" w:hAnsi="Times New Roman" w:cs="Times New Roman"/>
          <w:szCs w:val="20"/>
        </w:rPr>
        <w:t xml:space="preserve">. </w:t>
      </w:r>
      <w:r w:rsidRPr="00990234">
        <w:rPr>
          <w:rFonts w:ascii="Times New Roman" w:hAnsi="Times New Roman" w:cs="Times New Roman"/>
          <w:szCs w:val="20"/>
        </w:rPr>
        <w:t xml:space="preserve">They </w:t>
      </w:r>
      <w:r w:rsidRPr="00990234">
        <w:rPr>
          <w:rFonts w:ascii="Times New Roman" w:hAnsi="Times New Roman" w:cs="Times New Roman"/>
        </w:rPr>
        <w:t xml:space="preserve">agree better with recent work that proposes this signal expresses salience </w:t>
      </w:r>
      <w:r w:rsidRPr="00990234">
        <w:rPr>
          <w:rFonts w:ascii="Times New Roman" w:hAnsi="Times New Roman" w:cs="Times New Roman"/>
        </w:rPr>
        <w:fldChar w:fldCharType="begin" w:fldLock="1"/>
      </w:r>
      <w:r w:rsidR="00EF6666" w:rsidRPr="00990234">
        <w:rPr>
          <w:rFonts w:ascii="Times New Roman" w:hAnsi="Times New Roman" w:cs="Times New Roman"/>
        </w:rPr>
        <w:instrText>ADDIN CSL_CITATION { "citationItems" : [ { "id" : "ITEM-1", "itemData" : { "DOI" : "10.1523/jneurosci.5695-12.2013", "abstract" : "Modulations of the feedback-related negativity (FRN) event-related potential (ERP) have been suggested as a potential biomarker in psychopathology. A dominant theory about this signal contends that it reflects the operation of the neural system underlying reinforcement learning in humans. The theory suggests that this frontocentral negative deflection in the ERP 230\u2013270 ms after the delivery of a probabilistic reward expresses a prediction error signal derived from midbrain dopaminergic projections to the anterior cingulate cortex. We tested this theory by investigating whether FRN will also be observed for an inherently aversive outcome: physical pain. In another session, the outcome was monetary reward instead of pain. As predicted, unexpected reward omissions (a negative reward prediction error) yielded a more negative deflection relative to unexpected reward delivery. Surprisingly, unexpected pain omission (a positive reward prediction error) also yielded a negative deflection relative to unexpected pain delivery. Our data challenge the theory by showing that the FRN expresses aversive prediction errors with the same sign as reward prediction errors. Both FRNs were spatiotemporally and functionally equivalent. We suggest that FRN expresses salience prediction errors rather than reward prediction errors.", "author" : [ { "dropping-particle" : "", "family" : "Talmi", "given" : "Deborah", "non-dropping-particle" : "", "parse-names" : false, "suffix" : "" }, { "dropping-particle" : "", "family" : "Atkinson", "given" : "Ryan", "non-dropping-particle" : "", "parse-names" : false, "suffix" : "" }, { "dropping-particle" : "", "family" : "El-Deredy", "given" : "Wael", "non-dropping-particle" : "", "parse-names" : false, "suffix" : "" } ], "container-title" : "The Journal of Neuroscience", "id" : "ITEM-1", "issue" : "19", "issued" : { "date-parts" : [ [ "2013" ] ] }, "page" : "8264-8269", "title" : "The Feedback-Related Negativity Signals Salience Prediction Errors, Not Reward Prediction Errors", "type" : "article-journal", "volume" : "33" }, "uris" : [ "http://www.mendeley.com/documents/?uuid=d677aa09-16f1-46ee-8185-d3fc13c1a457" ] }, { "id" : "ITEM-2", "itemData" : { "DOI" : "10.1038/srep04816", "ISSN" : "2045-2322", "PMID" : "25045961", "abstract" : "Research based on event-related potential (ERP) reported mediofrontal negativities following unexpected negative feedback or performance error. Some authors proposed that these signals reflect reward prediction error for worse than expected outcomes, while others suggested that mediofrontal negativities express medial prefrontal cortex coding for unexpected non-occurrence of a predicted outcome, whether worse or better than expected. Many studies found mediofrontal negativities coding for unexpected negative outcomes; however, few studies found them after unexpected positive outcomes. The present study investigated ERP and skin conductance response (SCR) to the unexpected omission of electric shocks during Pavlovian aversive conditioning. To manipulate expectancies, participants were presented with visual stimuli paired with electric shock on either 80% (CS+1) or 20% (CS+2) of trials. SCR analysis confirmed higher shock-delivery expectancy for CS+1, relative to CS+2. ERP analysis evidenced a stronger negative frontocentral ERP component after unexpected, relative to expected, shock-omission. Methodological and theoretical implications are discussed.", "author" : [ { "dropping-particle" : "", "family" : "Garofalo", "given" : "Sara", "non-dropping-particle" : "", "parse-names" : false, "suffix" : "" }, { "dropping-particle" : "", "family" : "Maier", "given" : "Martin E", "non-dropping-particle" : "", "parse-names" : false, "suffix" : "" }, { "dropping-particle" : "", "family" : "Pellegrino", "given" : "Giuseppe", "non-dropping-particle" : "di", "parse-names" : false, "suffix" : "" } ], "container-title" : "Scientific reports", "id" : "ITEM-2", "issued" : { "date-parts" : [ [ "2014" ] ] }, "page" : "4816", "title" : "Mediofrontal negativity signals unexpected omission of aversive events.", "type" : "article-journal", "volume" : "4" }, "uris" : [ "http://www.mendeley.com/documents/?uuid=c230d960-5f5e-4e4b-bb5a-1c0e6b7afe2f" ] }, { "id" : "ITEM-3", "itemData" : { "DOI" : "10.1016/j.neuroimage.2015.07.032", "ISSN" : "1095-9572", "PMID" : "26196667", "abstract" : "Models of reinforcement learning represent reward and punishment in terms of reward prediction errors (RPEs), quantitative signed terms describing the degree to which outcomes are better than expected (positive RPEs) or worse (negative RPEs). An electrophysiological component known as feedback related negativity (FRN) occurs at frontocentral sites 240-340ms after feedback on whether a reward or punishment is obtained, and has been claimed to neurally encode an RPE. An outstanding question however, is whether the FRN is sensitive to the size of both positive RPEs and negative RPEs. Previous attempts to answer this question have examined the simple effects of RPE size for positive RPEs and negative RPEs separately. However, this methodology can be compromised by overlap from components coding for unsigned prediction error size, or \"salience\", which are sensitive to the absolute size of a prediction error but not its valence. In our study, positive and negative RPEs were parametrically modulated using both reward likelihood and magnitude, with principal components analysis used to separate out overlying components. This revealed a single RPE encoding component responsive to the size of positive RPEs, peaking at ~330ms, and occupying the delta frequency band. Other components responsive to unsigned prediction error size were shown, but no component sensitive to negative RPE size was found.", "author" : [ { "dropping-particle" : "", "family" : "Sambrook", "given" : "Thomas D", "non-dropping-particle" : "", "parse-names" : false, "suffix" : "" }, { "dropping-particle" : "", "family" : "Goslin", "given" : "Jeremy", "non-dropping-particle" : "", "parse-names" : false, "suffix" : "" } ], "container-title" : "NeuroImage", "id" : "ITEM-3", "issue" : "Pt A", "issued" : { "date-parts" : [ [ "2015" ] ] }, "page" : "276-286", "publisher" : "Elsevier Inc.", "title" : "Principal components analysis of reward prediction errors in a reinforcement learning task.", "type" : "article-journal", "volume" : "124" }, "uris" : [ "http://www.mendeley.com/documents/?uuid=e237d9d3-b967-436d-a9dc-7ac0a6e39700" ] }, { "id" : "ITEM-4", "itemData" : { "ISBN" : "1053-8119", "author" : [ { "dropping-particle" : "", "family" : "Hauser", "given" : "Tobias U", "non-dropping-particle" : "", "parse-names" : false, "suffix" : "" }, { "dropping-particle" : "", "family" : "Iannaccone", "given" : "Reto", "non-dropping-particle" : "", "parse-names" : false, "suffix" : "" }, { "dropping-particle" : "", "family" : "St\u00e4mpfli", "given" : "Philipp", "non-dropping-particle" : "", "parse-names" : false, "suffix" : "" }, { "dropping-particle" : "", "family" : "Drechsler", "given" : "Renate", "non-dropping-particle" : "", "parse-names" : false, "suffix" : "" }, { "dropping-particle" : "", "family" : "Brandeis", "given" : "Daniel", "non-dropping-particle" : "", "parse-names" : false, "suffix" : "" }, { "dropping-particle" : "", "family" : "Walitza", "given" : "Susanne", "non-dropping-particle" : "", "parse-names" : false, "suffix" : "" }, { "dropping-particle" : "", "family" : "Brem", "given" : "Silvia", "non-dropping-particle" : "", "parse-names" : false, "suffix" : "" } ], "container-title" : "NeuroImage", "id" : "ITEM-4", "issued" : { "date-parts" : [ [ "2014" ] ] }, "note" : "fmri-eeg showed a cluster within the dacc and additional activations of the salience network, and showed only surprise signals to modulate FRN amplitude. they also used DCM and showed surprise signals are directly projected to the source region of the frn - striatum, vmPFC, amygdala, dlpPFC.", "page" : "159-168", "title" : "The feedback-related negativity (FRN) revisited: New insights into the localization, meaning and network organization", "type" : "article-journal", "volume" : "84" }, "uris" : [ "http://www.mendeley.com/documents/?uuid=bda5b7f5-f2a2-4b6b-a014-9254615e974a" ] }, { "id" : "ITEM-5", "itemData" : { "DOI" : "10.1016/j.biopsycho.2014.12.007", "ISBN" : "0301-0511, 0301-0511", "ISSN" : "18736246", "PMID" : "25541513", "abstract" : "The present study investigated whether the same visual stimulus indicating zero-value feedback (\u20ac0) elicits feedback-related negativity (FRN) variation, depending on whether the outcomes correspond with expectations or not.Thirty-one volunteers performed a monetary incentive delay (MID) task while EEG was recorded. FRN amplitudes were comparable and more negative when zero-value outcome deviated from expectations than with expected gain or loss, supporting theories emphasising the impact of unexpectedness and salience on FRN amplitudes. Surprisingly, expected zero-value outcomes elicited the most negative FRNs. However, source localisation showed that such outcomes evoked less activation in cingulate areas than unexpected zero-value outcomes.Our study illustrates the context dependency of identical zero-value feedback stimuli. Moreover, the results indicate that the incentive cues in the MID task evoke different reward prediction error signals. These prediction signals differ in FRN amplitude and neuronal sources, and have to be considered in the design and interpretation of future studies.", "author" : [ { "dropping-particle" : "", "family" : "Pfabigan", "given" : "Daniela M.", "non-dropping-particle" : "", "parse-names" : false, "suffix" : "" }, { "dropping-particle" : "", "family" : "Seidel", "given" : "Eva Maria", "non-dropping-particle" : "", "parse-names" : false, "suffix" : "" }, { "dropping-particle" : "", "family" : "Paul", "given" : "Katharina", "non-dropping-particle" : "", "parse-names" : false, "suffix" : "" }, { "dropping-particle" : "", "family" : "Grahl", "given" : "Arvina", "non-dropping-particle" : "", "parse-names" : false, "suffix" : "" }, { "dropping-particle" : "", "family" : "Sailer", "given" : "Uta", "non-dropping-particle" : "", "parse-names" : false, "suffix" : "" }, { "dropping-particle" : "", "family" : "Lanzenberger", "given" : "Rupert", "non-dropping-particle" : "", "parse-names" : false, "suffix" : "" }, { "dropping-particle" : "", "family" : "Windischberger", "given" : "Christian", "non-dropping-particle" : "", "parse-names" : false, "suffix" : "" }, { "dropping-particle" : "", "family" : "Lamm", "given" : "Claus", "non-dropping-particle" : "", "parse-names" : false, "suffix" : "" } ], "container-title" : "Biological Psychology", "id" : "ITEM-5", "issued" : { "date-parts" : [ [ "2015" ] ] }, "page" : "184-192", "publisher" : "Elsevier B.V.", "title" : "Context-sensitivity of the feedback-related negativity for zero-value feedback outcomes", "type" : "article-journal", "volume" : "104" }, "uris" : [ "http://www.mendeley.com/documents/?uuid=32137da0-a058-4f74-ab70-cad543407062" ] }, { "id" : "ITEM-6", "itemData" : { "DOI" : "10.3389/fnins.2014.00108", "ISSN" : "1662453X", "PMID" : "24904254", "abstract" : "Humans make predictions and use feedback to update their subsequent predictions. The feedback-related negativity (FRN) has been found to be sensitive to negative feedback as well as negative prediction error, such that the FRN is larger for outcomes that are worse than expected. The present study examined prediction errors in both appetitive and aversive conditions. We found that the FRN was more negative for reward omission vs. wins and for loss omission vs. losses, suggesting that the FRN might classify outcomes in a \"more-or-less than expected\" fashion rather than in the \"better-or-worse than expected\" dimension. Our findings challenge the previous notion that the FRN only encodes negative feedback and \"worse than expected\" negative prediction error.", "author" : [ { "dropping-particle" : "", "family" : "Huang", "given" : "Yi", "non-dropping-particle" : "", "parse-names" : false, "suffix" : "" }, { "dropping-particle" : "", "family" : "Yu", "given" : "Rongjun", "non-dropping-particle" : "", "parse-names" : false, "suffix" : "" } ], "container-title" : "Frontiers in Neuroscience", "id" : "ITEM-6", "issue" : "8 MAY", "issued" : { "date-parts" : [ [ "2014" ] ] }, "page" : "1-6", "title" : "The feedback-related negativity reflects \"more or less\" prediction error in appetitive and aversive conditions", "type" : "article-journal", "volume" : "8" }, "uris" : [ "http://www.mendeley.com/documents/?uuid=06f3bc80-df0e-4b17-bca8-78ef6cb4768e" ] } ], "mendeley" : { "formattedCitation" : "(Garofalo et al., 2014; Hauser et al., 2014; Huang &amp; Yu, 2014; Pfabigan et al., 2015; Sambrook &amp; Goslin, 2015b; Talmi et al., 2013)", "plainTextFormattedCitation" : "(Garofalo et al., 2014; Hauser et al., 2014; Huang &amp; Yu, 2014; Pfabigan et al., 2015; Sambrook &amp; Goslin, 2015b; Talmi et al., 2013)", "previouslyFormattedCitation" : "(Garofalo et al., 2014; Hauser et al., 2014; Huang &amp; Yu, 2014; Pfabigan et al., 2015; Sambrook &amp; Goslin, 2015b; Talmi et al., 2013)" }, "properties" : { "noteIndex" : 0 }, "schema" : "https://github.com/citation-style-language/schema/raw/master/csl-citation.json" }</w:instrText>
      </w:r>
      <w:r w:rsidRPr="00990234">
        <w:rPr>
          <w:rFonts w:ascii="Times New Roman" w:hAnsi="Times New Roman" w:cs="Times New Roman"/>
        </w:rPr>
        <w:fldChar w:fldCharType="separate"/>
      </w:r>
      <w:r w:rsidR="001370C2" w:rsidRPr="00990234">
        <w:rPr>
          <w:rFonts w:ascii="Times New Roman" w:hAnsi="Times New Roman" w:cs="Times New Roman"/>
          <w:noProof/>
          <w:lang w:val="es-ES"/>
        </w:rPr>
        <w:t>(Garofalo et al., 2014; Hauser et al., 2014; Huang &amp; Yu, 2014; Pfabigan et al., 2015; Sambrook &amp; Goslin, 2015b; Talmi et al., 2013)</w:t>
      </w:r>
      <w:r w:rsidRPr="00990234">
        <w:rPr>
          <w:rFonts w:ascii="Times New Roman" w:hAnsi="Times New Roman" w:cs="Times New Roman"/>
        </w:rPr>
        <w:fldChar w:fldCharType="end"/>
      </w:r>
      <w:r w:rsidRPr="00990234">
        <w:rPr>
          <w:rFonts w:ascii="Times New Roman" w:hAnsi="Times New Roman" w:cs="Times New Roman"/>
        </w:rPr>
        <w:t>. Our findings also agree with the PRO</w:t>
      </w:r>
      <w:r w:rsidR="00C763A2" w:rsidRPr="00990234">
        <w:rPr>
          <w:rFonts w:ascii="Times New Roman" w:hAnsi="Times New Roman" w:cs="Times New Roman"/>
        </w:rPr>
        <w:t xml:space="preserve"> model</w:t>
      </w:r>
      <w:r w:rsidRPr="00990234">
        <w:rPr>
          <w:rFonts w:ascii="Times New Roman" w:hAnsi="Times New Roman" w:cs="Times New Roman"/>
        </w:rPr>
        <w:t>, which</w:t>
      </w:r>
      <w:r w:rsidR="00C763A2" w:rsidRPr="00990234">
        <w:rPr>
          <w:rFonts w:ascii="Times New Roman" w:hAnsi="Times New Roman" w:cs="Times New Roman"/>
        </w:rPr>
        <w:t xml:space="preserve"> asserts that </w:t>
      </w:r>
      <w:r w:rsidR="00F8678A" w:rsidRPr="00990234">
        <w:rPr>
          <w:rFonts w:ascii="Times New Roman" w:hAnsi="Times New Roman" w:cs="Times New Roman"/>
        </w:rPr>
        <w:t>ACC</w:t>
      </w:r>
      <w:r w:rsidR="005E09C9" w:rsidRPr="00990234">
        <w:rPr>
          <w:rFonts w:ascii="Times New Roman" w:hAnsi="Times New Roman" w:cs="Times New Roman"/>
        </w:rPr>
        <w:t xml:space="preserve"> activity</w:t>
      </w:r>
      <w:r w:rsidR="00C763A2" w:rsidRPr="00990234">
        <w:rPr>
          <w:rFonts w:ascii="Times New Roman" w:hAnsi="Times New Roman" w:cs="Times New Roman"/>
        </w:rPr>
        <w:t xml:space="preserve"> </w:t>
      </w:r>
      <w:r w:rsidR="005E09C9" w:rsidRPr="00990234">
        <w:rPr>
          <w:rFonts w:ascii="Times New Roman" w:hAnsi="Times New Roman" w:cs="Times New Roman"/>
        </w:rPr>
        <w:t xml:space="preserve">reflects </w:t>
      </w:r>
      <w:r w:rsidR="00F435A2" w:rsidRPr="00990234">
        <w:rPr>
          <w:rFonts w:ascii="Times New Roman" w:hAnsi="Times New Roman" w:cs="Times New Roman"/>
        </w:rPr>
        <w:t xml:space="preserve">negative surprise, </w:t>
      </w:r>
      <w:r w:rsidR="00F435A2" w:rsidRPr="00990234">
        <w:rPr>
          <w:rFonts w:ascii="Times New Roman" w:hAnsi="Times New Roman" w:cs="Times New Roman"/>
        </w:rPr>
        <w:lastRenderedPageBreak/>
        <w:t xml:space="preserve">responding to </w:t>
      </w:r>
      <w:r w:rsidR="005E09C9" w:rsidRPr="00990234">
        <w:rPr>
          <w:rFonts w:ascii="Times New Roman" w:hAnsi="Times New Roman" w:cs="Times New Roman"/>
        </w:rPr>
        <w:t xml:space="preserve">the unexpected omission of both </w:t>
      </w:r>
      <w:r w:rsidR="00F435A2" w:rsidRPr="00990234">
        <w:rPr>
          <w:rFonts w:ascii="Times New Roman" w:hAnsi="Times New Roman" w:cs="Times New Roman"/>
        </w:rPr>
        <w:t xml:space="preserve">appetitive </w:t>
      </w:r>
      <w:r w:rsidR="005E09C9" w:rsidRPr="00990234">
        <w:rPr>
          <w:rFonts w:ascii="Times New Roman" w:hAnsi="Times New Roman" w:cs="Times New Roman"/>
        </w:rPr>
        <w:t xml:space="preserve">and aversive outcomes </w:t>
      </w:r>
      <w:r w:rsidR="005E09C9" w:rsidRPr="00990234">
        <w:rPr>
          <w:rFonts w:ascii="Times New Roman" w:hAnsi="Times New Roman" w:cs="Times New Roman"/>
        </w:rPr>
        <w:fldChar w:fldCharType="begin" w:fldLock="1"/>
      </w:r>
      <w:r w:rsidR="00E730F1" w:rsidRPr="00990234">
        <w:rPr>
          <w:rFonts w:ascii="Times New Roman" w:hAnsi="Times New Roman" w:cs="Times New Roman"/>
        </w:rPr>
        <w:instrText>ADDIN CSL_CITATION { "citationItems" : [ { "id" : "ITEM-1", "itemData" : { "author" : [ { "dropping-particle" : "", "family" : "Alexander", "given" : "William H", "non-dropping-particle" : "", "parse-names" : false, "suffix" : "" }, { "dropping-particle" : "", "family" : "Brown", "given" : "Joshua", "non-dropping-particle" : "", "parse-names" : false, "suffix" : "" } ], "container-title" : "Nature Neuroscience", "id" : "ITEM-1", "issued" : { "date-parts" : [ [ "2011" ] ] }, "note" : "NULL", "page" : "1338\u20131344", "title" : "Medial prefrontal cortex as an action-outcome predictor", "type" : "article-journal", "volume" : "14" }, "uris" : [ "http://www.mendeley.com/documents/?uuid=52af8487-ddf6-43b4-adf0-b8601acf2aca", "http://www.mendeley.com/documents/?uuid=f0de348b-06d4-4b5a-aa93-e3587c8bc5df" ] } ], "mendeley" : { "formattedCitation" : "(Alexander &amp; Brown, 2011)", "plainTextFormattedCitation" : "(Alexander &amp; Brown, 2011)", "previouslyFormattedCitation" : "(Alexander &amp; Brown, 2011)" }, "properties" : { "noteIndex" : 0 }, "schema" : "https://github.com/citation-style-language/schema/raw/master/csl-citation.json" }</w:instrText>
      </w:r>
      <w:r w:rsidR="005E09C9" w:rsidRPr="00990234">
        <w:rPr>
          <w:rFonts w:ascii="Times New Roman" w:hAnsi="Times New Roman" w:cs="Times New Roman"/>
        </w:rPr>
        <w:fldChar w:fldCharType="separate"/>
      </w:r>
      <w:r w:rsidR="0023281A" w:rsidRPr="00990234">
        <w:rPr>
          <w:rFonts w:ascii="Times New Roman" w:hAnsi="Times New Roman" w:cs="Times New Roman"/>
          <w:noProof/>
        </w:rPr>
        <w:t>(Alexander &amp; Brown, 2011)</w:t>
      </w:r>
      <w:r w:rsidR="005E09C9" w:rsidRPr="00990234">
        <w:rPr>
          <w:rFonts w:ascii="Times New Roman" w:hAnsi="Times New Roman" w:cs="Times New Roman"/>
        </w:rPr>
        <w:fldChar w:fldCharType="end"/>
      </w:r>
      <w:r w:rsidRPr="00990234">
        <w:rPr>
          <w:rFonts w:ascii="Times New Roman" w:hAnsi="Times New Roman" w:cs="Times New Roman"/>
        </w:rPr>
        <w:t xml:space="preserve">, </w:t>
      </w:r>
      <w:r w:rsidR="00F435A2" w:rsidRPr="00990234">
        <w:rPr>
          <w:rFonts w:ascii="Times New Roman" w:hAnsi="Times New Roman" w:cs="Times New Roman"/>
        </w:rPr>
        <w:t xml:space="preserve">in </w:t>
      </w:r>
      <w:r w:rsidR="001C7B8B" w:rsidRPr="00990234">
        <w:rPr>
          <w:rFonts w:ascii="Times New Roman" w:hAnsi="Times New Roman" w:cs="Times New Roman"/>
        </w:rPr>
        <w:t xml:space="preserve">that </w:t>
      </w:r>
      <w:r w:rsidR="00F421CC" w:rsidRPr="00990234">
        <w:rPr>
          <w:rFonts w:ascii="Times New Roman" w:hAnsi="Times New Roman" w:cs="Times New Roman"/>
        </w:rPr>
        <w:t>ERPs</w:t>
      </w:r>
      <w:r w:rsidR="001C7B8B" w:rsidRPr="00990234">
        <w:rPr>
          <w:rFonts w:ascii="Times New Roman" w:hAnsi="Times New Roman" w:cs="Times New Roman"/>
        </w:rPr>
        <w:t xml:space="preserve"> were more negative to omissions across the board. </w:t>
      </w:r>
    </w:p>
    <w:p w:rsidR="00A45901" w:rsidRPr="00990234" w:rsidRDefault="00383EF3" w:rsidP="00FF546F">
      <w:pPr>
        <w:spacing w:after="0" w:line="480" w:lineRule="auto"/>
        <w:ind w:right="-113" w:firstLine="720"/>
        <w:contextualSpacing/>
        <w:rPr>
          <w:rFonts w:ascii="Times New Roman" w:hAnsi="Times New Roman" w:cs="Times New Roman"/>
        </w:rPr>
      </w:pPr>
      <w:r w:rsidRPr="00990234">
        <w:rPr>
          <w:rFonts w:ascii="Times New Roman" w:hAnsi="Times New Roman" w:cs="Times New Roman"/>
        </w:rPr>
        <w:t xml:space="preserve">Our data show conclusively that frontocentral ERPs at the time-window of the FRN does not express outcome valence, </w:t>
      </w:r>
      <w:r w:rsidR="00A45901" w:rsidRPr="00990234">
        <w:rPr>
          <w:rFonts w:ascii="Times New Roman" w:hAnsi="Times New Roman" w:cs="Times New Roman"/>
        </w:rPr>
        <w:t xml:space="preserve">contradicting the </w:t>
      </w:r>
      <w:r w:rsidR="00816DD2" w:rsidRPr="00990234">
        <w:rPr>
          <w:rFonts w:ascii="Times New Roman" w:hAnsi="Times New Roman" w:cs="Times New Roman"/>
        </w:rPr>
        <w:t xml:space="preserve">interpretation of </w:t>
      </w:r>
      <w:r w:rsidR="00A45901" w:rsidRPr="00990234">
        <w:rPr>
          <w:rFonts w:ascii="Times New Roman" w:hAnsi="Times New Roman" w:cs="Times New Roman"/>
        </w:rPr>
        <w:t xml:space="preserve">the </w:t>
      </w:r>
      <w:r w:rsidR="00BE1C7E" w:rsidRPr="00990234">
        <w:rPr>
          <w:rFonts w:ascii="Times New Roman" w:hAnsi="Times New Roman" w:cs="Times New Roman"/>
        </w:rPr>
        <w:t>FRN</w:t>
      </w:r>
      <w:r w:rsidR="00816DD2" w:rsidRPr="00990234">
        <w:rPr>
          <w:rFonts w:ascii="Times New Roman" w:hAnsi="Times New Roman" w:cs="Times New Roman"/>
        </w:rPr>
        <w:t xml:space="preserve"> as a </w:t>
      </w:r>
      <w:r w:rsidR="007A39DF" w:rsidRPr="00990234">
        <w:rPr>
          <w:rFonts w:ascii="Times New Roman" w:hAnsi="Times New Roman" w:cs="Times New Roman"/>
        </w:rPr>
        <w:t xml:space="preserve">utility </w:t>
      </w:r>
      <w:r w:rsidR="00816DD2" w:rsidRPr="00990234">
        <w:rPr>
          <w:rFonts w:ascii="Times New Roman" w:hAnsi="Times New Roman" w:cs="Times New Roman"/>
        </w:rPr>
        <w:t>prediction error signal</w:t>
      </w:r>
      <w:r w:rsidR="00A45901" w:rsidRPr="00990234">
        <w:rPr>
          <w:rFonts w:ascii="Times New Roman" w:hAnsi="Times New Roman" w:cs="Times New Roman"/>
        </w:rPr>
        <w:t xml:space="preserve"> </w:t>
      </w:r>
      <w:r w:rsidR="00A45901" w:rsidRPr="00990234">
        <w:rPr>
          <w:rFonts w:ascii="Times New Roman" w:hAnsi="Times New Roman" w:cs="Times New Roman"/>
        </w:rPr>
        <w:fldChar w:fldCharType="begin" w:fldLock="1"/>
      </w:r>
      <w:r w:rsidR="00A45901" w:rsidRPr="00990234">
        <w:rPr>
          <w:rFonts w:ascii="Times New Roman" w:hAnsi="Times New Roman" w:cs="Times New Roman"/>
        </w:rPr>
        <w:instrText>ADDIN CSL_CITATION { "citationItems" : [ { "id" : "ITEM-1", "itemData" : { "author" : [ { "dropping-particle" : "", "family" : "Holroyd", "given" : "Clay", "non-dropping-particle" : "", "parse-names" : false, "suffix" : "" } ], "container-title" : "Neurophysiology", "id" : "ITEM-1", "issued" : { "date-parts" : [ [ "2004" ] ] }, "page" : "447-455", "title" : "A note on the oddball N200 and the feedback ERN", "type" : "article-journal", "volume" : "78" }, "uris" : [ "http://www.mendeley.com/documents/?uuid=ba1c546a-5c38-4740-bb48-91fff6276502" ] } ], "mendeley" : { "formattedCitation" : "(C. Holroyd, 2004)", "manualFormatting" : "(Holroyd, 2004)", "plainTextFormattedCitation" : "(C. Holroyd, 2004)", "previouslyFormattedCitation" : "(C. Holroyd, 2004)" }, "properties" : { "noteIndex" : 0 }, "schema" : "https://github.com/citation-style-language/schema/raw/master/csl-citation.json" }</w:instrText>
      </w:r>
      <w:r w:rsidR="00A45901" w:rsidRPr="00990234">
        <w:rPr>
          <w:rFonts w:ascii="Times New Roman" w:hAnsi="Times New Roman" w:cs="Times New Roman"/>
        </w:rPr>
        <w:fldChar w:fldCharType="separate"/>
      </w:r>
      <w:r w:rsidR="00A45901" w:rsidRPr="00990234">
        <w:rPr>
          <w:rFonts w:ascii="Times New Roman" w:hAnsi="Times New Roman" w:cs="Times New Roman"/>
          <w:noProof/>
        </w:rPr>
        <w:t>(Holroyd, 2004)</w:t>
      </w:r>
      <w:r w:rsidR="00A45901" w:rsidRPr="00990234">
        <w:rPr>
          <w:rFonts w:ascii="Times New Roman" w:hAnsi="Times New Roman" w:cs="Times New Roman"/>
        </w:rPr>
        <w:fldChar w:fldCharType="end"/>
      </w:r>
      <w:r w:rsidR="00816DD2" w:rsidRPr="00990234">
        <w:rPr>
          <w:rFonts w:ascii="Times New Roman" w:hAnsi="Times New Roman" w:cs="Times New Roman"/>
        </w:rPr>
        <w:t xml:space="preserve">. </w:t>
      </w:r>
      <w:r w:rsidR="00FF546F" w:rsidRPr="00990234">
        <w:rPr>
          <w:rFonts w:ascii="Times New Roman" w:hAnsi="Times New Roman" w:cs="Times New Roman"/>
        </w:rPr>
        <w:t xml:space="preserve">Across the time window of interest and across tastes ERPs were more positive for cues that predicted salient outcomes, namely, delivered or unexpected outcomes. The spatiotemporal evolution of the signal was differentially sensitive to the feature that rendered the predicted outcome salient, with a particular time window where the response in the aversive domain appeared to go beyond salience to resemble an aversive prediction error. </w:t>
      </w:r>
    </w:p>
    <w:p w:rsidR="00996615" w:rsidRPr="00990234" w:rsidRDefault="00996615" w:rsidP="00A97DCA">
      <w:pPr>
        <w:spacing w:after="0" w:line="480" w:lineRule="auto"/>
        <w:ind w:right="-113" w:firstLine="720"/>
        <w:contextualSpacing/>
        <w:rPr>
          <w:rFonts w:ascii="Times New Roman" w:hAnsi="Times New Roman" w:cs="Times New Roman"/>
        </w:rPr>
      </w:pPr>
    </w:p>
    <w:p w:rsidR="00996615" w:rsidRPr="00990234" w:rsidRDefault="00996615" w:rsidP="00A97DCA">
      <w:pPr>
        <w:spacing w:after="0" w:line="480" w:lineRule="auto"/>
        <w:ind w:right="-113" w:firstLine="720"/>
        <w:contextualSpacing/>
        <w:rPr>
          <w:rFonts w:ascii="Times New Roman" w:hAnsi="Times New Roman" w:cs="Times New Roman"/>
        </w:rPr>
      </w:pPr>
    </w:p>
    <w:p w:rsidR="00655B8F" w:rsidRPr="00990234" w:rsidRDefault="00655B8F" w:rsidP="00EC553A">
      <w:pPr>
        <w:spacing w:after="0" w:line="480" w:lineRule="auto"/>
        <w:ind w:right="-113" w:firstLine="720"/>
        <w:contextualSpacing/>
        <w:jc w:val="center"/>
        <w:rPr>
          <w:rFonts w:ascii="Times New Roman" w:hAnsi="Times New Roman" w:cs="Times New Roman"/>
          <w:b/>
          <w:sz w:val="28"/>
          <w:szCs w:val="32"/>
          <w:u w:val="single"/>
        </w:rPr>
      </w:pPr>
    </w:p>
    <w:p w:rsidR="00655B8F" w:rsidRPr="00990234" w:rsidRDefault="00655B8F" w:rsidP="00EC553A">
      <w:pPr>
        <w:spacing w:after="0" w:line="480" w:lineRule="auto"/>
        <w:ind w:right="-113" w:firstLine="720"/>
        <w:contextualSpacing/>
        <w:jc w:val="center"/>
        <w:rPr>
          <w:rFonts w:ascii="Times New Roman" w:hAnsi="Times New Roman" w:cs="Times New Roman"/>
          <w:b/>
          <w:sz w:val="28"/>
          <w:szCs w:val="32"/>
          <w:u w:val="single"/>
        </w:rPr>
      </w:pPr>
    </w:p>
    <w:p w:rsidR="00655B8F" w:rsidRPr="00990234" w:rsidRDefault="00655B8F" w:rsidP="00EC553A">
      <w:pPr>
        <w:spacing w:after="0" w:line="480" w:lineRule="auto"/>
        <w:ind w:right="-113" w:firstLine="720"/>
        <w:contextualSpacing/>
        <w:jc w:val="center"/>
        <w:rPr>
          <w:rFonts w:ascii="Times New Roman" w:hAnsi="Times New Roman" w:cs="Times New Roman"/>
          <w:b/>
          <w:sz w:val="28"/>
          <w:szCs w:val="32"/>
          <w:u w:val="single"/>
        </w:rPr>
      </w:pPr>
    </w:p>
    <w:p w:rsidR="00655B8F" w:rsidRPr="00990234" w:rsidRDefault="00655B8F" w:rsidP="00EC553A">
      <w:pPr>
        <w:spacing w:after="0" w:line="480" w:lineRule="auto"/>
        <w:ind w:right="-113" w:firstLine="720"/>
        <w:contextualSpacing/>
        <w:jc w:val="center"/>
        <w:rPr>
          <w:rFonts w:ascii="Times New Roman" w:hAnsi="Times New Roman" w:cs="Times New Roman"/>
          <w:b/>
          <w:sz w:val="28"/>
          <w:szCs w:val="32"/>
          <w:u w:val="single"/>
        </w:rPr>
      </w:pPr>
    </w:p>
    <w:p w:rsidR="00655B8F" w:rsidRPr="00990234" w:rsidRDefault="00655B8F" w:rsidP="00EC553A">
      <w:pPr>
        <w:spacing w:after="0" w:line="480" w:lineRule="auto"/>
        <w:ind w:right="-113" w:firstLine="720"/>
        <w:contextualSpacing/>
        <w:jc w:val="center"/>
        <w:rPr>
          <w:rFonts w:ascii="Times New Roman" w:hAnsi="Times New Roman" w:cs="Times New Roman"/>
          <w:b/>
          <w:sz w:val="28"/>
          <w:szCs w:val="32"/>
          <w:u w:val="single"/>
        </w:rPr>
      </w:pPr>
    </w:p>
    <w:p w:rsidR="00655B8F" w:rsidRPr="00990234" w:rsidRDefault="00655B8F" w:rsidP="00EC553A">
      <w:pPr>
        <w:spacing w:after="0" w:line="480" w:lineRule="auto"/>
        <w:ind w:right="-113" w:firstLine="720"/>
        <w:contextualSpacing/>
        <w:jc w:val="center"/>
        <w:rPr>
          <w:rFonts w:ascii="Times New Roman" w:hAnsi="Times New Roman" w:cs="Times New Roman"/>
          <w:b/>
          <w:sz w:val="28"/>
          <w:szCs w:val="32"/>
          <w:u w:val="single"/>
        </w:rPr>
      </w:pPr>
    </w:p>
    <w:p w:rsidR="00655B8F" w:rsidRPr="00990234" w:rsidRDefault="00655B8F" w:rsidP="00EC553A">
      <w:pPr>
        <w:spacing w:after="0" w:line="480" w:lineRule="auto"/>
        <w:ind w:right="-113" w:firstLine="720"/>
        <w:contextualSpacing/>
        <w:jc w:val="center"/>
        <w:rPr>
          <w:rFonts w:ascii="Times New Roman" w:hAnsi="Times New Roman" w:cs="Times New Roman"/>
          <w:b/>
          <w:sz w:val="28"/>
          <w:szCs w:val="32"/>
          <w:u w:val="single"/>
        </w:rPr>
      </w:pPr>
    </w:p>
    <w:p w:rsidR="00655B8F" w:rsidRDefault="00655B8F" w:rsidP="00EC553A">
      <w:pPr>
        <w:spacing w:after="0" w:line="480" w:lineRule="auto"/>
        <w:ind w:right="-113" w:firstLine="720"/>
        <w:contextualSpacing/>
        <w:jc w:val="center"/>
        <w:rPr>
          <w:rFonts w:ascii="Times New Roman" w:hAnsi="Times New Roman" w:cs="Times New Roman"/>
          <w:b/>
          <w:sz w:val="28"/>
          <w:szCs w:val="32"/>
          <w:u w:val="single"/>
        </w:rPr>
      </w:pPr>
    </w:p>
    <w:p w:rsidR="00C6014E" w:rsidRPr="00990234" w:rsidRDefault="00C6014E" w:rsidP="00EC553A">
      <w:pPr>
        <w:spacing w:after="0" w:line="480" w:lineRule="auto"/>
        <w:ind w:right="-113" w:firstLine="720"/>
        <w:contextualSpacing/>
        <w:jc w:val="center"/>
        <w:rPr>
          <w:rFonts w:ascii="Times New Roman" w:hAnsi="Times New Roman" w:cs="Times New Roman"/>
          <w:b/>
          <w:sz w:val="28"/>
          <w:szCs w:val="32"/>
          <w:u w:val="single"/>
        </w:rPr>
      </w:pPr>
    </w:p>
    <w:p w:rsidR="00655B8F" w:rsidRDefault="00655B8F" w:rsidP="00EC553A">
      <w:pPr>
        <w:spacing w:after="0" w:line="480" w:lineRule="auto"/>
        <w:ind w:right="-113" w:firstLine="720"/>
        <w:contextualSpacing/>
        <w:jc w:val="center"/>
        <w:rPr>
          <w:rFonts w:ascii="Times New Roman" w:hAnsi="Times New Roman" w:cs="Times New Roman"/>
          <w:b/>
          <w:sz w:val="28"/>
          <w:szCs w:val="32"/>
          <w:u w:val="single"/>
        </w:rPr>
      </w:pPr>
    </w:p>
    <w:p w:rsidR="005B20A0" w:rsidRDefault="005B20A0" w:rsidP="00EC553A">
      <w:pPr>
        <w:spacing w:after="0" w:line="480" w:lineRule="auto"/>
        <w:ind w:right="-113" w:firstLine="720"/>
        <w:contextualSpacing/>
        <w:jc w:val="center"/>
        <w:rPr>
          <w:rFonts w:ascii="Times New Roman" w:hAnsi="Times New Roman" w:cs="Times New Roman"/>
          <w:b/>
          <w:sz w:val="28"/>
          <w:szCs w:val="32"/>
          <w:u w:val="single"/>
        </w:rPr>
      </w:pPr>
    </w:p>
    <w:p w:rsidR="005B20A0" w:rsidRPr="00990234" w:rsidRDefault="005B20A0" w:rsidP="00EC553A">
      <w:pPr>
        <w:spacing w:after="0" w:line="480" w:lineRule="auto"/>
        <w:ind w:right="-113" w:firstLine="720"/>
        <w:contextualSpacing/>
        <w:jc w:val="center"/>
        <w:rPr>
          <w:rFonts w:ascii="Times New Roman" w:hAnsi="Times New Roman" w:cs="Times New Roman"/>
          <w:b/>
          <w:sz w:val="28"/>
          <w:szCs w:val="32"/>
          <w:u w:val="single"/>
        </w:rPr>
      </w:pPr>
    </w:p>
    <w:p w:rsidR="00655B8F" w:rsidRPr="00990234" w:rsidRDefault="00655B8F" w:rsidP="00EC553A">
      <w:pPr>
        <w:spacing w:after="0" w:line="480" w:lineRule="auto"/>
        <w:ind w:right="-113" w:firstLine="720"/>
        <w:contextualSpacing/>
        <w:jc w:val="center"/>
        <w:rPr>
          <w:rFonts w:ascii="Times New Roman" w:hAnsi="Times New Roman" w:cs="Times New Roman"/>
          <w:b/>
          <w:sz w:val="28"/>
          <w:szCs w:val="32"/>
          <w:u w:val="single"/>
        </w:rPr>
      </w:pPr>
    </w:p>
    <w:p w:rsidR="006B1ED1" w:rsidRPr="00990234" w:rsidRDefault="006B1ED1" w:rsidP="00EC553A">
      <w:pPr>
        <w:spacing w:after="0" w:line="480" w:lineRule="auto"/>
        <w:ind w:right="-113" w:firstLine="720"/>
        <w:contextualSpacing/>
        <w:jc w:val="center"/>
        <w:rPr>
          <w:rFonts w:ascii="Times New Roman" w:hAnsi="Times New Roman" w:cs="Times New Roman"/>
          <w:b/>
          <w:sz w:val="28"/>
          <w:szCs w:val="32"/>
          <w:u w:val="single"/>
        </w:rPr>
      </w:pPr>
      <w:r w:rsidRPr="00990234">
        <w:rPr>
          <w:rFonts w:ascii="Times New Roman" w:hAnsi="Times New Roman" w:cs="Times New Roman"/>
          <w:b/>
          <w:sz w:val="28"/>
          <w:szCs w:val="32"/>
          <w:u w:val="single"/>
        </w:rPr>
        <w:lastRenderedPageBreak/>
        <w:t>References</w:t>
      </w:r>
    </w:p>
    <w:p w:rsidR="00843A57" w:rsidRPr="00990234" w:rsidRDefault="006B1ED1">
      <w:pPr>
        <w:pStyle w:val="NormalWeb"/>
        <w:ind w:left="480" w:hanging="480"/>
        <w:divId w:val="575164344"/>
        <w:rPr>
          <w:noProof/>
          <w:sz w:val="22"/>
        </w:rPr>
      </w:pPr>
      <w:r w:rsidRPr="00990234">
        <w:rPr>
          <w:b/>
          <w:u w:val="single"/>
        </w:rPr>
        <w:fldChar w:fldCharType="begin" w:fldLock="1"/>
      </w:r>
      <w:r w:rsidRPr="00990234">
        <w:rPr>
          <w:b/>
          <w:u w:val="single"/>
        </w:rPr>
        <w:instrText xml:space="preserve">ADDIN Mendeley Bibliography CSL_BIBLIOGRAPHY </w:instrText>
      </w:r>
      <w:r w:rsidRPr="00990234">
        <w:rPr>
          <w:b/>
          <w:u w:val="single"/>
        </w:rPr>
        <w:fldChar w:fldCharType="separate"/>
      </w:r>
      <w:r w:rsidR="00843A57" w:rsidRPr="00990234">
        <w:rPr>
          <w:noProof/>
          <w:sz w:val="22"/>
        </w:rPr>
        <w:t xml:space="preserve">Abler, B., Walter, H., Erk, S., Kammerer, H., &amp; Spitzer, M. (2006). Prediction error as a linear function of reward probability is coded in human nucleus accumbens. </w:t>
      </w:r>
      <w:r w:rsidR="00843A57" w:rsidRPr="00990234">
        <w:rPr>
          <w:i/>
          <w:iCs/>
          <w:noProof/>
          <w:sz w:val="22"/>
        </w:rPr>
        <w:t>NeuroImage</w:t>
      </w:r>
      <w:r w:rsidR="00843A57" w:rsidRPr="00990234">
        <w:rPr>
          <w:noProof/>
          <w:sz w:val="22"/>
        </w:rPr>
        <w:t xml:space="preserve">, </w:t>
      </w:r>
      <w:r w:rsidR="00843A57" w:rsidRPr="00990234">
        <w:rPr>
          <w:i/>
          <w:iCs/>
          <w:noProof/>
          <w:sz w:val="22"/>
        </w:rPr>
        <w:t>31</w:t>
      </w:r>
      <w:r w:rsidR="00843A57" w:rsidRPr="00990234">
        <w:rPr>
          <w:noProof/>
          <w:sz w:val="22"/>
        </w:rPr>
        <w:t>(2), 790–795. doi:10.1016/j.neuroimage.2006.01.001</w:t>
      </w:r>
    </w:p>
    <w:p w:rsidR="00843A57" w:rsidRPr="00990234" w:rsidRDefault="00843A57">
      <w:pPr>
        <w:pStyle w:val="NormalWeb"/>
        <w:ind w:left="480" w:hanging="480"/>
        <w:divId w:val="575164344"/>
        <w:rPr>
          <w:noProof/>
          <w:sz w:val="22"/>
        </w:rPr>
      </w:pPr>
      <w:r w:rsidRPr="00990234">
        <w:rPr>
          <w:noProof/>
          <w:sz w:val="22"/>
        </w:rPr>
        <w:t xml:space="preserve">Alexander, W. H., &amp; Brown, J. (2011). Medial prefrontal cortex as an action-outcome predictor. </w:t>
      </w:r>
      <w:r w:rsidRPr="00990234">
        <w:rPr>
          <w:i/>
          <w:iCs/>
          <w:noProof/>
          <w:sz w:val="22"/>
        </w:rPr>
        <w:t>Nature Neuroscience</w:t>
      </w:r>
      <w:r w:rsidRPr="00990234">
        <w:rPr>
          <w:noProof/>
          <w:sz w:val="22"/>
        </w:rPr>
        <w:t xml:space="preserve">, </w:t>
      </w:r>
      <w:r w:rsidRPr="00990234">
        <w:rPr>
          <w:i/>
          <w:iCs/>
          <w:noProof/>
          <w:sz w:val="22"/>
        </w:rPr>
        <w:t>14</w:t>
      </w:r>
      <w:r w:rsidRPr="00990234">
        <w:rPr>
          <w:noProof/>
          <w:sz w:val="22"/>
        </w:rPr>
        <w:t>, 1338–1344.</w:t>
      </w:r>
    </w:p>
    <w:p w:rsidR="00843A57" w:rsidRPr="00990234" w:rsidRDefault="00843A57">
      <w:pPr>
        <w:pStyle w:val="NormalWeb"/>
        <w:ind w:left="480" w:hanging="480"/>
        <w:divId w:val="575164344"/>
        <w:rPr>
          <w:noProof/>
          <w:sz w:val="22"/>
        </w:rPr>
      </w:pPr>
      <w:r w:rsidRPr="00990234">
        <w:rPr>
          <w:noProof/>
          <w:sz w:val="22"/>
        </w:rPr>
        <w:t xml:space="preserve">Ashburner, J., Barnes, G., Chen, C., Daunizeau, J., Moran, R., Henson, R., … Phillips, C. (2013). SPM8 Manual The FIL Methods Group ( and honorary members ). </w:t>
      </w:r>
      <w:r w:rsidRPr="00990234">
        <w:rPr>
          <w:i/>
          <w:iCs/>
          <w:noProof/>
          <w:sz w:val="22"/>
        </w:rPr>
        <w:t>Functional Imaging Laboratory</w:t>
      </w:r>
      <w:r w:rsidRPr="00990234">
        <w:rPr>
          <w:noProof/>
          <w:sz w:val="22"/>
        </w:rPr>
        <w:t>, 475–1. doi:10.1111/j.1365-294X.2006.02813.x</w:t>
      </w:r>
    </w:p>
    <w:p w:rsidR="00843A57" w:rsidRPr="00990234" w:rsidRDefault="00843A57">
      <w:pPr>
        <w:pStyle w:val="NormalWeb"/>
        <w:ind w:left="480" w:hanging="480"/>
        <w:divId w:val="575164344"/>
        <w:rPr>
          <w:noProof/>
          <w:sz w:val="22"/>
        </w:rPr>
      </w:pPr>
      <w:r w:rsidRPr="00990234">
        <w:rPr>
          <w:noProof/>
          <w:sz w:val="22"/>
        </w:rPr>
        <w:t xml:space="preserve">Bai, Y., Katahira, K., &amp; Ohira, H. (2015). Valence-separated representation of reward prediction error in feedback-related negativity and positivity. </w:t>
      </w:r>
      <w:r w:rsidRPr="00990234">
        <w:rPr>
          <w:i/>
          <w:iCs/>
          <w:noProof/>
          <w:sz w:val="22"/>
        </w:rPr>
        <w:t>NeuroReport</w:t>
      </w:r>
      <w:r w:rsidRPr="00990234">
        <w:rPr>
          <w:noProof/>
          <w:sz w:val="22"/>
        </w:rPr>
        <w:t xml:space="preserve">, </w:t>
      </w:r>
      <w:r w:rsidRPr="00990234">
        <w:rPr>
          <w:i/>
          <w:iCs/>
          <w:noProof/>
          <w:sz w:val="22"/>
        </w:rPr>
        <w:t>26</w:t>
      </w:r>
      <w:r w:rsidRPr="00990234">
        <w:rPr>
          <w:noProof/>
          <w:sz w:val="22"/>
        </w:rPr>
        <w:t>(3), 157–162. doi:10.1097/WNR.0000000000000318</w:t>
      </w:r>
    </w:p>
    <w:p w:rsidR="00843A57" w:rsidRPr="00990234" w:rsidRDefault="00843A57">
      <w:pPr>
        <w:pStyle w:val="NormalWeb"/>
        <w:ind w:left="480" w:hanging="480"/>
        <w:divId w:val="575164344"/>
        <w:rPr>
          <w:noProof/>
          <w:sz w:val="22"/>
        </w:rPr>
      </w:pPr>
      <w:r w:rsidRPr="00990234">
        <w:rPr>
          <w:noProof/>
          <w:sz w:val="22"/>
        </w:rPr>
        <w:t xml:space="preserve">Bartra, O., McGuire, J. T., &amp; Kable, J. W. (2013). The valuation system: A coordinate-based meta-analysis of BOLD fMRI experiments examining neural correlates of subjective value. </w:t>
      </w:r>
      <w:r w:rsidRPr="00990234">
        <w:rPr>
          <w:i/>
          <w:iCs/>
          <w:noProof/>
          <w:sz w:val="22"/>
        </w:rPr>
        <w:t>NeuroImage</w:t>
      </w:r>
      <w:r w:rsidRPr="00990234">
        <w:rPr>
          <w:noProof/>
          <w:sz w:val="22"/>
        </w:rPr>
        <w:t xml:space="preserve">, </w:t>
      </w:r>
      <w:r w:rsidRPr="00990234">
        <w:rPr>
          <w:i/>
          <w:iCs/>
          <w:noProof/>
          <w:sz w:val="22"/>
        </w:rPr>
        <w:t>76</w:t>
      </w:r>
      <w:r w:rsidRPr="00990234">
        <w:rPr>
          <w:noProof/>
          <w:sz w:val="22"/>
        </w:rPr>
        <w:t>, 412–427. doi:10.1016/j.neuroimage.2013.02.063</w:t>
      </w:r>
    </w:p>
    <w:p w:rsidR="00843A57" w:rsidRPr="00990234" w:rsidRDefault="00843A57">
      <w:pPr>
        <w:pStyle w:val="NormalWeb"/>
        <w:ind w:left="480" w:hanging="480"/>
        <w:divId w:val="575164344"/>
        <w:rPr>
          <w:noProof/>
          <w:sz w:val="22"/>
        </w:rPr>
      </w:pPr>
      <w:r w:rsidRPr="00990234">
        <w:rPr>
          <w:noProof/>
          <w:sz w:val="22"/>
        </w:rPr>
        <w:t xml:space="preserve">Berridge, K. C. (2012). From prediction error to incentive salience: Mesolimbic computation of reward motivation. </w:t>
      </w:r>
      <w:r w:rsidRPr="00990234">
        <w:rPr>
          <w:i/>
          <w:iCs/>
          <w:noProof/>
          <w:sz w:val="22"/>
        </w:rPr>
        <w:t>European Journal of Neuroscience</w:t>
      </w:r>
      <w:r w:rsidRPr="00990234">
        <w:rPr>
          <w:noProof/>
          <w:sz w:val="22"/>
        </w:rPr>
        <w:t xml:space="preserve">, </w:t>
      </w:r>
      <w:r w:rsidRPr="00990234">
        <w:rPr>
          <w:i/>
          <w:iCs/>
          <w:noProof/>
          <w:sz w:val="22"/>
        </w:rPr>
        <w:t>35</w:t>
      </w:r>
      <w:r w:rsidRPr="00990234">
        <w:rPr>
          <w:noProof/>
          <w:sz w:val="22"/>
        </w:rPr>
        <w:t>(7), 1124–1143. doi:10.1111/j.1460-9568.2012.07990.x</w:t>
      </w:r>
    </w:p>
    <w:p w:rsidR="00843A57" w:rsidRPr="00990234" w:rsidRDefault="00843A57">
      <w:pPr>
        <w:pStyle w:val="NormalWeb"/>
        <w:ind w:left="480" w:hanging="480"/>
        <w:divId w:val="575164344"/>
        <w:rPr>
          <w:noProof/>
          <w:sz w:val="22"/>
        </w:rPr>
      </w:pPr>
      <w:r w:rsidRPr="00990234">
        <w:rPr>
          <w:noProof/>
          <w:sz w:val="22"/>
        </w:rPr>
        <w:t xml:space="preserve">Brischoux, F., Chakraborty, S., Brierley, D. I., &amp; Ungless, M. a. (2009). Phasic excitation of dopamine neurons in ventral VTA by noxious stimuli. </w:t>
      </w:r>
      <w:r w:rsidRPr="00990234">
        <w:rPr>
          <w:i/>
          <w:iCs/>
          <w:noProof/>
          <w:sz w:val="22"/>
        </w:rPr>
        <w:t>Proceedings of the National Academy of Sciences of the United States of America</w:t>
      </w:r>
      <w:r w:rsidRPr="00990234">
        <w:rPr>
          <w:noProof/>
          <w:sz w:val="22"/>
        </w:rPr>
        <w:t xml:space="preserve">, </w:t>
      </w:r>
      <w:r w:rsidRPr="00990234">
        <w:rPr>
          <w:i/>
          <w:iCs/>
          <w:noProof/>
          <w:sz w:val="22"/>
        </w:rPr>
        <w:t>106</w:t>
      </w:r>
      <w:r w:rsidRPr="00990234">
        <w:rPr>
          <w:noProof/>
          <w:sz w:val="22"/>
        </w:rPr>
        <w:t>(12), 4894–9. doi:10.1073/pnas.0811507106</w:t>
      </w:r>
    </w:p>
    <w:p w:rsidR="00843A57" w:rsidRPr="00990234" w:rsidRDefault="00843A57">
      <w:pPr>
        <w:pStyle w:val="NormalWeb"/>
        <w:ind w:left="480" w:hanging="480"/>
        <w:divId w:val="575164344"/>
        <w:rPr>
          <w:noProof/>
          <w:sz w:val="22"/>
        </w:rPr>
      </w:pPr>
      <w:r w:rsidRPr="00990234">
        <w:rPr>
          <w:noProof/>
          <w:sz w:val="22"/>
        </w:rPr>
        <w:t xml:space="preserve">Bromberg-Martin, E. S., Matsumoto, M., &amp; Hikosaka, O. (2010). Dopamine in Motivational Control: Rewarding, Aversive, and Alerting. </w:t>
      </w:r>
      <w:r w:rsidRPr="00990234">
        <w:rPr>
          <w:i/>
          <w:iCs/>
          <w:noProof/>
          <w:sz w:val="22"/>
        </w:rPr>
        <w:t>Neuron</w:t>
      </w:r>
      <w:r w:rsidRPr="00990234">
        <w:rPr>
          <w:noProof/>
          <w:sz w:val="22"/>
        </w:rPr>
        <w:t xml:space="preserve">, </w:t>
      </w:r>
      <w:r w:rsidRPr="00990234">
        <w:rPr>
          <w:i/>
          <w:iCs/>
          <w:noProof/>
          <w:sz w:val="22"/>
        </w:rPr>
        <w:t>68</w:t>
      </w:r>
      <w:r w:rsidRPr="00990234">
        <w:rPr>
          <w:noProof/>
          <w:sz w:val="22"/>
        </w:rPr>
        <w:t>(5), 815–834. doi:10.1016/j.neuron.2010.11.022</w:t>
      </w:r>
    </w:p>
    <w:p w:rsidR="00843A57" w:rsidRPr="00990234" w:rsidRDefault="00843A57">
      <w:pPr>
        <w:pStyle w:val="NormalWeb"/>
        <w:ind w:left="480" w:hanging="480"/>
        <w:divId w:val="575164344"/>
        <w:rPr>
          <w:noProof/>
          <w:sz w:val="22"/>
        </w:rPr>
      </w:pPr>
      <w:r w:rsidRPr="00990234">
        <w:rPr>
          <w:noProof/>
          <w:sz w:val="22"/>
        </w:rPr>
        <w:t xml:space="preserve">Caplin, A., &amp; Dean, M. (2008). Dopamine, reward prediction error, and economics. </w:t>
      </w:r>
      <w:r w:rsidRPr="00990234">
        <w:rPr>
          <w:i/>
          <w:iCs/>
          <w:noProof/>
          <w:sz w:val="22"/>
        </w:rPr>
        <w:t>Quarterly Journal of Economics</w:t>
      </w:r>
      <w:r w:rsidRPr="00990234">
        <w:rPr>
          <w:noProof/>
          <w:sz w:val="22"/>
        </w:rPr>
        <w:t xml:space="preserve">, </w:t>
      </w:r>
      <w:r w:rsidRPr="00990234">
        <w:rPr>
          <w:i/>
          <w:iCs/>
          <w:noProof/>
          <w:sz w:val="22"/>
        </w:rPr>
        <w:t>123</w:t>
      </w:r>
      <w:r w:rsidRPr="00990234">
        <w:rPr>
          <w:noProof/>
          <w:sz w:val="22"/>
        </w:rPr>
        <w:t>(2), 663–701.</w:t>
      </w:r>
    </w:p>
    <w:p w:rsidR="00843A57" w:rsidRPr="00990234" w:rsidRDefault="00843A57">
      <w:pPr>
        <w:pStyle w:val="NormalWeb"/>
        <w:ind w:left="480" w:hanging="480"/>
        <w:divId w:val="575164344"/>
        <w:rPr>
          <w:noProof/>
          <w:sz w:val="22"/>
        </w:rPr>
      </w:pPr>
      <w:r w:rsidRPr="00990234">
        <w:rPr>
          <w:noProof/>
          <w:sz w:val="22"/>
        </w:rPr>
        <w:t xml:space="preserve">Carlson, J. M., Foti, D., Mujica-Parodi, L. R., Harmon-Jones, E., &amp; Hajcak, G. (2011). Ventral striatal and medial prefrontal BOLD activation is correlated with reward-related electrocortical activity: A combined ERP and fMRI study. </w:t>
      </w:r>
      <w:r w:rsidRPr="00990234">
        <w:rPr>
          <w:i/>
          <w:iCs/>
          <w:noProof/>
          <w:sz w:val="22"/>
        </w:rPr>
        <w:t>NeuroImage</w:t>
      </w:r>
      <w:r w:rsidRPr="00990234">
        <w:rPr>
          <w:noProof/>
          <w:sz w:val="22"/>
        </w:rPr>
        <w:t xml:space="preserve">, </w:t>
      </w:r>
      <w:r w:rsidRPr="00990234">
        <w:rPr>
          <w:i/>
          <w:iCs/>
          <w:noProof/>
          <w:sz w:val="22"/>
        </w:rPr>
        <w:t>57</w:t>
      </w:r>
      <w:r w:rsidRPr="00990234">
        <w:rPr>
          <w:noProof/>
          <w:sz w:val="22"/>
        </w:rPr>
        <w:t>(4), 1608–1616. doi:http://dx.doi.org/10.1016/j.neuroimage.2011.05.037</w:t>
      </w:r>
    </w:p>
    <w:p w:rsidR="00843A57" w:rsidRPr="00990234" w:rsidRDefault="00843A57">
      <w:pPr>
        <w:pStyle w:val="NormalWeb"/>
        <w:ind w:left="480" w:hanging="480"/>
        <w:divId w:val="575164344"/>
        <w:rPr>
          <w:noProof/>
          <w:sz w:val="22"/>
        </w:rPr>
      </w:pPr>
      <w:r w:rsidRPr="00990234">
        <w:rPr>
          <w:noProof/>
          <w:sz w:val="22"/>
        </w:rPr>
        <w:t xml:space="preserve">Esber, G. R., &amp; Haselgrove, M. (2011). Reconciling the influence of predictiveness and uncertainty on stimulus salience: a model of attention in associative learning. </w:t>
      </w:r>
      <w:r w:rsidRPr="00990234">
        <w:rPr>
          <w:i/>
          <w:iCs/>
          <w:noProof/>
          <w:sz w:val="22"/>
        </w:rPr>
        <w:t>Proceedings. Biological Sciences / The Royal Society</w:t>
      </w:r>
      <w:r w:rsidRPr="00990234">
        <w:rPr>
          <w:noProof/>
          <w:sz w:val="22"/>
        </w:rPr>
        <w:t xml:space="preserve">, </w:t>
      </w:r>
      <w:r w:rsidRPr="00990234">
        <w:rPr>
          <w:i/>
          <w:iCs/>
          <w:noProof/>
          <w:sz w:val="22"/>
        </w:rPr>
        <w:t>278</w:t>
      </w:r>
      <w:r w:rsidRPr="00990234">
        <w:rPr>
          <w:noProof/>
          <w:sz w:val="22"/>
        </w:rPr>
        <w:t>(1718), 2553–2561. doi:10.1098/rspb.2011.0836</w:t>
      </w:r>
    </w:p>
    <w:p w:rsidR="00843A57" w:rsidRPr="00990234" w:rsidRDefault="00843A57">
      <w:pPr>
        <w:pStyle w:val="NormalWeb"/>
        <w:ind w:left="480" w:hanging="480"/>
        <w:divId w:val="575164344"/>
        <w:rPr>
          <w:noProof/>
          <w:sz w:val="22"/>
        </w:rPr>
      </w:pPr>
      <w:r w:rsidRPr="00990234">
        <w:rPr>
          <w:noProof/>
          <w:sz w:val="22"/>
        </w:rPr>
        <w:t xml:space="preserve">Eshel, N., Tian, J., Bukwich, M., &amp; Uchida, N. (2016). Dopamine neurons share common response function for reward prediction error. </w:t>
      </w:r>
      <w:r w:rsidRPr="00990234">
        <w:rPr>
          <w:i/>
          <w:iCs/>
          <w:noProof/>
          <w:sz w:val="22"/>
        </w:rPr>
        <w:t>Nature Neuroscience</w:t>
      </w:r>
      <w:r w:rsidRPr="00990234">
        <w:rPr>
          <w:noProof/>
          <w:sz w:val="22"/>
        </w:rPr>
        <w:t xml:space="preserve">, </w:t>
      </w:r>
      <w:r w:rsidRPr="00990234">
        <w:rPr>
          <w:i/>
          <w:iCs/>
          <w:noProof/>
          <w:sz w:val="22"/>
        </w:rPr>
        <w:t>19</w:t>
      </w:r>
      <w:r w:rsidRPr="00990234">
        <w:rPr>
          <w:noProof/>
          <w:sz w:val="22"/>
        </w:rPr>
        <w:t>(3). doi:10.1038/nn.4239</w:t>
      </w:r>
    </w:p>
    <w:p w:rsidR="00843A57" w:rsidRPr="00990234" w:rsidRDefault="00843A57">
      <w:pPr>
        <w:pStyle w:val="NormalWeb"/>
        <w:ind w:left="480" w:hanging="480"/>
        <w:divId w:val="575164344"/>
        <w:rPr>
          <w:noProof/>
          <w:sz w:val="22"/>
        </w:rPr>
      </w:pPr>
      <w:r w:rsidRPr="00990234">
        <w:rPr>
          <w:noProof/>
          <w:sz w:val="22"/>
        </w:rPr>
        <w:t xml:space="preserve">Franken, I. H. a, Huijding, J., Nijs, I. M. T., &amp; van Strien, J. W. (2011). Electrophysiology of appetitive taste and appetitive taste conditioning in humans. </w:t>
      </w:r>
      <w:r w:rsidRPr="00990234">
        <w:rPr>
          <w:i/>
          <w:iCs/>
          <w:noProof/>
          <w:sz w:val="22"/>
        </w:rPr>
        <w:t>Biological Psychology</w:t>
      </w:r>
      <w:r w:rsidRPr="00990234">
        <w:rPr>
          <w:noProof/>
          <w:sz w:val="22"/>
        </w:rPr>
        <w:t xml:space="preserve">, </w:t>
      </w:r>
      <w:r w:rsidRPr="00990234">
        <w:rPr>
          <w:i/>
          <w:iCs/>
          <w:noProof/>
          <w:sz w:val="22"/>
        </w:rPr>
        <w:t>86</w:t>
      </w:r>
      <w:r w:rsidRPr="00990234">
        <w:rPr>
          <w:noProof/>
          <w:sz w:val="22"/>
        </w:rPr>
        <w:t>(3), 273–278. doi:10.1016/j.biopsycho.2010.12.008</w:t>
      </w:r>
    </w:p>
    <w:p w:rsidR="00843A57" w:rsidRPr="00990234" w:rsidRDefault="00843A57">
      <w:pPr>
        <w:pStyle w:val="NormalWeb"/>
        <w:ind w:left="480" w:hanging="480"/>
        <w:divId w:val="575164344"/>
        <w:rPr>
          <w:noProof/>
          <w:sz w:val="22"/>
        </w:rPr>
      </w:pPr>
      <w:r w:rsidRPr="00990234">
        <w:rPr>
          <w:noProof/>
          <w:sz w:val="22"/>
        </w:rPr>
        <w:lastRenderedPageBreak/>
        <w:t xml:space="preserve">Friedman, M., &amp; Savage, L. T. (1952). The Expected-Utility Hypothesis and the Measurability of Utility. </w:t>
      </w:r>
      <w:r w:rsidRPr="00990234">
        <w:rPr>
          <w:i/>
          <w:iCs/>
          <w:noProof/>
          <w:sz w:val="22"/>
        </w:rPr>
        <w:t>Journal of Political Economy</w:t>
      </w:r>
      <w:r w:rsidRPr="00990234">
        <w:rPr>
          <w:noProof/>
          <w:sz w:val="22"/>
        </w:rPr>
        <w:t xml:space="preserve">, </w:t>
      </w:r>
      <w:r w:rsidRPr="00990234">
        <w:rPr>
          <w:i/>
          <w:iCs/>
          <w:noProof/>
          <w:sz w:val="22"/>
        </w:rPr>
        <w:t>60</w:t>
      </w:r>
      <w:r w:rsidRPr="00990234">
        <w:rPr>
          <w:noProof/>
          <w:sz w:val="22"/>
        </w:rPr>
        <w:t>(6), 463–474.</w:t>
      </w:r>
    </w:p>
    <w:p w:rsidR="00843A57" w:rsidRPr="00990234" w:rsidRDefault="00843A57">
      <w:pPr>
        <w:pStyle w:val="NormalWeb"/>
        <w:ind w:left="480" w:hanging="480"/>
        <w:divId w:val="575164344"/>
        <w:rPr>
          <w:noProof/>
          <w:sz w:val="22"/>
        </w:rPr>
      </w:pPr>
      <w:r w:rsidRPr="00990234">
        <w:rPr>
          <w:noProof/>
          <w:sz w:val="22"/>
        </w:rPr>
        <w:t xml:space="preserve">Garofalo, S., Maier, M. E., &amp; di Pellegrino, G. (2014). Mediofrontal negativity signals unexpected omission of aversive events. </w:t>
      </w:r>
      <w:r w:rsidRPr="00990234">
        <w:rPr>
          <w:i/>
          <w:iCs/>
          <w:noProof/>
          <w:sz w:val="22"/>
        </w:rPr>
        <w:t>Scientific Reports</w:t>
      </w:r>
      <w:r w:rsidRPr="00990234">
        <w:rPr>
          <w:noProof/>
          <w:sz w:val="22"/>
        </w:rPr>
        <w:t xml:space="preserve">, </w:t>
      </w:r>
      <w:r w:rsidRPr="00990234">
        <w:rPr>
          <w:i/>
          <w:iCs/>
          <w:noProof/>
          <w:sz w:val="22"/>
        </w:rPr>
        <w:t>4</w:t>
      </w:r>
      <w:r w:rsidRPr="00990234">
        <w:rPr>
          <w:noProof/>
          <w:sz w:val="22"/>
        </w:rPr>
        <w:t>, 4816. doi:10.1038/srep04816</w:t>
      </w:r>
    </w:p>
    <w:p w:rsidR="00843A57" w:rsidRPr="00990234" w:rsidRDefault="00843A57">
      <w:pPr>
        <w:pStyle w:val="NormalWeb"/>
        <w:ind w:left="480" w:hanging="480"/>
        <w:divId w:val="575164344"/>
        <w:rPr>
          <w:noProof/>
          <w:sz w:val="22"/>
        </w:rPr>
      </w:pPr>
      <w:r w:rsidRPr="00990234">
        <w:rPr>
          <w:noProof/>
          <w:sz w:val="22"/>
        </w:rPr>
        <w:t xml:space="preserve">Gu, Y., Hu, X., Pan, W., Li, Y., Yang, C., &amp; Chen, A. (2016). The Neural Activities Underlying Feedback Express Salience Prediction Errors for Appetitive and Aversive Stimuli. </w:t>
      </w:r>
      <w:r w:rsidRPr="00990234">
        <w:rPr>
          <w:i/>
          <w:iCs/>
          <w:noProof/>
          <w:sz w:val="22"/>
        </w:rPr>
        <w:t>NeuroImage</w:t>
      </w:r>
      <w:r w:rsidRPr="00990234">
        <w:rPr>
          <w:noProof/>
          <w:sz w:val="22"/>
        </w:rPr>
        <w:t>, (October), 1–11. doi:10.1038/srep34032</w:t>
      </w:r>
    </w:p>
    <w:p w:rsidR="00843A57" w:rsidRPr="00990234" w:rsidRDefault="00843A57">
      <w:pPr>
        <w:pStyle w:val="NormalWeb"/>
        <w:ind w:left="480" w:hanging="480"/>
        <w:divId w:val="575164344"/>
        <w:rPr>
          <w:noProof/>
          <w:sz w:val="22"/>
        </w:rPr>
      </w:pPr>
      <w:r w:rsidRPr="00990234">
        <w:rPr>
          <w:noProof/>
          <w:sz w:val="22"/>
        </w:rPr>
        <w:t xml:space="preserve">Hamid, A. a, Pettibone, J. R., Mabrouk, O. S., Hetrick, V. L., Schmidt, R., Vander Weele, C. M., … Berke, J. D. (2015). Mesolimbic dopamine signals the value of work. </w:t>
      </w:r>
      <w:r w:rsidRPr="00990234">
        <w:rPr>
          <w:i/>
          <w:iCs/>
          <w:noProof/>
          <w:sz w:val="22"/>
        </w:rPr>
        <w:t>Nature Neuroscience</w:t>
      </w:r>
      <w:r w:rsidRPr="00990234">
        <w:rPr>
          <w:noProof/>
          <w:sz w:val="22"/>
        </w:rPr>
        <w:t xml:space="preserve">, </w:t>
      </w:r>
      <w:r w:rsidRPr="00990234">
        <w:rPr>
          <w:i/>
          <w:iCs/>
          <w:noProof/>
          <w:sz w:val="22"/>
        </w:rPr>
        <w:t>19</w:t>
      </w:r>
      <w:r w:rsidRPr="00990234">
        <w:rPr>
          <w:noProof/>
          <w:sz w:val="22"/>
        </w:rPr>
        <w:t>(1), 117–126. doi:10.1038/nn.4173</w:t>
      </w:r>
    </w:p>
    <w:p w:rsidR="00843A57" w:rsidRPr="00990234" w:rsidRDefault="00843A57">
      <w:pPr>
        <w:pStyle w:val="NormalWeb"/>
        <w:ind w:left="480" w:hanging="480"/>
        <w:divId w:val="575164344"/>
        <w:rPr>
          <w:noProof/>
          <w:sz w:val="22"/>
        </w:rPr>
      </w:pPr>
      <w:r w:rsidRPr="00990234">
        <w:rPr>
          <w:noProof/>
          <w:sz w:val="22"/>
        </w:rPr>
        <w:t xml:space="preserve">Hauser, T. U., Iannaccone, R., Stämpfli, P., Drechsler, R., Brandeis, D., Walitza, S., &amp; Brem, S. (2014). The feedback-related negativity (FRN) revisited: New insights into the localization, meaning and network organization. </w:t>
      </w:r>
      <w:r w:rsidRPr="00990234">
        <w:rPr>
          <w:i/>
          <w:iCs/>
          <w:noProof/>
          <w:sz w:val="22"/>
        </w:rPr>
        <w:t>NeuroImage</w:t>
      </w:r>
      <w:r w:rsidRPr="00990234">
        <w:rPr>
          <w:noProof/>
          <w:sz w:val="22"/>
        </w:rPr>
        <w:t xml:space="preserve">, </w:t>
      </w:r>
      <w:r w:rsidRPr="00990234">
        <w:rPr>
          <w:i/>
          <w:iCs/>
          <w:noProof/>
          <w:sz w:val="22"/>
        </w:rPr>
        <w:t>84</w:t>
      </w:r>
      <w:r w:rsidRPr="00990234">
        <w:rPr>
          <w:noProof/>
          <w:sz w:val="22"/>
        </w:rPr>
        <w:t>, 159–168.</w:t>
      </w:r>
    </w:p>
    <w:p w:rsidR="00843A57" w:rsidRPr="00990234" w:rsidRDefault="00843A57">
      <w:pPr>
        <w:pStyle w:val="NormalWeb"/>
        <w:ind w:left="480" w:hanging="480"/>
        <w:divId w:val="575164344"/>
        <w:rPr>
          <w:noProof/>
          <w:sz w:val="22"/>
        </w:rPr>
      </w:pPr>
      <w:r w:rsidRPr="00990234">
        <w:rPr>
          <w:noProof/>
          <w:sz w:val="22"/>
        </w:rPr>
        <w:t xml:space="preserve">Hayes, J. E., Allen, A., &amp; Bennett, S. M. (2013). Direct comparison of the generalized Visual Analog Scale (gVAS) and general Labeled Magnitude Scale (gLMS). </w:t>
      </w:r>
      <w:r w:rsidRPr="00990234">
        <w:rPr>
          <w:i/>
          <w:iCs/>
          <w:noProof/>
          <w:sz w:val="22"/>
        </w:rPr>
        <w:t>Food Quality and Preference</w:t>
      </w:r>
      <w:r w:rsidRPr="00990234">
        <w:rPr>
          <w:noProof/>
          <w:sz w:val="22"/>
        </w:rPr>
        <w:t xml:space="preserve">, </w:t>
      </w:r>
      <w:r w:rsidRPr="00990234">
        <w:rPr>
          <w:i/>
          <w:iCs/>
          <w:noProof/>
          <w:sz w:val="22"/>
        </w:rPr>
        <w:t>28</w:t>
      </w:r>
      <w:r w:rsidRPr="00990234">
        <w:rPr>
          <w:noProof/>
          <w:sz w:val="22"/>
        </w:rPr>
        <w:t>(1), 36–44. doi:10.1016/j.biotechadv.2011.08.021.Secreted</w:t>
      </w:r>
    </w:p>
    <w:p w:rsidR="00843A57" w:rsidRPr="00990234" w:rsidRDefault="00843A57">
      <w:pPr>
        <w:pStyle w:val="NormalWeb"/>
        <w:ind w:left="480" w:hanging="480"/>
        <w:divId w:val="575164344"/>
        <w:rPr>
          <w:noProof/>
          <w:sz w:val="22"/>
        </w:rPr>
      </w:pPr>
      <w:r w:rsidRPr="00990234">
        <w:rPr>
          <w:noProof/>
          <w:sz w:val="22"/>
        </w:rPr>
        <w:t xml:space="preserve">Heydari, S., &amp; Holroyd, C. B. (2016). Reward positivity: Reward prediction error or salience prediction error? </w:t>
      </w:r>
      <w:r w:rsidRPr="00990234">
        <w:rPr>
          <w:i/>
          <w:iCs/>
          <w:noProof/>
          <w:sz w:val="22"/>
        </w:rPr>
        <w:t>Psychophysiology</w:t>
      </w:r>
      <w:r w:rsidRPr="00990234">
        <w:rPr>
          <w:noProof/>
          <w:sz w:val="22"/>
        </w:rPr>
        <w:t>, 1–8. doi:10.1111/psyp.12673</w:t>
      </w:r>
    </w:p>
    <w:p w:rsidR="00843A57" w:rsidRPr="00990234" w:rsidRDefault="00843A57">
      <w:pPr>
        <w:pStyle w:val="NormalWeb"/>
        <w:ind w:left="480" w:hanging="480"/>
        <w:divId w:val="575164344"/>
        <w:rPr>
          <w:noProof/>
          <w:sz w:val="22"/>
        </w:rPr>
      </w:pPr>
      <w:r w:rsidRPr="00990234">
        <w:rPr>
          <w:noProof/>
          <w:sz w:val="22"/>
        </w:rPr>
        <w:t xml:space="preserve">Holroyd, C. (2004). A note on the oddball N200 and the feedback ERN. </w:t>
      </w:r>
      <w:r w:rsidRPr="00990234">
        <w:rPr>
          <w:i/>
          <w:iCs/>
          <w:noProof/>
          <w:sz w:val="22"/>
        </w:rPr>
        <w:t>Neurophysiology</w:t>
      </w:r>
      <w:r w:rsidRPr="00990234">
        <w:rPr>
          <w:noProof/>
          <w:sz w:val="22"/>
        </w:rPr>
        <w:t xml:space="preserve">, </w:t>
      </w:r>
      <w:r w:rsidRPr="00990234">
        <w:rPr>
          <w:i/>
          <w:iCs/>
          <w:noProof/>
          <w:sz w:val="22"/>
        </w:rPr>
        <w:t>78</w:t>
      </w:r>
      <w:r w:rsidRPr="00990234">
        <w:rPr>
          <w:noProof/>
          <w:sz w:val="22"/>
        </w:rPr>
        <w:t>, 447–455.</w:t>
      </w:r>
    </w:p>
    <w:p w:rsidR="00843A57" w:rsidRPr="00990234" w:rsidRDefault="00843A57">
      <w:pPr>
        <w:pStyle w:val="NormalWeb"/>
        <w:ind w:left="480" w:hanging="480"/>
        <w:divId w:val="575164344"/>
        <w:rPr>
          <w:noProof/>
          <w:sz w:val="22"/>
        </w:rPr>
      </w:pPr>
      <w:r w:rsidRPr="00990234">
        <w:rPr>
          <w:noProof/>
          <w:sz w:val="22"/>
        </w:rPr>
        <w:t xml:space="preserve">Holroyd, C. B., Hajcak, G., &amp; Larsen, J. T. (2006). The good, the bad and the neutral: Electrophysiological responses to feedback stimuli. </w:t>
      </w:r>
      <w:r w:rsidRPr="00990234">
        <w:rPr>
          <w:i/>
          <w:iCs/>
          <w:noProof/>
          <w:sz w:val="22"/>
        </w:rPr>
        <w:t>Brain Research</w:t>
      </w:r>
      <w:r w:rsidRPr="00990234">
        <w:rPr>
          <w:noProof/>
          <w:sz w:val="22"/>
        </w:rPr>
        <w:t xml:space="preserve">, </w:t>
      </w:r>
      <w:r w:rsidRPr="00990234">
        <w:rPr>
          <w:i/>
          <w:iCs/>
          <w:noProof/>
          <w:sz w:val="22"/>
        </w:rPr>
        <w:t>1105</w:t>
      </w:r>
      <w:r w:rsidRPr="00990234">
        <w:rPr>
          <w:noProof/>
          <w:sz w:val="22"/>
        </w:rPr>
        <w:t>(1), 93–101. doi:10.1016/j.brainres.2005.12.015</w:t>
      </w:r>
    </w:p>
    <w:p w:rsidR="00843A57" w:rsidRPr="00990234" w:rsidRDefault="00843A57">
      <w:pPr>
        <w:pStyle w:val="NormalWeb"/>
        <w:ind w:left="480" w:hanging="480"/>
        <w:divId w:val="575164344"/>
        <w:rPr>
          <w:noProof/>
          <w:sz w:val="22"/>
        </w:rPr>
      </w:pPr>
      <w:r w:rsidRPr="00990234">
        <w:rPr>
          <w:noProof/>
          <w:sz w:val="22"/>
        </w:rPr>
        <w:t xml:space="preserve">Holroyd, &amp; Coles, M. (2002). The neural basis of human error processing: reinforcement learning, dopamine, and the error-related negativity. </w:t>
      </w:r>
      <w:r w:rsidRPr="00990234">
        <w:rPr>
          <w:i/>
          <w:iCs/>
          <w:noProof/>
          <w:sz w:val="22"/>
        </w:rPr>
        <w:t>Psychological Review</w:t>
      </w:r>
      <w:r w:rsidRPr="00990234">
        <w:rPr>
          <w:noProof/>
          <w:sz w:val="22"/>
        </w:rPr>
        <w:t xml:space="preserve">, </w:t>
      </w:r>
      <w:r w:rsidRPr="00990234">
        <w:rPr>
          <w:i/>
          <w:iCs/>
          <w:noProof/>
          <w:sz w:val="22"/>
        </w:rPr>
        <w:t>109</w:t>
      </w:r>
      <w:r w:rsidRPr="00990234">
        <w:rPr>
          <w:noProof/>
          <w:sz w:val="22"/>
        </w:rPr>
        <w:t>(4), 679. doi:10.1037/0033-295X.109.4.679.</w:t>
      </w:r>
    </w:p>
    <w:p w:rsidR="00843A57" w:rsidRPr="00990234" w:rsidRDefault="00843A57">
      <w:pPr>
        <w:pStyle w:val="NormalWeb"/>
        <w:ind w:left="480" w:hanging="480"/>
        <w:divId w:val="575164344"/>
        <w:rPr>
          <w:noProof/>
          <w:sz w:val="22"/>
        </w:rPr>
      </w:pPr>
      <w:r w:rsidRPr="00990234">
        <w:rPr>
          <w:noProof/>
          <w:sz w:val="22"/>
        </w:rPr>
        <w:t xml:space="preserve">Huang, Y., &amp; Yu, R. (2014). The feedback-related negativity reflects “more or less” prediction error in appetitive and aversive conditions. </w:t>
      </w:r>
      <w:r w:rsidRPr="00990234">
        <w:rPr>
          <w:i/>
          <w:iCs/>
          <w:noProof/>
          <w:sz w:val="22"/>
        </w:rPr>
        <w:t>Frontiers in Neuroscience</w:t>
      </w:r>
      <w:r w:rsidRPr="00990234">
        <w:rPr>
          <w:noProof/>
          <w:sz w:val="22"/>
        </w:rPr>
        <w:t xml:space="preserve">, </w:t>
      </w:r>
      <w:r w:rsidRPr="00990234">
        <w:rPr>
          <w:i/>
          <w:iCs/>
          <w:noProof/>
          <w:sz w:val="22"/>
        </w:rPr>
        <w:t>8</w:t>
      </w:r>
      <w:r w:rsidRPr="00990234">
        <w:rPr>
          <w:noProof/>
          <w:sz w:val="22"/>
        </w:rPr>
        <w:t>(8 MAY), 1–6. doi:10.3389/fnins.2014.00108</w:t>
      </w:r>
    </w:p>
    <w:p w:rsidR="00843A57" w:rsidRPr="00990234" w:rsidRDefault="00843A57">
      <w:pPr>
        <w:pStyle w:val="NormalWeb"/>
        <w:ind w:left="480" w:hanging="480"/>
        <w:divId w:val="575164344"/>
        <w:rPr>
          <w:noProof/>
          <w:sz w:val="22"/>
        </w:rPr>
      </w:pPr>
      <w:r w:rsidRPr="00990234">
        <w:rPr>
          <w:noProof/>
          <w:sz w:val="22"/>
        </w:rPr>
        <w:t xml:space="preserve">Joshua, M., Adler, a., Mitelman, R., Vaadia, E., &amp; Bergman, H. (2008). Midbrain dopaminergic neurons and striatal cholinergic interneurons encode the difference between reward and aversive events at different epochs of probabilistic classical conditioning trials. </w:t>
      </w:r>
      <w:r w:rsidRPr="00990234">
        <w:rPr>
          <w:i/>
          <w:iCs/>
          <w:noProof/>
          <w:sz w:val="22"/>
        </w:rPr>
        <w:t>J Neurosci</w:t>
      </w:r>
      <w:r w:rsidRPr="00990234">
        <w:rPr>
          <w:noProof/>
          <w:sz w:val="22"/>
        </w:rPr>
        <w:t xml:space="preserve">, </w:t>
      </w:r>
      <w:r w:rsidRPr="00990234">
        <w:rPr>
          <w:i/>
          <w:iCs/>
          <w:noProof/>
          <w:sz w:val="22"/>
        </w:rPr>
        <w:t>28</w:t>
      </w:r>
      <w:r w:rsidRPr="00990234">
        <w:rPr>
          <w:noProof/>
          <w:sz w:val="22"/>
        </w:rPr>
        <w:t>(45), 11673–84. doi:10.1523/JNEUROSCI.3839-08.2008</w:t>
      </w:r>
    </w:p>
    <w:p w:rsidR="00843A57" w:rsidRPr="00990234" w:rsidRDefault="00843A57">
      <w:pPr>
        <w:pStyle w:val="NormalWeb"/>
        <w:ind w:left="480" w:hanging="480"/>
        <w:divId w:val="575164344"/>
        <w:rPr>
          <w:noProof/>
          <w:sz w:val="22"/>
        </w:rPr>
      </w:pPr>
      <w:r w:rsidRPr="00990234">
        <w:rPr>
          <w:noProof/>
          <w:sz w:val="22"/>
        </w:rPr>
        <w:t xml:space="preserve">Kim, H., Shimojo, S., &amp; O’Doherty, J. P. (2011). Overlapping responses for the expectation of juice and money rewards in human ventromedial prefrontal cortex. </w:t>
      </w:r>
      <w:r w:rsidRPr="00990234">
        <w:rPr>
          <w:i/>
          <w:iCs/>
          <w:noProof/>
          <w:sz w:val="22"/>
        </w:rPr>
        <w:t>Cerebral Cortex</w:t>
      </w:r>
      <w:r w:rsidRPr="00990234">
        <w:rPr>
          <w:noProof/>
          <w:sz w:val="22"/>
        </w:rPr>
        <w:t xml:space="preserve">, </w:t>
      </w:r>
      <w:r w:rsidRPr="00990234">
        <w:rPr>
          <w:i/>
          <w:iCs/>
          <w:noProof/>
          <w:sz w:val="22"/>
        </w:rPr>
        <w:t>21</w:t>
      </w:r>
      <w:r w:rsidRPr="00990234">
        <w:rPr>
          <w:noProof/>
          <w:sz w:val="22"/>
        </w:rPr>
        <w:t>(4), 769–776. doi:10.1093/cercor/bhq145</w:t>
      </w:r>
    </w:p>
    <w:p w:rsidR="00843A57" w:rsidRPr="00990234" w:rsidRDefault="00843A57">
      <w:pPr>
        <w:pStyle w:val="NormalWeb"/>
        <w:ind w:left="480" w:hanging="480"/>
        <w:divId w:val="575164344"/>
        <w:rPr>
          <w:noProof/>
          <w:sz w:val="22"/>
        </w:rPr>
      </w:pPr>
      <w:r w:rsidRPr="00990234">
        <w:rPr>
          <w:noProof/>
          <w:sz w:val="22"/>
        </w:rPr>
        <w:t xml:space="preserve">Kobal, G. (1985). Gustatory evoked potentials in man. </w:t>
      </w:r>
      <w:r w:rsidRPr="00990234">
        <w:rPr>
          <w:i/>
          <w:iCs/>
          <w:noProof/>
          <w:sz w:val="22"/>
        </w:rPr>
        <w:t>Electroencephalography and Clinical Neurophysiology</w:t>
      </w:r>
      <w:r w:rsidRPr="00990234">
        <w:rPr>
          <w:noProof/>
          <w:sz w:val="22"/>
        </w:rPr>
        <w:t xml:space="preserve">, </w:t>
      </w:r>
      <w:r w:rsidRPr="00990234">
        <w:rPr>
          <w:i/>
          <w:iCs/>
          <w:noProof/>
          <w:sz w:val="22"/>
        </w:rPr>
        <w:t>62</w:t>
      </w:r>
      <w:r w:rsidRPr="00990234">
        <w:rPr>
          <w:noProof/>
          <w:sz w:val="22"/>
        </w:rPr>
        <w:t>(6), 449–454.</w:t>
      </w:r>
    </w:p>
    <w:p w:rsidR="00843A57" w:rsidRPr="00990234" w:rsidRDefault="00843A57">
      <w:pPr>
        <w:pStyle w:val="NormalWeb"/>
        <w:ind w:left="480" w:hanging="480"/>
        <w:divId w:val="575164344"/>
        <w:rPr>
          <w:noProof/>
          <w:sz w:val="22"/>
        </w:rPr>
      </w:pPr>
      <w:r w:rsidRPr="00990234">
        <w:rPr>
          <w:noProof/>
          <w:sz w:val="22"/>
        </w:rPr>
        <w:lastRenderedPageBreak/>
        <w:t xml:space="preserve">Lehmann, D., &amp; Skrandies, W. (1980). Reference-free identification of components of checkerboard-evoked multichannel potential fields. </w:t>
      </w:r>
      <w:r w:rsidRPr="00990234">
        <w:rPr>
          <w:i/>
          <w:iCs/>
          <w:noProof/>
          <w:sz w:val="22"/>
        </w:rPr>
        <w:t>Electroencephalography and Clinical Neurophysiology</w:t>
      </w:r>
      <w:r w:rsidRPr="00990234">
        <w:rPr>
          <w:noProof/>
          <w:sz w:val="22"/>
        </w:rPr>
        <w:t xml:space="preserve">, </w:t>
      </w:r>
      <w:r w:rsidRPr="00990234">
        <w:rPr>
          <w:i/>
          <w:iCs/>
          <w:noProof/>
          <w:sz w:val="22"/>
        </w:rPr>
        <w:t>48</w:t>
      </w:r>
      <w:r w:rsidRPr="00990234">
        <w:rPr>
          <w:noProof/>
          <w:sz w:val="22"/>
        </w:rPr>
        <w:t>(6), 609–621. doi:10.1016/0013-4694(80)90419-8</w:t>
      </w:r>
    </w:p>
    <w:p w:rsidR="00843A57" w:rsidRPr="00990234" w:rsidRDefault="00843A57">
      <w:pPr>
        <w:pStyle w:val="NormalWeb"/>
        <w:ind w:left="480" w:hanging="480"/>
        <w:divId w:val="575164344"/>
        <w:rPr>
          <w:noProof/>
          <w:sz w:val="22"/>
        </w:rPr>
      </w:pPr>
      <w:r w:rsidRPr="00990234">
        <w:rPr>
          <w:noProof/>
          <w:sz w:val="22"/>
        </w:rPr>
        <w:t xml:space="preserve">Lindquist, K. a, Satpute, A. B., Wager, T. D., Weber, J., &amp; Barrett, L. F. (2015). The Brain Basis of Positive and Negative Affect: Evidence from a Meta-Analysis of the Human Neuroimaging Literature. </w:t>
      </w:r>
      <w:r w:rsidRPr="00990234">
        <w:rPr>
          <w:i/>
          <w:iCs/>
          <w:noProof/>
          <w:sz w:val="22"/>
        </w:rPr>
        <w:t>Cerebral Cortex (New York, N.Y. : 1991)</w:t>
      </w:r>
      <w:r w:rsidRPr="00990234">
        <w:rPr>
          <w:noProof/>
          <w:sz w:val="22"/>
        </w:rPr>
        <w:t>, (January 2015), bhv001–. doi:10.1093/cercor/bhv001</w:t>
      </w:r>
    </w:p>
    <w:p w:rsidR="00843A57" w:rsidRPr="00990234" w:rsidRDefault="00843A57">
      <w:pPr>
        <w:pStyle w:val="NormalWeb"/>
        <w:ind w:left="480" w:hanging="480"/>
        <w:divId w:val="575164344"/>
        <w:rPr>
          <w:noProof/>
          <w:sz w:val="22"/>
        </w:rPr>
      </w:pPr>
      <w:r w:rsidRPr="00990234">
        <w:rPr>
          <w:noProof/>
          <w:sz w:val="22"/>
        </w:rPr>
        <w:t xml:space="preserve">Litvak, V., Mattout, J., Kiebel, S., Phillips, C., Henson, R., Kilner, J., … Friston, K. (2011). EEG and MEG Data Analysis in SPM8. </w:t>
      </w:r>
      <w:r w:rsidRPr="00990234">
        <w:rPr>
          <w:i/>
          <w:iCs/>
          <w:noProof/>
          <w:sz w:val="22"/>
        </w:rPr>
        <w:t>Computational Intelligence and Neuroscience</w:t>
      </w:r>
      <w:r w:rsidRPr="00990234">
        <w:rPr>
          <w:noProof/>
          <w:sz w:val="22"/>
        </w:rPr>
        <w:t xml:space="preserve">, </w:t>
      </w:r>
      <w:r w:rsidRPr="00990234">
        <w:rPr>
          <w:i/>
          <w:iCs/>
          <w:noProof/>
          <w:sz w:val="22"/>
        </w:rPr>
        <w:t>2011</w:t>
      </w:r>
      <w:r w:rsidRPr="00990234">
        <w:rPr>
          <w:noProof/>
          <w:sz w:val="22"/>
        </w:rPr>
        <w:t>, 1–32. doi:10.1155/2011/852961</w:t>
      </w:r>
    </w:p>
    <w:p w:rsidR="00843A57" w:rsidRPr="00990234" w:rsidRDefault="00843A57">
      <w:pPr>
        <w:pStyle w:val="NormalWeb"/>
        <w:ind w:left="480" w:hanging="480"/>
        <w:divId w:val="575164344"/>
        <w:rPr>
          <w:noProof/>
          <w:sz w:val="22"/>
        </w:rPr>
      </w:pPr>
      <w:r w:rsidRPr="00990234">
        <w:rPr>
          <w:noProof/>
          <w:sz w:val="22"/>
        </w:rPr>
        <w:t xml:space="preserve">McClure, S. M., Berns, G. S., &amp; Montague, P. R. (2003). Temporal predection errors in a passive learning task activate human striatum. </w:t>
      </w:r>
      <w:r w:rsidRPr="00990234">
        <w:rPr>
          <w:i/>
          <w:iCs/>
          <w:noProof/>
          <w:sz w:val="22"/>
        </w:rPr>
        <w:t>Neuron</w:t>
      </w:r>
      <w:r w:rsidRPr="00990234">
        <w:rPr>
          <w:noProof/>
          <w:sz w:val="22"/>
        </w:rPr>
        <w:t xml:space="preserve">, </w:t>
      </w:r>
      <w:r w:rsidRPr="00990234">
        <w:rPr>
          <w:i/>
          <w:iCs/>
          <w:noProof/>
          <w:sz w:val="22"/>
        </w:rPr>
        <w:t>38</w:t>
      </w:r>
      <w:r w:rsidRPr="00990234">
        <w:rPr>
          <w:noProof/>
          <w:sz w:val="22"/>
        </w:rPr>
        <w:t>, 339–346. doi:10.1016/S0896-6273(03)00154-5</w:t>
      </w:r>
    </w:p>
    <w:p w:rsidR="00843A57" w:rsidRPr="00990234" w:rsidRDefault="00843A57">
      <w:pPr>
        <w:pStyle w:val="NormalWeb"/>
        <w:ind w:left="480" w:hanging="480"/>
        <w:divId w:val="575164344"/>
        <w:rPr>
          <w:noProof/>
          <w:sz w:val="22"/>
        </w:rPr>
      </w:pPr>
      <w:r w:rsidRPr="00990234">
        <w:rPr>
          <w:noProof/>
          <w:sz w:val="22"/>
        </w:rPr>
        <w:t xml:space="preserve">McClure, S. M., Daw, N. D., &amp; Montague, P. (2003). A computational substrate for incentive salience. </w:t>
      </w:r>
      <w:r w:rsidRPr="00990234">
        <w:rPr>
          <w:i/>
          <w:iCs/>
          <w:noProof/>
          <w:sz w:val="22"/>
        </w:rPr>
        <w:t>Trends in Neurosciences</w:t>
      </w:r>
      <w:r w:rsidRPr="00990234">
        <w:rPr>
          <w:noProof/>
          <w:sz w:val="22"/>
        </w:rPr>
        <w:t xml:space="preserve">, </w:t>
      </w:r>
      <w:r w:rsidRPr="00990234">
        <w:rPr>
          <w:i/>
          <w:iCs/>
          <w:noProof/>
          <w:sz w:val="22"/>
        </w:rPr>
        <w:t>26</w:t>
      </w:r>
      <w:r w:rsidRPr="00990234">
        <w:rPr>
          <w:noProof/>
          <w:sz w:val="22"/>
        </w:rPr>
        <w:t>(8), 423–428. doi:10.1016/S0166-2236(03)00177-2</w:t>
      </w:r>
    </w:p>
    <w:p w:rsidR="00843A57" w:rsidRPr="00990234" w:rsidRDefault="00843A57">
      <w:pPr>
        <w:pStyle w:val="NormalWeb"/>
        <w:ind w:left="480" w:hanging="480"/>
        <w:divId w:val="575164344"/>
        <w:rPr>
          <w:noProof/>
          <w:sz w:val="22"/>
        </w:rPr>
      </w:pPr>
      <w:r w:rsidRPr="00990234">
        <w:rPr>
          <w:noProof/>
          <w:sz w:val="22"/>
        </w:rPr>
        <w:t xml:space="preserve">Metereau, E., &amp; Dreher, J. C. (2013). Cerebral correlates of salient prediction error for different rewards and punishments. </w:t>
      </w:r>
      <w:r w:rsidRPr="00990234">
        <w:rPr>
          <w:i/>
          <w:iCs/>
          <w:noProof/>
          <w:sz w:val="22"/>
        </w:rPr>
        <w:t>Cerebral Cortex</w:t>
      </w:r>
      <w:r w:rsidRPr="00990234">
        <w:rPr>
          <w:noProof/>
          <w:sz w:val="22"/>
        </w:rPr>
        <w:t xml:space="preserve">, </w:t>
      </w:r>
      <w:r w:rsidRPr="00990234">
        <w:rPr>
          <w:i/>
          <w:iCs/>
          <w:noProof/>
          <w:sz w:val="22"/>
        </w:rPr>
        <w:t>23</w:t>
      </w:r>
      <w:r w:rsidRPr="00990234">
        <w:rPr>
          <w:noProof/>
          <w:sz w:val="22"/>
        </w:rPr>
        <w:t>(2), 477–487. doi:10.1093/cercor/bhs037</w:t>
      </w:r>
    </w:p>
    <w:p w:rsidR="00843A57" w:rsidRPr="00990234" w:rsidRDefault="00843A57">
      <w:pPr>
        <w:pStyle w:val="NormalWeb"/>
        <w:ind w:left="480" w:hanging="480"/>
        <w:divId w:val="575164344"/>
        <w:rPr>
          <w:noProof/>
          <w:sz w:val="22"/>
        </w:rPr>
      </w:pPr>
      <w:r w:rsidRPr="00990234">
        <w:rPr>
          <w:noProof/>
          <w:sz w:val="22"/>
        </w:rPr>
        <w:t xml:space="preserve">Miltner, W. H. R., Braun, C. H., &amp; Coles, M. G. H. (1997). Event-Related Brain Potentials Following Incorrect Feedback in a Time-Estimation Task: Evidence for a “Generic” Neural System for Error Detection. </w:t>
      </w:r>
      <w:r w:rsidRPr="00990234">
        <w:rPr>
          <w:i/>
          <w:iCs/>
          <w:noProof/>
          <w:sz w:val="22"/>
        </w:rPr>
        <w:t>Journal of Cognitive Neuroscience</w:t>
      </w:r>
      <w:r w:rsidRPr="00990234">
        <w:rPr>
          <w:noProof/>
          <w:sz w:val="22"/>
        </w:rPr>
        <w:t xml:space="preserve">, </w:t>
      </w:r>
      <w:r w:rsidRPr="00990234">
        <w:rPr>
          <w:i/>
          <w:iCs/>
          <w:noProof/>
          <w:sz w:val="22"/>
        </w:rPr>
        <w:t>9</w:t>
      </w:r>
      <w:r w:rsidRPr="00990234">
        <w:rPr>
          <w:noProof/>
          <w:sz w:val="22"/>
        </w:rPr>
        <w:t>(6), 788–798. doi:10.1162/jocn.1997.9.6.788</w:t>
      </w:r>
    </w:p>
    <w:p w:rsidR="00843A57" w:rsidRPr="00990234" w:rsidRDefault="00843A57">
      <w:pPr>
        <w:pStyle w:val="NormalWeb"/>
        <w:ind w:left="480" w:hanging="480"/>
        <w:divId w:val="575164344"/>
        <w:rPr>
          <w:noProof/>
          <w:sz w:val="22"/>
        </w:rPr>
      </w:pPr>
      <w:r w:rsidRPr="00990234">
        <w:rPr>
          <w:noProof/>
          <w:sz w:val="22"/>
        </w:rPr>
        <w:t xml:space="preserve">Nitschke, J. B., Dixon, G. E., Sarinopoulos, I., Short, S. J., Cohen, J. D., Smith, E. E., … Davidson, R. J. (2006). Altering expectancy dampens neural response to aversive taste in primary taste cortex. </w:t>
      </w:r>
      <w:r w:rsidRPr="00990234">
        <w:rPr>
          <w:i/>
          <w:iCs/>
          <w:noProof/>
          <w:sz w:val="22"/>
        </w:rPr>
        <w:t>Nature Neuroscience</w:t>
      </w:r>
      <w:r w:rsidRPr="00990234">
        <w:rPr>
          <w:noProof/>
          <w:sz w:val="22"/>
        </w:rPr>
        <w:t xml:space="preserve">, </w:t>
      </w:r>
      <w:r w:rsidRPr="00990234">
        <w:rPr>
          <w:i/>
          <w:iCs/>
          <w:noProof/>
          <w:sz w:val="22"/>
        </w:rPr>
        <w:t>9</w:t>
      </w:r>
      <w:r w:rsidRPr="00990234">
        <w:rPr>
          <w:noProof/>
          <w:sz w:val="22"/>
        </w:rPr>
        <w:t>(3), 435–442. doi:10.1038/nn1645</w:t>
      </w:r>
    </w:p>
    <w:p w:rsidR="00843A57" w:rsidRPr="00990234" w:rsidRDefault="00843A57">
      <w:pPr>
        <w:pStyle w:val="NormalWeb"/>
        <w:ind w:left="480" w:hanging="480"/>
        <w:divId w:val="575164344"/>
        <w:rPr>
          <w:noProof/>
          <w:sz w:val="22"/>
        </w:rPr>
      </w:pPr>
      <w:r w:rsidRPr="00990234">
        <w:rPr>
          <w:noProof/>
          <w:sz w:val="22"/>
        </w:rPr>
        <w:t xml:space="preserve">O’Doherty, J. P., Deichmann, R., Critchley, H. D., &amp; Dolan, R. J. (2002). Neural Responses during Anticipation of a Primary Taste Reward. </w:t>
      </w:r>
      <w:r w:rsidRPr="00990234">
        <w:rPr>
          <w:i/>
          <w:iCs/>
          <w:noProof/>
          <w:sz w:val="22"/>
        </w:rPr>
        <w:t>Neuron</w:t>
      </w:r>
      <w:r w:rsidRPr="00990234">
        <w:rPr>
          <w:noProof/>
          <w:sz w:val="22"/>
        </w:rPr>
        <w:t xml:space="preserve">, </w:t>
      </w:r>
      <w:r w:rsidRPr="00990234">
        <w:rPr>
          <w:i/>
          <w:iCs/>
          <w:noProof/>
          <w:sz w:val="22"/>
        </w:rPr>
        <w:t>33</w:t>
      </w:r>
      <w:r w:rsidRPr="00990234">
        <w:rPr>
          <w:noProof/>
          <w:sz w:val="22"/>
        </w:rPr>
        <w:t>(5), 815–826. doi:http://dx.doi.org/10.1016/S0896-6273(02)00603-7</w:t>
      </w:r>
    </w:p>
    <w:p w:rsidR="00843A57" w:rsidRPr="00990234" w:rsidRDefault="00843A57">
      <w:pPr>
        <w:pStyle w:val="NormalWeb"/>
        <w:ind w:left="480" w:hanging="480"/>
        <w:divId w:val="575164344"/>
        <w:rPr>
          <w:noProof/>
          <w:sz w:val="22"/>
        </w:rPr>
      </w:pPr>
      <w:r w:rsidRPr="00990234">
        <w:rPr>
          <w:noProof/>
          <w:sz w:val="22"/>
        </w:rPr>
        <w:t xml:space="preserve">O’Doherty, J. P., Hampton, A., &amp; Kim, H. (2007). Model-Based fMRI and Its Application to Reward Learning and Decision Making. </w:t>
      </w:r>
      <w:r w:rsidRPr="00990234">
        <w:rPr>
          <w:i/>
          <w:iCs/>
          <w:noProof/>
          <w:sz w:val="22"/>
        </w:rPr>
        <w:t>Annals of the New York Academy of Sciences</w:t>
      </w:r>
      <w:r w:rsidRPr="00990234">
        <w:rPr>
          <w:noProof/>
          <w:sz w:val="22"/>
        </w:rPr>
        <w:t xml:space="preserve">, </w:t>
      </w:r>
      <w:r w:rsidRPr="00990234">
        <w:rPr>
          <w:i/>
          <w:iCs/>
          <w:noProof/>
          <w:sz w:val="22"/>
        </w:rPr>
        <w:t>1104</w:t>
      </w:r>
      <w:r w:rsidRPr="00990234">
        <w:rPr>
          <w:noProof/>
          <w:sz w:val="22"/>
        </w:rPr>
        <w:t>(1), 35–53. doi:10.1196/annals.1390.022</w:t>
      </w:r>
    </w:p>
    <w:p w:rsidR="00843A57" w:rsidRPr="00990234" w:rsidRDefault="00843A57">
      <w:pPr>
        <w:pStyle w:val="NormalWeb"/>
        <w:ind w:left="480" w:hanging="480"/>
        <w:divId w:val="575164344"/>
        <w:rPr>
          <w:noProof/>
          <w:sz w:val="22"/>
        </w:rPr>
      </w:pPr>
      <w:r w:rsidRPr="00990234">
        <w:rPr>
          <w:noProof/>
          <w:sz w:val="22"/>
        </w:rPr>
        <w:t xml:space="preserve">Pfabigan, D. M., Seidel, E. M., Paul, K., Grahl, A., Sailer, U., Lanzenberger, R., … Lamm, C. (2015). Context-sensitivity of the feedback-related negativity for zero-value feedback outcomes. </w:t>
      </w:r>
      <w:r w:rsidRPr="00990234">
        <w:rPr>
          <w:i/>
          <w:iCs/>
          <w:noProof/>
          <w:sz w:val="22"/>
        </w:rPr>
        <w:t>Biological Psychology</w:t>
      </w:r>
      <w:r w:rsidRPr="00990234">
        <w:rPr>
          <w:noProof/>
          <w:sz w:val="22"/>
        </w:rPr>
        <w:t xml:space="preserve">, </w:t>
      </w:r>
      <w:r w:rsidRPr="00990234">
        <w:rPr>
          <w:i/>
          <w:iCs/>
          <w:noProof/>
          <w:sz w:val="22"/>
        </w:rPr>
        <w:t>104</w:t>
      </w:r>
      <w:r w:rsidRPr="00990234">
        <w:rPr>
          <w:noProof/>
          <w:sz w:val="22"/>
        </w:rPr>
        <w:t>, 184–192. doi:10.1016/j.biopsycho.2014.12.007</w:t>
      </w:r>
    </w:p>
    <w:p w:rsidR="00843A57" w:rsidRPr="00990234" w:rsidRDefault="00843A57">
      <w:pPr>
        <w:pStyle w:val="NormalWeb"/>
        <w:ind w:left="480" w:hanging="480"/>
        <w:divId w:val="575164344"/>
        <w:rPr>
          <w:noProof/>
          <w:sz w:val="22"/>
        </w:rPr>
      </w:pPr>
      <w:r w:rsidRPr="00990234">
        <w:rPr>
          <w:noProof/>
          <w:sz w:val="22"/>
        </w:rPr>
        <w:t xml:space="preserve">Rodriguez, P. F., Aron, a. R., &amp; Poldrack, R. a. (2006). Ventral-striatal/nucleus-accumbens sensitivity to prediction errors during classification learning. </w:t>
      </w:r>
      <w:r w:rsidRPr="00990234">
        <w:rPr>
          <w:i/>
          <w:iCs/>
          <w:noProof/>
          <w:sz w:val="22"/>
        </w:rPr>
        <w:t>Human Brain Mapping</w:t>
      </w:r>
      <w:r w:rsidRPr="00990234">
        <w:rPr>
          <w:noProof/>
          <w:sz w:val="22"/>
        </w:rPr>
        <w:t xml:space="preserve">, </w:t>
      </w:r>
      <w:r w:rsidRPr="00990234">
        <w:rPr>
          <w:i/>
          <w:iCs/>
          <w:noProof/>
          <w:sz w:val="22"/>
        </w:rPr>
        <w:t>27</w:t>
      </w:r>
      <w:r w:rsidRPr="00990234">
        <w:rPr>
          <w:noProof/>
          <w:sz w:val="22"/>
        </w:rPr>
        <w:t>(4), 306–313. doi:10.1002/hbm.20186</w:t>
      </w:r>
    </w:p>
    <w:p w:rsidR="00843A57" w:rsidRPr="00990234" w:rsidRDefault="00843A57">
      <w:pPr>
        <w:pStyle w:val="NormalWeb"/>
        <w:ind w:left="480" w:hanging="480"/>
        <w:divId w:val="575164344"/>
        <w:rPr>
          <w:noProof/>
          <w:sz w:val="22"/>
        </w:rPr>
      </w:pPr>
      <w:r w:rsidRPr="00990234">
        <w:rPr>
          <w:noProof/>
          <w:sz w:val="22"/>
        </w:rPr>
        <w:t xml:space="preserve">Roy, M., Shohamy, D., Daw, N., Jepma, M., Wimmer, G. E., &amp; Wager, T. D. (2014). Representation of aversive prediction errors in the human periaqueductal gray. </w:t>
      </w:r>
      <w:r w:rsidRPr="00990234">
        <w:rPr>
          <w:i/>
          <w:iCs/>
          <w:noProof/>
          <w:sz w:val="22"/>
        </w:rPr>
        <w:t>Nature Neuroscience</w:t>
      </w:r>
      <w:r w:rsidRPr="00990234">
        <w:rPr>
          <w:noProof/>
          <w:sz w:val="22"/>
        </w:rPr>
        <w:t xml:space="preserve">, </w:t>
      </w:r>
      <w:r w:rsidRPr="00990234">
        <w:rPr>
          <w:i/>
          <w:iCs/>
          <w:noProof/>
          <w:sz w:val="22"/>
        </w:rPr>
        <w:t>17</w:t>
      </w:r>
      <w:r w:rsidRPr="00990234">
        <w:rPr>
          <w:noProof/>
          <w:sz w:val="22"/>
        </w:rPr>
        <w:t>(11), 1607–12. doi:10.1038/nn.3832</w:t>
      </w:r>
    </w:p>
    <w:p w:rsidR="00843A57" w:rsidRPr="00990234" w:rsidRDefault="00843A57">
      <w:pPr>
        <w:pStyle w:val="NormalWeb"/>
        <w:ind w:left="480" w:hanging="480"/>
        <w:divId w:val="575164344"/>
        <w:rPr>
          <w:noProof/>
          <w:sz w:val="22"/>
        </w:rPr>
      </w:pPr>
      <w:r w:rsidRPr="00990234">
        <w:rPr>
          <w:noProof/>
          <w:sz w:val="22"/>
        </w:rPr>
        <w:lastRenderedPageBreak/>
        <w:t xml:space="preserve">Rutledge, R. B., Dean, M., Caplin, A., &amp; Glimcher, P. W. (2010). Testing the reward prediction error hypothesis with an axiomatic model. </w:t>
      </w:r>
      <w:r w:rsidRPr="00990234">
        <w:rPr>
          <w:i/>
          <w:iCs/>
          <w:noProof/>
          <w:sz w:val="22"/>
        </w:rPr>
        <w:t>The Journal of Neuroscience : The Official Journal of the Society for Neuroscience</w:t>
      </w:r>
      <w:r w:rsidRPr="00990234">
        <w:rPr>
          <w:noProof/>
          <w:sz w:val="22"/>
        </w:rPr>
        <w:t xml:space="preserve">, </w:t>
      </w:r>
      <w:r w:rsidRPr="00990234">
        <w:rPr>
          <w:i/>
          <w:iCs/>
          <w:noProof/>
          <w:sz w:val="22"/>
        </w:rPr>
        <w:t>30</w:t>
      </w:r>
      <w:r w:rsidRPr="00990234">
        <w:rPr>
          <w:noProof/>
          <w:sz w:val="22"/>
        </w:rPr>
        <w:t>(40), 13525–13536. doi:10.1523/JNEUROSCI.1747-10.2010</w:t>
      </w:r>
    </w:p>
    <w:p w:rsidR="00843A57" w:rsidRPr="00990234" w:rsidRDefault="00843A57">
      <w:pPr>
        <w:pStyle w:val="NormalWeb"/>
        <w:ind w:left="480" w:hanging="480"/>
        <w:divId w:val="575164344"/>
        <w:rPr>
          <w:noProof/>
          <w:sz w:val="22"/>
        </w:rPr>
      </w:pPr>
      <w:r w:rsidRPr="00990234">
        <w:rPr>
          <w:noProof/>
          <w:sz w:val="22"/>
        </w:rPr>
        <w:t xml:space="preserve">Sambrook, T. D., &amp; Goslin, J. (2014). Mediofrontal event-related potentials in response to positive, negative and unsigned prediction errors. </w:t>
      </w:r>
      <w:r w:rsidRPr="00990234">
        <w:rPr>
          <w:i/>
          <w:iCs/>
          <w:noProof/>
          <w:sz w:val="22"/>
        </w:rPr>
        <w:t>Neuropsychologia</w:t>
      </w:r>
      <w:r w:rsidRPr="00990234">
        <w:rPr>
          <w:noProof/>
          <w:sz w:val="22"/>
        </w:rPr>
        <w:t xml:space="preserve">, </w:t>
      </w:r>
      <w:r w:rsidRPr="00990234">
        <w:rPr>
          <w:i/>
          <w:iCs/>
          <w:noProof/>
          <w:sz w:val="22"/>
        </w:rPr>
        <w:t>61</w:t>
      </w:r>
      <w:r w:rsidRPr="00990234">
        <w:rPr>
          <w:noProof/>
          <w:sz w:val="22"/>
        </w:rPr>
        <w:t>(1), 1–10. doi:10.1016/j.neuropsychologia.2014.06.004</w:t>
      </w:r>
    </w:p>
    <w:p w:rsidR="00843A57" w:rsidRPr="00990234" w:rsidRDefault="00843A57">
      <w:pPr>
        <w:pStyle w:val="NormalWeb"/>
        <w:ind w:left="480" w:hanging="480"/>
        <w:divId w:val="575164344"/>
        <w:rPr>
          <w:noProof/>
          <w:sz w:val="22"/>
        </w:rPr>
      </w:pPr>
      <w:r w:rsidRPr="00990234">
        <w:rPr>
          <w:noProof/>
          <w:sz w:val="22"/>
        </w:rPr>
        <w:t xml:space="preserve">Sambrook, T. D., &amp; Goslin, J. (2015a). A neural reward prediction error revealed by a meta-analysis of ERPs using great grand averages. </w:t>
      </w:r>
      <w:r w:rsidRPr="00990234">
        <w:rPr>
          <w:i/>
          <w:iCs/>
          <w:noProof/>
          <w:sz w:val="22"/>
        </w:rPr>
        <w:t>Psychological Bulletin</w:t>
      </w:r>
      <w:r w:rsidRPr="00990234">
        <w:rPr>
          <w:noProof/>
          <w:sz w:val="22"/>
        </w:rPr>
        <w:t xml:space="preserve">, </w:t>
      </w:r>
      <w:r w:rsidRPr="00990234">
        <w:rPr>
          <w:i/>
          <w:iCs/>
          <w:noProof/>
          <w:sz w:val="22"/>
        </w:rPr>
        <w:t>141</w:t>
      </w:r>
      <w:r w:rsidRPr="00990234">
        <w:rPr>
          <w:noProof/>
          <w:sz w:val="22"/>
        </w:rPr>
        <w:t>(1), 213–235. doi:10.1037/bul0000006</w:t>
      </w:r>
    </w:p>
    <w:p w:rsidR="00843A57" w:rsidRPr="00990234" w:rsidRDefault="00843A57">
      <w:pPr>
        <w:pStyle w:val="NormalWeb"/>
        <w:ind w:left="480" w:hanging="480"/>
        <w:divId w:val="575164344"/>
        <w:rPr>
          <w:noProof/>
          <w:sz w:val="22"/>
        </w:rPr>
      </w:pPr>
      <w:r w:rsidRPr="00990234">
        <w:rPr>
          <w:noProof/>
          <w:sz w:val="22"/>
        </w:rPr>
        <w:t xml:space="preserve">Sambrook, T. D., &amp; Goslin, J. (2015b). Principal components analysis of reward prediction errors in a reinforcement learning task. </w:t>
      </w:r>
      <w:r w:rsidRPr="00990234">
        <w:rPr>
          <w:i/>
          <w:iCs/>
          <w:noProof/>
          <w:sz w:val="22"/>
        </w:rPr>
        <w:t>NeuroImage</w:t>
      </w:r>
      <w:r w:rsidRPr="00990234">
        <w:rPr>
          <w:noProof/>
          <w:sz w:val="22"/>
        </w:rPr>
        <w:t xml:space="preserve">, </w:t>
      </w:r>
      <w:r w:rsidRPr="00990234">
        <w:rPr>
          <w:i/>
          <w:iCs/>
          <w:noProof/>
          <w:sz w:val="22"/>
        </w:rPr>
        <w:t>124</w:t>
      </w:r>
      <w:r w:rsidRPr="00990234">
        <w:rPr>
          <w:noProof/>
          <w:sz w:val="22"/>
        </w:rPr>
        <w:t>(Pt A), 276–286. doi:10.1016/j.neuroimage.2015.07.032</w:t>
      </w:r>
    </w:p>
    <w:p w:rsidR="00843A57" w:rsidRPr="00990234" w:rsidRDefault="00843A57">
      <w:pPr>
        <w:pStyle w:val="NormalWeb"/>
        <w:ind w:left="480" w:hanging="480"/>
        <w:divId w:val="575164344"/>
        <w:rPr>
          <w:noProof/>
          <w:sz w:val="22"/>
        </w:rPr>
      </w:pPr>
      <w:r w:rsidRPr="00990234">
        <w:rPr>
          <w:noProof/>
          <w:sz w:val="22"/>
        </w:rPr>
        <w:t xml:space="preserve">Sambrook, T. D., Roser, M., &amp; Goslin, J. (2012). Prospect theory does not describe the feedback-related negativity value function. </w:t>
      </w:r>
      <w:r w:rsidRPr="00990234">
        <w:rPr>
          <w:i/>
          <w:iCs/>
          <w:noProof/>
          <w:sz w:val="22"/>
        </w:rPr>
        <w:t>Psychophysiology</w:t>
      </w:r>
      <w:r w:rsidRPr="00990234">
        <w:rPr>
          <w:noProof/>
          <w:sz w:val="22"/>
        </w:rPr>
        <w:t xml:space="preserve">, </w:t>
      </w:r>
      <w:r w:rsidRPr="00990234">
        <w:rPr>
          <w:i/>
          <w:iCs/>
          <w:noProof/>
          <w:sz w:val="22"/>
        </w:rPr>
        <w:t>49</w:t>
      </w:r>
      <w:r w:rsidRPr="00990234">
        <w:rPr>
          <w:noProof/>
          <w:sz w:val="22"/>
        </w:rPr>
        <w:t>(12), 1533–1544. doi:10.1111/j.1469-8986.2012.01482.x</w:t>
      </w:r>
    </w:p>
    <w:p w:rsidR="00843A57" w:rsidRPr="00990234" w:rsidRDefault="00843A57">
      <w:pPr>
        <w:pStyle w:val="NormalWeb"/>
        <w:ind w:left="480" w:hanging="480"/>
        <w:divId w:val="575164344"/>
        <w:rPr>
          <w:noProof/>
          <w:sz w:val="22"/>
        </w:rPr>
      </w:pPr>
      <w:r w:rsidRPr="00990234">
        <w:rPr>
          <w:noProof/>
          <w:sz w:val="22"/>
        </w:rPr>
        <w:t xml:space="preserve">Santesso, D. L., Evins, a. E., Frank, M. J., Schetter, E. C., Bogdan, R., &amp; Pizzagalli, D. a. (2009). Single dose of a dopamine agonist impairs reinforcement learning in humans: Evidence from event-related potentials and computational modeling of striatal-cortical function. </w:t>
      </w:r>
      <w:r w:rsidRPr="00990234">
        <w:rPr>
          <w:i/>
          <w:iCs/>
          <w:noProof/>
          <w:sz w:val="22"/>
        </w:rPr>
        <w:t>Human Brain Mapping</w:t>
      </w:r>
      <w:r w:rsidRPr="00990234">
        <w:rPr>
          <w:noProof/>
          <w:sz w:val="22"/>
        </w:rPr>
        <w:t xml:space="preserve">, </w:t>
      </w:r>
      <w:r w:rsidRPr="00990234">
        <w:rPr>
          <w:i/>
          <w:iCs/>
          <w:noProof/>
          <w:sz w:val="22"/>
        </w:rPr>
        <w:t>30</w:t>
      </w:r>
      <w:r w:rsidRPr="00990234">
        <w:rPr>
          <w:noProof/>
          <w:sz w:val="22"/>
        </w:rPr>
        <w:t>(7), 1963–1976. doi:10.1002/hbm.20642</w:t>
      </w:r>
    </w:p>
    <w:p w:rsidR="00843A57" w:rsidRPr="00990234" w:rsidRDefault="00843A57">
      <w:pPr>
        <w:pStyle w:val="NormalWeb"/>
        <w:ind w:left="480" w:hanging="480"/>
        <w:divId w:val="575164344"/>
        <w:rPr>
          <w:noProof/>
          <w:sz w:val="22"/>
        </w:rPr>
      </w:pPr>
      <w:r w:rsidRPr="00990234">
        <w:rPr>
          <w:noProof/>
          <w:sz w:val="22"/>
        </w:rPr>
        <w:t xml:space="preserve">Schultz, W. (2016). Dopamine reward prediction- error signalling: a two-component response. </w:t>
      </w:r>
      <w:r w:rsidRPr="00990234">
        <w:rPr>
          <w:i/>
          <w:iCs/>
          <w:noProof/>
          <w:sz w:val="22"/>
        </w:rPr>
        <w:t>Nature Publishing Group</w:t>
      </w:r>
      <w:r w:rsidRPr="00990234">
        <w:rPr>
          <w:noProof/>
          <w:sz w:val="22"/>
        </w:rPr>
        <w:t xml:space="preserve">, </w:t>
      </w:r>
      <w:r w:rsidRPr="00990234">
        <w:rPr>
          <w:i/>
          <w:iCs/>
          <w:noProof/>
          <w:sz w:val="22"/>
        </w:rPr>
        <w:t>17</w:t>
      </w:r>
      <w:r w:rsidRPr="00990234">
        <w:rPr>
          <w:noProof/>
          <w:sz w:val="22"/>
        </w:rPr>
        <w:t>(3), 183–195. doi:10.1038/nrn.2015.26</w:t>
      </w:r>
    </w:p>
    <w:p w:rsidR="00843A57" w:rsidRPr="00990234" w:rsidRDefault="00843A57">
      <w:pPr>
        <w:pStyle w:val="NormalWeb"/>
        <w:ind w:left="480" w:hanging="480"/>
        <w:divId w:val="575164344"/>
        <w:rPr>
          <w:noProof/>
          <w:sz w:val="22"/>
        </w:rPr>
      </w:pPr>
      <w:r w:rsidRPr="00990234">
        <w:rPr>
          <w:noProof/>
          <w:sz w:val="22"/>
        </w:rPr>
        <w:t xml:space="preserve">Schultz, W., Dayan, P., &amp; Montague, P. R. (1997). A Neural Substrate of Prediction and Reward. </w:t>
      </w:r>
      <w:r w:rsidRPr="00990234">
        <w:rPr>
          <w:i/>
          <w:iCs/>
          <w:noProof/>
          <w:sz w:val="22"/>
        </w:rPr>
        <w:t>Science</w:t>
      </w:r>
      <w:r w:rsidRPr="00990234">
        <w:rPr>
          <w:noProof/>
          <w:sz w:val="22"/>
        </w:rPr>
        <w:t xml:space="preserve">, </w:t>
      </w:r>
      <w:r w:rsidRPr="00990234">
        <w:rPr>
          <w:i/>
          <w:iCs/>
          <w:noProof/>
          <w:sz w:val="22"/>
        </w:rPr>
        <w:t>275</w:t>
      </w:r>
      <w:r w:rsidRPr="00990234">
        <w:rPr>
          <w:noProof/>
          <w:sz w:val="22"/>
        </w:rPr>
        <w:t>(5306), 1593–1599. doi:10.1126/science.275.5306.1593</w:t>
      </w:r>
    </w:p>
    <w:p w:rsidR="00843A57" w:rsidRPr="00990234" w:rsidRDefault="00843A57">
      <w:pPr>
        <w:pStyle w:val="NormalWeb"/>
        <w:ind w:left="480" w:hanging="480"/>
        <w:divId w:val="575164344"/>
        <w:rPr>
          <w:noProof/>
          <w:sz w:val="22"/>
        </w:rPr>
      </w:pPr>
      <w:r w:rsidRPr="00990234">
        <w:rPr>
          <w:noProof/>
          <w:sz w:val="22"/>
        </w:rPr>
        <w:t xml:space="preserve">Schultz, W., Dayan, P., &amp; Montague, P. R. (1997). A neural substrate of prediction and reward. </w:t>
      </w:r>
      <w:r w:rsidRPr="00990234">
        <w:rPr>
          <w:i/>
          <w:iCs/>
          <w:noProof/>
          <w:sz w:val="22"/>
        </w:rPr>
        <w:t>Science (New York, N.Y.)</w:t>
      </w:r>
      <w:r w:rsidRPr="00990234">
        <w:rPr>
          <w:noProof/>
          <w:sz w:val="22"/>
        </w:rPr>
        <w:t xml:space="preserve">, </w:t>
      </w:r>
      <w:r w:rsidRPr="00990234">
        <w:rPr>
          <w:i/>
          <w:iCs/>
          <w:noProof/>
          <w:sz w:val="22"/>
        </w:rPr>
        <w:t>275</w:t>
      </w:r>
      <w:r w:rsidRPr="00990234">
        <w:rPr>
          <w:noProof/>
          <w:sz w:val="22"/>
        </w:rPr>
        <w:t>(5306), 1593–1599. doi:10.1126/science.275.5306.1593</w:t>
      </w:r>
    </w:p>
    <w:p w:rsidR="00843A57" w:rsidRPr="00990234" w:rsidRDefault="00843A57">
      <w:pPr>
        <w:pStyle w:val="NormalWeb"/>
        <w:ind w:left="480" w:hanging="480"/>
        <w:divId w:val="575164344"/>
        <w:rPr>
          <w:noProof/>
          <w:sz w:val="22"/>
        </w:rPr>
      </w:pPr>
      <w:r w:rsidRPr="00990234">
        <w:rPr>
          <w:noProof/>
          <w:sz w:val="22"/>
        </w:rPr>
        <w:t xml:space="preserve">Seeley, W. W., Menon, V., Schatzberg, a. F., Keller, J., Glover, G. H., Kenna, H., … Greicius, M. D. (2007). Dissociable Intrinsic Connectivity Networks for Salience Processing and Executive Control. </w:t>
      </w:r>
      <w:r w:rsidRPr="00990234">
        <w:rPr>
          <w:i/>
          <w:iCs/>
          <w:noProof/>
          <w:sz w:val="22"/>
        </w:rPr>
        <w:t>Journal of Neuroscience</w:t>
      </w:r>
      <w:r w:rsidRPr="00990234">
        <w:rPr>
          <w:noProof/>
          <w:sz w:val="22"/>
        </w:rPr>
        <w:t xml:space="preserve">, </w:t>
      </w:r>
      <w:r w:rsidRPr="00990234">
        <w:rPr>
          <w:i/>
          <w:iCs/>
          <w:noProof/>
          <w:sz w:val="22"/>
        </w:rPr>
        <w:t>27</w:t>
      </w:r>
      <w:r w:rsidRPr="00990234">
        <w:rPr>
          <w:noProof/>
          <w:sz w:val="22"/>
        </w:rPr>
        <w:t>(9), 2349–2356. doi:10.1523/JNEUROSCI.5587-06.2007</w:t>
      </w:r>
    </w:p>
    <w:p w:rsidR="00843A57" w:rsidRPr="00990234" w:rsidRDefault="00843A57">
      <w:pPr>
        <w:pStyle w:val="NormalWeb"/>
        <w:ind w:left="480" w:hanging="480"/>
        <w:divId w:val="575164344"/>
        <w:rPr>
          <w:noProof/>
          <w:sz w:val="22"/>
        </w:rPr>
      </w:pPr>
      <w:r w:rsidRPr="00990234">
        <w:rPr>
          <w:noProof/>
          <w:sz w:val="22"/>
        </w:rPr>
        <w:t xml:space="preserve">Seymour, B., O’Doherty, J. P., Dayan, P., Koltzenburg, M., Jones, A. K., Dolan, R. J., … Frackowiak, R. S. (2004). Temporal difference models describe higher-order learning in humans. </w:t>
      </w:r>
      <w:r w:rsidRPr="00990234">
        <w:rPr>
          <w:i/>
          <w:iCs/>
          <w:noProof/>
          <w:sz w:val="22"/>
        </w:rPr>
        <w:t>Nature</w:t>
      </w:r>
      <w:r w:rsidRPr="00990234">
        <w:rPr>
          <w:noProof/>
          <w:sz w:val="22"/>
        </w:rPr>
        <w:t xml:space="preserve">, </w:t>
      </w:r>
      <w:r w:rsidRPr="00990234">
        <w:rPr>
          <w:i/>
          <w:iCs/>
          <w:noProof/>
          <w:sz w:val="22"/>
        </w:rPr>
        <w:t>429</w:t>
      </w:r>
      <w:r w:rsidRPr="00990234">
        <w:rPr>
          <w:noProof/>
          <w:sz w:val="22"/>
        </w:rPr>
        <w:t>(6992), 664–667. doi:10.1038/Nature02581</w:t>
      </w:r>
    </w:p>
    <w:p w:rsidR="00843A57" w:rsidRPr="00990234" w:rsidRDefault="00843A57">
      <w:pPr>
        <w:pStyle w:val="NormalWeb"/>
        <w:ind w:left="480" w:hanging="480"/>
        <w:divId w:val="575164344"/>
        <w:rPr>
          <w:noProof/>
          <w:sz w:val="22"/>
        </w:rPr>
      </w:pPr>
      <w:r w:rsidRPr="00990234">
        <w:rPr>
          <w:noProof/>
          <w:sz w:val="22"/>
        </w:rPr>
        <w:t xml:space="preserve">Skrandies, W. (1990). Global field power and topographic similarity. </w:t>
      </w:r>
      <w:r w:rsidRPr="00990234">
        <w:rPr>
          <w:i/>
          <w:iCs/>
          <w:noProof/>
          <w:sz w:val="22"/>
        </w:rPr>
        <w:t>Brain Topography</w:t>
      </w:r>
      <w:r w:rsidRPr="00990234">
        <w:rPr>
          <w:noProof/>
          <w:sz w:val="22"/>
        </w:rPr>
        <w:t xml:space="preserve">, </w:t>
      </w:r>
      <w:r w:rsidRPr="00990234">
        <w:rPr>
          <w:i/>
          <w:iCs/>
          <w:noProof/>
          <w:sz w:val="22"/>
        </w:rPr>
        <w:t>3</w:t>
      </w:r>
      <w:r w:rsidRPr="00990234">
        <w:rPr>
          <w:noProof/>
          <w:sz w:val="22"/>
        </w:rPr>
        <w:t>(1), 137–141. doi:10.1007/BF01128870</w:t>
      </w:r>
    </w:p>
    <w:p w:rsidR="00843A57" w:rsidRPr="00990234" w:rsidRDefault="00843A57">
      <w:pPr>
        <w:pStyle w:val="NormalWeb"/>
        <w:ind w:left="480" w:hanging="480"/>
        <w:divId w:val="575164344"/>
        <w:rPr>
          <w:noProof/>
          <w:sz w:val="22"/>
        </w:rPr>
      </w:pPr>
      <w:r w:rsidRPr="00990234">
        <w:rPr>
          <w:noProof/>
          <w:sz w:val="22"/>
        </w:rPr>
        <w:t xml:space="preserve">Talmi, D., Atkinson, R., &amp; El-Deredy, W. (2013). The Feedback-Related Negativity Signals Salience Prediction Errors, Not Reward Prediction Errors. </w:t>
      </w:r>
      <w:r w:rsidRPr="00990234">
        <w:rPr>
          <w:i/>
          <w:iCs/>
          <w:noProof/>
          <w:sz w:val="22"/>
        </w:rPr>
        <w:t>The Journal of Neuroscience</w:t>
      </w:r>
      <w:r w:rsidRPr="00990234">
        <w:rPr>
          <w:noProof/>
          <w:sz w:val="22"/>
        </w:rPr>
        <w:t xml:space="preserve">, </w:t>
      </w:r>
      <w:r w:rsidRPr="00990234">
        <w:rPr>
          <w:i/>
          <w:iCs/>
          <w:noProof/>
          <w:sz w:val="22"/>
        </w:rPr>
        <w:t>33</w:t>
      </w:r>
      <w:r w:rsidRPr="00990234">
        <w:rPr>
          <w:noProof/>
          <w:sz w:val="22"/>
        </w:rPr>
        <w:t>(19), 8264–8269. doi:10.1523/jneurosci.5695-12.2013</w:t>
      </w:r>
    </w:p>
    <w:p w:rsidR="00843A57" w:rsidRPr="00990234" w:rsidRDefault="00843A57">
      <w:pPr>
        <w:pStyle w:val="NormalWeb"/>
        <w:ind w:left="480" w:hanging="480"/>
        <w:divId w:val="575164344"/>
        <w:rPr>
          <w:noProof/>
          <w:sz w:val="22"/>
        </w:rPr>
      </w:pPr>
      <w:r w:rsidRPr="00990234">
        <w:rPr>
          <w:noProof/>
          <w:sz w:val="22"/>
        </w:rPr>
        <w:t xml:space="preserve">Talmi, D., Fuentemilla, L., Litvak, V., Duzel, E., &amp; Dolan, R. J. (2012). An MEG signature corresponding to an axiomatic model of reward prediction error. </w:t>
      </w:r>
      <w:r w:rsidRPr="00990234">
        <w:rPr>
          <w:i/>
          <w:iCs/>
          <w:noProof/>
          <w:sz w:val="22"/>
        </w:rPr>
        <w:t>NeuroImage</w:t>
      </w:r>
      <w:r w:rsidRPr="00990234">
        <w:rPr>
          <w:noProof/>
          <w:sz w:val="22"/>
        </w:rPr>
        <w:t xml:space="preserve">, </w:t>
      </w:r>
      <w:r w:rsidRPr="00990234">
        <w:rPr>
          <w:i/>
          <w:iCs/>
          <w:noProof/>
          <w:sz w:val="22"/>
        </w:rPr>
        <w:t>59</w:t>
      </w:r>
      <w:r w:rsidRPr="00990234">
        <w:rPr>
          <w:noProof/>
          <w:sz w:val="22"/>
        </w:rPr>
        <w:t>(1), 635–645. doi:http://dx.doi.org/10.1016/j.neuroimage.2011.06.051</w:t>
      </w:r>
    </w:p>
    <w:p w:rsidR="00843A57" w:rsidRPr="00990234" w:rsidRDefault="00843A57">
      <w:pPr>
        <w:pStyle w:val="NormalWeb"/>
        <w:ind w:left="480" w:hanging="480"/>
        <w:divId w:val="575164344"/>
        <w:rPr>
          <w:noProof/>
          <w:sz w:val="22"/>
        </w:rPr>
      </w:pPr>
      <w:r w:rsidRPr="00990234">
        <w:rPr>
          <w:noProof/>
          <w:sz w:val="22"/>
        </w:rPr>
        <w:lastRenderedPageBreak/>
        <w:t xml:space="preserve">Walsh, M. M., &amp; Anderson, J. R. (2012). Learning from experience: Event-related potential correlates of reward processing, neural adaptation, and behavioral choice. </w:t>
      </w:r>
      <w:r w:rsidRPr="00990234">
        <w:rPr>
          <w:i/>
          <w:iCs/>
          <w:noProof/>
          <w:sz w:val="22"/>
        </w:rPr>
        <w:t>Neuroscience &amp; Biobehavioral Reviews</w:t>
      </w:r>
      <w:r w:rsidRPr="00990234">
        <w:rPr>
          <w:noProof/>
          <w:sz w:val="22"/>
        </w:rPr>
        <w:t xml:space="preserve">, </w:t>
      </w:r>
      <w:r w:rsidRPr="00990234">
        <w:rPr>
          <w:i/>
          <w:iCs/>
          <w:noProof/>
          <w:sz w:val="22"/>
        </w:rPr>
        <w:t>36</w:t>
      </w:r>
      <w:r w:rsidRPr="00990234">
        <w:rPr>
          <w:noProof/>
          <w:sz w:val="22"/>
        </w:rPr>
        <w:t>(8), 1870–1884. doi:http://dx.doi.org/10.1016/j.neubiorev.2012.05.008</w:t>
      </w:r>
    </w:p>
    <w:p w:rsidR="00843A57" w:rsidRPr="00990234" w:rsidRDefault="00843A57">
      <w:pPr>
        <w:pStyle w:val="NormalWeb"/>
        <w:ind w:left="480" w:hanging="480"/>
        <w:divId w:val="575164344"/>
        <w:rPr>
          <w:noProof/>
          <w:sz w:val="22"/>
        </w:rPr>
      </w:pPr>
      <w:r w:rsidRPr="00990234">
        <w:rPr>
          <w:noProof/>
          <w:sz w:val="22"/>
        </w:rPr>
        <w:t xml:space="preserve">Weismueller, B., &amp; Bellebaum, C. (2016). Expectancy affects the feedback-related negativity (FRN) for delayed feedback in probabilistic learning. </w:t>
      </w:r>
      <w:r w:rsidRPr="00990234">
        <w:rPr>
          <w:i/>
          <w:iCs/>
          <w:noProof/>
          <w:sz w:val="22"/>
        </w:rPr>
        <w:t>Psychophysiology</w:t>
      </w:r>
      <w:r w:rsidRPr="00990234">
        <w:rPr>
          <w:noProof/>
          <w:sz w:val="22"/>
        </w:rPr>
        <w:t xml:space="preserve">, </w:t>
      </w:r>
      <w:r w:rsidRPr="00990234">
        <w:rPr>
          <w:i/>
          <w:iCs/>
          <w:noProof/>
          <w:sz w:val="22"/>
        </w:rPr>
        <w:t>53</w:t>
      </w:r>
      <w:r w:rsidRPr="00990234">
        <w:rPr>
          <w:noProof/>
          <w:sz w:val="22"/>
        </w:rPr>
        <w:t>, 1739–1750. doi:10.1111/psyp.12738</w:t>
      </w:r>
    </w:p>
    <w:p w:rsidR="00A03EBA" w:rsidRPr="00990234" w:rsidRDefault="006B1ED1" w:rsidP="00843A57">
      <w:pPr>
        <w:pStyle w:val="NormalWeb"/>
        <w:ind w:left="480" w:hanging="480"/>
        <w:divId w:val="1677613375"/>
        <w:rPr>
          <w:b/>
          <w:u w:val="single"/>
        </w:rPr>
      </w:pPr>
      <w:r w:rsidRPr="00990234">
        <w:rPr>
          <w:b/>
          <w:u w:val="single"/>
        </w:rPr>
        <w:fldChar w:fldCharType="end"/>
      </w:r>
    </w:p>
    <w:p w:rsidR="00A03EBA" w:rsidRPr="00990234" w:rsidRDefault="00A03EBA" w:rsidP="000023CB">
      <w:pPr>
        <w:widowControl w:val="0"/>
        <w:autoSpaceDE w:val="0"/>
        <w:autoSpaceDN w:val="0"/>
        <w:adjustRightInd w:val="0"/>
        <w:spacing w:before="100" w:after="100" w:line="240" w:lineRule="auto"/>
        <w:ind w:left="480" w:hanging="480"/>
        <w:rPr>
          <w:rFonts w:ascii="Times New Roman" w:eastAsiaTheme="minorEastAsia" w:hAnsi="Times New Roman" w:cs="Times New Roman"/>
          <w:b/>
          <w:sz w:val="24"/>
          <w:szCs w:val="24"/>
          <w:u w:val="single"/>
          <w:lang w:eastAsia="en-GB"/>
        </w:rPr>
      </w:pPr>
    </w:p>
    <w:p w:rsidR="00A03EBA" w:rsidRPr="00990234" w:rsidRDefault="00A03EBA" w:rsidP="000023CB">
      <w:pPr>
        <w:widowControl w:val="0"/>
        <w:autoSpaceDE w:val="0"/>
        <w:autoSpaceDN w:val="0"/>
        <w:adjustRightInd w:val="0"/>
        <w:spacing w:before="100" w:after="100" w:line="240" w:lineRule="auto"/>
        <w:ind w:left="480" w:hanging="480"/>
        <w:rPr>
          <w:rFonts w:ascii="Times New Roman" w:eastAsiaTheme="minorEastAsia" w:hAnsi="Times New Roman" w:cs="Times New Roman"/>
          <w:b/>
          <w:sz w:val="24"/>
          <w:szCs w:val="24"/>
          <w:u w:val="single"/>
          <w:lang w:eastAsia="en-GB"/>
        </w:rPr>
      </w:pPr>
    </w:p>
    <w:p w:rsidR="00A03EBA" w:rsidRPr="00990234" w:rsidRDefault="00A03EBA" w:rsidP="000023CB">
      <w:pPr>
        <w:widowControl w:val="0"/>
        <w:autoSpaceDE w:val="0"/>
        <w:autoSpaceDN w:val="0"/>
        <w:adjustRightInd w:val="0"/>
        <w:spacing w:before="100" w:after="100" w:line="240" w:lineRule="auto"/>
        <w:ind w:left="480" w:hanging="480"/>
        <w:rPr>
          <w:rFonts w:ascii="Times New Roman" w:eastAsiaTheme="minorEastAsia" w:hAnsi="Times New Roman" w:cs="Times New Roman"/>
          <w:b/>
          <w:sz w:val="24"/>
          <w:szCs w:val="24"/>
          <w:u w:val="single"/>
          <w:lang w:eastAsia="en-GB"/>
        </w:rPr>
      </w:pPr>
    </w:p>
    <w:p w:rsidR="00A03EBA" w:rsidRPr="00990234" w:rsidRDefault="00A03EBA" w:rsidP="000023CB">
      <w:pPr>
        <w:widowControl w:val="0"/>
        <w:autoSpaceDE w:val="0"/>
        <w:autoSpaceDN w:val="0"/>
        <w:adjustRightInd w:val="0"/>
        <w:spacing w:before="100" w:after="100" w:line="240" w:lineRule="auto"/>
        <w:ind w:left="480" w:hanging="480"/>
        <w:rPr>
          <w:rFonts w:ascii="Times New Roman" w:eastAsiaTheme="minorEastAsia" w:hAnsi="Times New Roman" w:cs="Times New Roman"/>
          <w:b/>
          <w:sz w:val="24"/>
          <w:szCs w:val="24"/>
          <w:u w:val="single"/>
          <w:lang w:eastAsia="en-GB"/>
        </w:rPr>
      </w:pPr>
    </w:p>
    <w:p w:rsidR="00A03EBA" w:rsidRPr="00990234" w:rsidRDefault="00A03EBA" w:rsidP="000023CB">
      <w:pPr>
        <w:widowControl w:val="0"/>
        <w:autoSpaceDE w:val="0"/>
        <w:autoSpaceDN w:val="0"/>
        <w:adjustRightInd w:val="0"/>
        <w:spacing w:before="100" w:after="100" w:line="240" w:lineRule="auto"/>
        <w:ind w:left="480" w:hanging="480"/>
        <w:rPr>
          <w:rFonts w:ascii="Times New Roman" w:eastAsiaTheme="minorEastAsia" w:hAnsi="Times New Roman" w:cs="Times New Roman"/>
          <w:b/>
          <w:sz w:val="24"/>
          <w:szCs w:val="24"/>
          <w:u w:val="single"/>
          <w:lang w:eastAsia="en-GB"/>
        </w:rPr>
      </w:pPr>
    </w:p>
    <w:p w:rsidR="00A03EBA" w:rsidRPr="00990234" w:rsidRDefault="00A03EBA" w:rsidP="000023CB">
      <w:pPr>
        <w:widowControl w:val="0"/>
        <w:autoSpaceDE w:val="0"/>
        <w:autoSpaceDN w:val="0"/>
        <w:adjustRightInd w:val="0"/>
        <w:spacing w:before="100" w:after="100" w:line="240" w:lineRule="auto"/>
        <w:ind w:left="480" w:hanging="480"/>
        <w:rPr>
          <w:rFonts w:ascii="Times New Roman" w:eastAsiaTheme="minorEastAsia" w:hAnsi="Times New Roman" w:cs="Times New Roman"/>
          <w:b/>
          <w:sz w:val="24"/>
          <w:szCs w:val="24"/>
          <w:u w:val="single"/>
          <w:lang w:eastAsia="en-GB"/>
        </w:rPr>
      </w:pPr>
    </w:p>
    <w:p w:rsidR="00A03EBA" w:rsidRPr="00990234" w:rsidRDefault="00A03EBA" w:rsidP="000023CB">
      <w:pPr>
        <w:widowControl w:val="0"/>
        <w:autoSpaceDE w:val="0"/>
        <w:autoSpaceDN w:val="0"/>
        <w:adjustRightInd w:val="0"/>
        <w:spacing w:before="100" w:after="100" w:line="240" w:lineRule="auto"/>
        <w:ind w:left="480" w:hanging="480"/>
        <w:rPr>
          <w:rFonts w:ascii="Times New Roman" w:eastAsiaTheme="minorEastAsia" w:hAnsi="Times New Roman" w:cs="Times New Roman"/>
          <w:b/>
          <w:sz w:val="24"/>
          <w:szCs w:val="24"/>
          <w:u w:val="single"/>
          <w:lang w:eastAsia="en-GB"/>
        </w:rPr>
      </w:pPr>
    </w:p>
    <w:p w:rsidR="00A03EBA" w:rsidRPr="00990234" w:rsidRDefault="00A03EBA" w:rsidP="000023CB">
      <w:pPr>
        <w:widowControl w:val="0"/>
        <w:autoSpaceDE w:val="0"/>
        <w:autoSpaceDN w:val="0"/>
        <w:adjustRightInd w:val="0"/>
        <w:spacing w:before="100" w:after="100" w:line="240" w:lineRule="auto"/>
        <w:ind w:left="480" w:hanging="480"/>
        <w:rPr>
          <w:rFonts w:ascii="Times New Roman" w:eastAsiaTheme="minorEastAsia" w:hAnsi="Times New Roman" w:cs="Times New Roman"/>
          <w:b/>
          <w:sz w:val="24"/>
          <w:szCs w:val="24"/>
          <w:u w:val="single"/>
          <w:lang w:eastAsia="en-GB"/>
        </w:rPr>
      </w:pPr>
    </w:p>
    <w:p w:rsidR="00A03EBA" w:rsidRPr="00990234" w:rsidRDefault="00A03EBA" w:rsidP="000023CB">
      <w:pPr>
        <w:widowControl w:val="0"/>
        <w:autoSpaceDE w:val="0"/>
        <w:autoSpaceDN w:val="0"/>
        <w:adjustRightInd w:val="0"/>
        <w:spacing w:before="100" w:after="100" w:line="240" w:lineRule="auto"/>
        <w:ind w:left="480" w:hanging="480"/>
        <w:rPr>
          <w:rFonts w:ascii="Times New Roman" w:eastAsiaTheme="minorEastAsia" w:hAnsi="Times New Roman" w:cs="Times New Roman"/>
          <w:b/>
          <w:sz w:val="24"/>
          <w:szCs w:val="24"/>
          <w:u w:val="single"/>
          <w:lang w:eastAsia="en-GB"/>
        </w:rPr>
      </w:pPr>
    </w:p>
    <w:p w:rsidR="00A03EBA" w:rsidRPr="00990234" w:rsidRDefault="00A03EBA" w:rsidP="000023CB">
      <w:pPr>
        <w:widowControl w:val="0"/>
        <w:autoSpaceDE w:val="0"/>
        <w:autoSpaceDN w:val="0"/>
        <w:adjustRightInd w:val="0"/>
        <w:spacing w:before="100" w:after="100" w:line="240" w:lineRule="auto"/>
        <w:ind w:left="480" w:hanging="480"/>
        <w:rPr>
          <w:rFonts w:ascii="Times New Roman" w:eastAsiaTheme="minorEastAsia" w:hAnsi="Times New Roman" w:cs="Times New Roman"/>
          <w:b/>
          <w:sz w:val="24"/>
          <w:szCs w:val="24"/>
          <w:u w:val="single"/>
          <w:lang w:eastAsia="en-GB"/>
        </w:rPr>
      </w:pPr>
    </w:p>
    <w:p w:rsidR="00A03EBA" w:rsidRPr="00990234" w:rsidRDefault="00A03EBA" w:rsidP="000023CB">
      <w:pPr>
        <w:widowControl w:val="0"/>
        <w:autoSpaceDE w:val="0"/>
        <w:autoSpaceDN w:val="0"/>
        <w:adjustRightInd w:val="0"/>
        <w:spacing w:before="100" w:after="100" w:line="240" w:lineRule="auto"/>
        <w:ind w:left="480" w:hanging="480"/>
        <w:rPr>
          <w:rFonts w:ascii="Times New Roman" w:eastAsiaTheme="minorEastAsia" w:hAnsi="Times New Roman" w:cs="Times New Roman"/>
          <w:b/>
          <w:sz w:val="24"/>
          <w:szCs w:val="24"/>
          <w:u w:val="single"/>
          <w:lang w:eastAsia="en-GB"/>
        </w:rPr>
      </w:pPr>
    </w:p>
    <w:p w:rsidR="00A03EBA" w:rsidRPr="00990234" w:rsidRDefault="00A03EBA" w:rsidP="000023CB">
      <w:pPr>
        <w:widowControl w:val="0"/>
        <w:autoSpaceDE w:val="0"/>
        <w:autoSpaceDN w:val="0"/>
        <w:adjustRightInd w:val="0"/>
        <w:spacing w:before="100" w:after="100" w:line="240" w:lineRule="auto"/>
        <w:ind w:left="480" w:hanging="480"/>
        <w:rPr>
          <w:rFonts w:ascii="Times New Roman" w:eastAsiaTheme="minorEastAsia" w:hAnsi="Times New Roman" w:cs="Times New Roman"/>
          <w:b/>
          <w:sz w:val="24"/>
          <w:szCs w:val="24"/>
          <w:u w:val="single"/>
          <w:lang w:eastAsia="en-GB"/>
        </w:rPr>
      </w:pPr>
    </w:p>
    <w:p w:rsidR="00A03EBA" w:rsidRPr="00990234" w:rsidRDefault="00A03EBA" w:rsidP="000023CB">
      <w:pPr>
        <w:widowControl w:val="0"/>
        <w:autoSpaceDE w:val="0"/>
        <w:autoSpaceDN w:val="0"/>
        <w:adjustRightInd w:val="0"/>
        <w:spacing w:before="100" w:after="100" w:line="240" w:lineRule="auto"/>
        <w:ind w:left="480" w:hanging="480"/>
        <w:rPr>
          <w:rFonts w:ascii="Times New Roman" w:eastAsiaTheme="minorEastAsia" w:hAnsi="Times New Roman" w:cs="Times New Roman"/>
          <w:b/>
          <w:sz w:val="24"/>
          <w:szCs w:val="24"/>
          <w:u w:val="single"/>
          <w:lang w:eastAsia="en-GB"/>
        </w:rPr>
      </w:pPr>
    </w:p>
    <w:p w:rsidR="00630A4E" w:rsidRPr="00990234" w:rsidRDefault="00630A4E" w:rsidP="000023CB">
      <w:pPr>
        <w:widowControl w:val="0"/>
        <w:autoSpaceDE w:val="0"/>
        <w:autoSpaceDN w:val="0"/>
        <w:adjustRightInd w:val="0"/>
        <w:spacing w:before="100" w:after="100" w:line="240" w:lineRule="auto"/>
        <w:ind w:left="480" w:hanging="480"/>
        <w:rPr>
          <w:rFonts w:ascii="Times New Roman" w:eastAsiaTheme="minorEastAsia" w:hAnsi="Times New Roman" w:cs="Times New Roman"/>
          <w:b/>
          <w:sz w:val="24"/>
          <w:szCs w:val="24"/>
          <w:u w:val="single"/>
          <w:lang w:eastAsia="en-GB"/>
        </w:rPr>
      </w:pPr>
    </w:p>
    <w:p w:rsidR="00630A4E" w:rsidRPr="00990234" w:rsidRDefault="00630A4E" w:rsidP="000023CB">
      <w:pPr>
        <w:widowControl w:val="0"/>
        <w:autoSpaceDE w:val="0"/>
        <w:autoSpaceDN w:val="0"/>
        <w:adjustRightInd w:val="0"/>
        <w:spacing w:before="100" w:after="100" w:line="240" w:lineRule="auto"/>
        <w:ind w:left="480" w:hanging="480"/>
        <w:rPr>
          <w:rFonts w:ascii="Times New Roman" w:eastAsiaTheme="minorEastAsia" w:hAnsi="Times New Roman" w:cs="Times New Roman"/>
          <w:b/>
          <w:sz w:val="24"/>
          <w:szCs w:val="24"/>
          <w:u w:val="single"/>
          <w:lang w:eastAsia="en-GB"/>
        </w:rPr>
      </w:pPr>
    </w:p>
    <w:p w:rsidR="0099258E" w:rsidRPr="00990234" w:rsidRDefault="0099258E" w:rsidP="000023CB">
      <w:pPr>
        <w:widowControl w:val="0"/>
        <w:autoSpaceDE w:val="0"/>
        <w:autoSpaceDN w:val="0"/>
        <w:adjustRightInd w:val="0"/>
        <w:spacing w:before="100" w:after="100" w:line="240" w:lineRule="auto"/>
        <w:ind w:left="480" w:hanging="480"/>
        <w:rPr>
          <w:rFonts w:ascii="Times New Roman" w:eastAsiaTheme="minorEastAsia" w:hAnsi="Times New Roman" w:cs="Times New Roman"/>
          <w:b/>
          <w:sz w:val="24"/>
          <w:szCs w:val="24"/>
          <w:u w:val="single"/>
          <w:lang w:eastAsia="en-GB"/>
        </w:rPr>
      </w:pPr>
    </w:p>
    <w:p w:rsidR="0099258E" w:rsidRPr="00990234" w:rsidRDefault="0099258E" w:rsidP="000023CB">
      <w:pPr>
        <w:widowControl w:val="0"/>
        <w:autoSpaceDE w:val="0"/>
        <w:autoSpaceDN w:val="0"/>
        <w:adjustRightInd w:val="0"/>
        <w:spacing w:before="100" w:after="100" w:line="240" w:lineRule="auto"/>
        <w:ind w:left="480" w:hanging="480"/>
        <w:rPr>
          <w:rFonts w:ascii="Times New Roman" w:eastAsiaTheme="minorEastAsia" w:hAnsi="Times New Roman" w:cs="Times New Roman"/>
          <w:b/>
          <w:sz w:val="24"/>
          <w:szCs w:val="24"/>
          <w:u w:val="single"/>
          <w:lang w:eastAsia="en-GB"/>
        </w:rPr>
      </w:pPr>
    </w:p>
    <w:p w:rsidR="0099258E" w:rsidRPr="00990234" w:rsidRDefault="0099258E" w:rsidP="000023CB">
      <w:pPr>
        <w:widowControl w:val="0"/>
        <w:autoSpaceDE w:val="0"/>
        <w:autoSpaceDN w:val="0"/>
        <w:adjustRightInd w:val="0"/>
        <w:spacing w:before="100" w:after="100" w:line="240" w:lineRule="auto"/>
        <w:ind w:left="480" w:hanging="480"/>
        <w:rPr>
          <w:rFonts w:ascii="Times New Roman" w:eastAsiaTheme="minorEastAsia" w:hAnsi="Times New Roman" w:cs="Times New Roman"/>
          <w:b/>
          <w:sz w:val="24"/>
          <w:szCs w:val="24"/>
          <w:u w:val="single"/>
          <w:lang w:eastAsia="en-GB"/>
        </w:rPr>
      </w:pPr>
    </w:p>
    <w:p w:rsidR="0099258E" w:rsidRPr="00990234" w:rsidRDefault="0099258E" w:rsidP="000023CB">
      <w:pPr>
        <w:widowControl w:val="0"/>
        <w:autoSpaceDE w:val="0"/>
        <w:autoSpaceDN w:val="0"/>
        <w:adjustRightInd w:val="0"/>
        <w:spacing w:before="100" w:after="100" w:line="240" w:lineRule="auto"/>
        <w:ind w:left="480" w:hanging="480"/>
        <w:rPr>
          <w:rFonts w:ascii="Times New Roman" w:eastAsiaTheme="minorEastAsia" w:hAnsi="Times New Roman" w:cs="Times New Roman"/>
          <w:b/>
          <w:sz w:val="24"/>
          <w:szCs w:val="24"/>
          <w:u w:val="single"/>
          <w:lang w:eastAsia="en-GB"/>
        </w:rPr>
      </w:pPr>
    </w:p>
    <w:p w:rsidR="0099258E" w:rsidRPr="00990234" w:rsidRDefault="0099258E" w:rsidP="000023CB">
      <w:pPr>
        <w:widowControl w:val="0"/>
        <w:autoSpaceDE w:val="0"/>
        <w:autoSpaceDN w:val="0"/>
        <w:adjustRightInd w:val="0"/>
        <w:spacing w:before="100" w:after="100" w:line="240" w:lineRule="auto"/>
        <w:ind w:left="480" w:hanging="480"/>
        <w:rPr>
          <w:rFonts w:ascii="Times New Roman" w:eastAsiaTheme="minorEastAsia" w:hAnsi="Times New Roman" w:cs="Times New Roman"/>
          <w:b/>
          <w:sz w:val="24"/>
          <w:szCs w:val="24"/>
          <w:u w:val="single"/>
          <w:lang w:eastAsia="en-GB"/>
        </w:rPr>
      </w:pPr>
    </w:p>
    <w:p w:rsidR="0099258E" w:rsidRPr="00990234" w:rsidRDefault="0099258E" w:rsidP="000023CB">
      <w:pPr>
        <w:widowControl w:val="0"/>
        <w:autoSpaceDE w:val="0"/>
        <w:autoSpaceDN w:val="0"/>
        <w:adjustRightInd w:val="0"/>
        <w:spacing w:before="100" w:after="100" w:line="240" w:lineRule="auto"/>
        <w:ind w:left="480" w:hanging="480"/>
        <w:rPr>
          <w:rFonts w:ascii="Times New Roman" w:eastAsiaTheme="minorEastAsia" w:hAnsi="Times New Roman" w:cs="Times New Roman"/>
          <w:b/>
          <w:sz w:val="24"/>
          <w:szCs w:val="24"/>
          <w:u w:val="single"/>
          <w:lang w:eastAsia="en-GB"/>
        </w:rPr>
      </w:pPr>
    </w:p>
    <w:p w:rsidR="004C0CF1" w:rsidRDefault="004C0CF1" w:rsidP="000023CB">
      <w:pPr>
        <w:widowControl w:val="0"/>
        <w:autoSpaceDE w:val="0"/>
        <w:autoSpaceDN w:val="0"/>
        <w:adjustRightInd w:val="0"/>
        <w:spacing w:before="100" w:after="100" w:line="240" w:lineRule="auto"/>
        <w:ind w:left="480" w:hanging="480"/>
        <w:rPr>
          <w:rFonts w:ascii="Times New Roman" w:eastAsiaTheme="minorEastAsia" w:hAnsi="Times New Roman" w:cs="Times New Roman"/>
          <w:b/>
          <w:sz w:val="24"/>
          <w:szCs w:val="24"/>
          <w:u w:val="single"/>
          <w:lang w:eastAsia="en-GB"/>
        </w:rPr>
      </w:pPr>
    </w:p>
    <w:p w:rsidR="00C6014E" w:rsidRDefault="00C6014E" w:rsidP="000023CB">
      <w:pPr>
        <w:widowControl w:val="0"/>
        <w:autoSpaceDE w:val="0"/>
        <w:autoSpaceDN w:val="0"/>
        <w:adjustRightInd w:val="0"/>
        <w:spacing w:before="100" w:after="100" w:line="240" w:lineRule="auto"/>
        <w:ind w:left="480" w:hanging="480"/>
        <w:rPr>
          <w:rFonts w:ascii="Times New Roman" w:eastAsiaTheme="minorEastAsia" w:hAnsi="Times New Roman" w:cs="Times New Roman"/>
          <w:b/>
          <w:sz w:val="24"/>
          <w:szCs w:val="24"/>
          <w:u w:val="single"/>
          <w:lang w:eastAsia="en-GB"/>
        </w:rPr>
      </w:pPr>
    </w:p>
    <w:p w:rsidR="00C6014E" w:rsidRDefault="00C6014E" w:rsidP="000023CB">
      <w:pPr>
        <w:widowControl w:val="0"/>
        <w:autoSpaceDE w:val="0"/>
        <w:autoSpaceDN w:val="0"/>
        <w:adjustRightInd w:val="0"/>
        <w:spacing w:before="100" w:after="100" w:line="240" w:lineRule="auto"/>
        <w:ind w:left="480" w:hanging="480"/>
        <w:rPr>
          <w:rFonts w:ascii="Times New Roman" w:eastAsiaTheme="minorEastAsia" w:hAnsi="Times New Roman" w:cs="Times New Roman"/>
          <w:b/>
          <w:sz w:val="24"/>
          <w:szCs w:val="24"/>
          <w:u w:val="single"/>
          <w:lang w:eastAsia="en-GB"/>
        </w:rPr>
      </w:pPr>
    </w:p>
    <w:p w:rsidR="00C6014E" w:rsidRDefault="00C6014E" w:rsidP="000023CB">
      <w:pPr>
        <w:widowControl w:val="0"/>
        <w:autoSpaceDE w:val="0"/>
        <w:autoSpaceDN w:val="0"/>
        <w:adjustRightInd w:val="0"/>
        <w:spacing w:before="100" w:after="100" w:line="240" w:lineRule="auto"/>
        <w:ind w:left="480" w:hanging="480"/>
        <w:rPr>
          <w:rFonts w:ascii="Times New Roman" w:eastAsiaTheme="minorEastAsia" w:hAnsi="Times New Roman" w:cs="Times New Roman"/>
          <w:b/>
          <w:sz w:val="24"/>
          <w:szCs w:val="24"/>
          <w:u w:val="single"/>
          <w:lang w:eastAsia="en-GB"/>
        </w:rPr>
      </w:pPr>
    </w:p>
    <w:p w:rsidR="005B20A0" w:rsidRDefault="005B20A0" w:rsidP="000023CB">
      <w:pPr>
        <w:widowControl w:val="0"/>
        <w:autoSpaceDE w:val="0"/>
        <w:autoSpaceDN w:val="0"/>
        <w:adjustRightInd w:val="0"/>
        <w:spacing w:before="100" w:after="100" w:line="240" w:lineRule="auto"/>
        <w:ind w:left="480" w:hanging="480"/>
        <w:rPr>
          <w:rFonts w:ascii="Times New Roman" w:eastAsiaTheme="minorEastAsia" w:hAnsi="Times New Roman" w:cs="Times New Roman"/>
          <w:b/>
          <w:sz w:val="24"/>
          <w:szCs w:val="24"/>
          <w:u w:val="single"/>
          <w:lang w:eastAsia="en-GB"/>
        </w:rPr>
      </w:pPr>
    </w:p>
    <w:p w:rsidR="005B20A0" w:rsidRDefault="005B20A0" w:rsidP="000023CB">
      <w:pPr>
        <w:widowControl w:val="0"/>
        <w:autoSpaceDE w:val="0"/>
        <w:autoSpaceDN w:val="0"/>
        <w:adjustRightInd w:val="0"/>
        <w:spacing w:before="100" w:after="100" w:line="240" w:lineRule="auto"/>
        <w:ind w:left="480" w:hanging="480"/>
        <w:rPr>
          <w:rFonts w:ascii="Times New Roman" w:eastAsiaTheme="minorEastAsia" w:hAnsi="Times New Roman" w:cs="Times New Roman"/>
          <w:b/>
          <w:sz w:val="24"/>
          <w:szCs w:val="24"/>
          <w:u w:val="single"/>
          <w:lang w:eastAsia="en-GB"/>
        </w:rPr>
      </w:pPr>
    </w:p>
    <w:p w:rsidR="005B20A0" w:rsidRDefault="005B20A0" w:rsidP="000023CB">
      <w:pPr>
        <w:widowControl w:val="0"/>
        <w:autoSpaceDE w:val="0"/>
        <w:autoSpaceDN w:val="0"/>
        <w:adjustRightInd w:val="0"/>
        <w:spacing w:before="100" w:after="100" w:line="240" w:lineRule="auto"/>
        <w:ind w:left="480" w:hanging="480"/>
        <w:rPr>
          <w:rFonts w:ascii="Times New Roman" w:eastAsiaTheme="minorEastAsia" w:hAnsi="Times New Roman" w:cs="Times New Roman"/>
          <w:b/>
          <w:sz w:val="24"/>
          <w:szCs w:val="24"/>
          <w:u w:val="single"/>
          <w:lang w:eastAsia="en-GB"/>
        </w:rPr>
      </w:pPr>
    </w:p>
    <w:p w:rsidR="00C6014E" w:rsidRDefault="00C6014E" w:rsidP="000023CB">
      <w:pPr>
        <w:widowControl w:val="0"/>
        <w:autoSpaceDE w:val="0"/>
        <w:autoSpaceDN w:val="0"/>
        <w:adjustRightInd w:val="0"/>
        <w:spacing w:before="100" w:after="100" w:line="240" w:lineRule="auto"/>
        <w:ind w:left="480" w:hanging="480"/>
        <w:rPr>
          <w:rFonts w:ascii="Times New Roman" w:eastAsiaTheme="minorEastAsia" w:hAnsi="Times New Roman" w:cs="Times New Roman"/>
          <w:b/>
          <w:sz w:val="24"/>
          <w:szCs w:val="24"/>
          <w:u w:val="single"/>
          <w:lang w:eastAsia="en-GB"/>
        </w:rPr>
      </w:pPr>
    </w:p>
    <w:p w:rsidR="00C6014E" w:rsidRDefault="00C6014E" w:rsidP="000023CB">
      <w:pPr>
        <w:widowControl w:val="0"/>
        <w:autoSpaceDE w:val="0"/>
        <w:autoSpaceDN w:val="0"/>
        <w:adjustRightInd w:val="0"/>
        <w:spacing w:before="100" w:after="100" w:line="240" w:lineRule="auto"/>
        <w:ind w:left="480" w:hanging="480"/>
        <w:rPr>
          <w:rFonts w:ascii="Times New Roman" w:eastAsiaTheme="minorEastAsia" w:hAnsi="Times New Roman" w:cs="Times New Roman"/>
          <w:b/>
          <w:sz w:val="24"/>
          <w:szCs w:val="24"/>
          <w:u w:val="single"/>
          <w:lang w:eastAsia="en-GB"/>
        </w:rPr>
      </w:pPr>
    </w:p>
    <w:p w:rsidR="00C6014E" w:rsidRDefault="00C6014E" w:rsidP="000023CB">
      <w:pPr>
        <w:widowControl w:val="0"/>
        <w:autoSpaceDE w:val="0"/>
        <w:autoSpaceDN w:val="0"/>
        <w:adjustRightInd w:val="0"/>
        <w:spacing w:before="100" w:after="100" w:line="240" w:lineRule="auto"/>
        <w:ind w:left="480" w:hanging="480"/>
        <w:rPr>
          <w:rFonts w:ascii="Times New Roman" w:eastAsiaTheme="minorEastAsia" w:hAnsi="Times New Roman" w:cs="Times New Roman"/>
          <w:b/>
          <w:sz w:val="24"/>
          <w:szCs w:val="24"/>
          <w:u w:val="single"/>
          <w:lang w:eastAsia="en-GB"/>
        </w:rPr>
      </w:pPr>
    </w:p>
    <w:p w:rsidR="007612BD" w:rsidRPr="00990234" w:rsidRDefault="006B1ED1" w:rsidP="00EC553A">
      <w:pPr>
        <w:widowControl w:val="0"/>
        <w:autoSpaceDE w:val="0"/>
        <w:autoSpaceDN w:val="0"/>
        <w:adjustRightInd w:val="0"/>
        <w:spacing w:before="100" w:after="100" w:line="240" w:lineRule="auto"/>
        <w:ind w:left="480" w:hanging="480"/>
        <w:jc w:val="center"/>
        <w:rPr>
          <w:rFonts w:ascii="Times New Roman" w:hAnsi="Times New Roman" w:cs="Times New Roman"/>
          <w:b/>
          <w:sz w:val="28"/>
          <w:szCs w:val="26"/>
          <w:u w:val="single"/>
        </w:rPr>
      </w:pPr>
      <w:r w:rsidRPr="00990234">
        <w:rPr>
          <w:rFonts w:ascii="Times New Roman" w:eastAsiaTheme="minorEastAsia" w:hAnsi="Times New Roman" w:cs="Times New Roman"/>
          <w:b/>
          <w:sz w:val="28"/>
          <w:szCs w:val="26"/>
          <w:u w:val="single"/>
          <w:lang w:eastAsia="en-GB"/>
        </w:rPr>
        <w:fldChar w:fldCharType="begin"/>
      </w:r>
      <w:r w:rsidRPr="00990234">
        <w:rPr>
          <w:rFonts w:ascii="Times New Roman" w:hAnsi="Times New Roman" w:cs="Times New Roman"/>
          <w:b/>
          <w:sz w:val="28"/>
          <w:szCs w:val="26"/>
          <w:u w:val="single"/>
        </w:rPr>
        <w:instrText xml:space="preserve"> ADDIN Docear CSL_BIBLIOGRAPHY</w:instrText>
      </w:r>
      <w:r w:rsidRPr="00990234">
        <w:rPr>
          <w:rFonts w:ascii="Times New Roman" w:eastAsiaTheme="minorEastAsia" w:hAnsi="Times New Roman" w:cs="Times New Roman"/>
          <w:b/>
          <w:sz w:val="28"/>
          <w:szCs w:val="26"/>
          <w:u w:val="single"/>
          <w:lang w:eastAsia="en-GB"/>
        </w:rPr>
        <w:fldChar w:fldCharType="end"/>
      </w:r>
      <w:r w:rsidR="0084300A" w:rsidRPr="00990234">
        <w:rPr>
          <w:rFonts w:ascii="Times New Roman" w:hAnsi="Times New Roman" w:cs="Times New Roman"/>
          <w:b/>
          <w:sz w:val="28"/>
          <w:szCs w:val="26"/>
          <w:u w:val="single"/>
        </w:rPr>
        <w:t>Author notes</w:t>
      </w:r>
    </w:p>
    <w:p w:rsidR="0084300A" w:rsidRPr="00990234" w:rsidRDefault="0084300A" w:rsidP="0084300A">
      <w:pPr>
        <w:suppressLineNumbers/>
        <w:spacing w:after="0" w:line="240" w:lineRule="auto"/>
        <w:ind w:right="-113"/>
        <w:rPr>
          <w:rFonts w:ascii="Times New Roman" w:hAnsi="Times New Roman" w:cs="Times New Roman"/>
          <w:shd w:val="clear" w:color="auto" w:fill="FFFFFF"/>
        </w:rPr>
      </w:pPr>
    </w:p>
    <w:p w:rsidR="0084300A" w:rsidRPr="00990234" w:rsidRDefault="0084300A" w:rsidP="0084300A">
      <w:pPr>
        <w:suppressLineNumbers/>
        <w:spacing w:after="0" w:line="480" w:lineRule="auto"/>
        <w:ind w:right="-113"/>
        <w:rPr>
          <w:rFonts w:ascii="Times New Roman" w:hAnsi="Times New Roman" w:cs="Times New Roman"/>
          <w:b/>
        </w:rPr>
      </w:pPr>
      <w:r w:rsidRPr="00990234">
        <w:rPr>
          <w:rFonts w:ascii="Times New Roman" w:hAnsi="Times New Roman" w:cs="Times New Roman"/>
          <w:b/>
        </w:rPr>
        <w:t>Acknowledgements</w:t>
      </w:r>
    </w:p>
    <w:p w:rsidR="0084300A" w:rsidRPr="00990234" w:rsidRDefault="0084300A" w:rsidP="0084300A">
      <w:pPr>
        <w:suppressLineNumbers/>
        <w:spacing w:after="0" w:line="480" w:lineRule="auto"/>
        <w:ind w:right="-113"/>
        <w:rPr>
          <w:rFonts w:ascii="Times New Roman" w:hAnsi="Times New Roman" w:cs="Times New Roman"/>
        </w:rPr>
      </w:pPr>
      <w:r w:rsidRPr="00990234">
        <w:rPr>
          <w:rFonts w:ascii="Times New Roman" w:hAnsi="Times New Roman" w:cs="Times New Roman"/>
        </w:rPr>
        <w:t xml:space="preserve">This work was supported by a studentship grant from the Medical Research Council, UK. WeD acknowledges the support of CONICYT, Chile, Basal project FB0008 and FONDECYT project 1161378. We thank O. Adams for her assistance with data collection.  WeD is currently affiliated with the School of Biomedical Engineering, University of Valparaiso, Chile. </w:t>
      </w:r>
    </w:p>
    <w:p w:rsidR="0084300A" w:rsidRPr="00990234" w:rsidRDefault="0084300A" w:rsidP="0084300A">
      <w:pPr>
        <w:spacing w:line="480" w:lineRule="auto"/>
        <w:rPr>
          <w:rFonts w:ascii="Times New Roman" w:hAnsi="Times New Roman" w:cs="Times New Roman"/>
        </w:rPr>
      </w:pPr>
      <w:r w:rsidRPr="00990234">
        <w:rPr>
          <w:rFonts w:ascii="Times New Roman" w:hAnsi="Times New Roman" w:cs="Times New Roman"/>
        </w:rPr>
        <w:t>We declare no conflicts of interests.</w:t>
      </w:r>
    </w:p>
    <w:p w:rsidR="0084300A" w:rsidRPr="00990234" w:rsidRDefault="0084300A" w:rsidP="0084300A">
      <w:pPr>
        <w:spacing w:line="480" w:lineRule="auto"/>
        <w:rPr>
          <w:rFonts w:ascii="Times New Roman" w:hAnsi="Times New Roman" w:cs="Times New Roman"/>
          <w:b/>
        </w:rPr>
      </w:pPr>
      <w:r w:rsidRPr="00990234">
        <w:rPr>
          <w:rFonts w:ascii="Times New Roman" w:hAnsi="Times New Roman" w:cs="Times New Roman"/>
          <w:b/>
        </w:rPr>
        <w:t>Name and address for reprints</w:t>
      </w:r>
    </w:p>
    <w:p w:rsidR="0084300A" w:rsidRPr="00990234" w:rsidRDefault="0084300A" w:rsidP="0084300A">
      <w:pPr>
        <w:suppressLineNumbers/>
        <w:spacing w:after="0" w:line="480" w:lineRule="auto"/>
        <w:ind w:right="-113"/>
        <w:rPr>
          <w:rFonts w:ascii="Times New Roman" w:hAnsi="Times New Roman" w:cs="Times New Roman"/>
          <w:shd w:val="clear" w:color="auto" w:fill="FFFFFF"/>
        </w:rPr>
      </w:pPr>
      <w:r w:rsidRPr="00990234">
        <w:rPr>
          <w:rFonts w:ascii="Times New Roman" w:hAnsi="Times New Roman" w:cs="Times New Roman"/>
        </w:rPr>
        <w:t>Miss Emily Hird, Zochonis building, Division of Neuroscience and Experimental Psychology, University of Manchester, United Kingdom</w:t>
      </w:r>
      <w:r w:rsidRPr="00990234">
        <w:rPr>
          <w:rFonts w:ascii="Times New Roman" w:hAnsi="Times New Roman" w:cs="Times New Roman"/>
          <w:shd w:val="clear" w:color="auto" w:fill="FFFFFF"/>
        </w:rPr>
        <w:t xml:space="preserve">, M139GB. </w:t>
      </w:r>
      <w:hyperlink r:id="rId19" w:history="1">
        <w:r w:rsidRPr="00990234">
          <w:rPr>
            <w:rStyle w:val="Hyperlink"/>
            <w:rFonts w:ascii="Times New Roman" w:hAnsi="Times New Roman" w:cs="Times New Roman"/>
            <w:color w:val="auto"/>
            <w:shd w:val="clear" w:color="auto" w:fill="FFFFFF"/>
          </w:rPr>
          <w:t>emily.hird@manchester.ac.uk</w:t>
        </w:r>
      </w:hyperlink>
      <w:r w:rsidRPr="00990234">
        <w:rPr>
          <w:rFonts w:ascii="Times New Roman" w:hAnsi="Times New Roman" w:cs="Times New Roman"/>
          <w:shd w:val="clear" w:color="auto" w:fill="FFFFFF"/>
        </w:rPr>
        <w:t xml:space="preserve">. </w:t>
      </w:r>
    </w:p>
    <w:p w:rsidR="0084300A" w:rsidRPr="00990234" w:rsidRDefault="0084300A" w:rsidP="0084300A">
      <w:pPr>
        <w:suppressLineNumbers/>
        <w:spacing w:after="0" w:line="480" w:lineRule="auto"/>
        <w:ind w:right="-113"/>
        <w:rPr>
          <w:rFonts w:ascii="Times New Roman" w:hAnsi="Times New Roman" w:cs="Times New Roman"/>
          <w:shd w:val="clear" w:color="auto" w:fill="FFFFFF"/>
        </w:rPr>
      </w:pPr>
    </w:p>
    <w:p w:rsidR="0084300A" w:rsidRPr="00990234" w:rsidRDefault="0084300A" w:rsidP="0084300A">
      <w:pPr>
        <w:suppressLineNumbers/>
        <w:spacing w:after="0" w:line="480" w:lineRule="auto"/>
        <w:ind w:right="-113"/>
        <w:rPr>
          <w:rFonts w:ascii="Times New Roman" w:hAnsi="Times New Roman" w:cs="Times New Roman"/>
          <w:shd w:val="clear" w:color="auto" w:fill="FFFFFF"/>
        </w:rPr>
      </w:pPr>
    </w:p>
    <w:p w:rsidR="0084300A" w:rsidRPr="00990234" w:rsidRDefault="0084300A" w:rsidP="0084300A">
      <w:pPr>
        <w:suppressLineNumbers/>
        <w:spacing w:after="0" w:line="480" w:lineRule="auto"/>
        <w:ind w:right="-113"/>
        <w:rPr>
          <w:rFonts w:ascii="Times New Roman" w:hAnsi="Times New Roman" w:cs="Times New Roman"/>
          <w:shd w:val="clear" w:color="auto" w:fill="FFFFFF"/>
        </w:rPr>
      </w:pPr>
    </w:p>
    <w:p w:rsidR="0084300A" w:rsidRPr="00990234" w:rsidRDefault="0084300A" w:rsidP="0084300A">
      <w:pPr>
        <w:suppressLineNumbers/>
        <w:spacing w:after="0" w:line="480" w:lineRule="auto"/>
        <w:ind w:right="-113"/>
        <w:rPr>
          <w:rFonts w:ascii="Times New Roman" w:hAnsi="Times New Roman" w:cs="Times New Roman"/>
          <w:shd w:val="clear" w:color="auto" w:fill="FFFFFF"/>
        </w:rPr>
      </w:pPr>
    </w:p>
    <w:p w:rsidR="0084300A" w:rsidRPr="00990234" w:rsidRDefault="0084300A" w:rsidP="0084300A">
      <w:pPr>
        <w:suppressLineNumbers/>
        <w:spacing w:after="0" w:line="240" w:lineRule="auto"/>
        <w:ind w:right="-113"/>
        <w:rPr>
          <w:rFonts w:ascii="Times New Roman" w:hAnsi="Times New Roman" w:cs="Times New Roman"/>
          <w:shd w:val="clear" w:color="auto" w:fill="FFFFFF"/>
        </w:rPr>
      </w:pPr>
    </w:p>
    <w:p w:rsidR="0084300A" w:rsidRPr="00990234" w:rsidRDefault="0084300A" w:rsidP="0084300A">
      <w:pPr>
        <w:suppressLineNumbers/>
        <w:spacing w:after="0" w:line="240" w:lineRule="auto"/>
        <w:ind w:right="-113"/>
        <w:rPr>
          <w:rFonts w:ascii="Times New Roman" w:hAnsi="Times New Roman" w:cs="Times New Roman"/>
          <w:shd w:val="clear" w:color="auto" w:fill="FFFFFF"/>
        </w:rPr>
      </w:pPr>
    </w:p>
    <w:p w:rsidR="0084300A" w:rsidRPr="00990234" w:rsidRDefault="0084300A" w:rsidP="0084300A">
      <w:pPr>
        <w:suppressLineNumbers/>
        <w:spacing w:after="0" w:line="240" w:lineRule="auto"/>
        <w:ind w:right="-113"/>
        <w:rPr>
          <w:rFonts w:ascii="Times New Roman" w:hAnsi="Times New Roman" w:cs="Times New Roman"/>
          <w:shd w:val="clear" w:color="auto" w:fill="FFFFFF"/>
        </w:rPr>
      </w:pPr>
    </w:p>
    <w:p w:rsidR="00582FDB" w:rsidRPr="00990234" w:rsidRDefault="00582FDB" w:rsidP="0084300A">
      <w:pPr>
        <w:suppressLineNumbers/>
        <w:spacing w:after="0" w:line="240" w:lineRule="auto"/>
        <w:ind w:right="-113"/>
        <w:rPr>
          <w:rFonts w:ascii="Times New Roman" w:hAnsi="Times New Roman" w:cs="Times New Roman"/>
          <w:shd w:val="clear" w:color="auto" w:fill="FFFFFF"/>
        </w:rPr>
      </w:pPr>
    </w:p>
    <w:p w:rsidR="00582FDB" w:rsidRPr="00990234" w:rsidRDefault="00582FDB" w:rsidP="0084300A">
      <w:pPr>
        <w:suppressLineNumbers/>
        <w:spacing w:after="0" w:line="240" w:lineRule="auto"/>
        <w:ind w:right="-113"/>
        <w:rPr>
          <w:rFonts w:ascii="Times New Roman" w:hAnsi="Times New Roman" w:cs="Times New Roman"/>
          <w:shd w:val="clear" w:color="auto" w:fill="FFFFFF"/>
        </w:rPr>
      </w:pPr>
    </w:p>
    <w:p w:rsidR="00582FDB" w:rsidRPr="00990234" w:rsidRDefault="00582FDB" w:rsidP="0084300A">
      <w:pPr>
        <w:suppressLineNumbers/>
        <w:spacing w:after="0" w:line="240" w:lineRule="auto"/>
        <w:ind w:right="-113"/>
        <w:rPr>
          <w:rFonts w:ascii="Times New Roman" w:hAnsi="Times New Roman" w:cs="Times New Roman"/>
          <w:shd w:val="clear" w:color="auto" w:fill="FFFFFF"/>
        </w:rPr>
      </w:pPr>
    </w:p>
    <w:p w:rsidR="00582FDB" w:rsidRPr="00990234" w:rsidRDefault="00582FDB" w:rsidP="0084300A">
      <w:pPr>
        <w:suppressLineNumbers/>
        <w:spacing w:after="0" w:line="240" w:lineRule="auto"/>
        <w:ind w:right="-113"/>
        <w:rPr>
          <w:rFonts w:ascii="Times New Roman" w:hAnsi="Times New Roman" w:cs="Times New Roman"/>
          <w:shd w:val="clear" w:color="auto" w:fill="FFFFFF"/>
        </w:rPr>
      </w:pPr>
    </w:p>
    <w:p w:rsidR="002552D2" w:rsidRPr="00990234" w:rsidRDefault="002552D2" w:rsidP="0084300A">
      <w:pPr>
        <w:suppressLineNumbers/>
        <w:spacing w:after="0" w:line="240" w:lineRule="auto"/>
        <w:ind w:right="-113"/>
        <w:rPr>
          <w:rFonts w:ascii="Times New Roman" w:hAnsi="Times New Roman" w:cs="Times New Roman"/>
          <w:shd w:val="clear" w:color="auto" w:fill="FFFFFF"/>
        </w:rPr>
      </w:pPr>
    </w:p>
    <w:p w:rsidR="002552D2" w:rsidRPr="00990234" w:rsidRDefault="002552D2" w:rsidP="0084300A">
      <w:pPr>
        <w:suppressLineNumbers/>
        <w:spacing w:after="0" w:line="240" w:lineRule="auto"/>
        <w:ind w:right="-113"/>
        <w:rPr>
          <w:rFonts w:ascii="Times New Roman" w:hAnsi="Times New Roman" w:cs="Times New Roman"/>
          <w:shd w:val="clear" w:color="auto" w:fill="FFFFFF"/>
        </w:rPr>
      </w:pPr>
    </w:p>
    <w:p w:rsidR="002552D2" w:rsidRPr="00990234" w:rsidRDefault="002552D2" w:rsidP="0084300A">
      <w:pPr>
        <w:suppressLineNumbers/>
        <w:spacing w:after="0" w:line="240" w:lineRule="auto"/>
        <w:ind w:right="-113"/>
        <w:rPr>
          <w:rFonts w:ascii="Times New Roman" w:hAnsi="Times New Roman" w:cs="Times New Roman"/>
          <w:shd w:val="clear" w:color="auto" w:fill="FFFFFF"/>
        </w:rPr>
      </w:pPr>
    </w:p>
    <w:p w:rsidR="00790A46" w:rsidRPr="00990234" w:rsidRDefault="00790A46" w:rsidP="0084300A">
      <w:pPr>
        <w:suppressLineNumbers/>
        <w:spacing w:after="0" w:line="240" w:lineRule="auto"/>
        <w:ind w:right="-113"/>
        <w:rPr>
          <w:rFonts w:ascii="Times New Roman" w:hAnsi="Times New Roman" w:cs="Times New Roman"/>
          <w:shd w:val="clear" w:color="auto" w:fill="FFFFFF"/>
        </w:rPr>
      </w:pPr>
    </w:p>
    <w:p w:rsidR="00790A46" w:rsidRPr="00990234" w:rsidRDefault="00790A46" w:rsidP="0084300A">
      <w:pPr>
        <w:suppressLineNumbers/>
        <w:spacing w:after="0" w:line="240" w:lineRule="auto"/>
        <w:ind w:right="-113"/>
        <w:rPr>
          <w:rFonts w:ascii="Times New Roman" w:hAnsi="Times New Roman" w:cs="Times New Roman"/>
          <w:shd w:val="clear" w:color="auto" w:fill="FFFFFF"/>
        </w:rPr>
      </w:pPr>
    </w:p>
    <w:p w:rsidR="002552D2" w:rsidRPr="00990234" w:rsidRDefault="002552D2" w:rsidP="0084300A">
      <w:pPr>
        <w:suppressLineNumbers/>
        <w:spacing w:after="0" w:line="240" w:lineRule="auto"/>
        <w:ind w:right="-113"/>
        <w:rPr>
          <w:rFonts w:ascii="Times New Roman" w:hAnsi="Times New Roman" w:cs="Times New Roman"/>
          <w:shd w:val="clear" w:color="auto" w:fill="FFFFFF"/>
        </w:rPr>
      </w:pPr>
    </w:p>
    <w:p w:rsidR="002552D2" w:rsidRPr="00990234" w:rsidRDefault="002552D2" w:rsidP="0084300A">
      <w:pPr>
        <w:suppressLineNumbers/>
        <w:spacing w:after="0" w:line="240" w:lineRule="auto"/>
        <w:ind w:right="-113"/>
        <w:rPr>
          <w:rFonts w:ascii="Times New Roman" w:hAnsi="Times New Roman" w:cs="Times New Roman"/>
          <w:shd w:val="clear" w:color="auto" w:fill="FFFFFF"/>
        </w:rPr>
      </w:pPr>
    </w:p>
    <w:p w:rsidR="002552D2" w:rsidRPr="00990234" w:rsidRDefault="002552D2" w:rsidP="0084300A">
      <w:pPr>
        <w:suppressLineNumbers/>
        <w:spacing w:after="0" w:line="240" w:lineRule="auto"/>
        <w:ind w:right="-113"/>
        <w:rPr>
          <w:rFonts w:ascii="Times New Roman" w:hAnsi="Times New Roman" w:cs="Times New Roman"/>
          <w:shd w:val="clear" w:color="auto" w:fill="FFFFFF"/>
        </w:rPr>
      </w:pPr>
    </w:p>
    <w:p w:rsidR="002552D2" w:rsidRPr="00990234" w:rsidRDefault="002552D2" w:rsidP="0084300A">
      <w:pPr>
        <w:suppressLineNumbers/>
        <w:spacing w:after="0" w:line="240" w:lineRule="auto"/>
        <w:ind w:right="-113"/>
        <w:rPr>
          <w:rFonts w:ascii="Times New Roman" w:hAnsi="Times New Roman" w:cs="Times New Roman"/>
          <w:shd w:val="clear" w:color="auto" w:fill="FFFFFF"/>
        </w:rPr>
      </w:pPr>
    </w:p>
    <w:p w:rsidR="002552D2" w:rsidRDefault="002552D2" w:rsidP="0084300A">
      <w:pPr>
        <w:suppressLineNumbers/>
        <w:spacing w:after="0" w:line="240" w:lineRule="auto"/>
        <w:ind w:right="-113"/>
        <w:rPr>
          <w:rFonts w:ascii="Times New Roman" w:hAnsi="Times New Roman" w:cs="Times New Roman"/>
          <w:shd w:val="clear" w:color="auto" w:fill="FFFFFF"/>
        </w:rPr>
      </w:pPr>
    </w:p>
    <w:p w:rsidR="00C6014E" w:rsidRDefault="00C6014E" w:rsidP="0084300A">
      <w:pPr>
        <w:suppressLineNumbers/>
        <w:spacing w:after="0" w:line="240" w:lineRule="auto"/>
        <w:ind w:right="-113"/>
        <w:rPr>
          <w:rFonts w:ascii="Times New Roman" w:hAnsi="Times New Roman" w:cs="Times New Roman"/>
          <w:shd w:val="clear" w:color="auto" w:fill="FFFFFF"/>
        </w:rPr>
      </w:pPr>
    </w:p>
    <w:p w:rsidR="00C6014E" w:rsidRDefault="00C6014E" w:rsidP="0084300A">
      <w:pPr>
        <w:suppressLineNumbers/>
        <w:spacing w:after="0" w:line="240" w:lineRule="auto"/>
        <w:ind w:right="-113"/>
        <w:rPr>
          <w:rFonts w:ascii="Times New Roman" w:hAnsi="Times New Roman" w:cs="Times New Roman"/>
          <w:shd w:val="clear" w:color="auto" w:fill="FFFFFF"/>
        </w:rPr>
      </w:pPr>
    </w:p>
    <w:p w:rsidR="00C6014E" w:rsidRDefault="00C6014E" w:rsidP="0084300A">
      <w:pPr>
        <w:suppressLineNumbers/>
        <w:spacing w:after="0" w:line="240" w:lineRule="auto"/>
        <w:ind w:right="-113"/>
        <w:rPr>
          <w:rFonts w:ascii="Times New Roman" w:hAnsi="Times New Roman" w:cs="Times New Roman"/>
          <w:shd w:val="clear" w:color="auto" w:fill="FFFFFF"/>
        </w:rPr>
      </w:pPr>
    </w:p>
    <w:p w:rsidR="00C6014E" w:rsidRDefault="00C6014E" w:rsidP="0084300A">
      <w:pPr>
        <w:suppressLineNumbers/>
        <w:spacing w:after="0" w:line="240" w:lineRule="auto"/>
        <w:ind w:right="-113"/>
        <w:rPr>
          <w:rFonts w:ascii="Times New Roman" w:hAnsi="Times New Roman" w:cs="Times New Roman"/>
          <w:shd w:val="clear" w:color="auto" w:fill="FFFFFF"/>
        </w:rPr>
      </w:pPr>
    </w:p>
    <w:p w:rsidR="00C6014E" w:rsidRDefault="00C6014E" w:rsidP="0084300A">
      <w:pPr>
        <w:suppressLineNumbers/>
        <w:spacing w:after="0" w:line="240" w:lineRule="auto"/>
        <w:ind w:right="-113"/>
        <w:rPr>
          <w:rFonts w:ascii="Times New Roman" w:hAnsi="Times New Roman" w:cs="Times New Roman"/>
          <w:shd w:val="clear" w:color="auto" w:fill="FFFFFF"/>
        </w:rPr>
      </w:pPr>
    </w:p>
    <w:p w:rsidR="00C6014E" w:rsidRDefault="00C6014E" w:rsidP="0084300A">
      <w:pPr>
        <w:suppressLineNumbers/>
        <w:spacing w:after="0" w:line="240" w:lineRule="auto"/>
        <w:ind w:right="-113"/>
        <w:rPr>
          <w:rFonts w:ascii="Times New Roman" w:hAnsi="Times New Roman" w:cs="Times New Roman"/>
          <w:shd w:val="clear" w:color="auto" w:fill="FFFFFF"/>
        </w:rPr>
      </w:pPr>
    </w:p>
    <w:p w:rsidR="005B20A0" w:rsidRDefault="005B20A0" w:rsidP="0084300A">
      <w:pPr>
        <w:suppressLineNumbers/>
        <w:spacing w:after="0" w:line="240" w:lineRule="auto"/>
        <w:ind w:right="-113"/>
        <w:rPr>
          <w:rFonts w:ascii="Times New Roman" w:hAnsi="Times New Roman" w:cs="Times New Roman"/>
          <w:shd w:val="clear" w:color="auto" w:fill="FFFFFF"/>
        </w:rPr>
      </w:pPr>
    </w:p>
    <w:p w:rsidR="00A45901" w:rsidRPr="00990234" w:rsidRDefault="009F70C7" w:rsidP="00EC553A">
      <w:pPr>
        <w:spacing w:after="0" w:line="480" w:lineRule="auto"/>
        <w:ind w:right="-113" w:firstLine="720"/>
        <w:jc w:val="center"/>
        <w:rPr>
          <w:rFonts w:ascii="Times New Roman" w:hAnsi="Times New Roman" w:cs="Times New Roman"/>
          <w:b/>
          <w:sz w:val="28"/>
          <w:szCs w:val="26"/>
          <w:u w:val="single"/>
        </w:rPr>
      </w:pPr>
      <w:r w:rsidRPr="00990234">
        <w:rPr>
          <w:rFonts w:ascii="Times New Roman" w:hAnsi="Times New Roman" w:cs="Times New Roman"/>
          <w:b/>
          <w:sz w:val="28"/>
          <w:szCs w:val="26"/>
          <w:u w:val="single"/>
        </w:rPr>
        <w:t>Figure captions</w:t>
      </w:r>
    </w:p>
    <w:p w:rsidR="00A45901" w:rsidRPr="00990234" w:rsidRDefault="00A45901" w:rsidP="00793927">
      <w:pPr>
        <w:spacing w:after="0" w:line="480" w:lineRule="auto"/>
        <w:ind w:right="-113" w:firstLine="720"/>
        <w:rPr>
          <w:rFonts w:ascii="Times New Roman" w:hAnsi="Times New Roman" w:cs="Times New Roman"/>
        </w:rPr>
      </w:pPr>
      <w:r w:rsidRPr="00990234">
        <w:rPr>
          <w:rFonts w:ascii="Times New Roman" w:hAnsi="Times New Roman" w:cs="Times New Roman"/>
        </w:rPr>
        <w:t>Figure 1:</w:t>
      </w:r>
      <w:r w:rsidRPr="00990234">
        <w:rPr>
          <w:rFonts w:ascii="Times New Roman" w:hAnsi="Times New Roman" w:cs="Times New Roman"/>
          <w:i/>
        </w:rPr>
        <w:t xml:space="preserve"> </w:t>
      </w:r>
      <w:r w:rsidR="004D353A" w:rsidRPr="00990234">
        <w:rPr>
          <w:rFonts w:ascii="Times New Roman" w:hAnsi="Times New Roman" w:cs="Times New Roman"/>
          <w:i/>
        </w:rPr>
        <w:t>Experimental paradigm</w:t>
      </w:r>
      <w:r w:rsidRPr="00990234">
        <w:rPr>
          <w:rFonts w:ascii="Times New Roman" w:hAnsi="Times New Roman" w:cs="Times New Roman"/>
          <w:i/>
        </w:rPr>
        <w:t>.</w:t>
      </w:r>
      <w:r w:rsidR="004D353A" w:rsidRPr="00990234">
        <w:rPr>
          <w:rFonts w:ascii="Times New Roman" w:hAnsi="Times New Roman" w:cs="Times New Roman"/>
          <w:i/>
        </w:rPr>
        <w:t xml:space="preserve"> Top: </w:t>
      </w:r>
      <w:r w:rsidRPr="00990234">
        <w:rPr>
          <w:rFonts w:ascii="Times New Roman" w:hAnsi="Times New Roman" w:cs="Times New Roman"/>
        </w:rPr>
        <w:t xml:space="preserve"> </w:t>
      </w:r>
      <w:r w:rsidR="00793927" w:rsidRPr="00990234">
        <w:rPr>
          <w:rFonts w:ascii="Times New Roman" w:hAnsi="Times New Roman" w:cs="Times New Roman"/>
          <w:i/>
          <w:iCs/>
        </w:rPr>
        <w:t xml:space="preserve">The timeline of each trial. </w:t>
      </w:r>
      <w:r w:rsidRPr="00990234">
        <w:rPr>
          <w:rFonts w:ascii="Times New Roman" w:hAnsi="Times New Roman" w:cs="Times New Roman"/>
        </w:rPr>
        <w:t>After a fixation cross, a veridical probability cue set the expectation of the taste delivery/omission chance of the trial. An outcome cue followed, declaring the impending true outcome of the trial, deliver/omit, which triggered a theoretical prediction error.  The taste was delivered, or omitted, based on the outcome cue. A rinse solution of artificial saliva prepared the participant for the next trial.</w:t>
      </w:r>
      <w:r w:rsidR="00477B59" w:rsidRPr="00990234">
        <w:rPr>
          <w:rFonts w:ascii="Times New Roman" w:hAnsi="Times New Roman" w:cs="Times New Roman"/>
        </w:rPr>
        <w:t xml:space="preserve"> </w:t>
      </w:r>
      <w:r w:rsidR="00793927" w:rsidRPr="00990234">
        <w:rPr>
          <w:rFonts w:ascii="Times New Roman" w:hAnsi="Times New Roman" w:cs="Times New Roman"/>
          <w:i/>
          <w:iCs/>
        </w:rPr>
        <w:t xml:space="preserve">Bottom: Number of trials in each condition. </w:t>
      </w:r>
      <w:r w:rsidR="00793927" w:rsidRPr="00990234">
        <w:rPr>
          <w:rFonts w:ascii="Times New Roman" w:hAnsi="Times New Roman" w:cs="Times New Roman"/>
        </w:rPr>
        <w:t xml:space="preserve">‘Expected’ outcomes were presented 75% of the time, and ‘unexpected’ outcomes 25% of the time, to match the veridical probability cue. </w:t>
      </w:r>
    </w:p>
    <w:p w:rsidR="00347632" w:rsidRPr="00990234" w:rsidRDefault="00347632" w:rsidP="00C303E7">
      <w:pPr>
        <w:spacing w:after="0" w:line="480" w:lineRule="auto"/>
        <w:ind w:right="-113" w:firstLine="720"/>
        <w:rPr>
          <w:rFonts w:ascii="Times New Roman" w:hAnsi="Times New Roman" w:cs="Times New Roman"/>
        </w:rPr>
      </w:pPr>
      <w:r w:rsidRPr="00990234">
        <w:rPr>
          <w:rFonts w:ascii="Times New Roman" w:hAnsi="Times New Roman" w:cs="Times New Roman"/>
        </w:rPr>
        <w:t xml:space="preserve">Figure </w:t>
      </w:r>
      <w:r w:rsidR="00705274" w:rsidRPr="00990234">
        <w:rPr>
          <w:rFonts w:ascii="Times New Roman" w:hAnsi="Times New Roman" w:cs="Times New Roman"/>
        </w:rPr>
        <w:t>2</w:t>
      </w:r>
      <w:r w:rsidRPr="00990234">
        <w:rPr>
          <w:rFonts w:ascii="Times New Roman" w:hAnsi="Times New Roman" w:cs="Times New Roman"/>
        </w:rPr>
        <w:t xml:space="preserve">: </w:t>
      </w:r>
      <w:r w:rsidR="00793927" w:rsidRPr="00990234">
        <w:rPr>
          <w:rFonts w:ascii="Times New Roman" w:hAnsi="Times New Roman" w:cs="Times New Roman"/>
          <w:i/>
          <w:iCs/>
        </w:rPr>
        <w:t>Detailed results.</w:t>
      </w:r>
      <w:r w:rsidR="00793927" w:rsidRPr="00990234">
        <w:rPr>
          <w:rFonts w:ascii="Times New Roman" w:hAnsi="Times New Roman" w:cs="Times New Roman"/>
        </w:rPr>
        <w:t xml:space="preserve"> </w:t>
      </w:r>
      <w:r w:rsidR="00793927" w:rsidRPr="00990234">
        <w:rPr>
          <w:rFonts w:ascii="Times New Roman" w:hAnsi="Times New Roman" w:cs="Times New Roman"/>
          <w:i/>
          <w:iCs/>
        </w:rPr>
        <w:t>Top:</w:t>
      </w:r>
      <w:r w:rsidR="00793927" w:rsidRPr="00990234">
        <w:rPr>
          <w:rFonts w:ascii="Times New Roman" w:hAnsi="Times New Roman" w:cs="Times New Roman"/>
        </w:rPr>
        <w:t xml:space="preserve"> </w:t>
      </w:r>
      <w:r w:rsidR="00793927" w:rsidRPr="00990234">
        <w:rPr>
          <w:rFonts w:ascii="Times New Roman" w:hAnsi="Times New Roman" w:cs="Times New Roman"/>
          <w:i/>
        </w:rPr>
        <w:t>group average ERPs for all conditions</w:t>
      </w:r>
      <w:r w:rsidR="00793927" w:rsidRPr="00990234">
        <w:rPr>
          <w:rFonts w:ascii="Times New Roman" w:hAnsi="Times New Roman" w:cs="Times New Roman"/>
        </w:rPr>
        <w:t xml:space="preserve">. ERPs were averaged </w:t>
      </w:r>
      <w:r w:rsidR="00793927" w:rsidRPr="00990234">
        <w:rPr>
          <w:rFonts w:ascii="Times New Roman" w:hAnsi="Times New Roman" w:cs="Times New Roman"/>
          <w:noProof/>
          <w:lang w:eastAsia="en-GB"/>
        </w:rPr>
        <w:t xml:space="preserve">over </w:t>
      </w:r>
      <w:r w:rsidR="00793927" w:rsidRPr="00990234">
        <w:rPr>
          <w:rFonts w:ascii="Times New Roman" w:hAnsi="Times New Roman" w:cs="Times New Roman"/>
          <w:noProof/>
        </w:rPr>
        <w:t>frontocentral electrodes and  time-locked to the outcome cue presented at 0ms</w:t>
      </w:r>
      <w:r w:rsidR="00793927" w:rsidRPr="00990234">
        <w:rPr>
          <w:rFonts w:ascii="Times New Roman" w:hAnsi="Times New Roman" w:cs="Times New Roman"/>
        </w:rPr>
        <w:t xml:space="preserve">. </w:t>
      </w:r>
      <w:r w:rsidR="00C303E7" w:rsidRPr="00990234">
        <w:rPr>
          <w:rFonts w:ascii="Times New Roman" w:hAnsi="Times New Roman" w:cs="Times New Roman"/>
          <w:i/>
          <w:iCs/>
        </w:rPr>
        <w:t>Bottom:</w:t>
      </w:r>
      <w:r w:rsidR="00C303E7" w:rsidRPr="00990234">
        <w:rPr>
          <w:rFonts w:ascii="Times New Roman" w:hAnsi="Times New Roman" w:cs="Times New Roman"/>
        </w:rPr>
        <w:t xml:space="preserve"> G</w:t>
      </w:r>
      <w:r w:rsidR="00C303E7" w:rsidRPr="00990234">
        <w:rPr>
          <w:rFonts w:ascii="Times New Roman" w:hAnsi="Times New Roman" w:cs="Times New Roman"/>
          <w:i/>
        </w:rPr>
        <w:t>lobal field power</w:t>
      </w:r>
      <w:r w:rsidR="00C303E7" w:rsidRPr="00990234">
        <w:rPr>
          <w:rFonts w:ascii="Times New Roman" w:hAnsi="Times New Roman" w:cs="Times New Roman"/>
        </w:rPr>
        <w:t xml:space="preserve">. Global field power identified two peaks in time windows 200 to 380ms post outcome cue. Topographic plots at the top of this panel show the topography of the global field power for the </w:t>
      </w:r>
      <w:r w:rsidR="000502C9" w:rsidRPr="00990234">
        <w:rPr>
          <w:rFonts w:ascii="Times New Roman" w:hAnsi="Times New Roman" w:cs="Times New Roman"/>
        </w:rPr>
        <w:t>two</w:t>
      </w:r>
      <w:r w:rsidR="00C303E7" w:rsidRPr="00990234">
        <w:rPr>
          <w:rFonts w:ascii="Times New Roman" w:hAnsi="Times New Roman" w:cs="Times New Roman"/>
        </w:rPr>
        <w:t xml:space="preserve"> time-windows.</w:t>
      </w:r>
    </w:p>
    <w:p w:rsidR="00A76464" w:rsidRPr="00990234" w:rsidRDefault="00A76464" w:rsidP="00C303E7">
      <w:pPr>
        <w:spacing w:line="480" w:lineRule="auto"/>
        <w:ind w:firstLine="720"/>
        <w:rPr>
          <w:rFonts w:ascii="Times New Roman" w:hAnsi="Times New Roman" w:cs="Times New Roman"/>
        </w:rPr>
      </w:pPr>
      <w:r w:rsidRPr="00990234">
        <w:rPr>
          <w:rFonts w:ascii="Times New Roman" w:hAnsi="Times New Roman" w:cs="Times New Roman"/>
        </w:rPr>
        <w:t xml:space="preserve">Figure </w:t>
      </w:r>
      <w:r w:rsidR="00C303E7" w:rsidRPr="00990234">
        <w:rPr>
          <w:rFonts w:ascii="Times New Roman" w:hAnsi="Times New Roman" w:cs="Times New Roman"/>
        </w:rPr>
        <w:t>3</w:t>
      </w:r>
      <w:r w:rsidRPr="00990234">
        <w:rPr>
          <w:rFonts w:ascii="Times New Roman" w:hAnsi="Times New Roman" w:cs="Times New Roman"/>
        </w:rPr>
        <w:t xml:space="preserve">: </w:t>
      </w:r>
      <w:r w:rsidRPr="00990234">
        <w:rPr>
          <w:rFonts w:ascii="Times New Roman" w:hAnsi="Times New Roman" w:cs="Times New Roman"/>
          <w:i/>
        </w:rPr>
        <w:t>Difference-wave FRN analysis</w:t>
      </w:r>
      <w:r w:rsidRPr="00990234">
        <w:rPr>
          <w:rFonts w:ascii="Times New Roman" w:hAnsi="Times New Roman" w:cs="Times New Roman"/>
        </w:rPr>
        <w:t>. Difference waves averaged over Fz, FCz and Cz across participants, subtracting unexpected loss from unexpected gain</w:t>
      </w:r>
      <w:r w:rsidR="00793927" w:rsidRPr="00990234">
        <w:rPr>
          <w:rFonts w:ascii="Times New Roman" w:hAnsi="Times New Roman" w:cs="Times New Roman"/>
        </w:rPr>
        <w:t xml:space="preserve">. </w:t>
      </w:r>
      <w:r w:rsidRPr="00990234">
        <w:rPr>
          <w:rFonts w:ascii="Times New Roman" w:hAnsi="Times New Roman" w:cs="Times New Roman"/>
        </w:rPr>
        <w:t>The difference waves are</w:t>
      </w:r>
      <w:r w:rsidRPr="00990234">
        <w:rPr>
          <w:rFonts w:ascii="Times New Roman" w:hAnsi="Times New Roman" w:cs="Times New Roman"/>
          <w:noProof/>
        </w:rPr>
        <w:t xml:space="preserve"> time-locked to the outcome cue presented at 0ms</w:t>
      </w:r>
      <w:r w:rsidRPr="00990234">
        <w:rPr>
          <w:rFonts w:ascii="Times New Roman" w:hAnsi="Times New Roman" w:cs="Times New Roman"/>
        </w:rPr>
        <w:t>. The search volume (240-340ms)</w:t>
      </w:r>
      <w:r w:rsidR="00C303E7" w:rsidRPr="00990234">
        <w:rPr>
          <w:rFonts w:ascii="Times New Roman" w:hAnsi="Times New Roman" w:cs="Times New Roman"/>
        </w:rPr>
        <w:t xml:space="preserve">, based on a meta-analysis, </w:t>
      </w:r>
      <w:r w:rsidRPr="00990234">
        <w:rPr>
          <w:rFonts w:ascii="Times New Roman" w:hAnsi="Times New Roman" w:cs="Times New Roman"/>
        </w:rPr>
        <w:t xml:space="preserve">is shaded. Topographic plots show the unexpected loss-gain difference wave topographies for the shaded time-window.  </w:t>
      </w:r>
    </w:p>
    <w:p w:rsidR="00701DB1" w:rsidRDefault="00A45901" w:rsidP="00DD7557">
      <w:pPr>
        <w:spacing w:line="480" w:lineRule="auto"/>
        <w:ind w:firstLine="720"/>
        <w:rPr>
          <w:rFonts w:ascii="Times New Roman" w:hAnsi="Times New Roman" w:cs="Times New Roman"/>
        </w:rPr>
      </w:pPr>
      <w:r w:rsidRPr="00990234">
        <w:rPr>
          <w:rFonts w:ascii="Times New Roman" w:hAnsi="Times New Roman" w:cs="Times New Roman"/>
        </w:rPr>
        <w:t xml:space="preserve">Figure </w:t>
      </w:r>
      <w:r w:rsidR="00C303E7" w:rsidRPr="00990234">
        <w:rPr>
          <w:rFonts w:ascii="Times New Roman" w:hAnsi="Times New Roman" w:cs="Times New Roman"/>
        </w:rPr>
        <w:t>4</w:t>
      </w:r>
      <w:r w:rsidRPr="00990234">
        <w:rPr>
          <w:rFonts w:ascii="Times New Roman" w:hAnsi="Times New Roman" w:cs="Times New Roman"/>
        </w:rPr>
        <w:t xml:space="preserve">: </w:t>
      </w:r>
      <w:r w:rsidR="00C303E7" w:rsidRPr="00990234">
        <w:rPr>
          <w:rFonts w:ascii="Times New Roman" w:hAnsi="Times New Roman" w:cs="Times New Roman"/>
          <w:i/>
        </w:rPr>
        <w:t>A</w:t>
      </w:r>
      <w:r w:rsidR="00BA2244" w:rsidRPr="00990234">
        <w:rPr>
          <w:rFonts w:ascii="Times New Roman" w:hAnsi="Times New Roman" w:cs="Times New Roman"/>
          <w:i/>
        </w:rPr>
        <w:t>versive</w:t>
      </w:r>
      <w:r w:rsidR="00BA2244" w:rsidRPr="00990234">
        <w:rPr>
          <w:rFonts w:ascii="Times New Roman" w:hAnsi="Times New Roman" w:cs="Times New Roman"/>
        </w:rPr>
        <w:t xml:space="preserve"> </w:t>
      </w:r>
      <w:r w:rsidRPr="00990234">
        <w:rPr>
          <w:rFonts w:ascii="Times New Roman" w:hAnsi="Times New Roman" w:cs="Times New Roman"/>
          <w:i/>
        </w:rPr>
        <w:t xml:space="preserve">prediction error </w:t>
      </w:r>
      <w:r w:rsidR="00BA2244" w:rsidRPr="00990234">
        <w:rPr>
          <w:rFonts w:ascii="Times New Roman" w:hAnsi="Times New Roman" w:cs="Times New Roman"/>
          <w:i/>
        </w:rPr>
        <w:t>but no reward prediction error</w:t>
      </w:r>
      <w:r w:rsidRPr="00990234">
        <w:rPr>
          <w:rFonts w:ascii="Times New Roman" w:hAnsi="Times New Roman" w:cs="Times New Roman"/>
          <w:i/>
        </w:rPr>
        <w:t>.</w:t>
      </w:r>
      <w:r w:rsidRPr="00990234">
        <w:rPr>
          <w:rFonts w:ascii="Times New Roman" w:hAnsi="Times New Roman" w:cs="Times New Roman"/>
        </w:rPr>
        <w:t xml:space="preserve"> </w:t>
      </w:r>
      <w:r w:rsidR="00E6273A" w:rsidRPr="00990234">
        <w:rPr>
          <w:rFonts w:ascii="Times New Roman" w:hAnsi="Times New Roman" w:cs="Times New Roman"/>
        </w:rPr>
        <w:t>Left</w:t>
      </w:r>
      <w:r w:rsidR="004471AC" w:rsidRPr="00990234">
        <w:rPr>
          <w:rFonts w:ascii="Times New Roman" w:hAnsi="Times New Roman" w:cs="Times New Roman"/>
        </w:rPr>
        <w:t xml:space="preserve">: Difference waves subtracting delivered from omitted outcomes. The difference waves </w:t>
      </w:r>
      <w:r w:rsidR="00DD7557" w:rsidRPr="00990234">
        <w:rPr>
          <w:rFonts w:ascii="Times New Roman" w:hAnsi="Times New Roman" w:cs="Times New Roman"/>
        </w:rPr>
        <w:t xml:space="preserve">were </w:t>
      </w:r>
      <w:r w:rsidR="004471AC" w:rsidRPr="00990234">
        <w:rPr>
          <w:rFonts w:ascii="Times New Roman" w:hAnsi="Times New Roman" w:cs="Times New Roman"/>
        </w:rPr>
        <w:t xml:space="preserve">averaged </w:t>
      </w:r>
      <w:r w:rsidR="004471AC" w:rsidRPr="00990234">
        <w:rPr>
          <w:rFonts w:ascii="Times New Roman" w:hAnsi="Times New Roman" w:cs="Times New Roman"/>
          <w:noProof/>
          <w:lang w:eastAsia="en-GB"/>
        </w:rPr>
        <w:t>over frontocentral electrodes across participants,</w:t>
      </w:r>
      <w:r w:rsidR="004471AC" w:rsidRPr="00990234">
        <w:rPr>
          <w:rFonts w:ascii="Times New Roman" w:hAnsi="Times New Roman" w:cs="Times New Roman"/>
          <w:noProof/>
        </w:rPr>
        <w:t xml:space="preserve"> and time-locked to the outcome cue presented at 0ms</w:t>
      </w:r>
      <w:r w:rsidR="004471AC" w:rsidRPr="00990234">
        <w:rPr>
          <w:rFonts w:ascii="Times New Roman" w:hAnsi="Times New Roman" w:cs="Times New Roman"/>
        </w:rPr>
        <w:t xml:space="preserve">. The temporal boundaries of the significant </w:t>
      </w:r>
      <w:r w:rsidR="00DC3230" w:rsidRPr="00990234">
        <w:rPr>
          <w:rFonts w:ascii="Times New Roman" w:hAnsi="Times New Roman" w:cs="Times New Roman"/>
        </w:rPr>
        <w:t>interaction</w:t>
      </w:r>
      <w:r w:rsidR="004471AC" w:rsidRPr="00990234">
        <w:rPr>
          <w:rFonts w:ascii="Times New Roman" w:hAnsi="Times New Roman" w:cs="Times New Roman"/>
        </w:rPr>
        <w:t xml:space="preserve"> are shaded in grey.  In the Sweet condition (lower</w:t>
      </w:r>
      <w:r w:rsidR="00E6273A" w:rsidRPr="00990234">
        <w:rPr>
          <w:rFonts w:ascii="Times New Roman" w:hAnsi="Times New Roman" w:cs="Times New Roman"/>
        </w:rPr>
        <w:t xml:space="preserve"> left</w:t>
      </w:r>
      <w:r w:rsidR="004471AC" w:rsidRPr="00990234">
        <w:rPr>
          <w:rFonts w:ascii="Times New Roman" w:hAnsi="Times New Roman" w:cs="Times New Roman"/>
        </w:rPr>
        <w:t>) the</w:t>
      </w:r>
      <w:r w:rsidR="00C303E7" w:rsidRPr="00990234">
        <w:rPr>
          <w:rFonts w:ascii="Times New Roman" w:hAnsi="Times New Roman" w:cs="Times New Roman"/>
        </w:rPr>
        <w:t xml:space="preserve"> interaction was not significant.</w:t>
      </w:r>
      <w:r w:rsidR="004471AC" w:rsidRPr="00990234">
        <w:rPr>
          <w:rFonts w:ascii="Times New Roman" w:hAnsi="Times New Roman" w:cs="Times New Roman"/>
        </w:rPr>
        <w:t xml:space="preserve"> </w:t>
      </w:r>
      <w:r w:rsidR="00E6273A" w:rsidRPr="00990234">
        <w:rPr>
          <w:rFonts w:ascii="Times New Roman" w:hAnsi="Times New Roman" w:cs="Times New Roman"/>
        </w:rPr>
        <w:t>Right</w:t>
      </w:r>
      <w:r w:rsidRPr="00990234">
        <w:rPr>
          <w:rFonts w:ascii="Times New Roman" w:hAnsi="Times New Roman" w:cs="Times New Roman"/>
        </w:rPr>
        <w:t xml:space="preserve">: </w:t>
      </w:r>
      <w:r w:rsidR="00F42A7A" w:rsidRPr="00990234">
        <w:rPr>
          <w:rFonts w:ascii="Times New Roman" w:hAnsi="Times New Roman" w:cs="Times New Roman"/>
        </w:rPr>
        <w:t>Voltage</w:t>
      </w:r>
      <w:r w:rsidR="00DD7557" w:rsidRPr="00990234">
        <w:rPr>
          <w:rFonts w:ascii="Times New Roman" w:hAnsi="Times New Roman" w:cs="Times New Roman"/>
        </w:rPr>
        <w:t>s</w:t>
      </w:r>
      <w:r w:rsidRPr="00990234">
        <w:rPr>
          <w:rFonts w:ascii="Times New Roman" w:hAnsi="Times New Roman" w:cs="Times New Roman"/>
        </w:rPr>
        <w:t xml:space="preserve"> </w:t>
      </w:r>
      <w:r w:rsidR="00DD7557" w:rsidRPr="00990234">
        <w:rPr>
          <w:rFonts w:ascii="Times New Roman" w:hAnsi="Times New Roman" w:cs="Times New Roman"/>
        </w:rPr>
        <w:t>at</w:t>
      </w:r>
      <w:r w:rsidR="00F42A7A" w:rsidRPr="00990234">
        <w:rPr>
          <w:rFonts w:ascii="Times New Roman" w:hAnsi="Times New Roman" w:cs="Times New Roman"/>
        </w:rPr>
        <w:t xml:space="preserve"> the</w:t>
      </w:r>
      <w:r w:rsidRPr="00990234">
        <w:rPr>
          <w:rFonts w:ascii="Times New Roman" w:hAnsi="Times New Roman" w:cs="Times New Roman"/>
        </w:rPr>
        <w:t xml:space="preserve"> peak voxel of the cluster</w:t>
      </w:r>
      <w:r w:rsidR="00DD7557" w:rsidRPr="00990234">
        <w:rPr>
          <w:rFonts w:ascii="Times New Roman" w:hAnsi="Times New Roman" w:cs="Times New Roman"/>
        </w:rPr>
        <w:t xml:space="preserve"> (inset, plotted on the SPM glass brain) corresponding to the</w:t>
      </w:r>
      <w:r w:rsidR="00DC3230" w:rsidRPr="00990234">
        <w:rPr>
          <w:rFonts w:ascii="Times New Roman" w:hAnsi="Times New Roman" w:cs="Times New Roman"/>
        </w:rPr>
        <w:t xml:space="preserve"> significant</w:t>
      </w:r>
      <w:r w:rsidR="00DD7557" w:rsidRPr="00990234">
        <w:rPr>
          <w:rFonts w:ascii="Times New Roman" w:hAnsi="Times New Roman" w:cs="Times New Roman"/>
        </w:rPr>
        <w:t xml:space="preserve"> Outcome-By-Expectancy interaction cluster in the Bitter condition</w:t>
      </w:r>
      <w:r w:rsidR="00DC3230" w:rsidRPr="00990234">
        <w:rPr>
          <w:rFonts w:ascii="Times New Roman" w:hAnsi="Times New Roman" w:cs="Times New Roman"/>
        </w:rPr>
        <w:t xml:space="preserve"> (upper right) and the nonsignificant Outcome-By-Expectancy interaction in the Sweet condition (lower right)</w:t>
      </w:r>
      <w:r w:rsidR="00DD7557" w:rsidRPr="00990234">
        <w:rPr>
          <w:rFonts w:ascii="Times New Roman" w:hAnsi="Times New Roman" w:cs="Times New Roman"/>
        </w:rPr>
        <w:t xml:space="preserve">. </w:t>
      </w:r>
      <w:r w:rsidRPr="00990234">
        <w:rPr>
          <w:rFonts w:ascii="Times New Roman" w:hAnsi="Times New Roman" w:cs="Times New Roman"/>
        </w:rPr>
        <w:t>Error bars represent the standard error of the mean.</w:t>
      </w:r>
      <w:r w:rsidRPr="00990234">
        <w:rPr>
          <w:rFonts w:ascii="Times New Roman" w:hAnsi="Times New Roman" w:cs="Times New Roman"/>
          <w:b/>
        </w:rPr>
        <w:t xml:space="preserve"> </w:t>
      </w:r>
      <w:r w:rsidRPr="00990234">
        <w:rPr>
          <w:rFonts w:ascii="Times New Roman" w:hAnsi="Times New Roman" w:cs="Times New Roman"/>
        </w:rPr>
        <w:t xml:space="preserve"> </w:t>
      </w:r>
    </w:p>
    <w:p w:rsidR="005B20A0" w:rsidRPr="00990234" w:rsidRDefault="005B20A0" w:rsidP="005B20A0">
      <w:pPr>
        <w:spacing w:after="0" w:line="480" w:lineRule="auto"/>
        <w:ind w:right="-113" w:firstLine="720"/>
        <w:jc w:val="center"/>
        <w:rPr>
          <w:rFonts w:ascii="Times New Roman" w:hAnsi="Times New Roman" w:cs="Times New Roman"/>
          <w:b/>
          <w:sz w:val="28"/>
          <w:szCs w:val="26"/>
          <w:u w:val="single"/>
        </w:rPr>
      </w:pPr>
      <w:r w:rsidRPr="00990234">
        <w:rPr>
          <w:rFonts w:ascii="Times New Roman" w:hAnsi="Times New Roman" w:cs="Times New Roman"/>
          <w:b/>
          <w:sz w:val="28"/>
          <w:szCs w:val="26"/>
          <w:u w:val="single"/>
        </w:rPr>
        <w:lastRenderedPageBreak/>
        <w:t>Figure</w:t>
      </w:r>
      <w:r>
        <w:rPr>
          <w:rFonts w:ascii="Times New Roman" w:hAnsi="Times New Roman" w:cs="Times New Roman"/>
          <w:b/>
          <w:sz w:val="28"/>
          <w:szCs w:val="26"/>
          <w:u w:val="single"/>
        </w:rPr>
        <w:t>s</w:t>
      </w:r>
    </w:p>
    <w:p w:rsidR="005B20A0" w:rsidRDefault="005B20A0" w:rsidP="00DD7557">
      <w:pPr>
        <w:spacing w:line="480" w:lineRule="auto"/>
        <w:ind w:firstLine="720"/>
        <w:rPr>
          <w:rFonts w:ascii="Times New Roman" w:hAnsi="Times New Roman" w:cs="Times New Roman"/>
        </w:rPr>
      </w:pPr>
    </w:p>
    <w:p w:rsidR="005B20A0" w:rsidRDefault="005B20A0" w:rsidP="00DD7557">
      <w:pPr>
        <w:spacing w:line="480" w:lineRule="auto"/>
        <w:ind w:firstLine="720"/>
        <w:rPr>
          <w:rFonts w:ascii="Times New Roman" w:hAnsi="Times New Roman" w:cs="Times New Roman"/>
        </w:rPr>
      </w:pPr>
    </w:p>
    <w:p w:rsidR="005B20A0" w:rsidRDefault="005B20A0" w:rsidP="005B20A0">
      <w:pPr>
        <w:spacing w:after="0" w:line="480" w:lineRule="auto"/>
        <w:ind w:right="-113" w:firstLine="720"/>
        <w:rPr>
          <w:rFonts w:ascii="Times New Roman" w:hAnsi="Times New Roman" w:cs="Times New Roman"/>
          <w:b/>
          <w:sz w:val="28"/>
          <w:szCs w:val="28"/>
        </w:rPr>
      </w:pPr>
      <w:r>
        <w:rPr>
          <w:noProof/>
          <w:lang w:eastAsia="en-GB"/>
        </w:rPr>
        <w:drawing>
          <wp:inline distT="0" distB="0" distL="0" distR="0" wp14:anchorId="2D0793DD" wp14:editId="16C06113">
            <wp:extent cx="5727129" cy="349134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27676" cy="3491679"/>
                    </a:xfrm>
                    <a:prstGeom prst="rect">
                      <a:avLst/>
                    </a:prstGeom>
                  </pic:spPr>
                </pic:pic>
              </a:graphicData>
            </a:graphic>
          </wp:inline>
        </w:drawing>
      </w:r>
      <w:r w:rsidRPr="00990234">
        <w:rPr>
          <w:rFonts w:ascii="Times New Roman" w:hAnsi="Times New Roman" w:cs="Times New Roman"/>
          <w:b/>
          <w:sz w:val="28"/>
          <w:szCs w:val="28"/>
        </w:rPr>
        <w:t xml:space="preserve"> </w:t>
      </w:r>
    </w:p>
    <w:p w:rsidR="005B20A0" w:rsidRDefault="005B20A0" w:rsidP="005B20A0">
      <w:pPr>
        <w:spacing w:after="0" w:line="480" w:lineRule="auto"/>
        <w:ind w:right="-113" w:firstLine="720"/>
        <w:rPr>
          <w:rFonts w:ascii="Times New Roman" w:hAnsi="Times New Roman" w:cs="Times New Roman"/>
          <w:szCs w:val="28"/>
        </w:rPr>
      </w:pPr>
      <w:proofErr w:type="gramStart"/>
      <w:r w:rsidRPr="00F460E3">
        <w:rPr>
          <w:rFonts w:ascii="Times New Roman" w:hAnsi="Times New Roman" w:cs="Times New Roman"/>
          <w:szCs w:val="28"/>
        </w:rPr>
        <w:t>Figure 1</w:t>
      </w:r>
      <w:r>
        <w:rPr>
          <w:rFonts w:ascii="Times New Roman" w:hAnsi="Times New Roman" w:cs="Times New Roman"/>
          <w:szCs w:val="28"/>
        </w:rPr>
        <w:t>.</w:t>
      </w:r>
      <w:proofErr w:type="gramEnd"/>
    </w:p>
    <w:p w:rsidR="005B20A0" w:rsidRDefault="005B20A0" w:rsidP="005B20A0">
      <w:pPr>
        <w:spacing w:after="0" w:line="480" w:lineRule="auto"/>
        <w:ind w:right="-113" w:firstLine="720"/>
        <w:rPr>
          <w:rFonts w:ascii="Times New Roman" w:hAnsi="Times New Roman" w:cs="Times New Roman"/>
          <w:szCs w:val="28"/>
        </w:rPr>
      </w:pPr>
    </w:p>
    <w:p w:rsidR="005B20A0" w:rsidRDefault="005B20A0" w:rsidP="005B20A0">
      <w:pPr>
        <w:spacing w:after="0" w:line="480" w:lineRule="auto"/>
        <w:ind w:right="-113" w:firstLine="720"/>
        <w:rPr>
          <w:rFonts w:ascii="Times New Roman" w:hAnsi="Times New Roman" w:cs="Times New Roman"/>
          <w:szCs w:val="28"/>
        </w:rPr>
      </w:pPr>
    </w:p>
    <w:p w:rsidR="005B20A0" w:rsidRDefault="005B20A0" w:rsidP="005B20A0">
      <w:pPr>
        <w:spacing w:after="0" w:line="480" w:lineRule="auto"/>
        <w:ind w:right="-113" w:firstLine="720"/>
        <w:rPr>
          <w:rFonts w:ascii="Times New Roman" w:hAnsi="Times New Roman" w:cs="Times New Roman"/>
          <w:szCs w:val="28"/>
        </w:rPr>
      </w:pPr>
    </w:p>
    <w:p w:rsidR="005B20A0" w:rsidRDefault="005B20A0" w:rsidP="005B20A0">
      <w:pPr>
        <w:spacing w:after="0" w:line="480" w:lineRule="auto"/>
        <w:ind w:right="-113" w:firstLine="720"/>
        <w:jc w:val="center"/>
        <w:rPr>
          <w:rFonts w:ascii="Times New Roman" w:hAnsi="Times New Roman" w:cs="Times New Roman"/>
          <w:b/>
          <w:sz w:val="28"/>
          <w:szCs w:val="28"/>
          <w:u w:val="single"/>
        </w:rPr>
      </w:pPr>
      <w:r>
        <w:rPr>
          <w:noProof/>
          <w:lang w:eastAsia="en-GB"/>
        </w:rPr>
        <w:lastRenderedPageBreak/>
        <w:drawing>
          <wp:inline distT="0" distB="0" distL="0" distR="0" wp14:anchorId="34B2FF72" wp14:editId="51FE933A">
            <wp:extent cx="5943600" cy="3011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011170"/>
                    </a:xfrm>
                    <a:prstGeom prst="rect">
                      <a:avLst/>
                    </a:prstGeom>
                  </pic:spPr>
                </pic:pic>
              </a:graphicData>
            </a:graphic>
          </wp:inline>
        </w:drawing>
      </w:r>
    </w:p>
    <w:p w:rsidR="005B20A0" w:rsidRDefault="005B20A0" w:rsidP="005B20A0">
      <w:pPr>
        <w:spacing w:after="0" w:line="480" w:lineRule="auto"/>
        <w:ind w:right="-113" w:firstLine="720"/>
        <w:rPr>
          <w:rFonts w:ascii="Times New Roman" w:hAnsi="Times New Roman" w:cs="Times New Roman"/>
          <w:b/>
          <w:sz w:val="28"/>
          <w:szCs w:val="28"/>
          <w:u w:val="single"/>
        </w:rPr>
      </w:pPr>
      <w:proofErr w:type="gramStart"/>
      <w:r>
        <w:rPr>
          <w:rFonts w:ascii="Times New Roman" w:hAnsi="Times New Roman" w:cs="Times New Roman"/>
          <w:szCs w:val="28"/>
        </w:rPr>
        <w:t>Figure 2</w:t>
      </w:r>
      <w:r>
        <w:rPr>
          <w:rFonts w:ascii="Times New Roman" w:hAnsi="Times New Roman" w:cs="Times New Roman"/>
          <w:szCs w:val="28"/>
        </w:rPr>
        <w:t>.</w:t>
      </w:r>
      <w:proofErr w:type="gramEnd"/>
    </w:p>
    <w:p w:rsidR="005B20A0" w:rsidRDefault="005B20A0" w:rsidP="00DD7557">
      <w:pPr>
        <w:spacing w:line="480" w:lineRule="auto"/>
        <w:ind w:firstLine="720"/>
        <w:rPr>
          <w:rFonts w:ascii="Times New Roman" w:hAnsi="Times New Roman" w:cs="Times New Roman"/>
        </w:rPr>
      </w:pPr>
    </w:p>
    <w:p w:rsidR="005B20A0" w:rsidRDefault="005B20A0" w:rsidP="00DD7557">
      <w:pPr>
        <w:spacing w:line="480" w:lineRule="auto"/>
        <w:ind w:firstLine="720"/>
        <w:rPr>
          <w:rFonts w:ascii="Times New Roman" w:hAnsi="Times New Roman" w:cs="Times New Roman"/>
        </w:rPr>
      </w:pPr>
    </w:p>
    <w:p w:rsidR="005B20A0" w:rsidRDefault="005B20A0" w:rsidP="00DD7557">
      <w:pPr>
        <w:spacing w:line="480" w:lineRule="auto"/>
        <w:ind w:firstLine="720"/>
        <w:rPr>
          <w:rFonts w:ascii="Times New Roman" w:hAnsi="Times New Roman" w:cs="Times New Roman"/>
        </w:rPr>
      </w:pPr>
    </w:p>
    <w:p w:rsidR="005B20A0" w:rsidRDefault="005B20A0" w:rsidP="00DD7557">
      <w:pPr>
        <w:spacing w:line="480" w:lineRule="auto"/>
        <w:ind w:firstLine="720"/>
        <w:rPr>
          <w:rFonts w:ascii="Times New Roman" w:hAnsi="Times New Roman" w:cs="Times New Roman"/>
        </w:rPr>
      </w:pPr>
    </w:p>
    <w:p w:rsidR="005B20A0" w:rsidRDefault="005B20A0" w:rsidP="00DD7557">
      <w:pPr>
        <w:spacing w:line="480" w:lineRule="auto"/>
        <w:ind w:firstLine="720"/>
        <w:rPr>
          <w:rFonts w:ascii="Times New Roman" w:hAnsi="Times New Roman" w:cs="Times New Roman"/>
        </w:rPr>
      </w:pPr>
    </w:p>
    <w:p w:rsidR="005B20A0" w:rsidRDefault="005B20A0" w:rsidP="00DD7557">
      <w:pPr>
        <w:spacing w:line="480" w:lineRule="auto"/>
        <w:ind w:firstLine="720"/>
        <w:rPr>
          <w:rFonts w:ascii="Times New Roman" w:hAnsi="Times New Roman" w:cs="Times New Roman"/>
        </w:rPr>
      </w:pPr>
    </w:p>
    <w:p w:rsidR="005B20A0" w:rsidRDefault="005B20A0" w:rsidP="00DD7557">
      <w:pPr>
        <w:spacing w:line="480" w:lineRule="auto"/>
        <w:ind w:firstLine="720"/>
        <w:rPr>
          <w:rFonts w:ascii="Times New Roman" w:hAnsi="Times New Roman" w:cs="Times New Roman"/>
        </w:rPr>
      </w:pPr>
    </w:p>
    <w:p w:rsidR="005B20A0" w:rsidRDefault="005B20A0" w:rsidP="005B20A0">
      <w:pPr>
        <w:spacing w:line="480" w:lineRule="auto"/>
        <w:ind w:firstLine="720"/>
        <w:rPr>
          <w:rFonts w:ascii="Times New Roman" w:hAnsi="Times New Roman" w:cs="Times New Roman"/>
        </w:rPr>
      </w:pPr>
      <w:r>
        <w:rPr>
          <w:noProof/>
          <w:lang w:eastAsia="en-GB"/>
        </w:rPr>
        <w:lastRenderedPageBreak/>
        <w:drawing>
          <wp:inline distT="0" distB="0" distL="0" distR="0" wp14:anchorId="3EDC42AD" wp14:editId="22F6B899">
            <wp:extent cx="5731510" cy="2321996"/>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2321996"/>
                    </a:xfrm>
                    <a:prstGeom prst="rect">
                      <a:avLst/>
                    </a:prstGeom>
                  </pic:spPr>
                </pic:pic>
              </a:graphicData>
            </a:graphic>
          </wp:inline>
        </w:drawing>
      </w:r>
    </w:p>
    <w:p w:rsidR="005B20A0" w:rsidRDefault="005B20A0" w:rsidP="005B20A0">
      <w:pPr>
        <w:spacing w:line="480" w:lineRule="auto"/>
        <w:ind w:firstLine="720"/>
        <w:rPr>
          <w:rFonts w:ascii="Times New Roman" w:hAnsi="Times New Roman" w:cs="Times New Roman"/>
        </w:rPr>
      </w:pPr>
      <w:proofErr w:type="gramStart"/>
      <w:r>
        <w:rPr>
          <w:rFonts w:ascii="Times New Roman" w:hAnsi="Times New Roman" w:cs="Times New Roman"/>
        </w:rPr>
        <w:t>Figure 3</w:t>
      </w:r>
      <w:r>
        <w:rPr>
          <w:rFonts w:ascii="Times New Roman" w:hAnsi="Times New Roman" w:cs="Times New Roman"/>
        </w:rPr>
        <w:t>.</w:t>
      </w:r>
      <w:proofErr w:type="gramEnd"/>
    </w:p>
    <w:p w:rsidR="005B20A0" w:rsidRDefault="005B20A0" w:rsidP="005B20A0">
      <w:pPr>
        <w:spacing w:line="480" w:lineRule="auto"/>
        <w:ind w:firstLine="720"/>
        <w:rPr>
          <w:rFonts w:ascii="Times New Roman" w:hAnsi="Times New Roman" w:cs="Times New Roman"/>
        </w:rPr>
      </w:pPr>
    </w:p>
    <w:p w:rsidR="005B20A0" w:rsidRDefault="005B20A0" w:rsidP="005B20A0">
      <w:pPr>
        <w:spacing w:line="480" w:lineRule="auto"/>
        <w:ind w:firstLine="720"/>
        <w:rPr>
          <w:rFonts w:ascii="Times New Roman" w:hAnsi="Times New Roman" w:cs="Times New Roman"/>
        </w:rPr>
      </w:pPr>
    </w:p>
    <w:p w:rsidR="005B20A0" w:rsidRDefault="005B20A0" w:rsidP="005B20A0">
      <w:pPr>
        <w:spacing w:line="480" w:lineRule="auto"/>
        <w:ind w:firstLine="720"/>
        <w:rPr>
          <w:rFonts w:ascii="Times New Roman" w:hAnsi="Times New Roman" w:cs="Times New Roman"/>
        </w:rPr>
      </w:pPr>
    </w:p>
    <w:p w:rsidR="005B20A0" w:rsidRPr="00990234" w:rsidRDefault="005B20A0" w:rsidP="005B20A0">
      <w:pPr>
        <w:spacing w:line="480" w:lineRule="auto"/>
        <w:ind w:firstLine="720"/>
        <w:rPr>
          <w:rFonts w:ascii="Times New Roman" w:hAnsi="Times New Roman" w:cs="Times New Roman"/>
        </w:rPr>
      </w:pPr>
    </w:p>
    <w:p w:rsidR="005B20A0" w:rsidRPr="00F460E3" w:rsidRDefault="005B20A0" w:rsidP="005B20A0">
      <w:pPr>
        <w:spacing w:after="0" w:line="480" w:lineRule="auto"/>
        <w:ind w:right="-113" w:firstLine="720"/>
        <w:rPr>
          <w:rFonts w:ascii="Times New Roman" w:hAnsi="Times New Roman" w:cs="Times New Roman"/>
          <w:iCs/>
        </w:rPr>
      </w:pPr>
      <w:r>
        <w:rPr>
          <w:noProof/>
          <w:lang w:eastAsia="en-GB"/>
        </w:rPr>
        <w:lastRenderedPageBreak/>
        <w:drawing>
          <wp:inline distT="0" distB="0" distL="0" distR="0" wp14:anchorId="41A82F84" wp14:editId="6C33C3DA">
            <wp:extent cx="5943600" cy="44348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4434840"/>
                    </a:xfrm>
                    <a:prstGeom prst="rect">
                      <a:avLst/>
                    </a:prstGeom>
                  </pic:spPr>
                </pic:pic>
              </a:graphicData>
            </a:graphic>
          </wp:inline>
        </w:drawing>
      </w:r>
      <w:r w:rsidRPr="00990234">
        <w:rPr>
          <w:rFonts w:ascii="Times New Roman" w:hAnsi="Times New Roman" w:cs="Times New Roman"/>
          <w:b/>
          <w:iCs/>
        </w:rPr>
        <w:t xml:space="preserve"> </w:t>
      </w:r>
      <w:proofErr w:type="gramStart"/>
      <w:r>
        <w:rPr>
          <w:rFonts w:ascii="Times New Roman" w:hAnsi="Times New Roman" w:cs="Times New Roman"/>
          <w:iCs/>
        </w:rPr>
        <w:t>Figure 4</w:t>
      </w:r>
      <w:r>
        <w:rPr>
          <w:rFonts w:ascii="Times New Roman" w:hAnsi="Times New Roman" w:cs="Times New Roman"/>
          <w:iCs/>
        </w:rPr>
        <w:t>.</w:t>
      </w:r>
      <w:proofErr w:type="gramEnd"/>
    </w:p>
    <w:p w:rsidR="005B20A0" w:rsidRPr="00990234" w:rsidRDefault="005B20A0" w:rsidP="00DD7557">
      <w:pPr>
        <w:spacing w:line="480" w:lineRule="auto"/>
        <w:ind w:firstLine="720"/>
        <w:rPr>
          <w:rFonts w:ascii="Times New Roman" w:hAnsi="Times New Roman" w:cs="Times New Roman"/>
        </w:rPr>
      </w:pPr>
    </w:p>
    <w:sectPr w:rsidR="005B20A0" w:rsidRPr="00990234" w:rsidSect="00750235">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0434" w:rsidRDefault="00500434" w:rsidP="003B7F76">
      <w:pPr>
        <w:spacing w:after="0" w:line="240" w:lineRule="auto"/>
      </w:pPr>
      <w:r>
        <w:separator/>
      </w:r>
    </w:p>
  </w:endnote>
  <w:endnote w:type="continuationSeparator" w:id="0">
    <w:p w:rsidR="00500434" w:rsidRDefault="00500434" w:rsidP="003B7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6306748"/>
      <w:docPartObj>
        <w:docPartGallery w:val="Page Numbers (Bottom of Page)"/>
        <w:docPartUnique/>
      </w:docPartObj>
    </w:sdtPr>
    <w:sdtEndPr>
      <w:rPr>
        <w:noProof/>
      </w:rPr>
    </w:sdtEndPr>
    <w:sdtContent>
      <w:p w:rsidR="004557F5" w:rsidRDefault="004557F5">
        <w:pPr>
          <w:pStyle w:val="Footer"/>
        </w:pPr>
        <w:r>
          <w:fldChar w:fldCharType="begin"/>
        </w:r>
        <w:r>
          <w:instrText xml:space="preserve"> PAGE   \* MERGEFORMAT </w:instrText>
        </w:r>
        <w:r>
          <w:fldChar w:fldCharType="separate"/>
        </w:r>
        <w:r w:rsidR="005B20A0">
          <w:rPr>
            <w:noProof/>
          </w:rPr>
          <w:t>14</w:t>
        </w:r>
        <w:r>
          <w:rPr>
            <w:noProof/>
          </w:rPr>
          <w:fldChar w:fldCharType="end"/>
        </w:r>
      </w:p>
    </w:sdtContent>
  </w:sdt>
  <w:p w:rsidR="004557F5" w:rsidRDefault="004557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0434" w:rsidRDefault="00500434" w:rsidP="003B7F76">
      <w:pPr>
        <w:spacing w:after="0" w:line="240" w:lineRule="auto"/>
      </w:pPr>
      <w:r>
        <w:separator/>
      </w:r>
    </w:p>
  </w:footnote>
  <w:footnote w:type="continuationSeparator" w:id="0">
    <w:p w:rsidR="00500434" w:rsidRDefault="00500434" w:rsidP="003B7F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FA144A"/>
    <w:multiLevelType w:val="hybridMultilevel"/>
    <w:tmpl w:val="A5B2282C"/>
    <w:lvl w:ilvl="0" w:tplc="BA76AFA4">
      <w:start w:val="1"/>
      <w:numFmt w:val="decimal"/>
      <w:lvlText w:val="%1."/>
      <w:lvlJc w:val="left"/>
      <w:pPr>
        <w:ind w:left="-1199" w:hanging="360"/>
      </w:pPr>
      <w:rPr>
        <w:rFonts w:hint="default"/>
      </w:rPr>
    </w:lvl>
    <w:lvl w:ilvl="1" w:tplc="08090019" w:tentative="1">
      <w:start w:val="1"/>
      <w:numFmt w:val="lowerLetter"/>
      <w:lvlText w:val="%2."/>
      <w:lvlJc w:val="left"/>
      <w:pPr>
        <w:ind w:left="-479" w:hanging="360"/>
      </w:pPr>
    </w:lvl>
    <w:lvl w:ilvl="2" w:tplc="0809001B" w:tentative="1">
      <w:start w:val="1"/>
      <w:numFmt w:val="lowerRoman"/>
      <w:lvlText w:val="%3."/>
      <w:lvlJc w:val="right"/>
      <w:pPr>
        <w:ind w:left="241" w:hanging="180"/>
      </w:pPr>
    </w:lvl>
    <w:lvl w:ilvl="3" w:tplc="0809000F" w:tentative="1">
      <w:start w:val="1"/>
      <w:numFmt w:val="decimal"/>
      <w:lvlText w:val="%4."/>
      <w:lvlJc w:val="left"/>
      <w:pPr>
        <w:ind w:left="961" w:hanging="360"/>
      </w:pPr>
    </w:lvl>
    <w:lvl w:ilvl="4" w:tplc="08090019" w:tentative="1">
      <w:start w:val="1"/>
      <w:numFmt w:val="lowerLetter"/>
      <w:lvlText w:val="%5."/>
      <w:lvlJc w:val="left"/>
      <w:pPr>
        <w:ind w:left="1681" w:hanging="360"/>
      </w:pPr>
    </w:lvl>
    <w:lvl w:ilvl="5" w:tplc="0809001B" w:tentative="1">
      <w:start w:val="1"/>
      <w:numFmt w:val="lowerRoman"/>
      <w:lvlText w:val="%6."/>
      <w:lvlJc w:val="right"/>
      <w:pPr>
        <w:ind w:left="2401" w:hanging="180"/>
      </w:pPr>
    </w:lvl>
    <w:lvl w:ilvl="6" w:tplc="0809000F" w:tentative="1">
      <w:start w:val="1"/>
      <w:numFmt w:val="decimal"/>
      <w:lvlText w:val="%7."/>
      <w:lvlJc w:val="left"/>
      <w:pPr>
        <w:ind w:left="3121" w:hanging="360"/>
      </w:pPr>
    </w:lvl>
    <w:lvl w:ilvl="7" w:tplc="08090019" w:tentative="1">
      <w:start w:val="1"/>
      <w:numFmt w:val="lowerLetter"/>
      <w:lvlText w:val="%8."/>
      <w:lvlJc w:val="left"/>
      <w:pPr>
        <w:ind w:left="3841" w:hanging="360"/>
      </w:pPr>
    </w:lvl>
    <w:lvl w:ilvl="8" w:tplc="0809001B" w:tentative="1">
      <w:start w:val="1"/>
      <w:numFmt w:val="lowerRoman"/>
      <w:lvlText w:val="%9."/>
      <w:lvlJc w:val="right"/>
      <w:pPr>
        <w:ind w:left="4561" w:hanging="180"/>
      </w:pPr>
    </w:lvl>
  </w:abstractNum>
  <w:abstractNum w:abstractNumId="1">
    <w:nsid w:val="6AC30EAE"/>
    <w:multiLevelType w:val="hybridMultilevel"/>
    <w:tmpl w:val="BEDA348E"/>
    <w:lvl w:ilvl="0" w:tplc="938CFAB0">
      <w:start w:val="1"/>
      <w:numFmt w:val="decimal"/>
      <w:lvlText w:val="%1."/>
      <w:lvlJc w:val="left"/>
      <w:pPr>
        <w:ind w:left="720" w:hanging="360"/>
      </w:pPr>
      <w:rPr>
        <w:rFonts w:ascii="Calibri" w:hAnsi="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901"/>
    <w:rsid w:val="0000106F"/>
    <w:rsid w:val="000023CB"/>
    <w:rsid w:val="000106F9"/>
    <w:rsid w:val="000149EF"/>
    <w:rsid w:val="0002593B"/>
    <w:rsid w:val="00030EE3"/>
    <w:rsid w:val="00031E6A"/>
    <w:rsid w:val="0003254E"/>
    <w:rsid w:val="00033533"/>
    <w:rsid w:val="0003354C"/>
    <w:rsid w:val="00036D02"/>
    <w:rsid w:val="00047511"/>
    <w:rsid w:val="000502C9"/>
    <w:rsid w:val="00054927"/>
    <w:rsid w:val="000559DF"/>
    <w:rsid w:val="00055F83"/>
    <w:rsid w:val="00056801"/>
    <w:rsid w:val="00060870"/>
    <w:rsid w:val="000622B4"/>
    <w:rsid w:val="00070938"/>
    <w:rsid w:val="00070BFD"/>
    <w:rsid w:val="000742DB"/>
    <w:rsid w:val="0007556F"/>
    <w:rsid w:val="00083317"/>
    <w:rsid w:val="0008447B"/>
    <w:rsid w:val="00086C1F"/>
    <w:rsid w:val="000924D6"/>
    <w:rsid w:val="00096E59"/>
    <w:rsid w:val="000A1E2B"/>
    <w:rsid w:val="000A43EA"/>
    <w:rsid w:val="000A4FD7"/>
    <w:rsid w:val="000A5CC8"/>
    <w:rsid w:val="000B4489"/>
    <w:rsid w:val="000B69BE"/>
    <w:rsid w:val="000C0295"/>
    <w:rsid w:val="000C0FC7"/>
    <w:rsid w:val="000C18AF"/>
    <w:rsid w:val="000C3522"/>
    <w:rsid w:val="000C7AE4"/>
    <w:rsid w:val="000D1C92"/>
    <w:rsid w:val="000D300B"/>
    <w:rsid w:val="000D51E5"/>
    <w:rsid w:val="000E200B"/>
    <w:rsid w:val="000E30BD"/>
    <w:rsid w:val="000E5F4B"/>
    <w:rsid w:val="000E6EA9"/>
    <w:rsid w:val="000F32D9"/>
    <w:rsid w:val="001006F9"/>
    <w:rsid w:val="00101A98"/>
    <w:rsid w:val="00105326"/>
    <w:rsid w:val="001115CB"/>
    <w:rsid w:val="0011318A"/>
    <w:rsid w:val="0011356D"/>
    <w:rsid w:val="00117FFB"/>
    <w:rsid w:val="00120D0F"/>
    <w:rsid w:val="00131B11"/>
    <w:rsid w:val="00133448"/>
    <w:rsid w:val="001346CB"/>
    <w:rsid w:val="00134D59"/>
    <w:rsid w:val="0013560A"/>
    <w:rsid w:val="00136582"/>
    <w:rsid w:val="001370C2"/>
    <w:rsid w:val="00142FF8"/>
    <w:rsid w:val="0014314D"/>
    <w:rsid w:val="00144223"/>
    <w:rsid w:val="00146B28"/>
    <w:rsid w:val="00161701"/>
    <w:rsid w:val="001633C3"/>
    <w:rsid w:val="00164083"/>
    <w:rsid w:val="00165A6F"/>
    <w:rsid w:val="001662BB"/>
    <w:rsid w:val="0017079D"/>
    <w:rsid w:val="0017415D"/>
    <w:rsid w:val="001847B3"/>
    <w:rsid w:val="001A4B7F"/>
    <w:rsid w:val="001B07FC"/>
    <w:rsid w:val="001B0DAA"/>
    <w:rsid w:val="001B11F5"/>
    <w:rsid w:val="001C1D71"/>
    <w:rsid w:val="001C3C09"/>
    <w:rsid w:val="001C7B8B"/>
    <w:rsid w:val="001D01A8"/>
    <w:rsid w:val="001D5DF2"/>
    <w:rsid w:val="001E1B4B"/>
    <w:rsid w:val="001E4B53"/>
    <w:rsid w:val="001E510A"/>
    <w:rsid w:val="001E52B0"/>
    <w:rsid w:val="001E5E4E"/>
    <w:rsid w:val="001E68C1"/>
    <w:rsid w:val="001F223D"/>
    <w:rsid w:val="001F7582"/>
    <w:rsid w:val="00201E3A"/>
    <w:rsid w:val="0020411E"/>
    <w:rsid w:val="002044E6"/>
    <w:rsid w:val="0021638C"/>
    <w:rsid w:val="00220C1F"/>
    <w:rsid w:val="0022188C"/>
    <w:rsid w:val="002232BB"/>
    <w:rsid w:val="00223395"/>
    <w:rsid w:val="0022718B"/>
    <w:rsid w:val="002273EE"/>
    <w:rsid w:val="002300AA"/>
    <w:rsid w:val="00231531"/>
    <w:rsid w:val="0023281A"/>
    <w:rsid w:val="002338BF"/>
    <w:rsid w:val="00237B9A"/>
    <w:rsid w:val="002436B4"/>
    <w:rsid w:val="00243B96"/>
    <w:rsid w:val="002440EE"/>
    <w:rsid w:val="0024516B"/>
    <w:rsid w:val="00252910"/>
    <w:rsid w:val="002537CE"/>
    <w:rsid w:val="002552D2"/>
    <w:rsid w:val="002561EE"/>
    <w:rsid w:val="00256A9C"/>
    <w:rsid w:val="002576E0"/>
    <w:rsid w:val="002610B0"/>
    <w:rsid w:val="00262E52"/>
    <w:rsid w:val="0027332D"/>
    <w:rsid w:val="00273ACF"/>
    <w:rsid w:val="00274353"/>
    <w:rsid w:val="00276F1C"/>
    <w:rsid w:val="00281920"/>
    <w:rsid w:val="00282B32"/>
    <w:rsid w:val="00284BCE"/>
    <w:rsid w:val="00285C10"/>
    <w:rsid w:val="00285E01"/>
    <w:rsid w:val="002873AA"/>
    <w:rsid w:val="00293573"/>
    <w:rsid w:val="0029678C"/>
    <w:rsid w:val="002A6481"/>
    <w:rsid w:val="002A6EDB"/>
    <w:rsid w:val="002B0D2E"/>
    <w:rsid w:val="002B2274"/>
    <w:rsid w:val="002B2E5D"/>
    <w:rsid w:val="002D004F"/>
    <w:rsid w:val="002D2155"/>
    <w:rsid w:val="002D2AEF"/>
    <w:rsid w:val="002E1387"/>
    <w:rsid w:val="002F0225"/>
    <w:rsid w:val="002F350D"/>
    <w:rsid w:val="002F5032"/>
    <w:rsid w:val="003003DC"/>
    <w:rsid w:val="00300658"/>
    <w:rsid w:val="00300D04"/>
    <w:rsid w:val="0030125F"/>
    <w:rsid w:val="00301317"/>
    <w:rsid w:val="00301581"/>
    <w:rsid w:val="0030228D"/>
    <w:rsid w:val="0031042D"/>
    <w:rsid w:val="00310CA3"/>
    <w:rsid w:val="00311635"/>
    <w:rsid w:val="003202C8"/>
    <w:rsid w:val="00322022"/>
    <w:rsid w:val="0032414C"/>
    <w:rsid w:val="0032739A"/>
    <w:rsid w:val="00331FB4"/>
    <w:rsid w:val="00333C4A"/>
    <w:rsid w:val="003369A2"/>
    <w:rsid w:val="003423F6"/>
    <w:rsid w:val="00345737"/>
    <w:rsid w:val="00347632"/>
    <w:rsid w:val="0035321C"/>
    <w:rsid w:val="00353AE1"/>
    <w:rsid w:val="00355887"/>
    <w:rsid w:val="0036759C"/>
    <w:rsid w:val="00372515"/>
    <w:rsid w:val="003761B4"/>
    <w:rsid w:val="003800F6"/>
    <w:rsid w:val="00382389"/>
    <w:rsid w:val="00383EF3"/>
    <w:rsid w:val="003844BF"/>
    <w:rsid w:val="00392F43"/>
    <w:rsid w:val="00395340"/>
    <w:rsid w:val="003A2B00"/>
    <w:rsid w:val="003A31DC"/>
    <w:rsid w:val="003A6C3A"/>
    <w:rsid w:val="003B7F76"/>
    <w:rsid w:val="003C0623"/>
    <w:rsid w:val="003C3EA7"/>
    <w:rsid w:val="003C457F"/>
    <w:rsid w:val="003D7853"/>
    <w:rsid w:val="003E5097"/>
    <w:rsid w:val="003E7446"/>
    <w:rsid w:val="003E75FC"/>
    <w:rsid w:val="003F4A37"/>
    <w:rsid w:val="003F7FB9"/>
    <w:rsid w:val="00400599"/>
    <w:rsid w:val="004013A2"/>
    <w:rsid w:val="00405B4A"/>
    <w:rsid w:val="004075E4"/>
    <w:rsid w:val="00411BC3"/>
    <w:rsid w:val="00416AE2"/>
    <w:rsid w:val="00426F0F"/>
    <w:rsid w:val="00426FE8"/>
    <w:rsid w:val="00433F43"/>
    <w:rsid w:val="00436837"/>
    <w:rsid w:val="00445B29"/>
    <w:rsid w:val="004471AC"/>
    <w:rsid w:val="00454479"/>
    <w:rsid w:val="004546D1"/>
    <w:rsid w:val="004555F8"/>
    <w:rsid w:val="004557F5"/>
    <w:rsid w:val="00457816"/>
    <w:rsid w:val="00460910"/>
    <w:rsid w:val="0046444F"/>
    <w:rsid w:val="00472080"/>
    <w:rsid w:val="00477B59"/>
    <w:rsid w:val="00477D10"/>
    <w:rsid w:val="004852B2"/>
    <w:rsid w:val="00486111"/>
    <w:rsid w:val="00490B44"/>
    <w:rsid w:val="0049252B"/>
    <w:rsid w:val="0049588A"/>
    <w:rsid w:val="00495A13"/>
    <w:rsid w:val="004A0523"/>
    <w:rsid w:val="004A3F67"/>
    <w:rsid w:val="004A48F0"/>
    <w:rsid w:val="004A72C3"/>
    <w:rsid w:val="004B16BD"/>
    <w:rsid w:val="004B32D6"/>
    <w:rsid w:val="004B3DC9"/>
    <w:rsid w:val="004B59E7"/>
    <w:rsid w:val="004C0CF1"/>
    <w:rsid w:val="004C120B"/>
    <w:rsid w:val="004C2089"/>
    <w:rsid w:val="004C296B"/>
    <w:rsid w:val="004C5375"/>
    <w:rsid w:val="004C7175"/>
    <w:rsid w:val="004D27BD"/>
    <w:rsid w:val="004D353A"/>
    <w:rsid w:val="004E0378"/>
    <w:rsid w:val="004E2652"/>
    <w:rsid w:val="004E54F7"/>
    <w:rsid w:val="004F06B8"/>
    <w:rsid w:val="004F6D37"/>
    <w:rsid w:val="00500434"/>
    <w:rsid w:val="00502EE8"/>
    <w:rsid w:val="005042FF"/>
    <w:rsid w:val="005064EC"/>
    <w:rsid w:val="005230EE"/>
    <w:rsid w:val="005231FF"/>
    <w:rsid w:val="00526E12"/>
    <w:rsid w:val="005403C3"/>
    <w:rsid w:val="00542F3D"/>
    <w:rsid w:val="00553A5B"/>
    <w:rsid w:val="00565C4F"/>
    <w:rsid w:val="0056603C"/>
    <w:rsid w:val="00570023"/>
    <w:rsid w:val="0057173F"/>
    <w:rsid w:val="00576E4F"/>
    <w:rsid w:val="00577941"/>
    <w:rsid w:val="00577942"/>
    <w:rsid w:val="00582FDB"/>
    <w:rsid w:val="00583179"/>
    <w:rsid w:val="00584A09"/>
    <w:rsid w:val="0058766F"/>
    <w:rsid w:val="00591E2C"/>
    <w:rsid w:val="0059487E"/>
    <w:rsid w:val="00594FAB"/>
    <w:rsid w:val="00595AAB"/>
    <w:rsid w:val="00597534"/>
    <w:rsid w:val="005A3882"/>
    <w:rsid w:val="005A7566"/>
    <w:rsid w:val="005B0951"/>
    <w:rsid w:val="005B20A0"/>
    <w:rsid w:val="005B5E80"/>
    <w:rsid w:val="005C1B45"/>
    <w:rsid w:val="005D1621"/>
    <w:rsid w:val="005E09C9"/>
    <w:rsid w:val="005E2EF0"/>
    <w:rsid w:val="005E4DBE"/>
    <w:rsid w:val="005E7BFE"/>
    <w:rsid w:val="005F01CD"/>
    <w:rsid w:val="005F375E"/>
    <w:rsid w:val="005F44EF"/>
    <w:rsid w:val="005F5805"/>
    <w:rsid w:val="005F590B"/>
    <w:rsid w:val="006065CB"/>
    <w:rsid w:val="00612021"/>
    <w:rsid w:val="0061358D"/>
    <w:rsid w:val="00614B8E"/>
    <w:rsid w:val="006205DA"/>
    <w:rsid w:val="00621919"/>
    <w:rsid w:val="00622A87"/>
    <w:rsid w:val="006235CC"/>
    <w:rsid w:val="006279E7"/>
    <w:rsid w:val="00630A4E"/>
    <w:rsid w:val="00632EFB"/>
    <w:rsid w:val="0063556B"/>
    <w:rsid w:val="00642DC5"/>
    <w:rsid w:val="00646B33"/>
    <w:rsid w:val="006543EA"/>
    <w:rsid w:val="00654698"/>
    <w:rsid w:val="00655B8F"/>
    <w:rsid w:val="00655CE8"/>
    <w:rsid w:val="006613AF"/>
    <w:rsid w:val="0066165E"/>
    <w:rsid w:val="00663174"/>
    <w:rsid w:val="00663CBD"/>
    <w:rsid w:val="00670E50"/>
    <w:rsid w:val="006723CD"/>
    <w:rsid w:val="00675F3B"/>
    <w:rsid w:val="00682B2B"/>
    <w:rsid w:val="00683DC1"/>
    <w:rsid w:val="00685DC1"/>
    <w:rsid w:val="0069152E"/>
    <w:rsid w:val="00695162"/>
    <w:rsid w:val="006A204B"/>
    <w:rsid w:val="006B00F7"/>
    <w:rsid w:val="006B1879"/>
    <w:rsid w:val="006B1ED1"/>
    <w:rsid w:val="006B2891"/>
    <w:rsid w:val="006C15EE"/>
    <w:rsid w:val="006C5415"/>
    <w:rsid w:val="006C7C15"/>
    <w:rsid w:val="006D0668"/>
    <w:rsid w:val="006D683B"/>
    <w:rsid w:val="006D79D1"/>
    <w:rsid w:val="006E0C98"/>
    <w:rsid w:val="006E626D"/>
    <w:rsid w:val="006E699F"/>
    <w:rsid w:val="006F145E"/>
    <w:rsid w:val="006F3580"/>
    <w:rsid w:val="006F4CE1"/>
    <w:rsid w:val="006F7B62"/>
    <w:rsid w:val="00700C53"/>
    <w:rsid w:val="00701DB1"/>
    <w:rsid w:val="00705274"/>
    <w:rsid w:val="00705ABA"/>
    <w:rsid w:val="0071104B"/>
    <w:rsid w:val="00712020"/>
    <w:rsid w:val="00714357"/>
    <w:rsid w:val="00714F09"/>
    <w:rsid w:val="00715741"/>
    <w:rsid w:val="00717D30"/>
    <w:rsid w:val="007235DA"/>
    <w:rsid w:val="0073243C"/>
    <w:rsid w:val="007415D8"/>
    <w:rsid w:val="00745CDE"/>
    <w:rsid w:val="0074685E"/>
    <w:rsid w:val="00750235"/>
    <w:rsid w:val="0075442A"/>
    <w:rsid w:val="0075556D"/>
    <w:rsid w:val="00755579"/>
    <w:rsid w:val="00756796"/>
    <w:rsid w:val="00756F8A"/>
    <w:rsid w:val="007612BD"/>
    <w:rsid w:val="00763854"/>
    <w:rsid w:val="00766161"/>
    <w:rsid w:val="00767CC7"/>
    <w:rsid w:val="00776FBB"/>
    <w:rsid w:val="00777362"/>
    <w:rsid w:val="0078473B"/>
    <w:rsid w:val="00786D5B"/>
    <w:rsid w:val="00790A46"/>
    <w:rsid w:val="00793927"/>
    <w:rsid w:val="00795E32"/>
    <w:rsid w:val="007A0628"/>
    <w:rsid w:val="007A39DF"/>
    <w:rsid w:val="007A5E9B"/>
    <w:rsid w:val="007A7B92"/>
    <w:rsid w:val="007B5B50"/>
    <w:rsid w:val="007B761F"/>
    <w:rsid w:val="007C00B0"/>
    <w:rsid w:val="007C5ACF"/>
    <w:rsid w:val="007C6443"/>
    <w:rsid w:val="007D5087"/>
    <w:rsid w:val="007E22DD"/>
    <w:rsid w:val="007E6658"/>
    <w:rsid w:val="007F17F2"/>
    <w:rsid w:val="007F2EF3"/>
    <w:rsid w:val="007F64D1"/>
    <w:rsid w:val="007F67E9"/>
    <w:rsid w:val="00802C17"/>
    <w:rsid w:val="00803A6C"/>
    <w:rsid w:val="00806289"/>
    <w:rsid w:val="00807FBD"/>
    <w:rsid w:val="00811648"/>
    <w:rsid w:val="0081525C"/>
    <w:rsid w:val="0081532B"/>
    <w:rsid w:val="00816DD2"/>
    <w:rsid w:val="00827480"/>
    <w:rsid w:val="00832E63"/>
    <w:rsid w:val="00835190"/>
    <w:rsid w:val="0084300A"/>
    <w:rsid w:val="00843A57"/>
    <w:rsid w:val="00845EEC"/>
    <w:rsid w:val="00847332"/>
    <w:rsid w:val="00847895"/>
    <w:rsid w:val="00847A48"/>
    <w:rsid w:val="00857698"/>
    <w:rsid w:val="00861719"/>
    <w:rsid w:val="00862D77"/>
    <w:rsid w:val="00863ADA"/>
    <w:rsid w:val="0086638A"/>
    <w:rsid w:val="00867930"/>
    <w:rsid w:val="00872FC0"/>
    <w:rsid w:val="00880F02"/>
    <w:rsid w:val="00881045"/>
    <w:rsid w:val="00881127"/>
    <w:rsid w:val="00881422"/>
    <w:rsid w:val="0088709E"/>
    <w:rsid w:val="00892C73"/>
    <w:rsid w:val="00894EA4"/>
    <w:rsid w:val="008A1BF8"/>
    <w:rsid w:val="008A4BDB"/>
    <w:rsid w:val="008B09B2"/>
    <w:rsid w:val="008B1451"/>
    <w:rsid w:val="008C1429"/>
    <w:rsid w:val="008C3092"/>
    <w:rsid w:val="008C5827"/>
    <w:rsid w:val="008C5E3B"/>
    <w:rsid w:val="008C7C5D"/>
    <w:rsid w:val="008D01F8"/>
    <w:rsid w:val="008D0A83"/>
    <w:rsid w:val="008D2F71"/>
    <w:rsid w:val="008D3F45"/>
    <w:rsid w:val="008E0527"/>
    <w:rsid w:val="008E12EE"/>
    <w:rsid w:val="008F0FC3"/>
    <w:rsid w:val="008F2447"/>
    <w:rsid w:val="008F5BA8"/>
    <w:rsid w:val="008F66ED"/>
    <w:rsid w:val="009002E1"/>
    <w:rsid w:val="00901291"/>
    <w:rsid w:val="009021AE"/>
    <w:rsid w:val="009024D7"/>
    <w:rsid w:val="0090415A"/>
    <w:rsid w:val="00906E68"/>
    <w:rsid w:val="00913439"/>
    <w:rsid w:val="00913AFD"/>
    <w:rsid w:val="00926471"/>
    <w:rsid w:val="00927508"/>
    <w:rsid w:val="00930C10"/>
    <w:rsid w:val="00931384"/>
    <w:rsid w:val="00936A18"/>
    <w:rsid w:val="00937E7D"/>
    <w:rsid w:val="00942B00"/>
    <w:rsid w:val="00947CFD"/>
    <w:rsid w:val="00950988"/>
    <w:rsid w:val="009541AB"/>
    <w:rsid w:val="00955AED"/>
    <w:rsid w:val="00957B7A"/>
    <w:rsid w:val="009608AC"/>
    <w:rsid w:val="00960F53"/>
    <w:rsid w:val="00964351"/>
    <w:rsid w:val="0096703B"/>
    <w:rsid w:val="00971276"/>
    <w:rsid w:val="009754E3"/>
    <w:rsid w:val="0097741F"/>
    <w:rsid w:val="0097778E"/>
    <w:rsid w:val="00980DD0"/>
    <w:rsid w:val="00981976"/>
    <w:rsid w:val="00983464"/>
    <w:rsid w:val="00986158"/>
    <w:rsid w:val="00990234"/>
    <w:rsid w:val="0099030F"/>
    <w:rsid w:val="0099258E"/>
    <w:rsid w:val="009927E2"/>
    <w:rsid w:val="00994650"/>
    <w:rsid w:val="009952C0"/>
    <w:rsid w:val="00996615"/>
    <w:rsid w:val="009A241B"/>
    <w:rsid w:val="009A67BA"/>
    <w:rsid w:val="009A78A9"/>
    <w:rsid w:val="009B3E9D"/>
    <w:rsid w:val="009B7025"/>
    <w:rsid w:val="009C200D"/>
    <w:rsid w:val="009C305B"/>
    <w:rsid w:val="009C5E2E"/>
    <w:rsid w:val="009C6832"/>
    <w:rsid w:val="009F2E0B"/>
    <w:rsid w:val="009F3D9C"/>
    <w:rsid w:val="009F70C7"/>
    <w:rsid w:val="009F7366"/>
    <w:rsid w:val="00A03C67"/>
    <w:rsid w:val="00A03EBA"/>
    <w:rsid w:val="00A04D0D"/>
    <w:rsid w:val="00A10BEE"/>
    <w:rsid w:val="00A11B44"/>
    <w:rsid w:val="00A13610"/>
    <w:rsid w:val="00A15AA6"/>
    <w:rsid w:val="00A16203"/>
    <w:rsid w:val="00A165C7"/>
    <w:rsid w:val="00A21D79"/>
    <w:rsid w:val="00A25360"/>
    <w:rsid w:val="00A278C3"/>
    <w:rsid w:val="00A3073F"/>
    <w:rsid w:val="00A30DB0"/>
    <w:rsid w:val="00A31C3E"/>
    <w:rsid w:val="00A34B86"/>
    <w:rsid w:val="00A43C97"/>
    <w:rsid w:val="00A4440A"/>
    <w:rsid w:val="00A446FC"/>
    <w:rsid w:val="00A45901"/>
    <w:rsid w:val="00A460D4"/>
    <w:rsid w:val="00A54AA8"/>
    <w:rsid w:val="00A62732"/>
    <w:rsid w:val="00A6298E"/>
    <w:rsid w:val="00A6366C"/>
    <w:rsid w:val="00A663E8"/>
    <w:rsid w:val="00A71AFC"/>
    <w:rsid w:val="00A728A1"/>
    <w:rsid w:val="00A76464"/>
    <w:rsid w:val="00A825B4"/>
    <w:rsid w:val="00A831B1"/>
    <w:rsid w:val="00A85F9B"/>
    <w:rsid w:val="00A86704"/>
    <w:rsid w:val="00A867DA"/>
    <w:rsid w:val="00A87AA6"/>
    <w:rsid w:val="00A938C1"/>
    <w:rsid w:val="00A95A81"/>
    <w:rsid w:val="00A97DCA"/>
    <w:rsid w:val="00AA050F"/>
    <w:rsid w:val="00AB0F67"/>
    <w:rsid w:val="00AB202B"/>
    <w:rsid w:val="00AC1ED3"/>
    <w:rsid w:val="00AC2EA9"/>
    <w:rsid w:val="00AD543F"/>
    <w:rsid w:val="00AE1CF0"/>
    <w:rsid w:val="00AE26A2"/>
    <w:rsid w:val="00AE44BE"/>
    <w:rsid w:val="00AE63E6"/>
    <w:rsid w:val="00AF053C"/>
    <w:rsid w:val="00AF64AA"/>
    <w:rsid w:val="00AF6B8A"/>
    <w:rsid w:val="00B0000A"/>
    <w:rsid w:val="00B01F9F"/>
    <w:rsid w:val="00B0437D"/>
    <w:rsid w:val="00B0768C"/>
    <w:rsid w:val="00B11A74"/>
    <w:rsid w:val="00B176A4"/>
    <w:rsid w:val="00B27F01"/>
    <w:rsid w:val="00B324CE"/>
    <w:rsid w:val="00B43A6F"/>
    <w:rsid w:val="00B4524B"/>
    <w:rsid w:val="00B475EF"/>
    <w:rsid w:val="00B50295"/>
    <w:rsid w:val="00B5083B"/>
    <w:rsid w:val="00B51CF9"/>
    <w:rsid w:val="00B53575"/>
    <w:rsid w:val="00B5533E"/>
    <w:rsid w:val="00B5711D"/>
    <w:rsid w:val="00B57F44"/>
    <w:rsid w:val="00B655DF"/>
    <w:rsid w:val="00B65C88"/>
    <w:rsid w:val="00B70F9E"/>
    <w:rsid w:val="00B74480"/>
    <w:rsid w:val="00B821DB"/>
    <w:rsid w:val="00B8353F"/>
    <w:rsid w:val="00B84B63"/>
    <w:rsid w:val="00B86AD1"/>
    <w:rsid w:val="00B92576"/>
    <w:rsid w:val="00B92F9F"/>
    <w:rsid w:val="00B94F32"/>
    <w:rsid w:val="00B9536B"/>
    <w:rsid w:val="00B96660"/>
    <w:rsid w:val="00B96960"/>
    <w:rsid w:val="00BA2244"/>
    <w:rsid w:val="00BA56D1"/>
    <w:rsid w:val="00BA6EF4"/>
    <w:rsid w:val="00BB2F7C"/>
    <w:rsid w:val="00BB36E2"/>
    <w:rsid w:val="00BB69C4"/>
    <w:rsid w:val="00BC144D"/>
    <w:rsid w:val="00BC2D82"/>
    <w:rsid w:val="00BD0512"/>
    <w:rsid w:val="00BD4B62"/>
    <w:rsid w:val="00BD50BC"/>
    <w:rsid w:val="00BD769E"/>
    <w:rsid w:val="00BE0360"/>
    <w:rsid w:val="00BE1989"/>
    <w:rsid w:val="00BE1C7E"/>
    <w:rsid w:val="00BE4A0D"/>
    <w:rsid w:val="00BF26BC"/>
    <w:rsid w:val="00BF44EE"/>
    <w:rsid w:val="00BF4543"/>
    <w:rsid w:val="00C06EE8"/>
    <w:rsid w:val="00C0725D"/>
    <w:rsid w:val="00C1462C"/>
    <w:rsid w:val="00C16E89"/>
    <w:rsid w:val="00C205F1"/>
    <w:rsid w:val="00C22575"/>
    <w:rsid w:val="00C2657F"/>
    <w:rsid w:val="00C303E7"/>
    <w:rsid w:val="00C30850"/>
    <w:rsid w:val="00C315C6"/>
    <w:rsid w:val="00C31745"/>
    <w:rsid w:val="00C36CE1"/>
    <w:rsid w:val="00C41098"/>
    <w:rsid w:val="00C418DD"/>
    <w:rsid w:val="00C47B67"/>
    <w:rsid w:val="00C56897"/>
    <w:rsid w:val="00C6014E"/>
    <w:rsid w:val="00C65E40"/>
    <w:rsid w:val="00C675B7"/>
    <w:rsid w:val="00C67988"/>
    <w:rsid w:val="00C7014D"/>
    <w:rsid w:val="00C74D8A"/>
    <w:rsid w:val="00C75026"/>
    <w:rsid w:val="00C76230"/>
    <w:rsid w:val="00C763A2"/>
    <w:rsid w:val="00C76B36"/>
    <w:rsid w:val="00C83AB5"/>
    <w:rsid w:val="00C83FA7"/>
    <w:rsid w:val="00C914D8"/>
    <w:rsid w:val="00C96FF5"/>
    <w:rsid w:val="00C97F5D"/>
    <w:rsid w:val="00CA264F"/>
    <w:rsid w:val="00CA58DD"/>
    <w:rsid w:val="00CA7ED1"/>
    <w:rsid w:val="00CB1BEA"/>
    <w:rsid w:val="00CB21E3"/>
    <w:rsid w:val="00CB416D"/>
    <w:rsid w:val="00CB538F"/>
    <w:rsid w:val="00CC0435"/>
    <w:rsid w:val="00CC0FBA"/>
    <w:rsid w:val="00CC3C67"/>
    <w:rsid w:val="00CC546C"/>
    <w:rsid w:val="00CD582C"/>
    <w:rsid w:val="00CE6DB5"/>
    <w:rsid w:val="00CF160A"/>
    <w:rsid w:val="00D041D7"/>
    <w:rsid w:val="00D0756C"/>
    <w:rsid w:val="00D078F4"/>
    <w:rsid w:val="00D07FD3"/>
    <w:rsid w:val="00D102BD"/>
    <w:rsid w:val="00D124DF"/>
    <w:rsid w:val="00D14244"/>
    <w:rsid w:val="00D1529A"/>
    <w:rsid w:val="00D154A9"/>
    <w:rsid w:val="00D222E6"/>
    <w:rsid w:val="00D246A5"/>
    <w:rsid w:val="00D255EB"/>
    <w:rsid w:val="00D314F4"/>
    <w:rsid w:val="00D42C02"/>
    <w:rsid w:val="00D61E2D"/>
    <w:rsid w:val="00D63E13"/>
    <w:rsid w:val="00D74F5E"/>
    <w:rsid w:val="00D75493"/>
    <w:rsid w:val="00D82FB3"/>
    <w:rsid w:val="00D83A5D"/>
    <w:rsid w:val="00D91EBC"/>
    <w:rsid w:val="00D93081"/>
    <w:rsid w:val="00D950C3"/>
    <w:rsid w:val="00DA02AC"/>
    <w:rsid w:val="00DA342A"/>
    <w:rsid w:val="00DA347B"/>
    <w:rsid w:val="00DA3E37"/>
    <w:rsid w:val="00DA6342"/>
    <w:rsid w:val="00DA667F"/>
    <w:rsid w:val="00DA788E"/>
    <w:rsid w:val="00DC0E22"/>
    <w:rsid w:val="00DC3230"/>
    <w:rsid w:val="00DC48C8"/>
    <w:rsid w:val="00DD026B"/>
    <w:rsid w:val="00DD2B39"/>
    <w:rsid w:val="00DD31C6"/>
    <w:rsid w:val="00DD7557"/>
    <w:rsid w:val="00DE27ED"/>
    <w:rsid w:val="00DE46BA"/>
    <w:rsid w:val="00DE65DD"/>
    <w:rsid w:val="00DF1FFF"/>
    <w:rsid w:val="00DF46F5"/>
    <w:rsid w:val="00DF5C5A"/>
    <w:rsid w:val="00DF5F08"/>
    <w:rsid w:val="00DF63B1"/>
    <w:rsid w:val="00DF7D9F"/>
    <w:rsid w:val="00E01E5B"/>
    <w:rsid w:val="00E03784"/>
    <w:rsid w:val="00E06AF4"/>
    <w:rsid w:val="00E15799"/>
    <w:rsid w:val="00E17522"/>
    <w:rsid w:val="00E303A7"/>
    <w:rsid w:val="00E32A21"/>
    <w:rsid w:val="00E34568"/>
    <w:rsid w:val="00E34789"/>
    <w:rsid w:val="00E34E31"/>
    <w:rsid w:val="00E371BF"/>
    <w:rsid w:val="00E402BD"/>
    <w:rsid w:val="00E40F0A"/>
    <w:rsid w:val="00E418C1"/>
    <w:rsid w:val="00E434BF"/>
    <w:rsid w:val="00E453C6"/>
    <w:rsid w:val="00E46A2D"/>
    <w:rsid w:val="00E51ADF"/>
    <w:rsid w:val="00E52577"/>
    <w:rsid w:val="00E60030"/>
    <w:rsid w:val="00E6273A"/>
    <w:rsid w:val="00E63184"/>
    <w:rsid w:val="00E642C0"/>
    <w:rsid w:val="00E7008D"/>
    <w:rsid w:val="00E7098E"/>
    <w:rsid w:val="00E730F1"/>
    <w:rsid w:val="00E732EF"/>
    <w:rsid w:val="00E736AF"/>
    <w:rsid w:val="00E756E0"/>
    <w:rsid w:val="00E8401B"/>
    <w:rsid w:val="00E841A3"/>
    <w:rsid w:val="00E86006"/>
    <w:rsid w:val="00E9051D"/>
    <w:rsid w:val="00E926AD"/>
    <w:rsid w:val="00E9441F"/>
    <w:rsid w:val="00EA1963"/>
    <w:rsid w:val="00EB1F93"/>
    <w:rsid w:val="00EB6E92"/>
    <w:rsid w:val="00EC553A"/>
    <w:rsid w:val="00ED4163"/>
    <w:rsid w:val="00EE092D"/>
    <w:rsid w:val="00EE1A2C"/>
    <w:rsid w:val="00EE3876"/>
    <w:rsid w:val="00EF3479"/>
    <w:rsid w:val="00EF5B79"/>
    <w:rsid w:val="00EF6666"/>
    <w:rsid w:val="00F0167D"/>
    <w:rsid w:val="00F02E0F"/>
    <w:rsid w:val="00F055C0"/>
    <w:rsid w:val="00F0671F"/>
    <w:rsid w:val="00F12034"/>
    <w:rsid w:val="00F14555"/>
    <w:rsid w:val="00F243EC"/>
    <w:rsid w:val="00F2671C"/>
    <w:rsid w:val="00F314A7"/>
    <w:rsid w:val="00F362B4"/>
    <w:rsid w:val="00F36C07"/>
    <w:rsid w:val="00F372FF"/>
    <w:rsid w:val="00F421CC"/>
    <w:rsid w:val="00F42A7A"/>
    <w:rsid w:val="00F42B95"/>
    <w:rsid w:val="00F435A2"/>
    <w:rsid w:val="00F45A95"/>
    <w:rsid w:val="00F460E3"/>
    <w:rsid w:val="00F46A66"/>
    <w:rsid w:val="00F5324E"/>
    <w:rsid w:val="00F5575C"/>
    <w:rsid w:val="00F5645E"/>
    <w:rsid w:val="00F571BA"/>
    <w:rsid w:val="00F63D76"/>
    <w:rsid w:val="00F65FD1"/>
    <w:rsid w:val="00F83574"/>
    <w:rsid w:val="00F83BC3"/>
    <w:rsid w:val="00F8678A"/>
    <w:rsid w:val="00F91969"/>
    <w:rsid w:val="00FA30FC"/>
    <w:rsid w:val="00FC30B7"/>
    <w:rsid w:val="00FC7ABB"/>
    <w:rsid w:val="00FE5DA6"/>
    <w:rsid w:val="00FF125E"/>
    <w:rsid w:val="00FF2A37"/>
    <w:rsid w:val="00FF2BD7"/>
    <w:rsid w:val="00FF4060"/>
    <w:rsid w:val="00FF546F"/>
    <w:rsid w:val="00FF70EA"/>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59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45901"/>
    <w:rPr>
      <w:color w:val="0000FF"/>
      <w:u w:val="single"/>
    </w:rPr>
  </w:style>
  <w:style w:type="paragraph" w:styleId="CommentText">
    <w:name w:val="annotation text"/>
    <w:basedOn w:val="Normal"/>
    <w:link w:val="CommentTextChar"/>
    <w:uiPriority w:val="99"/>
    <w:unhideWhenUsed/>
    <w:rsid w:val="00A45901"/>
    <w:pPr>
      <w:spacing w:line="240" w:lineRule="auto"/>
    </w:pPr>
    <w:rPr>
      <w:sz w:val="20"/>
      <w:szCs w:val="20"/>
    </w:rPr>
  </w:style>
  <w:style w:type="character" w:customStyle="1" w:styleId="CommentTextChar">
    <w:name w:val="Comment Text Char"/>
    <w:basedOn w:val="DefaultParagraphFont"/>
    <w:link w:val="CommentText"/>
    <w:uiPriority w:val="99"/>
    <w:rsid w:val="00A45901"/>
    <w:rPr>
      <w:sz w:val="20"/>
      <w:szCs w:val="20"/>
    </w:rPr>
  </w:style>
  <w:style w:type="character" w:styleId="CommentReference">
    <w:name w:val="annotation reference"/>
    <w:basedOn w:val="DefaultParagraphFont"/>
    <w:uiPriority w:val="99"/>
    <w:semiHidden/>
    <w:unhideWhenUsed/>
    <w:rsid w:val="00A45901"/>
    <w:rPr>
      <w:sz w:val="16"/>
      <w:szCs w:val="16"/>
    </w:rPr>
  </w:style>
  <w:style w:type="paragraph" w:styleId="ListParagraph">
    <w:name w:val="List Paragraph"/>
    <w:basedOn w:val="Normal"/>
    <w:uiPriority w:val="34"/>
    <w:qFormat/>
    <w:rsid w:val="00A45901"/>
    <w:pPr>
      <w:ind w:left="720"/>
      <w:contextualSpacing/>
    </w:pPr>
  </w:style>
  <w:style w:type="paragraph" w:styleId="BalloonText">
    <w:name w:val="Balloon Text"/>
    <w:basedOn w:val="Normal"/>
    <w:link w:val="BalloonTextChar"/>
    <w:uiPriority w:val="99"/>
    <w:semiHidden/>
    <w:unhideWhenUsed/>
    <w:rsid w:val="00A459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5901"/>
    <w:rPr>
      <w:rFonts w:ascii="Tahoma" w:hAnsi="Tahoma" w:cs="Tahoma"/>
      <w:sz w:val="16"/>
      <w:szCs w:val="16"/>
    </w:rPr>
  </w:style>
  <w:style w:type="paragraph" w:styleId="NormalWeb">
    <w:name w:val="Normal (Web)"/>
    <w:basedOn w:val="Normal"/>
    <w:uiPriority w:val="99"/>
    <w:unhideWhenUsed/>
    <w:rsid w:val="00A45901"/>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59"/>
    <w:rsid w:val="00C225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570023"/>
  </w:style>
  <w:style w:type="paragraph" w:styleId="Header">
    <w:name w:val="header"/>
    <w:basedOn w:val="Normal"/>
    <w:link w:val="HeaderChar"/>
    <w:uiPriority w:val="99"/>
    <w:unhideWhenUsed/>
    <w:rsid w:val="003B7F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7F76"/>
  </w:style>
  <w:style w:type="paragraph" w:styleId="Footer">
    <w:name w:val="footer"/>
    <w:basedOn w:val="Normal"/>
    <w:link w:val="FooterChar"/>
    <w:uiPriority w:val="99"/>
    <w:unhideWhenUsed/>
    <w:rsid w:val="003B7F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7F76"/>
  </w:style>
  <w:style w:type="paragraph" w:styleId="CommentSubject">
    <w:name w:val="annotation subject"/>
    <w:basedOn w:val="CommentText"/>
    <w:next w:val="CommentText"/>
    <w:link w:val="CommentSubjectChar"/>
    <w:uiPriority w:val="99"/>
    <w:semiHidden/>
    <w:unhideWhenUsed/>
    <w:rsid w:val="009C6832"/>
    <w:rPr>
      <w:b/>
      <w:bCs/>
    </w:rPr>
  </w:style>
  <w:style w:type="character" w:customStyle="1" w:styleId="CommentSubjectChar">
    <w:name w:val="Comment Subject Char"/>
    <w:basedOn w:val="CommentTextChar"/>
    <w:link w:val="CommentSubject"/>
    <w:uiPriority w:val="99"/>
    <w:semiHidden/>
    <w:rsid w:val="009C6832"/>
    <w:rPr>
      <w:b/>
      <w:bCs/>
      <w:sz w:val="20"/>
      <w:szCs w:val="20"/>
    </w:rPr>
  </w:style>
  <w:style w:type="character" w:customStyle="1" w:styleId="apple-converted-space">
    <w:name w:val="apple-converted-space"/>
    <w:basedOn w:val="DefaultParagraphFont"/>
    <w:rsid w:val="00405B4A"/>
  </w:style>
  <w:style w:type="paragraph" w:styleId="Revision">
    <w:name w:val="Revision"/>
    <w:hidden/>
    <w:uiPriority w:val="99"/>
    <w:semiHidden/>
    <w:rsid w:val="00B43A6F"/>
    <w:pPr>
      <w:spacing w:after="0" w:line="240" w:lineRule="auto"/>
    </w:pPr>
  </w:style>
  <w:style w:type="paragraph" w:styleId="PlainText">
    <w:name w:val="Plain Text"/>
    <w:basedOn w:val="Normal"/>
    <w:link w:val="PlainTextChar"/>
    <w:uiPriority w:val="99"/>
    <w:unhideWhenUsed/>
    <w:rsid w:val="00353AE1"/>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353AE1"/>
    <w:rPr>
      <w:rFonts w:ascii="Calibri" w:hAnsi="Calibri"/>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59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45901"/>
    <w:rPr>
      <w:color w:val="0000FF"/>
      <w:u w:val="single"/>
    </w:rPr>
  </w:style>
  <w:style w:type="paragraph" w:styleId="CommentText">
    <w:name w:val="annotation text"/>
    <w:basedOn w:val="Normal"/>
    <w:link w:val="CommentTextChar"/>
    <w:uiPriority w:val="99"/>
    <w:unhideWhenUsed/>
    <w:rsid w:val="00A45901"/>
    <w:pPr>
      <w:spacing w:line="240" w:lineRule="auto"/>
    </w:pPr>
    <w:rPr>
      <w:sz w:val="20"/>
      <w:szCs w:val="20"/>
    </w:rPr>
  </w:style>
  <w:style w:type="character" w:customStyle="1" w:styleId="CommentTextChar">
    <w:name w:val="Comment Text Char"/>
    <w:basedOn w:val="DefaultParagraphFont"/>
    <w:link w:val="CommentText"/>
    <w:uiPriority w:val="99"/>
    <w:rsid w:val="00A45901"/>
    <w:rPr>
      <w:sz w:val="20"/>
      <w:szCs w:val="20"/>
    </w:rPr>
  </w:style>
  <w:style w:type="character" w:styleId="CommentReference">
    <w:name w:val="annotation reference"/>
    <w:basedOn w:val="DefaultParagraphFont"/>
    <w:uiPriority w:val="99"/>
    <w:semiHidden/>
    <w:unhideWhenUsed/>
    <w:rsid w:val="00A45901"/>
    <w:rPr>
      <w:sz w:val="16"/>
      <w:szCs w:val="16"/>
    </w:rPr>
  </w:style>
  <w:style w:type="paragraph" w:styleId="ListParagraph">
    <w:name w:val="List Paragraph"/>
    <w:basedOn w:val="Normal"/>
    <w:uiPriority w:val="34"/>
    <w:qFormat/>
    <w:rsid w:val="00A45901"/>
    <w:pPr>
      <w:ind w:left="720"/>
      <w:contextualSpacing/>
    </w:pPr>
  </w:style>
  <w:style w:type="paragraph" w:styleId="BalloonText">
    <w:name w:val="Balloon Text"/>
    <w:basedOn w:val="Normal"/>
    <w:link w:val="BalloonTextChar"/>
    <w:uiPriority w:val="99"/>
    <w:semiHidden/>
    <w:unhideWhenUsed/>
    <w:rsid w:val="00A459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5901"/>
    <w:rPr>
      <w:rFonts w:ascii="Tahoma" w:hAnsi="Tahoma" w:cs="Tahoma"/>
      <w:sz w:val="16"/>
      <w:szCs w:val="16"/>
    </w:rPr>
  </w:style>
  <w:style w:type="paragraph" w:styleId="NormalWeb">
    <w:name w:val="Normal (Web)"/>
    <w:basedOn w:val="Normal"/>
    <w:uiPriority w:val="99"/>
    <w:unhideWhenUsed/>
    <w:rsid w:val="00A45901"/>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59"/>
    <w:rsid w:val="00C225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570023"/>
  </w:style>
  <w:style w:type="paragraph" w:styleId="Header">
    <w:name w:val="header"/>
    <w:basedOn w:val="Normal"/>
    <w:link w:val="HeaderChar"/>
    <w:uiPriority w:val="99"/>
    <w:unhideWhenUsed/>
    <w:rsid w:val="003B7F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7F76"/>
  </w:style>
  <w:style w:type="paragraph" w:styleId="Footer">
    <w:name w:val="footer"/>
    <w:basedOn w:val="Normal"/>
    <w:link w:val="FooterChar"/>
    <w:uiPriority w:val="99"/>
    <w:unhideWhenUsed/>
    <w:rsid w:val="003B7F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7F76"/>
  </w:style>
  <w:style w:type="paragraph" w:styleId="CommentSubject">
    <w:name w:val="annotation subject"/>
    <w:basedOn w:val="CommentText"/>
    <w:next w:val="CommentText"/>
    <w:link w:val="CommentSubjectChar"/>
    <w:uiPriority w:val="99"/>
    <w:semiHidden/>
    <w:unhideWhenUsed/>
    <w:rsid w:val="009C6832"/>
    <w:rPr>
      <w:b/>
      <w:bCs/>
    </w:rPr>
  </w:style>
  <w:style w:type="character" w:customStyle="1" w:styleId="CommentSubjectChar">
    <w:name w:val="Comment Subject Char"/>
    <w:basedOn w:val="CommentTextChar"/>
    <w:link w:val="CommentSubject"/>
    <w:uiPriority w:val="99"/>
    <w:semiHidden/>
    <w:rsid w:val="009C6832"/>
    <w:rPr>
      <w:b/>
      <w:bCs/>
      <w:sz w:val="20"/>
      <w:szCs w:val="20"/>
    </w:rPr>
  </w:style>
  <w:style w:type="character" w:customStyle="1" w:styleId="apple-converted-space">
    <w:name w:val="apple-converted-space"/>
    <w:basedOn w:val="DefaultParagraphFont"/>
    <w:rsid w:val="00405B4A"/>
  </w:style>
  <w:style w:type="paragraph" w:styleId="Revision">
    <w:name w:val="Revision"/>
    <w:hidden/>
    <w:uiPriority w:val="99"/>
    <w:semiHidden/>
    <w:rsid w:val="00B43A6F"/>
    <w:pPr>
      <w:spacing w:after="0" w:line="240" w:lineRule="auto"/>
    </w:pPr>
  </w:style>
  <w:style w:type="paragraph" w:styleId="PlainText">
    <w:name w:val="Plain Text"/>
    <w:basedOn w:val="Normal"/>
    <w:link w:val="PlainTextChar"/>
    <w:uiPriority w:val="99"/>
    <w:unhideWhenUsed/>
    <w:rsid w:val="00353AE1"/>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353AE1"/>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101342">
      <w:bodyDiv w:val="1"/>
      <w:marLeft w:val="0"/>
      <w:marRight w:val="0"/>
      <w:marTop w:val="0"/>
      <w:marBottom w:val="0"/>
      <w:divBdr>
        <w:top w:val="none" w:sz="0" w:space="0" w:color="auto"/>
        <w:left w:val="none" w:sz="0" w:space="0" w:color="auto"/>
        <w:bottom w:val="none" w:sz="0" w:space="0" w:color="auto"/>
        <w:right w:val="none" w:sz="0" w:space="0" w:color="auto"/>
      </w:divBdr>
    </w:div>
    <w:div w:id="360202561">
      <w:bodyDiv w:val="1"/>
      <w:marLeft w:val="0"/>
      <w:marRight w:val="0"/>
      <w:marTop w:val="0"/>
      <w:marBottom w:val="0"/>
      <w:divBdr>
        <w:top w:val="none" w:sz="0" w:space="0" w:color="auto"/>
        <w:left w:val="none" w:sz="0" w:space="0" w:color="auto"/>
        <w:bottom w:val="none" w:sz="0" w:space="0" w:color="auto"/>
        <w:right w:val="none" w:sz="0" w:space="0" w:color="auto"/>
      </w:divBdr>
      <w:divsChild>
        <w:div w:id="838277302">
          <w:marLeft w:val="0"/>
          <w:marRight w:val="0"/>
          <w:marTop w:val="0"/>
          <w:marBottom w:val="0"/>
          <w:divBdr>
            <w:top w:val="none" w:sz="0" w:space="0" w:color="auto"/>
            <w:left w:val="none" w:sz="0" w:space="0" w:color="auto"/>
            <w:bottom w:val="none" w:sz="0" w:space="0" w:color="auto"/>
            <w:right w:val="none" w:sz="0" w:space="0" w:color="auto"/>
          </w:divBdr>
          <w:divsChild>
            <w:div w:id="34624687">
              <w:marLeft w:val="0"/>
              <w:marRight w:val="0"/>
              <w:marTop w:val="0"/>
              <w:marBottom w:val="0"/>
              <w:divBdr>
                <w:top w:val="none" w:sz="0" w:space="0" w:color="auto"/>
                <w:left w:val="none" w:sz="0" w:space="0" w:color="auto"/>
                <w:bottom w:val="none" w:sz="0" w:space="0" w:color="auto"/>
                <w:right w:val="none" w:sz="0" w:space="0" w:color="auto"/>
              </w:divBdr>
              <w:divsChild>
                <w:div w:id="140465438">
                  <w:marLeft w:val="0"/>
                  <w:marRight w:val="0"/>
                  <w:marTop w:val="0"/>
                  <w:marBottom w:val="0"/>
                  <w:divBdr>
                    <w:top w:val="none" w:sz="0" w:space="0" w:color="auto"/>
                    <w:left w:val="none" w:sz="0" w:space="0" w:color="auto"/>
                    <w:bottom w:val="none" w:sz="0" w:space="0" w:color="auto"/>
                    <w:right w:val="none" w:sz="0" w:space="0" w:color="auto"/>
                  </w:divBdr>
                  <w:divsChild>
                    <w:div w:id="354773308">
                      <w:marLeft w:val="0"/>
                      <w:marRight w:val="0"/>
                      <w:marTop w:val="0"/>
                      <w:marBottom w:val="0"/>
                      <w:divBdr>
                        <w:top w:val="none" w:sz="0" w:space="0" w:color="auto"/>
                        <w:left w:val="none" w:sz="0" w:space="0" w:color="auto"/>
                        <w:bottom w:val="none" w:sz="0" w:space="0" w:color="auto"/>
                        <w:right w:val="none" w:sz="0" w:space="0" w:color="auto"/>
                      </w:divBdr>
                      <w:divsChild>
                        <w:div w:id="2140537714">
                          <w:marLeft w:val="0"/>
                          <w:marRight w:val="0"/>
                          <w:marTop w:val="0"/>
                          <w:marBottom w:val="0"/>
                          <w:divBdr>
                            <w:top w:val="none" w:sz="0" w:space="0" w:color="auto"/>
                            <w:left w:val="none" w:sz="0" w:space="0" w:color="auto"/>
                            <w:bottom w:val="none" w:sz="0" w:space="0" w:color="auto"/>
                            <w:right w:val="none" w:sz="0" w:space="0" w:color="auto"/>
                          </w:divBdr>
                          <w:divsChild>
                            <w:div w:id="1597978775">
                              <w:marLeft w:val="0"/>
                              <w:marRight w:val="0"/>
                              <w:marTop w:val="0"/>
                              <w:marBottom w:val="0"/>
                              <w:divBdr>
                                <w:top w:val="none" w:sz="0" w:space="0" w:color="auto"/>
                                <w:left w:val="none" w:sz="0" w:space="0" w:color="auto"/>
                                <w:bottom w:val="none" w:sz="0" w:space="0" w:color="auto"/>
                                <w:right w:val="none" w:sz="0" w:space="0" w:color="auto"/>
                              </w:divBdr>
                              <w:divsChild>
                                <w:div w:id="73405894">
                                  <w:marLeft w:val="0"/>
                                  <w:marRight w:val="0"/>
                                  <w:marTop w:val="0"/>
                                  <w:marBottom w:val="0"/>
                                  <w:divBdr>
                                    <w:top w:val="none" w:sz="0" w:space="0" w:color="auto"/>
                                    <w:left w:val="none" w:sz="0" w:space="0" w:color="auto"/>
                                    <w:bottom w:val="none" w:sz="0" w:space="0" w:color="auto"/>
                                    <w:right w:val="none" w:sz="0" w:space="0" w:color="auto"/>
                                  </w:divBdr>
                                  <w:divsChild>
                                    <w:div w:id="2052916171">
                                      <w:marLeft w:val="0"/>
                                      <w:marRight w:val="0"/>
                                      <w:marTop w:val="0"/>
                                      <w:marBottom w:val="0"/>
                                      <w:divBdr>
                                        <w:top w:val="none" w:sz="0" w:space="0" w:color="auto"/>
                                        <w:left w:val="none" w:sz="0" w:space="0" w:color="auto"/>
                                        <w:bottom w:val="none" w:sz="0" w:space="0" w:color="auto"/>
                                        <w:right w:val="none" w:sz="0" w:space="0" w:color="auto"/>
                                      </w:divBdr>
                                      <w:divsChild>
                                        <w:div w:id="93137721">
                                          <w:marLeft w:val="0"/>
                                          <w:marRight w:val="0"/>
                                          <w:marTop w:val="0"/>
                                          <w:marBottom w:val="0"/>
                                          <w:divBdr>
                                            <w:top w:val="none" w:sz="0" w:space="0" w:color="auto"/>
                                            <w:left w:val="none" w:sz="0" w:space="0" w:color="auto"/>
                                            <w:bottom w:val="none" w:sz="0" w:space="0" w:color="auto"/>
                                            <w:right w:val="none" w:sz="0" w:space="0" w:color="auto"/>
                                          </w:divBdr>
                                          <w:divsChild>
                                            <w:div w:id="178592614">
                                              <w:marLeft w:val="0"/>
                                              <w:marRight w:val="0"/>
                                              <w:marTop w:val="0"/>
                                              <w:marBottom w:val="0"/>
                                              <w:divBdr>
                                                <w:top w:val="none" w:sz="0" w:space="0" w:color="auto"/>
                                                <w:left w:val="none" w:sz="0" w:space="0" w:color="auto"/>
                                                <w:bottom w:val="none" w:sz="0" w:space="0" w:color="auto"/>
                                                <w:right w:val="none" w:sz="0" w:space="0" w:color="auto"/>
                                              </w:divBdr>
                                              <w:divsChild>
                                                <w:div w:id="1184243822">
                                                  <w:marLeft w:val="0"/>
                                                  <w:marRight w:val="0"/>
                                                  <w:marTop w:val="0"/>
                                                  <w:marBottom w:val="0"/>
                                                  <w:divBdr>
                                                    <w:top w:val="none" w:sz="0" w:space="0" w:color="auto"/>
                                                    <w:left w:val="none" w:sz="0" w:space="0" w:color="auto"/>
                                                    <w:bottom w:val="none" w:sz="0" w:space="0" w:color="auto"/>
                                                    <w:right w:val="none" w:sz="0" w:space="0" w:color="auto"/>
                                                  </w:divBdr>
                                                  <w:divsChild>
                                                    <w:div w:id="2141024685">
                                                      <w:marLeft w:val="0"/>
                                                      <w:marRight w:val="0"/>
                                                      <w:marTop w:val="0"/>
                                                      <w:marBottom w:val="0"/>
                                                      <w:divBdr>
                                                        <w:top w:val="none" w:sz="0" w:space="0" w:color="auto"/>
                                                        <w:left w:val="none" w:sz="0" w:space="0" w:color="auto"/>
                                                        <w:bottom w:val="none" w:sz="0" w:space="0" w:color="auto"/>
                                                        <w:right w:val="none" w:sz="0" w:space="0" w:color="auto"/>
                                                      </w:divBdr>
                                                      <w:divsChild>
                                                        <w:div w:id="1582370954">
                                                          <w:marLeft w:val="0"/>
                                                          <w:marRight w:val="0"/>
                                                          <w:marTop w:val="0"/>
                                                          <w:marBottom w:val="0"/>
                                                          <w:divBdr>
                                                            <w:top w:val="none" w:sz="0" w:space="0" w:color="auto"/>
                                                            <w:left w:val="none" w:sz="0" w:space="0" w:color="auto"/>
                                                            <w:bottom w:val="none" w:sz="0" w:space="0" w:color="auto"/>
                                                            <w:right w:val="none" w:sz="0" w:space="0" w:color="auto"/>
                                                          </w:divBdr>
                                                          <w:divsChild>
                                                            <w:div w:id="1716929424">
                                                              <w:marLeft w:val="0"/>
                                                              <w:marRight w:val="0"/>
                                                              <w:marTop w:val="0"/>
                                                              <w:marBottom w:val="0"/>
                                                              <w:divBdr>
                                                                <w:top w:val="none" w:sz="0" w:space="0" w:color="auto"/>
                                                                <w:left w:val="none" w:sz="0" w:space="0" w:color="auto"/>
                                                                <w:bottom w:val="none" w:sz="0" w:space="0" w:color="auto"/>
                                                                <w:right w:val="none" w:sz="0" w:space="0" w:color="auto"/>
                                                              </w:divBdr>
                                                              <w:divsChild>
                                                                <w:div w:id="1912496978">
                                                                  <w:marLeft w:val="0"/>
                                                                  <w:marRight w:val="0"/>
                                                                  <w:marTop w:val="0"/>
                                                                  <w:marBottom w:val="0"/>
                                                                  <w:divBdr>
                                                                    <w:top w:val="none" w:sz="0" w:space="0" w:color="auto"/>
                                                                    <w:left w:val="none" w:sz="0" w:space="0" w:color="auto"/>
                                                                    <w:bottom w:val="none" w:sz="0" w:space="0" w:color="auto"/>
                                                                    <w:right w:val="none" w:sz="0" w:space="0" w:color="auto"/>
                                                                  </w:divBdr>
                                                                  <w:divsChild>
                                                                    <w:div w:id="2121215767">
                                                                      <w:marLeft w:val="0"/>
                                                                      <w:marRight w:val="0"/>
                                                                      <w:marTop w:val="0"/>
                                                                      <w:marBottom w:val="0"/>
                                                                      <w:divBdr>
                                                                        <w:top w:val="none" w:sz="0" w:space="0" w:color="auto"/>
                                                                        <w:left w:val="none" w:sz="0" w:space="0" w:color="auto"/>
                                                                        <w:bottom w:val="none" w:sz="0" w:space="0" w:color="auto"/>
                                                                        <w:right w:val="none" w:sz="0" w:space="0" w:color="auto"/>
                                                                      </w:divBdr>
                                                                      <w:divsChild>
                                                                        <w:div w:id="134790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67323703">
          <w:marLeft w:val="0"/>
          <w:marRight w:val="0"/>
          <w:marTop w:val="0"/>
          <w:marBottom w:val="0"/>
          <w:divBdr>
            <w:top w:val="none" w:sz="0" w:space="0" w:color="auto"/>
            <w:left w:val="none" w:sz="0" w:space="0" w:color="auto"/>
            <w:bottom w:val="none" w:sz="0" w:space="0" w:color="auto"/>
            <w:right w:val="none" w:sz="0" w:space="0" w:color="auto"/>
          </w:divBdr>
        </w:div>
      </w:divsChild>
    </w:div>
    <w:div w:id="530919787">
      <w:bodyDiv w:val="1"/>
      <w:marLeft w:val="0"/>
      <w:marRight w:val="0"/>
      <w:marTop w:val="0"/>
      <w:marBottom w:val="0"/>
      <w:divBdr>
        <w:top w:val="none" w:sz="0" w:space="0" w:color="auto"/>
        <w:left w:val="none" w:sz="0" w:space="0" w:color="auto"/>
        <w:bottom w:val="none" w:sz="0" w:space="0" w:color="auto"/>
        <w:right w:val="none" w:sz="0" w:space="0" w:color="auto"/>
      </w:divBdr>
    </w:div>
    <w:div w:id="558828094">
      <w:bodyDiv w:val="1"/>
      <w:marLeft w:val="0"/>
      <w:marRight w:val="0"/>
      <w:marTop w:val="0"/>
      <w:marBottom w:val="0"/>
      <w:divBdr>
        <w:top w:val="none" w:sz="0" w:space="0" w:color="auto"/>
        <w:left w:val="none" w:sz="0" w:space="0" w:color="auto"/>
        <w:bottom w:val="none" w:sz="0" w:space="0" w:color="auto"/>
        <w:right w:val="none" w:sz="0" w:space="0" w:color="auto"/>
      </w:divBdr>
    </w:div>
    <w:div w:id="712852540">
      <w:bodyDiv w:val="1"/>
      <w:marLeft w:val="0"/>
      <w:marRight w:val="0"/>
      <w:marTop w:val="0"/>
      <w:marBottom w:val="0"/>
      <w:divBdr>
        <w:top w:val="none" w:sz="0" w:space="0" w:color="auto"/>
        <w:left w:val="none" w:sz="0" w:space="0" w:color="auto"/>
        <w:bottom w:val="none" w:sz="0" w:space="0" w:color="auto"/>
        <w:right w:val="none" w:sz="0" w:space="0" w:color="auto"/>
      </w:divBdr>
    </w:div>
    <w:div w:id="799692692">
      <w:bodyDiv w:val="1"/>
      <w:marLeft w:val="0"/>
      <w:marRight w:val="0"/>
      <w:marTop w:val="0"/>
      <w:marBottom w:val="0"/>
      <w:divBdr>
        <w:top w:val="none" w:sz="0" w:space="0" w:color="auto"/>
        <w:left w:val="none" w:sz="0" w:space="0" w:color="auto"/>
        <w:bottom w:val="none" w:sz="0" w:space="0" w:color="auto"/>
        <w:right w:val="none" w:sz="0" w:space="0" w:color="auto"/>
      </w:divBdr>
      <w:divsChild>
        <w:div w:id="1812937181">
          <w:marLeft w:val="0"/>
          <w:marRight w:val="0"/>
          <w:marTop w:val="0"/>
          <w:marBottom w:val="0"/>
          <w:divBdr>
            <w:top w:val="none" w:sz="0" w:space="0" w:color="auto"/>
            <w:left w:val="none" w:sz="0" w:space="0" w:color="auto"/>
            <w:bottom w:val="none" w:sz="0" w:space="0" w:color="auto"/>
            <w:right w:val="none" w:sz="0" w:space="0" w:color="auto"/>
          </w:divBdr>
        </w:div>
        <w:div w:id="1910535082">
          <w:marLeft w:val="0"/>
          <w:marRight w:val="0"/>
          <w:marTop w:val="0"/>
          <w:marBottom w:val="0"/>
          <w:divBdr>
            <w:top w:val="none" w:sz="0" w:space="0" w:color="auto"/>
            <w:left w:val="none" w:sz="0" w:space="0" w:color="auto"/>
            <w:bottom w:val="none" w:sz="0" w:space="0" w:color="auto"/>
            <w:right w:val="none" w:sz="0" w:space="0" w:color="auto"/>
          </w:divBdr>
        </w:div>
        <w:div w:id="1695300905">
          <w:marLeft w:val="0"/>
          <w:marRight w:val="0"/>
          <w:marTop w:val="0"/>
          <w:marBottom w:val="0"/>
          <w:divBdr>
            <w:top w:val="none" w:sz="0" w:space="0" w:color="auto"/>
            <w:left w:val="none" w:sz="0" w:space="0" w:color="auto"/>
            <w:bottom w:val="none" w:sz="0" w:space="0" w:color="auto"/>
            <w:right w:val="none" w:sz="0" w:space="0" w:color="auto"/>
          </w:divBdr>
        </w:div>
        <w:div w:id="1587419925">
          <w:marLeft w:val="0"/>
          <w:marRight w:val="0"/>
          <w:marTop w:val="0"/>
          <w:marBottom w:val="0"/>
          <w:divBdr>
            <w:top w:val="none" w:sz="0" w:space="0" w:color="auto"/>
            <w:left w:val="none" w:sz="0" w:space="0" w:color="auto"/>
            <w:bottom w:val="none" w:sz="0" w:space="0" w:color="auto"/>
            <w:right w:val="none" w:sz="0" w:space="0" w:color="auto"/>
          </w:divBdr>
        </w:div>
        <w:div w:id="270432299">
          <w:marLeft w:val="0"/>
          <w:marRight w:val="0"/>
          <w:marTop w:val="0"/>
          <w:marBottom w:val="0"/>
          <w:divBdr>
            <w:top w:val="none" w:sz="0" w:space="0" w:color="auto"/>
            <w:left w:val="none" w:sz="0" w:space="0" w:color="auto"/>
            <w:bottom w:val="none" w:sz="0" w:space="0" w:color="auto"/>
            <w:right w:val="none" w:sz="0" w:space="0" w:color="auto"/>
          </w:divBdr>
        </w:div>
      </w:divsChild>
    </w:div>
    <w:div w:id="817302702">
      <w:bodyDiv w:val="1"/>
      <w:marLeft w:val="0"/>
      <w:marRight w:val="0"/>
      <w:marTop w:val="0"/>
      <w:marBottom w:val="0"/>
      <w:divBdr>
        <w:top w:val="none" w:sz="0" w:space="0" w:color="auto"/>
        <w:left w:val="none" w:sz="0" w:space="0" w:color="auto"/>
        <w:bottom w:val="none" w:sz="0" w:space="0" w:color="auto"/>
        <w:right w:val="none" w:sz="0" w:space="0" w:color="auto"/>
      </w:divBdr>
    </w:div>
    <w:div w:id="910654219">
      <w:bodyDiv w:val="1"/>
      <w:marLeft w:val="0"/>
      <w:marRight w:val="0"/>
      <w:marTop w:val="0"/>
      <w:marBottom w:val="0"/>
      <w:divBdr>
        <w:top w:val="none" w:sz="0" w:space="0" w:color="auto"/>
        <w:left w:val="none" w:sz="0" w:space="0" w:color="auto"/>
        <w:bottom w:val="none" w:sz="0" w:space="0" w:color="auto"/>
        <w:right w:val="none" w:sz="0" w:space="0" w:color="auto"/>
      </w:divBdr>
    </w:div>
    <w:div w:id="1001739302">
      <w:bodyDiv w:val="1"/>
      <w:marLeft w:val="0"/>
      <w:marRight w:val="0"/>
      <w:marTop w:val="0"/>
      <w:marBottom w:val="0"/>
      <w:divBdr>
        <w:top w:val="none" w:sz="0" w:space="0" w:color="auto"/>
        <w:left w:val="none" w:sz="0" w:space="0" w:color="auto"/>
        <w:bottom w:val="none" w:sz="0" w:space="0" w:color="auto"/>
        <w:right w:val="none" w:sz="0" w:space="0" w:color="auto"/>
      </w:divBdr>
      <w:divsChild>
        <w:div w:id="1919514495">
          <w:marLeft w:val="0"/>
          <w:marRight w:val="0"/>
          <w:marTop w:val="0"/>
          <w:marBottom w:val="0"/>
          <w:divBdr>
            <w:top w:val="none" w:sz="0" w:space="0" w:color="auto"/>
            <w:left w:val="none" w:sz="0" w:space="0" w:color="auto"/>
            <w:bottom w:val="none" w:sz="0" w:space="0" w:color="auto"/>
            <w:right w:val="none" w:sz="0" w:space="0" w:color="auto"/>
          </w:divBdr>
          <w:divsChild>
            <w:div w:id="1002120016">
              <w:marLeft w:val="0"/>
              <w:marRight w:val="0"/>
              <w:marTop w:val="0"/>
              <w:marBottom w:val="0"/>
              <w:divBdr>
                <w:top w:val="none" w:sz="0" w:space="0" w:color="auto"/>
                <w:left w:val="none" w:sz="0" w:space="0" w:color="auto"/>
                <w:bottom w:val="none" w:sz="0" w:space="0" w:color="auto"/>
                <w:right w:val="none" w:sz="0" w:space="0" w:color="auto"/>
              </w:divBdr>
              <w:divsChild>
                <w:div w:id="276183896">
                  <w:marLeft w:val="0"/>
                  <w:marRight w:val="0"/>
                  <w:marTop w:val="0"/>
                  <w:marBottom w:val="0"/>
                  <w:divBdr>
                    <w:top w:val="none" w:sz="0" w:space="0" w:color="auto"/>
                    <w:left w:val="none" w:sz="0" w:space="0" w:color="auto"/>
                    <w:bottom w:val="none" w:sz="0" w:space="0" w:color="auto"/>
                    <w:right w:val="none" w:sz="0" w:space="0" w:color="auto"/>
                  </w:divBdr>
                  <w:divsChild>
                    <w:div w:id="1336028737">
                      <w:marLeft w:val="0"/>
                      <w:marRight w:val="0"/>
                      <w:marTop w:val="0"/>
                      <w:marBottom w:val="0"/>
                      <w:divBdr>
                        <w:top w:val="none" w:sz="0" w:space="0" w:color="auto"/>
                        <w:left w:val="none" w:sz="0" w:space="0" w:color="auto"/>
                        <w:bottom w:val="none" w:sz="0" w:space="0" w:color="auto"/>
                        <w:right w:val="none" w:sz="0" w:space="0" w:color="auto"/>
                      </w:divBdr>
                      <w:divsChild>
                        <w:div w:id="1368487594">
                          <w:marLeft w:val="0"/>
                          <w:marRight w:val="0"/>
                          <w:marTop w:val="0"/>
                          <w:marBottom w:val="0"/>
                          <w:divBdr>
                            <w:top w:val="none" w:sz="0" w:space="0" w:color="auto"/>
                            <w:left w:val="none" w:sz="0" w:space="0" w:color="auto"/>
                            <w:bottom w:val="none" w:sz="0" w:space="0" w:color="auto"/>
                            <w:right w:val="none" w:sz="0" w:space="0" w:color="auto"/>
                          </w:divBdr>
                          <w:divsChild>
                            <w:div w:id="13773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8213222">
      <w:bodyDiv w:val="1"/>
      <w:marLeft w:val="0"/>
      <w:marRight w:val="0"/>
      <w:marTop w:val="0"/>
      <w:marBottom w:val="0"/>
      <w:divBdr>
        <w:top w:val="none" w:sz="0" w:space="0" w:color="auto"/>
        <w:left w:val="none" w:sz="0" w:space="0" w:color="auto"/>
        <w:bottom w:val="none" w:sz="0" w:space="0" w:color="auto"/>
        <w:right w:val="none" w:sz="0" w:space="0" w:color="auto"/>
      </w:divBdr>
      <w:divsChild>
        <w:div w:id="36049815">
          <w:marLeft w:val="0"/>
          <w:marRight w:val="0"/>
          <w:marTop w:val="0"/>
          <w:marBottom w:val="0"/>
          <w:divBdr>
            <w:top w:val="none" w:sz="0" w:space="0" w:color="auto"/>
            <w:left w:val="none" w:sz="0" w:space="0" w:color="auto"/>
            <w:bottom w:val="none" w:sz="0" w:space="0" w:color="auto"/>
            <w:right w:val="none" w:sz="0" w:space="0" w:color="auto"/>
          </w:divBdr>
          <w:divsChild>
            <w:div w:id="773013090">
              <w:marLeft w:val="0"/>
              <w:marRight w:val="0"/>
              <w:marTop w:val="0"/>
              <w:marBottom w:val="0"/>
              <w:divBdr>
                <w:top w:val="none" w:sz="0" w:space="0" w:color="auto"/>
                <w:left w:val="none" w:sz="0" w:space="0" w:color="auto"/>
                <w:bottom w:val="none" w:sz="0" w:space="0" w:color="auto"/>
                <w:right w:val="none" w:sz="0" w:space="0" w:color="auto"/>
              </w:divBdr>
              <w:divsChild>
                <w:div w:id="1183472668">
                  <w:marLeft w:val="0"/>
                  <w:marRight w:val="0"/>
                  <w:marTop w:val="0"/>
                  <w:marBottom w:val="0"/>
                  <w:divBdr>
                    <w:top w:val="none" w:sz="0" w:space="0" w:color="auto"/>
                    <w:left w:val="none" w:sz="0" w:space="0" w:color="auto"/>
                    <w:bottom w:val="none" w:sz="0" w:space="0" w:color="auto"/>
                    <w:right w:val="none" w:sz="0" w:space="0" w:color="auto"/>
                  </w:divBdr>
                  <w:divsChild>
                    <w:div w:id="185876155">
                      <w:marLeft w:val="0"/>
                      <w:marRight w:val="0"/>
                      <w:marTop w:val="0"/>
                      <w:marBottom w:val="0"/>
                      <w:divBdr>
                        <w:top w:val="none" w:sz="0" w:space="0" w:color="auto"/>
                        <w:left w:val="none" w:sz="0" w:space="0" w:color="auto"/>
                        <w:bottom w:val="none" w:sz="0" w:space="0" w:color="auto"/>
                        <w:right w:val="none" w:sz="0" w:space="0" w:color="auto"/>
                      </w:divBdr>
                      <w:divsChild>
                        <w:div w:id="643774031">
                          <w:marLeft w:val="0"/>
                          <w:marRight w:val="0"/>
                          <w:marTop w:val="0"/>
                          <w:marBottom w:val="0"/>
                          <w:divBdr>
                            <w:top w:val="none" w:sz="0" w:space="0" w:color="auto"/>
                            <w:left w:val="none" w:sz="0" w:space="0" w:color="auto"/>
                            <w:bottom w:val="none" w:sz="0" w:space="0" w:color="auto"/>
                            <w:right w:val="none" w:sz="0" w:space="0" w:color="auto"/>
                          </w:divBdr>
                          <w:divsChild>
                            <w:div w:id="3855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5877136">
      <w:bodyDiv w:val="1"/>
      <w:marLeft w:val="0"/>
      <w:marRight w:val="0"/>
      <w:marTop w:val="0"/>
      <w:marBottom w:val="0"/>
      <w:divBdr>
        <w:top w:val="none" w:sz="0" w:space="0" w:color="auto"/>
        <w:left w:val="none" w:sz="0" w:space="0" w:color="auto"/>
        <w:bottom w:val="none" w:sz="0" w:space="0" w:color="auto"/>
        <w:right w:val="none" w:sz="0" w:space="0" w:color="auto"/>
      </w:divBdr>
      <w:divsChild>
        <w:div w:id="2080205256">
          <w:marLeft w:val="0"/>
          <w:marRight w:val="0"/>
          <w:marTop w:val="0"/>
          <w:marBottom w:val="0"/>
          <w:divBdr>
            <w:top w:val="none" w:sz="0" w:space="0" w:color="auto"/>
            <w:left w:val="none" w:sz="0" w:space="0" w:color="auto"/>
            <w:bottom w:val="none" w:sz="0" w:space="0" w:color="auto"/>
            <w:right w:val="none" w:sz="0" w:space="0" w:color="auto"/>
          </w:divBdr>
          <w:divsChild>
            <w:div w:id="268051546">
              <w:marLeft w:val="0"/>
              <w:marRight w:val="0"/>
              <w:marTop w:val="0"/>
              <w:marBottom w:val="0"/>
              <w:divBdr>
                <w:top w:val="none" w:sz="0" w:space="0" w:color="auto"/>
                <w:left w:val="none" w:sz="0" w:space="0" w:color="auto"/>
                <w:bottom w:val="none" w:sz="0" w:space="0" w:color="auto"/>
                <w:right w:val="none" w:sz="0" w:space="0" w:color="auto"/>
              </w:divBdr>
              <w:divsChild>
                <w:div w:id="832798611">
                  <w:marLeft w:val="0"/>
                  <w:marRight w:val="0"/>
                  <w:marTop w:val="0"/>
                  <w:marBottom w:val="0"/>
                  <w:divBdr>
                    <w:top w:val="none" w:sz="0" w:space="0" w:color="auto"/>
                    <w:left w:val="none" w:sz="0" w:space="0" w:color="auto"/>
                    <w:bottom w:val="none" w:sz="0" w:space="0" w:color="auto"/>
                    <w:right w:val="none" w:sz="0" w:space="0" w:color="auto"/>
                  </w:divBdr>
                  <w:divsChild>
                    <w:div w:id="1526675133">
                      <w:marLeft w:val="0"/>
                      <w:marRight w:val="0"/>
                      <w:marTop w:val="0"/>
                      <w:marBottom w:val="0"/>
                      <w:divBdr>
                        <w:top w:val="none" w:sz="0" w:space="0" w:color="auto"/>
                        <w:left w:val="none" w:sz="0" w:space="0" w:color="auto"/>
                        <w:bottom w:val="none" w:sz="0" w:space="0" w:color="auto"/>
                        <w:right w:val="none" w:sz="0" w:space="0" w:color="auto"/>
                      </w:divBdr>
                      <w:divsChild>
                        <w:div w:id="1618760532">
                          <w:marLeft w:val="0"/>
                          <w:marRight w:val="0"/>
                          <w:marTop w:val="0"/>
                          <w:marBottom w:val="0"/>
                          <w:divBdr>
                            <w:top w:val="none" w:sz="0" w:space="0" w:color="auto"/>
                            <w:left w:val="none" w:sz="0" w:space="0" w:color="auto"/>
                            <w:bottom w:val="none" w:sz="0" w:space="0" w:color="auto"/>
                            <w:right w:val="none" w:sz="0" w:space="0" w:color="auto"/>
                          </w:divBdr>
                          <w:divsChild>
                            <w:div w:id="368381843">
                              <w:marLeft w:val="0"/>
                              <w:marRight w:val="0"/>
                              <w:marTop w:val="0"/>
                              <w:marBottom w:val="0"/>
                              <w:divBdr>
                                <w:top w:val="none" w:sz="0" w:space="0" w:color="auto"/>
                                <w:left w:val="none" w:sz="0" w:space="0" w:color="auto"/>
                                <w:bottom w:val="none" w:sz="0" w:space="0" w:color="auto"/>
                                <w:right w:val="none" w:sz="0" w:space="0" w:color="auto"/>
                              </w:divBdr>
                              <w:divsChild>
                                <w:div w:id="1920091896">
                                  <w:marLeft w:val="0"/>
                                  <w:marRight w:val="0"/>
                                  <w:marTop w:val="0"/>
                                  <w:marBottom w:val="0"/>
                                  <w:divBdr>
                                    <w:top w:val="none" w:sz="0" w:space="0" w:color="auto"/>
                                    <w:left w:val="none" w:sz="0" w:space="0" w:color="auto"/>
                                    <w:bottom w:val="none" w:sz="0" w:space="0" w:color="auto"/>
                                    <w:right w:val="none" w:sz="0" w:space="0" w:color="auto"/>
                                  </w:divBdr>
                                  <w:divsChild>
                                    <w:div w:id="134765174">
                                      <w:marLeft w:val="0"/>
                                      <w:marRight w:val="0"/>
                                      <w:marTop w:val="0"/>
                                      <w:marBottom w:val="0"/>
                                      <w:divBdr>
                                        <w:top w:val="none" w:sz="0" w:space="0" w:color="auto"/>
                                        <w:left w:val="none" w:sz="0" w:space="0" w:color="auto"/>
                                        <w:bottom w:val="none" w:sz="0" w:space="0" w:color="auto"/>
                                        <w:right w:val="none" w:sz="0" w:space="0" w:color="auto"/>
                                      </w:divBdr>
                                      <w:divsChild>
                                        <w:div w:id="348532278">
                                          <w:marLeft w:val="0"/>
                                          <w:marRight w:val="0"/>
                                          <w:marTop w:val="0"/>
                                          <w:marBottom w:val="0"/>
                                          <w:divBdr>
                                            <w:top w:val="none" w:sz="0" w:space="0" w:color="auto"/>
                                            <w:left w:val="none" w:sz="0" w:space="0" w:color="auto"/>
                                            <w:bottom w:val="none" w:sz="0" w:space="0" w:color="auto"/>
                                            <w:right w:val="none" w:sz="0" w:space="0" w:color="auto"/>
                                          </w:divBdr>
                                          <w:divsChild>
                                            <w:div w:id="1838570402">
                                              <w:marLeft w:val="0"/>
                                              <w:marRight w:val="0"/>
                                              <w:marTop w:val="0"/>
                                              <w:marBottom w:val="0"/>
                                              <w:divBdr>
                                                <w:top w:val="none" w:sz="0" w:space="0" w:color="auto"/>
                                                <w:left w:val="none" w:sz="0" w:space="0" w:color="auto"/>
                                                <w:bottom w:val="none" w:sz="0" w:space="0" w:color="auto"/>
                                                <w:right w:val="none" w:sz="0" w:space="0" w:color="auto"/>
                                              </w:divBdr>
                                              <w:divsChild>
                                                <w:div w:id="301666513">
                                                  <w:marLeft w:val="0"/>
                                                  <w:marRight w:val="0"/>
                                                  <w:marTop w:val="0"/>
                                                  <w:marBottom w:val="0"/>
                                                  <w:divBdr>
                                                    <w:top w:val="none" w:sz="0" w:space="0" w:color="auto"/>
                                                    <w:left w:val="none" w:sz="0" w:space="0" w:color="auto"/>
                                                    <w:bottom w:val="none" w:sz="0" w:space="0" w:color="auto"/>
                                                    <w:right w:val="none" w:sz="0" w:space="0" w:color="auto"/>
                                                  </w:divBdr>
                                                  <w:divsChild>
                                                    <w:div w:id="1274483130">
                                                      <w:marLeft w:val="0"/>
                                                      <w:marRight w:val="0"/>
                                                      <w:marTop w:val="0"/>
                                                      <w:marBottom w:val="0"/>
                                                      <w:divBdr>
                                                        <w:top w:val="none" w:sz="0" w:space="0" w:color="auto"/>
                                                        <w:left w:val="none" w:sz="0" w:space="0" w:color="auto"/>
                                                        <w:bottom w:val="none" w:sz="0" w:space="0" w:color="auto"/>
                                                        <w:right w:val="none" w:sz="0" w:space="0" w:color="auto"/>
                                                      </w:divBdr>
                                                      <w:divsChild>
                                                        <w:div w:id="553204076">
                                                          <w:marLeft w:val="0"/>
                                                          <w:marRight w:val="0"/>
                                                          <w:marTop w:val="0"/>
                                                          <w:marBottom w:val="0"/>
                                                          <w:divBdr>
                                                            <w:top w:val="none" w:sz="0" w:space="0" w:color="auto"/>
                                                            <w:left w:val="none" w:sz="0" w:space="0" w:color="auto"/>
                                                            <w:bottom w:val="none" w:sz="0" w:space="0" w:color="auto"/>
                                                            <w:right w:val="none" w:sz="0" w:space="0" w:color="auto"/>
                                                          </w:divBdr>
                                                          <w:divsChild>
                                                            <w:div w:id="1257441647">
                                                              <w:marLeft w:val="0"/>
                                                              <w:marRight w:val="0"/>
                                                              <w:marTop w:val="0"/>
                                                              <w:marBottom w:val="0"/>
                                                              <w:divBdr>
                                                                <w:top w:val="none" w:sz="0" w:space="0" w:color="auto"/>
                                                                <w:left w:val="none" w:sz="0" w:space="0" w:color="auto"/>
                                                                <w:bottom w:val="none" w:sz="0" w:space="0" w:color="auto"/>
                                                                <w:right w:val="none" w:sz="0" w:space="0" w:color="auto"/>
                                                              </w:divBdr>
                                                              <w:divsChild>
                                                                <w:div w:id="2089960965">
                                                                  <w:marLeft w:val="0"/>
                                                                  <w:marRight w:val="0"/>
                                                                  <w:marTop w:val="0"/>
                                                                  <w:marBottom w:val="0"/>
                                                                  <w:divBdr>
                                                                    <w:top w:val="none" w:sz="0" w:space="0" w:color="auto"/>
                                                                    <w:left w:val="none" w:sz="0" w:space="0" w:color="auto"/>
                                                                    <w:bottom w:val="none" w:sz="0" w:space="0" w:color="auto"/>
                                                                    <w:right w:val="none" w:sz="0" w:space="0" w:color="auto"/>
                                                                  </w:divBdr>
                                                                  <w:divsChild>
                                                                    <w:div w:id="783572872">
                                                                      <w:marLeft w:val="0"/>
                                                                      <w:marRight w:val="0"/>
                                                                      <w:marTop w:val="0"/>
                                                                      <w:marBottom w:val="0"/>
                                                                      <w:divBdr>
                                                                        <w:top w:val="none" w:sz="0" w:space="0" w:color="auto"/>
                                                                        <w:left w:val="none" w:sz="0" w:space="0" w:color="auto"/>
                                                                        <w:bottom w:val="none" w:sz="0" w:space="0" w:color="auto"/>
                                                                        <w:right w:val="none" w:sz="0" w:space="0" w:color="auto"/>
                                                                      </w:divBdr>
                                                                      <w:divsChild>
                                                                        <w:div w:id="39860829">
                                                                          <w:marLeft w:val="0"/>
                                                                          <w:marRight w:val="0"/>
                                                                          <w:marTop w:val="0"/>
                                                                          <w:marBottom w:val="0"/>
                                                                          <w:divBdr>
                                                                            <w:top w:val="none" w:sz="0" w:space="0" w:color="auto"/>
                                                                            <w:left w:val="none" w:sz="0" w:space="0" w:color="auto"/>
                                                                            <w:bottom w:val="none" w:sz="0" w:space="0" w:color="auto"/>
                                                                            <w:right w:val="none" w:sz="0" w:space="0" w:color="auto"/>
                                                                          </w:divBdr>
                                                                          <w:divsChild>
                                                                            <w:div w:id="1509518189">
                                                                              <w:marLeft w:val="0"/>
                                                                              <w:marRight w:val="0"/>
                                                                              <w:marTop w:val="0"/>
                                                                              <w:marBottom w:val="0"/>
                                                                              <w:divBdr>
                                                                                <w:top w:val="none" w:sz="0" w:space="0" w:color="auto"/>
                                                                                <w:left w:val="none" w:sz="0" w:space="0" w:color="auto"/>
                                                                                <w:bottom w:val="none" w:sz="0" w:space="0" w:color="auto"/>
                                                                                <w:right w:val="none" w:sz="0" w:space="0" w:color="auto"/>
                                                                              </w:divBdr>
                                                                              <w:divsChild>
                                                                                <w:div w:id="1252855947">
                                                                                  <w:marLeft w:val="0"/>
                                                                                  <w:marRight w:val="0"/>
                                                                                  <w:marTop w:val="0"/>
                                                                                  <w:marBottom w:val="0"/>
                                                                                  <w:divBdr>
                                                                                    <w:top w:val="none" w:sz="0" w:space="0" w:color="auto"/>
                                                                                    <w:left w:val="none" w:sz="0" w:space="0" w:color="auto"/>
                                                                                    <w:bottom w:val="none" w:sz="0" w:space="0" w:color="auto"/>
                                                                                    <w:right w:val="none" w:sz="0" w:space="0" w:color="auto"/>
                                                                                  </w:divBdr>
                                                                                  <w:divsChild>
                                                                                    <w:div w:id="99959588">
                                                                                      <w:marLeft w:val="0"/>
                                                                                      <w:marRight w:val="0"/>
                                                                                      <w:marTop w:val="0"/>
                                                                                      <w:marBottom w:val="0"/>
                                                                                      <w:divBdr>
                                                                                        <w:top w:val="none" w:sz="0" w:space="0" w:color="auto"/>
                                                                                        <w:left w:val="none" w:sz="0" w:space="0" w:color="auto"/>
                                                                                        <w:bottom w:val="none" w:sz="0" w:space="0" w:color="auto"/>
                                                                                        <w:right w:val="none" w:sz="0" w:space="0" w:color="auto"/>
                                                                                      </w:divBdr>
                                                                                      <w:divsChild>
                                                                                        <w:div w:id="131562087">
                                                                                          <w:marLeft w:val="0"/>
                                                                                          <w:marRight w:val="0"/>
                                                                                          <w:marTop w:val="0"/>
                                                                                          <w:marBottom w:val="0"/>
                                                                                          <w:divBdr>
                                                                                            <w:top w:val="none" w:sz="0" w:space="0" w:color="auto"/>
                                                                                            <w:left w:val="none" w:sz="0" w:space="0" w:color="auto"/>
                                                                                            <w:bottom w:val="none" w:sz="0" w:space="0" w:color="auto"/>
                                                                                            <w:right w:val="none" w:sz="0" w:space="0" w:color="auto"/>
                                                                                          </w:divBdr>
                                                                                          <w:divsChild>
                                                                                            <w:div w:id="489372488">
                                                                                              <w:marLeft w:val="0"/>
                                                                                              <w:marRight w:val="0"/>
                                                                                              <w:marTop w:val="0"/>
                                                                                              <w:marBottom w:val="0"/>
                                                                                              <w:divBdr>
                                                                                                <w:top w:val="none" w:sz="0" w:space="0" w:color="auto"/>
                                                                                                <w:left w:val="none" w:sz="0" w:space="0" w:color="auto"/>
                                                                                                <w:bottom w:val="none" w:sz="0" w:space="0" w:color="auto"/>
                                                                                                <w:right w:val="none" w:sz="0" w:space="0" w:color="auto"/>
                                                                                              </w:divBdr>
                                                                                              <w:divsChild>
                                                                                                <w:div w:id="1698701059">
                                                                                                  <w:marLeft w:val="0"/>
                                                                                                  <w:marRight w:val="0"/>
                                                                                                  <w:marTop w:val="0"/>
                                                                                                  <w:marBottom w:val="0"/>
                                                                                                  <w:divBdr>
                                                                                                    <w:top w:val="none" w:sz="0" w:space="0" w:color="auto"/>
                                                                                                    <w:left w:val="none" w:sz="0" w:space="0" w:color="auto"/>
                                                                                                    <w:bottom w:val="none" w:sz="0" w:space="0" w:color="auto"/>
                                                                                                    <w:right w:val="none" w:sz="0" w:space="0" w:color="auto"/>
                                                                                                  </w:divBdr>
                                                                                                  <w:divsChild>
                                                                                                    <w:div w:id="1036661028">
                                                                                                      <w:marLeft w:val="0"/>
                                                                                                      <w:marRight w:val="0"/>
                                                                                                      <w:marTop w:val="0"/>
                                                                                                      <w:marBottom w:val="0"/>
                                                                                                      <w:divBdr>
                                                                                                        <w:top w:val="none" w:sz="0" w:space="0" w:color="auto"/>
                                                                                                        <w:left w:val="none" w:sz="0" w:space="0" w:color="auto"/>
                                                                                                        <w:bottom w:val="none" w:sz="0" w:space="0" w:color="auto"/>
                                                                                                        <w:right w:val="none" w:sz="0" w:space="0" w:color="auto"/>
                                                                                                      </w:divBdr>
                                                                                                      <w:divsChild>
                                                                                                        <w:div w:id="71320137">
                                                                                                          <w:marLeft w:val="0"/>
                                                                                                          <w:marRight w:val="0"/>
                                                                                                          <w:marTop w:val="0"/>
                                                                                                          <w:marBottom w:val="0"/>
                                                                                                          <w:divBdr>
                                                                                                            <w:top w:val="none" w:sz="0" w:space="0" w:color="auto"/>
                                                                                                            <w:left w:val="none" w:sz="0" w:space="0" w:color="auto"/>
                                                                                                            <w:bottom w:val="none" w:sz="0" w:space="0" w:color="auto"/>
                                                                                                            <w:right w:val="none" w:sz="0" w:space="0" w:color="auto"/>
                                                                                                          </w:divBdr>
                                                                                                          <w:divsChild>
                                                                                                            <w:div w:id="1677613375">
                                                                                                              <w:marLeft w:val="0"/>
                                                                                                              <w:marRight w:val="0"/>
                                                                                                              <w:marTop w:val="0"/>
                                                                                                              <w:marBottom w:val="0"/>
                                                                                                              <w:divBdr>
                                                                                                                <w:top w:val="none" w:sz="0" w:space="0" w:color="auto"/>
                                                                                                                <w:left w:val="none" w:sz="0" w:space="0" w:color="auto"/>
                                                                                                                <w:bottom w:val="none" w:sz="0" w:space="0" w:color="auto"/>
                                                                                                                <w:right w:val="none" w:sz="0" w:space="0" w:color="auto"/>
                                                                                                              </w:divBdr>
                                                                                                              <w:divsChild>
                                                                                                                <w:div w:id="57516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image" Target="media/image1.wmf"/><Relationship Id="rId17" Type="http://schemas.openxmlformats.org/officeDocument/2006/relationships/oleObject" Target="embeddings/oleObject5.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jneurosci.org/content/33/19/8264.long"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hyperlink" Target="mailto:emily.hird@manchester.ac.uk" TargetMode="External"/><Relationship Id="rId4" Type="http://schemas.microsoft.com/office/2007/relationships/stylesWithEffects" Target="stylesWithEffects.xml"/><Relationship Id="rId9" Type="http://schemas.openxmlformats.org/officeDocument/2006/relationships/hyperlink" Target="mailto:emily.hird@manchester.ac.uk" TargetMode="External"/><Relationship Id="rId14" Type="http://schemas.openxmlformats.org/officeDocument/2006/relationships/oleObject" Target="embeddings/oleObject2.bin"/><Relationship Id="rId2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4F6769-9BEE-487E-B142-F02DC36AA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31</Pages>
  <Words>46831</Words>
  <Characters>266937</Characters>
  <Application>Microsoft Office Word</Application>
  <DocSecurity>0</DocSecurity>
  <Lines>2224</Lines>
  <Paragraphs>626</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313142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cubicle</dc:creator>
  <cp:lastModifiedBy>Windows User</cp:lastModifiedBy>
  <cp:revision>3</cp:revision>
  <cp:lastPrinted>2017-01-09T19:03:00Z</cp:lastPrinted>
  <dcterms:created xsi:type="dcterms:W3CDTF">2017-09-04T14:22:00Z</dcterms:created>
  <dcterms:modified xsi:type="dcterms:W3CDTF">2017-09-04T16:39:00Z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ear4Word_StyleTitle">
    <vt:lpwstr>American Psychological Association 6th Edition</vt:lpwstr>
  </property>
  <property fmtid="{D5CDD505-2E9C-101B-9397-08002B2CF9AE}" pid="3" name="Mendeley Document_1">
    <vt:lpwstr>True</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http://csl.mendeley.com/styles/226382861/apa-2</vt:lpwstr>
  </property>
  <property fmtid="{D5CDD505-2E9C-101B-9397-08002B2CF9AE}" pid="12" name="Mendeley Recent Style Name 3_1">
    <vt:lpwstr>American Psychological Association 6th edition - Emily Hird</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16th edition (author-date)</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(author-date)</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http://www.zotero.org/styles/the-journal-of-neuroscience</vt:lpwstr>
  </property>
  <property fmtid="{D5CDD505-2E9C-101B-9397-08002B2CF9AE}" pid="24" name="Mendeley Recent Style Name 9_1">
    <vt:lpwstr>The Journal of Neuroscience</vt:lpwstr>
  </property>
  <property fmtid="{D5CDD505-2E9C-101B-9397-08002B2CF9AE}" pid="25" name="Mendeley Unique User Id_1">
    <vt:lpwstr>45b4db10-06a7-3aa3-8021-e3e4269f6e3b</vt:lpwstr>
  </property>
  <property fmtid="{D5CDD505-2E9C-101B-9397-08002B2CF9AE}" pid="26" name="Mendeley User Name_1">
    <vt:lpwstr>emily.hird@postgrad.manchester.ac.uk@www.mendeley.com</vt:lpwstr>
  </property>
</Properties>
</file>